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99DF1">
      <w:pPr>
        <w:pStyle w:val="34"/>
        <w:jc w:val="center"/>
        <w:rPr>
          <w:rFonts w:hint="eastAsia" w:ascii="仿宋_GB2312" w:hAnsi="宋体" w:eastAsia="仿宋_GB2312"/>
          <w:color w:val="000000"/>
          <w:sz w:val="32"/>
          <w:szCs w:val="32"/>
          <w:highlight w:val="none"/>
        </w:rPr>
      </w:pPr>
      <w:r>
        <w:rPr>
          <w:rFonts w:hint="eastAsia" w:ascii="宋体" w:hAnsi="宋体" w:cs="宋体"/>
          <w:b/>
          <w:sz w:val="44"/>
          <w:szCs w:val="44"/>
          <w:highlight w:val="none"/>
        </w:rPr>
        <w:drawing>
          <wp:anchor distT="0" distB="0" distL="114300" distR="114300" simplePos="0" relativeHeight="251684864" behindDoc="0" locked="0" layoutInCell="1" allowOverlap="1">
            <wp:simplePos x="0" y="0"/>
            <wp:positionH relativeFrom="column">
              <wp:posOffset>-187325</wp:posOffset>
            </wp:positionH>
            <wp:positionV relativeFrom="paragraph">
              <wp:posOffset>-510540</wp:posOffset>
            </wp:positionV>
            <wp:extent cx="1010285" cy="908685"/>
            <wp:effectExtent l="0" t="0" r="18415" b="5715"/>
            <wp:wrapSquare wrapText="bothSides"/>
            <wp:docPr id="18" name="图片 2" descr="ac63f5981e8d350eb8fc528d6efc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ac63f5981e8d350eb8fc528d6efc6a9"/>
                    <pic:cNvPicPr>
                      <a:picLocks noChangeAspect="1"/>
                    </pic:cNvPicPr>
                  </pic:nvPicPr>
                  <pic:blipFill>
                    <a:blip r:embed="rId19"/>
                    <a:stretch>
                      <a:fillRect/>
                    </a:stretch>
                  </pic:blipFill>
                  <pic:spPr>
                    <a:xfrm>
                      <a:off x="0" y="0"/>
                      <a:ext cx="1010285" cy="908685"/>
                    </a:xfrm>
                    <a:prstGeom prst="rect">
                      <a:avLst/>
                    </a:prstGeom>
                    <a:noFill/>
                    <a:ln>
                      <a:noFill/>
                    </a:ln>
                  </pic:spPr>
                </pic:pic>
              </a:graphicData>
            </a:graphic>
          </wp:anchor>
        </w:drawing>
      </w:r>
      <w:r>
        <w:rPr>
          <w:rFonts w:hint="eastAsia" w:ascii="宋体" w:hAnsi="宋体"/>
          <w:color w:val="000000"/>
          <w:sz w:val="72"/>
          <w:szCs w:val="72"/>
          <w:highlight w:val="none"/>
        </w:rPr>
        <mc:AlternateContent>
          <mc:Choice Requires="wps">
            <w:drawing>
              <wp:anchor distT="0" distB="0" distL="114300" distR="114300" simplePos="0" relativeHeight="251683840" behindDoc="0" locked="0" layoutInCell="1" allowOverlap="1">
                <wp:simplePos x="0" y="0"/>
                <wp:positionH relativeFrom="column">
                  <wp:posOffset>-982980</wp:posOffset>
                </wp:positionH>
                <wp:positionV relativeFrom="paragraph">
                  <wp:posOffset>509905</wp:posOffset>
                </wp:positionV>
                <wp:extent cx="6051550" cy="15240"/>
                <wp:effectExtent l="0" t="6350" r="6350" b="6985"/>
                <wp:wrapNone/>
                <wp:docPr id="20" name="直接箭头连接符 20"/>
                <wp:cNvGraphicFramePr/>
                <a:graphic xmlns:a="http://schemas.openxmlformats.org/drawingml/2006/main">
                  <a:graphicData uri="http://schemas.microsoft.com/office/word/2010/wordprocessingShape">
                    <wps:wsp>
                      <wps:cNvCnPr/>
                      <wps:spPr>
                        <a:xfrm flipV="1">
                          <a:off x="0" y="0"/>
                          <a:ext cx="6051550" cy="15240"/>
                        </a:xfrm>
                        <a:prstGeom prst="straightConnector1">
                          <a:avLst/>
                        </a:prstGeom>
                        <a:ln w="12700" cap="flat" cmpd="thinThick">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77.4pt;margin-top:40.15pt;height:1.2pt;width:476.5pt;z-index:251683840;mso-width-relative:page;mso-height-relative:page;" filled="f" stroked="t" coordsize="21600,21600" o:gfxdata="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J3z62wAAAAoBAAAPAAAA&#10;AAAAAAEAIAAAACIAAABkcnMvZG93bnJldi54bWxQSwECFAAUAAAACACHTuJAR3MbARICAAANBAAA&#10;DgAAAAAAAAABACAAAAAqAQAAZHJzL2Uyb0RvYy54bWxQSwUGAAAAAAYABgBZAQAArgUAAAAA&#10;">
                <v:fill on="f" focussize="0,0"/>
                <v:stroke weight="1pt" color="#000000" linestyle="thinThick" joinstyle="round"/>
                <v:imagedata o:title=""/>
                <o:lock v:ext="edit" aspectratio="f"/>
              </v:shape>
            </w:pict>
          </mc:Fallback>
        </mc:AlternateContent>
      </w:r>
      <w:r>
        <w:rPr>
          <w:rFonts w:hint="eastAsia" w:ascii="方正小标宋简体" w:eastAsia="方正小标宋简体"/>
          <w:b/>
          <w:color w:val="000000"/>
          <w:sz w:val="52"/>
          <w:szCs w:val="52"/>
          <w:highlight w:val="none"/>
        </w:rPr>
        <w:t>广西腾锦工程项目管理有限公司</w:t>
      </w:r>
      <w:r>
        <w:rPr>
          <w:rFonts w:hint="eastAsia" w:ascii="仿宋_GB2312" w:hAnsi="宋体" w:eastAsia="仿宋_GB2312"/>
          <w:color w:val="000000"/>
          <w:sz w:val="32"/>
          <w:szCs w:val="32"/>
          <w:highlight w:val="none"/>
        </w:rPr>
        <w:t xml:space="preserve">  </w:t>
      </w:r>
    </w:p>
    <w:p w14:paraId="023920EC">
      <w:pPr>
        <w:snapToGrid w:val="0"/>
        <w:spacing w:afterAutospacing="0" w:line="360" w:lineRule="auto"/>
        <w:ind w:right="-210" w:rightChars="-100"/>
        <w:jc w:val="both"/>
        <w:rPr>
          <w:rFonts w:hint="eastAsia" w:ascii="宋体" w:hAnsi="宋体" w:eastAsia="宋体" w:cs="宋体"/>
          <w:b/>
          <w:bCs/>
          <w:color w:val="auto"/>
          <w:sz w:val="56"/>
          <w:szCs w:val="56"/>
          <w:highlight w:val="none"/>
          <w:lang w:eastAsia="zh-CN"/>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44"/>
          <w:szCs w:val="44"/>
          <w:highlight w:val="none"/>
          <w:lang w:val="en-US" w:eastAsia="zh-CN"/>
        </w:rPr>
        <w:t xml:space="preserve"> </w:t>
      </w:r>
    </w:p>
    <w:p w14:paraId="1BEAD37B">
      <w:pPr>
        <w:snapToGrid w:val="0"/>
        <w:spacing w:before="162" w:beforeLines="50" w:after="263" w:afterLines="81" w:line="360" w:lineRule="auto"/>
        <w:ind w:right="-210" w:rightChars="-10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2026年北海市铁山港区污水处理厂运营服务采购</w:t>
      </w:r>
    </w:p>
    <w:p w14:paraId="69FA8697">
      <w:pPr>
        <w:adjustRightInd/>
        <w:spacing w:line="360" w:lineRule="auto"/>
        <w:jc w:val="center"/>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pPr>
    </w:p>
    <w:p w14:paraId="60F019D6">
      <w:pPr>
        <w:adjustRightInd/>
        <w:spacing w:line="360" w:lineRule="auto"/>
        <w:jc w:val="center"/>
        <w:rPr>
          <w:rFonts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highlight w:val="none"/>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highlight w:val="none"/>
          <w14:textFill>
            <w14:solidFill>
              <w14:schemeClr w14:val="tx1"/>
            </w14:solidFill>
          </w14:textFill>
        </w:rPr>
        <w:t>文件</w:t>
      </w:r>
    </w:p>
    <w:p w14:paraId="1D26F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32"/>
          <w:szCs w:val="32"/>
          <w:highlight w:val="none"/>
        </w:rPr>
        <w:t>（电子交易）</w:t>
      </w:r>
    </w:p>
    <w:p w14:paraId="11D80F6D">
      <w:pPr>
        <w:numPr>
          <w:ilvl w:val="0"/>
          <w:numId w:val="0"/>
        </w:numPr>
        <w:tabs>
          <w:tab w:val="left" w:pos="864"/>
          <w:tab w:val="left" w:pos="2140"/>
        </w:tabs>
        <w:ind w:leftChars="0"/>
        <w:outlineLvl w:val="9"/>
        <w:rPr>
          <w:rFonts w:hint="eastAsia"/>
          <w:highlight w:val="none"/>
        </w:rPr>
      </w:pPr>
    </w:p>
    <w:p w14:paraId="38E8E44B">
      <w:pPr>
        <w:pStyle w:val="34"/>
        <w:snapToGrid w:val="0"/>
        <w:spacing w:before="120" w:after="120" w:line="480" w:lineRule="auto"/>
        <w:ind w:firstLine="1124" w:firstLineChars="400"/>
        <w:rPr>
          <w:rFonts w:hint="eastAsia" w:hAnsi="宋体" w:cs="宋体"/>
          <w:b/>
          <w:bCs/>
          <w:color w:val="auto"/>
          <w:sz w:val="28"/>
          <w:szCs w:val="28"/>
          <w:highlight w:val="none"/>
        </w:rPr>
      </w:pPr>
    </w:p>
    <w:p w14:paraId="68C9A2D8">
      <w:pPr>
        <w:pStyle w:val="34"/>
        <w:snapToGrid w:val="0"/>
        <w:spacing w:before="120" w:after="120" w:line="480" w:lineRule="auto"/>
        <w:jc w:val="center"/>
        <w:rPr>
          <w:rFonts w:hint="eastAsia" w:hAnsi="宋体" w:eastAsia="宋体" w:cs="宋体"/>
          <w:b/>
          <w:bCs/>
          <w:color w:val="auto"/>
          <w:sz w:val="28"/>
          <w:szCs w:val="28"/>
          <w:highlight w:val="none"/>
          <w:u w:val="single"/>
          <w:lang w:val="en-US" w:eastAsia="zh-CN"/>
        </w:rPr>
      </w:pPr>
      <w:r>
        <w:rPr>
          <w:rFonts w:hint="eastAsia" w:hAnsi="宋体" w:cs="宋体"/>
          <w:b/>
          <w:bCs/>
          <w:color w:val="auto"/>
          <w:sz w:val="28"/>
          <w:szCs w:val="28"/>
          <w:highlight w:val="none"/>
        </w:rPr>
        <w:t>项目编号：</w:t>
      </w:r>
      <w:r>
        <w:rPr>
          <w:rFonts w:hint="eastAsia" w:hAnsi="宋体" w:cs="宋体"/>
          <w:b/>
          <w:bCs/>
          <w:color w:val="auto"/>
          <w:sz w:val="28"/>
          <w:szCs w:val="28"/>
          <w:highlight w:val="none"/>
          <w:u w:val="none"/>
        </w:rPr>
        <w:t>BHZC2026-C3-120018-GXTJ</w:t>
      </w:r>
    </w:p>
    <w:p w14:paraId="5C10FD66">
      <w:pPr>
        <w:snapToGrid w:val="0"/>
        <w:spacing w:before="162" w:beforeLines="50" w:line="480" w:lineRule="auto"/>
        <w:ind w:firstLine="1124" w:firstLineChars="400"/>
        <w:rPr>
          <w:rFonts w:hint="eastAsia" w:ascii="宋体" w:hAnsi="宋体" w:cs="宋体"/>
          <w:b/>
          <w:color w:val="auto"/>
          <w:sz w:val="28"/>
          <w:szCs w:val="28"/>
          <w:highlight w:val="none"/>
          <w:lang w:val="en-US" w:eastAsia="zh-CN"/>
        </w:rPr>
      </w:pPr>
    </w:p>
    <w:p w14:paraId="2AE21D81">
      <w:pPr>
        <w:snapToGrid w:val="0"/>
        <w:spacing w:before="162" w:beforeLines="50" w:line="480" w:lineRule="auto"/>
        <w:ind w:firstLine="1124" w:firstLineChars="400"/>
        <w:rPr>
          <w:rFonts w:hint="eastAsia" w:ascii="宋体" w:hAnsi="宋体" w:cs="宋体"/>
          <w:b/>
          <w:color w:val="auto"/>
          <w:sz w:val="28"/>
          <w:szCs w:val="28"/>
          <w:highlight w:val="none"/>
          <w:lang w:val="en-US" w:eastAsia="zh-CN"/>
        </w:rPr>
      </w:pPr>
    </w:p>
    <w:p w14:paraId="08ACEDBD">
      <w:pPr>
        <w:snapToGrid w:val="0"/>
        <w:spacing w:before="162" w:beforeLines="50" w:line="480" w:lineRule="auto"/>
        <w:ind w:firstLine="1124" w:firstLineChars="400"/>
        <w:rPr>
          <w:rFonts w:hint="default"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采 购 </w:t>
      </w:r>
      <w:r>
        <w:rPr>
          <w:rFonts w:hint="eastAsia" w:ascii="宋体" w:hAnsi="宋体" w:cs="宋体"/>
          <w:b/>
          <w:color w:val="auto"/>
          <w:sz w:val="28"/>
          <w:szCs w:val="28"/>
          <w:highlight w:val="none"/>
        </w:rPr>
        <w:t>人：</w:t>
      </w:r>
      <w:r>
        <w:rPr>
          <w:rFonts w:hint="eastAsia" w:ascii="宋体" w:hAnsi="宋体" w:cs="宋体"/>
          <w:bCs/>
          <w:color w:val="auto"/>
          <w:sz w:val="28"/>
          <w:szCs w:val="28"/>
          <w:highlight w:val="none"/>
          <w:u w:val="none"/>
          <w:lang w:eastAsia="zh-CN"/>
        </w:rPr>
        <w:t>北海市铁山港区住房和城乡建设局</w:t>
      </w:r>
      <w:r>
        <w:rPr>
          <w:rFonts w:hint="eastAsia" w:ascii="宋体" w:hAnsi="宋体" w:cs="宋体"/>
          <w:bCs/>
          <w:color w:val="auto"/>
          <w:sz w:val="28"/>
          <w:szCs w:val="28"/>
          <w:highlight w:val="none"/>
          <w:u w:val="none"/>
        </w:rPr>
        <w:t xml:space="preserve">   </w:t>
      </w:r>
      <w:r>
        <w:rPr>
          <w:rFonts w:hint="eastAsia" w:ascii="宋体" w:hAnsi="宋体" w:cs="宋体"/>
          <w:bCs/>
          <w:color w:val="auto"/>
          <w:sz w:val="28"/>
          <w:szCs w:val="28"/>
          <w:highlight w:val="none"/>
          <w:u w:val="none"/>
          <w:lang w:val="en-US" w:eastAsia="zh-CN"/>
        </w:rPr>
        <w:t xml:space="preserve">  </w:t>
      </w:r>
    </w:p>
    <w:p w14:paraId="37F0476D">
      <w:pPr>
        <w:snapToGrid w:val="0"/>
        <w:spacing w:before="162" w:beforeLines="50" w:line="480" w:lineRule="auto"/>
        <w:ind w:firstLine="1124" w:firstLineChars="400"/>
        <w:rPr>
          <w:rFonts w:hint="eastAsia" w:ascii="宋体" w:hAnsi="宋体" w:eastAsia="宋体"/>
          <w:color w:val="auto"/>
          <w:highlight w:val="none"/>
          <w:lang w:val="en-US" w:eastAsia="zh-CN"/>
        </w:rPr>
      </w:pPr>
      <w:r>
        <w:rPr>
          <w:rFonts w:hint="eastAsia" w:ascii="宋体" w:hAnsi="宋体" w:cs="宋体"/>
          <w:b/>
          <w:color w:val="auto"/>
          <w:sz w:val="28"/>
          <w:szCs w:val="28"/>
          <w:highlight w:val="none"/>
        </w:rPr>
        <w:t>采购代理机构：</w:t>
      </w:r>
      <w:r>
        <w:rPr>
          <w:rFonts w:hint="eastAsia" w:ascii="宋体" w:hAnsi="宋体" w:cs="宋体"/>
          <w:bCs/>
          <w:color w:val="auto"/>
          <w:sz w:val="28"/>
          <w:szCs w:val="28"/>
          <w:highlight w:val="none"/>
          <w:u w:val="none"/>
        </w:rPr>
        <w:t xml:space="preserve">广西腾锦工程项目管理有限公司 </w:t>
      </w:r>
      <w:r>
        <w:rPr>
          <w:rFonts w:hint="eastAsia" w:ascii="宋体" w:hAnsi="宋体" w:cs="宋体"/>
          <w:bCs/>
          <w:color w:val="auto"/>
          <w:sz w:val="28"/>
          <w:szCs w:val="28"/>
          <w:highlight w:val="none"/>
          <w:u w:val="none"/>
          <w:lang w:val="en-US" w:eastAsia="zh-CN"/>
        </w:rPr>
        <w:t xml:space="preserve"> </w:t>
      </w:r>
    </w:p>
    <w:p w14:paraId="4DD427EF">
      <w:pPr>
        <w:spacing w:before="325" w:beforeLines="100" w:line="480" w:lineRule="auto"/>
        <w:jc w:val="center"/>
        <w:rPr>
          <w:rFonts w:hint="default" w:ascii="宋体" w:hAnsi="宋体" w:eastAsia="宋体"/>
          <w:color w:val="auto"/>
          <w:sz w:val="28"/>
          <w:szCs w:val="28"/>
          <w:highlight w:val="none"/>
          <w:lang w:val="en-US" w:eastAsia="zh-CN"/>
        </w:rPr>
      </w:pPr>
      <w:bookmarkStart w:id="0" w:name="_Toc12404"/>
      <w:bookmarkStart w:id="1" w:name="_Toc19575"/>
      <w:bookmarkStart w:id="2" w:name="_Toc11693"/>
      <w:bookmarkStart w:id="3" w:name="_Toc19754"/>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bookmarkEnd w:id="0"/>
      <w:bookmarkEnd w:id="1"/>
      <w:bookmarkEnd w:id="2"/>
      <w:bookmarkEnd w:id="3"/>
      <w:r>
        <w:rPr>
          <w:rFonts w:hint="eastAsia" w:ascii="宋体" w:hAnsi="宋体"/>
          <w:color w:val="auto"/>
          <w:sz w:val="28"/>
          <w:szCs w:val="28"/>
          <w:highlight w:val="none"/>
          <w:lang w:val="en-US" w:eastAsia="zh-CN"/>
        </w:rPr>
        <w:t>13日</w:t>
      </w:r>
    </w:p>
    <w:p w14:paraId="406C7C85">
      <w:pPr>
        <w:rPr>
          <w:highlight w:val="none"/>
        </w:rPr>
      </w:pPr>
    </w:p>
    <w:p w14:paraId="323F3576">
      <w:pPr>
        <w:pStyle w:val="26"/>
        <w:rPr>
          <w:highlight w:val="none"/>
        </w:rPr>
      </w:pPr>
    </w:p>
    <w:p w14:paraId="571413A9">
      <w:pP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br w:type="page"/>
      </w:r>
    </w:p>
    <w:p w14:paraId="197D6555">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14:paraId="1CF2BCA4">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14:paraId="54196AFA">
      <w:pPr>
        <w:spacing w:line="480" w:lineRule="auto"/>
        <w:rPr>
          <w:rFonts w:hint="eastAsia" w:ascii="宋体" w:hAnsi="宋体" w:eastAsia="宋体" w:cs="宋体"/>
          <w:color w:val="000000" w:themeColor="text1"/>
          <w:sz w:val="40"/>
          <w:szCs w:val="40"/>
          <w:highlight w:val="none"/>
          <w14:textFill>
            <w14:solidFill>
              <w14:schemeClr w14:val="tx1"/>
            </w14:solidFill>
          </w14:textFill>
        </w:rPr>
      </w:pPr>
    </w:p>
    <w:p w14:paraId="2442CF5E">
      <w:pPr>
        <w:pStyle w:val="43"/>
        <w:tabs>
          <w:tab w:val="right" w:leader="dot" w:pos="9638"/>
        </w:tabs>
        <w:rPr>
          <w:sz w:val="30"/>
          <w:szCs w:val="30"/>
          <w:highlight w:val="none"/>
        </w:rPr>
      </w:pPr>
      <w:bookmarkStart w:id="4" w:name="_Hlt91233176"/>
      <w:bookmarkEnd w:id="4"/>
      <w:bookmarkStart w:id="5" w:name="_Toc91899869"/>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color w:val="000000" w:themeColor="text1"/>
          <w:sz w:val="30"/>
          <w:szCs w:val="30"/>
          <w:highlight w:val="none"/>
          <w14:textFill>
            <w14:solidFill>
              <w14:schemeClr w14:val="tx1"/>
            </w14:solidFill>
          </w14:textFill>
        </w:rPr>
        <w:instrText xml:space="preserve"> TOC \o "1-1" \h \z \u </w:instrText>
      </w:r>
      <w:r>
        <w:rPr>
          <w:rFonts w:hint="eastAsia" w:ascii="宋体" w:hAnsi="宋体" w:eastAsia="宋体" w:cs="宋体"/>
          <w:color w:val="000000" w:themeColor="text1"/>
          <w:sz w:val="30"/>
          <w:szCs w:val="30"/>
          <w:highlight w:val="none"/>
          <w14:textFill>
            <w14:solidFill>
              <w14:schemeClr w14:val="tx1"/>
            </w14:solidFill>
          </w14:textFill>
        </w:rPr>
        <w:fldChar w:fldCharType="separate"/>
      </w:r>
      <w:r>
        <w:rPr>
          <w:rFonts w:hint="eastAsia" w:ascii="宋体" w:hAnsi="宋体" w:eastAsia="宋体" w:cs="宋体"/>
          <w:color w:val="000000" w:themeColor="text1"/>
          <w:sz w:val="30"/>
          <w:szCs w:val="30"/>
          <w:highlight w:val="none"/>
          <w14:textFill>
            <w14:solidFill>
              <w14:schemeClr w14:val="tx1"/>
            </w14:solidFill>
          </w14:textFill>
        </w:rPr>
        <w:fldChar w:fldCharType="begin"/>
      </w:r>
      <w:r>
        <w:rPr>
          <w:rFonts w:hint="eastAsia" w:ascii="宋体" w:hAnsi="宋体" w:eastAsia="宋体" w:cs="宋体"/>
          <w:sz w:val="30"/>
          <w:szCs w:val="30"/>
          <w:highlight w:val="none"/>
        </w:rPr>
        <w:instrText xml:space="preserve"> HYPERLINK \l _Toc4497 </w:instrText>
      </w:r>
      <w:r>
        <w:rPr>
          <w:rFonts w:hint="eastAsia" w:ascii="宋体" w:hAnsi="宋体" w:eastAsia="宋体" w:cs="宋体"/>
          <w:sz w:val="30"/>
          <w:szCs w:val="30"/>
          <w:highlight w:val="none"/>
        </w:rPr>
        <w:fldChar w:fldCharType="separate"/>
      </w:r>
      <w:r>
        <w:rPr>
          <w:rFonts w:hint="eastAsia" w:cs="仿宋_GB2312" w:asciiTheme="minorEastAsia" w:hAnsiTheme="minorEastAsia" w:eastAsiaTheme="minorEastAsia"/>
          <w:sz w:val="30"/>
          <w:szCs w:val="30"/>
          <w:highlight w:val="none"/>
        </w:rPr>
        <w:t>第一部分  邀请供应商</w:t>
      </w:r>
      <w:r>
        <w:rPr>
          <w:sz w:val="30"/>
          <w:szCs w:val="30"/>
          <w:highlight w:val="none"/>
        </w:rPr>
        <w:tab/>
      </w:r>
      <w:r>
        <w:rPr>
          <w:sz w:val="30"/>
          <w:szCs w:val="30"/>
          <w:highlight w:val="none"/>
        </w:rPr>
        <w:fldChar w:fldCharType="begin"/>
      </w:r>
      <w:r>
        <w:rPr>
          <w:sz w:val="30"/>
          <w:szCs w:val="30"/>
          <w:highlight w:val="none"/>
        </w:rPr>
        <w:instrText xml:space="preserve"> PAGEREF _Toc4497 \h </w:instrText>
      </w:r>
      <w:r>
        <w:rPr>
          <w:sz w:val="30"/>
          <w:szCs w:val="30"/>
          <w:highlight w:val="none"/>
        </w:rPr>
        <w:fldChar w:fldCharType="separate"/>
      </w:r>
      <w:r>
        <w:rPr>
          <w:sz w:val="30"/>
          <w:szCs w:val="30"/>
          <w:highlight w:val="none"/>
        </w:rPr>
        <w:t>1</w:t>
      </w:r>
      <w:r>
        <w:rPr>
          <w:sz w:val="30"/>
          <w:szCs w:val="30"/>
          <w:highlight w:val="none"/>
        </w:rPr>
        <w:fldChar w:fldCharType="end"/>
      </w: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1523515E">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_Toc8121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第二部分  竞争性磋商流程</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_Toc8121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5</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2C9CEA36">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_Toc23895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第三部分  供应商须知</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_Toc23895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9</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599643A7">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_Toc27499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第四部分  采购需求</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_Toc27499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30</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6219BD65">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_Toc11988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第五部分  评审方法及评审标准</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_Toc11988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41</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78B7AB79">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_Toc5206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第六部分  拟签订的合同文本</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_Toc5206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51</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5D102474">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_Toc10890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第七部分  应提交的有关格式范例</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_Toc10890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56</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15D22BC5">
      <w:pPr>
        <w:pStyle w:val="43"/>
        <w:tabs>
          <w:tab w:val="right" w:leader="dot" w:pos="9638"/>
        </w:tabs>
        <w:spacing w:line="480" w:lineRule="auto"/>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begin"/>
      </w:r>
      <w:r>
        <w:rPr>
          <w:rFonts w:hint="eastAsia" w:asciiTheme="minorEastAsia" w:hAnsiTheme="minorEastAsia" w:eastAsiaTheme="minorEastAsia" w:cstheme="minorEastAsia"/>
          <w:sz w:val="30"/>
          <w:szCs w:val="30"/>
          <w:highlight w:val="none"/>
        </w:rPr>
        <w:instrText xml:space="preserve"> HYPERLINK \l _Toc10737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第八部分</w:t>
      </w:r>
      <w:r>
        <w:rPr>
          <w:rFonts w:hint="eastAsia" w:asciiTheme="minorEastAsia" w:hAnsiTheme="minorEastAsia" w:eastAsiaTheme="minorEastAsia" w:cstheme="minorEastAsia"/>
          <w:sz w:val="30"/>
          <w:szCs w:val="30"/>
          <w:highlight w:val="none"/>
          <w:lang w:val="en-US" w:eastAsia="zh-CN"/>
        </w:rPr>
        <w:t xml:space="preserve">  附件</w:t>
      </w:r>
      <w:r>
        <w:rPr>
          <w:rFonts w:hint="eastAsia" w:asciiTheme="minorEastAsia" w:hAnsiTheme="minorEastAsia" w:eastAsiaTheme="minorEastAsia" w:cstheme="minorEastAsia"/>
          <w:sz w:val="30"/>
          <w:szCs w:val="30"/>
          <w:highlight w:val="none"/>
        </w:rPr>
        <w:tab/>
      </w:r>
      <w:r>
        <w:rPr>
          <w:rFonts w:hint="eastAsia" w:asciiTheme="minorEastAsia" w:hAnsiTheme="minorEastAsia" w:eastAsiaTheme="minorEastAsia" w:cstheme="minorEastAsia"/>
          <w:sz w:val="30"/>
          <w:szCs w:val="30"/>
          <w:highlight w:val="none"/>
        </w:rPr>
        <w:fldChar w:fldCharType="begin"/>
      </w:r>
      <w:r>
        <w:rPr>
          <w:rFonts w:hint="eastAsia" w:asciiTheme="minorEastAsia" w:hAnsiTheme="minorEastAsia" w:eastAsiaTheme="minorEastAsia" w:cstheme="minorEastAsia"/>
          <w:sz w:val="30"/>
          <w:szCs w:val="30"/>
          <w:highlight w:val="none"/>
        </w:rPr>
        <w:instrText xml:space="preserve"> PAGEREF _Toc10737 \h </w:instrText>
      </w:r>
      <w:r>
        <w:rPr>
          <w:rFonts w:hint="eastAsia" w:asciiTheme="minorEastAsia" w:hAnsiTheme="minorEastAsia" w:eastAsiaTheme="minorEastAsia" w:cstheme="minorEastAsia"/>
          <w:sz w:val="30"/>
          <w:szCs w:val="30"/>
          <w:highlight w:val="none"/>
        </w:rPr>
        <w:fldChar w:fldCharType="separate"/>
      </w:r>
      <w:r>
        <w:rPr>
          <w:rFonts w:hint="eastAsia" w:asciiTheme="minorEastAsia" w:hAnsiTheme="minorEastAsia" w:eastAsiaTheme="minorEastAsia" w:cstheme="minorEastAsia"/>
          <w:sz w:val="30"/>
          <w:szCs w:val="30"/>
          <w:highlight w:val="none"/>
        </w:rPr>
        <w:t>70</w:t>
      </w:r>
      <w:r>
        <w:rPr>
          <w:rFonts w:hint="eastAsia" w:asciiTheme="minorEastAsia" w:hAnsiTheme="minorEastAsia" w:eastAsiaTheme="minorEastAsia" w:cstheme="minorEastAsia"/>
          <w:sz w:val="30"/>
          <w:szCs w:val="30"/>
          <w:highlight w:val="none"/>
        </w:rPr>
        <w:fldChar w:fldCharType="end"/>
      </w:r>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fldChar w:fldCharType="end"/>
      </w:r>
    </w:p>
    <w:p w14:paraId="02B23A94">
      <w:pPr>
        <w:spacing w:line="480" w:lineRule="auto"/>
        <w:ind w:firstLine="687" w:firstLineChars="229"/>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fldChar w:fldCharType="end"/>
      </w:r>
    </w:p>
    <w:p w14:paraId="638635E2">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7D726886">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59EAAD21">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61585F74">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4E8AC417">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67F151D4">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9DBED58">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CCA9E8E">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34C423B3">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361A6E71">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5836E198">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60C35CEA">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14:paraId="07D6CD9F">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bookmarkEnd w:id="5"/>
    <w:p w14:paraId="3DE79F38">
      <w:pPr>
        <w:adjustRightInd/>
        <w:spacing w:line="360" w:lineRule="auto"/>
        <w:jc w:val="center"/>
        <w:outlineLvl w:val="0"/>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sectPr>
          <w:pgSz w:w="11906" w:h="16838"/>
          <w:pgMar w:top="1440" w:right="1134" w:bottom="1440" w:left="1134" w:header="851" w:footer="992" w:gutter="0"/>
          <w:cols w:space="425" w:num="1"/>
          <w:docGrid w:type="lines" w:linePitch="312" w:charSpace="0"/>
        </w:sectPr>
      </w:pPr>
      <w:bookmarkStart w:id="6" w:name="_Hlt74707423"/>
      <w:bookmarkEnd w:id="6"/>
      <w:bookmarkStart w:id="7" w:name="_Hlt74649545"/>
      <w:bookmarkEnd w:id="7"/>
      <w:bookmarkStart w:id="8" w:name="_Hlt74729822"/>
      <w:bookmarkEnd w:id="8"/>
      <w:bookmarkStart w:id="9" w:name="_Hlt74728647"/>
      <w:bookmarkEnd w:id="9"/>
      <w:bookmarkStart w:id="10" w:name="第二部分"/>
      <w:bookmarkStart w:id="11" w:name="_Toc91899870"/>
      <w:bookmarkStart w:id="12" w:name="_Toc91899871"/>
    </w:p>
    <w:p w14:paraId="60D14F82">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13" w:name="_Toc4497"/>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第一部分  邀请供应商</w:t>
      </w:r>
      <w:bookmarkEnd w:id="13"/>
    </w:p>
    <w:p w14:paraId="18DB2552">
      <w:pPr>
        <w:adjustRightInd/>
        <w:spacing w:line="360" w:lineRule="auto"/>
        <w:jc w:val="cente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 xml:space="preserve">2026年北海市铁山港区污水处理厂运营服务采购 </w:t>
      </w:r>
    </w:p>
    <w:p w14:paraId="1056290A">
      <w:pPr>
        <w:adjustRightInd/>
        <w:spacing w:line="360" w:lineRule="auto"/>
        <w:jc w:val="cente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auto"/>
          <w:sz w:val="32"/>
          <w:szCs w:val="32"/>
          <w:highlight w:val="none"/>
          <w:lang w:val="en-US" w:eastAsia="zh-CN"/>
        </w:rPr>
        <w:t>（BHZC2026-C3-120018-GXTJ）</w:t>
      </w:r>
      <w:r>
        <w:rPr>
          <w:rFonts w:hint="eastAsia" w:cs="仿宋_GB2312" w:asciiTheme="minorEastAsia" w:hAnsiTheme="minorEastAsia" w:eastAsiaTheme="minorEastAsia"/>
          <w:b/>
          <w:color w:val="auto"/>
          <w:sz w:val="32"/>
          <w:szCs w:val="32"/>
          <w:highlight w:val="none"/>
        </w:rPr>
        <w:t>竞争性磋商公告（远程异地评标）</w:t>
      </w:r>
    </w:p>
    <w:p w14:paraId="13463122">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DE93D15">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 xml:space="preserve">2026年北海市铁山港区污水处理厂运营服务采购 </w:t>
      </w:r>
      <w:r>
        <w:rPr>
          <w:rFonts w:hint="eastAsia" w:asciiTheme="minorEastAsia" w:hAnsiTheme="minorEastAsia" w:eastAsiaTheme="minorEastAsia"/>
          <w:color w:val="000000" w:themeColor="text1"/>
          <w:sz w:val="24"/>
          <w:highlight w:val="none"/>
          <w14:textFill>
            <w14:solidFill>
              <w14:schemeClr w14:val="tx1"/>
            </w14:solidFill>
          </w14:textFill>
        </w:rPr>
        <w:t>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asciiTheme="minorEastAsia" w:hAnsiTheme="minorEastAsia" w:eastAsiaTheme="minorEastAsia"/>
          <w:color w:val="000000" w:themeColor="text1"/>
          <w:sz w:val="24"/>
          <w:highlight w:val="none"/>
          <w14:textFill>
            <w14:solidFill>
              <w14:schemeClr w14:val="tx1"/>
            </w14:solidFill>
          </w14:textFill>
        </w:rPr>
        <w:t>获取采购文件，</w:t>
      </w:r>
      <w:r>
        <w:rPr>
          <w:rFonts w:hint="eastAsia" w:asciiTheme="minorEastAsia" w:hAnsiTheme="minorEastAsia" w:eastAsiaTheme="minorEastAsia"/>
          <w:color w:val="000000" w:themeColor="text1"/>
          <w:sz w:val="24"/>
          <w:highlight w:val="none"/>
          <w14:textFill>
            <w14:solidFill>
              <w14:schemeClr w14:val="tx1"/>
            </w14:solidFill>
          </w14:textFill>
        </w:rPr>
        <w:t>并于</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F78A6F9">
      <w:pPr>
        <w:spacing w:line="360" w:lineRule="auto"/>
        <w:rPr>
          <w:rFonts w:asciiTheme="minorEastAsia" w:hAnsiTheme="minorEastAsia" w:eastAsiaTheme="minorEastAsia"/>
          <w:color w:val="000000" w:themeColor="text1"/>
          <w:sz w:val="24"/>
          <w:highlight w:val="none"/>
          <w14:textFill>
            <w14:solidFill>
              <w14:schemeClr w14:val="tx1"/>
            </w14:solidFill>
          </w14:textFill>
        </w:rPr>
      </w:pPr>
      <w:bookmarkStart w:id="84" w:name="_GoBack"/>
      <w:bookmarkEnd w:id="84"/>
    </w:p>
    <w:p w14:paraId="410D24CE">
      <w:pPr>
        <w:pStyle w:val="633"/>
        <w:ind w:firstLine="0"/>
        <w:rPr>
          <w:b/>
          <w:color w:val="000000" w:themeColor="text1"/>
          <w:highlight w:val="none"/>
          <w14:textFill>
            <w14:solidFill>
              <w14:schemeClr w14:val="tx1"/>
            </w14:solidFill>
          </w14:textFill>
        </w:rPr>
      </w:pPr>
      <w:bookmarkStart w:id="14" w:name="_Toc35393629"/>
      <w:bookmarkStart w:id="15" w:name="_Toc28359012"/>
      <w:bookmarkStart w:id="16" w:name="_Toc28359089"/>
      <w:bookmarkStart w:id="17" w:name="_Toc35393798"/>
      <w:r>
        <w:rPr>
          <w:rFonts w:hint="eastAsia"/>
          <w:b/>
          <w:color w:val="000000" w:themeColor="text1"/>
          <w:highlight w:val="none"/>
          <w14:textFill>
            <w14:solidFill>
              <w14:schemeClr w14:val="tx1"/>
            </w14:solidFill>
          </w14:textFill>
        </w:rPr>
        <w:t>一、项目基本情况</w:t>
      </w:r>
      <w:bookmarkEnd w:id="14"/>
      <w:bookmarkEnd w:id="15"/>
      <w:bookmarkEnd w:id="16"/>
      <w:bookmarkEnd w:id="17"/>
    </w:p>
    <w:p w14:paraId="12E063F2">
      <w:pPr>
        <w:shd w:val="clea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项目编号：BHZC2026-C3-120018-GXTJ</w:t>
      </w:r>
    </w:p>
    <w:p w14:paraId="4D374FD3">
      <w:pP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 xml:space="preserve">2026年北海市铁山港区污水处理厂运营服务采购 </w:t>
      </w:r>
    </w:p>
    <w:p w14:paraId="21043625">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采购方式：竞争性磋商</w:t>
      </w:r>
    </w:p>
    <w:p w14:paraId="4B45816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人民币190万元。</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11771CB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人民币190万元。</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635E5F61">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采购需求：</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058"/>
        <w:gridCol w:w="1458"/>
        <w:gridCol w:w="4333"/>
      </w:tblGrid>
      <w:tr w14:paraId="2579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noWrap w:val="0"/>
            <w:vAlign w:val="center"/>
          </w:tcPr>
          <w:p w14:paraId="50916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24"/>
                <w:szCs w:val="24"/>
                <w:highlight w:val="none"/>
                <w:lang w:eastAsia="zh-CN"/>
              </w:rPr>
            </w:pPr>
            <w:r>
              <w:rPr>
                <w:rFonts w:hint="eastAsia" w:ascii="宋体"/>
                <w:b/>
                <w:bCs/>
                <w:color w:val="000000"/>
                <w:sz w:val="24"/>
                <w:szCs w:val="24"/>
                <w:highlight w:val="none"/>
                <w:lang w:val="en-US" w:eastAsia="zh-CN"/>
              </w:rPr>
              <w:t>序号</w:t>
            </w:r>
          </w:p>
        </w:tc>
        <w:tc>
          <w:tcPr>
            <w:tcW w:w="2058" w:type="dxa"/>
            <w:noWrap w:val="0"/>
            <w:vAlign w:val="center"/>
          </w:tcPr>
          <w:p w14:paraId="5A46D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highlight w:val="none"/>
              </w:rPr>
            </w:pPr>
            <w:r>
              <w:rPr>
                <w:rFonts w:hint="eastAsia"/>
                <w:b/>
                <w:bCs/>
                <w:color w:val="000000"/>
                <w:sz w:val="24"/>
                <w:szCs w:val="24"/>
                <w:highlight w:val="none"/>
              </w:rPr>
              <w:t>标的名称</w:t>
            </w:r>
          </w:p>
        </w:tc>
        <w:tc>
          <w:tcPr>
            <w:tcW w:w="1458" w:type="dxa"/>
            <w:noWrap w:val="0"/>
            <w:vAlign w:val="center"/>
          </w:tcPr>
          <w:p w14:paraId="42602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highlight w:val="none"/>
              </w:rPr>
            </w:pPr>
            <w:r>
              <w:rPr>
                <w:rFonts w:hint="eastAsia"/>
                <w:b/>
                <w:bCs/>
                <w:color w:val="000000"/>
                <w:sz w:val="24"/>
                <w:szCs w:val="24"/>
                <w:highlight w:val="none"/>
              </w:rPr>
              <w:t>数量及单位</w:t>
            </w:r>
          </w:p>
        </w:tc>
        <w:tc>
          <w:tcPr>
            <w:tcW w:w="4333" w:type="dxa"/>
            <w:noWrap w:val="0"/>
            <w:vAlign w:val="center"/>
          </w:tcPr>
          <w:p w14:paraId="6A1FB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highlight w:val="none"/>
              </w:rPr>
            </w:pPr>
            <w:r>
              <w:rPr>
                <w:rFonts w:hint="eastAsia"/>
                <w:b/>
                <w:bCs/>
                <w:color w:val="000000"/>
                <w:sz w:val="24"/>
                <w:szCs w:val="24"/>
                <w:highlight w:val="none"/>
              </w:rPr>
              <w:t>简要技术需求或者服务要求</w:t>
            </w:r>
          </w:p>
        </w:tc>
      </w:tr>
      <w:tr w14:paraId="6F19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noWrap w:val="0"/>
            <w:vAlign w:val="center"/>
          </w:tcPr>
          <w:p w14:paraId="310C8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2058" w:type="dxa"/>
            <w:noWrap w:val="0"/>
            <w:vAlign w:val="center"/>
          </w:tcPr>
          <w:p w14:paraId="4BC17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sz w:val="24"/>
                <w:szCs w:val="24"/>
                <w:highlight w:val="none"/>
                <w:lang w:eastAsia="zh-CN"/>
              </w:rPr>
              <w:t xml:space="preserve">2026年北海市铁山港区污水处理厂运营服务采购 </w:t>
            </w:r>
          </w:p>
        </w:tc>
        <w:tc>
          <w:tcPr>
            <w:tcW w:w="1458" w:type="dxa"/>
            <w:noWrap w:val="0"/>
            <w:vAlign w:val="center"/>
          </w:tcPr>
          <w:p w14:paraId="765E0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2"/>
                <w:sz w:val="24"/>
                <w:szCs w:val="24"/>
                <w:highlight w:val="none"/>
                <w:lang w:val="en-US" w:eastAsia="zh-CN" w:bidi="ar-SA"/>
              </w:rPr>
            </w:pPr>
            <w:r>
              <w:rPr>
                <w:rFonts w:hint="eastAsia" w:ascii="宋体" w:hAnsi="宋体" w:cs="宋体"/>
                <w:color w:val="000000"/>
                <w:sz w:val="24"/>
                <w:szCs w:val="24"/>
                <w:highlight w:val="none"/>
              </w:rPr>
              <w:t>1项</w:t>
            </w:r>
          </w:p>
        </w:tc>
        <w:tc>
          <w:tcPr>
            <w:tcW w:w="4333" w:type="dxa"/>
            <w:noWrap w:val="0"/>
            <w:vAlign w:val="center"/>
          </w:tcPr>
          <w:p w14:paraId="50DA10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kern w:val="2"/>
                <w:sz w:val="24"/>
                <w:szCs w:val="24"/>
                <w:highlight w:val="none"/>
                <w:lang w:val="en-US" w:eastAsia="zh-CN" w:bidi="ar-SA"/>
              </w:rPr>
            </w:pPr>
            <w:r>
              <w:rPr>
                <w:rFonts w:hint="eastAsia" w:ascii="宋体" w:hAnsi="宋体" w:cs="宋体"/>
                <w:sz w:val="24"/>
                <w:szCs w:val="24"/>
                <w:highlight w:val="none"/>
                <w:lang w:eastAsia="zh-CN"/>
              </w:rPr>
              <w:t xml:space="preserve">2026年北海市铁山港区污水处理厂运营服务采购 </w:t>
            </w:r>
            <w:r>
              <w:rPr>
                <w:rFonts w:hint="eastAsia" w:ascii="宋体" w:hAnsi="宋体" w:eastAsia="宋体" w:cs="宋体"/>
                <w:color w:val="000000"/>
                <w:sz w:val="24"/>
                <w:szCs w:val="24"/>
                <w:highlight w:val="none"/>
                <w:lang w:val="en-US" w:eastAsia="zh-CN"/>
              </w:rPr>
              <w:t>，如需进一步了解详细内容，详见</w:t>
            </w:r>
            <w:r>
              <w:rPr>
                <w:rFonts w:hint="eastAsia" w:cs="仿宋_GB2312" w:asciiTheme="minorEastAsia" w:hAnsiTheme="minorEastAsia" w:eastAsiaTheme="minorEastAsia"/>
                <w:color w:val="000000" w:themeColor="text1"/>
                <w:sz w:val="24"/>
                <w:highlight w:val="none"/>
                <w14:textFill>
                  <w14:solidFill>
                    <w14:schemeClr w14:val="tx1"/>
                  </w14:solidFill>
                </w14:textFill>
              </w:rPr>
              <w:t>磋商文件</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rPr>
              <w:t xml:space="preserve">  </w:t>
            </w:r>
          </w:p>
        </w:tc>
      </w:tr>
    </w:tbl>
    <w:p w14:paraId="168CFE85">
      <w:pP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自</w:t>
      </w:r>
      <w:r>
        <w:rPr>
          <w:rFonts w:hint="eastAsia" w:asciiTheme="minorEastAsia" w:hAnsiTheme="minorEastAsia" w:eastAsiaTheme="minorEastAsia"/>
          <w:color w:val="000000" w:themeColor="text1"/>
          <w:sz w:val="24"/>
          <w:highlight w:val="none"/>
          <w14:textFill>
            <w14:solidFill>
              <w14:schemeClr w14:val="tx1"/>
            </w14:solidFill>
          </w14:textFill>
        </w:rPr>
        <w:t>合同签订之日起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一年（具体以合同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签订的实际时间为准）。</w:t>
      </w:r>
    </w:p>
    <w:p w14:paraId="49B81DE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4"/>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MS Gothic" w:hAnsi="MS Gothic" w:eastAsia="MS Gothic"/>
              <w:color w:val="000000" w:themeColor="text1"/>
              <w:sz w:val="24"/>
              <w:highlight w:val="none"/>
              <w14:textFill>
                <w14:solidFill>
                  <w14:schemeClr w14:val="tx1"/>
                </w14:solidFill>
              </w14:textFill>
            </w:rPr>
            <w:t>☐</w:t>
          </w:r>
        </w:sdtContent>
      </w:sdt>
      <w:r>
        <w:rPr>
          <w:rFonts w:hint="eastAsia" w:asciiTheme="minorEastAsia" w:hAnsiTheme="minorEastAsia" w:eastAsiaTheme="minorEastAsia"/>
          <w:color w:val="000000" w:themeColor="text1"/>
          <w:sz w:val="24"/>
          <w:highlight w:val="none"/>
          <w14:textFill>
            <w14:solidFill>
              <w14:schemeClr w14:val="tx1"/>
            </w14:solidFill>
          </w14:textFill>
        </w:rPr>
        <w:t>是，</w:t>
      </w:r>
      <w:sdt>
        <w:sdtPr>
          <w:rPr>
            <w:rFonts w:hint="eastAsia" w:asciiTheme="minorEastAsia" w:hAnsiTheme="minorEastAsia" w:eastAsiaTheme="minorEastAsia"/>
            <w:color w:val="000000" w:themeColor="text1"/>
            <w:sz w:val="24"/>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highlight w:val="none"/>
            <w14:textFill>
              <w14:solidFill>
                <w14:schemeClr w14:val="tx1"/>
              </w14:solidFill>
            </w14:textFill>
          </w:rPr>
        </w:sdtEndPr>
        <w:sdtContent>
          <w:r>
            <w:rPr>
              <w:rFonts w:hint="eastAsia" w:ascii="Wingdings" w:hAnsi="Wingdings" w:eastAsia="MS Mincho" w:cs="MS Mincho"/>
              <w:color w:val="000000" w:themeColor="text1"/>
              <w:kern w:val="2"/>
              <w:sz w:val="24"/>
              <w:szCs w:val="24"/>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4"/>
          <w:highlight w:val="none"/>
          <w14:textFill>
            <w14:solidFill>
              <w14:schemeClr w14:val="tx1"/>
            </w14:solidFill>
          </w14:textFill>
        </w:rPr>
        <w:t>否。</w:t>
      </w:r>
    </w:p>
    <w:p w14:paraId="4827C2A0">
      <w:pPr>
        <w:pStyle w:val="633"/>
        <w:ind w:firstLine="0"/>
        <w:rPr>
          <w:b/>
          <w:color w:val="000000" w:themeColor="text1"/>
          <w:highlight w:val="none"/>
          <w14:textFill>
            <w14:solidFill>
              <w14:schemeClr w14:val="tx1"/>
            </w14:solidFill>
          </w14:textFill>
        </w:rPr>
      </w:pPr>
      <w:bookmarkStart w:id="18" w:name="_Toc28359013"/>
      <w:bookmarkStart w:id="19" w:name="_Toc35393630"/>
      <w:bookmarkStart w:id="20" w:name="_Toc35393799"/>
      <w:bookmarkStart w:id="21" w:name="_Toc28359090"/>
      <w:r>
        <w:rPr>
          <w:rFonts w:hint="eastAsia"/>
          <w:b/>
          <w:color w:val="000000" w:themeColor="text1"/>
          <w:highlight w:val="none"/>
          <w14:textFill>
            <w14:solidFill>
              <w14:schemeClr w14:val="tx1"/>
            </w14:solidFill>
          </w14:textFill>
        </w:rPr>
        <w:t>二、申请人的资格要求：</w:t>
      </w:r>
      <w:bookmarkEnd w:id="18"/>
      <w:bookmarkEnd w:id="19"/>
      <w:bookmarkEnd w:id="20"/>
      <w:bookmarkEnd w:id="21"/>
    </w:p>
    <w:p w14:paraId="4E47C387">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hint="eastAsia" w:asciiTheme="minorEastAsia" w:hAnsiTheme="minorEastAsia" w:eastAsiaTheme="minorEastAsia" w:cstheme="minorEastAsia"/>
          <w:snapToGrid w:val="0"/>
          <w:color w:val="auto"/>
          <w:kern w:val="28"/>
          <w:sz w:val="24"/>
          <w:szCs w:val="24"/>
          <w:highlight w:val="none"/>
        </w:rPr>
      </w:pPr>
      <w:bookmarkStart w:id="22" w:name="_Toc35393800"/>
      <w:bookmarkStart w:id="23" w:name="_Toc35393631"/>
      <w:bookmarkStart w:id="24" w:name="_Toc28359014"/>
      <w:bookmarkStart w:id="25" w:name="_Toc28359091"/>
      <w:r>
        <w:rPr>
          <w:rFonts w:hint="eastAsia" w:asciiTheme="minorEastAsia" w:hAnsiTheme="minorEastAsia" w:eastAsiaTheme="minorEastAsia" w:cstheme="minorEastAsia"/>
          <w:snapToGrid w:val="0"/>
          <w:color w:val="auto"/>
          <w:kern w:val="28"/>
          <w:sz w:val="24"/>
          <w:szCs w:val="24"/>
          <w:highlight w:val="none"/>
          <w:lang w:val="en-US" w:eastAsia="zh-CN"/>
        </w:rPr>
        <w:t>1.</w:t>
      </w:r>
      <w:r>
        <w:rPr>
          <w:rFonts w:hint="eastAsia" w:asciiTheme="minorEastAsia" w:hAnsiTheme="minorEastAsia" w:eastAsiaTheme="minorEastAsia" w:cstheme="minorEastAsia"/>
          <w:snapToGrid w:val="0"/>
          <w:color w:val="auto"/>
          <w:kern w:val="28"/>
          <w:sz w:val="24"/>
          <w:szCs w:val="24"/>
          <w:highlight w:val="none"/>
        </w:rPr>
        <w:t>满足《中华人民共和国政府采购法》第二十二条规定；</w:t>
      </w:r>
    </w:p>
    <w:p w14:paraId="5E276747">
      <w:pPr>
        <w:keepNext w:val="0"/>
        <w:keepLines w:val="0"/>
        <w:pageBreakBefore w:val="0"/>
        <w:kinsoku/>
        <w:wordWrap/>
        <w:overflowPunct/>
        <w:topLinePunct w:val="0"/>
        <w:autoSpaceDE/>
        <w:autoSpaceDN/>
        <w:bidi w:val="0"/>
        <w:adjustRightInd w:val="0"/>
        <w:spacing w:line="320" w:lineRule="exact"/>
        <w:ind w:firstLine="480" w:firstLineChars="200"/>
        <w:textAlignment w:val="auto"/>
        <w:rPr>
          <w:rFonts w:hint="eastAsia" w:asciiTheme="minorEastAsia" w:hAnsiTheme="minorEastAsia" w:eastAsiaTheme="minorEastAsia" w:cstheme="minorEastAsia"/>
          <w:snapToGrid w:val="0"/>
          <w:color w:val="auto"/>
          <w:kern w:val="28"/>
          <w:sz w:val="24"/>
          <w:szCs w:val="24"/>
          <w:highlight w:val="none"/>
        </w:rPr>
      </w:pPr>
      <w:r>
        <w:rPr>
          <w:rFonts w:hint="eastAsia" w:asciiTheme="minorEastAsia" w:hAnsiTheme="minorEastAsia" w:eastAsiaTheme="minorEastAsia" w:cstheme="minorEastAsia"/>
          <w:snapToGrid w:val="0"/>
          <w:color w:val="auto"/>
          <w:kern w:val="28"/>
          <w:sz w:val="24"/>
          <w:szCs w:val="24"/>
          <w:highlight w:val="none"/>
        </w:rPr>
        <w:t>2.落实政府采购政策需满足的资格要求：</w:t>
      </w:r>
    </w:p>
    <w:p w14:paraId="28EE91D6">
      <w:pPr>
        <w:keepNext w:val="0"/>
        <w:keepLines w:val="0"/>
        <w:pageBreakBefore w:val="0"/>
        <w:kinsoku/>
        <w:wordWrap/>
        <w:overflowPunct/>
        <w:topLinePunct w:val="0"/>
        <w:autoSpaceDE/>
        <w:autoSpaceDN/>
        <w:bidi w:val="0"/>
        <w:adjustRightIn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sym w:font="Wingdings 2" w:char="0052"/>
      </w:r>
      <w:r>
        <w:rPr>
          <w:rFonts w:hint="eastAsia" w:asciiTheme="minorEastAsia" w:hAnsiTheme="minorEastAsia" w:eastAsiaTheme="minorEastAsia" w:cstheme="minorEastAsia"/>
          <w:color w:val="auto"/>
          <w:sz w:val="24"/>
          <w:szCs w:val="24"/>
          <w:highlight w:val="none"/>
        </w:rPr>
        <w:t>无</w:t>
      </w:r>
      <w:r>
        <w:rPr>
          <w:rFonts w:hint="eastAsia" w:asciiTheme="minorEastAsia" w:hAnsiTheme="minorEastAsia" w:eastAsiaTheme="minorEastAsia" w:cstheme="minorEastAsia"/>
          <w:snapToGrid w:val="0"/>
          <w:color w:val="auto"/>
          <w:kern w:val="28"/>
          <w:sz w:val="24"/>
          <w:szCs w:val="24"/>
          <w:highlight w:val="none"/>
        </w:rPr>
        <w:t>（注：不得限制大中型企业与小微企业组成联合体参与投标）；</w:t>
      </w:r>
    </w:p>
    <w:p w14:paraId="53EB6507">
      <w:pPr>
        <w:keepNext w:val="0"/>
        <w:keepLines w:val="0"/>
        <w:pageBreakBefore w:val="0"/>
        <w:kinsoku/>
        <w:wordWrap/>
        <w:overflowPunct/>
        <w:topLinePunct w:val="0"/>
        <w:autoSpaceDE/>
        <w:autoSpaceDN/>
        <w:bidi w:val="0"/>
        <w:adjustRightIn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☐专</w:t>
      </w:r>
      <w:r>
        <w:rPr>
          <w:rFonts w:hint="eastAsia" w:asciiTheme="minorEastAsia" w:hAnsiTheme="minorEastAsia" w:eastAsiaTheme="minorEastAsia" w:cstheme="minorEastAsia"/>
          <w:color w:val="auto"/>
          <w:sz w:val="24"/>
          <w:szCs w:val="24"/>
          <w:highlight w:val="none"/>
        </w:rPr>
        <w:t>门面向小微企业</w:t>
      </w:r>
      <w:r>
        <w:rPr>
          <w:rFonts w:hint="eastAsia" w:asciiTheme="minorEastAsia" w:hAnsiTheme="minorEastAsia" w:eastAsiaTheme="minorEastAsia" w:cstheme="minorEastAsia"/>
          <w:color w:val="auto"/>
          <w:sz w:val="24"/>
          <w:szCs w:val="24"/>
          <w:highlight w:val="none"/>
          <w:lang w:eastAsia="zh-CN"/>
        </w:rPr>
        <w:t>：要求服务全部由符合政策要求的小微企业承接，须提供中小企业声明函。</w:t>
      </w:r>
    </w:p>
    <w:p w14:paraId="1E1DE79B">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w:t>
      </w:r>
      <w:r>
        <w:rPr>
          <w:rFonts w:hint="eastAsia" w:asciiTheme="minorEastAsia" w:hAnsiTheme="minorEastAsia" w:eastAsiaTheme="minorEastAsia" w:cstheme="minorEastAsia"/>
          <w:color w:val="auto"/>
          <w:spacing w:val="0"/>
          <w:sz w:val="24"/>
          <w:szCs w:val="24"/>
          <w:highlight w:val="none"/>
        </w:rPr>
        <w:t>.本项目的特定资格要求：</w:t>
      </w:r>
      <w:r>
        <w:rPr>
          <w:rFonts w:hint="eastAsia" w:asciiTheme="minorEastAsia" w:hAnsiTheme="minorEastAsia" w:eastAsiaTheme="minorEastAsia" w:cstheme="minorEastAsia"/>
          <w:color w:val="auto"/>
          <w:sz w:val="24"/>
          <w:szCs w:val="24"/>
          <w:highlight w:val="none"/>
          <w:lang w:eastAsia="zh-CN"/>
        </w:rPr>
        <w:t>无</w:t>
      </w:r>
      <w:r>
        <w:rPr>
          <w:rFonts w:hint="eastAsia" w:asciiTheme="minorEastAsia" w:hAnsiTheme="minorEastAsia" w:eastAsiaTheme="minorEastAsia" w:cstheme="minorEastAsia"/>
          <w:color w:val="auto"/>
          <w:sz w:val="24"/>
          <w:szCs w:val="24"/>
          <w:highlight w:val="none"/>
        </w:rPr>
        <w:t>。</w:t>
      </w:r>
    </w:p>
    <w:p w14:paraId="697C7FD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AA53D9">
      <w:pPr>
        <w:pStyle w:val="633"/>
        <w:ind w:firstLine="0"/>
        <w:rPr>
          <w:rFonts w:hint="eastAsia"/>
          <w:b/>
          <w:color w:val="000000" w:themeColor="text1"/>
          <w:highlight w:val="none"/>
          <w14:textFill>
            <w14:solidFill>
              <w14:schemeClr w14:val="tx1"/>
            </w14:solidFill>
          </w14:textFill>
        </w:rPr>
      </w:pPr>
    </w:p>
    <w:p w14:paraId="464C12B5">
      <w:pPr>
        <w:pStyle w:val="633"/>
        <w:ind w:firstLine="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三、获取（下载）采购文件</w:t>
      </w:r>
      <w:bookmarkEnd w:id="22"/>
      <w:bookmarkEnd w:id="23"/>
      <w:bookmarkEnd w:id="24"/>
      <w:bookmarkEnd w:id="25"/>
    </w:p>
    <w:p w14:paraId="5345320B">
      <w:pPr>
        <w:spacing w:line="360" w:lineRule="auto"/>
        <w:ind w:firstLine="54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FF"/>
          <w:sz w:val="24"/>
          <w:highlight w:val="none"/>
        </w:rPr>
        <w:t>202</w:t>
      </w:r>
      <w:r>
        <w:rPr>
          <w:rFonts w:hint="eastAsia" w:cs="宋体" w:asciiTheme="minorEastAsia" w:hAnsiTheme="minorEastAsia" w:eastAsiaTheme="minorEastAsia"/>
          <w:color w:val="0000FF"/>
          <w:sz w:val="24"/>
          <w:highlight w:val="none"/>
          <w:lang w:val="en-US" w:eastAsia="zh-CN"/>
        </w:rPr>
        <w:t>6</w:t>
      </w:r>
      <w:r>
        <w:rPr>
          <w:rFonts w:hint="eastAsia" w:cs="宋体" w:asciiTheme="minorEastAsia" w:hAnsiTheme="minorEastAsia" w:eastAsiaTheme="minorEastAsia"/>
          <w:color w:val="0000FF"/>
          <w:sz w:val="24"/>
          <w:highlight w:val="none"/>
        </w:rPr>
        <w:t>年</w:t>
      </w:r>
      <w:r>
        <w:rPr>
          <w:rFonts w:hint="eastAsia" w:cs="宋体" w:asciiTheme="minorEastAsia" w:hAnsiTheme="minorEastAsia" w:eastAsiaTheme="minorEastAsia"/>
          <w:color w:val="0000FF"/>
          <w:sz w:val="24"/>
          <w:highlight w:val="none"/>
          <w:lang w:val="en-US" w:eastAsia="zh-CN"/>
        </w:rPr>
        <w:t>04</w:t>
      </w:r>
      <w:r>
        <w:rPr>
          <w:rFonts w:hint="eastAsia" w:cs="宋体" w:asciiTheme="minorEastAsia" w:hAnsiTheme="minorEastAsia" w:eastAsiaTheme="minorEastAsia"/>
          <w:color w:val="0000FF"/>
          <w:sz w:val="24"/>
          <w:highlight w:val="none"/>
        </w:rPr>
        <w:t>月</w:t>
      </w:r>
      <w:r>
        <w:rPr>
          <w:rFonts w:hint="eastAsia" w:cs="宋体" w:asciiTheme="minorEastAsia" w:hAnsiTheme="minorEastAsia" w:eastAsiaTheme="minorEastAsia"/>
          <w:color w:val="0000FF"/>
          <w:sz w:val="24"/>
          <w:highlight w:val="none"/>
          <w:lang w:val="en-US" w:eastAsia="zh-CN"/>
        </w:rPr>
        <w:t>13</w:t>
      </w:r>
      <w:r>
        <w:rPr>
          <w:rFonts w:hint="eastAsia" w:cs="宋体" w:asciiTheme="minorEastAsia" w:hAnsiTheme="minorEastAsia" w:eastAsiaTheme="minorEastAsia"/>
          <w:color w:val="0000FF"/>
          <w:sz w:val="24"/>
          <w:highlight w:val="none"/>
        </w:rPr>
        <w:t>日至202</w:t>
      </w:r>
      <w:r>
        <w:rPr>
          <w:rFonts w:hint="eastAsia" w:cs="宋体" w:asciiTheme="minorEastAsia" w:hAnsiTheme="minorEastAsia" w:eastAsiaTheme="minorEastAsia"/>
          <w:color w:val="0000FF"/>
          <w:sz w:val="24"/>
          <w:highlight w:val="none"/>
          <w:lang w:val="en-US" w:eastAsia="zh-CN"/>
        </w:rPr>
        <w:t>6</w:t>
      </w:r>
      <w:r>
        <w:rPr>
          <w:rFonts w:hint="eastAsia" w:cs="宋体" w:asciiTheme="minorEastAsia" w:hAnsiTheme="minorEastAsia" w:eastAsiaTheme="minorEastAsia"/>
          <w:color w:val="0000FF"/>
          <w:sz w:val="24"/>
          <w:highlight w:val="none"/>
        </w:rPr>
        <w:t>年</w:t>
      </w:r>
      <w:r>
        <w:rPr>
          <w:rFonts w:hint="eastAsia" w:cs="宋体" w:asciiTheme="minorEastAsia" w:hAnsiTheme="minorEastAsia" w:eastAsiaTheme="minorEastAsia"/>
          <w:color w:val="0000FF"/>
          <w:sz w:val="24"/>
          <w:highlight w:val="none"/>
          <w:lang w:val="en-US" w:eastAsia="zh-CN"/>
        </w:rPr>
        <w:t>4</w:t>
      </w:r>
      <w:r>
        <w:rPr>
          <w:rFonts w:hint="eastAsia" w:cs="宋体" w:asciiTheme="minorEastAsia" w:hAnsiTheme="minorEastAsia" w:eastAsiaTheme="minorEastAsia"/>
          <w:color w:val="0000FF"/>
          <w:sz w:val="24"/>
          <w:highlight w:val="none"/>
        </w:rPr>
        <w:t>月</w:t>
      </w:r>
      <w:r>
        <w:rPr>
          <w:rFonts w:hint="eastAsia" w:cs="宋体" w:asciiTheme="minorEastAsia" w:hAnsiTheme="minorEastAsia" w:eastAsiaTheme="minorEastAsia"/>
          <w:color w:val="0000FF"/>
          <w:sz w:val="24"/>
          <w:highlight w:val="none"/>
          <w:lang w:val="en-US" w:eastAsia="zh-CN"/>
        </w:rPr>
        <w:t>27</w:t>
      </w:r>
      <w:r>
        <w:rPr>
          <w:rFonts w:hint="eastAsia" w:cs="宋体" w:asciiTheme="minorEastAsia" w:hAnsiTheme="minorEastAsia" w:eastAsiaTheme="minorEastAsia"/>
          <w:color w:val="0000FF"/>
          <w:sz w:val="24"/>
          <w:highlight w:val="none"/>
        </w:rPr>
        <w:t>日</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每天上午</w:t>
      </w:r>
      <w:r>
        <w:rPr>
          <w:rFonts w:hint="eastAsia"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00至12</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00 ，下午12</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00至23</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59</w:t>
      </w:r>
      <w:r>
        <w:rPr>
          <w:rFonts w:hint="eastAsia" w:cs="宋体" w:asciiTheme="minorEastAsia" w:hAnsiTheme="minorEastAsia" w:eastAsiaTheme="minorEastAsia"/>
          <w:color w:val="000000" w:themeColor="text1"/>
          <w:sz w:val="24"/>
          <w:highlight w:val="none"/>
          <w14:textFill>
            <w14:solidFill>
              <w14:schemeClr w14:val="tx1"/>
            </w14:solidFill>
          </w14:textFill>
        </w:rPr>
        <w:t>（北京时间，法定节假日除外）；</w:t>
      </w:r>
    </w:p>
    <w:p w14:paraId="619D2836">
      <w:pPr>
        <w:spacing w:line="360" w:lineRule="auto"/>
        <w:ind w:firstLine="540"/>
        <w:rPr>
          <w:rFonts w:cs="宋体"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ascii="宋体" w:hAnsi="宋体" w:cs="宋体"/>
          <w:color w:val="auto"/>
          <w:sz w:val="21"/>
          <w:szCs w:val="21"/>
          <w:highlight w:val="none"/>
          <w:lang w:eastAsia="zh-CN"/>
        </w:rPr>
        <w:t>。</w:t>
      </w:r>
    </w:p>
    <w:p w14:paraId="78DFC3AE">
      <w:pPr>
        <w:spacing w:line="360" w:lineRule="auto"/>
        <w:ind w:firstLine="540"/>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方式：供应商登录</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在线申请获取采购文件（进入“项目采购”应用，在获取采购文件菜单中选择项目，申请获取采购文件）。</w:t>
      </w:r>
    </w:p>
    <w:p w14:paraId="23BD1FAF">
      <w:pPr>
        <w:spacing w:line="360" w:lineRule="auto"/>
        <w:ind w:firstLine="540"/>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4"/>
          <w:highlight w:val="none"/>
          <w14:textFill>
            <w14:solidFill>
              <w14:schemeClr w14:val="tx1"/>
            </w14:solidFill>
          </w14:textFill>
        </w:rPr>
        <w:t>0</w:t>
      </w:r>
      <w:r>
        <w:rPr>
          <w:rFonts w:hint="eastAsia" w:cs="仿宋_GB2312" w:asciiTheme="minorEastAsia" w:hAnsiTheme="minorEastAsia" w:eastAsiaTheme="minorEastAsia"/>
          <w:color w:val="000000" w:themeColor="text1"/>
          <w:sz w:val="24"/>
          <w:highlight w:val="none"/>
          <w14:textFill>
            <w14:solidFill>
              <w14:schemeClr w14:val="tx1"/>
            </w14:solidFill>
          </w14:textFill>
        </w:rPr>
        <w:t>元</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177A9110">
      <w:pPr>
        <w:pStyle w:val="633"/>
        <w:ind w:firstLine="0"/>
        <w:rPr>
          <w:b/>
          <w:color w:val="000000" w:themeColor="text1"/>
          <w:highlight w:val="none"/>
          <w14:textFill>
            <w14:solidFill>
              <w14:schemeClr w14:val="tx1"/>
            </w14:solidFill>
          </w14:textFill>
        </w:rPr>
      </w:pPr>
      <w:bookmarkStart w:id="26" w:name="_Toc28359015"/>
      <w:bookmarkStart w:id="27" w:name="_Toc35393632"/>
      <w:bookmarkStart w:id="28" w:name="_Toc28359092"/>
      <w:bookmarkStart w:id="29" w:name="_Toc35393801"/>
      <w:r>
        <w:rPr>
          <w:rFonts w:hint="eastAsia"/>
          <w:b/>
          <w:color w:val="000000" w:themeColor="text1"/>
          <w:highlight w:val="none"/>
          <w14:textFill>
            <w14:solidFill>
              <w14:schemeClr w14:val="tx1"/>
            </w14:solidFill>
          </w14:textFill>
        </w:rPr>
        <w:t>四、响应文件提交</w:t>
      </w:r>
      <w:bookmarkEnd w:id="26"/>
      <w:bookmarkEnd w:id="27"/>
      <w:bookmarkEnd w:id="28"/>
      <w:bookmarkEnd w:id="29"/>
      <w:r>
        <w:rPr>
          <w:rFonts w:hint="eastAsia"/>
          <w:b/>
          <w:color w:val="000000" w:themeColor="text1"/>
          <w:highlight w:val="none"/>
          <w14:textFill>
            <w14:solidFill>
              <w14:schemeClr w14:val="tx1"/>
            </w14:solidFill>
          </w14:textFill>
        </w:rPr>
        <w:t>（上传）</w:t>
      </w:r>
    </w:p>
    <w:p w14:paraId="1811BFBD">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截止时间：</w:t>
      </w:r>
      <w:r>
        <w:rPr>
          <w:rFonts w:hint="eastAsia" w:cs="宋体" w:asciiTheme="minorEastAsia" w:hAnsiTheme="minorEastAsia" w:eastAsiaTheme="minorEastAsia"/>
          <w:color w:val="0000FF"/>
          <w:sz w:val="24"/>
          <w:highlight w:val="none"/>
          <w:u w:val="single"/>
        </w:rPr>
        <w:t>202</w:t>
      </w:r>
      <w:r>
        <w:rPr>
          <w:rFonts w:hint="eastAsia" w:cs="宋体" w:asciiTheme="minorEastAsia" w:hAnsiTheme="minorEastAsia" w:eastAsiaTheme="minorEastAsia"/>
          <w:color w:val="0000FF"/>
          <w:sz w:val="24"/>
          <w:highlight w:val="none"/>
          <w:u w:val="single"/>
          <w:lang w:val="en-US" w:eastAsia="zh-CN"/>
        </w:rPr>
        <w:t>6</w:t>
      </w:r>
      <w:r>
        <w:rPr>
          <w:rFonts w:hint="eastAsia" w:cs="宋体" w:asciiTheme="minorEastAsia" w:hAnsiTheme="minorEastAsia" w:eastAsiaTheme="minorEastAsia"/>
          <w:color w:val="0000FF"/>
          <w:sz w:val="24"/>
          <w:highlight w:val="none"/>
          <w:u w:val="single"/>
        </w:rPr>
        <w:t>年</w:t>
      </w:r>
      <w:r>
        <w:rPr>
          <w:rFonts w:hint="eastAsia" w:cs="宋体" w:asciiTheme="minorEastAsia" w:hAnsiTheme="minorEastAsia" w:eastAsiaTheme="minorEastAsia"/>
          <w:color w:val="0000FF"/>
          <w:sz w:val="24"/>
          <w:highlight w:val="none"/>
          <w:u w:val="single"/>
          <w:lang w:val="en-US" w:eastAsia="zh-CN"/>
        </w:rPr>
        <w:t>5</w:t>
      </w:r>
      <w:r>
        <w:rPr>
          <w:rFonts w:hint="eastAsia" w:cs="宋体" w:asciiTheme="minorEastAsia" w:hAnsiTheme="minorEastAsia" w:eastAsiaTheme="minorEastAsia"/>
          <w:color w:val="0000FF"/>
          <w:sz w:val="24"/>
          <w:highlight w:val="none"/>
          <w:u w:val="single"/>
        </w:rPr>
        <w:t>月</w:t>
      </w:r>
      <w:r>
        <w:rPr>
          <w:rFonts w:hint="eastAsia" w:cs="宋体" w:asciiTheme="minorEastAsia" w:hAnsiTheme="minorEastAsia" w:eastAsiaTheme="minorEastAsia"/>
          <w:color w:val="0000FF"/>
          <w:sz w:val="24"/>
          <w:highlight w:val="none"/>
          <w:u w:val="single"/>
          <w:lang w:val="en-US" w:eastAsia="zh-CN"/>
        </w:rPr>
        <w:t>6</w:t>
      </w:r>
      <w:r>
        <w:rPr>
          <w:rFonts w:hint="eastAsia" w:cs="宋体" w:asciiTheme="minorEastAsia" w:hAnsiTheme="minorEastAsia" w:eastAsiaTheme="minorEastAsia"/>
          <w:color w:val="0000FF"/>
          <w:sz w:val="24"/>
          <w:highlight w:val="none"/>
          <w:u w:val="single"/>
        </w:rPr>
        <w:t>日</w:t>
      </w:r>
      <w:r>
        <w:rPr>
          <w:rFonts w:hint="eastAsia" w:asciiTheme="minorEastAsia" w:hAnsiTheme="minorEastAsia" w:eastAsiaTheme="minorEastAsia"/>
          <w:bCs/>
          <w:color w:val="0000FF"/>
          <w:sz w:val="24"/>
          <w:highlight w:val="none"/>
          <w:u w:val="single"/>
          <w:lang w:val="en-US" w:eastAsia="zh-CN"/>
        </w:rPr>
        <w:t>09</w:t>
      </w:r>
      <w:r>
        <w:rPr>
          <w:rFonts w:hint="eastAsia" w:asciiTheme="minorEastAsia" w:hAnsiTheme="minorEastAsia" w:eastAsiaTheme="minorEastAsia"/>
          <w:bCs/>
          <w:color w:val="0000FF"/>
          <w:sz w:val="24"/>
          <w:highlight w:val="none"/>
          <w:u w:val="single"/>
        </w:rPr>
        <w:t>点</w:t>
      </w:r>
      <w:r>
        <w:rPr>
          <w:rFonts w:hint="eastAsia" w:asciiTheme="minorEastAsia" w:hAnsiTheme="minorEastAsia" w:eastAsiaTheme="minorEastAsia"/>
          <w:bCs/>
          <w:color w:val="0000FF"/>
          <w:sz w:val="24"/>
          <w:highlight w:val="none"/>
          <w:u w:val="single"/>
          <w:lang w:val="en-US" w:eastAsia="zh-CN"/>
        </w:rPr>
        <w:t>00</w:t>
      </w:r>
      <w:r>
        <w:rPr>
          <w:rFonts w:hint="eastAsia" w:asciiTheme="minorEastAsia" w:hAnsiTheme="minorEastAsia" w:eastAsiaTheme="minorEastAsia"/>
          <w:bCs/>
          <w:color w:val="0000FF"/>
          <w:sz w:val="24"/>
          <w:highlight w:val="none"/>
          <w:u w:val="single"/>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0183626C">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cs="仿宋_GB2312" w:asciiTheme="minorEastAsia" w:hAnsiTheme="minorEastAsia" w:eastAsiaTheme="minorEastAsia"/>
          <w:b w:val="0"/>
          <w:bCs/>
          <w:color w:val="000000" w:themeColor="text1"/>
          <w:sz w:val="24"/>
          <w:highlight w:val="none"/>
          <w14:textFill>
            <w14:solidFill>
              <w14:schemeClr w14:val="tx1"/>
            </w14:solidFill>
          </w14:textFill>
        </w:rPr>
        <w:t>。</w:t>
      </w:r>
    </w:p>
    <w:p w14:paraId="241B4040">
      <w:pPr>
        <w:pStyle w:val="633"/>
        <w:ind w:firstLine="0"/>
        <w:rPr>
          <w:b/>
          <w:color w:val="000000" w:themeColor="text1"/>
          <w:highlight w:val="none"/>
          <w14:textFill>
            <w14:solidFill>
              <w14:schemeClr w14:val="tx1"/>
            </w14:solidFill>
          </w14:textFill>
        </w:rPr>
      </w:pPr>
      <w:bookmarkStart w:id="30" w:name="_Toc35393633"/>
      <w:bookmarkStart w:id="31" w:name="_Toc28359016"/>
      <w:bookmarkStart w:id="32" w:name="_Toc35393802"/>
      <w:bookmarkStart w:id="33" w:name="_Toc28359093"/>
      <w:r>
        <w:rPr>
          <w:rFonts w:hint="eastAsia"/>
          <w:b/>
          <w:color w:val="000000" w:themeColor="text1"/>
          <w:highlight w:val="none"/>
          <w14:textFill>
            <w14:solidFill>
              <w14:schemeClr w14:val="tx1"/>
            </w14:solidFill>
          </w14:textFill>
        </w:rPr>
        <w:t>五、响应文件开启</w:t>
      </w:r>
      <w:bookmarkEnd w:id="30"/>
      <w:bookmarkEnd w:id="31"/>
      <w:bookmarkEnd w:id="32"/>
      <w:bookmarkEnd w:id="33"/>
    </w:p>
    <w:p w14:paraId="0453238E">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FF"/>
          <w:sz w:val="24"/>
          <w:highlight w:val="none"/>
          <w:u w:val="single"/>
        </w:rPr>
        <w:t>202</w:t>
      </w:r>
      <w:r>
        <w:rPr>
          <w:rFonts w:hint="eastAsia" w:cs="宋体" w:asciiTheme="minorEastAsia" w:hAnsiTheme="minorEastAsia" w:eastAsiaTheme="minorEastAsia"/>
          <w:color w:val="0000FF"/>
          <w:sz w:val="24"/>
          <w:highlight w:val="none"/>
          <w:u w:val="single"/>
          <w:lang w:val="en-US" w:eastAsia="zh-CN"/>
        </w:rPr>
        <w:t>6</w:t>
      </w:r>
      <w:r>
        <w:rPr>
          <w:rFonts w:hint="eastAsia" w:cs="宋体" w:asciiTheme="minorEastAsia" w:hAnsiTheme="minorEastAsia" w:eastAsiaTheme="minorEastAsia"/>
          <w:color w:val="0000FF"/>
          <w:sz w:val="24"/>
          <w:highlight w:val="none"/>
          <w:u w:val="single"/>
        </w:rPr>
        <w:t>年</w:t>
      </w:r>
      <w:r>
        <w:rPr>
          <w:rFonts w:hint="eastAsia" w:cs="宋体" w:asciiTheme="minorEastAsia" w:hAnsiTheme="minorEastAsia" w:eastAsiaTheme="minorEastAsia"/>
          <w:color w:val="0000FF"/>
          <w:sz w:val="24"/>
          <w:highlight w:val="none"/>
          <w:u w:val="single"/>
          <w:lang w:val="en-US" w:eastAsia="zh-CN"/>
        </w:rPr>
        <w:t>5</w:t>
      </w:r>
      <w:r>
        <w:rPr>
          <w:rFonts w:hint="eastAsia" w:cs="宋体" w:asciiTheme="minorEastAsia" w:hAnsiTheme="minorEastAsia" w:eastAsiaTheme="minorEastAsia"/>
          <w:color w:val="0000FF"/>
          <w:sz w:val="24"/>
          <w:highlight w:val="none"/>
          <w:u w:val="single"/>
        </w:rPr>
        <w:t>月</w:t>
      </w:r>
      <w:r>
        <w:rPr>
          <w:rFonts w:hint="eastAsia" w:cs="宋体" w:asciiTheme="minorEastAsia" w:hAnsiTheme="minorEastAsia" w:eastAsiaTheme="minorEastAsia"/>
          <w:color w:val="0000FF"/>
          <w:sz w:val="24"/>
          <w:highlight w:val="none"/>
          <w:u w:val="single"/>
          <w:lang w:val="en-US" w:eastAsia="zh-CN"/>
        </w:rPr>
        <w:t>6</w:t>
      </w:r>
      <w:r>
        <w:rPr>
          <w:rFonts w:hint="eastAsia" w:cs="宋体" w:asciiTheme="minorEastAsia" w:hAnsiTheme="minorEastAsia" w:eastAsiaTheme="minorEastAsia"/>
          <w:color w:val="0000FF"/>
          <w:sz w:val="24"/>
          <w:highlight w:val="none"/>
          <w:u w:val="single"/>
        </w:rPr>
        <w:t>日</w:t>
      </w:r>
      <w:r>
        <w:rPr>
          <w:rFonts w:hint="eastAsia" w:asciiTheme="minorEastAsia" w:hAnsiTheme="minorEastAsia" w:eastAsiaTheme="minorEastAsia"/>
          <w:bCs/>
          <w:color w:val="0000FF"/>
          <w:sz w:val="24"/>
          <w:highlight w:val="none"/>
          <w:u w:val="single"/>
          <w:lang w:val="en-US" w:eastAsia="zh-CN"/>
        </w:rPr>
        <w:t>09</w:t>
      </w:r>
      <w:r>
        <w:rPr>
          <w:rFonts w:hint="eastAsia" w:asciiTheme="minorEastAsia" w:hAnsiTheme="minorEastAsia" w:eastAsiaTheme="minorEastAsia"/>
          <w:bCs/>
          <w:color w:val="0000FF"/>
          <w:sz w:val="24"/>
          <w:highlight w:val="none"/>
          <w:u w:val="single"/>
        </w:rPr>
        <w:t>点</w:t>
      </w:r>
      <w:r>
        <w:rPr>
          <w:rFonts w:hint="eastAsia" w:asciiTheme="minorEastAsia" w:hAnsiTheme="minorEastAsia" w:eastAsiaTheme="minorEastAsia"/>
          <w:bCs/>
          <w:color w:val="0000FF"/>
          <w:sz w:val="24"/>
          <w:highlight w:val="none"/>
          <w:u w:val="single"/>
          <w:lang w:val="en-US" w:eastAsia="zh-CN"/>
        </w:rPr>
        <w:t>00</w:t>
      </w:r>
      <w:r>
        <w:rPr>
          <w:rFonts w:hint="eastAsia" w:asciiTheme="minorEastAsia" w:hAnsiTheme="minorEastAsia" w:eastAsiaTheme="minorEastAsia"/>
          <w:bCs/>
          <w:color w:val="0000FF"/>
          <w:sz w:val="24"/>
          <w:highlight w:val="none"/>
          <w:u w:val="single"/>
        </w:rPr>
        <w:t>分00秒</w:t>
      </w:r>
      <w:r>
        <w:rPr>
          <w:rFonts w:hint="eastAsia" w:asciiTheme="minorEastAsia" w:hAnsiTheme="minorEastAsia" w:eastAsiaTheme="minorEastAsia"/>
          <w:bCs/>
          <w:color w:val="000000" w:themeColor="text1"/>
          <w:sz w:val="24"/>
          <w:highlight w:val="none"/>
          <w14:textFill>
            <w14:solidFill>
              <w14:schemeClr w14:val="tx1"/>
            </w14:solidFill>
          </w14:textFill>
        </w:rPr>
        <w:t>（北京时间）</w:t>
      </w:r>
    </w:p>
    <w:p w14:paraId="143ED7F3">
      <w:pPr>
        <w:spacing w:line="360" w:lineRule="auto"/>
        <w:ind w:firstLine="480" w:firstLineChars="200"/>
        <w:rPr>
          <w:rFonts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7F775017">
      <w:pPr>
        <w:pStyle w:val="633"/>
        <w:ind w:firstLine="0"/>
        <w:rPr>
          <w:b/>
          <w:color w:val="000000" w:themeColor="text1"/>
          <w:highlight w:val="none"/>
          <w14:textFill>
            <w14:solidFill>
              <w14:schemeClr w14:val="tx1"/>
            </w14:solidFill>
          </w14:textFill>
        </w:rPr>
      </w:pPr>
      <w:bookmarkStart w:id="34" w:name="_Toc35393803"/>
      <w:bookmarkStart w:id="35" w:name="_Toc28359017"/>
      <w:bookmarkStart w:id="36" w:name="_Toc35393634"/>
      <w:bookmarkStart w:id="37" w:name="_Toc28359094"/>
      <w:r>
        <w:rPr>
          <w:rFonts w:hint="eastAsia"/>
          <w:b/>
          <w:color w:val="000000" w:themeColor="text1"/>
          <w:highlight w:val="none"/>
          <w14:textFill>
            <w14:solidFill>
              <w14:schemeClr w14:val="tx1"/>
            </w14:solidFill>
          </w14:textFill>
        </w:rPr>
        <w:t>六、公告期限</w:t>
      </w:r>
      <w:bookmarkEnd w:id="34"/>
      <w:bookmarkEnd w:id="35"/>
      <w:bookmarkEnd w:id="36"/>
      <w:bookmarkEnd w:id="37"/>
    </w:p>
    <w:p w14:paraId="358808BF">
      <w:pPr>
        <w:spacing w:line="360" w:lineRule="auto"/>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自本公告发布之日起</w:t>
      </w: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个</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工作日。</w:t>
      </w:r>
    </w:p>
    <w:p w14:paraId="073CCA1E">
      <w:pPr>
        <w:pStyle w:val="633"/>
        <w:ind w:firstLine="0"/>
        <w:rPr>
          <w:b/>
          <w:color w:val="000000" w:themeColor="text1"/>
          <w:highlight w:val="none"/>
          <w14:textFill>
            <w14:solidFill>
              <w14:schemeClr w14:val="tx1"/>
            </w14:solidFill>
          </w14:textFill>
        </w:rPr>
      </w:pPr>
      <w:bookmarkStart w:id="38" w:name="_Toc35393804"/>
      <w:bookmarkStart w:id="39" w:name="_Toc35393635"/>
      <w:r>
        <w:rPr>
          <w:rFonts w:hint="eastAsia"/>
          <w:b/>
          <w:color w:val="000000" w:themeColor="text1"/>
          <w:highlight w:val="none"/>
          <w14:textFill>
            <w14:solidFill>
              <w14:schemeClr w14:val="tx1"/>
            </w14:solidFill>
          </w14:textFill>
        </w:rPr>
        <w:t>七、其他补充事宜</w:t>
      </w:r>
      <w:bookmarkEnd w:id="38"/>
      <w:bookmarkEnd w:id="39"/>
    </w:p>
    <w:p w14:paraId="1919F38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1.磋商保证金：不收取。</w:t>
      </w:r>
    </w:p>
    <w:p w14:paraId="08C5D926">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w:t>
      </w:r>
      <w:r>
        <w:rPr>
          <w:rFonts w:hint="eastAsia" w:ascii="宋体" w:hAnsi="宋体" w:cs="宋体"/>
          <w:color w:val="auto"/>
          <w:sz w:val="24"/>
          <w:szCs w:val="24"/>
          <w:highlight w:val="none"/>
          <w:lang w:eastAsia="zh-CN"/>
        </w:rPr>
        <w:t>首台首套</w:t>
      </w:r>
      <w:r>
        <w:rPr>
          <w:rFonts w:hint="eastAsia" w:ascii="宋体" w:hAnsi="宋体" w:cs="宋体"/>
          <w:color w:val="auto"/>
          <w:sz w:val="24"/>
          <w:szCs w:val="24"/>
          <w:highlight w:val="none"/>
        </w:rPr>
        <w:t>产品和“制造精品”的自主创新产品。（6）平等对待内外资企业和符合条件的破产重整企业。</w:t>
      </w:r>
    </w:p>
    <w:p w14:paraId="08C22882">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color w:val="auto"/>
          <w:sz w:val="24"/>
          <w:szCs w:val="24"/>
          <w:highlight w:val="none"/>
        </w:rPr>
      </w:pPr>
      <w:r>
        <w:rPr>
          <w:rFonts w:hint="eastAsia" w:ascii="宋体" w:hAnsi="宋体" w:cs="宋体"/>
          <w:snapToGrid w:val="0"/>
          <w:color w:val="auto"/>
          <w:kern w:val="28"/>
          <w:sz w:val="24"/>
          <w:szCs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0CCDC49">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4.网上公告媒体查询：中国政府采购网(www.ccgp.gov.cn)、广西政府采购网（http://zfcg.gxzf.gov.cn/）。</w:t>
      </w:r>
    </w:p>
    <w:p w14:paraId="1E07E877">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5.本项目通过广西政府采购云平台实行在线投标响应（电子投标），为确保网上操作合法、有效和安全，</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B29ADF7">
      <w:pPr>
        <w:keepNext w:val="0"/>
        <w:keepLines w:val="0"/>
        <w:pageBreakBefore w:val="0"/>
        <w:widowControl w:val="0"/>
        <w:kinsoku/>
        <w:wordWrap w:val="0"/>
        <w:overflowPunct/>
        <w:topLinePunct/>
        <w:autoSpaceDE/>
        <w:autoSpaceDN/>
        <w:bidi w:val="0"/>
        <w:adjustRightInd w:val="0"/>
        <w:snapToGri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9AFC68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7.本项目采用远程异地评标</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3AEF042D">
      <w:pPr>
        <w:pStyle w:val="633"/>
        <w:ind w:firstLine="0"/>
        <w:rPr>
          <w:b/>
          <w:color w:val="000000" w:themeColor="text1"/>
          <w:highlight w:val="none"/>
          <w14:textFill>
            <w14:solidFill>
              <w14:schemeClr w14:val="tx1"/>
            </w14:solidFill>
          </w14:textFill>
        </w:rPr>
      </w:pPr>
      <w:bookmarkStart w:id="40" w:name="_Toc35393636"/>
      <w:bookmarkStart w:id="41" w:name="_Toc35393805"/>
      <w:bookmarkStart w:id="42" w:name="_Toc28359095"/>
      <w:bookmarkStart w:id="43" w:name="_Toc28359018"/>
      <w:r>
        <w:rPr>
          <w:rFonts w:hint="eastAsia"/>
          <w:b/>
          <w:color w:val="000000" w:themeColor="text1"/>
          <w:highlight w:val="none"/>
          <w14:textFill>
            <w14:solidFill>
              <w14:schemeClr w14:val="tx1"/>
            </w14:solidFill>
          </w14:textFill>
        </w:rPr>
        <w:t>八、凡对本次采购提出询问、质疑、投诉，请按以下方式联系</w:t>
      </w:r>
      <w:bookmarkEnd w:id="40"/>
      <w:bookmarkEnd w:id="41"/>
      <w:bookmarkEnd w:id="42"/>
      <w:bookmarkEnd w:id="43"/>
    </w:p>
    <w:p w14:paraId="1B5B169D">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2AEDEB2F">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北海市铁山港区住房和城乡建设局</w:t>
      </w:r>
    </w:p>
    <w:p w14:paraId="4982B77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地    址：</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"https://map.360.cn/?pid=644bea7b3d8d0bd3&amp;src=onebox" \t "https://www.so.com/_blank" </w:instrText>
      </w:r>
      <w:r>
        <w:rPr>
          <w:rFonts w:ascii="宋体" w:hAnsi="宋体" w:eastAsia="宋体" w:cs="宋体"/>
          <w:sz w:val="24"/>
          <w:szCs w:val="24"/>
          <w:highlight w:val="none"/>
        </w:rPr>
        <w:fldChar w:fldCharType="separate"/>
      </w:r>
      <w:r>
        <w:rPr>
          <w:rStyle w:val="70"/>
          <w:rFonts w:ascii="宋体" w:hAnsi="宋体" w:eastAsia="宋体" w:cs="宋体"/>
          <w:sz w:val="24"/>
          <w:szCs w:val="24"/>
          <w:highlight w:val="none"/>
        </w:rPr>
        <w:t>北海市铁山港区北铁一级公路旁政府大院行政中心正北方向5米</w:t>
      </w:r>
      <w:r>
        <w:rPr>
          <w:rFonts w:ascii="宋体" w:hAnsi="宋体" w:eastAsia="宋体" w:cs="宋体"/>
          <w:sz w:val="24"/>
          <w:szCs w:val="24"/>
          <w:highlight w:val="none"/>
        </w:rPr>
        <w:fldChar w:fldCharType="end"/>
      </w:r>
      <w:r>
        <w:rPr>
          <w:rFonts w:hint="eastAsia" w:ascii="宋体" w:hAnsi="宋体" w:cs="宋体"/>
          <w:color w:val="000000" w:themeColor="text1"/>
          <w:sz w:val="24"/>
          <w:highlight w:val="none"/>
          <w14:textFill>
            <w14:solidFill>
              <w14:schemeClr w14:val="tx1"/>
            </w14:solidFill>
          </w14:textFill>
        </w:rPr>
        <w:t xml:space="preserve">      </w:t>
      </w:r>
    </w:p>
    <w:p w14:paraId="7B963D2F">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r>
        <w:rPr>
          <w:rFonts w:hint="eastAsia" w:ascii="宋体" w:hAnsi="宋体" w:cs="宋体"/>
          <w:color w:val="000000" w:themeColor="text1"/>
          <w:sz w:val="24"/>
          <w:highlight w:val="none"/>
          <w:lang w:val="en-US" w:eastAsia="zh-CN"/>
          <w14:textFill>
            <w14:solidFill>
              <w14:schemeClr w14:val="tx1"/>
            </w14:solidFill>
          </w14:textFill>
        </w:rPr>
        <w:t>杨工</w:t>
      </w:r>
    </w:p>
    <w:p w14:paraId="6D6D8EB8">
      <w:pPr>
        <w:spacing w:line="360" w:lineRule="auto"/>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w:t>
      </w:r>
      <w:r>
        <w:rPr>
          <w:rFonts w:hint="eastAsia" w:ascii="宋体" w:hAnsi="宋体" w:cs="宋体"/>
          <w:color w:val="000000" w:themeColor="text1"/>
          <w:sz w:val="24"/>
          <w:highlight w:val="none"/>
          <w:lang w:val="en-US" w:eastAsia="zh-CN"/>
          <w14:textFill>
            <w14:solidFill>
              <w14:schemeClr w14:val="tx1"/>
            </w14:solidFill>
          </w14:textFill>
        </w:rPr>
        <w:t>0779-8610669</w:t>
      </w:r>
    </w:p>
    <w:p w14:paraId="177A665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1BDDC4FB">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称：广西腾锦工程项目管理有限公司</w:t>
      </w:r>
    </w:p>
    <w:p w14:paraId="35FCCBE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 xml:space="preserve">北海市四川路62号北海文邦国际大厦B座1216号 </w:t>
      </w:r>
      <w:r>
        <w:rPr>
          <w:rFonts w:hint="eastAsia" w:ascii="宋体" w:hAnsi="宋体" w:cs="宋体"/>
          <w:color w:val="000000" w:themeColor="text1"/>
          <w:sz w:val="24"/>
          <w:highlight w:val="none"/>
          <w14:textFill>
            <w14:solidFill>
              <w14:schemeClr w14:val="tx1"/>
            </w14:solidFill>
          </w14:textFill>
        </w:rPr>
        <w:t xml:space="preserve"> </w:t>
      </w:r>
    </w:p>
    <w:p w14:paraId="4F97C60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w:t>
      </w:r>
      <w:r>
        <w:rPr>
          <w:rFonts w:hint="eastAsia" w:ascii="宋体" w:hAnsi="宋体" w:cs="宋体"/>
          <w:color w:val="000000" w:themeColor="text1"/>
          <w:sz w:val="24"/>
          <w:highlight w:val="none"/>
          <w:lang w:val="en-US" w:eastAsia="zh-CN"/>
          <w14:textFill>
            <w14:solidFill>
              <w14:schemeClr w14:val="tx1"/>
            </w14:solidFill>
          </w14:textFill>
        </w:rPr>
        <w:t>黄</w:t>
      </w:r>
      <w:r>
        <w:rPr>
          <w:rFonts w:hint="eastAsia" w:ascii="宋体" w:hAnsi="宋体" w:cs="宋体"/>
          <w:color w:val="000000" w:themeColor="text1"/>
          <w:sz w:val="24"/>
          <w:highlight w:val="none"/>
          <w:lang w:eastAsia="zh-CN"/>
          <w14:textFill>
            <w14:solidFill>
              <w14:schemeClr w14:val="tx1"/>
            </w14:solidFill>
          </w14:textFill>
        </w:rPr>
        <w:t>工</w:t>
      </w:r>
    </w:p>
    <w:p w14:paraId="7D394DF0">
      <w:pPr>
        <w:spacing w:line="360" w:lineRule="auto"/>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hint="eastAsia" w:ascii="宋体" w:hAnsi="宋体" w:cs="宋体"/>
          <w:color w:val="000000" w:themeColor="text1"/>
          <w:sz w:val="24"/>
          <w:highlight w:val="none"/>
          <w:lang w:eastAsia="zh-CN"/>
          <w14:textFill>
            <w14:solidFill>
              <w14:schemeClr w14:val="tx1"/>
            </w14:solidFill>
          </w14:textFill>
        </w:rPr>
        <w:t>0779-3833815</w:t>
      </w:r>
    </w:p>
    <w:p w14:paraId="7D30AAD6">
      <w:pPr>
        <w:pStyle w:val="2"/>
        <w:numPr>
          <w:ilvl w:val="0"/>
          <w:numId w:val="0"/>
        </w:numPr>
        <w:ind w:leftChars="0"/>
        <w:rPr>
          <w:rFonts w:hint="eastAsia"/>
          <w:highlight w:val="none"/>
          <w:lang w:eastAsia="zh-CN"/>
        </w:rPr>
      </w:pPr>
    </w:p>
    <w:p w14:paraId="5835E636">
      <w:pPr>
        <w:pStyle w:val="633"/>
        <w:rPr>
          <w:color w:val="000000" w:themeColor="text1"/>
          <w:highlight w:val="none"/>
          <w14:textFill>
            <w14:solidFill>
              <w14:schemeClr w14:val="tx1"/>
            </w14:solidFill>
          </w14:textFill>
        </w:rPr>
      </w:pPr>
    </w:p>
    <w:p w14:paraId="4224D7C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若对项目采购电子交易系统操作有疑问，可登录广西政府采购云平台（https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//www.zcygov.cn/），点击右侧咨询小采，获取采小蜜智能服务管家帮助，或拨打广西政府采购云平台服务热线95763获取热线服务帮助。</w:t>
      </w:r>
    </w:p>
    <w:p w14:paraId="3342459A">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14:paraId="61AB58C1">
      <w:pPr>
        <w:pStyle w:val="34"/>
        <w:spacing w:line="360" w:lineRule="auto"/>
        <w:ind w:firstLine="480" w:firstLineChars="200"/>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64DE5D9B">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72D74D50">
      <w:pPr>
        <w:adjustRightInd/>
        <w:spacing w:line="360" w:lineRule="auto"/>
        <w:jc w:val="center"/>
        <w:outlineLvl w:val="0"/>
        <w:rPr>
          <w:rFonts w:cs="仿宋_GB2312" w:asciiTheme="minorEastAsia" w:hAnsiTheme="minorEastAsia" w:eastAsiaTheme="minorEastAsia"/>
          <w:b/>
          <w:color w:val="000000" w:themeColor="text1"/>
          <w:sz w:val="32"/>
          <w:szCs w:val="20"/>
          <w:highlight w:val="none"/>
          <w14:textFill>
            <w14:solidFill>
              <w14:schemeClr w14:val="tx1"/>
            </w14:solidFill>
          </w14:textFill>
        </w:rPr>
      </w:pPr>
      <w:bookmarkStart w:id="44" w:name="_Toc8121"/>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第二部分  竞争性磋商流程</w:t>
      </w:r>
      <w:bookmarkEnd w:id="44"/>
    </w:p>
    <w:p w14:paraId="6745FF6F">
      <w:pPr>
        <w:pStyle w:val="394"/>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1.征集供应商</w:t>
      </w:r>
    </w:p>
    <w:p w14:paraId="5C70DB93">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1.1邀请供应商。</w:t>
      </w:r>
    </w:p>
    <w:p w14:paraId="6C21F2C9">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sym w:font="Wingdings" w:char="F0FE"/>
      </w:r>
      <w:r>
        <w:rPr>
          <w:rFonts w:hint="eastAsia" w:asciiTheme="minorEastAsia" w:hAnsiTheme="minorEastAsia" w:eastAsiaTheme="minorEastAsia"/>
          <w:b/>
          <w:color w:val="000000" w:themeColor="text1"/>
          <w:szCs w:val="24"/>
          <w:highlight w:val="none"/>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232B7B37">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szCs w:val="24"/>
          <w:highlight w:val="none"/>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14:paraId="37B1C502">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szCs w:val="24"/>
          <w:highlight w:val="none"/>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001519D">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1.2供应商获取磋商文件。</w:t>
      </w:r>
    </w:p>
    <w:p w14:paraId="69B2EF44">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1.3组织现场考察或召开答疑会（如果有）。</w:t>
      </w:r>
    </w:p>
    <w:p w14:paraId="730BC7CE">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1.4发布更正（延期）公告，澄清或修改磋商文件（如果有）。</w:t>
      </w:r>
    </w:p>
    <w:p w14:paraId="4A3C1EFB">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1.5供应商按磋商文件要求编制响应文件。</w:t>
      </w:r>
    </w:p>
    <w:p w14:paraId="204FE9C8">
      <w:pPr>
        <w:pStyle w:val="394"/>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2.响应文件开启与信用信息查询</w:t>
      </w:r>
    </w:p>
    <w:p w14:paraId="30FDB4CC">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013ECF39">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2.2</w:t>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采购人或者采购代理机构将通过“信用中国”网站(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70"/>
          <w:rFonts w:hint="eastAsia" w:asciiTheme="minorEastAsia" w:hAnsiTheme="minorEastAsia" w:eastAsiaTheme="minorEastAsia"/>
          <w:snapToGrid/>
          <w:color w:val="000000" w:themeColor="text1"/>
          <w:sz w:val="24"/>
          <w:szCs w:val="24"/>
          <w:highlight w:val="none"/>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)和中国政府采购网(www.ccgp.gov.cn)渠道查询供应商响应截止时间当日的信用记录。</w:t>
      </w:r>
    </w:p>
    <w:p w14:paraId="69426E95">
      <w:pPr>
        <w:pStyle w:val="394"/>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3.磋商与评审</w:t>
      </w:r>
    </w:p>
    <w:p w14:paraId="0F1E35F3">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3.1磋商小组签到。</w:t>
      </w:r>
    </w:p>
    <w:p w14:paraId="408CA263">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3.2采购代理机构宣布有关纪律以及磋商、评审工作程序。</w:t>
      </w:r>
    </w:p>
    <w:p w14:paraId="26EA017A">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3.3磋商小组审查确认磋商文件。磋商文件内容违反国家有关强制性规定的，磋商小组应当停止评审并向采购代理机构说明情况。</w:t>
      </w:r>
    </w:p>
    <w:p w14:paraId="58B1ABD8">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3.4磋商小组对供应商的资格进行审查。</w:t>
      </w:r>
    </w:p>
    <w:p w14:paraId="5F9FA729">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3.5磋商小组审查响应文件。</w:t>
      </w:r>
    </w:p>
    <w:p w14:paraId="54922F48">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3.6对于未实质性响应磋商文件的响应文件由磋商小组认定响应无效，并告知该供应商。</w:t>
      </w:r>
    </w:p>
    <w:p w14:paraId="11E5D480">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85ADD6">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4B52CD9">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77B14ED2">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173DDDD">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3.11磋商小组按照下列方式确定提交最后报价的供应商，有特殊规定的从其规定：</w:t>
      </w:r>
    </w:p>
    <w:p w14:paraId="26AB2CC7">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D8518AD">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C1E8847">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3.12确定进入最后报价的供应商在规定时间内提交最后报价。</w:t>
      </w:r>
    </w:p>
    <w:p w14:paraId="70C64240">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090DB03">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3.14磋商小组应当根据综合评分情况，按照评审得分由高到低顺序推荐3名以上成交候选供应商，并编写评审报告。</w:t>
      </w:r>
    </w:p>
    <w:p w14:paraId="5178C162">
      <w:pPr>
        <w:pStyle w:val="394"/>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4. 成交</w:t>
      </w:r>
    </w:p>
    <w:p w14:paraId="11986B1B">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4.1</w:t>
      </w: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highlight w:val="none"/>
          <w14:textFill>
            <w14:solidFill>
              <w14:schemeClr w14:val="tx1"/>
            </w14:solidFill>
          </w14:textFill>
        </w:rPr>
        <w:t>采购代理机构应当</w:t>
      </w:r>
      <w:r>
        <w:rPr>
          <w:rFonts w:hint="eastAsia" w:ascii="宋体" w:hAnsi="宋体" w:cs="宋体"/>
          <w:color w:val="000000" w:themeColor="text1"/>
          <w:szCs w:val="24"/>
          <w:highlight w:val="none"/>
          <w14:textFill>
            <w14:solidFill>
              <w14:schemeClr w14:val="tx1"/>
            </w14:solidFill>
          </w14:textFill>
        </w:rPr>
        <w:t>依法及时</w:t>
      </w:r>
      <w:r>
        <w:rPr>
          <w:rFonts w:hint="eastAsia" w:asciiTheme="minorEastAsia" w:hAnsiTheme="minorEastAsia" w:eastAsiaTheme="minorEastAsia"/>
          <w:color w:val="000000" w:themeColor="text1"/>
          <w:szCs w:val="24"/>
          <w:highlight w:val="none"/>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9C92C2F">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296F25">
      <w:pPr>
        <w:pStyle w:val="394"/>
        <w:spacing w:before="0"/>
        <w:ind w:firstLine="0" w:firstLineChars="0"/>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5.合同及履约验收</w:t>
      </w:r>
    </w:p>
    <w:p w14:paraId="0413DFB0">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2ED3CA4">
      <w:pPr>
        <w:tabs>
          <w:tab w:val="left" w:pos="0"/>
        </w:tabs>
        <w:spacing w:line="360" w:lineRule="auto"/>
        <w:ind w:firstLine="48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5.2成交供应商按照政策要求及合同约定缴纳履约保证金（如有）。</w:t>
      </w:r>
    </w:p>
    <w:p w14:paraId="619E30C9">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5.3合同履约。</w:t>
      </w:r>
    </w:p>
    <w:p w14:paraId="3A55BBE8">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5.4采购人组织验收。</w:t>
      </w:r>
    </w:p>
    <w:p w14:paraId="1818E054">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501C6A92">
      <w:pPr>
        <w:pStyle w:val="394"/>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6.竞争性磋商流程图</w:t>
      </w:r>
    </w:p>
    <w:p w14:paraId="038E75FA">
      <w:pPr>
        <w:pStyle w:val="394"/>
        <w:spacing w:before="0"/>
        <w:ind w:firstLine="0" w:firstLineChars="0"/>
        <w:rPr>
          <w:rFonts w:asciiTheme="minorEastAsia" w:hAnsiTheme="minorEastAsia" w:eastAsiaTheme="minorEastAsia"/>
          <w:b/>
          <w:color w:val="000000" w:themeColor="text1"/>
          <w:highlight w:val="none"/>
          <w14:textFill>
            <w14:solidFill>
              <w14:schemeClr w14:val="tx1"/>
            </w14:solidFill>
          </w14:textFill>
        </w:rPr>
      </w:pPr>
    </w:p>
    <w:p w14:paraId="4C6E4FB0">
      <w:pPr>
        <w:widowControl/>
        <w:adjustRightInd/>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p>
    <w:p w14:paraId="6227C91F">
      <w:pPr>
        <w:widowControl/>
        <w:adjustRightInd/>
        <w:jc w:val="left"/>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318135"/>
                <wp:effectExtent l="4445" t="4445" r="8890" b="20320"/>
                <wp:wrapNone/>
                <wp:docPr id="14" name="文本框 14"/>
                <wp:cNvGraphicFramePr/>
                <a:graphic xmlns:a="http://schemas.openxmlformats.org/drawingml/2006/main">
                  <a:graphicData uri="http://schemas.microsoft.com/office/word/2010/wordprocessingShape">
                    <wps:wsp>
                      <wps:cNvSpPr txBox="1"/>
                      <wps:spPr>
                        <a:xfrm>
                          <a:off x="0" y="0"/>
                          <a:ext cx="1453515" cy="31813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5.05pt;width:114.45pt;z-index:251672576;mso-width-relative:page;mso-height-relative:page;" fillcolor="#DBEEF4 [664]" filled="t" stroked="t" coordsize="21600,21600" o:gfxdata="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A2BZW2AAAAAsBAAAPAAAAAAAAAAEAIAAA&#10;ACIAAABkcnMvZG93bnJldi54bWxQSwECFAAUAAAACACHTuJAJunavn4CAAAABQAADgAAAAAAAAAB&#10;ACAAAAAnAQAAZHJzL2Uyb0RvYy54bWxQSwUGAAAAAAYABgBZAQAAFwY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82675" cy="290830"/>
                <wp:effectExtent l="4445" t="5080" r="17780" b="8890"/>
                <wp:wrapNone/>
                <wp:docPr id="41" name="文本框 41"/>
                <wp:cNvGraphicFramePr/>
                <a:graphic xmlns:a="http://schemas.openxmlformats.org/drawingml/2006/main">
                  <a:graphicData uri="http://schemas.microsoft.com/office/word/2010/wordprocessingShape">
                    <wps:wsp>
                      <wps:cNvSpPr txBox="1"/>
                      <wps:spPr>
                        <a:xfrm>
                          <a:off x="0" y="0"/>
                          <a:ext cx="1082675" cy="29083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2.9pt;width:85.25pt;z-index:251665408;mso-width-relative:page;mso-height-relative:page;" fillcolor="#DBEEF4 [664]" filled="t" stroked="t" coordsize="21600,21600" o:gfxdata="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vtHnW2QAAAAoBAAAPAAAAAAAAAAEA&#10;IAAAACIAAABkcnMvZG93bnJldi54bWxQSwECFAAUAAAACACHTuJAiSI4H4ACAAAABQAADgAAAAAA&#10;AAABACAAAAAoAQAAZHJzL2Uyb0RvYy54bWxQSwUGAAAAAAYABgBZAQAAGg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3AB93B4B">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45" w:name="_Toc23895"/>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第三部分</w:t>
      </w:r>
      <w:bookmarkEnd w:id="1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供应商须知</w:t>
      </w:r>
      <w:bookmarkEnd w:id="11"/>
      <w:bookmarkEnd w:id="45"/>
    </w:p>
    <w:p w14:paraId="31F74CBA">
      <w:pPr>
        <w:adjustRightInd/>
        <w:spacing w:line="360" w:lineRule="auto"/>
        <w:jc w:val="center"/>
        <w:outlineLvl w:val="9"/>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E86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F327B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E5209E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D7AD2C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本项目的特别规定</w:t>
            </w:r>
          </w:p>
        </w:tc>
      </w:tr>
      <w:tr w14:paraId="0120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A32AEE7">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C9CC6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B757851">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服务类。</w:t>
            </w:r>
          </w:p>
        </w:tc>
      </w:tr>
      <w:tr w14:paraId="3D96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B517E">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CD0D6B1">
            <w:pPr>
              <w:snapToGrid w:val="0"/>
              <w:spacing w:line="360" w:lineRule="auto"/>
              <w:rPr>
                <w:rFonts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86C508B">
            <w:pPr>
              <w:snapToGrid w:val="0"/>
              <w:spacing w:line="360" w:lineRule="auto"/>
              <w:rPr>
                <w:rFonts w:cs="宋体" w:asciiTheme="minorEastAsia" w:hAnsiTheme="minorEastAsia" w:eastAsiaTheme="minorEastAsia"/>
                <w:b w:val="0"/>
                <w:bCs w:val="0"/>
                <w:color w:val="000000" w:themeColor="text1"/>
                <w:kern w:val="0"/>
                <w:sz w:val="24"/>
                <w:szCs w:val="24"/>
                <w:highlight w:val="none"/>
                <w:lang w:val="en-US"/>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w:t>
            </w:r>
            <w:r>
              <w:rPr>
                <w:rFonts w:hint="eastAsia" w:cs="宋体" w:asciiTheme="minorEastAsia" w:hAnsiTheme="minorEastAsia" w:eastAsiaTheme="minorEastAsia"/>
                <w:color w:val="000000" w:themeColor="text1"/>
                <w:kern w:val="0"/>
                <w:sz w:val="24"/>
                <w:highlight w:val="none"/>
                <w:u w:val="single"/>
                <w:lang w:eastAsia="zh-CN"/>
                <w14:textFill>
                  <w14:solidFill>
                    <w14:schemeClr w14:val="tx1"/>
                  </w14:solidFill>
                </w14:textFill>
              </w:rPr>
              <w:t xml:space="preserve">2026年北海市铁山港区污水处理厂运营服务采购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，属于</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水利、环境和公共设施管理业</w:t>
            </w:r>
            <w:r>
              <w:rPr>
                <w:rFonts w:hint="eastAsia" w:cs="宋体"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行业；</w:t>
            </w:r>
          </w:p>
        </w:tc>
      </w:tr>
      <w:tr w14:paraId="75DA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ED95A59">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16B9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1880F2">
            <w:pPr>
              <w:spacing w:line="360" w:lineRule="auto"/>
              <w:rPr>
                <w:rFonts w:cs="宋体" w:asciiTheme="minorEastAsia" w:hAnsiTheme="minorEastAsia" w:eastAsiaTheme="minorEastAsia"/>
                <w:color w:val="000000" w:themeColor="text1"/>
                <w:kern w:val="0"/>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本项目不允许采购进口产品。</w:t>
            </w:r>
          </w:p>
          <w:p w14:paraId="1E439E84">
            <w:pPr>
              <w:spacing w:line="360" w:lineRule="auto"/>
              <w:rPr>
                <w:rFonts w:cs="宋体" w:asciiTheme="minorEastAsia" w:hAnsiTheme="minorEastAsia" w:eastAsiaTheme="minorEastAsia"/>
                <w:color w:val="000000" w:themeColor="text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可以就</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采购进口产品。</w:t>
            </w:r>
          </w:p>
        </w:tc>
      </w:tr>
      <w:tr w14:paraId="1A6CD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60933F">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69CB7D">
            <w:pPr>
              <w:snapToGrid w:val="0"/>
              <w:spacing w:line="360" w:lineRule="auto"/>
              <w:ind w:firstLine="482" w:firstLineChars="200"/>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D3B54B6">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 xml:space="preserve"> A</w:t>
            </w:r>
            <w:r>
              <w:rPr>
                <w:rFonts w:hint="eastAsia" w:cs="宋体" w:asciiTheme="minorEastAsia" w:hAnsiTheme="minorEastAsia" w:eastAsiaTheme="minorEastAsia"/>
                <w:color w:val="000000" w:themeColor="text1"/>
                <w:sz w:val="24"/>
                <w:highlight w:val="none"/>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Mincho" w:cs="MS Mincho"/>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 xml:space="preserve"> B</w:t>
            </w:r>
            <w:r>
              <w:rPr>
                <w:rFonts w:hint="eastAsia" w:cs="宋体" w:asciiTheme="minorEastAsia" w:hAnsiTheme="minorEastAsia" w:eastAsiaTheme="minorEastAsia"/>
                <w:color w:val="000000" w:themeColor="text1"/>
                <w:sz w:val="24"/>
                <w:highlight w:val="none"/>
                <w14:textFill>
                  <w14:solidFill>
                    <w14:schemeClr w14:val="tx1"/>
                  </w14:solidFill>
                </w14:textFill>
              </w:rPr>
              <w:t>不同意分包。</w:t>
            </w:r>
          </w:p>
          <w:p w14:paraId="3493B402">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注：不得限制大中型企业向小微企业合理分包。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4C0DE6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0AA43F3">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AB3BCA0">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A</w:t>
            </w:r>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5908905A">
            <w:pPr>
              <w:spacing w:line="360" w:lineRule="auto"/>
              <w:rPr>
                <w:rFonts w:cs="宋体" w:asciiTheme="minorEastAsia" w:hAnsiTheme="minorEastAsia" w:eastAsiaTheme="minorEastAsia"/>
                <w:color w:val="000000" w:themeColor="text1"/>
                <w:sz w:val="24"/>
                <w:szCs w:val="20"/>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B组织，</w:t>
            </w:r>
            <w:r>
              <w:rPr>
                <w:rFonts w:hint="eastAsia" w:cs="宋体" w:asciiTheme="minorEastAsia" w:hAnsiTheme="minorEastAsia" w:eastAsiaTheme="minorEastAsia"/>
                <w:color w:val="000000" w:themeColor="text1"/>
                <w:sz w:val="24"/>
                <w:highlight w:val="none"/>
                <w14:textFill>
                  <w14:solidFill>
                    <w14:schemeClr w14:val="tx1"/>
                  </w14:solidFill>
                </w14:textFill>
              </w:rPr>
              <w:t>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,地点：</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，联系方式：</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highlight w:val="none"/>
                <w14:textFill>
                  <w14:solidFill>
                    <w14:schemeClr w14:val="tx1"/>
                  </w14:solidFill>
                </w14:textFill>
              </w:rPr>
              <w:t>。</w:t>
            </w:r>
          </w:p>
        </w:tc>
      </w:tr>
      <w:tr w14:paraId="714A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C4B1E73">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F7CCEC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C078D6A">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A</w:t>
            </w:r>
            <w:r>
              <w:rPr>
                <w:rFonts w:hint="eastAsia" w:cs="宋体" w:asciiTheme="minorEastAsia" w:hAnsiTheme="minorEastAsia" w:eastAsiaTheme="minorEastAsia"/>
                <w:color w:val="000000" w:themeColor="text1"/>
                <w:sz w:val="24"/>
                <w:highlight w:val="none"/>
                <w14:textFill>
                  <w14:solidFill>
                    <w14:schemeClr w14:val="tx1"/>
                  </w14:solidFill>
                </w14:textFill>
              </w:rPr>
              <w:t>不要求提供。</w:t>
            </w:r>
          </w:p>
          <w:p w14:paraId="365EF644">
            <w:pPr>
              <w:spacing w:line="360" w:lineRule="auto"/>
              <w:rPr>
                <w:rFonts w:cs="宋体" w:asciiTheme="minorEastAsia" w:hAnsiTheme="minorEastAsia" w:eastAsiaTheme="minorEastAsia"/>
                <w:b/>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B要求提供</w:t>
            </w:r>
          </w:p>
        </w:tc>
      </w:tr>
      <w:tr w14:paraId="23B09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3948487">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72EF6CC">
            <w:pPr>
              <w:snapToGrid w:val="0"/>
              <w:spacing w:line="360" w:lineRule="auto"/>
              <w:jc w:val="center"/>
              <w:rPr>
                <w:rFonts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2D960F">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A</w:t>
            </w:r>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p w14:paraId="61F89630">
            <w:pPr>
              <w:spacing w:line="360" w:lineRule="auto"/>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sdt>
              <w:sdtPr>
                <w:rPr>
                  <w:rFonts w:hint="eastAsia" w:cs="宋体" w:asciiTheme="minorEastAsia" w:hAnsiTheme="minorEastAsia" w:eastAsiaTheme="minorEastAsia"/>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highlight w:val="none"/>
                <w14:textFill>
                  <w14:solidFill>
                    <w14:schemeClr w14:val="tx1"/>
                  </w14:solidFill>
                </w14:textFill>
              </w:rPr>
              <w:t>B组织。</w:t>
            </w:r>
          </w:p>
        </w:tc>
      </w:tr>
      <w:tr w14:paraId="317F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11" w:hRule="atLeast"/>
        </w:trPr>
        <w:tc>
          <w:tcPr>
            <w:tcW w:w="629" w:type="dxa"/>
            <w:vMerge w:val="restart"/>
            <w:tcBorders>
              <w:top w:val="single" w:color="auto" w:sz="4" w:space="0"/>
              <w:left w:val="single" w:color="auto" w:sz="4" w:space="0"/>
              <w:right w:val="single" w:color="auto" w:sz="4" w:space="0"/>
            </w:tcBorders>
            <w:vAlign w:val="center"/>
          </w:tcPr>
          <w:p w14:paraId="6BDD6DF8">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78DAB27F">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9D651C1">
            <w:pPr>
              <w:spacing w:line="360" w:lineRule="auto"/>
              <w:rPr>
                <w:rFonts w:cs="宋体" w:asciiTheme="minorEastAsia" w:hAnsiTheme="minorEastAsia" w:eastAsiaTheme="minorEastAsia"/>
                <w:snapToGrid w:val="0"/>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（1）资格证明</w:t>
            </w:r>
            <w:r>
              <w:rPr>
                <w:rFonts w:hint="eastAsia" w:cs="宋体" w:asciiTheme="minorEastAsia" w:hAnsiTheme="minorEastAsia" w:eastAsiaTheme="minorEastAsia"/>
                <w:color w:val="000000" w:themeColor="text1"/>
                <w:sz w:val="24"/>
                <w:highlight w:val="none"/>
                <w14:textFill>
                  <w14:solidFill>
                    <w14:schemeClr w14:val="tx1"/>
                  </w14:solidFill>
                </w14:textFill>
              </w:rPr>
              <w:t>文件：见磋商文件第</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三</w:t>
            </w:r>
            <w:r>
              <w:rPr>
                <w:rFonts w:hint="eastAsia" w:cs="宋体" w:asciiTheme="minorEastAsia" w:hAnsiTheme="minorEastAsia" w:eastAsiaTheme="minorEastAsia"/>
                <w:color w:val="000000" w:themeColor="text1"/>
                <w:sz w:val="24"/>
                <w:highlight w:val="none"/>
                <w14:textFill>
                  <w14:solidFill>
                    <w14:schemeClr w14:val="tx1"/>
                  </w14:solidFill>
                </w14:textFill>
              </w:rPr>
              <w:t>部分</w:t>
            </w:r>
            <w:r>
              <w:rPr>
                <w:rFonts w:hint="eastAsia" w:ascii="宋体" w:hAnsi="宋体" w:cs="宋体"/>
                <w:color w:val="auto"/>
                <w:sz w:val="21"/>
                <w:szCs w:val="21"/>
                <w:highlight w:val="none"/>
                <w:lang w:val="en-US" w:eastAsia="zh-CN"/>
              </w:rPr>
              <w:t>——</w:t>
            </w:r>
            <w:r>
              <w:rPr>
                <w:rFonts w:hint="eastAsia" w:cs="宋体" w:asciiTheme="minorEastAsia" w:hAnsiTheme="minorEastAsia" w:eastAsiaTheme="minorEastAsia"/>
                <w:color w:val="000000" w:themeColor="text1"/>
                <w:sz w:val="24"/>
                <w:highlight w:val="none"/>
                <w14:textFill>
                  <w14:solidFill>
                    <w14:schemeClr w14:val="tx1"/>
                  </w14:solidFill>
                </w14:textFill>
              </w:rPr>
              <w:t>六、响应文件的编制。</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430EEFB5">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61FDD17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4D3F687">
            <w:pPr>
              <w:spacing w:line="360" w:lineRule="auto"/>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（2）资信证明文件：根据磋商文件采购需求及评审标准的要求提供。</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 xml:space="preserve"> </w:t>
            </w:r>
          </w:p>
        </w:tc>
      </w:tr>
      <w:tr w14:paraId="151EC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4D9CCF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CD94E9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0D0EE">
            <w:pPr>
              <w:snapToGrid w:val="0"/>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A143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C39B04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6ECE9B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4B4C7">
            <w:pPr>
              <w:snapToGrid w:val="0"/>
              <w:spacing w:line="360" w:lineRule="auto"/>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highlight w:val="none"/>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。磋商文件中价格全部采用人民币报价。磋商文件未列明，而供应商认为必需的费用也需列入报价。</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提醒：验收时检测费用由</w:t>
            </w:r>
            <w:r>
              <w:rPr>
                <w:rFonts w:hint="eastAsia" w:cs="宋体" w:asciiTheme="minorEastAsia" w:hAnsiTheme="minorEastAsia" w:eastAsiaTheme="minorEastAsia"/>
                <w:b/>
                <w:color w:val="000000" w:themeColor="text1"/>
                <w:kern w:val="0"/>
                <w:sz w:val="24"/>
                <w:highlight w:val="none"/>
                <w:lang w:val="en-US" w:eastAsia="zh-CN"/>
                <w14:textFill>
                  <w14:solidFill>
                    <w14:schemeClr w14:val="tx1"/>
                  </w14:solidFill>
                </w14:textFill>
              </w:rPr>
              <w:t>成交供应商</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承担，包含在最后报价中。</w:t>
            </w:r>
          </w:p>
          <w:p w14:paraId="4FD82DF9">
            <w:pPr>
              <w:snapToGrid w:val="0"/>
              <w:spacing w:line="360" w:lineRule="auto"/>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最后报价出现下列情形的，响应无效：</w:t>
            </w:r>
          </w:p>
          <w:p w14:paraId="27FFAB59">
            <w:pPr>
              <w:snapToGrid w:val="0"/>
              <w:spacing w:line="360" w:lineRule="auto"/>
              <w:ind w:firstLine="241" w:firstLineChars="100"/>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响应文件出现不是唯一的、有选择性的最后报价的；</w:t>
            </w:r>
          </w:p>
          <w:p w14:paraId="45202154">
            <w:pPr>
              <w:snapToGrid w:val="0"/>
              <w:spacing w:line="360" w:lineRule="auto"/>
              <w:ind w:firstLine="241" w:firstLineChars="100"/>
              <w:jc w:val="left"/>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最后报价超过磋商文件中规定的预算金额或者最高限价的；</w:t>
            </w:r>
          </w:p>
          <w:p w14:paraId="4BC9C84A">
            <w:pPr>
              <w:spacing w:line="360" w:lineRule="auto"/>
              <w:ind w:firstLine="241" w:firstLineChars="1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p>
        </w:tc>
      </w:tr>
      <w:tr w14:paraId="0CF7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vAlign w:val="center"/>
          </w:tcPr>
          <w:p w14:paraId="5BB68D93">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5CA9C8D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28483956">
            <w:pPr>
              <w:spacing w:line="360" w:lineRule="auto"/>
              <w:ind w:firstLine="480" w:firstLineChars="200"/>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012B3C2">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043DD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5EBCFA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2EED3F4">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CB276BA">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不接受。</w:t>
            </w:r>
          </w:p>
          <w:p w14:paraId="1DCF0DA2">
            <w:pPr>
              <w:pStyle w:val="34"/>
              <w:spacing w:line="360" w:lineRule="auto"/>
              <w:rPr>
                <w:rFonts w:hAnsi="宋体" w:cs="宋体"/>
                <w:color w:val="000000" w:themeColor="text1"/>
                <w:kern w:val="28"/>
                <w:sz w:val="24"/>
                <w:highlight w:val="none"/>
                <w14:textFill>
                  <w14:solidFill>
                    <w14:schemeClr w14:val="tx1"/>
                  </w14:solidFill>
                </w14:textFill>
              </w:rPr>
            </w:pPr>
            <w:sdt>
              <w:sdtPr>
                <w:rPr>
                  <w:rFonts w:hint="eastAsia" w:hAnsi="宋体" w:cs="宋体"/>
                  <w:color w:val="000000" w:themeColor="text1"/>
                  <w:kern w:val="0"/>
                  <w:sz w:val="24"/>
                  <w:highlight w:val="none"/>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0"/>
                    <w:highlight w:val="none"/>
                    <w:lang w:val="en-US" w:eastAsia="zh-CN" w:bidi="ar-SA"/>
                    <w14:textFill>
                      <w14:solidFill>
                        <w14:schemeClr w14:val="tx1"/>
                      </w14:solidFill>
                    </w14:textFill>
                  </w:rPr>
                  <w:t>☐</w:t>
                </w:r>
              </w:sdtContent>
            </w:sdt>
            <w:r>
              <w:rPr>
                <w:rFonts w:hint="eastAsia" w:hAnsi="宋体" w:cs="宋体"/>
                <w:color w:val="000000" w:themeColor="text1"/>
                <w:kern w:val="0"/>
                <w:sz w:val="24"/>
                <w:highlight w:val="none"/>
                <w14:textFill>
                  <w14:solidFill>
                    <w14:schemeClr w14:val="tx1"/>
                  </w14:solidFill>
                </w14:textFill>
              </w:rPr>
              <w:t>B</w:t>
            </w:r>
            <w:r>
              <w:rPr>
                <w:rFonts w:hint="eastAsia" w:hAnsi="宋体" w:cs="宋体"/>
                <w:color w:val="000000" w:themeColor="text1"/>
                <w:sz w:val="24"/>
                <w:highlight w:val="none"/>
                <w14:textFill>
                  <w14:solidFill>
                    <w14:schemeClr w14:val="tx1"/>
                  </w14:solidFill>
                </w14:textFill>
              </w:rPr>
              <w:t>接受</w:t>
            </w:r>
            <w:r>
              <w:rPr>
                <w:rFonts w:hint="eastAsia" w:hAnsi="宋体" w:cs="宋体"/>
                <w:color w:val="000000" w:themeColor="text1"/>
                <w:kern w:val="0"/>
                <w:sz w:val="24"/>
                <w:highlight w:val="none"/>
                <w14:textFill>
                  <w14:solidFill>
                    <w14:schemeClr w14:val="tx1"/>
                  </w14:solidFill>
                </w14:textFill>
              </w:rPr>
              <w:t>：</w:t>
            </w:r>
            <w:r>
              <w:rPr>
                <w:rFonts w:hint="eastAsia" w:hAnsi="宋体" w:cs="宋体"/>
                <w:color w:val="000000" w:themeColor="text1"/>
                <w:kern w:val="28"/>
                <w:sz w:val="24"/>
                <w:highlight w:val="none"/>
                <w14:textFill>
                  <w14:solidFill>
                    <w14:schemeClr w14:val="tx1"/>
                  </w14:solidFill>
                </w14:textFill>
              </w:rPr>
              <w:t>备份响应文件送达地点：</w:t>
            </w:r>
            <w:r>
              <w:rPr>
                <w:rFonts w:hint="eastAsia" w:hAnsi="宋体" w:cs="宋体"/>
                <w:color w:val="000000" w:themeColor="text1"/>
                <w:kern w:val="28"/>
                <w:sz w:val="24"/>
                <w:highlight w:val="none"/>
                <w:u w:val="single"/>
                <w:lang w:val="en-US" w:eastAsia="zh-CN"/>
                <w14:textFill>
                  <w14:solidFill>
                    <w14:schemeClr w14:val="tx1"/>
                  </w14:solidFill>
                </w14:textFill>
              </w:rPr>
              <w:t xml:space="preserve">     </w:t>
            </w:r>
            <w:r>
              <w:rPr>
                <w:rFonts w:hint="eastAsia" w:hAnsi="宋体" w:cs="宋体"/>
                <w:color w:val="000000" w:themeColor="text1"/>
                <w:kern w:val="28"/>
                <w:sz w:val="24"/>
                <w:highlight w:val="none"/>
                <w14:textFill>
                  <w14:solidFill>
                    <w14:schemeClr w14:val="tx1"/>
                  </w14:solidFill>
                </w14:textFill>
              </w:rPr>
              <w:t>；备份响应文件签收人员联系电话：</w:t>
            </w:r>
            <w:r>
              <w:rPr>
                <w:rFonts w:hint="eastAsia" w:hAnsi="宋体" w:cs="宋体"/>
                <w:color w:val="000000" w:themeColor="text1"/>
                <w:kern w:val="28"/>
                <w:sz w:val="24"/>
                <w:highlight w:val="none"/>
                <w:u w:val="single"/>
                <w:lang w:val="en-US" w:eastAsia="zh-CN"/>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w:t>
            </w:r>
          </w:p>
        </w:tc>
      </w:tr>
      <w:tr w14:paraId="600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43BC9FD9">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w:t>
            </w:r>
          </w:p>
        </w:tc>
        <w:tc>
          <w:tcPr>
            <w:tcW w:w="1843" w:type="dxa"/>
            <w:vMerge w:val="restart"/>
            <w:tcBorders>
              <w:top w:val="single" w:color="000000" w:sz="8" w:space="0"/>
              <w:left w:val="single" w:color="000000" w:sz="2" w:space="0"/>
              <w:right w:val="single" w:color="000000" w:sz="8" w:space="0"/>
            </w:tcBorders>
            <w:vAlign w:val="center"/>
          </w:tcPr>
          <w:p w14:paraId="702E26C9">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C140B">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联合体响应的，联合体各方分别提供与联合体协议中规定的分工内容相应的业绩证明材料，业绩数量以提供材料较少的一方为准。</w:t>
            </w:r>
          </w:p>
        </w:tc>
      </w:tr>
      <w:tr w14:paraId="06FD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vAlign w:val="center"/>
          </w:tcPr>
          <w:p w14:paraId="43AB855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843" w:type="dxa"/>
            <w:vMerge w:val="continue"/>
            <w:tcBorders>
              <w:left w:val="single" w:color="000000" w:sz="2" w:space="0"/>
              <w:bottom w:val="single" w:color="auto" w:sz="4" w:space="0"/>
              <w:right w:val="single" w:color="000000" w:sz="8" w:space="0"/>
            </w:tcBorders>
            <w:vAlign w:val="center"/>
          </w:tcPr>
          <w:p w14:paraId="455261CC">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7A316467">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Mincho" w:hAnsi="MS Mincho" w:eastAsia="MS Mincho" w:cs="MS Mincho"/>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联合体响应的，联合体各方均需按磋商文件第五部分评审标准要求提供资信证明文件，否则视为不符合相关要求。</w:t>
            </w:r>
          </w:p>
          <w:p w14:paraId="47B37039">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Gothic" w:cs="Arial"/>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14:paraId="4F26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00FFD80">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0990E86">
            <w:pPr>
              <w:snapToGrid w:val="0"/>
              <w:spacing w:line="360" w:lineRule="auto"/>
              <w:jc w:val="cente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26695BF4">
            <w:pPr>
              <w:spacing w:line="360" w:lineRule="auto"/>
              <w:rPr>
                <w:rFonts w:hint="eastAsia" w:cs="Arial" w:asciiTheme="minorEastAsia" w:hAnsiTheme="minorEastAsia" w:eastAsiaTheme="minorEastAsia"/>
                <w:color w:val="000000" w:themeColor="text1"/>
                <w:kern w:val="0"/>
                <w:sz w:val="24"/>
                <w:szCs w:val="24"/>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本磋商文件解释权属采购人及代理机构。</w:t>
            </w:r>
          </w:p>
        </w:tc>
      </w:tr>
    </w:tbl>
    <w:p w14:paraId="163098CD">
      <w:pPr>
        <w:snapToGrid w:val="0"/>
        <w:jc w:val="center"/>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2F77F1E5">
      <w:pPr>
        <w:adjustRightInd/>
        <w:spacing w:line="360" w:lineRule="auto"/>
        <w:ind w:firstLine="3845" w:firstLineChars="1197"/>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二、总则</w:t>
      </w:r>
    </w:p>
    <w:p w14:paraId="0FED0FF8">
      <w:pPr>
        <w:snapToGrid w:val="0"/>
        <w:spacing w:line="360" w:lineRule="auto"/>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适用范围</w:t>
      </w:r>
    </w:p>
    <w:p w14:paraId="1F8FD32D">
      <w:pPr>
        <w:snapToGrid w:val="0"/>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14:paraId="7E68B307">
      <w:pPr>
        <w:adjustRightInd/>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2.定义</w:t>
      </w:r>
    </w:p>
    <w:p w14:paraId="69A59671">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 “采购人”系指磋商邀请公告中载明的本项目的采购人。</w:t>
      </w:r>
    </w:p>
    <w:p w14:paraId="5E397BA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 “采购代理机构”系指磋商邀请公告中载明的本项目的采购代理机构。</w:t>
      </w:r>
    </w:p>
    <w:p w14:paraId="4A239E7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 “供应商”系指响应磋商、参加本次竞争的法人、其他组织或自然人。</w:t>
      </w:r>
    </w:p>
    <w:p w14:paraId="3410949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 “</w:t>
      </w:r>
      <w:r>
        <w:rPr>
          <w:rFonts w:hint="eastAsia" w:ascii="宋体" w:hAnsi="宋体" w:cs="宋体"/>
          <w:color w:val="000000" w:themeColor="text1"/>
          <w:sz w:val="24"/>
          <w:highlight w:val="none"/>
          <w14:textFill>
            <w14:solidFill>
              <w14:schemeClr w14:val="tx1"/>
            </w14:solidFill>
          </w14:textFill>
        </w:rPr>
        <w:t>法定代表人（负责人）</w:t>
      </w:r>
      <w:r>
        <w:rPr>
          <w:rFonts w:hint="eastAsia" w:asciiTheme="minorEastAsia" w:hAnsiTheme="minorEastAsia" w:eastAsiaTheme="minorEastAsia"/>
          <w:color w:val="000000" w:themeColor="text1"/>
          <w:sz w:val="24"/>
          <w:highlight w:val="none"/>
          <w14:textFill>
            <w14:solidFill>
              <w14:schemeClr w14:val="tx1"/>
            </w14:solidFill>
          </w14:textFill>
        </w:rPr>
        <w:t>”系指法人企业的法定负责人，或其他组织为法律、行政法规规定代表单位行使职权的主要负责人，或自然人本人。</w:t>
      </w:r>
    </w:p>
    <w:p w14:paraId="40ACEB68">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 “成交人”系指经评审确定的成交供应商。</w:t>
      </w:r>
    </w:p>
    <w:p w14:paraId="5471F344">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2.6“响应文件”系指供应商提交的商务技术文件。供应商提交最后报价后，最后报价是供应商响应文件的有效组成部分。</w:t>
      </w:r>
    </w:p>
    <w:p w14:paraId="4FB759F7">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2.7“电子交易平台”系指本项目政府采购活动所依托的</w:t>
      </w:r>
      <w:r>
        <w:rPr>
          <w:rFonts w:hint="eastAsia" w:ascii="宋体" w:hAnsi="宋体" w:cs="宋体"/>
          <w:color w:val="000000" w:themeColor="text1"/>
          <w:sz w:val="24"/>
          <w:highlight w:val="none"/>
          <w14:textFill>
            <w14:solidFill>
              <w14:schemeClr w14:val="tx1"/>
            </w14:solidFill>
          </w14:textFill>
        </w:rPr>
        <w:t>广西政府采购云平台（https</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//www.gcy.zfcg.gxzf.gov.cn/）</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1BAF460">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2.8“电子签名”系指数据电文中以电子形式所含、所附用于识别签名人身份并表明签名人认可其中内容的数据；“公章”系指单位法定名称章。</w:t>
      </w:r>
    </w:p>
    <w:p w14:paraId="2B6AAE8C">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2.9 “书面形式”包括数据电文形式与纸质形式。数据电文形式与纸质形式的采购活动具有同等法律效力。</w:t>
      </w:r>
    </w:p>
    <w:p w14:paraId="14F31F99">
      <w:pPr>
        <w:snapToGrid w:val="0"/>
        <w:spacing w:line="360" w:lineRule="auto"/>
        <w:ind w:firstLine="480"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2.10 “▲” 系指实质性要求条款，“※”系指磋商过程中可能实质性变动的内容，</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sym w:font="Wingdings" w:char="F0FE"/>
      </w:r>
      <w:r>
        <w:rPr>
          <w:rFonts w:hint="eastAsia" w:ascii="宋体" w:hAnsi="宋体" w:cs="宋体"/>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系指适用本项目的要求，“□”系指不适用本项目的要求。</w:t>
      </w:r>
    </w:p>
    <w:p w14:paraId="058BB916">
      <w:pPr>
        <w:adjustRightInd/>
        <w:spacing w:line="360" w:lineRule="auto"/>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 响应有效期</w:t>
      </w:r>
    </w:p>
    <w:p w14:paraId="7BE2C853">
      <w:pPr>
        <w:spacing w:line="360" w:lineRule="auto"/>
        <w:ind w:firstLine="480" w:firstLineChars="200"/>
        <w:rPr>
          <w:rFonts w:cs="仿宋_GB2312" w:asciiTheme="minorEastAsia" w:hAnsiTheme="minorEastAsia" w:eastAsiaTheme="minorEastAsia"/>
          <w:b/>
          <w:color w:val="000000" w:themeColor="text1"/>
          <w:sz w:val="24"/>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0"/>
          <w:highlight w:val="none"/>
          <w14:textFill>
            <w14:solidFill>
              <w14:schemeClr w14:val="tx1"/>
            </w14:solidFill>
          </w14:textFill>
        </w:rPr>
        <w:t>▲3.1</w:t>
      </w:r>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highlight w:val="none"/>
          <w14:textFill>
            <w14:solidFill>
              <w14:schemeClr w14:val="tx1"/>
            </w14:solidFill>
          </w14:textFill>
        </w:rPr>
        <w:t>诺的响应有效期少于磋商文件中载明的磋商有效期的，响应无效。</w:t>
      </w:r>
    </w:p>
    <w:p w14:paraId="4602ABC0">
      <w:pPr>
        <w:pStyle w:val="394"/>
        <w:spacing w:before="0"/>
        <w:ind w:firstLine="480"/>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3.2响应文件合格提交后，自响应截止日期起，在响应有效期内有效。</w:t>
      </w:r>
    </w:p>
    <w:p w14:paraId="69391E44">
      <w:pPr>
        <w:pStyle w:val="394"/>
        <w:spacing w:before="0"/>
        <w:ind w:firstLine="480"/>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000000" w:themeColor="text1"/>
          <w:highlight w:val="none"/>
          <w:lang w:eastAsia="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供应商拒绝延长的，其响应无效。</w:t>
      </w:r>
      <w:r>
        <w:rPr>
          <w:rFonts w:hint="eastAsia" w:asciiTheme="minorEastAsia" w:hAnsiTheme="minorEastAsia" w:eastAsiaTheme="minorEastAsia"/>
          <w:color w:val="000000" w:themeColor="text1"/>
          <w:szCs w:val="24"/>
          <w:highlight w:val="none"/>
          <w14:textFill>
            <w14:solidFill>
              <w14:schemeClr w14:val="tx1"/>
            </w14:solidFill>
          </w14:textFill>
        </w:rPr>
        <w:t>拒绝延长磋商有效期的供应商不得再参与该项目后续采购活动。</w:t>
      </w:r>
    </w:p>
    <w:p w14:paraId="37A7806A">
      <w:pPr>
        <w:tabs>
          <w:tab w:val="left" w:pos="3780"/>
        </w:tabs>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4．响应费用</w:t>
      </w:r>
    </w:p>
    <w:p w14:paraId="2D2A27F1">
      <w:pPr>
        <w:pStyle w:val="34"/>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highlight w:val="none"/>
          <w:lang w:val="zh-CN"/>
          <w14:textFill>
            <w14:solidFill>
              <w14:schemeClr w14:val="tx1"/>
            </w14:solidFill>
          </w14:textFill>
        </w:rPr>
        <w:t>。</w:t>
      </w:r>
    </w:p>
    <w:p w14:paraId="75E7F859">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14:paraId="5ADBCD56">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三、需要落实的政府采购政策</w:t>
      </w:r>
    </w:p>
    <w:p w14:paraId="22DBA739">
      <w:pPr>
        <w:pStyle w:val="394"/>
        <w:spacing w:before="0"/>
        <w:ind w:firstLine="0" w:firstLineChars="0"/>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1.是否允许采购进口产品要求</w:t>
      </w:r>
    </w:p>
    <w:p w14:paraId="7687FDAE">
      <w:pPr>
        <w:pStyle w:val="34"/>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A78BEDC">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2.支持绿色发展</w:t>
      </w:r>
    </w:p>
    <w:p w14:paraId="2A14C661">
      <w:pPr>
        <w:spacing w:line="360" w:lineRule="auto"/>
        <w:ind w:firstLine="480" w:firstLineChars="200"/>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73CD7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2.3为助力打好污染防治攻坚战，推广使用绿色包装，政府采购货物、工程和服务项目中涉及商品包装和快递包装的</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供应商提供产品及相关快递服务的具体包装要求要参考《商品包装政府采购需求标准（试行）》、《快递包装政府采购需求标准（试行）》。</w:t>
      </w:r>
      <w:r>
        <w:rPr>
          <w:rFonts w:hint="eastAsia" w:ascii="宋体" w:hAnsi="宋体" w:cs="宋体"/>
          <w:color w:val="000000" w:themeColor="text1"/>
          <w:sz w:val="24"/>
          <w:highlight w:val="none"/>
          <w14:textFill>
            <w14:solidFill>
              <w14:schemeClr w14:val="tx1"/>
            </w14:solidFill>
          </w14:textFill>
        </w:rPr>
        <w:t>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4"/>
        <w:spacing w:line="360" w:lineRule="auto"/>
        <w:rPr>
          <w:rFonts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3.支持中小企业发展。</w:t>
      </w:r>
    </w:p>
    <w:p w14:paraId="2ECCF9BE">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符合中小企业划分标准的个体工商户，在政府采购活动中视同中小企业。</w:t>
      </w:r>
    </w:p>
    <w:p w14:paraId="1E9F2604">
      <w:pPr>
        <w:widowControl/>
        <w:spacing w:line="360" w:lineRule="auto"/>
        <w:ind w:firstLine="48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sz w:val="24"/>
          <w:highlight w:val="none"/>
          <w14:textFill>
            <w14:solidFill>
              <w14:schemeClr w14:val="tx1"/>
            </w14:solidFill>
          </w14:textFill>
        </w:rPr>
        <w:t>3.2</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highlight w:val="none"/>
          <w14:textFill>
            <w14:solidFill>
              <w14:schemeClr w14:val="tx1"/>
            </w14:solidFill>
          </w14:textFill>
        </w:rPr>
        <w:t>享受中小企业扶持政策。</w:t>
      </w:r>
    </w:p>
    <w:p w14:paraId="4C220524">
      <w:pPr>
        <w:widowControl/>
        <w:spacing w:line="360" w:lineRule="auto"/>
        <w:ind w:firstLine="480" w:firstLineChars="200"/>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）的残疾人福利性单位视同小型、微型企业；</w:t>
      </w:r>
    </w:p>
    <w:p w14:paraId="7F26CA59">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3.7中小企业享受扶持政策获得政府采购合同的，小微企业不得将合同分包给大中型企业，中型企业不得将合同分包给大型企业。</w:t>
      </w:r>
    </w:p>
    <w:p w14:paraId="18D8A7F6">
      <w:pPr>
        <w:spacing w:line="360" w:lineRule="auto"/>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4.</w:t>
      </w:r>
      <w:r>
        <w:rPr>
          <w:rFonts w:hint="eastAsia" w:cs="宋体" w:asciiTheme="minorEastAsia" w:hAnsiTheme="minorEastAsia" w:eastAsiaTheme="minorEastAsia"/>
          <w:b/>
          <w:bCs/>
          <w:color w:val="000000" w:themeColor="text1"/>
          <w:sz w:val="24"/>
          <w:highlight w:val="none"/>
          <w14:textFill>
            <w14:solidFill>
              <w14:schemeClr w14:val="tx1"/>
            </w14:solidFill>
          </w14:textFill>
        </w:rPr>
        <w:t>支持创新发展</w:t>
      </w:r>
    </w:p>
    <w:p w14:paraId="044B3CA3">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4.1采购人优先采购被认定为首台套产品和“制造精品”的自主创新产品。</w:t>
      </w:r>
    </w:p>
    <w:p w14:paraId="04A307BA">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094734F">
      <w:pPr>
        <w:spacing w:line="360" w:lineRule="auto"/>
        <w:rPr>
          <w:rFonts w:ascii="宋体" w:hAnsi="宋体" w:cs="宋体"/>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79C34C2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3"/>
        <w:ind w:firstLine="0"/>
        <w:rPr>
          <w:b/>
          <w:bCs/>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highlight w:val="none"/>
          <w14:textFill>
            <w14:solidFill>
              <w14:schemeClr w14:val="tx1"/>
            </w14:solidFill>
          </w14:textFill>
        </w:rPr>
        <w:t>6.</w:t>
      </w:r>
      <w:r>
        <w:rPr>
          <w:rFonts w:hint="eastAsia"/>
          <w:b/>
          <w:color w:val="000000" w:themeColor="text1"/>
          <w:highlight w:val="none"/>
          <w14:textFill>
            <w14:solidFill>
              <w14:schemeClr w14:val="tx1"/>
            </w14:solidFill>
          </w14:textFill>
        </w:rPr>
        <w:t>平等对待符合条件的破产重整企业</w:t>
      </w:r>
    </w:p>
    <w:p w14:paraId="09407D4A">
      <w:pPr>
        <w:pStyle w:val="633"/>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平等对待符合条件的破产重整企业，切实保障企业公平竞争，平等维护企业的合法利益。</w:t>
      </w:r>
    </w:p>
    <w:p w14:paraId="266E475D">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748AA035">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四、询问、质疑与投诉</w:t>
      </w:r>
    </w:p>
    <w:p w14:paraId="62664E75">
      <w:pPr>
        <w:pStyle w:val="34"/>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1.在线询问、质疑、投诉</w:t>
      </w:r>
    </w:p>
    <w:p w14:paraId="7508DDF7">
      <w:pPr>
        <w:spacing w:line="360" w:lineRule="auto"/>
        <w:ind w:firstLine="480" w:firstLineChars="200"/>
        <w:outlineLvl w:val="9"/>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467BDA3">
      <w:pPr>
        <w:pStyle w:val="633"/>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广西腾锦工程项目管理有限公司</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0779-3833815</w:t>
      </w:r>
      <w:r>
        <w:rPr>
          <w:rFonts w:hint="eastAsia"/>
          <w:color w:val="000000" w:themeColor="text1"/>
          <w:highlight w:val="none"/>
          <w14:textFill>
            <w14:solidFill>
              <w14:schemeClr w14:val="tx1"/>
            </w14:solidFill>
          </w14:textFill>
        </w:rPr>
        <w:t xml:space="preserve">       </w:t>
      </w:r>
    </w:p>
    <w:p w14:paraId="58D63332">
      <w:pPr>
        <w:pStyle w:val="633"/>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val="en-US" w:eastAsia="zh-CN"/>
          <w14:textFill>
            <w14:solidFill>
              <w14:schemeClr w14:val="tx1"/>
            </w14:solidFill>
          </w14:textFill>
        </w:rPr>
        <w:t xml:space="preserve">北海市四川路62号北海文邦国际大厦B座1216号 </w:t>
      </w:r>
    </w:p>
    <w:p w14:paraId="218C0FE7">
      <w:pPr>
        <w:pStyle w:val="633"/>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广西腾锦工程项目管理有限公司</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eastAsia="zh-CN"/>
          <w14:textFill>
            <w14:solidFill>
              <w14:schemeClr w14:val="tx1"/>
            </w14:solidFill>
          </w14:textFill>
        </w:rPr>
        <w:t>0779-3833815</w:t>
      </w:r>
      <w:r>
        <w:rPr>
          <w:rFonts w:hint="eastAsia"/>
          <w:color w:val="000000" w:themeColor="text1"/>
          <w:highlight w:val="none"/>
          <w14:textFill>
            <w14:solidFill>
              <w14:schemeClr w14:val="tx1"/>
            </w14:solidFill>
          </w14:textFill>
        </w:rPr>
        <w:t xml:space="preserve">       </w:t>
      </w:r>
    </w:p>
    <w:p w14:paraId="312E0696">
      <w:pPr>
        <w:pStyle w:val="633"/>
        <w:outlineLvl w:val="9"/>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val="en-US" w:eastAsia="zh-CN"/>
          <w14:textFill>
            <w14:solidFill>
              <w14:schemeClr w14:val="tx1"/>
            </w14:solidFill>
          </w14:textFill>
        </w:rPr>
        <w:t xml:space="preserve">北海市四川路62号北海文邦国际大厦B座1216号  </w:t>
      </w:r>
    </w:p>
    <w:p w14:paraId="7A347417">
      <w:pPr>
        <w:pStyle w:val="633"/>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color w:val="000000" w:themeColor="text1"/>
          <w:highlight w:val="none"/>
          <w:lang w:eastAsia="zh-CN"/>
          <w14:textFill>
            <w14:solidFill>
              <w14:schemeClr w14:val="tx1"/>
            </w14:solidFill>
          </w14:textFill>
        </w:rPr>
        <w:t>北海市</w:t>
      </w:r>
      <w:r>
        <w:rPr>
          <w:rFonts w:hint="eastAsia"/>
          <w:color w:val="000000" w:themeColor="text1"/>
          <w:highlight w:val="none"/>
          <w:lang w:val="en-US" w:eastAsia="zh-CN"/>
          <w14:textFill>
            <w14:solidFill>
              <w14:schemeClr w14:val="tx1"/>
            </w14:solidFill>
          </w14:textFill>
        </w:rPr>
        <w:t>铁山港区</w:t>
      </w:r>
      <w:r>
        <w:rPr>
          <w:rFonts w:hint="eastAsia"/>
          <w:color w:val="000000" w:themeColor="text1"/>
          <w:highlight w:val="none"/>
          <w:lang w:eastAsia="zh-CN"/>
          <w14:textFill>
            <w14:solidFill>
              <w14:schemeClr w14:val="tx1"/>
            </w14:solidFill>
          </w14:textFill>
        </w:rPr>
        <w:t>财政局</w:t>
      </w:r>
      <w:r>
        <w:rPr>
          <w:rFonts w:hint="eastAsia"/>
          <w:color w:val="000000" w:themeColor="text1"/>
          <w:highlight w:val="none"/>
          <w14:textFill>
            <w14:solidFill>
              <w14:schemeClr w14:val="tx1"/>
            </w14:solidFill>
          </w14:textFill>
        </w:rPr>
        <w:t xml:space="preserve">      联系电话：0779-8610009      </w:t>
      </w:r>
    </w:p>
    <w:p w14:paraId="74C8A089">
      <w:pPr>
        <w:pStyle w:val="633"/>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马工</w:t>
      </w:r>
      <w:r>
        <w:rPr>
          <w:rFonts w:hint="eastAsia"/>
          <w:color w:val="000000" w:themeColor="text1"/>
          <w:highlight w:val="none"/>
          <w14:textFill>
            <w14:solidFill>
              <w14:schemeClr w14:val="tx1"/>
            </w14:solidFill>
          </w14:textFill>
        </w:rPr>
        <w:t xml:space="preserve">     地址：北海市铁山港区梅岭路与珠城路交叉路口往东约50米</w:t>
      </w:r>
    </w:p>
    <w:p w14:paraId="745E1528">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供应商询问</w:t>
      </w:r>
    </w:p>
    <w:p w14:paraId="1CEB3B3A">
      <w:pPr>
        <w:autoSpaceDE w:val="0"/>
        <w:autoSpaceDN w:val="0"/>
        <w:spacing w:line="360" w:lineRule="auto"/>
        <w:ind w:firstLine="480" w:firstLineChars="200"/>
        <w:jc w:val="left"/>
        <w:outlineLvl w:val="9"/>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 供应商质疑</w:t>
      </w:r>
    </w:p>
    <w:p w14:paraId="73921E17">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.1质疑提出时效</w:t>
      </w:r>
    </w:p>
    <w:p w14:paraId="2698CEE6">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14:paraId="1963C5CA">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color w:val="000000" w:themeColor="text1"/>
          <w:kern w:val="0"/>
          <w:sz w:val="24"/>
          <w:highlight w:val="none"/>
          <w:lang w:val="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7FD92B6">
      <w:pPr>
        <w:pStyle w:val="16"/>
        <w:spacing w:line="360" w:lineRule="auto"/>
        <w:ind w:firstLine="434" w:firstLineChars="181"/>
        <w:outlineLvl w:val="9"/>
        <w:rPr>
          <w:rFonts w:asciiTheme="minorEastAsia" w:hAnsiTheme="minorEastAsia" w:eastAsiaTheme="minorEastAsia"/>
          <w:snapToGrid/>
          <w:color w:val="000000" w:themeColor="text1"/>
          <w:kern w:val="2"/>
          <w:sz w:val="24"/>
          <w:highlight w:val="none"/>
          <w14:textFill>
            <w14:solidFill>
              <w14:schemeClr w14:val="tx1"/>
            </w14:solidFill>
          </w14:textFill>
        </w:rPr>
      </w:pPr>
      <w:r>
        <w:rPr>
          <w:rFonts w:hint="eastAsia" w:asciiTheme="minorEastAsia" w:hAnsiTheme="minorEastAsia" w:eastAsiaTheme="minorEastAsia"/>
          <w:snapToGrid/>
          <w:color w:val="000000" w:themeColor="text1"/>
          <w:kern w:val="2"/>
          <w:sz w:val="24"/>
          <w:highlight w:val="none"/>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6574F8CE">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3.1.2.2对采购过程提出质疑的，质疑期限为各采购程序环节结束之日起计算。</w:t>
      </w:r>
    </w:p>
    <w:p w14:paraId="245E7BE4">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3.1.2.3对采购结果提出质疑的，质疑期限自采购结果公告期限届满之日起计算。</w:t>
      </w:r>
    </w:p>
    <w:p w14:paraId="254268C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3.1.2.4对同一采购程序环节的质疑，供应商须一次性提出。</w:t>
      </w:r>
    </w:p>
    <w:p w14:paraId="6FF9F8C4">
      <w:pPr>
        <w:pStyle w:val="34"/>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3.2质疑答复</w:t>
      </w:r>
    </w:p>
    <w:p w14:paraId="75157817">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3.2.1根据采购人与采购代理机构签订采购委托协议的规定，质疑答复责任主体如下：</w:t>
      </w:r>
    </w:p>
    <w:p w14:paraId="3CD15BEC">
      <w:pPr>
        <w:widowControl/>
        <w:adjustRightInd/>
        <w:jc w:val="center"/>
        <w:outlineLvl w:val="9"/>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3A9440EF">
      <w:pPr>
        <w:widowControl/>
        <w:adjustRightInd/>
        <w:jc w:val="center"/>
        <w:outlineLvl w:val="9"/>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3C095F29">
      <w:pPr>
        <w:widowControl/>
        <w:adjustRightInd/>
        <w:jc w:val="center"/>
        <w:outlineLvl w:val="9"/>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1C68767C">
      <w:pPr>
        <w:widowControl/>
        <w:adjustRightInd/>
        <w:jc w:val="center"/>
        <w:outlineLvl w:val="9"/>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7DA19B22">
      <w:pPr>
        <w:widowControl/>
        <w:adjustRightInd/>
        <w:jc w:val="center"/>
        <w:outlineLvl w:val="9"/>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61A51DCA">
      <w:pPr>
        <w:widowControl/>
        <w:adjustRightInd/>
        <w:jc w:val="center"/>
        <w:outlineLvl w:val="9"/>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02E218A9">
      <w:pPr>
        <w:widowControl/>
        <w:adjustRightInd/>
        <w:jc w:val="center"/>
        <w:outlineLvl w:val="9"/>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CE67F6">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质疑内容</w:t>
            </w:r>
          </w:p>
        </w:tc>
        <w:tc>
          <w:tcPr>
            <w:tcW w:w="2232" w:type="dxa"/>
            <w:vAlign w:val="center"/>
          </w:tcPr>
          <w:p w14:paraId="405A9C4D">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2FA903">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对采购文件提出质疑</w:t>
            </w:r>
          </w:p>
        </w:tc>
        <w:tc>
          <w:tcPr>
            <w:tcW w:w="4536" w:type="dxa"/>
            <w:vAlign w:val="center"/>
          </w:tcPr>
          <w:p w14:paraId="2C35CD65">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对采购文件中特定资格条件、采购需求、评审办法、评审标准提出的质疑</w:t>
            </w:r>
          </w:p>
        </w:tc>
        <w:tc>
          <w:tcPr>
            <w:tcW w:w="2232" w:type="dxa"/>
            <w:vAlign w:val="center"/>
          </w:tcPr>
          <w:p w14:paraId="6EDE5CBF">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7233C62">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9401B36">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对采购文件中其他内容提出的质疑</w:t>
            </w:r>
          </w:p>
        </w:tc>
        <w:tc>
          <w:tcPr>
            <w:tcW w:w="2232" w:type="dxa"/>
            <w:vAlign w:val="center"/>
          </w:tcPr>
          <w:p w14:paraId="49BD50D3">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48F2E1">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对采购过程提出质疑</w:t>
            </w:r>
          </w:p>
        </w:tc>
        <w:tc>
          <w:tcPr>
            <w:tcW w:w="4536" w:type="dxa"/>
            <w:vAlign w:val="center"/>
          </w:tcPr>
          <w:p w14:paraId="2B39766F">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有关现场考察或开启响应文件前答疑会事项提出的质疑</w:t>
            </w:r>
          </w:p>
        </w:tc>
        <w:tc>
          <w:tcPr>
            <w:tcW w:w="2232" w:type="dxa"/>
            <w:vAlign w:val="center"/>
          </w:tcPr>
          <w:p w14:paraId="7208D6E9">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BA77A0">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p>
        </w:tc>
        <w:tc>
          <w:tcPr>
            <w:tcW w:w="4536" w:type="dxa"/>
            <w:vAlign w:val="center"/>
          </w:tcPr>
          <w:p w14:paraId="6FDE7857">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对采购过程中其它事项提出的质疑</w:t>
            </w:r>
          </w:p>
        </w:tc>
        <w:tc>
          <w:tcPr>
            <w:tcW w:w="2232" w:type="dxa"/>
            <w:vAlign w:val="center"/>
          </w:tcPr>
          <w:p w14:paraId="774282C0">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B79DB05">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对采购结果提出质疑</w:t>
            </w:r>
          </w:p>
        </w:tc>
        <w:tc>
          <w:tcPr>
            <w:tcW w:w="4536" w:type="dxa"/>
            <w:vAlign w:val="center"/>
          </w:tcPr>
          <w:p w14:paraId="6EF826D3">
            <w:pPr>
              <w:pStyle w:val="34"/>
              <w:spacing w:line="360" w:lineRule="auto"/>
              <w:jc w:val="left"/>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对采购结果提出的质疑</w:t>
            </w:r>
          </w:p>
        </w:tc>
        <w:tc>
          <w:tcPr>
            <w:tcW w:w="2232" w:type="dxa"/>
            <w:vAlign w:val="center"/>
          </w:tcPr>
          <w:p w14:paraId="0A118242">
            <w:pPr>
              <w:pStyle w:val="34"/>
              <w:spacing w:line="360" w:lineRule="auto"/>
              <w:jc w:val="center"/>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p>
        </w:tc>
      </w:tr>
    </w:tbl>
    <w:p w14:paraId="66E19D1A">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注：采购人或代理机构应当协助质疑答复责任主体及时答复供应商的书面质疑。</w:t>
      </w:r>
    </w:p>
    <w:p w14:paraId="2D1A5257">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w:t>
      </w:r>
      <w:r>
        <w:rPr>
          <w:rFonts w:hint="eastAsia" w:asciiTheme="minorEastAsia" w:hAnsiTheme="minorEastAsia" w:eastAsiaTheme="minorEastAsia"/>
          <w:color w:val="000000" w:themeColor="text1"/>
          <w:sz w:val="24"/>
          <w:highlight w:val="none"/>
          <w14:textFill>
            <w14:solidFill>
              <w14:schemeClr w14:val="tx1"/>
            </w14:solidFill>
          </w14:textFill>
        </w:rPr>
        <w:t>应当</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在</w:t>
      </w:r>
      <w:r>
        <w:rPr>
          <w:rFonts w:hint="eastAsia" w:asciiTheme="minorEastAsia" w:hAnsiTheme="minorEastAsia" w:eastAsiaTheme="minorEastAsia"/>
          <w:color w:val="000000" w:themeColor="text1"/>
          <w:sz w:val="24"/>
          <w:highlight w:val="none"/>
          <w14:textFill>
            <w14:solidFill>
              <w14:schemeClr w14:val="tx1"/>
            </w14:solidFill>
          </w14:textFill>
        </w:rPr>
        <w:t>质疑回复后5个工作日内，在广西政府采购网公开质疑答复，答复内容应当完整。</w:t>
      </w:r>
    </w:p>
    <w:p w14:paraId="5A2126E4">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3.2.3询问或者质疑事项可能影响采购结果的，采购人应当暂停签订合同，已经签订合同的，应当中止履行合同。</w:t>
      </w:r>
    </w:p>
    <w:p w14:paraId="26214A25">
      <w:pPr>
        <w:pStyle w:val="34"/>
        <w:spacing w:line="360" w:lineRule="auto"/>
        <w:ind w:firstLine="482"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cs="微软雅黑" w:asciiTheme="minorEastAsia" w:hAnsiTheme="minorEastAsia" w:eastAsiaTheme="minorEastAsia"/>
          <w:b/>
          <w:color w:val="000000" w:themeColor="text1"/>
          <w:kern w:val="0"/>
          <w:sz w:val="24"/>
          <w:highlight w:val="none"/>
          <w:lang w:val="zh-CN"/>
          <w14:textFill>
            <w14:solidFill>
              <w14:schemeClr w14:val="tx1"/>
            </w14:solidFill>
          </w14:textFill>
        </w:rPr>
        <w:t>3.3质疑函</w:t>
      </w:r>
    </w:p>
    <w:p w14:paraId="5F9C53CB">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3.3.1供应商提出质疑应当提交质疑函和必要的证明材料。质疑函应当包括下列内容：</w:t>
      </w:r>
    </w:p>
    <w:p w14:paraId="7956E650">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3.3.1.1</w:t>
      </w:r>
      <w:r>
        <w:rPr>
          <w:rFonts w:hint="eastAsia" w:asciiTheme="minorEastAsia" w:hAnsiTheme="minorEastAsia" w:eastAsiaTheme="minorEastAsia"/>
          <w:color w:val="000000" w:themeColor="text1"/>
          <w:sz w:val="24"/>
          <w:szCs w:val="24"/>
          <w:highlight w:val="none"/>
          <w14:textFill>
            <w14:solidFill>
              <w14:schemeClr w14:val="tx1"/>
            </w14:solidFill>
          </w14:textFill>
        </w:rPr>
        <w:t>供应商的姓名或者名称、地址、邮编、联系人及联系电话；</w:t>
      </w:r>
    </w:p>
    <w:p w14:paraId="7A7C4698">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3.3.1.2</w:t>
      </w:r>
      <w:r>
        <w:rPr>
          <w:rFonts w:hint="eastAsia" w:asciiTheme="minorEastAsia" w:hAnsiTheme="minorEastAsia" w:eastAsiaTheme="minorEastAsia"/>
          <w:color w:val="000000" w:themeColor="text1"/>
          <w:sz w:val="24"/>
          <w:szCs w:val="24"/>
          <w:highlight w:val="none"/>
          <w14:textFill>
            <w14:solidFill>
              <w14:schemeClr w14:val="tx1"/>
            </w14:solidFill>
          </w14:textFill>
        </w:rPr>
        <w:t>质疑项目的名称、编号；</w:t>
      </w:r>
    </w:p>
    <w:p w14:paraId="09AB2245">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3.3.1.3</w:t>
      </w:r>
      <w:r>
        <w:rPr>
          <w:rFonts w:hint="eastAsia" w:asciiTheme="minorEastAsia" w:hAnsiTheme="minorEastAsia" w:eastAsiaTheme="minorEastAsia"/>
          <w:color w:val="000000" w:themeColor="text1"/>
          <w:sz w:val="24"/>
          <w:szCs w:val="24"/>
          <w:highlight w:val="none"/>
          <w14:textFill>
            <w14:solidFill>
              <w14:schemeClr w14:val="tx1"/>
            </w14:solidFill>
          </w14:textFill>
        </w:rPr>
        <w:t>具体、明确的质疑事项和与质疑事项相关的请求；</w:t>
      </w:r>
    </w:p>
    <w:p w14:paraId="79EC753C">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3.3.1.4</w:t>
      </w:r>
      <w:r>
        <w:rPr>
          <w:rFonts w:hint="eastAsia" w:asciiTheme="minorEastAsia" w:hAnsiTheme="minorEastAsia" w:eastAsiaTheme="minorEastAsia"/>
          <w:color w:val="000000" w:themeColor="text1"/>
          <w:sz w:val="24"/>
          <w:szCs w:val="24"/>
          <w:highlight w:val="none"/>
          <w14:textFill>
            <w14:solidFill>
              <w14:schemeClr w14:val="tx1"/>
            </w14:solidFill>
          </w14:textFill>
        </w:rPr>
        <w:t>事实依据；</w:t>
      </w:r>
    </w:p>
    <w:p w14:paraId="23AAFC1B">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3.3.1.5</w:t>
      </w:r>
      <w:r>
        <w:rPr>
          <w:rFonts w:hint="eastAsia" w:asciiTheme="minorEastAsia" w:hAnsiTheme="minorEastAsia" w:eastAsiaTheme="minorEastAsia"/>
          <w:color w:val="000000" w:themeColor="text1"/>
          <w:sz w:val="24"/>
          <w:szCs w:val="24"/>
          <w:highlight w:val="none"/>
          <w14:textFill>
            <w14:solidFill>
              <w14:schemeClr w14:val="tx1"/>
            </w14:solidFill>
          </w14:textFill>
        </w:rPr>
        <w:t>必要的法律依据；</w:t>
      </w:r>
    </w:p>
    <w:p w14:paraId="2ED83F7B">
      <w:pPr>
        <w:pStyle w:val="34"/>
        <w:tabs>
          <w:tab w:val="left" w:pos="426"/>
          <w:tab w:val="left" w:pos="840"/>
        </w:tabs>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3.3.1.6</w:t>
      </w:r>
      <w:r>
        <w:rPr>
          <w:rFonts w:hint="eastAsia" w:asciiTheme="minorEastAsia" w:hAnsiTheme="minorEastAsia" w:eastAsiaTheme="minorEastAsia"/>
          <w:color w:val="000000" w:themeColor="text1"/>
          <w:sz w:val="24"/>
          <w:szCs w:val="24"/>
          <w:highlight w:val="none"/>
          <w14:textFill>
            <w14:solidFill>
              <w14:schemeClr w14:val="tx1"/>
            </w14:solidFill>
          </w14:textFill>
        </w:rPr>
        <w:t>提出质疑的日期。</w:t>
      </w:r>
    </w:p>
    <w:p w14:paraId="2A8BE8D6">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17ABBFEE">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质疑函范本及制作说明详见附件</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w:t>
      </w:r>
    </w:p>
    <w:p w14:paraId="5D14D869">
      <w:pPr>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.供应商投诉</w:t>
      </w:r>
    </w:p>
    <w:p w14:paraId="7758BAA9">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.1质疑供应商对采购人、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的答复不满意或者采购人、</w:t>
      </w:r>
      <w:r>
        <w:rPr>
          <w:rFonts w:hint="eastAsia" w:asciiTheme="minorEastAsia" w:hAnsiTheme="minorEastAsia" w:eastAsiaTheme="minorEastAsia"/>
          <w:color w:val="000000" w:themeColor="text1"/>
          <w:sz w:val="24"/>
          <w:highlight w:val="none"/>
          <w14:textFill>
            <w14:solidFill>
              <w14:schemeClr w14:val="tx1"/>
            </w14:solidFill>
          </w14:textFill>
        </w:rPr>
        <w:t>采购代理机构</w:t>
      </w:r>
      <w:r>
        <w:rPr>
          <w:rFonts w:asciiTheme="minorEastAsia" w:hAnsiTheme="minorEastAsia" w:eastAsiaTheme="minorEastAsia"/>
          <w:color w:val="000000" w:themeColor="text1"/>
          <w:sz w:val="24"/>
          <w:highlight w:val="none"/>
          <w14:textFill>
            <w14:solidFill>
              <w14:schemeClr w14:val="tx1"/>
            </w14:solidFill>
          </w14:textFill>
        </w:rPr>
        <w:t>未在规定的时间内</w:t>
      </w:r>
      <w:r>
        <w:rPr>
          <w:rFonts w:hint="eastAsia" w:asciiTheme="minorEastAsia" w:hAnsiTheme="minorEastAsia" w:eastAsiaTheme="minorEastAsia"/>
          <w:color w:val="000000" w:themeColor="text1"/>
          <w:sz w:val="24"/>
          <w:highlight w:val="none"/>
          <w14:textFill>
            <w14:solidFill>
              <w14:schemeClr w14:val="tx1"/>
            </w14:solidFill>
          </w14:textFill>
        </w:rPr>
        <w:t>作出答复的，可以在答复期满后十五个工作日内向同级政府采购监督管理部门提出投诉。</w:t>
      </w:r>
    </w:p>
    <w:p w14:paraId="4DACC9BC">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.2供应</w:t>
      </w:r>
      <w:r>
        <w:rPr>
          <w:rFonts w:hint="eastAsia" w:asciiTheme="minorEastAsia" w:hAnsiTheme="minorEastAsia" w:eastAsiaTheme="minorEastAsia"/>
          <w:color w:val="000000" w:themeColor="text1"/>
          <w:sz w:val="24"/>
          <w:highlight w:val="none"/>
          <w14:textFill>
            <w14:solidFill>
              <w14:schemeClr w14:val="tx1"/>
            </w14:solidFill>
          </w14:textFill>
        </w:rPr>
        <w:t>商投诉的事项不得超出已质疑事项的范围，基于质疑答复内容提出的投诉事项除外。</w:t>
      </w:r>
    </w:p>
    <w:p w14:paraId="1980A591">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.3供应</w:t>
      </w:r>
      <w:r>
        <w:rPr>
          <w:rFonts w:hint="eastAsia" w:asciiTheme="minorEastAsia" w:hAnsiTheme="minorEastAsia" w:eastAsiaTheme="minorEastAsia"/>
          <w:color w:val="000000" w:themeColor="text1"/>
          <w:sz w:val="24"/>
          <w:highlight w:val="none"/>
          <w14:textFill>
            <w14:solidFill>
              <w14:schemeClr w14:val="tx1"/>
            </w14:solidFill>
          </w14:textFill>
        </w:rPr>
        <w:t>商投诉应当有明确的请求和必要的证明材料。</w:t>
      </w:r>
    </w:p>
    <w:p w14:paraId="44FECD6A">
      <w:pPr>
        <w:pStyle w:val="34"/>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.4以联合体形</w:t>
      </w:r>
      <w:r>
        <w:rPr>
          <w:rFonts w:hint="eastAsia" w:asciiTheme="minorEastAsia" w:hAnsiTheme="minorEastAsia" w:eastAsiaTheme="minorEastAsia"/>
          <w:color w:val="000000" w:themeColor="text1"/>
          <w:sz w:val="24"/>
          <w:highlight w:val="none"/>
          <w14:textFill>
            <w14:solidFill>
              <w14:schemeClr w14:val="tx1"/>
            </w14:solidFill>
          </w14:textFill>
        </w:rPr>
        <w:t>式参加政府采购活动的，其投诉应当由组成联合体的所有供应商共同提出。</w:t>
      </w:r>
    </w:p>
    <w:p w14:paraId="164ABC3C">
      <w:pPr>
        <w:pStyle w:val="34"/>
        <w:spacing w:line="360" w:lineRule="auto"/>
        <w:ind w:firstLine="482" w:firstLineChars="200"/>
        <w:outlineLvl w:val="9"/>
        <w:rPr>
          <w:rFonts w:asciiTheme="minorEastAsia" w:hAnsiTheme="minorEastAsia" w:eastAsiaTheme="minorEastAsia"/>
          <w:b/>
          <w:color w:val="000000" w:themeColor="text1"/>
          <w:sz w:val="24"/>
          <w:highlight w:val="none"/>
          <w14:textFill>
            <w14:solidFill>
              <w14:schemeClr w14:val="tx1"/>
            </w14:solidFill>
          </w14:textFill>
        </w:rPr>
      </w:pPr>
    </w:p>
    <w:p w14:paraId="12DD149D">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788C6DF5">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五、磋商文件构成、修改、解释</w:t>
      </w:r>
    </w:p>
    <w:p w14:paraId="5BC5C555">
      <w:pPr>
        <w:autoSpaceDE w:val="0"/>
        <w:autoSpaceDN w:val="0"/>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1．磋商文件的构成</w:t>
      </w:r>
    </w:p>
    <w:p w14:paraId="0632E4EA">
      <w:pPr>
        <w:pStyle w:val="34"/>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1.1 磋商文件包括下列文件及附件</w:t>
      </w:r>
    </w:p>
    <w:p w14:paraId="54C6E9BE">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第一部分  邀请供应商</w:t>
      </w:r>
    </w:p>
    <w:p w14:paraId="7ADE9BCF">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第二部分  竞争性磋商流程</w:t>
      </w:r>
    </w:p>
    <w:p w14:paraId="097A19D2">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第三部分  供应商须知</w:t>
      </w:r>
    </w:p>
    <w:p w14:paraId="673A2192">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第四部分  采购需求</w:t>
      </w:r>
    </w:p>
    <w:p w14:paraId="15EB680E">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第五部分  评审方法及评审标准</w:t>
      </w:r>
    </w:p>
    <w:p w14:paraId="0F091CD3">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第六部分  拟签订的合同文本</w:t>
      </w:r>
    </w:p>
    <w:p w14:paraId="365926FE">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第七部分  应提交的有关格式范例</w:t>
      </w:r>
    </w:p>
    <w:p w14:paraId="36B2D242">
      <w:pPr>
        <w:pStyle w:val="34"/>
        <w:tabs>
          <w:tab w:val="left" w:pos="840"/>
        </w:tabs>
        <w:spacing w:line="360" w:lineRule="auto"/>
        <w:ind w:left="1319"/>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第八部分  最后报价格式</w:t>
      </w:r>
    </w:p>
    <w:p w14:paraId="1FEF65DB">
      <w:pPr>
        <w:pStyle w:val="34"/>
        <w:spacing w:line="360" w:lineRule="auto"/>
        <w:ind w:firstLine="480" w:firstLineChars="200"/>
        <w:outlineLvl w:val="9"/>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1.2 </w:t>
      </w:r>
      <w:r>
        <w:rPr>
          <w:rFonts w:hint="eastAsia" w:asciiTheme="minorEastAsia" w:hAnsiTheme="minorEastAsia" w:eastAsiaTheme="minorEastAsia"/>
          <w:color w:val="000000" w:themeColor="text1"/>
          <w:sz w:val="24"/>
          <w:highlight w:val="none"/>
          <w14:textFill>
            <w14:solidFill>
              <w14:schemeClr w14:val="tx1"/>
            </w14:solidFill>
          </w14:textFill>
        </w:rPr>
        <w:t>与本项目有关的</w:t>
      </w:r>
      <w:r>
        <w:rPr>
          <w:rFonts w:hint="eastAsia" w:asciiTheme="minorEastAsia" w:hAnsiTheme="minorEastAsia" w:eastAsiaTheme="minorEastAsia"/>
          <w:bCs/>
          <w:color w:val="000000" w:themeColor="text1"/>
          <w:sz w:val="24"/>
          <w:highlight w:val="none"/>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highlight w:val="none"/>
          <w14:textFill>
            <w14:solidFill>
              <w14:schemeClr w14:val="tx1"/>
            </w14:solidFill>
          </w14:textFill>
        </w:rPr>
        <w:t>。</w:t>
      </w:r>
    </w:p>
    <w:p w14:paraId="6750D205">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澄清、修改</w:t>
      </w:r>
    </w:p>
    <w:p w14:paraId="79107EE4">
      <w:pPr>
        <w:pStyle w:val="394"/>
        <w:snapToGrid w:val="0"/>
        <w:spacing w:before="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2.1已获取磋商文件的潜在供应商，若有问题需要澄清，应于提交首次响应文件截止时间前，以书面形式向采购代理机构提出。</w:t>
      </w:r>
    </w:p>
    <w:p w14:paraId="7A72F44F">
      <w:pPr>
        <w:pStyle w:val="394"/>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2.2</w:t>
      </w:r>
      <w:r>
        <w:rPr>
          <w:rFonts w:hint="eastAsia" w:cs="宋体" w:asciiTheme="minorEastAsia" w:hAnsiTheme="minorEastAsia" w:eastAsiaTheme="minorEastAsia"/>
          <w:color w:val="000000" w:themeColor="text1"/>
          <w:highlight w:val="none"/>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highlight w:val="none"/>
          <w14:textFill>
            <w14:solidFill>
              <w14:schemeClr w14:val="tx1"/>
            </w14:solidFill>
          </w14:textFill>
        </w:rPr>
        <w:t>提交首次</w:t>
      </w:r>
      <w:r>
        <w:rPr>
          <w:rFonts w:hint="eastAsia" w:cs="宋体" w:asciiTheme="minorEastAsia" w:hAnsiTheme="minorEastAsia" w:eastAsiaTheme="minorEastAsia"/>
          <w:color w:val="000000" w:themeColor="text1"/>
          <w:highlight w:val="none"/>
          <w14:textFill>
            <w14:solidFill>
              <w14:schemeClr w14:val="tx1"/>
            </w14:solidFill>
          </w14:textFill>
        </w:rPr>
        <w:t>响应文件截止时间和响应文件开启时间。该澄清或者修改的内容为磋商文件的组成部分。</w:t>
      </w:r>
    </w:p>
    <w:p w14:paraId="7AE8A1C5">
      <w:pPr>
        <w:pStyle w:val="394"/>
        <w:snapToGrid w:val="0"/>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highlight w:val="none"/>
          <w14:textFill>
            <w14:solidFill>
              <w14:schemeClr w14:val="tx1"/>
            </w14:solidFill>
          </w14:textFill>
        </w:rPr>
        <w:t>通过电子交易平台</w:t>
      </w:r>
      <w:r>
        <w:rPr>
          <w:rFonts w:hint="eastAsia" w:asciiTheme="minorEastAsia" w:hAnsiTheme="minorEastAsia" w:eastAsiaTheme="minorEastAsia"/>
          <w:color w:val="000000" w:themeColor="text1"/>
          <w:highlight w:val="none"/>
          <w14:textFill>
            <w14:solidFill>
              <w14:schemeClr w14:val="tx1"/>
            </w14:solidFill>
          </w14:textFill>
        </w:rPr>
        <w:t>通知所有获取磋商文件的供应商；不足5日的，采购人、采购代理机构应当顺延提交首次响应文件截止时间。</w:t>
      </w:r>
    </w:p>
    <w:p w14:paraId="784B860E">
      <w:pPr>
        <w:pStyle w:val="394"/>
        <w:snapToGrid w:val="0"/>
        <w:spacing w:before="0"/>
        <w:ind w:firstLine="482"/>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w:t>
      </w:r>
      <w:r>
        <w:rPr>
          <w:rFonts w:hint="eastAsia" w:cs="仿宋_GB2312" w:asciiTheme="minorEastAsia" w:hAnsiTheme="minorEastAsia" w:eastAsiaTheme="minorEastAsia"/>
          <w:b/>
          <w:color w:val="000000" w:themeColor="text1"/>
          <w:szCs w:val="21"/>
          <w:highlight w:val="none"/>
          <w14:textFill>
            <w14:solidFill>
              <w14:schemeClr w14:val="tx1"/>
            </w14:solidFill>
          </w14:textFill>
        </w:rPr>
        <w:t>响应文件未按磋商文件的澄清、修改的内容编制，又不符合实质性要求的，响应无效。</w:t>
      </w:r>
    </w:p>
    <w:p w14:paraId="52ABD8C0">
      <w:pPr>
        <w:pStyle w:val="25"/>
        <w:outlineLvl w:val="9"/>
        <w:rPr>
          <w:rFonts w:cs="仿宋_GB2312" w:asciiTheme="minorEastAsia" w:hAnsiTheme="minorEastAsia" w:eastAsiaTheme="minorEastAsia"/>
          <w:color w:val="000000" w:themeColor="text1"/>
          <w:sz w:val="18"/>
          <w:szCs w:val="18"/>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Cs w:val="24"/>
          <w:highlight w:val="none"/>
          <w:lang w:val="en-US"/>
          <w14:textFill>
            <w14:solidFill>
              <w14:schemeClr w14:val="tx1"/>
            </w14:solidFill>
          </w14:textFill>
        </w:rPr>
        <w:t xml:space="preserve">    </w:t>
      </w:r>
    </w:p>
    <w:p w14:paraId="646A513F">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六、响应文件的编制</w:t>
      </w:r>
    </w:p>
    <w:p w14:paraId="2DEEAB32">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1. 响应文件的语言</w:t>
      </w:r>
    </w:p>
    <w:p w14:paraId="66CA3B82">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响应文件及供应商与采购有关的来往通知、函件和文件均应使用中文。</w:t>
      </w:r>
    </w:p>
    <w:p w14:paraId="30071C86">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szCs w:val="24"/>
          <w:highlight w:val="none"/>
          <w14:textFill>
            <w14:solidFill>
              <w14:schemeClr w14:val="tx1"/>
            </w14:solidFill>
          </w14:textFill>
        </w:rPr>
        <w:t>2. 响应文件的组成</w:t>
      </w:r>
    </w:p>
    <w:p w14:paraId="72C8D0BE">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响应文件应当包括以下主要内容：</w:t>
      </w:r>
    </w:p>
    <w:p w14:paraId="193DE9C2">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资格文件</w:t>
      </w:r>
    </w:p>
    <w:p w14:paraId="6A49F9C8">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zh-CN"/>
        </w:rPr>
        <w:t>授权委托书或法定代表人（单位负责人、自然人本人）身份证明</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w:t>
      </w:r>
    </w:p>
    <w:p w14:paraId="69C42A44">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w:t>
      </w:r>
      <w:bookmarkStart w:id="46" w:name="OLE_LINK9"/>
      <w:r>
        <w:rPr>
          <w:rFonts w:hint="eastAsia" w:ascii="宋体" w:hAnsi="宋体" w:eastAsia="宋体" w:cs="宋体"/>
          <w:b/>
          <w:bCs/>
          <w:color w:val="auto"/>
          <w:sz w:val="24"/>
          <w:szCs w:val="24"/>
          <w:highlight w:val="none"/>
        </w:rPr>
        <w:t>符合参加政府采购活动应当具备的一般条件的承诺函</w:t>
      </w:r>
      <w:bookmarkEnd w:id="46"/>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（格式见</w:t>
      </w:r>
      <w:r>
        <w:rPr>
          <w:rFonts w:hint="eastAsia" w:hAnsi="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6C25F248">
      <w:pPr>
        <w:pStyle w:val="34"/>
        <w:keepNext w:val="0"/>
        <w:keepLines w:val="0"/>
        <w:pageBreakBefore w:val="0"/>
        <w:kinsoku/>
        <w:wordWrap/>
        <w:overflowPunct/>
        <w:topLinePunct w:val="0"/>
        <w:bidi w:val="0"/>
        <w:spacing w:line="3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3）</w:t>
      </w:r>
      <w:bookmarkStart w:id="47" w:name="OLE_LINK10"/>
      <w:r>
        <w:rPr>
          <w:rFonts w:hint="eastAsia" w:ascii="宋体" w:hAnsi="宋体" w:eastAsia="宋体" w:cs="宋体"/>
          <w:b w:val="0"/>
          <w:bCs w:val="0"/>
          <w:color w:val="auto"/>
          <w:sz w:val="24"/>
          <w:szCs w:val="24"/>
          <w:highlight w:val="none"/>
        </w:rPr>
        <w:t>中小企业声明函</w:t>
      </w:r>
      <w:r>
        <w:rPr>
          <w:rFonts w:hint="eastAsia" w:hAnsi="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残疾人福利性单位声明函</w:t>
      </w:r>
      <w:r>
        <w:rPr>
          <w:rFonts w:hint="eastAsia" w:hAnsi="宋体" w:cs="宋体"/>
          <w:b w:val="0"/>
          <w:bCs w:val="0"/>
          <w:color w:val="auto"/>
          <w:sz w:val="24"/>
          <w:szCs w:val="24"/>
          <w:highlight w:val="none"/>
          <w:lang w:eastAsia="zh-CN"/>
        </w:rPr>
        <w:t>或</w:t>
      </w:r>
      <w:r>
        <w:rPr>
          <w:rFonts w:hint="eastAsia" w:ascii="宋体" w:hAnsi="宋体" w:cs="宋体"/>
          <w:b w:val="0"/>
          <w:bCs w:val="0"/>
          <w:color w:val="auto"/>
          <w:sz w:val="24"/>
          <w:szCs w:val="24"/>
          <w:highlight w:val="none"/>
          <w:lang w:eastAsia="zh-CN"/>
        </w:rPr>
        <w:t>监狱企业的证明文件</w:t>
      </w:r>
      <w:bookmarkEnd w:id="47"/>
      <w:r>
        <w:rPr>
          <w:rFonts w:hint="eastAsia"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（格式见</w:t>
      </w:r>
      <w:r>
        <w:rPr>
          <w:rFonts w:hint="eastAsia" w:hAnsi="宋体" w:cs="宋体"/>
          <w:b w:val="0"/>
          <w:bCs w:val="0"/>
          <w:color w:val="auto"/>
          <w:sz w:val="24"/>
          <w:szCs w:val="24"/>
          <w:highlight w:val="none"/>
          <w:lang w:eastAsia="zh-CN"/>
        </w:rPr>
        <w:t>本磋商文件第七部分</w:t>
      </w:r>
      <w:r>
        <w:rPr>
          <w:rFonts w:hint="eastAsia" w:ascii="宋体" w:hAnsi="宋体" w:eastAsia="宋体" w:cs="宋体"/>
          <w:b w:val="0"/>
          <w:bCs w:val="0"/>
          <w:color w:val="auto"/>
          <w:sz w:val="24"/>
          <w:szCs w:val="24"/>
          <w:highlight w:val="none"/>
        </w:rPr>
        <w:t>，</w:t>
      </w:r>
      <w:r>
        <w:rPr>
          <w:rFonts w:hint="eastAsia" w:hAnsi="宋体" w:cs="宋体"/>
          <w:b w:val="0"/>
          <w:bCs w:val="0"/>
          <w:color w:val="auto"/>
          <w:sz w:val="24"/>
          <w:szCs w:val="24"/>
          <w:highlight w:val="none"/>
          <w:lang w:val="en-US" w:eastAsia="zh-CN"/>
        </w:rPr>
        <w:t>如有提供</w:t>
      </w:r>
      <w:r>
        <w:rPr>
          <w:rFonts w:hint="eastAsia" w:ascii="宋体" w:hAnsi="宋体" w:eastAsia="宋体" w:cs="宋体"/>
          <w:b w:val="0"/>
          <w:bCs w:val="0"/>
          <w:color w:val="auto"/>
          <w:sz w:val="24"/>
          <w:szCs w:val="24"/>
          <w:highlight w:val="none"/>
        </w:rPr>
        <w:t>）</w:t>
      </w:r>
    </w:p>
    <w:p w14:paraId="5F3044F0">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bookmarkStart w:id="48" w:name="OLE_LINK11"/>
      <w:r>
        <w:rPr>
          <w:rFonts w:hint="eastAsia" w:ascii="宋体" w:hAnsi="宋体" w:eastAsia="宋体" w:cs="宋体"/>
          <w:b/>
          <w:bCs/>
          <w:color w:val="auto"/>
          <w:sz w:val="24"/>
          <w:szCs w:val="24"/>
          <w:highlight w:val="none"/>
        </w:rPr>
        <w:t>供应商直接控股、管理关系信息表</w:t>
      </w:r>
      <w:bookmarkEnd w:id="48"/>
      <w:r>
        <w:rPr>
          <w:rFonts w:hint="eastAsia" w:ascii="宋体" w:hAnsi="宋体" w:eastAsia="宋体" w:cs="宋体"/>
          <w:b/>
          <w:bCs/>
          <w:color w:val="auto"/>
          <w:sz w:val="24"/>
          <w:szCs w:val="24"/>
          <w:highlight w:val="none"/>
        </w:rPr>
        <w:t>；(格式见第</w:t>
      </w:r>
      <w:r>
        <w:rPr>
          <w:rFonts w:hint="eastAsia" w:hAnsi="宋体" w:cs="宋体"/>
          <w:b/>
          <w:bCs/>
          <w:color w:val="auto"/>
          <w:sz w:val="24"/>
          <w:szCs w:val="24"/>
          <w:highlight w:val="none"/>
          <w:lang w:eastAsia="zh-CN"/>
        </w:rPr>
        <w:t>七</w:t>
      </w:r>
      <w:r>
        <w:rPr>
          <w:rFonts w:hint="eastAsia" w:ascii="宋体" w:hAnsi="宋体" w:eastAsia="宋体" w:cs="宋体"/>
          <w:b/>
          <w:bCs/>
          <w:color w:val="auto"/>
          <w:sz w:val="24"/>
          <w:szCs w:val="24"/>
          <w:highlight w:val="none"/>
          <w:lang w:eastAsia="zh-CN"/>
        </w:rPr>
        <w:t>部分</w:t>
      </w:r>
      <w:r>
        <w:rPr>
          <w:rFonts w:hint="eastAsia" w:ascii="宋体" w:hAnsi="宋体" w:eastAsia="宋体" w:cs="宋体"/>
          <w:b/>
          <w:bCs/>
          <w:color w:val="auto"/>
          <w:sz w:val="24"/>
          <w:szCs w:val="24"/>
          <w:highlight w:val="none"/>
        </w:rPr>
        <w:t>，必须提供）</w:t>
      </w:r>
    </w:p>
    <w:p w14:paraId="73C52470">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bookmarkStart w:id="49" w:name="OLE_LINK12"/>
      <w:r>
        <w:rPr>
          <w:rFonts w:hint="eastAsia" w:ascii="宋体" w:hAnsi="宋体" w:eastAsia="宋体" w:cs="宋体"/>
          <w:b/>
          <w:bCs/>
          <w:color w:val="auto"/>
          <w:sz w:val="24"/>
          <w:szCs w:val="24"/>
          <w:highlight w:val="none"/>
        </w:rPr>
        <w:t>无串通竞标行为的承诺函</w:t>
      </w:r>
      <w:bookmarkEnd w:id="49"/>
      <w:r>
        <w:rPr>
          <w:rFonts w:hint="eastAsia" w:ascii="宋体" w:hAnsi="宋体" w:eastAsia="宋体" w:cs="宋体"/>
          <w:b/>
          <w:bCs/>
          <w:color w:val="auto"/>
          <w:sz w:val="24"/>
          <w:szCs w:val="24"/>
          <w:highlight w:val="none"/>
        </w:rPr>
        <w:t>；（格式见第</w:t>
      </w:r>
      <w:r>
        <w:rPr>
          <w:rFonts w:hint="eastAsia" w:hAnsi="宋体" w:cs="宋体"/>
          <w:b/>
          <w:bCs/>
          <w:color w:val="auto"/>
          <w:sz w:val="24"/>
          <w:szCs w:val="24"/>
          <w:highlight w:val="none"/>
          <w:lang w:eastAsia="zh-CN"/>
        </w:rPr>
        <w:t>七</w:t>
      </w:r>
      <w:r>
        <w:rPr>
          <w:rFonts w:hint="eastAsia" w:ascii="宋体" w:hAnsi="宋体" w:eastAsia="宋体" w:cs="宋体"/>
          <w:b/>
          <w:bCs/>
          <w:color w:val="auto"/>
          <w:sz w:val="24"/>
          <w:szCs w:val="24"/>
          <w:highlight w:val="none"/>
          <w:lang w:eastAsia="zh-CN"/>
        </w:rPr>
        <w:t>部分</w:t>
      </w:r>
      <w:r>
        <w:rPr>
          <w:rFonts w:hint="eastAsia" w:ascii="宋体" w:hAnsi="宋体" w:eastAsia="宋体" w:cs="宋体"/>
          <w:b/>
          <w:bCs/>
          <w:color w:val="auto"/>
          <w:sz w:val="24"/>
          <w:szCs w:val="24"/>
          <w:highlight w:val="none"/>
        </w:rPr>
        <w:t>，必须提供）</w:t>
      </w:r>
    </w:p>
    <w:p w14:paraId="09A64EF3">
      <w:pPr>
        <w:pStyle w:val="34"/>
        <w:keepNext w:val="0"/>
        <w:keepLines w:val="0"/>
        <w:pageBreakBefore w:val="0"/>
        <w:kinsoku/>
        <w:wordWrap/>
        <w:overflowPunct/>
        <w:topLinePunct w:val="0"/>
        <w:bidi w:val="0"/>
        <w:spacing w:line="3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（6）供应商认为需要提供的其它有关资料。</w:t>
      </w:r>
    </w:p>
    <w:p w14:paraId="5FDBE7FC">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商务技术</w:t>
      </w:r>
      <w:r>
        <w:rPr>
          <w:rFonts w:hint="eastAsia"/>
          <w:b/>
          <w:bCs/>
          <w:color w:val="auto"/>
          <w:sz w:val="24"/>
          <w:szCs w:val="24"/>
          <w:highlight w:val="none"/>
          <w:lang w:eastAsia="zh-CN"/>
        </w:rPr>
        <w:t>文件</w:t>
      </w:r>
    </w:p>
    <w:p w14:paraId="408651E4">
      <w:pPr>
        <w:pStyle w:val="34"/>
        <w:keepNext w:val="0"/>
        <w:keepLines w:val="0"/>
        <w:pageBreakBefore w:val="0"/>
        <w:kinsoku/>
        <w:wordWrap/>
        <w:overflowPunct/>
        <w:topLinePunct w:val="0"/>
        <w:bidi w:val="0"/>
        <w:spacing w:line="340" w:lineRule="exact"/>
        <w:ind w:firstLine="482" w:firstLineChars="200"/>
        <w:textAlignment w:val="auto"/>
        <w:rPr>
          <w:rFonts w:hint="eastAsia" w:hAnsi="宋体" w:cs="宋体"/>
          <w:color w:val="auto"/>
          <w:kern w:val="0"/>
          <w:sz w:val="24"/>
          <w:szCs w:val="24"/>
          <w:highlight w:val="none"/>
          <w:lang w:val="en-US" w:eastAsia="zh-CN"/>
        </w:rPr>
      </w:pPr>
      <w:r>
        <w:rPr>
          <w:rFonts w:hint="eastAsia" w:ascii="宋体" w:hAnsi="宋体" w:eastAsia="宋体" w:cs="宋体"/>
          <w:b/>
          <w:bCs/>
          <w:color w:val="auto"/>
          <w:sz w:val="24"/>
          <w:szCs w:val="24"/>
          <w:highlight w:val="none"/>
        </w:rPr>
        <w:t>▲</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1）</w:t>
      </w:r>
      <w:r>
        <w:rPr>
          <w:rFonts w:hint="eastAsia" w:ascii="宋体" w:hAnsi="宋体" w:eastAsia="宋体" w:cs="宋体"/>
          <w:b/>
          <w:bCs/>
          <w:color w:val="auto"/>
          <w:sz w:val="24"/>
          <w:szCs w:val="24"/>
          <w:highlight w:val="none"/>
        </w:rPr>
        <w:t>响应函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（格式见</w:t>
      </w:r>
      <w:r>
        <w:rPr>
          <w:rFonts w:hint="eastAsia" w:hAnsi="宋体" w:cs="宋体"/>
          <w:b/>
          <w:bCs/>
          <w:color w:val="auto"/>
          <w:sz w:val="24"/>
          <w:szCs w:val="24"/>
          <w:highlight w:val="none"/>
          <w:lang w:eastAsia="zh-CN"/>
        </w:rPr>
        <w:t>本磋商文件</w:t>
      </w: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eastAsia="zh-CN"/>
        </w:rPr>
        <w:t>七</w:t>
      </w:r>
      <w:r>
        <w:rPr>
          <w:rFonts w:hint="eastAsia" w:hAnsi="宋体" w:cs="宋体"/>
          <w:b/>
          <w:bCs/>
          <w:color w:val="auto"/>
          <w:sz w:val="24"/>
          <w:szCs w:val="24"/>
          <w:highlight w:val="none"/>
          <w:lang w:eastAsia="zh-CN"/>
        </w:rPr>
        <w:t>部分</w:t>
      </w:r>
      <w:r>
        <w:rPr>
          <w:rFonts w:hint="eastAsia" w:ascii="宋体" w:hAnsi="宋体" w:eastAsia="宋体" w:cs="宋体"/>
          <w:b/>
          <w:bCs/>
          <w:color w:val="auto"/>
          <w:sz w:val="24"/>
          <w:szCs w:val="24"/>
          <w:highlight w:val="none"/>
        </w:rPr>
        <w:t>，必须提供）</w:t>
      </w:r>
    </w:p>
    <w:p w14:paraId="5683F7EE">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2）</w:t>
      </w:r>
      <w:r>
        <w:rPr>
          <w:rFonts w:hint="eastAsia" w:hAnsi="宋体" w:cs="宋体"/>
          <w:b/>
          <w:bCs/>
          <w:color w:val="auto"/>
          <w:sz w:val="24"/>
          <w:szCs w:val="24"/>
          <w:highlight w:val="none"/>
          <w:lang w:val="en-US" w:eastAsia="zh-CN"/>
        </w:rPr>
        <w:t>承诺函；</w:t>
      </w:r>
      <w:r>
        <w:rPr>
          <w:rFonts w:hint="eastAsia" w:ascii="宋体" w:hAnsi="宋体" w:eastAsia="宋体" w:cs="宋体"/>
          <w:b/>
          <w:bCs/>
          <w:color w:val="auto"/>
          <w:sz w:val="24"/>
          <w:szCs w:val="24"/>
          <w:highlight w:val="none"/>
        </w:rPr>
        <w:t>（格式见</w:t>
      </w:r>
      <w:r>
        <w:rPr>
          <w:rFonts w:hint="eastAsia" w:hAnsi="宋体" w:cs="宋体"/>
          <w:b/>
          <w:bCs/>
          <w:color w:val="auto"/>
          <w:sz w:val="24"/>
          <w:szCs w:val="24"/>
          <w:highlight w:val="none"/>
          <w:lang w:eastAsia="zh-CN"/>
        </w:rPr>
        <w:t>本磋商文件</w:t>
      </w: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eastAsia="zh-CN"/>
        </w:rPr>
        <w:t>七</w:t>
      </w:r>
      <w:r>
        <w:rPr>
          <w:rFonts w:hint="eastAsia" w:hAnsi="宋体" w:cs="宋体"/>
          <w:b/>
          <w:bCs/>
          <w:color w:val="auto"/>
          <w:sz w:val="24"/>
          <w:szCs w:val="24"/>
          <w:highlight w:val="none"/>
          <w:lang w:eastAsia="zh-CN"/>
        </w:rPr>
        <w:t>部分</w:t>
      </w:r>
      <w:r>
        <w:rPr>
          <w:rFonts w:hint="eastAsia" w:ascii="宋体" w:hAnsi="宋体" w:eastAsia="宋体" w:cs="宋体"/>
          <w:b/>
          <w:bCs/>
          <w:color w:val="auto"/>
          <w:sz w:val="24"/>
          <w:szCs w:val="24"/>
          <w:highlight w:val="none"/>
        </w:rPr>
        <w:t>，必须提供）</w:t>
      </w:r>
    </w:p>
    <w:p w14:paraId="65CD901A">
      <w:pPr>
        <w:pStyle w:val="34"/>
        <w:keepNext w:val="0"/>
        <w:keepLines w:val="0"/>
        <w:pageBreakBefore w:val="0"/>
        <w:kinsoku/>
        <w:wordWrap/>
        <w:overflowPunct/>
        <w:topLinePunct w:val="0"/>
        <w:bidi w:val="0"/>
        <w:spacing w:line="340" w:lineRule="exact"/>
        <w:ind w:firstLine="482" w:firstLineChars="200"/>
        <w:textAlignment w:val="auto"/>
        <w:rPr>
          <w:rFonts w:hint="default"/>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lang w:val="zh-CN"/>
        </w:rPr>
        <w:t>政府采购供应商廉洁自律承诺书</w:t>
      </w:r>
      <w:r>
        <w:rPr>
          <w:rFonts w:hint="eastAsia" w:ascii="宋体" w:hAnsi="宋体" w:eastAsia="宋体" w:cs="宋体"/>
          <w:color w:val="auto"/>
          <w:kern w:val="0"/>
          <w:sz w:val="24"/>
          <w:szCs w:val="24"/>
          <w:highlight w:val="none"/>
          <w:lang w:val="zh-CN"/>
        </w:rPr>
        <w:t>；</w:t>
      </w:r>
      <w:r>
        <w:rPr>
          <w:rFonts w:hint="eastAsia" w:ascii="宋体" w:hAnsi="宋体" w:eastAsia="宋体" w:cs="宋体"/>
          <w:b/>
          <w:bCs/>
          <w:color w:val="auto"/>
          <w:sz w:val="24"/>
          <w:szCs w:val="24"/>
          <w:highlight w:val="none"/>
        </w:rPr>
        <w:t>（格式见</w:t>
      </w:r>
      <w:r>
        <w:rPr>
          <w:rFonts w:hint="eastAsia" w:hAnsi="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56184350">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商务</w:t>
      </w:r>
      <w:r>
        <w:rPr>
          <w:rFonts w:hint="eastAsia" w:hAnsi="宋体" w:cs="宋体"/>
          <w:b/>
          <w:bCs/>
          <w:color w:val="auto"/>
          <w:sz w:val="24"/>
          <w:szCs w:val="24"/>
          <w:highlight w:val="none"/>
          <w:lang w:eastAsia="zh-CN"/>
        </w:rPr>
        <w:t>技术</w:t>
      </w:r>
      <w:r>
        <w:rPr>
          <w:rFonts w:hint="eastAsia" w:ascii="宋体" w:hAnsi="宋体" w:cs="宋体"/>
          <w:b/>
          <w:bCs/>
          <w:color w:val="auto"/>
          <w:sz w:val="24"/>
          <w:szCs w:val="24"/>
          <w:highlight w:val="none"/>
        </w:rPr>
        <w:t>服务响应、偏离情况说明表</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rPr>
        <w:t>（格式见</w:t>
      </w:r>
      <w:r>
        <w:rPr>
          <w:rFonts w:hint="eastAsia" w:hAnsi="宋体" w:cs="宋体"/>
          <w:b/>
          <w:bCs/>
          <w:color w:val="auto"/>
          <w:sz w:val="24"/>
          <w:szCs w:val="24"/>
          <w:highlight w:val="none"/>
          <w:lang w:eastAsia="zh-CN"/>
        </w:rPr>
        <w:t>本磋商文件第七部分</w:t>
      </w:r>
      <w:r>
        <w:rPr>
          <w:rFonts w:hint="eastAsia" w:ascii="宋体" w:hAnsi="宋体" w:eastAsia="宋体" w:cs="宋体"/>
          <w:b/>
          <w:bCs/>
          <w:color w:val="auto"/>
          <w:sz w:val="24"/>
          <w:szCs w:val="24"/>
          <w:highlight w:val="none"/>
        </w:rPr>
        <w:t>，必须提供）</w:t>
      </w:r>
    </w:p>
    <w:p w14:paraId="7F2B88B1">
      <w:pPr>
        <w:pStyle w:val="34"/>
        <w:keepNext w:val="0"/>
        <w:keepLines w:val="0"/>
        <w:pageBreakBefore w:val="0"/>
        <w:kinsoku/>
        <w:wordWrap/>
        <w:overflowPunct/>
        <w:topLinePunct w:val="0"/>
        <w:bidi w:val="0"/>
        <w:spacing w:line="340" w:lineRule="exact"/>
        <w:ind w:firstLine="482" w:firstLineChars="200"/>
        <w:textAlignment w:val="auto"/>
        <w:rPr>
          <w:rFonts w:hint="eastAsia" w:hAnsi="宋体" w:cs="宋体"/>
          <w:color w:val="auto"/>
          <w:kern w:val="0"/>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Cs/>
          <w:color w:val="auto"/>
          <w:kern w:val="0"/>
          <w:sz w:val="24"/>
          <w:szCs w:val="24"/>
          <w:highlight w:val="none"/>
        </w:rPr>
        <w:t>（</w:t>
      </w:r>
      <w:r>
        <w:rPr>
          <w:rFonts w:hint="eastAsia" w:hAnsi="宋体" w:cs="宋体"/>
          <w:bCs/>
          <w:color w:val="auto"/>
          <w:kern w:val="0"/>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eastAsia="宋体" w:cs="宋体"/>
          <w:b/>
          <w:bCs w:val="0"/>
          <w:color w:val="auto"/>
          <w:kern w:val="0"/>
          <w:sz w:val="24"/>
          <w:szCs w:val="24"/>
          <w:highlight w:val="none"/>
          <w:lang w:val="en-US" w:eastAsia="zh-CN"/>
        </w:rPr>
        <w:t>项目实施方案</w:t>
      </w:r>
      <w:r>
        <w:rPr>
          <w:rFonts w:hint="eastAsia" w:ascii="宋体" w:hAnsi="宋体" w:cs="宋体"/>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格式自拟，</w:t>
      </w:r>
      <w:r>
        <w:rPr>
          <w:rFonts w:hint="eastAsia" w:ascii="宋体" w:hAnsi="宋体" w:eastAsia="宋体" w:cs="宋体"/>
          <w:b/>
          <w:bCs/>
          <w:color w:val="auto"/>
          <w:sz w:val="24"/>
          <w:szCs w:val="24"/>
          <w:highlight w:val="none"/>
        </w:rPr>
        <w:t>必须提供）</w:t>
      </w:r>
    </w:p>
    <w:p w14:paraId="72E17ABA">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Cs/>
          <w:color w:val="auto"/>
          <w:kern w:val="0"/>
          <w:sz w:val="24"/>
          <w:szCs w:val="24"/>
          <w:highlight w:val="none"/>
        </w:rPr>
        <w:t>（</w:t>
      </w:r>
      <w:r>
        <w:rPr>
          <w:rFonts w:hint="eastAsia" w:hAnsi="宋体" w:cs="宋体"/>
          <w:bCs/>
          <w:color w:val="auto"/>
          <w:kern w:val="0"/>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eastAsia="宋体" w:cs="宋体"/>
          <w:b/>
          <w:bCs w:val="0"/>
          <w:color w:val="auto"/>
          <w:kern w:val="0"/>
          <w:sz w:val="24"/>
          <w:szCs w:val="24"/>
          <w:highlight w:val="none"/>
          <w:lang w:val="en-US" w:eastAsia="zh-CN"/>
        </w:rPr>
        <w:t>运营服务质量保障方案</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格式自拟，</w:t>
      </w:r>
      <w:r>
        <w:rPr>
          <w:rFonts w:hint="eastAsia" w:ascii="宋体" w:hAnsi="宋体" w:eastAsia="宋体" w:cs="宋体"/>
          <w:b/>
          <w:bCs/>
          <w:color w:val="auto"/>
          <w:sz w:val="24"/>
          <w:szCs w:val="24"/>
          <w:highlight w:val="none"/>
        </w:rPr>
        <w:t>必须提供）</w:t>
      </w:r>
    </w:p>
    <w:p w14:paraId="300F02DB">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hAnsi="宋体" w:cs="宋体"/>
          <w:b w:val="0"/>
          <w:bCs w:val="0"/>
          <w:color w:val="auto"/>
          <w:sz w:val="24"/>
          <w:szCs w:val="24"/>
          <w:highlight w:val="none"/>
          <w:lang w:val="en-US" w:eastAsia="zh-CN"/>
        </w:rPr>
        <w:t>（7）</w:t>
      </w:r>
      <w:r>
        <w:rPr>
          <w:rFonts w:hint="eastAsia" w:hAnsi="宋体" w:cs="宋体"/>
          <w:b/>
          <w:bCs/>
          <w:color w:val="auto"/>
          <w:sz w:val="24"/>
          <w:szCs w:val="24"/>
          <w:highlight w:val="none"/>
          <w:lang w:val="en-US" w:eastAsia="zh-CN"/>
        </w:rPr>
        <w:t>拟投入人员管理方案</w:t>
      </w:r>
      <w:r>
        <w:rPr>
          <w:rFonts w:hint="eastAsia" w:ascii="宋体" w:hAnsi="宋体" w:eastAsia="宋体" w:cs="宋体"/>
          <w:b/>
          <w:bCs/>
          <w:color w:val="auto"/>
          <w:sz w:val="24"/>
          <w:szCs w:val="24"/>
          <w:highlight w:val="none"/>
        </w:rPr>
        <w:t>（格式自拟，必须提供）</w:t>
      </w:r>
    </w:p>
    <w:p w14:paraId="3E519D3D">
      <w:pPr>
        <w:pStyle w:val="5"/>
        <w:numPr>
          <w:ilvl w:val="3"/>
          <w:numId w:val="0"/>
        </w:numPr>
        <w:spacing w:before="0" w:after="0" w:line="240" w:lineRule="auto"/>
        <w:ind w:firstLine="482" w:firstLineChars="200"/>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val="0"/>
          <w:bCs w:val="0"/>
          <w:sz w:val="24"/>
          <w:szCs w:val="24"/>
          <w:highlight w:val="none"/>
        </w:rPr>
        <w:t>（8）</w:t>
      </w:r>
      <w:r>
        <w:rPr>
          <w:rFonts w:hint="eastAsia" w:ascii="宋体" w:hAnsi="宋体" w:eastAsia="宋体" w:cs="宋体"/>
          <w:sz w:val="24"/>
          <w:szCs w:val="24"/>
          <w:highlight w:val="none"/>
        </w:rPr>
        <w:t>应急方案（格式自拟，必须提供）</w:t>
      </w:r>
    </w:p>
    <w:p w14:paraId="6FF37268">
      <w:pPr>
        <w:rPr>
          <w:rFonts w:hint="eastAsia" w:ascii="宋体" w:hAnsi="宋体" w:eastAsia="宋体" w:cs="宋体"/>
          <w:b/>
          <w:bCs/>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b/>
          <w:bCs/>
          <w:color w:val="auto"/>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b/>
          <w:bCs/>
          <w:color w:val="000000"/>
          <w:sz w:val="24"/>
          <w:szCs w:val="24"/>
          <w:highlight w:val="none"/>
        </w:rPr>
        <w:t>培训方案</w:t>
      </w:r>
      <w:r>
        <w:rPr>
          <w:rFonts w:hint="eastAsia" w:ascii="宋体" w:hAnsi="宋体" w:eastAsia="宋体" w:cs="宋体"/>
          <w:b/>
          <w:bCs/>
          <w:sz w:val="24"/>
          <w:szCs w:val="24"/>
          <w:highlight w:val="none"/>
        </w:rPr>
        <w:t>（格式自拟，必须提供）</w:t>
      </w:r>
    </w:p>
    <w:p w14:paraId="166B1F66">
      <w:pPr>
        <w:pStyle w:val="34"/>
        <w:keepNext w:val="0"/>
        <w:keepLines w:val="0"/>
        <w:pageBreakBefore w:val="0"/>
        <w:kinsoku/>
        <w:wordWrap/>
        <w:overflowPunct/>
        <w:topLinePunct w:val="0"/>
        <w:bidi w:val="0"/>
        <w:spacing w:line="340" w:lineRule="exact"/>
        <w:ind w:firstLine="482" w:firstLineChars="200"/>
        <w:textAlignment w:val="auto"/>
        <w:rPr>
          <w:rFonts w:hint="eastAsia" w:hAnsi="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kern w:val="0"/>
          <w:sz w:val="24"/>
          <w:szCs w:val="24"/>
          <w:highlight w:val="none"/>
          <w:lang w:val="zh-CN"/>
        </w:rPr>
        <w:t>（</w:t>
      </w:r>
      <w:r>
        <w:rPr>
          <w:rFonts w:hint="eastAsia" w:hAnsi="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lang w:val="zh-CN"/>
        </w:rPr>
        <w:t>）</w:t>
      </w:r>
      <w:bookmarkStart w:id="50" w:name="OLE_LINK13"/>
      <w:r>
        <w:rPr>
          <w:rFonts w:hint="eastAsia" w:ascii="宋体" w:hAnsi="宋体" w:eastAsia="宋体" w:cs="宋体"/>
          <w:b/>
          <w:bCs/>
          <w:color w:val="auto"/>
          <w:kern w:val="0"/>
          <w:sz w:val="24"/>
          <w:szCs w:val="24"/>
          <w:highlight w:val="none"/>
          <w:lang w:val="zh-CN"/>
        </w:rPr>
        <w:t>拟投入本项目人员情况一览表</w:t>
      </w:r>
      <w:bookmarkEnd w:id="50"/>
      <w:r>
        <w:rPr>
          <w:rFonts w:hint="eastAsia" w:ascii="宋体" w:hAnsi="宋体" w:eastAsia="宋体" w:cs="宋体"/>
          <w:b/>
          <w:bCs/>
          <w:color w:val="auto"/>
          <w:kern w:val="0"/>
          <w:sz w:val="24"/>
          <w:szCs w:val="24"/>
          <w:highlight w:val="none"/>
          <w:lang w:val="zh-CN"/>
        </w:rPr>
        <w:t>（格式见本磋商文件第七部分，必须提供）</w:t>
      </w:r>
    </w:p>
    <w:p w14:paraId="3B40294D">
      <w:pPr>
        <w:pStyle w:val="34"/>
        <w:keepNext w:val="0"/>
        <w:keepLines w:val="0"/>
        <w:pageBreakBefore w:val="0"/>
        <w:kinsoku/>
        <w:wordWrap/>
        <w:overflowPunct/>
        <w:topLinePunct w:val="0"/>
        <w:bidi w:val="0"/>
        <w:spacing w:line="340" w:lineRule="exact"/>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本项目第</w:t>
      </w:r>
      <w:r>
        <w:rPr>
          <w:rFonts w:hint="eastAsia" w:ascii="宋体" w:hAnsi="宋体" w:eastAsia="宋体" w:cs="宋体"/>
          <w:b/>
          <w:bCs/>
          <w:color w:val="auto"/>
          <w:sz w:val="24"/>
          <w:szCs w:val="24"/>
          <w:highlight w:val="none"/>
          <w:lang w:eastAsia="zh-CN"/>
        </w:rPr>
        <w:t>四部分</w:t>
      </w:r>
      <w:r>
        <w:rPr>
          <w:rFonts w:hint="eastAsia" w:ascii="宋体" w:hAnsi="宋体" w:eastAsia="宋体" w:cs="宋体"/>
          <w:b/>
          <w:bCs/>
          <w:color w:val="auto"/>
          <w:sz w:val="24"/>
          <w:szCs w:val="24"/>
          <w:highlight w:val="none"/>
        </w:rPr>
        <w:t>中要求提供的相关资料</w:t>
      </w:r>
      <w:r>
        <w:rPr>
          <w:rFonts w:hint="eastAsia"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（如本项目第</w:t>
      </w:r>
      <w:r>
        <w:rPr>
          <w:rFonts w:hint="eastAsia" w:ascii="宋体" w:hAnsi="宋体" w:eastAsia="宋体" w:cs="宋体"/>
          <w:b/>
          <w:bCs/>
          <w:color w:val="auto"/>
          <w:sz w:val="24"/>
          <w:szCs w:val="24"/>
          <w:highlight w:val="none"/>
          <w:lang w:eastAsia="zh-CN"/>
        </w:rPr>
        <w:t>四部分</w:t>
      </w:r>
      <w:r>
        <w:rPr>
          <w:rFonts w:hint="eastAsia" w:ascii="宋体" w:hAnsi="宋体" w:eastAsia="宋体" w:cs="宋体"/>
          <w:b/>
          <w:bCs/>
          <w:color w:val="auto"/>
          <w:sz w:val="24"/>
          <w:szCs w:val="24"/>
          <w:highlight w:val="none"/>
        </w:rPr>
        <w:t>中有要求的,</w:t>
      </w:r>
      <w:r>
        <w:rPr>
          <w:rFonts w:hint="eastAsia" w:ascii="宋体" w:hAnsi="宋体" w:eastAsia="宋体" w:cs="宋体"/>
          <w:b/>
          <w:bCs/>
          <w:color w:val="auto"/>
          <w:sz w:val="24"/>
          <w:szCs w:val="24"/>
          <w:highlight w:val="none"/>
          <w:lang w:val="zh-CN"/>
        </w:rPr>
        <w:t>则提供</w:t>
      </w:r>
      <w:r>
        <w:rPr>
          <w:rFonts w:hint="eastAsia" w:ascii="宋体" w:hAnsi="宋体" w:eastAsia="宋体" w:cs="宋体"/>
          <w:b/>
          <w:bCs/>
          <w:color w:val="auto"/>
          <w:sz w:val="24"/>
          <w:szCs w:val="24"/>
          <w:highlight w:val="none"/>
        </w:rPr>
        <w:t>）</w:t>
      </w:r>
    </w:p>
    <w:p w14:paraId="59A49533">
      <w:pPr>
        <w:pStyle w:val="34"/>
        <w:keepNext w:val="0"/>
        <w:keepLines w:val="0"/>
        <w:pageBreakBefore w:val="0"/>
        <w:kinsoku/>
        <w:wordWrap/>
        <w:overflowPunct/>
        <w:topLinePunct w:val="0"/>
        <w:bidi w:val="0"/>
        <w:spacing w:line="340" w:lineRule="exact"/>
        <w:ind w:firstLine="720" w:firstLineChars="3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w:t>
      </w:r>
      <w:r>
        <w:rPr>
          <w:rFonts w:hint="eastAsia"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）2023年1月1日以来具有与本项目采购内容相关业绩</w:t>
      </w:r>
      <w:r>
        <w:rPr>
          <w:rFonts w:hint="eastAsia" w:hAnsi="宋体" w:cs="宋体"/>
          <w:color w:val="auto"/>
          <w:kern w:val="0"/>
          <w:sz w:val="24"/>
          <w:szCs w:val="24"/>
          <w:highlight w:val="none"/>
          <w:lang w:val="en-US" w:eastAsia="zh-CN"/>
        </w:rPr>
        <w:t>证明材料</w:t>
      </w:r>
      <w:r>
        <w:rPr>
          <w:rFonts w:hint="eastAsia" w:ascii="宋体" w:hAnsi="宋体" w:eastAsia="宋体" w:cs="宋体"/>
          <w:color w:val="auto"/>
          <w:kern w:val="0"/>
          <w:sz w:val="24"/>
          <w:szCs w:val="24"/>
          <w:highlight w:val="none"/>
          <w:lang w:val="zh-CN"/>
        </w:rPr>
        <w:t xml:space="preserve"> (如有</w:t>
      </w:r>
      <w:r>
        <w:rPr>
          <w:rFonts w:hint="eastAsia" w:hAnsi="宋体" w:cs="宋体"/>
          <w:color w:val="auto"/>
          <w:kern w:val="0"/>
          <w:sz w:val="24"/>
          <w:szCs w:val="24"/>
          <w:highlight w:val="none"/>
          <w:lang w:val="zh-CN"/>
        </w:rPr>
        <w:t>提供</w:t>
      </w:r>
      <w:r>
        <w:rPr>
          <w:rFonts w:hint="eastAsia" w:ascii="宋体" w:hAnsi="宋体" w:eastAsia="宋体" w:cs="宋体"/>
          <w:color w:val="auto"/>
          <w:kern w:val="0"/>
          <w:sz w:val="24"/>
          <w:szCs w:val="24"/>
          <w:highlight w:val="none"/>
          <w:lang w:val="zh-CN"/>
        </w:rPr>
        <w:t>)</w:t>
      </w:r>
    </w:p>
    <w:p w14:paraId="524CDD1C">
      <w:pPr>
        <w:pStyle w:val="34"/>
        <w:keepNext w:val="0"/>
        <w:keepLines w:val="0"/>
        <w:pageBreakBefore w:val="0"/>
        <w:kinsoku/>
        <w:wordWrap/>
        <w:overflowPunct/>
        <w:topLinePunct w:val="0"/>
        <w:bidi w:val="0"/>
        <w:spacing w:line="340" w:lineRule="exact"/>
        <w:ind w:firstLine="720" w:firstLineChars="300"/>
        <w:textAlignment w:val="auto"/>
        <w:rPr>
          <w:rFonts w:hint="eastAsia"/>
          <w:color w:val="auto"/>
          <w:sz w:val="24"/>
          <w:szCs w:val="24"/>
          <w:highlight w:val="none"/>
        </w:rPr>
      </w:pP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13</w:t>
      </w:r>
      <w:r>
        <w:rPr>
          <w:rFonts w:hint="eastAsia" w:hAnsi="宋体" w:cs="宋体"/>
          <w:color w:val="auto"/>
          <w:sz w:val="24"/>
          <w:szCs w:val="24"/>
          <w:highlight w:val="none"/>
          <w:lang w:eastAsia="zh-CN"/>
        </w:rPr>
        <w:t>供应商</w:t>
      </w:r>
      <w:r>
        <w:rPr>
          <w:rFonts w:hint="eastAsia" w:ascii="宋体" w:hAnsi="宋体" w:eastAsia="宋体" w:cs="宋体"/>
          <w:color w:val="auto"/>
          <w:kern w:val="0"/>
          <w:sz w:val="24"/>
          <w:szCs w:val="24"/>
          <w:highlight w:val="none"/>
          <w:lang w:val="zh-CN"/>
        </w:rPr>
        <w:t>认为</w:t>
      </w:r>
      <w:r>
        <w:rPr>
          <w:rFonts w:hint="eastAsia" w:hAnsi="宋体" w:cs="宋体"/>
          <w:color w:val="auto"/>
          <w:kern w:val="0"/>
          <w:sz w:val="24"/>
          <w:szCs w:val="24"/>
          <w:highlight w:val="none"/>
          <w:lang w:val="zh-CN" w:eastAsia="zh-CN"/>
        </w:rPr>
        <w:t>需要提供</w:t>
      </w:r>
      <w:r>
        <w:rPr>
          <w:rFonts w:hint="eastAsia" w:ascii="宋体" w:hAnsi="宋体" w:eastAsia="宋体" w:cs="宋体"/>
          <w:color w:val="auto"/>
          <w:kern w:val="0"/>
          <w:sz w:val="24"/>
          <w:szCs w:val="24"/>
          <w:highlight w:val="none"/>
          <w:lang w:val="zh-CN"/>
        </w:rPr>
        <w:t>的其他商务</w:t>
      </w:r>
      <w:r>
        <w:rPr>
          <w:rFonts w:hint="eastAsia" w:hAnsi="宋体" w:cs="宋体"/>
          <w:color w:val="auto"/>
          <w:kern w:val="0"/>
          <w:sz w:val="24"/>
          <w:szCs w:val="24"/>
          <w:highlight w:val="none"/>
          <w:lang w:val="zh-CN"/>
        </w:rPr>
        <w:t>技术</w:t>
      </w:r>
      <w:r>
        <w:rPr>
          <w:rFonts w:hint="eastAsia" w:ascii="宋体" w:hAnsi="宋体" w:eastAsia="宋体" w:cs="宋体"/>
          <w:color w:val="auto"/>
          <w:kern w:val="0"/>
          <w:sz w:val="24"/>
          <w:szCs w:val="24"/>
          <w:highlight w:val="none"/>
          <w:lang w:val="zh-CN"/>
        </w:rPr>
        <w:t>文件或说明 (如有</w:t>
      </w:r>
      <w:r>
        <w:rPr>
          <w:rFonts w:hint="eastAsia" w:hAnsi="宋体" w:cs="宋体"/>
          <w:color w:val="auto"/>
          <w:kern w:val="0"/>
          <w:sz w:val="24"/>
          <w:szCs w:val="24"/>
          <w:highlight w:val="none"/>
          <w:lang w:val="zh-CN"/>
        </w:rPr>
        <w:t>提供</w:t>
      </w:r>
      <w:r>
        <w:rPr>
          <w:rFonts w:hint="eastAsia" w:ascii="宋体" w:hAnsi="宋体" w:eastAsia="宋体" w:cs="宋体"/>
          <w:color w:val="auto"/>
          <w:kern w:val="0"/>
          <w:sz w:val="24"/>
          <w:szCs w:val="24"/>
          <w:highlight w:val="none"/>
          <w:lang w:val="zh-CN"/>
        </w:rPr>
        <w:t xml:space="preserve">) </w:t>
      </w:r>
    </w:p>
    <w:p w14:paraId="62122AFA">
      <w:pPr>
        <w:pStyle w:val="34"/>
        <w:keepNext w:val="0"/>
        <w:keepLines w:val="0"/>
        <w:pageBreakBefore w:val="0"/>
        <w:kinsoku/>
        <w:wordWrap/>
        <w:overflowPunct/>
        <w:topLinePunct w:val="0"/>
        <w:bidi w:val="0"/>
        <w:spacing w:line="3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hAnsi="宋体" w:cs="宋体"/>
          <w:b/>
          <w:bCs/>
          <w:color w:val="auto"/>
          <w:sz w:val="24"/>
          <w:szCs w:val="24"/>
          <w:highlight w:val="none"/>
          <w:lang w:val="en-US" w:eastAsia="zh-CN"/>
        </w:rPr>
        <w:t>3报价文件</w:t>
      </w:r>
    </w:p>
    <w:p w14:paraId="3784CFE2">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w:t>
      </w:r>
      <w:r>
        <w:rPr>
          <w:rFonts w:hint="eastAsia" w:hAnsi="宋体" w:cs="宋体"/>
          <w:b/>
          <w:bCs/>
          <w:color w:val="auto"/>
          <w:sz w:val="24"/>
          <w:szCs w:val="24"/>
          <w:highlight w:val="none"/>
          <w:lang w:eastAsia="zh-CN"/>
        </w:rPr>
        <w:t>报价表</w:t>
      </w:r>
      <w:r>
        <w:rPr>
          <w:rFonts w:hint="eastAsia" w:ascii="宋体" w:hAnsi="宋体" w:eastAsia="宋体" w:cs="宋体"/>
          <w:b/>
          <w:bCs/>
          <w:color w:val="auto"/>
          <w:sz w:val="24"/>
          <w:szCs w:val="24"/>
          <w:highlight w:val="none"/>
        </w:rPr>
        <w:t>（格式见</w:t>
      </w:r>
      <w:r>
        <w:rPr>
          <w:rFonts w:hint="eastAsia" w:ascii="宋体" w:hAnsi="宋体" w:eastAsia="宋体" w:cs="宋体"/>
          <w:b/>
          <w:bCs/>
          <w:color w:val="auto"/>
          <w:sz w:val="24"/>
          <w:szCs w:val="24"/>
          <w:highlight w:val="none"/>
          <w:lang w:eastAsia="zh-CN"/>
        </w:rPr>
        <w:t>本</w:t>
      </w:r>
      <w:r>
        <w:rPr>
          <w:rFonts w:hint="eastAsia" w:hAnsi="宋体" w:cs="宋体"/>
          <w:b/>
          <w:bCs/>
          <w:color w:val="auto"/>
          <w:sz w:val="24"/>
          <w:szCs w:val="24"/>
          <w:highlight w:val="none"/>
          <w:lang w:eastAsia="zh-CN"/>
        </w:rPr>
        <w:t>磋商文件第七部分</w:t>
      </w:r>
      <w:r>
        <w:rPr>
          <w:rFonts w:hint="eastAsia" w:ascii="宋体" w:hAnsi="宋体" w:eastAsia="宋体" w:cs="宋体"/>
          <w:b/>
          <w:bCs/>
          <w:color w:val="auto"/>
          <w:sz w:val="24"/>
          <w:szCs w:val="24"/>
          <w:highlight w:val="none"/>
        </w:rPr>
        <w:t>，必须提供）</w:t>
      </w:r>
      <w:r>
        <w:rPr>
          <w:rFonts w:hint="eastAsia" w:hAnsi="宋体" w:cs="宋体"/>
          <w:b/>
          <w:bCs/>
          <w:color w:val="auto"/>
          <w:sz w:val="24"/>
          <w:szCs w:val="24"/>
          <w:highlight w:val="none"/>
          <w:lang w:eastAsia="zh-CN"/>
        </w:rPr>
        <w:t>。</w:t>
      </w:r>
    </w:p>
    <w:p w14:paraId="2E52031C">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23B3CBF1">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在电子投标系统中作出投标响应的，如</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未对关联点进行响应或者在响应文件其它内容进行描述，造成电子评审不能查询的责任由</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自行承担。</w:t>
      </w:r>
    </w:p>
    <w:p w14:paraId="1CF24CCA">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②本磋商文件要求提供的的各种复印件，须加盖</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CA签章，否则其磋商无效。</w:t>
      </w:r>
    </w:p>
    <w:p w14:paraId="01E96EC9">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③本磋商文件要求在响应文件中“必须提供”的证明等材料，</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必须全部提供，缺一不可，否则按磋商无效处理。</w:t>
      </w:r>
    </w:p>
    <w:p w14:paraId="7943C47C">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④本磋商文件要求法定代表人（负责人）或委托代理人签名的，可采用</w:t>
      </w:r>
      <w:r>
        <w:rPr>
          <w:rFonts w:hint="eastAsia" w:ascii="宋体" w:hAnsi="宋体" w:eastAsia="宋体" w:cs="宋体"/>
          <w:b/>
          <w:bCs w:val="0"/>
          <w:color w:val="auto"/>
          <w:sz w:val="24"/>
          <w:szCs w:val="24"/>
          <w:highlight w:val="none"/>
          <w:lang w:eastAsia="zh-CN"/>
        </w:rPr>
        <w:t>采购云平台</w:t>
      </w:r>
      <w:r>
        <w:rPr>
          <w:rFonts w:hint="eastAsia" w:ascii="宋体" w:hAnsi="宋体" w:eastAsia="宋体" w:cs="宋体"/>
          <w:b/>
          <w:bCs w:val="0"/>
          <w:color w:val="auto"/>
          <w:sz w:val="24"/>
          <w:szCs w:val="24"/>
          <w:highlight w:val="none"/>
        </w:rPr>
        <w:t>系统中的CA签章，也可由本人签字后扫描或者拍照做成pdf等格式上传，无签字的视为参加磋商采购无效。</w:t>
      </w:r>
    </w:p>
    <w:p w14:paraId="552F9BAF">
      <w:pPr>
        <w:pStyle w:val="34"/>
        <w:keepNext w:val="0"/>
        <w:keepLines w:val="0"/>
        <w:pageBreakBefore w:val="0"/>
        <w:kinsoku/>
        <w:wordWrap/>
        <w:overflowPunct/>
        <w:topLinePunct w:val="0"/>
        <w:bidi w:val="0"/>
        <w:spacing w:line="3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响应文件的编制和签署</w:t>
      </w:r>
    </w:p>
    <w:p w14:paraId="5BD88BBC">
      <w:pPr>
        <w:keepNext w:val="0"/>
        <w:keepLines w:val="0"/>
        <w:pageBreakBefore w:val="0"/>
        <w:kinsoku/>
        <w:wordWrap/>
        <w:overflowPunct/>
        <w:topLinePunct w:val="0"/>
        <w:bidi w:val="0"/>
        <w:spacing w:line="3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3.1各供应商在编制响应文件时请按照磋商文件第七部分规定的格式进行，混乱的编排导致响应文件被误读或磋商小组查找不到有效文件是供应商的风险。</w:t>
      </w:r>
    </w:p>
    <w:p w14:paraId="005A0CF2">
      <w:pPr>
        <w:keepNext w:val="0"/>
        <w:keepLines w:val="0"/>
        <w:pageBreakBefore w:val="0"/>
        <w:kinsoku/>
        <w:wordWrap/>
        <w:overflowPunct/>
        <w:topLinePunct w:val="0"/>
        <w:bidi w:val="0"/>
        <w:spacing w:line="34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290D7DAF">
      <w:pPr>
        <w:keepNext w:val="0"/>
        <w:keepLines w:val="0"/>
        <w:pageBreakBefore w:val="0"/>
        <w:kinsoku/>
        <w:wordWrap/>
        <w:overflowPunct/>
        <w:topLinePunct w:val="0"/>
        <w:bidi w:val="0"/>
        <w:spacing w:line="340" w:lineRule="exact"/>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3.3使用“广西政府采购云平台电子交易客户端”需要提前申领CA数字证书，申领流程请自行前往“</w:t>
      </w:r>
      <w:r>
        <w:rPr>
          <w:rFonts w:hint="eastAsia" w:ascii="宋体" w:hAnsi="宋体" w:eastAsia="宋体" w:cs="宋体"/>
          <w:color w:val="auto"/>
          <w:sz w:val="24"/>
          <w:szCs w:val="24"/>
          <w:highlight w:val="none"/>
        </w:rPr>
        <w:t>广西政府采购网（http://zfcg.gxzf.gov.cn/）—办事服务—下载专区</w:t>
      </w:r>
      <w:r>
        <w:rPr>
          <w:rFonts w:hint="eastAsia" w:ascii="宋体" w:hAnsi="宋体" w:eastAsia="宋体" w:cs="宋体"/>
          <w:color w:val="auto"/>
          <w:kern w:val="0"/>
          <w:sz w:val="24"/>
          <w:szCs w:val="24"/>
          <w:highlight w:val="none"/>
          <w:lang w:val="zh-CN"/>
        </w:rPr>
        <w:t>”进行查阅</w:t>
      </w:r>
    </w:p>
    <w:p w14:paraId="13EBA8EB">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3.4响应文件按照磋商文件第七部分格式要求进行签署、盖章。</w:t>
      </w:r>
      <w:r>
        <w:rPr>
          <w:rFonts w:hint="eastAsia" w:ascii="宋体" w:hAnsi="宋体" w:eastAsia="宋体" w:cs="宋体"/>
          <w:b/>
          <w:color w:val="auto"/>
          <w:sz w:val="24"/>
          <w:szCs w:val="24"/>
          <w:highlight w:val="none"/>
        </w:rPr>
        <w:t>▲供应商的响应文件未按照磋商文件要求签署、盖章的，其响应无效</w:t>
      </w:r>
      <w:r>
        <w:rPr>
          <w:rFonts w:hint="eastAsia" w:ascii="宋体" w:hAnsi="宋体" w:eastAsia="宋体" w:cs="宋体"/>
          <w:color w:val="auto"/>
          <w:sz w:val="24"/>
          <w:szCs w:val="24"/>
          <w:highlight w:val="none"/>
        </w:rPr>
        <w:t>。</w:t>
      </w:r>
    </w:p>
    <w:p w14:paraId="22FCEBE7">
      <w:pPr>
        <w:pStyle w:val="394"/>
        <w:keepNext w:val="0"/>
        <w:keepLines w:val="0"/>
        <w:pageBreakBefore w:val="0"/>
        <w:kinsoku/>
        <w:wordWrap/>
        <w:overflowPunct/>
        <w:topLinePunct w:val="0"/>
        <w:bidi w:val="0"/>
        <w:snapToGrid w:val="0"/>
        <w:spacing w:before="0" w:line="3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78B970DC">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3.6磋商文件对响应文件签署、盖章的要求适用于电子签名、CA签章以及磋商文件明确允许的其他方式。</w:t>
      </w:r>
    </w:p>
    <w:p w14:paraId="51F47E28">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七、</w:t>
      </w:r>
      <w:r>
        <w:rPr>
          <w:rFonts w:hint="eastAsia" w:asciiTheme="minorEastAsia" w:hAnsiTheme="minorEastAsia" w:eastAsiaTheme="minorEastAsia"/>
          <w:b/>
          <w:color w:val="000000" w:themeColor="text1"/>
          <w:sz w:val="32"/>
          <w:szCs w:val="32"/>
          <w:highlight w:val="none"/>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文件的提交和备份</w:t>
      </w:r>
    </w:p>
    <w:p w14:paraId="0F12CD3C">
      <w:pPr>
        <w:pStyle w:val="394"/>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p>
    <w:p w14:paraId="0B97B9F2">
      <w:pPr>
        <w:pStyle w:val="394"/>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1.响应文件的提交、补充、修改、撤回</w:t>
      </w:r>
    </w:p>
    <w:p w14:paraId="5B81B335">
      <w:pPr>
        <w:pStyle w:val="394"/>
        <w:ind w:firstLine="480"/>
        <w:outlineLvl w:val="9"/>
        <w:rPr>
          <w:rFonts w:cs="仿宋_GB2312"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Cs w:val="24"/>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C1324C">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 在响应截止时间以后，不能补充、修改响应文件。</w:t>
      </w:r>
    </w:p>
    <w:p w14:paraId="57B1A927">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 在提交“最后报价”后，供应商不能退出磋商。</w:t>
      </w:r>
    </w:p>
    <w:p w14:paraId="4DF05030">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067518A6">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7A7B7A65">
      <w:pPr>
        <w:pStyle w:val="34"/>
        <w:spacing w:line="360" w:lineRule="auto"/>
        <w:outlineLvl w:val="9"/>
        <w:rPr>
          <w:rFonts w:hint="default" w:cs="仿宋_GB2312"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2.备份响应文件</w:t>
      </w:r>
    </w:p>
    <w:p w14:paraId="0D2A1CE4">
      <w:pPr>
        <w:pStyle w:val="34"/>
        <w:spacing w:line="360" w:lineRule="auto"/>
        <w:ind w:firstLine="480" w:firstLineChars="200"/>
        <w:outlineLvl w:val="9"/>
        <w:rPr>
          <w:rFonts w:hint="eastAsia" w:cs="仿宋_GB2312" w:asciiTheme="minorEastAsia" w:hAnsiTheme="minorEastAsia" w:eastAsiaTheme="minorEastAsia"/>
          <w:b w:val="0"/>
          <w:bCs w:val="0"/>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2.1 供应商在电子交易平台传输提交响应文件后，还可以在响应截止时间前直接提交或者以邮政快递方式递交备份响应文件</w:t>
      </w:r>
      <w:r>
        <w:rPr>
          <w:rFonts w:hint="eastAsia" w:cs="仿宋_GB2312" w:asciiTheme="minorEastAsia" w:hAnsiTheme="minorEastAsia" w:eastAsiaTheme="minorEastAsia"/>
          <w:b w:val="0"/>
          <w:bCs w:val="0"/>
          <w:color w:val="000000" w:themeColor="text1"/>
          <w:sz w:val="24"/>
          <w:szCs w:val="24"/>
          <w:highlight w:val="none"/>
          <w14:textFill>
            <w14:solidFill>
              <w14:schemeClr w14:val="tx1"/>
            </w14:solidFill>
          </w14:textFill>
        </w:rPr>
        <w:t>1份。</w:t>
      </w:r>
    </w:p>
    <w:p w14:paraId="72E9BEE9">
      <w:pPr>
        <w:pStyle w:val="34"/>
        <w:spacing w:line="360" w:lineRule="auto"/>
        <w:ind w:firstLine="480"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highlight w:val="none"/>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highlight w:val="none"/>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存储、密封规定的备份响应文件将被视为无效或者被拒绝接收。</w:t>
      </w:r>
    </w:p>
    <w:p w14:paraId="5E0EF9A6">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38FFF02B">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06364823">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 xml:space="preserve">2.5 </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供应商仅提交备份响应文件，未在电子交易平台传输提交响应文件的，响应无效。</w:t>
      </w:r>
    </w:p>
    <w:p w14:paraId="53DF04A3">
      <w:pPr>
        <w:spacing w:line="360" w:lineRule="auto"/>
        <w:outlineLvl w:val="9"/>
        <w:rPr>
          <w:rFonts w:ascii="宋体" w:hAnsi="宋体" w:cs="宋体"/>
          <w:b/>
          <w:snapToGrid w:val="0"/>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3.</w:t>
      </w:r>
      <w:r>
        <w:rPr>
          <w:rFonts w:hint="eastAsia" w:ascii="宋体" w:hAnsi="宋体" w:cs="宋体"/>
          <w:b/>
          <w:snapToGrid w:val="0"/>
          <w:color w:val="000000" w:themeColor="text1"/>
          <w:kern w:val="28"/>
          <w:sz w:val="24"/>
          <w:highlight w:val="none"/>
          <w14:textFill>
            <w14:solidFill>
              <w14:schemeClr w14:val="tx1"/>
            </w14:solidFill>
          </w14:textFill>
        </w:rPr>
        <w:t>磋商保证金</w:t>
      </w:r>
    </w:p>
    <w:p w14:paraId="054B2958">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w:t>
      </w:r>
      <w:r>
        <w:rPr>
          <w:rFonts w:hint="eastAsia" w:hAnsi="宋体" w:cs="宋体"/>
          <w:color w:val="000000" w:themeColor="text1"/>
          <w:sz w:val="24"/>
          <w:highlight w:val="none"/>
          <w14:textFill>
            <w14:solidFill>
              <w14:schemeClr w14:val="tx1"/>
            </w14:solidFill>
          </w14:textFill>
        </w:rPr>
        <w:t>采购人在采购文件中要求提交</w:t>
      </w:r>
      <w:r>
        <w:rPr>
          <w:rFonts w:hint="eastAsia" w:ascii="宋体" w:hAnsi="宋体" w:cs="宋体"/>
          <w:color w:val="000000" w:themeColor="text1"/>
          <w:sz w:val="24"/>
          <w:highlight w:val="none"/>
          <w14:textFill>
            <w14:solidFill>
              <w14:schemeClr w14:val="tx1"/>
            </w14:solidFill>
          </w14:textFill>
        </w:rPr>
        <w:t>磋商</w:t>
      </w:r>
      <w:r>
        <w:rPr>
          <w:rFonts w:hint="eastAsia" w:hAnsi="宋体" w:cs="宋体"/>
          <w:color w:val="000000" w:themeColor="text1"/>
          <w:sz w:val="24"/>
          <w:highlight w:val="none"/>
          <w14:textFill>
            <w14:solidFill>
              <w14:schemeClr w14:val="tx1"/>
            </w14:solidFill>
          </w14:textFill>
        </w:rPr>
        <w:t>保证金的，</w:t>
      </w:r>
      <w:r>
        <w:rPr>
          <w:rFonts w:hint="eastAsia" w:ascii="宋体" w:hAnsi="宋体" w:cs="宋体"/>
          <w:color w:val="000000" w:themeColor="text1"/>
          <w:sz w:val="24"/>
          <w:highlight w:val="none"/>
          <w14:textFill>
            <w14:solidFill>
              <w14:schemeClr w14:val="tx1"/>
            </w14:solidFill>
          </w14:textFill>
        </w:rPr>
        <w:t>磋商</w:t>
      </w:r>
      <w:r>
        <w:rPr>
          <w:rFonts w:hint="eastAsia" w:hAnsi="宋体" w:cs="宋体"/>
          <w:color w:val="000000" w:themeColor="text1"/>
          <w:sz w:val="24"/>
          <w:highlight w:val="none"/>
          <w14:textFill>
            <w14:solidFill>
              <w14:schemeClr w14:val="tx1"/>
            </w14:solidFill>
          </w14:textFill>
        </w:rPr>
        <w:t>保证金的</w:t>
      </w:r>
      <w:r>
        <w:rPr>
          <w:rFonts w:hint="eastAsia" w:hAnsi="宋体" w:cs="宋体"/>
          <w:color w:val="000000" w:themeColor="text1"/>
          <w:sz w:val="24"/>
          <w:highlight w:val="none"/>
          <w14:textFill>
            <w14:solidFill>
              <w14:schemeClr w14:val="tx1"/>
            </w14:solidFill>
          </w14:textFill>
        </w:rPr>
        <w:t>数额不得超过采购项目预算金</w:t>
      </w:r>
      <w:r>
        <w:rPr>
          <w:rFonts w:hint="eastAsia" w:hAnsi="宋体" w:eastAsia="宋体" w:cs="宋体"/>
          <w:color w:val="000000" w:themeColor="text1"/>
          <w:sz w:val="24"/>
          <w:highlight w:val="none"/>
          <w14:textFill>
            <w14:solidFill>
              <w14:schemeClr w14:val="tx1"/>
            </w14:solidFill>
          </w14:textFill>
        </w:rPr>
        <w:t>额</w:t>
      </w:r>
      <w:r>
        <w:rPr>
          <w:rFonts w:hint="eastAsia" w:ascii="宋体" w:hAnsi="宋体" w:eastAsia="宋体" w:cs="宋体"/>
          <w:color w:val="000000" w:themeColor="text1"/>
          <w:sz w:val="24"/>
          <w:highlight w:val="none"/>
          <w14:textFill>
            <w14:solidFill>
              <w14:schemeClr w14:val="tx1"/>
            </w14:solidFill>
          </w14:textFill>
        </w:rPr>
        <w:t>的1%，鼓励对诚信记录良好的供应商免收或者减少收取磋商保证金，对于需要收取保证金的政府采</w:t>
      </w:r>
      <w:r>
        <w:rPr>
          <w:rFonts w:hint="eastAsia" w:hAnsi="宋体" w:cs="宋体"/>
          <w:color w:val="000000" w:themeColor="text1"/>
          <w:sz w:val="24"/>
          <w:highlight w:val="none"/>
          <w14:textFill>
            <w14:solidFill>
              <w14:schemeClr w14:val="tx1"/>
            </w14:solidFill>
          </w14:textFill>
        </w:rPr>
        <w:t>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磋商</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14A6E857">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磋商保证金收取银行账户</w:t>
      </w:r>
    </w:p>
    <w:p w14:paraId="7505A1B0">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5D5AF145">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44BB2053">
      <w:pPr>
        <w:snapToGrid w:val="0"/>
        <w:spacing w:line="360" w:lineRule="auto"/>
        <w:ind w:firstLine="480" w:firstLineChars="200"/>
        <w:jc w:val="left"/>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1710949E">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w:t>
      </w:r>
      <w:r>
        <w:rPr>
          <w:rFonts w:hint="eastAsia" w:ascii="宋体" w:hAnsi="宋体" w:eastAsia="宋体" w:cs="宋体"/>
          <w:snapToGrid w:val="0"/>
          <w:color w:val="000000" w:themeColor="text1"/>
          <w:kern w:val="28"/>
          <w:sz w:val="24"/>
          <w:szCs w:val="20"/>
          <w:highlight w:val="none"/>
          <w14:textFill>
            <w14:solidFill>
              <w14:schemeClr w14:val="tx1"/>
            </w14:solidFill>
          </w14:textFill>
        </w:rPr>
        <w:t>起</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28"/>
          <w:sz w:val="24"/>
          <w:szCs w:val="20"/>
          <w:highlight w:val="none"/>
          <w14:textFill>
            <w14:solidFill>
              <w14:schemeClr w14:val="tx1"/>
            </w14:solidFill>
          </w14:textFill>
        </w:rPr>
        <w:t>个工作</w:t>
      </w:r>
      <w:r>
        <w:rPr>
          <w:rFonts w:hint="eastAsia" w:ascii="宋体" w:hAnsi="宋体" w:cs="宋体"/>
          <w:snapToGrid w:val="0"/>
          <w:color w:val="000000" w:themeColor="text1"/>
          <w:kern w:val="28"/>
          <w:sz w:val="24"/>
          <w:szCs w:val="20"/>
          <w:highlight w:val="none"/>
          <w14:textFill>
            <w14:solidFill>
              <w14:schemeClr w14:val="tx1"/>
            </w14:solidFill>
          </w14:textFill>
        </w:rPr>
        <w:t>日内，退还已收取的</w:t>
      </w:r>
      <w:r>
        <w:rPr>
          <w:rFonts w:hint="eastAsia" w:ascii="宋体" w:hAnsi="宋体" w:cs="宋体"/>
          <w:color w:val="000000" w:themeColor="text1"/>
          <w:sz w:val="24"/>
          <w:highlight w:val="none"/>
          <w14:textFill>
            <w14:solidFill>
              <w14:schemeClr w14:val="tx1"/>
            </w14:solidFill>
          </w14:textFill>
        </w:rPr>
        <w:t>磋商</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磋商供应商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33817978">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AB3211C">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2F59B5B">
      <w:pPr>
        <w:widowControl/>
        <w:snapToGrid w:val="0"/>
        <w:spacing w:line="360" w:lineRule="auto"/>
        <w:ind w:firstLine="470" w:firstLineChars="196"/>
        <w:outlineLvl w:val="9"/>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42DDD95F">
      <w:pPr>
        <w:pStyle w:val="34"/>
        <w:spacing w:line="360" w:lineRule="auto"/>
        <w:ind w:firstLine="360" w:firstLineChars="15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p>
    <w:p w14:paraId="7ED1C9FE">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6E7A18CF">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八、</w:t>
      </w:r>
      <w:r>
        <w:rPr>
          <w:rFonts w:hint="eastAsia" w:asciiTheme="minorEastAsia" w:hAnsiTheme="minorEastAsia" w:eastAsiaTheme="minorEastAsia"/>
          <w:b/>
          <w:color w:val="000000" w:themeColor="text1"/>
          <w:sz w:val="32"/>
          <w:szCs w:val="32"/>
          <w:highlight w:val="none"/>
          <w14:textFill>
            <w14:solidFill>
              <w14:schemeClr w14:val="tx1"/>
            </w14:solidFill>
          </w14:textFill>
        </w:rPr>
        <w:t>开启响应文件与信用信息查询</w:t>
      </w:r>
    </w:p>
    <w:p w14:paraId="799F65CF">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 开启响应文件</w:t>
      </w:r>
    </w:p>
    <w:p w14:paraId="055F7F27">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供应商数量不符合规定的，不得开启响应文件。</w:t>
      </w:r>
    </w:p>
    <w:p w14:paraId="27C0B441">
      <w:pPr>
        <w:pStyle w:val="34"/>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4"/>
        <w:spacing w:line="360" w:lineRule="auto"/>
        <w:ind w:firstLine="482" w:firstLineChars="200"/>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3B0D1422">
      <w:pPr>
        <w:pStyle w:val="394"/>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Cs w:val="24"/>
          <w:highlight w:val="none"/>
          <w14:textFill>
            <w14:solidFill>
              <w14:schemeClr w14:val="tx1"/>
            </w14:solidFill>
          </w14:textFill>
        </w:rPr>
        <w:t>2.信用信息查询</w:t>
      </w:r>
    </w:p>
    <w:p w14:paraId="67512FA5">
      <w:pPr>
        <w:pStyle w:val="394"/>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2.1信用信息查询渠道及截止时间：采购人或采购代理机构将通过“信用中国”网站(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70"/>
          <w:rFonts w:hint="eastAsia" w:asciiTheme="minorEastAsia" w:hAnsiTheme="minorEastAsia" w:eastAsiaTheme="minorEastAsia"/>
          <w:snapToGrid/>
          <w:color w:val="000000" w:themeColor="text1"/>
          <w:sz w:val="24"/>
          <w:szCs w:val="24"/>
          <w:highlight w:val="none"/>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highlight w:val="none"/>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highlight w:val="none"/>
          <w14:textFill>
            <w14:solidFill>
              <w14:schemeClr w14:val="tx1"/>
            </w14:solidFill>
          </w14:textFill>
        </w:rPr>
        <w:t>)、中国政府采购网(www.ccgp.gov.cn)渠道查询供应商响应截止时间前的信用记录。</w:t>
      </w:r>
    </w:p>
    <w:p w14:paraId="795760E2">
      <w:pPr>
        <w:pStyle w:val="394"/>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2.2信用信息查询记录和证据留存的具体方式：现场查询的供应商的信用记录、查询结果经确认后存档。</w:t>
      </w:r>
    </w:p>
    <w:p w14:paraId="18B21CFE">
      <w:pPr>
        <w:pStyle w:val="394"/>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297D7C16">
      <w:pPr>
        <w:pStyle w:val="394"/>
        <w:spacing w:before="0"/>
        <w:ind w:firstLine="480"/>
        <w:outlineLvl w:val="9"/>
        <w:rPr>
          <w:rFonts w:cs="Arial" w:asciiTheme="minorEastAsia" w:hAnsiTheme="minorEastAsia" w:eastAsiaTheme="minorEastAsia"/>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color w:val="000000" w:themeColor="text1"/>
          <w:kern w:val="0"/>
          <w:szCs w:val="24"/>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2CDFB0">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p>
    <w:p w14:paraId="3EE9E2D8">
      <w:pPr>
        <w:adjustRightInd/>
        <w:spacing w:line="360" w:lineRule="auto"/>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九</w:t>
      </w: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、提交</w:t>
      </w:r>
      <w:r>
        <w:rPr>
          <w:rFonts w:hint="eastAsia" w:asciiTheme="minorEastAsia" w:hAnsiTheme="minorEastAsia" w:eastAsiaTheme="minorEastAsia"/>
          <w:b/>
          <w:color w:val="000000" w:themeColor="text1"/>
          <w:sz w:val="32"/>
          <w:szCs w:val="32"/>
          <w:highlight w:val="none"/>
          <w14:textFill>
            <w14:solidFill>
              <w14:schemeClr w14:val="tx1"/>
            </w14:solidFill>
          </w14:textFill>
        </w:rPr>
        <w:t>最后报价</w:t>
      </w:r>
    </w:p>
    <w:p w14:paraId="0B8E3997">
      <w:pPr>
        <w:snapToGrid w:val="0"/>
        <w:spacing w:line="360" w:lineRule="auto"/>
        <w:outlineLvl w:val="9"/>
        <w:rPr>
          <w:rFonts w:cs="仿宋_GB2312" w:asciiTheme="minorEastAsia" w:hAnsiTheme="minorEastAsia" w:eastAsiaTheme="minorEastAsia"/>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sz w:val="24"/>
          <w:highlight w:val="none"/>
          <w14:textFill>
            <w14:solidFill>
              <w14:schemeClr w14:val="tx1"/>
            </w14:solidFill>
          </w14:textFill>
        </w:rPr>
        <w:t>供应商的</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最后报价文件</w:t>
      </w:r>
      <w:r>
        <w:rPr>
          <w:rFonts w:hint="eastAsia" w:cs="仿宋_GB2312" w:asciiTheme="minorEastAsia" w:hAnsiTheme="minorEastAsia" w:eastAsiaTheme="minorEastAsia"/>
          <w:color w:val="000000" w:themeColor="text1"/>
          <w:sz w:val="24"/>
          <w:highlight w:val="none"/>
          <w14:textFill>
            <w14:solidFill>
              <w14:schemeClr w14:val="tx1"/>
            </w14:solidFill>
          </w14:textFill>
        </w:rPr>
        <w:t>应包括以下内容：</w:t>
      </w:r>
    </w:p>
    <w:p w14:paraId="669055AB">
      <w:pPr>
        <w:pStyle w:val="34"/>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1.1最后报价一览表；</w:t>
      </w:r>
    </w:p>
    <w:p w14:paraId="1D28A249">
      <w:pPr>
        <w:pStyle w:val="34"/>
        <w:snapToGrid w:val="0"/>
        <w:spacing w:line="360" w:lineRule="auto"/>
        <w:ind w:firstLine="480" w:firstLineChars="200"/>
        <w:outlineLvl w:val="9"/>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1.2</w:t>
      </w:r>
      <w:r>
        <w:rPr>
          <w:rFonts w:hint="eastAsia" w:cs="仿宋_GB2312" w:asciiTheme="minorEastAsia" w:hAnsiTheme="minorEastAsia" w:eastAsiaTheme="minorEastAsia"/>
          <w:color w:val="000000" w:themeColor="text1"/>
          <w:sz w:val="24"/>
          <w:szCs w:val="24"/>
          <w:highlight w:val="none"/>
          <w:lang w:val="en-US" w:eastAsia="zh-CN"/>
          <w14:textFill>
            <w14:solidFill>
              <w14:schemeClr w14:val="tx1"/>
            </w14:solidFill>
          </w14:textFill>
        </w:rPr>
        <w:t>磋商时需要提供的附件</w:t>
      </w:r>
      <w:r>
        <w:rPr>
          <w:rFonts w:hint="eastAsia" w:cs="仿宋_GB2312" w:asciiTheme="minorEastAsia" w:hAnsiTheme="minorEastAsia" w:eastAsiaTheme="minorEastAsia"/>
          <w:color w:val="000000" w:themeColor="text1"/>
          <w:sz w:val="24"/>
          <w:szCs w:val="24"/>
          <w:highlight w:val="none"/>
          <w14:textFill>
            <w14:solidFill>
              <w14:schemeClr w14:val="tx1"/>
            </w14:solidFill>
          </w14:textFill>
        </w:rPr>
        <w:t>（如果有）。</w:t>
      </w:r>
    </w:p>
    <w:p w14:paraId="2E827E3D">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14:paraId="1FD3EBB4">
      <w:pPr>
        <w:adjustRightInd/>
        <w:spacing w:line="360" w:lineRule="auto"/>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w:t>
      </w:r>
      <w:r>
        <w:rPr>
          <w:rFonts w:hint="eastAsia" w:asciiTheme="minorEastAsia" w:hAnsiTheme="minorEastAsia" w:eastAsiaTheme="minorEastAsia"/>
          <w:b/>
          <w:color w:val="000000" w:themeColor="text1"/>
          <w:sz w:val="32"/>
          <w:szCs w:val="32"/>
          <w:highlight w:val="none"/>
          <w14:textFill>
            <w14:solidFill>
              <w14:schemeClr w14:val="tx1"/>
            </w14:solidFill>
          </w14:textFill>
        </w:rPr>
        <w:t>评审</w:t>
      </w:r>
    </w:p>
    <w:p w14:paraId="04A08AE8">
      <w:pPr>
        <w:pStyle w:val="394"/>
        <w:spacing w:before="0"/>
        <w:ind w:firstLine="0" w:firstLineChars="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w:t>
      </w:r>
      <w:r>
        <w:rPr>
          <w:rFonts w:hint="eastAsia" w:cs="仿宋_GB2312" w:asciiTheme="minorEastAsia" w:hAnsiTheme="minorEastAsia" w:eastAsiaTheme="minorEastAsia"/>
          <w:b/>
          <w:color w:val="000000" w:themeColor="text1"/>
          <w:highlight w:val="none"/>
          <w14:textFill>
            <w14:solidFill>
              <w14:schemeClr w14:val="tx1"/>
            </w14:solidFill>
          </w14:textFill>
        </w:rPr>
        <w:t xml:space="preserve"> 评审方法：</w:t>
      </w:r>
      <w:r>
        <w:rPr>
          <w:rFonts w:hint="eastAsia" w:cs="仿宋_GB2312" w:asciiTheme="minorEastAsia" w:hAnsiTheme="minorEastAsia" w:eastAsiaTheme="minorEastAsia"/>
          <w:color w:val="000000" w:themeColor="text1"/>
          <w:highlight w:val="none"/>
          <w14:textFill>
            <w14:solidFill>
              <w14:schemeClr w14:val="tx1"/>
            </w14:solidFill>
          </w14:textFill>
        </w:rPr>
        <w:t>综合评分法。</w:t>
      </w:r>
    </w:p>
    <w:p w14:paraId="34493FE1">
      <w:pPr>
        <w:pStyle w:val="394"/>
        <w:spacing w:before="0"/>
        <w:ind w:firstLine="0" w:firstLineChars="0"/>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2. 价格分计算方法：</w:t>
      </w:r>
      <w:r>
        <w:rPr>
          <w:rFonts w:hint="eastAsia" w:cs="仿宋_GB2312" w:asciiTheme="minorEastAsia" w:hAnsiTheme="minorEastAsia" w:eastAsiaTheme="minorEastAsia"/>
          <w:color w:val="000000" w:themeColor="text1"/>
          <w:highlight w:val="none"/>
          <w14:textFill>
            <w14:solidFill>
              <w14:schemeClr w14:val="tx1"/>
            </w14:solidFill>
          </w14:textFill>
        </w:rPr>
        <w:t>低价优先法。</w:t>
      </w:r>
    </w:p>
    <w:p w14:paraId="6036A720">
      <w:pPr>
        <w:pStyle w:val="394"/>
        <w:spacing w:before="0"/>
        <w:ind w:firstLine="0" w:firstLineChars="0"/>
        <w:outlineLvl w:val="9"/>
        <w:rPr>
          <w:rFonts w:asciiTheme="minorEastAsia" w:hAnsiTheme="minorEastAsia" w:eastAsiaTheme="minorEastAsia"/>
          <w:color w:val="000000" w:themeColor="text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highlight w:val="none"/>
          <w14:textFill>
            <w14:solidFill>
              <w14:schemeClr w14:val="tx1"/>
            </w14:solidFill>
          </w14:textFill>
        </w:rPr>
        <w:t>3. 评审要求：</w:t>
      </w:r>
      <w:r>
        <w:rPr>
          <w:rFonts w:hint="eastAsia" w:cs="仿宋_GB2312" w:asciiTheme="minorEastAsia" w:hAnsiTheme="minorEastAsia" w:eastAsiaTheme="minorEastAsia"/>
          <w:color w:val="000000" w:themeColor="text1"/>
          <w:highlight w:val="none"/>
          <w14:textFill>
            <w14:solidFill>
              <w14:schemeClr w14:val="tx1"/>
            </w14:solidFill>
          </w14:textFill>
        </w:rPr>
        <w:t>详见磋商文件第五部分“评审方法及评审标准”。</w:t>
      </w:r>
    </w:p>
    <w:p w14:paraId="584E65EC">
      <w:pPr>
        <w:adjustRightInd/>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14:paraId="00479BB4">
      <w:pPr>
        <w:adjustRightInd/>
        <w:spacing w:line="360" w:lineRule="auto"/>
        <w:jc w:val="center"/>
        <w:outlineLvl w:val="9"/>
        <w:rPr>
          <w:rFonts w:cs="仿宋_GB2312" w:asciiTheme="minorEastAsia" w:hAnsiTheme="minorEastAsia" w:eastAsiaTheme="minorEastAsia"/>
          <w:b/>
          <w:color w:val="000000" w:themeColor="text1"/>
          <w:sz w:val="32"/>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20"/>
          <w:highlight w:val="none"/>
          <w14:textFill>
            <w14:solidFill>
              <w14:schemeClr w14:val="tx1"/>
            </w14:solidFill>
          </w14:textFill>
        </w:rPr>
        <w:t>十一、</w:t>
      </w:r>
      <w:r>
        <w:rPr>
          <w:rFonts w:hint="eastAsia" w:asciiTheme="minorEastAsia" w:hAnsiTheme="minorEastAsia" w:eastAsiaTheme="minorEastAsia"/>
          <w:b/>
          <w:color w:val="000000" w:themeColor="text1"/>
          <w:sz w:val="32"/>
          <w:szCs w:val="32"/>
          <w:highlight w:val="none"/>
          <w14:textFill>
            <w14:solidFill>
              <w14:schemeClr w14:val="tx1"/>
            </w14:solidFill>
          </w14:textFill>
        </w:rPr>
        <w:t>成交</w:t>
      </w:r>
    </w:p>
    <w:p w14:paraId="09278A09">
      <w:pPr>
        <w:pStyle w:val="34"/>
        <w:spacing w:line="360" w:lineRule="auto"/>
        <w:outlineLvl w:val="9"/>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 推荐成交候选供应商</w:t>
      </w:r>
    </w:p>
    <w:p w14:paraId="71B433DB">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4"/>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确定成交供应商</w:t>
      </w:r>
    </w:p>
    <w:p w14:paraId="57F2052E">
      <w:pPr>
        <w:spacing w:line="360" w:lineRule="auto"/>
        <w:ind w:firstLine="480" w:firstLineChars="200"/>
        <w:outlineLvl w:val="9"/>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3．成交通知及成交结果公告</w:t>
      </w:r>
    </w:p>
    <w:p w14:paraId="141168F5">
      <w:pPr>
        <w:spacing w:line="360" w:lineRule="auto"/>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highlight w:val="none"/>
          <w14:textFill>
            <w14:solidFill>
              <w14:schemeClr w14:val="tx1"/>
            </w14:solidFill>
          </w14:textFill>
        </w:rPr>
        <w:t>同时编制发布采购</w:t>
      </w:r>
      <w:r>
        <w:rPr>
          <w:rFonts w:hint="eastAsia" w:asciiTheme="minorEastAsia" w:hAnsiTheme="minorEastAsia" w:eastAsiaTheme="minorEastAsia"/>
          <w:color w:val="000000" w:themeColor="text1"/>
          <w:sz w:val="24"/>
          <w:szCs w:val="21"/>
          <w:highlight w:val="none"/>
          <w14:textFill>
            <w14:solidFill>
              <w14:schemeClr w14:val="tx1"/>
            </w14:solidFill>
          </w14:textFill>
        </w:rPr>
        <w:t>成交结果公告。</w:t>
      </w:r>
    </w:p>
    <w:p w14:paraId="69E5FA1A">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w:t>
      </w:r>
      <w:r>
        <w:rPr>
          <w:rFonts w:hint="eastAsia" w:asciiTheme="minorEastAsia" w:hAnsiTheme="minorEastAsia" w:eastAsiaTheme="minorEastAsia"/>
          <w:color w:val="000000" w:themeColor="text1"/>
          <w:sz w:val="24"/>
          <w:szCs w:val="21"/>
          <w:highlight w:val="none"/>
          <w14:textFill>
            <w14:solidFill>
              <w14:schemeClr w14:val="tx1"/>
            </w14:solidFill>
          </w14:textFill>
        </w:rPr>
        <w:t>成交</w:t>
      </w:r>
      <w:r>
        <w:rPr>
          <w:rFonts w:hint="eastAsia" w:cs="仿宋_GB2312" w:asciiTheme="minorEastAsia" w:hAnsiTheme="minorEastAsia" w:eastAsiaTheme="minorEastAsia"/>
          <w:color w:val="000000" w:themeColor="text1"/>
          <w:sz w:val="24"/>
          <w:highlight w:val="none"/>
          <w14:textFill>
            <w14:solidFill>
              <w14:schemeClr w14:val="tx1"/>
            </w14:solidFill>
          </w14:textFill>
        </w:rPr>
        <w:t>结果公告内容包括</w:t>
      </w:r>
      <w:r>
        <w:rPr>
          <w:rFonts w:hint="eastAsia" w:cs="宋体" w:asciiTheme="minorEastAsia" w:hAnsiTheme="minorEastAsia" w:eastAsiaTheme="minorEastAsia"/>
          <w:color w:val="000000" w:themeColor="text1"/>
          <w:sz w:val="24"/>
          <w:highlight w:val="none"/>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51" w:name="_Hlk101184471"/>
      <w:r>
        <w:rPr>
          <w:rFonts w:hint="eastAsia" w:cs="宋体" w:asciiTheme="minorEastAsia" w:hAnsiTheme="minorEastAsia" w:eastAsiaTheme="minorEastAsia"/>
          <w:color w:val="000000" w:themeColor="text1"/>
          <w:sz w:val="24"/>
          <w:highlight w:val="none"/>
          <w14:textFill>
            <w14:solidFill>
              <w14:schemeClr w14:val="tx1"/>
            </w14:solidFill>
          </w14:textFill>
        </w:rPr>
        <w:t>评审专家抽取规则、</w:t>
      </w:r>
      <w:bookmarkEnd w:id="51"/>
      <w:r>
        <w:rPr>
          <w:rFonts w:hint="eastAsia" w:cs="宋体" w:asciiTheme="minorEastAsia" w:hAnsiTheme="minorEastAsia" w:eastAsiaTheme="minorEastAsia"/>
          <w:color w:val="000000" w:themeColor="text1"/>
          <w:sz w:val="24"/>
          <w:highlight w:val="none"/>
          <w14:textFill>
            <w14:solidFill>
              <w14:schemeClr w14:val="tx1"/>
            </w14:solidFill>
          </w14:textFill>
        </w:rPr>
        <w:t>未成交情况说明、成交公告期限以及评审专家名单、成交供应商和未成交供应商的评审总得分及排名。</w:t>
      </w:r>
    </w:p>
    <w:p w14:paraId="644F8E95">
      <w:pPr>
        <w:spacing w:line="360" w:lineRule="auto"/>
        <w:ind w:firstLine="480" w:firstLineChars="200"/>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3.3公告期限为1个工作日。</w:t>
      </w:r>
    </w:p>
    <w:p w14:paraId="070A6313">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4EB7C390">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十二、合同</w:t>
      </w:r>
    </w:p>
    <w:p w14:paraId="529BA8EE">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1.合同主要条款：</w:t>
      </w:r>
      <w:r>
        <w:rPr>
          <w:rFonts w:hint="eastAsia" w:asciiTheme="minorEastAsia" w:hAnsiTheme="minorEastAsia" w:eastAsiaTheme="minorEastAsia"/>
          <w:color w:val="000000" w:themeColor="text1"/>
          <w:sz w:val="24"/>
          <w:highlight w:val="none"/>
          <w14:textFill>
            <w14:solidFill>
              <w14:schemeClr w14:val="tx1"/>
            </w14:solidFill>
          </w14:textFill>
        </w:rPr>
        <w:t>详见“第六部分拟签订的合同文本”。</w:t>
      </w:r>
    </w:p>
    <w:p w14:paraId="445B5AFE">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2.合同的签订</w:t>
      </w:r>
    </w:p>
    <w:p w14:paraId="480842AD">
      <w:pPr>
        <w:widowControl/>
        <w:shd w:val="clear" w:color="auto" w:fill="FFFFFF"/>
        <w:spacing w:line="360" w:lineRule="auto"/>
        <w:ind w:firstLine="480"/>
        <w:jc w:val="left"/>
        <w:outlineLvl w:val="9"/>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hint="eastAsia" w:ascii="宋体" w:hAnsi="宋体" w:cs="宋体"/>
          <w:color w:val="000000" w:themeColor="text1"/>
          <w:kern w:val="0"/>
          <w:sz w:val="24"/>
          <w:highlight w:val="none"/>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B70C6D4">
      <w:pPr>
        <w:pStyle w:val="394"/>
        <w:snapToGrid w:val="0"/>
        <w:spacing w:before="0"/>
        <w:ind w:firstLine="480"/>
        <w:outlineLvl w:val="9"/>
        <w:rPr>
          <w:rFonts w:cs="宋体" w:asciiTheme="minorEastAsia" w:hAnsiTheme="minorEastAsia" w:eastAsiaTheme="minorEastAsia"/>
          <w:color w:val="000000" w:themeColor="text1"/>
          <w:kern w:val="0"/>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2.5如签订合同并生效后，供应商无故拒绝或延期，除按照合同条款处理外，列入不良行为记录一次，并给予通报。</w:t>
      </w:r>
    </w:p>
    <w:p w14:paraId="199FF561">
      <w:pPr>
        <w:pStyle w:val="394"/>
        <w:snapToGrid w:val="0"/>
        <w:spacing w:before="0" w:after="120"/>
        <w:ind w:firstLine="480"/>
        <w:outlineLvl w:val="9"/>
        <w:rPr>
          <w:rFonts w:cs="仿宋_GB2312" w:asciiTheme="minorEastAsia" w:hAnsiTheme="minorEastAsia" w:eastAsiaTheme="minorEastAsia"/>
          <w:color w:val="000000" w:themeColor="text1"/>
          <w:highlight w:val="none"/>
          <w14:textFill>
            <w14:solidFill>
              <w14:schemeClr w14:val="tx1"/>
            </w14:solidFill>
          </w14:textFill>
        </w:rPr>
      </w:pPr>
      <w:r>
        <w:rPr>
          <w:rFonts w:cs="仿宋_GB2312" w:asciiTheme="minorEastAsia" w:hAnsiTheme="minorEastAsia" w:eastAsiaTheme="minorEastAsia"/>
          <w:color w:val="000000" w:themeColor="text1"/>
          <w:highlight w:val="none"/>
          <w14:textFill>
            <w14:solidFill>
              <w14:schemeClr w14:val="tx1"/>
            </w14:solidFill>
          </w14:textFill>
        </w:rPr>
        <w:t>2.</w:t>
      </w:r>
      <w:r>
        <w:rPr>
          <w:rFonts w:hint="eastAsia" w:cs="仿宋_GB2312" w:asciiTheme="minorEastAsia" w:hAnsiTheme="minorEastAsia" w:eastAsiaTheme="minorEastAsia"/>
          <w:color w:val="000000" w:themeColor="text1"/>
          <w:highlight w:val="none"/>
          <w14:textFill>
            <w14:solidFill>
              <w14:schemeClr w14:val="tx1"/>
            </w14:solidFill>
          </w14:textFill>
        </w:rPr>
        <w:t>6</w:t>
      </w:r>
      <w:r>
        <w:rPr>
          <w:rFonts w:cs="仿宋_GB2312" w:asciiTheme="minorEastAsia" w:hAnsiTheme="minorEastAsia" w:eastAsiaTheme="minorEastAsia"/>
          <w:color w:val="000000" w:themeColor="text1"/>
          <w:highlight w:val="none"/>
          <w14:textFill>
            <w14:solidFill>
              <w14:schemeClr w14:val="tx1"/>
            </w14:solidFill>
          </w14:textFill>
        </w:rPr>
        <w:t>采购合同由采购人与</w:t>
      </w:r>
      <w:r>
        <w:rPr>
          <w:rFonts w:hint="eastAsia" w:cs="仿宋_GB2312" w:asciiTheme="minorEastAsia" w:hAnsiTheme="minorEastAsia" w:eastAsiaTheme="minorEastAsia"/>
          <w:color w:val="000000" w:themeColor="text1"/>
          <w:highlight w:val="none"/>
          <w14:textFill>
            <w14:solidFill>
              <w14:schemeClr w14:val="tx1"/>
            </w14:solidFill>
          </w14:textFill>
        </w:rPr>
        <w:t>成交</w:t>
      </w:r>
      <w:r>
        <w:rPr>
          <w:rFonts w:cs="仿宋_GB2312" w:asciiTheme="minorEastAsia" w:hAnsiTheme="minorEastAsia" w:eastAsiaTheme="minorEastAsia"/>
          <w:color w:val="000000" w:themeColor="text1"/>
          <w:highlight w:val="none"/>
          <w14:textFill>
            <w14:solidFill>
              <w14:schemeClr w14:val="tx1"/>
            </w14:solidFill>
          </w14:textFill>
        </w:rPr>
        <w:t>供应商根据</w:t>
      </w:r>
      <w:r>
        <w:rPr>
          <w:rFonts w:hint="eastAsia" w:cs="仿宋_GB2312" w:asciiTheme="minorEastAsia" w:hAnsiTheme="minorEastAsia" w:eastAsiaTheme="minorEastAsia"/>
          <w:color w:val="000000" w:themeColor="text1"/>
          <w:highlight w:val="none"/>
          <w14:textFill>
            <w14:solidFill>
              <w14:schemeClr w14:val="tx1"/>
            </w14:solidFill>
          </w14:textFill>
        </w:rPr>
        <w:t>磋商文件、响应文件等内容通过政府采购电子交易平台在线签订，自动备案。</w:t>
      </w:r>
    </w:p>
    <w:p w14:paraId="311B828A">
      <w:pPr>
        <w:pStyle w:val="394"/>
        <w:snapToGrid w:val="0"/>
        <w:spacing w:before="0"/>
        <w:ind w:firstLine="480"/>
        <w:outlineLvl w:val="9"/>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2.7政采贷</w:t>
      </w:r>
    </w:p>
    <w:p w14:paraId="28704523">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0FFB6F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056A1F0D">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3AFABE74">
      <w:pPr>
        <w:pStyle w:val="633"/>
        <w:outlineLvl w:val="9"/>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E55908D">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w:t>
      </w:r>
      <w:r>
        <w:rPr>
          <w:rFonts w:hint="eastAsia" w:ascii="宋体" w:hAnsi="宋体"/>
          <w:color w:val="000000" w:themeColor="text1"/>
          <w:kern w:val="0"/>
          <w:sz w:val="24"/>
          <w:szCs w:val="20"/>
          <w:highlight w:val="none"/>
          <w:lang w:eastAsia="zh-CN"/>
          <w14:textFill>
            <w14:solidFill>
              <w14:schemeClr w14:val="tx1"/>
            </w14:solidFill>
          </w14:textFill>
        </w:rPr>
        <w:t>：</w:t>
      </w:r>
      <w:r>
        <w:rPr>
          <w:rFonts w:ascii="宋体" w:hAnsi="宋体"/>
          <w:color w:val="000000" w:themeColor="text1"/>
          <w:kern w:val="0"/>
          <w:sz w:val="24"/>
          <w:szCs w:val="20"/>
          <w:highlight w:val="none"/>
          <w14:textFill>
            <w14:solidFill>
              <w14:schemeClr w14:val="tx1"/>
            </w14:solidFill>
          </w14:textFill>
        </w:rPr>
        <w:t>//jinrong.gcy.zfcg.gxzf.gov.cn/finance/loan/gx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24C30527">
      <w:pPr>
        <w:snapToGrid w:val="0"/>
        <w:spacing w:line="360" w:lineRule="auto"/>
        <w:ind w:firstLine="482"/>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FA04C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vAlign w:val="center"/>
          </w:tcPr>
          <w:p w14:paraId="3352A80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vAlign w:val="center"/>
          </w:tcPr>
          <w:p w14:paraId="2B9AFB23">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vAlign w:val="center"/>
          </w:tcPr>
          <w:p w14:paraId="076179E2">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vAlign w:val="center"/>
          </w:tcPr>
          <w:p w14:paraId="6231686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vAlign w:val="center"/>
          </w:tcPr>
          <w:p w14:paraId="20296406">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687CF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vAlign w:val="center"/>
          </w:tcPr>
          <w:p w14:paraId="202753B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vAlign w:val="center"/>
          </w:tcPr>
          <w:p w14:paraId="0E041C6F">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vAlign w:val="center"/>
          </w:tcPr>
          <w:p w14:paraId="0360757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7F01C76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vAlign w:val="center"/>
          </w:tcPr>
          <w:p w14:paraId="11A509E8">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C135B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vAlign w:val="center"/>
          </w:tcPr>
          <w:p w14:paraId="462A429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vAlign w:val="center"/>
          </w:tcPr>
          <w:p w14:paraId="10A2DD8B">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74CB65C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vAlign w:val="center"/>
          </w:tcPr>
          <w:p w14:paraId="7980A3A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vAlign w:val="center"/>
          </w:tcPr>
          <w:p w14:paraId="085E6D86">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BDDC2">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vAlign w:val="center"/>
          </w:tcPr>
          <w:p w14:paraId="1D6AF4B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vAlign w:val="center"/>
          </w:tcPr>
          <w:p w14:paraId="7EAF7467">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vAlign w:val="center"/>
          </w:tcPr>
          <w:p w14:paraId="3B99FD61">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4EEA5E8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vAlign w:val="center"/>
          </w:tcPr>
          <w:p w14:paraId="67948A57">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B8295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vAlign w:val="center"/>
          </w:tcPr>
          <w:p w14:paraId="426D966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vAlign w:val="center"/>
          </w:tcPr>
          <w:p w14:paraId="16D000D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vAlign w:val="center"/>
          </w:tcPr>
          <w:p w14:paraId="079680A0">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558DD97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4037B6A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vAlign w:val="center"/>
          </w:tcPr>
          <w:p w14:paraId="4DF2EDBA">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0AE07C49">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E6C4F7">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vAlign w:val="center"/>
          </w:tcPr>
          <w:p w14:paraId="342B26C5">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vAlign w:val="center"/>
          </w:tcPr>
          <w:p w14:paraId="5FA4B0E2">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vAlign w:val="center"/>
          </w:tcPr>
          <w:p w14:paraId="4A951A26">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vAlign w:val="center"/>
          </w:tcPr>
          <w:p w14:paraId="17EEB83D">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vAlign w:val="center"/>
          </w:tcPr>
          <w:p w14:paraId="430BF528">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C05E5C">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vAlign w:val="center"/>
          </w:tcPr>
          <w:p w14:paraId="48CA6EE7">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vAlign w:val="center"/>
          </w:tcPr>
          <w:p w14:paraId="7D0532EE">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vAlign w:val="center"/>
          </w:tcPr>
          <w:p w14:paraId="5AD7F3E4">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vAlign w:val="center"/>
          </w:tcPr>
          <w:p w14:paraId="03D7FC89">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vAlign w:val="center"/>
          </w:tcPr>
          <w:p w14:paraId="7EA476B0">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F2A3A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vAlign w:val="center"/>
          </w:tcPr>
          <w:p w14:paraId="7805FD5E">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vAlign w:val="center"/>
          </w:tcPr>
          <w:p w14:paraId="548105B1">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p>
        </w:tc>
        <w:tc>
          <w:tcPr>
            <w:tcW w:w="993" w:type="dxa"/>
            <w:vAlign w:val="center"/>
          </w:tcPr>
          <w:p w14:paraId="1299BDE8">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850" w:type="dxa"/>
            <w:vAlign w:val="center"/>
          </w:tcPr>
          <w:p w14:paraId="6B6062CA">
            <w:pPr>
              <w:snapToGrid w:val="0"/>
              <w:spacing w:line="360" w:lineRule="auto"/>
              <w:jc w:val="center"/>
              <w:outlineLvl w:val="9"/>
              <w:rPr>
                <w:rFonts w:ascii="宋体" w:hAnsi="宋体"/>
                <w:color w:val="000000" w:themeColor="text1"/>
                <w:kern w:val="0"/>
                <w:sz w:val="24"/>
                <w:szCs w:val="20"/>
                <w:highlight w:val="none"/>
                <w14:textFill>
                  <w14:solidFill>
                    <w14:schemeClr w14:val="tx1"/>
                  </w14:solidFill>
                </w14:textFill>
              </w:rPr>
            </w:pPr>
          </w:p>
        </w:tc>
        <w:tc>
          <w:tcPr>
            <w:tcW w:w="3366" w:type="dxa"/>
            <w:vAlign w:val="center"/>
          </w:tcPr>
          <w:p w14:paraId="213EF254">
            <w:pPr>
              <w:snapToGrid w:val="0"/>
              <w:spacing w:line="360" w:lineRule="auto"/>
              <w:jc w:val="left"/>
              <w:outlineLvl w:val="9"/>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2CA71B7B">
      <w:pPr>
        <w:pStyle w:val="633"/>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注：表中联系电话、授信金额、授信期限、最低利率等信息可能动态更新，仅供参考，具体以办理时相关银行公布的为准。</w:t>
      </w:r>
    </w:p>
    <w:p w14:paraId="2CB0B5B1">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3．履约保证金</w:t>
      </w:r>
    </w:p>
    <w:p w14:paraId="616591A7">
      <w:pPr>
        <w:tabs>
          <w:tab w:val="left" w:pos="0"/>
        </w:tabs>
        <w:spacing w:line="360" w:lineRule="auto"/>
        <w:ind w:firstLine="482"/>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018887E6">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履约保证金</w:t>
      </w:r>
      <w:r>
        <w:rPr>
          <w:rFonts w:hint="eastAsia" w:cs="宋体"/>
          <w:color w:val="000000" w:themeColor="text1"/>
          <w:kern w:val="2"/>
          <w:szCs w:val="24"/>
          <w:highlight w:val="none"/>
          <w14:textFill>
            <w14:solidFill>
              <w14:schemeClr w14:val="tx1"/>
            </w14:solidFill>
          </w14:textFill>
        </w:rPr>
        <w:t>收取银行账户</w:t>
      </w:r>
    </w:p>
    <w:p w14:paraId="22C7BC9D">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开户名称： </w:t>
      </w:r>
    </w:p>
    <w:p w14:paraId="5FE885A3">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开户银行： </w:t>
      </w:r>
    </w:p>
    <w:p w14:paraId="5B84A791">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w:t>
      </w:r>
    </w:p>
    <w:p w14:paraId="58600DF6">
      <w:pPr>
        <w:pStyle w:val="633"/>
        <w:ind w:firstLine="480" w:firstLineChars="200"/>
        <w:outlineLvl w:val="9"/>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3820B4F">
      <w:pPr>
        <w:pStyle w:val="633"/>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26.3履约保证金的退还。验收合格的政府采购项目，采购人应当按照合同约定的退还方式，在5个工作日内办理履约保证金退还手续。</w:t>
      </w:r>
    </w:p>
    <w:p w14:paraId="6812E668">
      <w:pPr>
        <w:pStyle w:val="633"/>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预付款</w:t>
      </w:r>
    </w:p>
    <w:p w14:paraId="7D39F8B3">
      <w:pPr>
        <w:adjustRightInd/>
        <w:spacing w:line="360" w:lineRule="auto"/>
        <w:ind w:firstLine="480" w:firstLineChars="200"/>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67B86930">
      <w:pPr>
        <w:tabs>
          <w:tab w:val="left" w:pos="0"/>
        </w:tabs>
        <w:spacing w:line="360" w:lineRule="auto"/>
        <w:ind w:firstLine="480" w:firstLineChars="200"/>
        <w:outlineLvl w:val="9"/>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362FEA3B">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1C9EFD3F">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十三、验收</w:t>
      </w:r>
    </w:p>
    <w:p w14:paraId="1E5565C0">
      <w:pPr>
        <w:pStyle w:val="22"/>
        <w:spacing w:line="360" w:lineRule="auto"/>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1.验收</w:t>
      </w:r>
    </w:p>
    <w:p w14:paraId="27F02609">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079476CA">
      <w:pPr>
        <w:snapToGrid w:val="0"/>
        <w:spacing w:line="360" w:lineRule="auto"/>
        <w:jc w:val="center"/>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十四、电子交易活动的中止</w:t>
      </w:r>
    </w:p>
    <w:p w14:paraId="5D28FE64">
      <w:pPr>
        <w:tabs>
          <w:tab w:val="left" w:pos="0"/>
        </w:tabs>
        <w:spacing w:line="360" w:lineRule="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1.电子交易活动的中止</w:t>
      </w:r>
    </w:p>
    <w:p w14:paraId="217D5213">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4FE5D38B">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1.1电子交易平台发生故障而无法登录访问的； </w:t>
      </w:r>
    </w:p>
    <w:p w14:paraId="5C75BE2F">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1.2电子交易平台应用或数据库出现错误，不能进行正常操作的；</w:t>
      </w:r>
    </w:p>
    <w:p w14:paraId="7CA1B633">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1.3电子交易平台发现严重安全漏洞，有潜在泄密危险的；</w:t>
      </w:r>
    </w:p>
    <w:p w14:paraId="444EC1CC">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 xml:space="preserve">1.4病毒发作导致不能进行正常操作的； </w:t>
      </w:r>
    </w:p>
    <w:p w14:paraId="7D897C8E">
      <w:pPr>
        <w:tabs>
          <w:tab w:val="left" w:pos="0"/>
        </w:tabs>
        <w:spacing w:line="360" w:lineRule="auto"/>
        <w:ind w:firstLine="480"/>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1.5其他无法保证电子交易的公平、公正和安全的情况。</w:t>
      </w:r>
    </w:p>
    <w:p w14:paraId="03C88615">
      <w:pPr>
        <w:tabs>
          <w:tab w:val="left" w:pos="0"/>
        </w:tabs>
        <w:spacing w:line="360" w:lineRule="auto"/>
        <w:outlineLvl w:val="9"/>
        <w:rPr>
          <w:rFonts w:cs="Helvetica" w:asciiTheme="minorEastAsia" w:hAnsiTheme="minorEastAsia" w:eastAsiaTheme="minorEastAsia"/>
          <w:color w:val="000000" w:themeColor="text1"/>
          <w:kern w:val="0"/>
          <w:sz w:val="24"/>
          <w:highlight w:val="none"/>
          <w14:textFill>
            <w14:solidFill>
              <w14:schemeClr w14:val="tx1"/>
            </w14:solidFill>
          </w14:textFill>
        </w:rPr>
      </w:pPr>
      <w:r>
        <w:rPr>
          <w:rFonts w:hint="eastAsia" w:cs="Helvetica" w:asciiTheme="minorEastAsia" w:hAnsiTheme="minorEastAsia" w:eastAsiaTheme="minorEastAsia"/>
          <w:b/>
          <w:color w:val="000000" w:themeColor="text1"/>
          <w:kern w:val="0"/>
          <w:sz w:val="24"/>
          <w:highlight w:val="none"/>
          <w14:textFill>
            <w14:solidFill>
              <w14:schemeClr w14:val="tx1"/>
            </w14:solidFill>
          </w14:textFill>
        </w:rPr>
        <w:t>2.</w:t>
      </w:r>
      <w:r>
        <w:rPr>
          <w:rFonts w:hint="eastAsia" w:cs="Helvetica" w:asciiTheme="minorEastAsia" w:hAnsiTheme="minorEastAsia" w:eastAsiaTheme="minorEastAsia"/>
          <w:color w:val="000000" w:themeColor="text1"/>
          <w:kern w:val="0"/>
          <w:sz w:val="24"/>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2"/>
      <w:bookmarkStart w:id="52" w:name="_Hlt68072990"/>
      <w:bookmarkEnd w:id="52"/>
      <w:bookmarkStart w:id="53" w:name="_Hlt75236101"/>
      <w:bookmarkEnd w:id="53"/>
      <w:bookmarkStart w:id="54" w:name="_Hlt74730295"/>
      <w:bookmarkEnd w:id="54"/>
      <w:bookmarkStart w:id="55" w:name="_Hlt75236290"/>
      <w:bookmarkEnd w:id="55"/>
      <w:bookmarkStart w:id="56" w:name="_Hlt68057669"/>
      <w:bookmarkEnd w:id="56"/>
      <w:bookmarkStart w:id="57" w:name="_Hlt75236011"/>
      <w:bookmarkEnd w:id="57"/>
      <w:bookmarkStart w:id="58" w:name="_Hlt74729768"/>
      <w:bookmarkEnd w:id="58"/>
      <w:bookmarkStart w:id="59" w:name="_Hlt74714665"/>
      <w:bookmarkEnd w:id="59"/>
      <w:bookmarkStart w:id="60" w:name="_Hlt74707468"/>
      <w:bookmarkEnd w:id="60"/>
      <w:bookmarkStart w:id="61" w:name="第三部分"/>
      <w:bookmarkStart w:id="62" w:name="_Toc164416483"/>
    </w:p>
    <w:p w14:paraId="2136E2BC">
      <w:pPr>
        <w:snapToGrid w:val="0"/>
        <w:spacing w:line="360" w:lineRule="auto"/>
        <w:ind w:left="120" w:leftChars="57" w:firstLine="482" w:firstLineChars="150"/>
        <w:jc w:val="center"/>
        <w:outlineLvl w:val="9"/>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十五、代理费用的收取标准和方式</w:t>
      </w:r>
    </w:p>
    <w:p w14:paraId="6662539E">
      <w:pPr>
        <w:pStyle w:val="22"/>
        <w:spacing w:line="360" w:lineRule="auto"/>
        <w:ind w:firstLine="0" w:firstLineChars="0"/>
        <w:outlineLvl w:val="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1.代理费用的收取标准和方式（适用于有权收取代理费用的采购代理机构）</w:t>
      </w:r>
    </w:p>
    <w:p w14:paraId="760D9315">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1.1采购代理费支付方式：</w:t>
      </w:r>
    </w:p>
    <w:p w14:paraId="57461584">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w:t>
      </w:r>
      <w:r>
        <w:rPr>
          <w:rFonts w:hint="eastAsia" w:cs="宋体"/>
          <w:color w:val="000000" w:themeColor="text1"/>
          <w:kern w:val="2"/>
          <w:szCs w:val="24"/>
          <w:highlight w:val="none"/>
          <w14:textFill>
            <w14:solidFill>
              <w14:schemeClr w14:val="tx1"/>
            </w14:solidFill>
          </w14:textFill>
        </w:rPr>
        <w:t>本项目代理服务费由成交供应商一次性向采购代理机构支付。</w:t>
      </w:r>
    </w:p>
    <w:p w14:paraId="2B1EA89A">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□采购人支付。</w:t>
      </w:r>
    </w:p>
    <w:p w14:paraId="782BE129">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1.2采购代理费收取标准：</w:t>
      </w:r>
    </w:p>
    <w:p w14:paraId="02391210">
      <w:pPr>
        <w:pStyle w:val="633"/>
        <w:ind w:firstLine="480" w:firstLineChars="200"/>
        <w:outlineLvl w:val="9"/>
        <w:rPr>
          <w:rFonts w:hint="eastAsia" w:ascii="MS Mincho" w:hAnsi="MS Mincho" w:eastAsia="MS Mincho" w:cs="宋体"/>
          <w:color w:val="000000" w:themeColor="text1"/>
          <w:kern w:val="2"/>
          <w:szCs w:val="24"/>
          <w:highlight w:val="none"/>
          <w14:textFill>
            <w14:solidFill>
              <w14:schemeClr w14:val="tx1"/>
            </w14:solidFill>
          </w14:textFill>
        </w:rPr>
      </w:pPr>
      <w:r>
        <w:rPr>
          <w:rFonts w:hint="eastAsia" w:ascii="MS Mincho" w:hAnsi="MS Mincho" w:eastAsia="MS Mincho" w:cs="宋体"/>
          <w:color w:val="000000" w:themeColor="text1"/>
          <w:kern w:val="2"/>
          <w:szCs w:val="24"/>
          <w:highlight w:val="none"/>
          <w14:textFill>
            <w14:solidFill>
              <w14:schemeClr w14:val="tx1"/>
            </w14:solidFill>
          </w14:textFill>
        </w:rPr>
        <w:t>按照《关于进一步放开建设项目专业服务价格的通知》发改价格〔2015〕299号文件及《关于降低部分建设项目收费标准规范收费行为等有关问题的通知》（发改价格〔2011〕534号)规定服务类标准收费。代理费不足3000.00元按3000.00元计取。</w:t>
      </w:r>
    </w:p>
    <w:p w14:paraId="48904595">
      <w:pPr>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br w:type="page"/>
      </w:r>
    </w:p>
    <w:p w14:paraId="3A20A349">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1.3采购代理费收取银行账户</w:t>
      </w:r>
    </w:p>
    <w:p w14:paraId="3474BEBC">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开户名称：</w:t>
      </w:r>
      <w:r>
        <w:rPr>
          <w:rFonts w:hint="eastAsia" w:cs="宋体"/>
          <w:color w:val="000000" w:themeColor="text1"/>
          <w:kern w:val="2"/>
          <w:szCs w:val="24"/>
          <w:highlight w:val="none"/>
          <w:lang w:eastAsia="zh-CN"/>
          <w14:textFill>
            <w14:solidFill>
              <w14:schemeClr w14:val="tx1"/>
            </w14:solidFill>
          </w14:textFill>
        </w:rPr>
        <w:t>广西腾锦工程项目管理有限公司</w:t>
      </w:r>
    </w:p>
    <w:p w14:paraId="23BA2435">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开户银行：4505 0165 5113 0000 0631</w:t>
      </w:r>
    </w:p>
    <w:p w14:paraId="26CD2D6D">
      <w:pPr>
        <w:pStyle w:val="633"/>
        <w:ind w:firstLine="480" w:firstLineChars="200"/>
        <w:outlineLvl w:val="9"/>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银行账号：中国建设银行股份有限公司北海大道支行</w:t>
      </w:r>
    </w:p>
    <w:p w14:paraId="16E2BB34">
      <w:pPr>
        <w:snapToGrid w:val="0"/>
        <w:spacing w:line="360" w:lineRule="auto"/>
        <w:ind w:firstLine="480" w:firstLineChars="200"/>
        <w:outlineLvl w:val="9"/>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1.4代理服务收费标准：</w:t>
      </w:r>
    </w:p>
    <w:tbl>
      <w:tblPr>
        <w:tblStyle w:val="62"/>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8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527640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费率</w:t>
            </w:r>
          </w:p>
          <w:p w14:paraId="04EE29E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中标金额</w:t>
            </w:r>
          </w:p>
        </w:tc>
        <w:tc>
          <w:tcPr>
            <w:tcW w:w="1659" w:type="dxa"/>
            <w:noWrap w:val="0"/>
            <w:vAlign w:val="center"/>
          </w:tcPr>
          <w:p w14:paraId="507D13F1">
            <w:pPr>
              <w:spacing w:line="360" w:lineRule="auto"/>
              <w:ind w:firstLine="120" w:firstLineChars="50"/>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687" w:type="dxa"/>
            <w:noWrap w:val="0"/>
            <w:vAlign w:val="center"/>
          </w:tcPr>
          <w:p w14:paraId="57D25BCF">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59" w:type="dxa"/>
            <w:noWrap w:val="0"/>
            <w:vAlign w:val="center"/>
          </w:tcPr>
          <w:p w14:paraId="39DA7651">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553A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D7D5C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100万元以下</w:t>
            </w:r>
          </w:p>
        </w:tc>
        <w:tc>
          <w:tcPr>
            <w:tcW w:w="1659" w:type="dxa"/>
            <w:noWrap w:val="0"/>
            <w:vAlign w:val="top"/>
          </w:tcPr>
          <w:p w14:paraId="79E63C2B">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1.5%                </w:t>
            </w:r>
          </w:p>
        </w:tc>
        <w:tc>
          <w:tcPr>
            <w:tcW w:w="1687" w:type="dxa"/>
            <w:noWrap w:val="0"/>
            <w:vAlign w:val="top"/>
          </w:tcPr>
          <w:p w14:paraId="7D5ABF6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659" w:type="dxa"/>
            <w:noWrap w:val="0"/>
            <w:vAlign w:val="top"/>
          </w:tcPr>
          <w:p w14:paraId="381698F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1.0% </w:t>
            </w:r>
          </w:p>
        </w:tc>
      </w:tr>
      <w:tr w14:paraId="7D33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E5B45A">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100～500万元</w:t>
            </w:r>
          </w:p>
        </w:tc>
        <w:tc>
          <w:tcPr>
            <w:tcW w:w="1659" w:type="dxa"/>
            <w:noWrap w:val="0"/>
            <w:vAlign w:val="top"/>
          </w:tcPr>
          <w:p w14:paraId="7076275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1.1%                 </w:t>
            </w:r>
          </w:p>
        </w:tc>
        <w:tc>
          <w:tcPr>
            <w:tcW w:w="1687" w:type="dxa"/>
            <w:noWrap w:val="0"/>
            <w:vAlign w:val="top"/>
          </w:tcPr>
          <w:p w14:paraId="774C00E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1659" w:type="dxa"/>
            <w:noWrap w:val="0"/>
            <w:vAlign w:val="top"/>
          </w:tcPr>
          <w:p w14:paraId="57E9C29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0.7% </w:t>
            </w:r>
          </w:p>
        </w:tc>
      </w:tr>
      <w:tr w14:paraId="0A1A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03B15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500～1000万元</w:t>
            </w:r>
          </w:p>
        </w:tc>
        <w:tc>
          <w:tcPr>
            <w:tcW w:w="1659" w:type="dxa"/>
            <w:noWrap w:val="0"/>
            <w:vAlign w:val="top"/>
          </w:tcPr>
          <w:p w14:paraId="04B8F267">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0.8%                </w:t>
            </w:r>
          </w:p>
        </w:tc>
        <w:tc>
          <w:tcPr>
            <w:tcW w:w="1687" w:type="dxa"/>
            <w:noWrap w:val="0"/>
            <w:vAlign w:val="top"/>
          </w:tcPr>
          <w:p w14:paraId="2773113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0.45%</w:t>
            </w:r>
          </w:p>
        </w:tc>
        <w:tc>
          <w:tcPr>
            <w:tcW w:w="1659" w:type="dxa"/>
            <w:noWrap w:val="0"/>
            <w:vAlign w:val="top"/>
          </w:tcPr>
          <w:p w14:paraId="00E0CCA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0.55%</w:t>
            </w:r>
          </w:p>
        </w:tc>
      </w:tr>
      <w:tr w14:paraId="3ABD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9F2B0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1000～5000万元</w:t>
            </w:r>
          </w:p>
        </w:tc>
        <w:tc>
          <w:tcPr>
            <w:tcW w:w="1659" w:type="dxa"/>
            <w:noWrap w:val="0"/>
            <w:vAlign w:val="top"/>
          </w:tcPr>
          <w:p w14:paraId="0B95023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0.5%                </w:t>
            </w:r>
          </w:p>
        </w:tc>
        <w:tc>
          <w:tcPr>
            <w:tcW w:w="1687" w:type="dxa"/>
            <w:noWrap w:val="0"/>
            <w:vAlign w:val="top"/>
          </w:tcPr>
          <w:p w14:paraId="7021815A">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0.25%</w:t>
            </w:r>
          </w:p>
        </w:tc>
        <w:tc>
          <w:tcPr>
            <w:tcW w:w="1659" w:type="dxa"/>
            <w:noWrap w:val="0"/>
            <w:vAlign w:val="top"/>
          </w:tcPr>
          <w:p w14:paraId="17E90BA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0.35% </w:t>
            </w:r>
          </w:p>
        </w:tc>
      </w:tr>
      <w:tr w14:paraId="141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AB655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5000万元～1亿元</w:t>
            </w:r>
          </w:p>
        </w:tc>
        <w:tc>
          <w:tcPr>
            <w:tcW w:w="1659" w:type="dxa"/>
            <w:noWrap w:val="0"/>
            <w:vAlign w:val="top"/>
          </w:tcPr>
          <w:p w14:paraId="1C92DE3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0.25%                 </w:t>
            </w:r>
          </w:p>
        </w:tc>
        <w:tc>
          <w:tcPr>
            <w:tcW w:w="1687" w:type="dxa"/>
            <w:noWrap w:val="0"/>
            <w:vAlign w:val="top"/>
          </w:tcPr>
          <w:p w14:paraId="4FAD28C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0.1%</w:t>
            </w:r>
          </w:p>
        </w:tc>
        <w:tc>
          <w:tcPr>
            <w:tcW w:w="1659" w:type="dxa"/>
            <w:noWrap w:val="0"/>
            <w:vAlign w:val="top"/>
          </w:tcPr>
          <w:p w14:paraId="6A94DB8E">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w:t>
            </w:r>
          </w:p>
        </w:tc>
      </w:tr>
      <w:tr w14:paraId="4EB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0D86F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1～5亿元</w:t>
            </w:r>
          </w:p>
        </w:tc>
        <w:tc>
          <w:tcPr>
            <w:tcW w:w="1659" w:type="dxa"/>
            <w:noWrap w:val="0"/>
            <w:vAlign w:val="top"/>
          </w:tcPr>
          <w:p w14:paraId="70C246D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687" w:type="dxa"/>
            <w:noWrap w:val="0"/>
            <w:vAlign w:val="top"/>
          </w:tcPr>
          <w:p w14:paraId="4BFB7C5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c>
          <w:tcPr>
            <w:tcW w:w="1659" w:type="dxa"/>
            <w:noWrap w:val="0"/>
            <w:vAlign w:val="top"/>
          </w:tcPr>
          <w:p w14:paraId="5ABAA97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r>
      <w:tr w14:paraId="4D6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EDD401">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5～10亿元</w:t>
            </w:r>
          </w:p>
        </w:tc>
        <w:tc>
          <w:tcPr>
            <w:tcW w:w="1659" w:type="dxa"/>
            <w:noWrap w:val="0"/>
            <w:vAlign w:val="top"/>
          </w:tcPr>
          <w:p w14:paraId="54AE3AFD">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c>
          <w:tcPr>
            <w:tcW w:w="1687" w:type="dxa"/>
            <w:noWrap w:val="0"/>
            <w:vAlign w:val="top"/>
          </w:tcPr>
          <w:p w14:paraId="52FA284F">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0.035%</w:t>
            </w:r>
          </w:p>
        </w:tc>
        <w:tc>
          <w:tcPr>
            <w:tcW w:w="1659" w:type="dxa"/>
            <w:noWrap w:val="0"/>
            <w:vAlign w:val="top"/>
          </w:tcPr>
          <w:p w14:paraId="682BDE9C">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r w14:paraId="5AB0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DA4E6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10～50亿元</w:t>
            </w:r>
          </w:p>
        </w:tc>
        <w:tc>
          <w:tcPr>
            <w:tcW w:w="1659" w:type="dxa"/>
            <w:noWrap w:val="0"/>
            <w:vAlign w:val="top"/>
          </w:tcPr>
          <w:p w14:paraId="1E8BE993">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87" w:type="dxa"/>
            <w:noWrap w:val="0"/>
            <w:vAlign w:val="top"/>
          </w:tcPr>
          <w:p w14:paraId="565B873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59" w:type="dxa"/>
            <w:noWrap w:val="0"/>
            <w:vAlign w:val="top"/>
          </w:tcPr>
          <w:p w14:paraId="7E66CE29">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r>
      <w:tr w14:paraId="334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E4AA2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50～100亿元</w:t>
            </w:r>
          </w:p>
        </w:tc>
        <w:tc>
          <w:tcPr>
            <w:tcW w:w="1659" w:type="dxa"/>
            <w:noWrap w:val="0"/>
            <w:vAlign w:val="top"/>
          </w:tcPr>
          <w:p w14:paraId="57C9DF10">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0.006%</w:t>
            </w:r>
          </w:p>
        </w:tc>
        <w:tc>
          <w:tcPr>
            <w:tcW w:w="1687" w:type="dxa"/>
            <w:noWrap w:val="0"/>
            <w:vAlign w:val="top"/>
          </w:tcPr>
          <w:p w14:paraId="145BC71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c>
          <w:tcPr>
            <w:tcW w:w="1659" w:type="dxa"/>
            <w:noWrap w:val="0"/>
            <w:vAlign w:val="top"/>
          </w:tcPr>
          <w:p w14:paraId="22F74FF2">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r>
      <w:tr w14:paraId="420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A38B93">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100亿以上</w:t>
            </w:r>
          </w:p>
        </w:tc>
        <w:tc>
          <w:tcPr>
            <w:tcW w:w="1659" w:type="dxa"/>
            <w:noWrap w:val="0"/>
            <w:vAlign w:val="top"/>
          </w:tcPr>
          <w:p w14:paraId="1DFFD48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0.004%</w:t>
            </w:r>
          </w:p>
        </w:tc>
        <w:tc>
          <w:tcPr>
            <w:tcW w:w="1687" w:type="dxa"/>
            <w:noWrap w:val="0"/>
            <w:vAlign w:val="top"/>
          </w:tcPr>
          <w:p w14:paraId="11EA6D0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c>
          <w:tcPr>
            <w:tcW w:w="1659" w:type="dxa"/>
            <w:noWrap w:val="0"/>
            <w:vAlign w:val="top"/>
          </w:tcPr>
          <w:p w14:paraId="57962E7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r>
    </w:tbl>
    <w:p w14:paraId="5E92254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27C88C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0CD06E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0623B6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例如：某服务采购代理业务中标金额或者暂定价为200万元，计算采购代理收费额如下：</w:t>
      </w:r>
    </w:p>
    <w:p w14:paraId="69FAB5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100万元×l.5％＝1.5万元</w:t>
      </w:r>
    </w:p>
    <w:p w14:paraId="795176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（200－100）万元×0.8％＝0.8万元</w:t>
      </w:r>
    </w:p>
    <w:p w14:paraId="29A541B9">
      <w:pPr>
        <w:snapToGrid w:val="0"/>
        <w:spacing w:line="360" w:lineRule="auto"/>
        <w:ind w:firstLine="480" w:firstLineChars="200"/>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hAnsi="宋体" w:cs="宋体"/>
          <w:color w:val="auto"/>
          <w:sz w:val="24"/>
          <w:szCs w:val="24"/>
          <w:highlight w:val="none"/>
        </w:rPr>
        <w:t>合计</w:t>
      </w:r>
      <w:r>
        <w:rPr>
          <w:rFonts w:hint="eastAsia" w:ascii="宋体" w:hAnsi="宋体" w:eastAsia="宋体" w:cs="宋体"/>
          <w:color w:val="auto"/>
          <w:sz w:val="24"/>
          <w:szCs w:val="24"/>
          <w:highlight w:val="none"/>
        </w:rPr>
        <w:t>收费＝1.5+0.8＝</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（万元）</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6624BE06">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3" w:name="_Toc27499"/>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第四部分  采购需求</w:t>
      </w:r>
      <w:bookmarkEnd w:id="63"/>
    </w:p>
    <w:p w14:paraId="20CE32C5">
      <w:pPr>
        <w:keepNext w:val="0"/>
        <w:keepLines w:val="0"/>
        <w:pageBreakBefore w:val="0"/>
        <w:widowControl w:val="0"/>
        <w:tabs>
          <w:tab w:val="left" w:pos="180"/>
          <w:tab w:val="left" w:pos="1620"/>
        </w:tabs>
        <w:kinsoku/>
        <w:wordWrap/>
        <w:overflowPunct/>
        <w:topLinePunct w:val="0"/>
        <w:autoSpaceDE/>
        <w:autoSpaceDN/>
        <w:bidi w:val="0"/>
        <w:adjustRightInd/>
        <w:snapToGrid/>
        <w:spacing w:beforeAutospacing="0"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val="0"/>
          <w:bCs w:val="0"/>
          <w:color w:val="auto"/>
          <w:sz w:val="21"/>
          <w:szCs w:val="21"/>
          <w:highlight w:val="none"/>
          <w:u w:val="single"/>
        </w:rPr>
        <w:t>BHZC2026-C3-120018-GXTJ</w:t>
      </w:r>
    </w:p>
    <w:p w14:paraId="52CA3B7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项目类别：</w:t>
      </w:r>
      <w:r>
        <w:rPr>
          <w:rFonts w:hint="eastAsia" w:ascii="宋体" w:hAnsi="宋体" w:eastAsia="宋体" w:cs="宋体"/>
          <w:b w:val="0"/>
          <w:bCs w:val="0"/>
          <w:color w:val="auto"/>
          <w:sz w:val="21"/>
          <w:szCs w:val="21"/>
          <w:highlight w:val="none"/>
          <w:u w:val="single"/>
        </w:rPr>
        <w:t xml:space="preserve">  服务类  </w:t>
      </w:r>
    </w:p>
    <w:p w14:paraId="1C150D21">
      <w:pPr>
        <w:pStyle w:val="40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三、标的所属行业：</w:t>
      </w:r>
      <w:r>
        <w:rPr>
          <w:rFonts w:hint="eastAsia" w:ascii="宋体" w:hAnsi="宋体" w:eastAsia="宋体" w:cs="宋体"/>
          <w:b/>
          <w:bCs/>
          <w:color w:val="auto"/>
          <w:sz w:val="21"/>
          <w:szCs w:val="21"/>
          <w:highlight w:val="none"/>
          <w:u w:val="single"/>
          <w:lang w:val="en-US" w:eastAsia="zh-CN"/>
        </w:rPr>
        <w:t>水利、环境和公共设施管理</w:t>
      </w:r>
      <w:r>
        <w:rPr>
          <w:rFonts w:hint="eastAsia" w:ascii="宋体" w:hAnsi="宋体" w:eastAsia="宋体" w:cs="宋体"/>
          <w:b/>
          <w:bCs/>
          <w:color w:val="auto"/>
          <w:sz w:val="21"/>
          <w:szCs w:val="21"/>
          <w:highlight w:val="none"/>
          <w:u w:val="none"/>
          <w:lang w:val="en-US" w:eastAsia="zh-CN"/>
        </w:rPr>
        <w:t>行业</w:t>
      </w:r>
    </w:p>
    <w:p w14:paraId="65ECDD9F">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最高限价：</w:t>
      </w:r>
      <w:r>
        <w:rPr>
          <w:rFonts w:hint="eastAsia" w:ascii="宋体" w:hAnsi="宋体" w:cs="宋体"/>
          <w:b/>
          <w:bCs/>
          <w:color w:val="auto"/>
          <w:sz w:val="21"/>
          <w:szCs w:val="21"/>
          <w:highlight w:val="none"/>
          <w:lang w:eastAsia="zh-CN"/>
        </w:rPr>
        <w:t>人民币190.00万元</w:t>
      </w:r>
      <w:r>
        <w:rPr>
          <w:rFonts w:hint="eastAsia" w:ascii="宋体" w:hAnsi="宋体" w:eastAsia="宋体" w:cs="宋体"/>
          <w:b/>
          <w:bCs/>
          <w:color w:val="auto"/>
          <w:sz w:val="21"/>
          <w:szCs w:val="21"/>
          <w:highlight w:val="none"/>
        </w:rPr>
        <w:t>。磋商供应商的磋商报价超过</w:t>
      </w:r>
      <w:r>
        <w:rPr>
          <w:rFonts w:hint="eastAsia" w:ascii="宋体" w:hAnsi="宋体" w:eastAsia="宋体" w:cs="宋体"/>
          <w:b/>
          <w:bCs/>
          <w:color w:val="auto"/>
          <w:sz w:val="21"/>
          <w:szCs w:val="21"/>
          <w:highlight w:val="none"/>
          <w:lang w:val="en-US" w:eastAsia="zh-CN"/>
        </w:rPr>
        <w:t>采购最高限价的</w:t>
      </w:r>
      <w:r>
        <w:rPr>
          <w:rFonts w:hint="eastAsia" w:ascii="宋体" w:hAnsi="宋体" w:eastAsia="宋体" w:cs="宋体"/>
          <w:b/>
          <w:bCs/>
          <w:color w:val="auto"/>
          <w:sz w:val="21"/>
          <w:szCs w:val="21"/>
          <w:highlight w:val="none"/>
        </w:rPr>
        <w:t>，将导致其磋商被拒绝。</w:t>
      </w:r>
      <w:bookmarkStart w:id="64" w:name="_Toc11399589"/>
    </w:p>
    <w:p w14:paraId="107A16C5">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i w:val="0"/>
          <w:iCs w:val="0"/>
          <w:sz w:val="21"/>
          <w:szCs w:val="21"/>
          <w:highlight w:val="none"/>
          <w:lang w:val="en-US" w:eastAsia="zh-CN"/>
        </w:rPr>
      </w:pPr>
      <w:r>
        <w:rPr>
          <w:rFonts w:hint="eastAsia" w:ascii="宋体" w:hAnsi="宋体" w:eastAsia="宋体" w:cs="宋体"/>
          <w:b/>
          <w:bCs/>
          <w:color w:val="auto"/>
          <w:sz w:val="21"/>
          <w:szCs w:val="21"/>
          <w:highlight w:val="none"/>
          <w:lang w:eastAsia="zh-CN"/>
        </w:rPr>
        <w:t>五、</w:t>
      </w:r>
      <w:bookmarkEnd w:id="64"/>
      <w:r>
        <w:rPr>
          <w:rFonts w:hint="eastAsia" w:ascii="宋体" w:hAnsi="宋体" w:eastAsia="宋体" w:cs="宋体"/>
          <w:b/>
          <w:bCs/>
          <w:color w:val="auto"/>
          <w:sz w:val="21"/>
          <w:szCs w:val="21"/>
          <w:highlight w:val="none"/>
          <w:lang w:eastAsia="zh-CN"/>
        </w:rPr>
        <w:t>采购需求中的服务内容及要求、商务要求为本次采购的实质性（关键性）的商务、技术、服务要求，磋商供应商须满足或响应，若无法完全满足，将会被认定为竞标无效。</w:t>
      </w:r>
    </w:p>
    <w:tbl>
      <w:tblPr>
        <w:tblStyle w:val="6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184"/>
      </w:tblGrid>
      <w:tr w14:paraId="76D2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0" w:type="dxa"/>
            <w:gridSpan w:val="2"/>
            <w:noWrap w:val="0"/>
            <w:vAlign w:val="center"/>
          </w:tcPr>
          <w:p w14:paraId="460D51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技术要求</w:t>
            </w:r>
          </w:p>
        </w:tc>
      </w:tr>
      <w:tr w14:paraId="4A7B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480" w:type="dxa"/>
            <w:gridSpan w:val="2"/>
            <w:noWrap w:val="0"/>
            <w:vAlign w:val="center"/>
          </w:tcPr>
          <w:p w14:paraId="1D1C0F3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一、项目概况及要求</w:t>
            </w:r>
          </w:p>
          <w:p w14:paraId="3C53C5E8">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1.南康镇污水处理厂基本情况</w:t>
            </w:r>
          </w:p>
          <w:p w14:paraId="47221DA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该污水处理厂分一厂、二厂两个厂区建设，项目总投资2624.51万元，项目建于2015年9月，2016年1月完成建设竣工验收，2016年3月开始截流运营。一厂和二厂处理量均为1000吨/天，出水水质达《城镇污水处理厂污染物排放标准》（GB189182002)一级A标准。2020年开工建设污水处理厂扩容项目一期工程，污水厂扩容一期工程设计将污水厂一厂处理量提升至1500吨/天，污水处理二厂处理量提升至2000吨/天。该一期工程已于2021年底竣工验收，并投入试运行。2023年，启动南康镇污水处理厂技改工程，将原工艺改造为“AO+气浮”工艺。</w:t>
            </w:r>
          </w:p>
          <w:p w14:paraId="41534D1A">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2.营盘镇污水处理厂运行情况</w:t>
            </w:r>
          </w:p>
          <w:p w14:paraId="45D3049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kern w:val="0"/>
                <w:sz w:val="21"/>
                <w:szCs w:val="21"/>
                <w:highlight w:val="none"/>
                <w:lang w:val="en-US" w:eastAsia="zh-CN" w:bidi="ar"/>
              </w:rPr>
              <w:t>营盘镇污水厂位于营盘镇南侧、海滨西路西段北侧，污水处理工艺采用兼氧FMBR膜处理工艺，污水处理规模为1000吨/天，污水经处理后达到《城镇污水处理厂污染物排放标准》（GB18918-2002）中一级A排放标准。2016年1月建成投入使用。2023年，启动营盘镇污水处理厂技改工程，将原工艺改造为“AO+气浮”工艺。</w:t>
            </w:r>
          </w:p>
          <w:p w14:paraId="4D209314">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3.污水处理厂建设规模</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666"/>
              <w:gridCol w:w="3152"/>
            </w:tblGrid>
            <w:tr w14:paraId="224D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1704" w:type="dxa"/>
                  <w:vAlign w:val="center"/>
                </w:tcPr>
                <w:p w14:paraId="5B4AF45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3666" w:type="dxa"/>
                  <w:vAlign w:val="center"/>
                </w:tcPr>
                <w:p w14:paraId="5C7D8B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项目</w:t>
                  </w:r>
                </w:p>
              </w:tc>
              <w:tc>
                <w:tcPr>
                  <w:tcW w:w="3152" w:type="dxa"/>
                  <w:vAlign w:val="center"/>
                </w:tcPr>
                <w:p w14:paraId="328E5B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设计水量（m³/d）</w:t>
                  </w:r>
                </w:p>
              </w:tc>
            </w:tr>
            <w:tr w14:paraId="6FDC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D0A20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3666" w:type="dxa"/>
                  <w:vAlign w:val="center"/>
                </w:tcPr>
                <w:p w14:paraId="6FD1D5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南康镇污水处理厂一厂</w:t>
                  </w:r>
                </w:p>
              </w:tc>
              <w:tc>
                <w:tcPr>
                  <w:tcW w:w="3152" w:type="dxa"/>
                  <w:vAlign w:val="center"/>
                </w:tcPr>
                <w:p w14:paraId="4D281FE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1500</w:t>
                  </w:r>
                </w:p>
              </w:tc>
            </w:tr>
            <w:tr w14:paraId="0095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D4B76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2</w:t>
                  </w:r>
                </w:p>
              </w:tc>
              <w:tc>
                <w:tcPr>
                  <w:tcW w:w="3666" w:type="dxa"/>
                  <w:vAlign w:val="center"/>
                </w:tcPr>
                <w:p w14:paraId="300760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南康镇污水处理厂二厂</w:t>
                  </w:r>
                </w:p>
              </w:tc>
              <w:tc>
                <w:tcPr>
                  <w:tcW w:w="3152" w:type="dxa"/>
                  <w:vAlign w:val="center"/>
                </w:tcPr>
                <w:p w14:paraId="52DB94D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w:t>
                  </w:r>
                </w:p>
              </w:tc>
            </w:tr>
            <w:tr w14:paraId="26C1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699DF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3</w:t>
                  </w:r>
                </w:p>
              </w:tc>
              <w:tc>
                <w:tcPr>
                  <w:tcW w:w="3666" w:type="dxa"/>
                  <w:vAlign w:val="center"/>
                </w:tcPr>
                <w:p w14:paraId="2AEBC2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营盘镇污水处理厂</w:t>
                  </w:r>
                </w:p>
              </w:tc>
              <w:tc>
                <w:tcPr>
                  <w:tcW w:w="3152" w:type="dxa"/>
                  <w:vAlign w:val="center"/>
                </w:tcPr>
                <w:p w14:paraId="0F2AE32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w:t>
                  </w:r>
                </w:p>
              </w:tc>
            </w:tr>
          </w:tbl>
          <w:p w14:paraId="0150E4A1">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4.污水处理设计进水、出水标准限值</w:t>
            </w:r>
          </w:p>
          <w:p w14:paraId="5202A2CE">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righ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（单位：mg/L，pH 值除外）</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041B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7E51770">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项目</w:t>
                  </w:r>
                </w:p>
              </w:tc>
              <w:tc>
                <w:tcPr>
                  <w:tcW w:w="1065" w:type="dxa"/>
                </w:tcPr>
                <w:p w14:paraId="436F49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COD</w:t>
                  </w:r>
                </w:p>
              </w:tc>
              <w:tc>
                <w:tcPr>
                  <w:tcW w:w="1065" w:type="dxa"/>
                </w:tcPr>
                <w:p w14:paraId="6B56B1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BOD</w:t>
                  </w:r>
                  <w:r>
                    <w:rPr>
                      <w:rFonts w:hint="eastAsia" w:ascii="宋体" w:hAnsi="宋体" w:eastAsia="宋体" w:cs="宋体"/>
                      <w:b/>
                      <w:bCs/>
                      <w:color w:val="auto"/>
                      <w:kern w:val="0"/>
                      <w:sz w:val="21"/>
                      <w:szCs w:val="21"/>
                      <w:highlight w:val="none"/>
                      <w:vertAlign w:val="subscript"/>
                      <w:lang w:val="en-US" w:eastAsia="zh-CN" w:bidi="ar"/>
                    </w:rPr>
                    <w:t>5</w:t>
                  </w:r>
                </w:p>
              </w:tc>
              <w:tc>
                <w:tcPr>
                  <w:tcW w:w="1065" w:type="dxa"/>
                </w:tcPr>
                <w:p w14:paraId="3E67DE3B">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SS</w:t>
                  </w:r>
                </w:p>
              </w:tc>
              <w:tc>
                <w:tcPr>
                  <w:tcW w:w="1065" w:type="dxa"/>
                </w:tcPr>
                <w:p w14:paraId="717AA3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NH</w:t>
                  </w:r>
                  <w:r>
                    <w:rPr>
                      <w:rFonts w:hint="eastAsia" w:ascii="宋体" w:hAnsi="宋体" w:eastAsia="宋体" w:cs="宋体"/>
                      <w:b/>
                      <w:bCs/>
                      <w:color w:val="auto"/>
                      <w:kern w:val="0"/>
                      <w:sz w:val="21"/>
                      <w:szCs w:val="21"/>
                      <w:highlight w:val="none"/>
                      <w:vertAlign w:val="subscript"/>
                      <w:lang w:val="en-US" w:eastAsia="zh-CN" w:bidi="ar"/>
                    </w:rPr>
                    <w:t>3</w:t>
                  </w:r>
                  <w:r>
                    <w:rPr>
                      <w:rFonts w:hint="eastAsia" w:ascii="宋体" w:hAnsi="宋体" w:eastAsia="宋体" w:cs="宋体"/>
                      <w:b/>
                      <w:bCs/>
                      <w:color w:val="auto"/>
                      <w:kern w:val="0"/>
                      <w:sz w:val="21"/>
                      <w:szCs w:val="21"/>
                      <w:highlight w:val="none"/>
                      <w:lang w:val="en-US" w:eastAsia="zh-CN" w:bidi="ar"/>
                    </w:rPr>
                    <w:t>-N</w:t>
                  </w:r>
                </w:p>
              </w:tc>
              <w:tc>
                <w:tcPr>
                  <w:tcW w:w="1065" w:type="dxa"/>
                </w:tcPr>
                <w:p w14:paraId="1E1A59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TN</w:t>
                  </w:r>
                </w:p>
              </w:tc>
              <w:tc>
                <w:tcPr>
                  <w:tcW w:w="1066" w:type="dxa"/>
                </w:tcPr>
                <w:p w14:paraId="079A39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TP</w:t>
                  </w:r>
                </w:p>
              </w:tc>
              <w:tc>
                <w:tcPr>
                  <w:tcW w:w="1066" w:type="dxa"/>
                </w:tcPr>
                <w:p w14:paraId="243DCCE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pH</w:t>
                  </w:r>
                </w:p>
              </w:tc>
            </w:tr>
            <w:tr w14:paraId="7E95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D91310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进水</w:t>
                  </w:r>
                </w:p>
              </w:tc>
              <w:tc>
                <w:tcPr>
                  <w:tcW w:w="1065" w:type="dxa"/>
                </w:tcPr>
                <w:p w14:paraId="022634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≤200</w:t>
                  </w:r>
                </w:p>
              </w:tc>
              <w:tc>
                <w:tcPr>
                  <w:tcW w:w="1065" w:type="dxa"/>
                </w:tcPr>
                <w:p w14:paraId="3963A3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≤120</w:t>
                  </w:r>
                </w:p>
              </w:tc>
              <w:tc>
                <w:tcPr>
                  <w:tcW w:w="1065" w:type="dxa"/>
                </w:tcPr>
                <w:p w14:paraId="28A868E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≤200</w:t>
                  </w:r>
                </w:p>
              </w:tc>
              <w:tc>
                <w:tcPr>
                  <w:tcW w:w="1065" w:type="dxa"/>
                </w:tcPr>
                <w:p w14:paraId="3CCFAF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≤30</w:t>
                  </w:r>
                </w:p>
              </w:tc>
              <w:tc>
                <w:tcPr>
                  <w:tcW w:w="1065" w:type="dxa"/>
                </w:tcPr>
                <w:p w14:paraId="574019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≤40</w:t>
                  </w:r>
                </w:p>
              </w:tc>
              <w:tc>
                <w:tcPr>
                  <w:tcW w:w="1066" w:type="dxa"/>
                </w:tcPr>
                <w:p w14:paraId="69D652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≤4</w:t>
                  </w:r>
                </w:p>
              </w:tc>
              <w:tc>
                <w:tcPr>
                  <w:tcW w:w="1066" w:type="dxa"/>
                </w:tcPr>
                <w:p w14:paraId="25FC1E05">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r>
            <w:tr w14:paraId="59CD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6CB49FF">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出水</w:t>
                  </w:r>
                </w:p>
              </w:tc>
              <w:tc>
                <w:tcPr>
                  <w:tcW w:w="1065" w:type="dxa"/>
                </w:tcPr>
                <w:p w14:paraId="15FDFD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≤50</w:t>
                  </w:r>
                </w:p>
              </w:tc>
              <w:tc>
                <w:tcPr>
                  <w:tcW w:w="1065" w:type="dxa"/>
                </w:tcPr>
                <w:p w14:paraId="5395E1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≤10</w:t>
                  </w:r>
                </w:p>
              </w:tc>
              <w:tc>
                <w:tcPr>
                  <w:tcW w:w="1065" w:type="dxa"/>
                </w:tcPr>
                <w:p w14:paraId="63E3734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≤10</w:t>
                  </w:r>
                </w:p>
              </w:tc>
              <w:tc>
                <w:tcPr>
                  <w:tcW w:w="1065" w:type="dxa"/>
                </w:tcPr>
                <w:p w14:paraId="328F09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≤5</w:t>
                  </w:r>
                </w:p>
              </w:tc>
              <w:tc>
                <w:tcPr>
                  <w:tcW w:w="1065" w:type="dxa"/>
                </w:tcPr>
                <w:p w14:paraId="25DC88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≤15</w:t>
                  </w:r>
                </w:p>
              </w:tc>
              <w:tc>
                <w:tcPr>
                  <w:tcW w:w="1066" w:type="dxa"/>
                </w:tcPr>
                <w:p w14:paraId="0C8725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≤0.5</w:t>
                  </w:r>
                </w:p>
              </w:tc>
              <w:tc>
                <w:tcPr>
                  <w:tcW w:w="1066" w:type="dxa"/>
                </w:tcPr>
                <w:p w14:paraId="185DD2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6-9</w:t>
                  </w:r>
                </w:p>
              </w:tc>
            </w:tr>
          </w:tbl>
          <w:p w14:paraId="2E0DE9A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5.在运营服务期内，污水厂负荷率不能低于 70%。</w:t>
            </w:r>
          </w:p>
          <w:p w14:paraId="568BC39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6.按照已建成的生活污水处理工艺进行运营管理，供应商如需对生产工艺进行技改必须征得建设单位及监管部门的同意。</w:t>
            </w:r>
          </w:p>
          <w:p w14:paraId="3A4D03F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kern w:val="0"/>
                <w:sz w:val="21"/>
                <w:szCs w:val="21"/>
                <w:highlight w:val="none"/>
                <w:lang w:val="en-US" w:eastAsia="zh-CN" w:bidi="ar"/>
              </w:rPr>
              <w:t>7.接受环保部门的监督、检查。</w:t>
            </w:r>
          </w:p>
          <w:p w14:paraId="65A1606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8.项目费用汇总表</w:t>
            </w:r>
          </w:p>
          <w:tbl>
            <w:tblPr>
              <w:tblStyle w:val="62"/>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0"/>
              <w:gridCol w:w="1675"/>
              <w:gridCol w:w="1107"/>
              <w:gridCol w:w="1084"/>
              <w:gridCol w:w="1413"/>
              <w:gridCol w:w="1083"/>
              <w:gridCol w:w="1025"/>
            </w:tblGrid>
            <w:tr w14:paraId="0465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7" w:type="dxa"/>
                  <w:gridSpan w:val="7"/>
                  <w:shd w:val="clear" w:color="auto" w:fill="auto"/>
                  <w:noWrap/>
                  <w:vAlign w:val="center"/>
                </w:tcPr>
                <w:p w14:paraId="434972D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铁山港区镇级污水处理厂年度运营费用汇总表</w:t>
                  </w:r>
                </w:p>
              </w:tc>
            </w:tr>
            <w:tr w14:paraId="6BE3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77" w:type="dxa"/>
                  <w:gridSpan w:val="7"/>
                  <w:shd w:val="clear" w:color="auto" w:fill="auto"/>
                  <w:noWrap/>
                  <w:vAlign w:val="center"/>
                </w:tcPr>
                <w:p w14:paraId="59512BDD">
                  <w:pPr>
                    <w:keepNext w:val="0"/>
                    <w:keepLines w:val="0"/>
                    <w:pageBreakBefore w:val="0"/>
                    <w:widowControl/>
                    <w:suppressLineNumbers w:val="0"/>
                    <w:kinsoku/>
                    <w:wordWrap/>
                    <w:overflowPunct/>
                    <w:topLinePunct w:val="0"/>
                    <w:autoSpaceDE/>
                    <w:autoSpaceDN/>
                    <w:bidi w:val="0"/>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单位：万元</w:t>
                  </w:r>
                </w:p>
              </w:tc>
            </w:tr>
            <w:tr w14:paraId="720E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90" w:type="dxa"/>
                  <w:shd w:val="clear" w:color="auto" w:fill="auto"/>
                  <w:noWrap/>
                  <w:vAlign w:val="center"/>
                </w:tcPr>
                <w:p w14:paraId="65FF52BD">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75" w:type="dxa"/>
                  <w:shd w:val="clear" w:color="auto" w:fill="auto"/>
                  <w:noWrap/>
                  <w:vAlign w:val="center"/>
                </w:tcPr>
                <w:p w14:paraId="36EBB08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费用内容</w:t>
                  </w:r>
                </w:p>
              </w:tc>
              <w:tc>
                <w:tcPr>
                  <w:tcW w:w="1107" w:type="dxa"/>
                  <w:shd w:val="clear" w:color="auto" w:fill="auto"/>
                  <w:vAlign w:val="center"/>
                </w:tcPr>
                <w:p w14:paraId="2AEE6F67">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南康一厂</w:t>
                  </w:r>
                </w:p>
              </w:tc>
              <w:tc>
                <w:tcPr>
                  <w:tcW w:w="1084" w:type="dxa"/>
                  <w:shd w:val="clear" w:color="auto" w:fill="auto"/>
                  <w:vAlign w:val="center"/>
                </w:tcPr>
                <w:p w14:paraId="61B92A39">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南康二厂</w:t>
                  </w:r>
                </w:p>
              </w:tc>
              <w:tc>
                <w:tcPr>
                  <w:tcW w:w="1413" w:type="dxa"/>
                  <w:shd w:val="clear" w:color="auto" w:fill="auto"/>
                  <w:vAlign w:val="center"/>
                </w:tcPr>
                <w:p w14:paraId="7A4EFF72">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营盘污水处理厂</w:t>
                  </w:r>
                </w:p>
              </w:tc>
              <w:tc>
                <w:tcPr>
                  <w:tcW w:w="1083" w:type="dxa"/>
                  <w:shd w:val="clear" w:color="auto" w:fill="auto"/>
                  <w:vAlign w:val="center"/>
                </w:tcPr>
                <w:p w14:paraId="24E7F7C3">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1025" w:type="dxa"/>
                  <w:shd w:val="clear" w:color="auto" w:fill="auto"/>
                  <w:noWrap/>
                  <w:vAlign w:val="center"/>
                </w:tcPr>
                <w:p w14:paraId="1EE4CA55">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06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90" w:type="dxa"/>
                  <w:shd w:val="clear" w:color="auto" w:fill="auto"/>
                  <w:noWrap/>
                  <w:vAlign w:val="center"/>
                </w:tcPr>
                <w:p w14:paraId="0E4A479C">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675" w:type="dxa"/>
                  <w:shd w:val="clear" w:color="auto" w:fill="auto"/>
                  <w:vAlign w:val="center"/>
                </w:tcPr>
                <w:p w14:paraId="010AC521">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运维管理及在线监测费</w:t>
                  </w:r>
                </w:p>
              </w:tc>
              <w:tc>
                <w:tcPr>
                  <w:tcW w:w="1107" w:type="dxa"/>
                  <w:shd w:val="clear" w:color="auto" w:fill="auto"/>
                  <w:noWrap/>
                  <w:vAlign w:val="center"/>
                </w:tcPr>
                <w:p w14:paraId="041CFEAA">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1084" w:type="dxa"/>
                  <w:shd w:val="clear" w:color="auto" w:fill="auto"/>
                  <w:noWrap/>
                  <w:vAlign w:val="center"/>
                </w:tcPr>
                <w:p w14:paraId="0C463A02">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1413" w:type="dxa"/>
                  <w:shd w:val="clear" w:color="auto" w:fill="auto"/>
                  <w:noWrap/>
                  <w:vAlign w:val="center"/>
                </w:tcPr>
                <w:p w14:paraId="2067BC22">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1083" w:type="dxa"/>
                  <w:shd w:val="clear" w:color="auto" w:fill="auto"/>
                  <w:noWrap/>
                  <w:vAlign w:val="center"/>
                </w:tcPr>
                <w:p w14:paraId="5A141DDD">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135.00</w:t>
                  </w:r>
                </w:p>
              </w:tc>
              <w:tc>
                <w:tcPr>
                  <w:tcW w:w="1025" w:type="dxa"/>
                  <w:shd w:val="clear" w:color="auto" w:fill="auto"/>
                  <w:vAlign w:val="center"/>
                </w:tcPr>
                <w:p w14:paraId="4B79C7FE">
                  <w:pPr>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含税价</w:t>
                  </w:r>
                </w:p>
              </w:tc>
            </w:tr>
            <w:tr w14:paraId="617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 w:type="dxa"/>
                  <w:shd w:val="clear" w:color="auto" w:fill="auto"/>
                  <w:noWrap/>
                  <w:vAlign w:val="center"/>
                </w:tcPr>
                <w:p w14:paraId="753B2864">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675" w:type="dxa"/>
                  <w:shd w:val="clear" w:color="auto" w:fill="auto"/>
                  <w:noWrap/>
                  <w:vAlign w:val="center"/>
                </w:tcPr>
                <w:p w14:paraId="07802BFE">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设备维护费</w:t>
                  </w:r>
                </w:p>
              </w:tc>
              <w:tc>
                <w:tcPr>
                  <w:tcW w:w="1107" w:type="dxa"/>
                  <w:shd w:val="clear" w:color="auto" w:fill="auto"/>
                  <w:noWrap/>
                  <w:vAlign w:val="center"/>
                </w:tcPr>
                <w:p w14:paraId="43859CEC">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84" w:type="dxa"/>
                  <w:shd w:val="clear" w:color="auto" w:fill="auto"/>
                  <w:noWrap/>
                  <w:vAlign w:val="center"/>
                </w:tcPr>
                <w:p w14:paraId="0B6C19E9">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413" w:type="dxa"/>
                  <w:shd w:val="clear" w:color="auto" w:fill="auto"/>
                  <w:noWrap/>
                  <w:vAlign w:val="center"/>
                </w:tcPr>
                <w:p w14:paraId="05E35421">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83" w:type="dxa"/>
                  <w:shd w:val="clear" w:color="auto" w:fill="auto"/>
                  <w:noWrap/>
                  <w:vAlign w:val="center"/>
                </w:tcPr>
                <w:p w14:paraId="1EC64E45">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025" w:type="dxa"/>
                  <w:shd w:val="clear" w:color="auto" w:fill="auto"/>
                  <w:vAlign w:val="center"/>
                </w:tcPr>
                <w:p w14:paraId="1D9551EF">
                  <w:pPr>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含税价</w:t>
                  </w:r>
                </w:p>
              </w:tc>
            </w:tr>
            <w:tr w14:paraId="1A8A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 w:type="dxa"/>
                  <w:shd w:val="clear" w:color="auto" w:fill="auto"/>
                  <w:noWrap/>
                  <w:vAlign w:val="center"/>
                </w:tcPr>
                <w:p w14:paraId="39BEC6B7">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675" w:type="dxa"/>
                  <w:shd w:val="clear" w:color="auto" w:fill="auto"/>
                  <w:noWrap/>
                  <w:vAlign w:val="center"/>
                </w:tcPr>
                <w:p w14:paraId="3F98C848">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扩容运营费</w:t>
                  </w:r>
                </w:p>
              </w:tc>
              <w:tc>
                <w:tcPr>
                  <w:tcW w:w="1107" w:type="dxa"/>
                  <w:shd w:val="clear" w:color="auto" w:fill="auto"/>
                  <w:noWrap/>
                  <w:vAlign w:val="center"/>
                </w:tcPr>
                <w:p w14:paraId="76ACB437">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084" w:type="dxa"/>
                  <w:shd w:val="clear" w:color="auto" w:fill="auto"/>
                  <w:noWrap/>
                  <w:vAlign w:val="center"/>
                </w:tcPr>
                <w:p w14:paraId="5E4A2045">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1413" w:type="dxa"/>
                  <w:shd w:val="clear" w:color="auto" w:fill="auto"/>
                  <w:noWrap/>
                  <w:vAlign w:val="center"/>
                </w:tcPr>
                <w:p w14:paraId="3DE53AA9">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0.00</w:t>
                  </w:r>
                </w:p>
              </w:tc>
              <w:tc>
                <w:tcPr>
                  <w:tcW w:w="1083" w:type="dxa"/>
                  <w:shd w:val="clear" w:color="auto" w:fill="auto"/>
                  <w:noWrap/>
                  <w:vAlign w:val="center"/>
                </w:tcPr>
                <w:p w14:paraId="23F9BCEE">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32.00</w:t>
                  </w:r>
                </w:p>
              </w:tc>
              <w:tc>
                <w:tcPr>
                  <w:tcW w:w="1025" w:type="dxa"/>
                  <w:shd w:val="clear" w:color="auto" w:fill="auto"/>
                  <w:vAlign w:val="center"/>
                </w:tcPr>
                <w:p w14:paraId="23B9091E">
                  <w:pPr>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含税价</w:t>
                  </w:r>
                </w:p>
              </w:tc>
            </w:tr>
            <w:tr w14:paraId="0F0E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 w:type="dxa"/>
                  <w:shd w:val="clear" w:color="auto" w:fill="auto"/>
                  <w:noWrap/>
                  <w:vAlign w:val="center"/>
                </w:tcPr>
                <w:p w14:paraId="1566825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675" w:type="dxa"/>
                  <w:shd w:val="clear" w:color="auto" w:fill="auto"/>
                  <w:noWrap/>
                  <w:vAlign w:val="center"/>
                </w:tcPr>
                <w:p w14:paraId="716DE872">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洗（FMBR）膜费</w:t>
                  </w:r>
                </w:p>
              </w:tc>
              <w:tc>
                <w:tcPr>
                  <w:tcW w:w="1107" w:type="dxa"/>
                  <w:shd w:val="clear" w:color="auto" w:fill="auto"/>
                  <w:noWrap/>
                  <w:vAlign w:val="center"/>
                </w:tcPr>
                <w:p w14:paraId="05ABDB20">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084" w:type="dxa"/>
                  <w:shd w:val="clear" w:color="auto" w:fill="auto"/>
                  <w:noWrap/>
                  <w:vAlign w:val="center"/>
                </w:tcPr>
                <w:p w14:paraId="2713B44B">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1413" w:type="dxa"/>
                  <w:shd w:val="clear" w:color="auto" w:fill="auto"/>
                  <w:noWrap/>
                  <w:vAlign w:val="center"/>
                </w:tcPr>
                <w:p w14:paraId="6E2B4F26">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1083" w:type="dxa"/>
                  <w:shd w:val="clear" w:color="auto" w:fill="auto"/>
                  <w:noWrap/>
                  <w:vAlign w:val="center"/>
                </w:tcPr>
                <w:p w14:paraId="6720E41C">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1025" w:type="dxa"/>
                  <w:shd w:val="clear" w:color="auto" w:fill="auto"/>
                  <w:vAlign w:val="center"/>
                </w:tcPr>
                <w:p w14:paraId="2F7F1879">
                  <w:pPr>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含税价</w:t>
                  </w:r>
                </w:p>
              </w:tc>
            </w:tr>
            <w:tr w14:paraId="2A89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65" w:type="dxa"/>
                  <w:gridSpan w:val="2"/>
                  <w:shd w:val="clear" w:color="auto" w:fill="auto"/>
                  <w:noWrap/>
                  <w:vAlign w:val="center"/>
                </w:tcPr>
                <w:p w14:paraId="28776856">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费用合计</w:t>
                  </w:r>
                </w:p>
              </w:tc>
              <w:tc>
                <w:tcPr>
                  <w:tcW w:w="1107" w:type="dxa"/>
                  <w:shd w:val="clear" w:color="auto" w:fill="auto"/>
                  <w:noWrap/>
                  <w:vAlign w:val="center"/>
                </w:tcPr>
                <w:p w14:paraId="15832C9D">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63.00</w:t>
                  </w:r>
                </w:p>
              </w:tc>
              <w:tc>
                <w:tcPr>
                  <w:tcW w:w="1084" w:type="dxa"/>
                  <w:shd w:val="clear" w:color="auto" w:fill="auto"/>
                  <w:noWrap/>
                  <w:vAlign w:val="center"/>
                </w:tcPr>
                <w:p w14:paraId="66CA9962">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76.00</w:t>
                  </w:r>
                </w:p>
              </w:tc>
              <w:tc>
                <w:tcPr>
                  <w:tcW w:w="1413" w:type="dxa"/>
                  <w:shd w:val="clear" w:color="auto" w:fill="auto"/>
                  <w:noWrap/>
                  <w:vAlign w:val="center"/>
                </w:tcPr>
                <w:p w14:paraId="7497D4E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51.00</w:t>
                  </w:r>
                </w:p>
              </w:tc>
              <w:tc>
                <w:tcPr>
                  <w:tcW w:w="1083" w:type="dxa"/>
                  <w:shd w:val="clear" w:color="auto" w:fill="auto"/>
                  <w:noWrap/>
                  <w:vAlign w:val="center"/>
                </w:tcPr>
                <w:p w14:paraId="10457E0B">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190.00</w:t>
                  </w:r>
                </w:p>
              </w:tc>
              <w:tc>
                <w:tcPr>
                  <w:tcW w:w="1025" w:type="dxa"/>
                  <w:shd w:val="clear" w:color="auto" w:fill="auto"/>
                  <w:vAlign w:val="center"/>
                </w:tcPr>
                <w:p w14:paraId="4561EC19">
                  <w:pPr>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含税价</w:t>
                  </w:r>
                </w:p>
              </w:tc>
            </w:tr>
            <w:tr w14:paraId="16D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277" w:type="dxa"/>
                  <w:gridSpan w:val="7"/>
                  <w:shd w:val="clear" w:color="auto" w:fill="auto"/>
                  <w:vAlign w:val="center"/>
                </w:tcPr>
                <w:p w14:paraId="7428811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1.预算费用包含运维管理及在线监测费用、设备维护费、扩容运营费、洗膜费。</w:t>
                  </w:r>
                </w:p>
                <w:p w14:paraId="002B8A8E">
                  <w:pPr>
                    <w:keepNext w:val="0"/>
                    <w:keepLines w:val="0"/>
                    <w:pageBreakBefore w:val="0"/>
                    <w:widowControl/>
                    <w:suppressLineNumbers w:val="0"/>
                    <w:kinsoku/>
                    <w:wordWrap/>
                    <w:overflowPunct/>
                    <w:topLinePunct w:val="0"/>
                    <w:autoSpaceDE/>
                    <w:autoSpaceDN/>
                    <w:bidi w:val="0"/>
                    <w:adjustRightInd w:val="0"/>
                    <w:snapToGrid/>
                    <w:spacing w:line="400" w:lineRule="exact"/>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shd w:val="clear"/>
                      <w:lang w:val="en-US" w:eastAsia="zh-CN" w:bidi="ar"/>
                    </w:rPr>
                    <w:t>运营过程中污水处理厂产生的电费、污泥处置费、在线监测设备维修费不含在本次预算内，按实际结算，由财政资金拨付。(注意：供应商应合理用电，南康一厂、二厂最高限额各为2.5万/每月，营盘污水处理厂最高限额为2万/每月，超过最高限额的，由供应商自行承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3.FMBR膜每个厂一年至少清洗一次。</w:t>
                  </w:r>
                </w:p>
              </w:tc>
            </w:tr>
          </w:tbl>
          <w:p w14:paraId="56188D91">
            <w:pPr>
              <w:pStyle w:val="40"/>
              <w:keepNext w:val="0"/>
              <w:keepLines w:val="0"/>
              <w:pageBreakBefore w:val="0"/>
              <w:kinsoku/>
              <w:wordWrap/>
              <w:overflowPunct/>
              <w:topLinePunct w:val="0"/>
              <w:autoSpaceDE/>
              <w:autoSpaceDN/>
              <w:bidi w:val="0"/>
              <w:spacing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二、项目主体及责任</w:t>
            </w:r>
          </w:p>
          <w:p w14:paraId="446E8C60">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1.采购人（监管部门）</w:t>
            </w:r>
            <w:r>
              <w:rPr>
                <w:rFonts w:hint="eastAsia" w:ascii="宋体" w:hAnsi="宋体" w:eastAsia="宋体" w:cs="宋体"/>
                <w:color w:val="auto"/>
                <w:kern w:val="0"/>
                <w:sz w:val="21"/>
                <w:szCs w:val="21"/>
                <w:highlight w:val="none"/>
                <w:lang w:val="en-US" w:eastAsia="zh-CN" w:bidi="ar"/>
              </w:rPr>
              <w:t>北海市铁山港区住房和城乡建设局，负责本项目的采购工作，并对两个镇三个厂运营工作进行监管，接收建设单位递交的日常报表，考核情况等。</w:t>
            </w:r>
          </w:p>
          <w:p w14:paraId="162C5CAD">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2.南康镇污水处理厂建设单位：</w:t>
            </w:r>
            <w:r>
              <w:rPr>
                <w:rFonts w:hint="eastAsia" w:ascii="宋体" w:hAnsi="宋体" w:eastAsia="宋体" w:cs="宋体"/>
                <w:color w:val="auto"/>
                <w:kern w:val="0"/>
                <w:sz w:val="21"/>
                <w:szCs w:val="21"/>
                <w:highlight w:val="none"/>
                <w:lang w:val="en-US" w:eastAsia="zh-CN" w:bidi="ar"/>
              </w:rPr>
              <w:t>北海市铁山港区南康镇人民政府，负责对供应商进行日常监督、技术指导和定期监督考评、定期将考核情况报送至北海市铁山港区住房和城乡建设局。</w:t>
            </w:r>
          </w:p>
          <w:p w14:paraId="6C017ADB">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3.营盘镇污水处理厂建设单位：</w:t>
            </w:r>
            <w:r>
              <w:rPr>
                <w:rFonts w:hint="eastAsia" w:ascii="宋体" w:hAnsi="宋体" w:eastAsia="宋体" w:cs="宋体"/>
                <w:color w:val="auto"/>
                <w:kern w:val="0"/>
                <w:sz w:val="21"/>
                <w:szCs w:val="21"/>
                <w:highlight w:val="none"/>
                <w:lang w:val="en-US" w:eastAsia="zh-CN" w:bidi="ar"/>
              </w:rPr>
              <w:t>北海市铁山港区营盘镇人民政府，负责对供应商进行日常监督、技术指导和定期监督考评、定期将考核情况报送至北海市铁山港区住房和城乡建设局。</w:t>
            </w:r>
          </w:p>
          <w:p w14:paraId="040A7763">
            <w:pPr>
              <w:pStyle w:val="40"/>
              <w:keepNext w:val="0"/>
              <w:keepLines w:val="0"/>
              <w:pageBreakBefore w:val="0"/>
              <w:kinsoku/>
              <w:wordWrap/>
              <w:overflowPunct/>
              <w:topLinePunct w:val="0"/>
              <w:autoSpaceDE/>
              <w:autoSpaceDN/>
              <w:bidi w:val="0"/>
              <w:spacing w:line="40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三、运营</w:t>
            </w:r>
            <w:r>
              <w:rPr>
                <w:rFonts w:hint="eastAsia" w:ascii="宋体" w:hAnsi="宋体" w:eastAsia="宋体" w:cs="宋体"/>
                <w:b/>
                <w:bCs/>
                <w:color w:val="auto"/>
                <w:kern w:val="0"/>
                <w:sz w:val="21"/>
                <w:szCs w:val="21"/>
                <w:highlight w:val="none"/>
                <w:lang w:val="en-US" w:eastAsia="zh-CN" w:bidi="ar"/>
              </w:rPr>
              <w:t>服务工作内容及要求</w:t>
            </w:r>
          </w:p>
          <w:p w14:paraId="22224DD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运营服务内容主要包括以下方面内容：三个污水处理厂区的工艺运行管理、设备运行管理、设备(除在线监测设备外)损坏及更换或发生故障后的修复、设备及各构筑物的保养维护、自控系统及电气系统的运行管理、厂区绿化、进出水水质日常检测、安全管理、运维记录台账及技术资料管理等,保证污水处理设施处于正常运营状态和出水稳定达标，以及处理能力达到设计规模。</w:t>
            </w:r>
          </w:p>
          <w:p w14:paraId="0C584F9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进场服务前,建设单位向供应商提供厂区内现有的设备、物品等一切国有资产的移交清单明细,并移交供应商，供应商须当场核对清单并检查相关设备、物品等完好情况，并由供应商相关负责人书面确认；运营过程中，发生设施设备损坏的，除不可抗力因素外， 产生的费用全部由供应商承担。服务期满后,建设单位及监管部门核对原移交的设备、物品等一切国有设备,若因供应商的操作失误等自身原因导致设备、物品等一切国有资产的损坏或遗失，一切经济损失由供应商负责。</w:t>
            </w:r>
          </w:p>
          <w:p w14:paraId="014C332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不可抗力包括但不限于：</w:t>
            </w:r>
          </w:p>
          <w:p w14:paraId="614EBCE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（1）自然灾害，如地震、火山爆发、滑坡、水灾、台风、龙卷风、冰雹、雷击。</w:t>
            </w:r>
          </w:p>
          <w:p w14:paraId="6998026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（2）流行病、瘟疫爆发。</w:t>
            </w:r>
          </w:p>
          <w:p w14:paraId="6985C2F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（3）战争行为、入侵、武装冲突或外敌行为、封锁或军事力量的使用，暴乱或恐怖行为。</w:t>
            </w:r>
          </w:p>
          <w:p w14:paraId="5F0DEEE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（4）非供应商原因引起的污水处理设施供电中断连续超过24小时，且该供电中断不属于供电单位计划内暂停的。</w:t>
            </w:r>
          </w:p>
          <w:p w14:paraId="14A0D0F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供应商要确保设施正常运转，确保污水处理设施运营达到绩效考核目标要求，并定期对设备进行检修保养，确保处理设施无堵塞、渗漏、开裂、破损等情况发生，保持池体及周边绿化带内无杂物堆放，做到池体整洁美观。</w:t>
            </w:r>
          </w:p>
          <w:p w14:paraId="4CE13F9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供应商负责污水设施配套机械设备、电气设备及仪器仪表的维修和保养工作，并根据需要添加或更换，定期添加润滑油、润滑脂。对于污水处理厂内绿化，要定期对植物做好修枝、整形、杂草修边、防病、补种等养护工作，场区内应做到无板结、无垃圾、无杂草，保持场地的整洁美观。</w:t>
            </w:r>
          </w:p>
          <w:p w14:paraId="6E4A781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5.供应商需建立并完善应急处理预案，一旦发现异常情况，要立即安排维修，保证系统的正常运行。</w:t>
            </w:r>
          </w:p>
          <w:p w14:paraId="3967ECA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供应商承担设施设备运行维护管理安全生产责任，严格操作规程，定期检查设施的运行维护及设备运转情况，及时纠正、排除安全隐患，保证安全、规范、优质、高效运行。若出现设备、仪器等故障或发生安全事故，一切法律及经济责任由供应商承担。</w:t>
            </w:r>
          </w:p>
          <w:p w14:paraId="77739EF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供应商要有稳定的专业运行维护人员队伍，并定期开展相关培训工作，加强对操作人员的安全教育，拟投入本项目的现场服务人员不得从事违纪违法行为(如偷盗、传销打架斗殴等等)等有损采购人利益和形象的其他行为。供应商必须按时发放拟投入本项目人员的薪酬(含基本工资、绩效工资、员工社保等)，不得引起劳务纠纷，所引起的劳务纠纷由供应商负责承担处理，并保证不得影响项目的正常运行维护。</w:t>
            </w:r>
          </w:p>
          <w:p w14:paraId="6086F4A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8.供应商建立运行管理台账记录，编制巡视、检查制度，并填写巡视记录表，设备检查记录表等，并按时报送运营报表，每季度要有运营管理总结，并上报至建设单位备案。</w:t>
            </w:r>
          </w:p>
          <w:p w14:paraId="783CD88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9.供应商完善报告制度，不得擅自停止污水处理设施的运行，在遇到厂区破坏、设备故障、民事纠纷、自然灾害等问题，应及时报告建设单位及监管部门，限期整改，尽快恢复污水处理设施的正常运行。</w:t>
            </w:r>
          </w:p>
          <w:p w14:paraId="361F0F3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10.供应商运营服务过程中如发现进出水水质、水量出现异常，影响正常运行的，应立即采取措施防止或减少危害后果，及时向建设单位及监管部门报告，并根据相关指导意见进行相应处理。</w:t>
            </w:r>
          </w:p>
          <w:p w14:paraId="345B258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11.做好在线监测设施运维工作。 </w:t>
            </w:r>
          </w:p>
          <w:p w14:paraId="2B4BADE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12.供应商于每年度的年底前报告上年度的运营情况，包括处理水量、出水水质、安全生产、污泥处理、设备运行记录等情况，将每个点运行台账装订成册交由建设单位及监管部门存档。 </w:t>
            </w:r>
          </w:p>
          <w:p w14:paraId="345EC8E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13.供应商有稳定的专业运行维护人员队伍，并定期开展相关培训工作，拟投入本项目的现场服务人员不得从事违纪违法行为(如偷盗、传销、打架斗殴等等)等有损采购人利益和形象的其他行为。供应商必须按时发放拟投入本项目人员的薪酬(含基本工资、绩效工资、员工社保等)，不得引起劳务纠纷，所引起的劳务纠纷由供应商负责承担处理，并保证不得影响项目的正常运行维护。 </w:t>
            </w:r>
          </w:p>
          <w:p w14:paraId="227EAAD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14.供应商协助建设单位及相关部门检查接待，接受主管部门和群众的监督，及时回复并进行核实解决群众反映的相关问题。</w:t>
            </w:r>
          </w:p>
          <w:p w14:paraId="5BB41900">
            <w:pPr>
              <w:pStyle w:val="40"/>
              <w:keepNext w:val="0"/>
              <w:keepLines w:val="0"/>
              <w:pageBreakBefore w:val="0"/>
              <w:kinsoku/>
              <w:wordWrap/>
              <w:overflowPunct/>
              <w:topLinePunct w:val="0"/>
              <w:autoSpaceDE/>
              <w:autoSpaceDN/>
              <w:bidi w:val="0"/>
              <w:spacing w:line="40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四、运营</w:t>
            </w:r>
            <w:r>
              <w:rPr>
                <w:rFonts w:hint="eastAsia" w:ascii="宋体" w:hAnsi="宋体" w:eastAsia="宋体" w:cs="宋体"/>
                <w:b/>
                <w:bCs/>
                <w:color w:val="auto"/>
                <w:kern w:val="0"/>
                <w:sz w:val="21"/>
                <w:szCs w:val="21"/>
                <w:highlight w:val="none"/>
                <w:lang w:val="en-US" w:eastAsia="zh-CN" w:bidi="ar"/>
              </w:rPr>
              <w:t>质量标准</w:t>
            </w:r>
          </w:p>
          <w:p w14:paraId="04945F1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1.出水水质标准：</w:t>
            </w:r>
          </w:p>
          <w:p w14:paraId="4E1F996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在委托运营服务期内，供应商负责的北海市铁山港区污水处理厂执行《城镇污水厂污染物排放标准》(GB18918-2002)一级A排放标准，其它污染物排放指标均达到各污水处理厂排污许可证允许排放标准。</w:t>
            </w:r>
          </w:p>
          <w:p w14:paraId="5618732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2.污泥处置标准：</w:t>
            </w:r>
          </w:p>
          <w:p w14:paraId="2BD8111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供应商负责本项目范围内的污泥运至指定的污泥受纳场地处置,并按《城镇污水处理厂污染物排放标准》(GB18918-2002)执行，建立规范化处置台账。</w:t>
            </w:r>
          </w:p>
          <w:p w14:paraId="602DD30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3.对新标准的执行：</w:t>
            </w:r>
          </w:p>
          <w:p w14:paraId="0163672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文件中约定的供应商应执行或达到的标准如遇国家标准或行业对此有更新或补充或新颁布标准的，供应商应在完成项目设施技术升级改造后执行并达到该新的标准。若由于执行新的标准需对项目设施进行技术更新或改造的，根据适用法律规定或经双方协商一致，如由建设单位负责项目设施技术更新、改造或重置的供应商配合建设单位完成相关工作；如由供应商负责项目设施技术更新、改造或重置的，供应商应于更新、改造或重置开始前20日内提交更新、改造或重置计划，报经建设单位及监管部门书面同意后执行。</w:t>
            </w:r>
          </w:p>
          <w:p w14:paraId="630726B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auto"/>
                <w:kern w:val="0"/>
                <w:sz w:val="21"/>
                <w:szCs w:val="21"/>
                <w:highlight w:val="none"/>
                <w:lang w:val="en-US" w:eastAsia="zh-CN" w:bidi="ar"/>
              </w:rPr>
              <w:t>监督和考核</w:t>
            </w:r>
          </w:p>
          <w:p w14:paraId="7A1C254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建设单位</w:t>
            </w:r>
            <w:r>
              <w:rPr>
                <w:rFonts w:hint="eastAsia" w:ascii="宋体" w:hAnsi="宋体" w:eastAsia="宋体" w:cs="宋体"/>
                <w:b w:val="0"/>
                <w:bCs w:val="0"/>
                <w:color w:val="auto"/>
                <w:kern w:val="0"/>
                <w:sz w:val="21"/>
                <w:szCs w:val="21"/>
                <w:highlight w:val="none"/>
                <w:lang w:val="en-US" w:eastAsia="zh-CN" w:bidi="ar"/>
              </w:rPr>
              <w:t>定期对供应商处理设施运行管理进行考核</w:t>
            </w:r>
            <w:r>
              <w:rPr>
                <w:rFonts w:hint="eastAsia" w:ascii="宋体" w:hAnsi="宋体" w:eastAsia="宋体" w:cs="宋体"/>
                <w:b w:val="0"/>
                <w:bCs w:val="0"/>
                <w:color w:val="auto"/>
                <w:kern w:val="0"/>
                <w:sz w:val="21"/>
                <w:szCs w:val="21"/>
                <w:highlight w:val="none"/>
                <w:lang w:val="en-US" w:eastAsia="zh-CN" w:bidi="ar"/>
              </w:rPr>
              <w:t>（考核标准详见此章节附件1）</w:t>
            </w:r>
            <w:r>
              <w:rPr>
                <w:rFonts w:hint="eastAsia" w:ascii="宋体" w:hAnsi="宋体" w:eastAsia="宋体" w:cs="宋体"/>
                <w:b w:val="0"/>
                <w:bCs w:val="0"/>
                <w:color w:val="auto"/>
                <w:kern w:val="0"/>
                <w:sz w:val="21"/>
                <w:szCs w:val="21"/>
                <w:highlight w:val="none"/>
                <w:lang w:val="en-US" w:eastAsia="zh-CN" w:bidi="ar"/>
              </w:rPr>
              <w:t>。</w:t>
            </w:r>
          </w:p>
          <w:p w14:paraId="7459B96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2.考核完成后采购人将结果反馈给供应商，若供应商在10日内无异议，采购人则按考核结果支付服务费。</w:t>
            </w:r>
          </w:p>
          <w:p w14:paraId="05FEB9E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3.供应商应当于每季度向</w:t>
            </w:r>
            <w:r>
              <w:rPr>
                <w:rFonts w:hint="eastAsia" w:ascii="宋体" w:hAnsi="宋体" w:eastAsia="宋体" w:cs="宋体"/>
                <w:color w:val="auto"/>
                <w:kern w:val="0"/>
                <w:sz w:val="21"/>
                <w:szCs w:val="21"/>
                <w:highlight w:val="none"/>
                <w:lang w:val="en-US" w:eastAsia="zh-CN" w:bidi="ar"/>
              </w:rPr>
              <w:t>建设单位</w:t>
            </w:r>
            <w:r>
              <w:rPr>
                <w:rFonts w:hint="eastAsia" w:ascii="宋体" w:hAnsi="宋体" w:eastAsia="宋体" w:cs="宋体"/>
                <w:b w:val="0"/>
                <w:bCs w:val="0"/>
                <w:color w:val="auto"/>
                <w:kern w:val="0"/>
                <w:sz w:val="21"/>
                <w:szCs w:val="21"/>
                <w:highlight w:val="none"/>
                <w:lang w:val="en-US" w:eastAsia="zh-CN" w:bidi="ar"/>
              </w:rPr>
              <w:t>分别报告季度运营情况，包括处理水量、出水水质、设备管理等情况。</w:t>
            </w:r>
          </w:p>
          <w:p w14:paraId="542EB0C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4.供应商有下列情形之一的，需按季度服务费的5%向</w:t>
            </w:r>
            <w:r>
              <w:rPr>
                <w:rFonts w:hint="eastAsia" w:ascii="宋体" w:hAnsi="宋体" w:eastAsia="宋体" w:cs="宋体"/>
                <w:color w:val="auto"/>
                <w:kern w:val="0"/>
                <w:sz w:val="21"/>
                <w:szCs w:val="21"/>
                <w:highlight w:val="none"/>
                <w:lang w:val="en-US" w:eastAsia="zh-CN" w:bidi="ar"/>
              </w:rPr>
              <w:t>建设单位及监管部门</w:t>
            </w:r>
            <w:r>
              <w:rPr>
                <w:rFonts w:hint="eastAsia" w:ascii="宋体" w:hAnsi="宋体" w:eastAsia="宋体" w:cs="宋体"/>
                <w:b w:val="0"/>
                <w:bCs w:val="0"/>
                <w:color w:val="auto"/>
                <w:kern w:val="0"/>
                <w:sz w:val="21"/>
                <w:szCs w:val="21"/>
                <w:highlight w:val="none"/>
                <w:lang w:val="en-US" w:eastAsia="zh-CN" w:bidi="ar"/>
              </w:rPr>
              <w:t>支付违约金，且</w:t>
            </w:r>
            <w:r>
              <w:rPr>
                <w:rFonts w:hint="eastAsia" w:ascii="宋体" w:hAnsi="宋体" w:eastAsia="宋体" w:cs="宋体"/>
                <w:color w:val="auto"/>
                <w:kern w:val="0"/>
                <w:sz w:val="21"/>
                <w:szCs w:val="21"/>
                <w:highlight w:val="none"/>
                <w:lang w:val="en-US" w:eastAsia="zh-CN" w:bidi="ar"/>
              </w:rPr>
              <w:t>建设单位及监管部门</w:t>
            </w:r>
            <w:r>
              <w:rPr>
                <w:rFonts w:hint="eastAsia" w:ascii="宋体" w:hAnsi="宋体" w:eastAsia="宋体" w:cs="宋体"/>
                <w:b w:val="0"/>
                <w:bCs w:val="0"/>
                <w:color w:val="auto"/>
                <w:kern w:val="0"/>
                <w:sz w:val="21"/>
                <w:szCs w:val="21"/>
                <w:highlight w:val="none"/>
                <w:lang w:val="en-US" w:eastAsia="zh-CN" w:bidi="ar"/>
              </w:rPr>
              <w:t>有权解除合同：</w:t>
            </w:r>
          </w:p>
          <w:p w14:paraId="4DC153F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（1）未落实日常运行维护管理机制，导致设施设备严重损坏的；</w:t>
            </w:r>
          </w:p>
          <w:p w14:paraId="26BF683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（2）季度考核中出现污水处理厂瘫痪未运行超7天未上报的；</w:t>
            </w:r>
          </w:p>
          <w:p w14:paraId="5E58CC7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建设单位</w:t>
            </w:r>
            <w:r>
              <w:rPr>
                <w:rFonts w:hint="eastAsia" w:ascii="宋体" w:hAnsi="宋体" w:eastAsia="宋体" w:cs="宋体"/>
                <w:b w:val="0"/>
                <w:bCs w:val="0"/>
                <w:color w:val="auto"/>
                <w:kern w:val="0"/>
                <w:sz w:val="21"/>
                <w:szCs w:val="21"/>
                <w:highlight w:val="none"/>
                <w:lang w:val="en-US" w:eastAsia="zh-CN" w:bidi="ar"/>
              </w:rPr>
              <w:t>对供应商进行季度考核，若连续三个季度考核低于60分的，则</w:t>
            </w:r>
            <w:r>
              <w:rPr>
                <w:rFonts w:hint="eastAsia" w:ascii="宋体" w:hAnsi="宋体" w:eastAsia="宋体" w:cs="宋体"/>
                <w:color w:val="auto"/>
                <w:kern w:val="0"/>
                <w:sz w:val="21"/>
                <w:szCs w:val="21"/>
                <w:highlight w:val="none"/>
                <w:lang w:val="en-US" w:eastAsia="zh-CN" w:bidi="ar"/>
              </w:rPr>
              <w:t>建设单位及监管部门</w:t>
            </w:r>
            <w:r>
              <w:rPr>
                <w:rFonts w:hint="eastAsia" w:ascii="宋体" w:hAnsi="宋体" w:eastAsia="宋体" w:cs="宋体"/>
                <w:b w:val="0"/>
                <w:bCs w:val="0"/>
                <w:color w:val="auto"/>
                <w:kern w:val="0"/>
                <w:sz w:val="21"/>
                <w:szCs w:val="21"/>
                <w:highlight w:val="none"/>
                <w:lang w:val="en-US" w:eastAsia="zh-CN" w:bidi="ar"/>
              </w:rPr>
              <w:t>有权解除合同。</w:t>
            </w:r>
          </w:p>
          <w:p w14:paraId="53EFFFA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（4）该项目不允许转包，若供应商违约则</w:t>
            </w:r>
            <w:r>
              <w:rPr>
                <w:rFonts w:hint="eastAsia" w:ascii="宋体" w:hAnsi="宋体" w:eastAsia="宋体" w:cs="宋体"/>
                <w:color w:val="auto"/>
                <w:kern w:val="0"/>
                <w:sz w:val="21"/>
                <w:szCs w:val="21"/>
                <w:highlight w:val="none"/>
                <w:lang w:val="en-US" w:eastAsia="zh-CN" w:bidi="ar"/>
              </w:rPr>
              <w:t>建设单位及监管部门</w:t>
            </w:r>
            <w:r>
              <w:rPr>
                <w:rFonts w:hint="eastAsia" w:ascii="宋体" w:hAnsi="宋体" w:eastAsia="宋体" w:cs="宋体"/>
                <w:b w:val="0"/>
                <w:bCs w:val="0"/>
                <w:color w:val="auto"/>
                <w:kern w:val="0"/>
                <w:sz w:val="21"/>
                <w:szCs w:val="21"/>
                <w:highlight w:val="none"/>
                <w:lang w:val="en-US" w:eastAsia="zh-CN" w:bidi="ar"/>
              </w:rPr>
              <w:t>有权解除合同。</w:t>
            </w:r>
          </w:p>
          <w:p w14:paraId="3D47DE82">
            <w:pPr>
              <w:pStyle w:val="40"/>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kern w:val="0"/>
                <w:sz w:val="21"/>
                <w:szCs w:val="21"/>
                <w:highlight w:val="none"/>
                <w:lang w:val="en-US" w:eastAsia="zh-CN" w:bidi="ar"/>
              </w:rPr>
              <w:t>（5）群众反映强烈或被媒体曝光造成重大社会影响的。</w:t>
            </w:r>
          </w:p>
        </w:tc>
      </w:tr>
      <w:tr w14:paraId="1ACB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480" w:type="dxa"/>
            <w:gridSpan w:val="2"/>
            <w:noWrap w:val="0"/>
            <w:vAlign w:val="center"/>
          </w:tcPr>
          <w:p w14:paraId="45303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1FFA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top"/>
          </w:tcPr>
          <w:p w14:paraId="090036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服务期限</w:t>
            </w:r>
          </w:p>
        </w:tc>
        <w:tc>
          <w:tcPr>
            <w:tcW w:w="7184" w:type="dxa"/>
            <w:noWrap w:val="0"/>
            <w:vAlign w:val="top"/>
          </w:tcPr>
          <w:p w14:paraId="0C2407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自合同签订之日起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年（具体以合同签订</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实际时间为准）</w:t>
            </w:r>
          </w:p>
        </w:tc>
      </w:tr>
      <w:tr w14:paraId="65E8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center"/>
          </w:tcPr>
          <w:p w14:paraId="6891BE2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服务地点</w:t>
            </w:r>
          </w:p>
        </w:tc>
        <w:tc>
          <w:tcPr>
            <w:tcW w:w="7184" w:type="dxa"/>
            <w:noWrap w:val="0"/>
            <w:vAlign w:val="center"/>
          </w:tcPr>
          <w:p w14:paraId="2816968A">
            <w:pPr>
              <w:keepNext w:val="0"/>
              <w:keepLines w:val="0"/>
              <w:pageBreakBefore w:val="0"/>
              <w:numPr>
                <w:ilvl w:val="0"/>
                <w:numId w:val="0"/>
              </w:numPr>
              <w:kinsoku/>
              <w:wordWrap/>
              <w:overflowPunct/>
              <w:topLinePunct w:val="0"/>
              <w:autoSpaceDE/>
              <w:autoSpaceDN/>
              <w:bidi w:val="0"/>
              <w:spacing w:line="400" w:lineRule="exact"/>
              <w:ind w:left="0" w:leftChars="0" w:firstLine="0" w:firstLineChars="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北海市铁山港区南康镇、营盘镇污水处理厂。</w:t>
            </w:r>
          </w:p>
        </w:tc>
      </w:tr>
      <w:tr w14:paraId="570E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center"/>
          </w:tcPr>
          <w:p w14:paraId="67A4E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服务质量要求</w:t>
            </w:r>
          </w:p>
        </w:tc>
        <w:tc>
          <w:tcPr>
            <w:tcW w:w="7184" w:type="dxa"/>
            <w:noWrap w:val="0"/>
            <w:vAlign w:val="top"/>
          </w:tcPr>
          <w:p w14:paraId="7373F1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1.提供每天24小时驻场服务。</w:t>
            </w:r>
          </w:p>
          <w:p w14:paraId="088CC829">
            <w:pPr>
              <w:pStyle w:val="406"/>
              <w:keepNext w:val="0"/>
              <w:keepLines w:val="0"/>
              <w:pageBreakBefore w:val="0"/>
              <w:kinsoku/>
              <w:wordWrap/>
              <w:overflowPunct/>
              <w:topLinePunct w:val="0"/>
              <w:autoSpaceDE/>
              <w:autoSpaceDN/>
              <w:bidi w:val="0"/>
              <w:spacing w:line="400" w:lineRule="exact"/>
              <w:ind w:left="0" w:leftChars="0" w:firstLine="0" w:firstLineChars="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签订合同时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提供运营服务人员的姓名和各种联系方式，并在人员或联系方式发生变动时及时通知采购人。</w:t>
            </w:r>
          </w:p>
          <w:p w14:paraId="0FBB0984">
            <w:pPr>
              <w:pStyle w:val="2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i w:val="0"/>
                <w:iCs w:val="0"/>
                <w:color w:val="auto"/>
                <w:kern w:val="0"/>
                <w:sz w:val="21"/>
                <w:szCs w:val="21"/>
                <w:highlight w:val="none"/>
                <w:u w:val="none"/>
                <w:lang w:val="en-US" w:eastAsia="zh-CN" w:bidi="ar"/>
              </w:rPr>
              <w:t>成交供应商</w:t>
            </w:r>
            <w:r>
              <w:rPr>
                <w:rFonts w:hint="eastAsia" w:ascii="宋体" w:hAnsi="宋体" w:eastAsia="宋体" w:cs="宋体"/>
                <w:color w:val="auto"/>
                <w:sz w:val="21"/>
                <w:szCs w:val="21"/>
                <w:highlight w:val="none"/>
                <w:lang w:eastAsia="zh-CN"/>
              </w:rPr>
              <w:t>须保证项目实施中、运营维护过程中，如由</w:t>
            </w:r>
            <w:r>
              <w:rPr>
                <w:rFonts w:hint="eastAsia" w:ascii="宋体" w:hAnsi="宋体" w:eastAsia="宋体" w:cs="宋体"/>
                <w:i w:val="0"/>
                <w:iCs w:val="0"/>
                <w:color w:val="auto"/>
                <w:kern w:val="0"/>
                <w:sz w:val="21"/>
                <w:szCs w:val="21"/>
                <w:highlight w:val="none"/>
                <w:u w:val="none"/>
                <w:lang w:val="en-US" w:eastAsia="zh-CN" w:bidi="ar"/>
              </w:rPr>
              <w:t>成交供应商</w:t>
            </w:r>
            <w:r>
              <w:rPr>
                <w:rFonts w:hint="eastAsia" w:ascii="宋体" w:hAnsi="宋体" w:eastAsia="宋体" w:cs="宋体"/>
                <w:color w:val="auto"/>
                <w:sz w:val="21"/>
                <w:szCs w:val="21"/>
                <w:highlight w:val="none"/>
                <w:lang w:eastAsia="zh-CN"/>
              </w:rPr>
              <w:t>采取实施、维护措施不到位因素导致</w:t>
            </w:r>
            <w:r>
              <w:rPr>
                <w:rFonts w:hint="eastAsia" w:ascii="宋体" w:hAnsi="宋体" w:eastAsia="宋体" w:cs="宋体"/>
                <w:i w:val="0"/>
                <w:iCs w:val="0"/>
                <w:color w:val="auto"/>
                <w:kern w:val="0"/>
                <w:sz w:val="21"/>
                <w:szCs w:val="21"/>
                <w:highlight w:val="none"/>
                <w:u w:val="none"/>
                <w:lang w:val="en-US" w:eastAsia="zh-CN" w:bidi="ar"/>
              </w:rPr>
              <w:t>成交供应商</w:t>
            </w:r>
            <w:r>
              <w:rPr>
                <w:rFonts w:hint="eastAsia" w:ascii="宋体" w:hAnsi="宋体" w:eastAsia="宋体" w:cs="宋体"/>
                <w:color w:val="auto"/>
                <w:sz w:val="21"/>
                <w:szCs w:val="21"/>
                <w:highlight w:val="none"/>
                <w:lang w:eastAsia="zh-CN"/>
              </w:rPr>
              <w:t>运营</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人员、第三者产生安全责任问题，后果</w:t>
            </w:r>
            <w:r>
              <w:rPr>
                <w:rFonts w:hint="eastAsia" w:ascii="宋体" w:hAnsi="宋体" w:eastAsia="宋体" w:cs="宋体"/>
                <w:color w:val="auto"/>
                <w:sz w:val="21"/>
                <w:szCs w:val="21"/>
                <w:highlight w:val="none"/>
                <w:lang w:val="en-US" w:eastAsia="zh-CN"/>
              </w:rPr>
              <w:t>由</w:t>
            </w:r>
            <w:r>
              <w:rPr>
                <w:rFonts w:hint="eastAsia" w:ascii="宋体" w:hAnsi="宋体" w:eastAsia="宋体" w:cs="宋体"/>
                <w:i w:val="0"/>
                <w:iCs w:val="0"/>
                <w:color w:val="auto"/>
                <w:kern w:val="0"/>
                <w:sz w:val="21"/>
                <w:szCs w:val="21"/>
                <w:highlight w:val="none"/>
                <w:u w:val="none"/>
                <w:lang w:val="en-US" w:eastAsia="zh-CN" w:bidi="ar"/>
              </w:rPr>
              <w:t>成交供应商</w:t>
            </w:r>
            <w:r>
              <w:rPr>
                <w:rFonts w:hint="eastAsia" w:ascii="宋体" w:hAnsi="宋体" w:eastAsia="宋体" w:cs="宋体"/>
                <w:color w:val="auto"/>
                <w:sz w:val="21"/>
                <w:szCs w:val="21"/>
                <w:highlight w:val="none"/>
                <w:lang w:eastAsia="zh-CN"/>
              </w:rPr>
              <w:t>自行承担。</w:t>
            </w:r>
          </w:p>
        </w:tc>
      </w:tr>
      <w:tr w14:paraId="04F5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center"/>
          </w:tcPr>
          <w:p w14:paraId="1F01EF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w:t>
            </w:r>
          </w:p>
        </w:tc>
        <w:tc>
          <w:tcPr>
            <w:tcW w:w="7184" w:type="dxa"/>
            <w:noWrap w:val="0"/>
            <w:vAlign w:val="top"/>
          </w:tcPr>
          <w:p w14:paraId="5EB56E9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kern w:val="0"/>
                <w:sz w:val="21"/>
                <w:szCs w:val="21"/>
                <w:highlight w:val="none"/>
                <w:lang w:val="en-US" w:eastAsia="zh-CN" w:bidi="ar"/>
              </w:rPr>
              <w:t>成交供应商在每个季度的第一个月前5个工作日内将上季度使用资金申请材料报</w:t>
            </w:r>
            <w:r>
              <w:rPr>
                <w:rFonts w:hint="eastAsia" w:ascii="宋体" w:hAnsi="宋体" w:eastAsia="宋体" w:cs="宋体"/>
                <w:color w:val="auto"/>
                <w:kern w:val="0"/>
                <w:sz w:val="21"/>
                <w:szCs w:val="21"/>
                <w:highlight w:val="none"/>
                <w:lang w:val="en-US" w:eastAsia="zh-CN" w:bidi="ar"/>
              </w:rPr>
              <w:t>建设单位及监管部门</w:t>
            </w:r>
            <w:r>
              <w:rPr>
                <w:rFonts w:hint="eastAsia" w:ascii="宋体" w:hAnsi="宋体" w:eastAsia="宋体" w:cs="宋体"/>
                <w:color w:val="auto"/>
                <w:kern w:val="0"/>
                <w:sz w:val="21"/>
                <w:szCs w:val="21"/>
                <w:highlight w:val="none"/>
                <w:lang w:val="en-US" w:eastAsia="zh-CN" w:bidi="ar"/>
              </w:rPr>
              <w:t>审批。申请材料包括：申请报告、设施运行率报表等。</w:t>
            </w:r>
            <w:r>
              <w:rPr>
                <w:rFonts w:hint="eastAsia" w:ascii="宋体" w:hAnsi="宋体" w:eastAsia="宋体" w:cs="宋体"/>
                <w:color w:val="auto"/>
                <w:kern w:val="0"/>
                <w:sz w:val="21"/>
                <w:szCs w:val="21"/>
                <w:highlight w:val="none"/>
                <w:lang w:val="en-US" w:eastAsia="zh-CN" w:bidi="ar"/>
              </w:rPr>
              <w:t>建设单位及监管部门</w:t>
            </w:r>
            <w:r>
              <w:rPr>
                <w:rFonts w:hint="eastAsia" w:ascii="宋体" w:hAnsi="宋体" w:eastAsia="宋体" w:cs="宋体"/>
                <w:color w:val="auto"/>
                <w:kern w:val="0"/>
                <w:sz w:val="21"/>
                <w:szCs w:val="21"/>
                <w:highlight w:val="none"/>
                <w:lang w:val="en-US" w:eastAsia="zh-CN" w:bidi="ar"/>
              </w:rPr>
              <w:t>根据日常监督检查</w:t>
            </w:r>
            <w:r>
              <w:rPr>
                <w:rFonts w:hint="default"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、监测及综合考评情况，并按程序报批审核后将上一季度的资金由</w:t>
            </w:r>
            <w:r>
              <w:rPr>
                <w:rFonts w:hint="eastAsia" w:ascii="宋体" w:hAnsi="宋体" w:eastAsia="宋体" w:cs="宋体"/>
                <w:color w:val="auto"/>
                <w:kern w:val="0"/>
                <w:sz w:val="21"/>
                <w:szCs w:val="21"/>
                <w:highlight w:val="none"/>
                <w:lang w:val="en-US" w:eastAsia="zh-CN" w:bidi="ar"/>
              </w:rPr>
              <w:t>监管部门</w:t>
            </w:r>
            <w:r>
              <w:rPr>
                <w:rFonts w:hint="eastAsia" w:ascii="宋体" w:hAnsi="宋体" w:eastAsia="宋体" w:cs="宋体"/>
                <w:color w:val="auto"/>
                <w:kern w:val="0"/>
                <w:sz w:val="21"/>
                <w:szCs w:val="21"/>
                <w:highlight w:val="none"/>
                <w:lang w:val="en-US" w:eastAsia="zh-CN" w:bidi="ar"/>
              </w:rPr>
              <w:t>拨付给成交供应商。</w:t>
            </w:r>
          </w:p>
          <w:p w14:paraId="7A8729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.运营服务费通过绩效考核以月度考核为机制，按季度核算支付运营服务费，具体如下：月度绩效考核服务费=年</w:t>
            </w:r>
            <w:r>
              <w:rPr>
                <w:rFonts w:hint="eastAsia" w:ascii="宋体" w:hAnsi="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eastAsia="zh-CN" w:bidi="ar"/>
              </w:rPr>
              <w:t>运</w:t>
            </w:r>
            <w:r>
              <w:rPr>
                <w:rFonts w:hint="eastAsia" w:ascii="宋体" w:hAnsi="宋体" w:eastAsia="宋体" w:cs="宋体"/>
                <w:color w:val="auto"/>
                <w:kern w:val="0"/>
                <w:sz w:val="21"/>
                <w:szCs w:val="21"/>
                <w:highlight w:val="none"/>
                <w:lang w:val="en-US" w:eastAsia="zh-CN" w:bidi="ar"/>
              </w:rPr>
              <w:t>营服务费÷</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lang w:val="en-US" w:eastAsia="zh-CN" w:bidi="ar"/>
              </w:rPr>
              <w:t>）×支付系数。</w:t>
            </w:r>
          </w:p>
          <w:p w14:paraId="6D05CDD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.每月运营考核结果总分对应每季度运营费支付系数表： </w:t>
            </w:r>
          </w:p>
          <w:tbl>
            <w:tblPr>
              <w:tblStyle w:val="63"/>
              <w:tblW w:w="6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400"/>
              <w:gridCol w:w="1400"/>
              <w:gridCol w:w="1400"/>
              <w:gridCol w:w="1400"/>
            </w:tblGrid>
            <w:tr w14:paraId="54C3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11750DCB">
                  <w:pPr>
                    <w:pStyle w:val="22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9"/>
                      <w:sz w:val="21"/>
                      <w:szCs w:val="21"/>
                      <w:highlight w:val="none"/>
                    </w:rPr>
                    <w:t>每季度运营维护考核平均分</w:t>
                  </w:r>
                </w:p>
              </w:tc>
              <w:tc>
                <w:tcPr>
                  <w:tcW w:w="1701" w:type="dxa"/>
                  <w:vAlign w:val="center"/>
                </w:tcPr>
                <w:p w14:paraId="27286AED">
                  <w:pPr>
                    <w:pStyle w:val="22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4"/>
                      <w:sz w:val="21"/>
                      <w:szCs w:val="21"/>
                      <w:highlight w:val="none"/>
                    </w:rPr>
                    <w:t>80分及以上</w:t>
                  </w:r>
                </w:p>
              </w:tc>
              <w:tc>
                <w:tcPr>
                  <w:tcW w:w="1701" w:type="dxa"/>
                  <w:vAlign w:val="center"/>
                </w:tcPr>
                <w:p w14:paraId="0F22B0F0">
                  <w:pPr>
                    <w:pStyle w:val="22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2"/>
                      <w:sz w:val="21"/>
                      <w:szCs w:val="21"/>
                      <w:highlight w:val="none"/>
                    </w:rPr>
                    <w:t>70分-79分</w:t>
                  </w:r>
                </w:p>
              </w:tc>
              <w:tc>
                <w:tcPr>
                  <w:tcW w:w="1701" w:type="dxa"/>
                  <w:vAlign w:val="center"/>
                </w:tcPr>
                <w:p w14:paraId="24A31900">
                  <w:pPr>
                    <w:pStyle w:val="22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1"/>
                      <w:sz w:val="21"/>
                      <w:szCs w:val="21"/>
                      <w:highlight w:val="none"/>
                    </w:rPr>
                    <w:t>60分-69分</w:t>
                  </w:r>
                </w:p>
              </w:tc>
              <w:tc>
                <w:tcPr>
                  <w:tcW w:w="1701" w:type="dxa"/>
                  <w:vAlign w:val="center"/>
                </w:tcPr>
                <w:p w14:paraId="66817FCA">
                  <w:pPr>
                    <w:pStyle w:val="22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3"/>
                      <w:sz w:val="21"/>
                      <w:szCs w:val="21"/>
                      <w:highlight w:val="none"/>
                    </w:rPr>
                    <w:t>60分以下</w:t>
                  </w:r>
                </w:p>
              </w:tc>
            </w:tr>
            <w:tr w14:paraId="5DEB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36AC9C89">
                  <w:pPr>
                    <w:pStyle w:val="22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8"/>
                      <w:sz w:val="21"/>
                      <w:szCs w:val="21"/>
                      <w:highlight w:val="none"/>
                    </w:rPr>
                    <w:t>每季度运营费支付系数</w:t>
                  </w:r>
                </w:p>
              </w:tc>
              <w:tc>
                <w:tcPr>
                  <w:tcW w:w="1701" w:type="dxa"/>
                  <w:vAlign w:val="center"/>
                </w:tcPr>
                <w:p w14:paraId="43F09F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z w:val="21"/>
                      <w:szCs w:val="21"/>
                      <w:highlight w:val="none"/>
                    </w:rPr>
                    <w:t>1</w:t>
                  </w:r>
                </w:p>
              </w:tc>
              <w:tc>
                <w:tcPr>
                  <w:tcW w:w="1701" w:type="dxa"/>
                  <w:vAlign w:val="center"/>
                </w:tcPr>
                <w:p w14:paraId="176666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1"/>
                      <w:sz w:val="21"/>
                      <w:szCs w:val="21"/>
                      <w:highlight w:val="none"/>
                    </w:rPr>
                    <w:t>0.8</w:t>
                  </w:r>
                </w:p>
              </w:tc>
              <w:tc>
                <w:tcPr>
                  <w:tcW w:w="1701" w:type="dxa"/>
                  <w:vAlign w:val="center"/>
                </w:tcPr>
                <w:p w14:paraId="5E2E2F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1"/>
                      <w:sz w:val="21"/>
                      <w:szCs w:val="21"/>
                      <w:highlight w:val="none"/>
                    </w:rPr>
                    <w:t>0.7</w:t>
                  </w:r>
                </w:p>
              </w:tc>
              <w:tc>
                <w:tcPr>
                  <w:tcW w:w="1701" w:type="dxa"/>
                  <w:vAlign w:val="center"/>
                </w:tcPr>
                <w:p w14:paraId="5F5571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spacing w:val="1"/>
                      <w:sz w:val="21"/>
                      <w:szCs w:val="21"/>
                      <w:highlight w:val="none"/>
                    </w:rPr>
                    <w:t>0.5</w:t>
                  </w:r>
                </w:p>
              </w:tc>
            </w:tr>
          </w:tbl>
          <w:p w14:paraId="57DCB6A2">
            <w:pPr>
              <w:pStyle w:val="21"/>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40BA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center"/>
          </w:tcPr>
          <w:p w14:paraId="76242EE4">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报价要求</w:t>
            </w:r>
          </w:p>
        </w:tc>
        <w:tc>
          <w:tcPr>
            <w:tcW w:w="7184" w:type="dxa"/>
            <w:noWrap w:val="0"/>
            <w:vAlign w:val="center"/>
          </w:tcPr>
          <w:p w14:paraId="3E62B7C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磋商报价包含以下内容：</w:t>
            </w:r>
          </w:p>
          <w:p w14:paraId="2878D33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员工工资、福利、社会保险、加班费、工伤补偿费、意外事故补偿费等费用； </w:t>
            </w:r>
          </w:p>
          <w:p w14:paraId="6FD9A07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运维</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管理及在线监测费用、设备维护费、扩容运营费、洗膜费</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471330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auto"/>
                <w:sz w:val="21"/>
                <w:szCs w:val="21"/>
                <w:highlight w:val="none"/>
                <w:lang w:val="en-US" w:eastAsia="zh-CN"/>
              </w:rPr>
              <w:t>成本、利润及各项税收等费用的总和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政策性文件规定及</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采购项目</w:t>
            </w:r>
            <w:r>
              <w:rPr>
                <w:rFonts w:hint="eastAsia" w:ascii="宋体" w:hAnsi="宋体" w:eastAsia="宋体" w:cs="宋体"/>
                <w:color w:val="000000" w:themeColor="text1"/>
                <w:sz w:val="21"/>
                <w:szCs w:val="21"/>
                <w:highlight w:val="none"/>
                <w14:textFill>
                  <w14:solidFill>
                    <w14:schemeClr w14:val="tx1"/>
                  </w14:solidFill>
                </w14:textFill>
              </w:rPr>
              <w:t>包含的所有风险、责任等各项应有的所有费用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除此之外，采购人不再支付任何费用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902E6C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.本项目按照《铁山港区镇级污水处理厂年度运营费用汇总表》中的各项内容进行单项报价，</w:t>
            </w:r>
            <w:r>
              <w:rPr>
                <w:rFonts w:hint="eastAsia" w:ascii="宋体" w:hAnsi="宋体" w:eastAsia="宋体" w:cs="宋体"/>
                <w:color w:val="000000" w:themeColor="text1"/>
                <w:sz w:val="21"/>
                <w:szCs w:val="21"/>
                <w:highlight w:val="none"/>
                <w14:textFill>
                  <w14:solidFill>
                    <w14:schemeClr w14:val="tx1"/>
                  </w14:solidFill>
                </w14:textFill>
              </w:rPr>
              <w:t>供应商的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磋商总</w:t>
            </w:r>
            <w:r>
              <w:rPr>
                <w:rFonts w:hint="eastAsia" w:ascii="宋体" w:hAnsi="宋体" w:eastAsia="宋体" w:cs="宋体"/>
                <w:color w:val="000000" w:themeColor="text1"/>
                <w:sz w:val="21"/>
                <w:szCs w:val="21"/>
                <w:highlight w:val="none"/>
                <w14:textFill>
                  <w14:solidFill>
                    <w14:schemeClr w14:val="tx1"/>
                  </w14:solidFill>
                </w14:textFill>
              </w:rPr>
              <w:t>报价或单项报价超过采购预算或单项预算的，将导致其</w:t>
            </w:r>
            <w:r>
              <w:rPr>
                <w:rFonts w:hint="eastAsia" w:ascii="宋体" w:hAnsi="宋体" w:eastAsia="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被拒绝。</w:t>
            </w:r>
          </w:p>
        </w:tc>
      </w:tr>
      <w:tr w14:paraId="7C5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center"/>
          </w:tcPr>
          <w:p w14:paraId="4A8472E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违约责任</w:t>
            </w:r>
          </w:p>
        </w:tc>
        <w:tc>
          <w:tcPr>
            <w:tcW w:w="7184" w:type="dxa"/>
            <w:noWrap w:val="0"/>
            <w:vAlign w:val="center"/>
          </w:tcPr>
          <w:p w14:paraId="5A53429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所提供的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1"/>
                <w:szCs w:val="21"/>
                <w:highlight w:val="none"/>
                <w14:textFill>
                  <w14:solidFill>
                    <w14:schemeClr w14:val="tx1"/>
                  </w14:solidFill>
                </w14:textFill>
              </w:rPr>
              <w:t>未能按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文件</w:t>
            </w:r>
            <w:r>
              <w:rPr>
                <w:rFonts w:hint="eastAsia" w:ascii="宋体" w:hAnsi="宋体" w:eastAsia="宋体" w:cs="宋体"/>
                <w:color w:val="000000" w:themeColor="text1"/>
                <w:kern w:val="0"/>
                <w:sz w:val="21"/>
                <w:szCs w:val="21"/>
                <w:highlight w:val="none"/>
                <w14:textFill>
                  <w14:solidFill>
                    <w14:schemeClr w14:val="tx1"/>
                  </w14:solidFill>
                </w14:textFill>
              </w:rPr>
              <w:t>规定的内容</w:t>
            </w:r>
            <w:r>
              <w:rPr>
                <w:rFonts w:hint="eastAsia" w:ascii="宋体" w:hAnsi="宋体" w:eastAsia="宋体" w:cs="宋体"/>
                <w:color w:val="000000" w:themeColor="text1"/>
                <w:sz w:val="21"/>
                <w:szCs w:val="21"/>
                <w:highlight w:val="none"/>
                <w14:textFill>
                  <w14:solidFill>
                    <w14:schemeClr w14:val="tx1"/>
                  </w14:solidFill>
                </w14:textFill>
              </w:rPr>
              <w:t>以及</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文件所承诺</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w:t>
            </w:r>
            <w:r>
              <w:rPr>
                <w:rFonts w:hint="eastAsia" w:ascii="宋体" w:hAnsi="宋体" w:eastAsia="宋体" w:cs="宋体"/>
                <w:color w:val="000000" w:themeColor="text1"/>
                <w:kern w:val="0"/>
                <w:sz w:val="21"/>
                <w:szCs w:val="21"/>
                <w:highlight w:val="none"/>
                <w14:textFill>
                  <w14:solidFill>
                    <w14:schemeClr w14:val="tx1"/>
                  </w14:solidFill>
                </w14:textFill>
              </w:rPr>
              <w:t>及相关要求向采购人交付服务的，</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kern w:val="0"/>
                <w:sz w:val="21"/>
                <w:szCs w:val="21"/>
                <w:highlight w:val="none"/>
                <w14:textFill>
                  <w14:solidFill>
                    <w14:schemeClr w14:val="tx1"/>
                  </w14:solidFill>
                </w14:textFill>
              </w:rPr>
              <w:t>承担违约责任，</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14:textFill>
                  <w14:solidFill>
                    <w14:schemeClr w14:val="tx1"/>
                  </w14:solidFill>
                </w14:textFill>
              </w:rPr>
              <w:t>支付违约金。违约金以每项服务内容每有1次不符合服务要求的，按合同款的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0.05‰</w:t>
            </w:r>
            <w:r>
              <w:rPr>
                <w:rFonts w:hint="eastAsia" w:ascii="宋体" w:hAnsi="宋体" w:eastAsia="宋体" w:cs="宋体"/>
                <w:color w:val="000000" w:themeColor="text1"/>
                <w:kern w:val="0"/>
                <w:sz w:val="21"/>
                <w:szCs w:val="21"/>
                <w:highlight w:val="none"/>
                <w14:textFill>
                  <w14:solidFill>
                    <w14:schemeClr w14:val="tx1"/>
                  </w14:solidFill>
                </w14:textFill>
              </w:rPr>
              <w:t>进行扣除。</w:t>
            </w:r>
          </w:p>
        </w:tc>
      </w:tr>
      <w:tr w14:paraId="62A5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6" w:type="dxa"/>
            <w:noWrap w:val="0"/>
            <w:vAlign w:val="center"/>
          </w:tcPr>
          <w:p w14:paraId="3C0AE7F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其他要求</w:t>
            </w:r>
          </w:p>
        </w:tc>
        <w:tc>
          <w:tcPr>
            <w:tcW w:w="7184" w:type="dxa"/>
            <w:noWrap w:val="0"/>
            <w:vAlign w:val="center"/>
          </w:tcPr>
          <w:p w14:paraId="7E2E22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提供的服务应符合</w:t>
            </w:r>
            <w:r>
              <w:rPr>
                <w:rFonts w:hint="eastAsia" w:ascii="宋体" w:hAnsi="宋体" w:eastAsia="宋体" w:cs="宋体"/>
                <w:bCs/>
                <w:color w:val="000000" w:themeColor="text1"/>
                <w:kern w:val="2"/>
                <w:sz w:val="21"/>
                <w:szCs w:val="21"/>
                <w:highlight w:val="none"/>
                <w:u w:val="none"/>
                <w14:textFill>
                  <w14:solidFill>
                    <w14:schemeClr w14:val="tx1"/>
                  </w14:solidFill>
                </w14:textFill>
              </w:rPr>
              <w:t>国家相关标准、行业标准、地方标准</w:t>
            </w:r>
            <w:r>
              <w:rPr>
                <w:rFonts w:hint="eastAsia" w:ascii="宋体" w:hAnsi="宋体" w:eastAsia="宋体" w:cs="宋体"/>
                <w:color w:val="000000" w:themeColor="text1"/>
                <w:sz w:val="21"/>
                <w:szCs w:val="21"/>
                <w:highlight w:val="none"/>
                <w14:textFill>
                  <w14:solidFill>
                    <w14:schemeClr w14:val="tx1"/>
                  </w14:solidFill>
                </w14:textFill>
              </w:rPr>
              <w:t>。</w:t>
            </w:r>
          </w:p>
          <w:p w14:paraId="31EE78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供应商所提供的资料必须是真实的，所作出的承诺必须是切实可行的，如提供虚假资料或作出虚假承诺，一经查实，将取消其</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供应商的</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资格，并按照相关法律法规进行处理，采购人保留进一步追究责任的权利。</w:t>
            </w:r>
          </w:p>
          <w:p w14:paraId="4ECB01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3.在接受相关管理部门检查时，</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供应商须无条件配合提供相关材料</w:t>
            </w:r>
            <w:r>
              <w:rPr>
                <w:rFonts w:hint="eastAsia" w:ascii="宋体" w:hAnsi="宋体" w:eastAsia="宋体" w:cs="宋体"/>
                <w:color w:val="000000" w:themeColor="text1"/>
                <w:sz w:val="21"/>
                <w:szCs w:val="21"/>
                <w:highlight w:val="none"/>
                <w14:textFill>
                  <w14:solidFill>
                    <w14:schemeClr w14:val="tx1"/>
                  </w14:solidFill>
                </w14:textFill>
              </w:rPr>
              <w:t>。</w:t>
            </w:r>
          </w:p>
          <w:p w14:paraId="2239F8DF">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项目实施过程中获取的各类技术文件、信息或采购人提供的内部资料、技术文档和信息，未经采购人许可，不得以任何形式泄露给第三方</w:t>
            </w:r>
            <w:r>
              <w:rPr>
                <w:rFonts w:hint="eastAsia" w:ascii="宋体" w:hAnsi="宋体" w:eastAsia="宋体" w:cs="宋体"/>
                <w:color w:val="000000" w:themeColor="text1"/>
                <w:sz w:val="21"/>
                <w:szCs w:val="21"/>
                <w:highlight w:val="none"/>
                <w14:textFill>
                  <w14:solidFill>
                    <w14:schemeClr w14:val="tx1"/>
                  </w14:solidFill>
                </w14:textFill>
              </w:rPr>
              <w:t>。如有泄密，需承担相应的法律责任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18B1B57F">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25D57A74">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2DBFC595">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36FD900C">
      <w:pPr>
        <w:pStyle w:val="25"/>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6FECAD1D">
      <w:pPr>
        <w:pStyle w:val="26"/>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0891A7CF">
      <w:pPr>
        <w:pStyle w:val="26"/>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16E1F84D">
      <w:pPr>
        <w:pStyle w:val="26"/>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21CD514F">
      <w:pPr>
        <w:pStyle w:val="26"/>
        <w:rPr>
          <w:rFonts w:cs="仿宋_GB2312" w:asciiTheme="minorEastAsia" w:hAnsiTheme="minorEastAsia" w:eastAsiaTheme="minorEastAsia"/>
          <w:b/>
          <w:color w:val="000000" w:themeColor="text1"/>
          <w:sz w:val="36"/>
          <w:szCs w:val="36"/>
          <w:highlight w:val="none"/>
          <w14:textFill>
            <w14:solidFill>
              <w14:schemeClr w14:val="tx1"/>
            </w14:solidFill>
          </w14:textFill>
        </w:rPr>
      </w:pPr>
    </w:p>
    <w:p w14:paraId="3C3BB487">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br w:type="page"/>
      </w:r>
    </w:p>
    <w:p w14:paraId="1A271816">
      <w:pPr>
        <w:pStyle w:val="26"/>
        <w:ind w:left="0" w:leftChars="0" w:firstLine="0" w:firstLineChars="0"/>
        <w:jc w:val="left"/>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附件1：考核标准</w:t>
      </w:r>
    </w:p>
    <w:p w14:paraId="37491D89">
      <w:pPr>
        <w:spacing w:before="91" w:line="222" w:lineRule="auto"/>
        <w:ind w:left="1676"/>
        <w:rPr>
          <w:rFonts w:hint="eastAsia" w:ascii="宋体" w:hAnsi="宋体" w:eastAsia="宋体" w:cs="宋体"/>
          <w:sz w:val="28"/>
          <w:szCs w:val="28"/>
          <w:highlight w:val="none"/>
        </w:rPr>
      </w:pPr>
      <w:r>
        <w:rPr>
          <w:rFonts w:hint="eastAsia" w:ascii="宋体" w:hAnsi="宋体" w:eastAsia="宋体" w:cs="宋体"/>
          <w:b/>
          <w:bCs/>
          <w:spacing w:val="-3"/>
          <w:sz w:val="28"/>
          <w:szCs w:val="28"/>
          <w:highlight w:val="none"/>
          <w:lang w:val="en-US" w:eastAsia="zh-CN"/>
        </w:rPr>
        <w:t>北海市铁山港区</w:t>
      </w:r>
      <w:r>
        <w:rPr>
          <w:rFonts w:hint="eastAsia" w:ascii="宋体" w:hAnsi="宋体" w:eastAsia="宋体" w:cs="宋体"/>
          <w:b/>
          <w:bCs/>
          <w:spacing w:val="-3"/>
          <w:sz w:val="28"/>
          <w:szCs w:val="28"/>
          <w:highlight w:val="none"/>
        </w:rPr>
        <w:t>污水处理设施运行管理考核评分表</w:t>
      </w:r>
    </w:p>
    <w:p w14:paraId="5356872F">
      <w:pPr>
        <w:spacing w:before="65" w:line="228" w:lineRule="auto"/>
        <w:ind w:left="242"/>
        <w:jc w:val="right"/>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考评日期：</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年</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月</w:t>
      </w:r>
      <w:r>
        <w:rPr>
          <w:rFonts w:hint="eastAsia" w:ascii="宋体" w:hAnsi="宋体" w:eastAsia="宋体" w:cs="宋体"/>
          <w:spacing w:val="14"/>
          <w:sz w:val="21"/>
          <w:szCs w:val="21"/>
          <w:highlight w:val="none"/>
        </w:rPr>
        <w:t xml:space="preserve">     </w:t>
      </w:r>
      <w:r>
        <w:rPr>
          <w:rFonts w:hint="eastAsia" w:ascii="宋体" w:hAnsi="宋体" w:eastAsia="宋体" w:cs="宋体"/>
          <w:spacing w:val="3"/>
          <w:sz w:val="21"/>
          <w:szCs w:val="21"/>
          <w:highlight w:val="none"/>
        </w:rPr>
        <w:t>日</w:t>
      </w:r>
    </w:p>
    <w:tbl>
      <w:tblPr>
        <w:tblStyle w:val="638"/>
        <w:tblW w:w="96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1076"/>
        <w:gridCol w:w="1105"/>
        <w:gridCol w:w="1054"/>
        <w:gridCol w:w="764"/>
        <w:gridCol w:w="4063"/>
        <w:gridCol w:w="1036"/>
      </w:tblGrid>
      <w:tr w14:paraId="72B7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594" w:type="dxa"/>
            <w:vAlign w:val="top"/>
          </w:tcPr>
          <w:p w14:paraId="468452D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序号</w:t>
            </w:r>
          </w:p>
        </w:tc>
        <w:tc>
          <w:tcPr>
            <w:tcW w:w="1076" w:type="dxa"/>
            <w:vAlign w:val="top"/>
          </w:tcPr>
          <w:p w14:paraId="52402493">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评比项目</w:t>
            </w:r>
          </w:p>
        </w:tc>
        <w:tc>
          <w:tcPr>
            <w:tcW w:w="1105" w:type="dxa"/>
            <w:vAlign w:val="top"/>
          </w:tcPr>
          <w:p w14:paraId="262DB02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内容</w:t>
            </w:r>
          </w:p>
        </w:tc>
        <w:tc>
          <w:tcPr>
            <w:tcW w:w="1054" w:type="dxa"/>
            <w:vAlign w:val="top"/>
          </w:tcPr>
          <w:p w14:paraId="42D3B0C7">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满分</w:t>
            </w:r>
          </w:p>
        </w:tc>
        <w:tc>
          <w:tcPr>
            <w:tcW w:w="764" w:type="dxa"/>
            <w:vAlign w:val="top"/>
          </w:tcPr>
          <w:p w14:paraId="7BCA0E1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得分</w:t>
            </w:r>
          </w:p>
        </w:tc>
        <w:tc>
          <w:tcPr>
            <w:tcW w:w="4063" w:type="dxa"/>
            <w:vAlign w:val="top"/>
          </w:tcPr>
          <w:p w14:paraId="0093AAFC">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每项具体考核标准及对应的分值</w:t>
            </w:r>
          </w:p>
        </w:tc>
        <w:tc>
          <w:tcPr>
            <w:tcW w:w="1036" w:type="dxa"/>
            <w:vAlign w:val="top"/>
          </w:tcPr>
          <w:p w14:paraId="3F983D5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扣分原因</w:t>
            </w:r>
          </w:p>
        </w:tc>
      </w:tr>
      <w:tr w14:paraId="0816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7" w:hRule="atLeast"/>
          <w:jc w:val="center"/>
        </w:trPr>
        <w:tc>
          <w:tcPr>
            <w:tcW w:w="594" w:type="dxa"/>
            <w:vMerge w:val="restart"/>
            <w:tcBorders>
              <w:bottom w:val="nil"/>
            </w:tcBorders>
            <w:vAlign w:val="center"/>
          </w:tcPr>
          <w:p w14:paraId="6A07528F">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76" w:type="dxa"/>
            <w:vMerge w:val="restart"/>
            <w:tcBorders>
              <w:bottom w:val="nil"/>
            </w:tcBorders>
            <w:vAlign w:val="center"/>
          </w:tcPr>
          <w:p w14:paraId="714B10A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产品质量</w:t>
            </w:r>
          </w:p>
        </w:tc>
        <w:tc>
          <w:tcPr>
            <w:tcW w:w="1105" w:type="dxa"/>
            <w:vAlign w:val="center"/>
          </w:tcPr>
          <w:p w14:paraId="059AE785">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污水达标率</w:t>
            </w:r>
          </w:p>
        </w:tc>
        <w:tc>
          <w:tcPr>
            <w:tcW w:w="1054" w:type="dxa"/>
            <w:vAlign w:val="center"/>
          </w:tcPr>
          <w:p w14:paraId="5C5747D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宋体" w:hAnsi="宋体" w:eastAsia="宋体" w:cs="宋体"/>
                <w:sz w:val="21"/>
                <w:szCs w:val="21"/>
                <w:highlight w:val="none"/>
                <w:lang w:val="en-US" w:eastAsia="zh-CN"/>
              </w:rPr>
            </w:pPr>
            <w:r>
              <w:rPr>
                <w:rFonts w:hint="eastAsia" w:cs="宋体"/>
                <w:spacing w:val="-2"/>
                <w:sz w:val="21"/>
                <w:szCs w:val="21"/>
                <w:highlight w:val="none"/>
                <w:lang w:val="en-US" w:eastAsia="zh-CN"/>
              </w:rPr>
              <w:t>35</w:t>
            </w:r>
          </w:p>
        </w:tc>
        <w:tc>
          <w:tcPr>
            <w:tcW w:w="764" w:type="dxa"/>
            <w:vAlign w:val="center"/>
          </w:tcPr>
          <w:p w14:paraId="3999259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6B0763A9">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w:t>
            </w:r>
            <w:r>
              <w:rPr>
                <w:rFonts w:hint="eastAsia" w:ascii="宋体" w:hAnsi="宋体" w:eastAsia="宋体" w:cs="宋体"/>
                <w:spacing w:val="8"/>
                <w:sz w:val="21"/>
                <w:szCs w:val="21"/>
                <w:highlight w:val="none"/>
                <w:lang w:val="en-US" w:eastAsia="zh-CN"/>
              </w:rPr>
              <w:t>.</w:t>
            </w:r>
            <w:r>
              <w:rPr>
                <w:rFonts w:hint="eastAsia" w:ascii="宋体" w:hAnsi="宋体" w:eastAsia="宋体" w:cs="宋体"/>
                <w:spacing w:val="8"/>
                <w:sz w:val="21"/>
                <w:szCs w:val="21"/>
                <w:highlight w:val="none"/>
              </w:rPr>
              <w:t>在进水浓度不超标的情况下，</w:t>
            </w:r>
            <w:r>
              <w:rPr>
                <w:rFonts w:hint="eastAsia" w:ascii="宋体" w:hAnsi="宋体" w:eastAsia="宋体" w:cs="宋体"/>
                <w:spacing w:val="9"/>
                <w:sz w:val="21"/>
                <w:szCs w:val="21"/>
                <w:highlight w:val="none"/>
              </w:rPr>
              <w:t>污水达标率按</w:t>
            </w:r>
            <w:r>
              <w:rPr>
                <w:rFonts w:hint="eastAsia" w:ascii="宋体" w:hAnsi="宋体" w:eastAsia="宋体" w:cs="宋体"/>
                <w:sz w:val="21"/>
                <w:szCs w:val="21"/>
                <w:highlight w:val="none"/>
              </w:rPr>
              <w:t>COD</w:t>
            </w:r>
            <w:r>
              <w:rPr>
                <w:rFonts w:hint="eastAsia" w:ascii="宋体" w:hAnsi="宋体" w:eastAsia="宋体" w:cs="宋体"/>
                <w:spacing w:val="9"/>
                <w:sz w:val="21"/>
                <w:szCs w:val="21"/>
                <w:highlight w:val="none"/>
              </w:rPr>
              <w:t>、</w:t>
            </w:r>
            <w:r>
              <w:rPr>
                <w:rFonts w:hint="eastAsia" w:ascii="宋体" w:hAnsi="宋体" w:eastAsia="宋体" w:cs="宋体"/>
                <w:sz w:val="21"/>
                <w:szCs w:val="21"/>
                <w:highlight w:val="none"/>
              </w:rPr>
              <w:t>SS</w:t>
            </w:r>
            <w:r>
              <w:rPr>
                <w:rFonts w:hint="eastAsia" w:ascii="宋体" w:hAnsi="宋体" w:eastAsia="宋体" w:cs="宋体"/>
                <w:spacing w:val="9"/>
                <w:sz w:val="21"/>
                <w:szCs w:val="21"/>
                <w:highlight w:val="none"/>
              </w:rPr>
              <w:t>、</w:t>
            </w:r>
            <w:r>
              <w:rPr>
                <w:rFonts w:hint="eastAsia" w:ascii="宋体" w:hAnsi="宋体" w:eastAsia="宋体" w:cs="宋体"/>
                <w:sz w:val="21"/>
                <w:szCs w:val="21"/>
                <w:highlight w:val="none"/>
              </w:rPr>
              <w:t>TP</w:t>
            </w:r>
            <w:r>
              <w:rPr>
                <w:rFonts w:hint="eastAsia" w:ascii="宋体" w:hAnsi="宋体" w:eastAsia="宋体" w:cs="宋体"/>
                <w:spacing w:val="9"/>
                <w:sz w:val="21"/>
                <w:szCs w:val="21"/>
                <w:highlight w:val="none"/>
              </w:rPr>
              <w:t>、</w:t>
            </w:r>
            <w:r>
              <w:rPr>
                <w:rFonts w:hint="eastAsia" w:ascii="宋体" w:hAnsi="宋体" w:eastAsia="宋体" w:cs="宋体"/>
                <w:sz w:val="21"/>
                <w:szCs w:val="21"/>
                <w:highlight w:val="none"/>
              </w:rPr>
              <w:t>TN</w:t>
            </w:r>
            <w:r>
              <w:rPr>
                <w:rFonts w:hint="eastAsia" w:ascii="宋体" w:hAnsi="宋体" w:eastAsia="宋体" w:cs="宋体"/>
                <w:spacing w:val="9"/>
                <w:sz w:val="21"/>
                <w:szCs w:val="21"/>
                <w:highlight w:val="none"/>
              </w:rPr>
              <w:t>、</w:t>
            </w:r>
            <w:r>
              <w:rPr>
                <w:rFonts w:hint="eastAsia" w:ascii="宋体" w:hAnsi="宋体" w:eastAsia="宋体" w:cs="宋体"/>
                <w:sz w:val="21"/>
                <w:szCs w:val="21"/>
                <w:highlight w:val="none"/>
              </w:rPr>
              <w:t>NH</w:t>
            </w:r>
            <w:r>
              <w:rPr>
                <w:rFonts w:hint="eastAsia" w:ascii="宋体" w:hAnsi="宋体" w:eastAsia="宋体" w:cs="宋体"/>
                <w:spacing w:val="6"/>
                <w:sz w:val="21"/>
                <w:szCs w:val="21"/>
                <w:highlight w:val="none"/>
              </w:rPr>
              <w:t>3-H等依据设计标准进行考核，</w:t>
            </w:r>
            <w:r>
              <w:rPr>
                <w:rFonts w:hint="eastAsia" w:ascii="宋体" w:hAnsi="宋体" w:eastAsia="宋体" w:cs="宋体"/>
                <w:spacing w:val="16"/>
                <w:sz w:val="21"/>
                <w:szCs w:val="21"/>
                <w:highlight w:val="none"/>
              </w:rPr>
              <w:t>每个乡镇有不达标的，给予3-5</w:t>
            </w:r>
            <w:r>
              <w:rPr>
                <w:rFonts w:hint="eastAsia" w:ascii="宋体" w:hAnsi="宋体" w:eastAsia="宋体" w:cs="宋体"/>
                <w:spacing w:val="17"/>
                <w:sz w:val="21"/>
                <w:szCs w:val="21"/>
                <w:highlight w:val="none"/>
              </w:rPr>
              <w:t>天整改期，如整改仍不达标的，</w:t>
            </w:r>
            <w:r>
              <w:rPr>
                <w:rFonts w:hint="eastAsia" w:ascii="宋体" w:hAnsi="宋体" w:eastAsia="宋体" w:cs="宋体"/>
                <w:spacing w:val="7"/>
                <w:sz w:val="21"/>
                <w:szCs w:val="21"/>
                <w:highlight w:val="none"/>
              </w:rPr>
              <w:t>每次扣一分；</w:t>
            </w:r>
          </w:p>
          <w:p w14:paraId="15475D0C">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2.如进水浓度超过设计标准20%</w:t>
            </w:r>
            <w:r>
              <w:rPr>
                <w:rFonts w:hint="eastAsia" w:ascii="宋体" w:hAnsi="宋体" w:eastAsia="宋体" w:cs="宋体"/>
                <w:spacing w:val="16"/>
                <w:sz w:val="21"/>
                <w:szCs w:val="21"/>
                <w:highlight w:val="none"/>
              </w:rPr>
              <w:t>以内导致出水超标的，给予5-7</w:t>
            </w:r>
            <w:r>
              <w:rPr>
                <w:rFonts w:hint="eastAsia" w:ascii="宋体" w:hAnsi="宋体" w:eastAsia="宋体" w:cs="宋体"/>
                <w:spacing w:val="15"/>
                <w:sz w:val="21"/>
                <w:szCs w:val="21"/>
                <w:highlight w:val="none"/>
              </w:rPr>
              <w:t>天整改期；进水浓度超过设计标</w:t>
            </w:r>
            <w:r>
              <w:rPr>
                <w:rFonts w:hint="eastAsia" w:ascii="宋体" w:hAnsi="宋体" w:eastAsia="宋体" w:cs="宋体"/>
                <w:spacing w:val="3"/>
                <w:sz w:val="21"/>
                <w:szCs w:val="21"/>
                <w:highlight w:val="none"/>
              </w:rPr>
              <w:t>准50%以内导致出水超标的，给予7-10天整改期；</w:t>
            </w:r>
          </w:p>
          <w:p w14:paraId="52DCC17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3.非进水浓度超标原因，如果市</w:t>
            </w:r>
            <w:r>
              <w:rPr>
                <w:rFonts w:hint="eastAsia" w:ascii="宋体" w:hAnsi="宋体" w:eastAsia="宋体" w:cs="宋体"/>
                <w:spacing w:val="16"/>
                <w:sz w:val="21"/>
                <w:szCs w:val="21"/>
                <w:highlight w:val="none"/>
              </w:rPr>
              <w:t>级以上环保部门或上级监管部门</w:t>
            </w:r>
            <w:r>
              <w:rPr>
                <w:rFonts w:hint="eastAsia" w:ascii="宋体" w:hAnsi="宋体" w:eastAsia="宋体" w:cs="宋体"/>
                <w:spacing w:val="18"/>
                <w:sz w:val="21"/>
                <w:szCs w:val="21"/>
                <w:highlight w:val="none"/>
              </w:rPr>
              <w:t>抽查判定为不合格的，每次扣2</w:t>
            </w:r>
            <w:r>
              <w:rPr>
                <w:rFonts w:hint="eastAsia" w:ascii="宋体" w:hAnsi="宋体" w:eastAsia="宋体" w:cs="宋体"/>
                <w:sz w:val="21"/>
                <w:szCs w:val="21"/>
                <w:highlight w:val="none"/>
              </w:rPr>
              <w:t>分。</w:t>
            </w:r>
          </w:p>
        </w:tc>
        <w:tc>
          <w:tcPr>
            <w:tcW w:w="1036" w:type="dxa"/>
            <w:vAlign w:val="top"/>
          </w:tcPr>
          <w:p w14:paraId="06842CB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3FF2C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jc w:val="center"/>
        </w:trPr>
        <w:tc>
          <w:tcPr>
            <w:tcW w:w="594" w:type="dxa"/>
            <w:vMerge w:val="continue"/>
            <w:tcBorders>
              <w:top w:val="nil"/>
            </w:tcBorders>
            <w:vAlign w:val="center"/>
          </w:tcPr>
          <w:p w14:paraId="1F3E81D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tcBorders>
              <w:top w:val="nil"/>
            </w:tcBorders>
            <w:vAlign w:val="center"/>
          </w:tcPr>
          <w:p w14:paraId="4812EE3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center"/>
          </w:tcPr>
          <w:p w14:paraId="00BD9D4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污泥处置</w:t>
            </w:r>
          </w:p>
        </w:tc>
        <w:tc>
          <w:tcPr>
            <w:tcW w:w="1054" w:type="dxa"/>
            <w:vAlign w:val="center"/>
          </w:tcPr>
          <w:p w14:paraId="17F71748">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lang w:eastAsia="zh-CN"/>
              </w:rPr>
            </w:pPr>
            <w:r>
              <w:rPr>
                <w:rFonts w:hint="eastAsia" w:cs="宋体"/>
                <w:spacing w:val="-7"/>
                <w:sz w:val="21"/>
                <w:szCs w:val="21"/>
                <w:highlight w:val="none"/>
                <w:lang w:val="en-US" w:eastAsia="zh-CN"/>
              </w:rPr>
              <w:t>8</w:t>
            </w:r>
          </w:p>
        </w:tc>
        <w:tc>
          <w:tcPr>
            <w:tcW w:w="764" w:type="dxa"/>
            <w:vAlign w:val="center"/>
          </w:tcPr>
          <w:p w14:paraId="517B499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0CEBC13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污泥进行无害化处置，有处置协</w:t>
            </w:r>
            <w:r>
              <w:rPr>
                <w:rFonts w:hint="eastAsia" w:ascii="宋体" w:hAnsi="宋体" w:eastAsia="宋体" w:cs="宋体"/>
                <w:spacing w:val="5"/>
                <w:sz w:val="21"/>
                <w:szCs w:val="21"/>
                <w:highlight w:val="none"/>
              </w:rPr>
              <w:t>议和转运联单得10分，缺一项扣</w:t>
            </w:r>
            <w:r>
              <w:rPr>
                <w:rFonts w:hint="eastAsia" w:cs="宋体"/>
                <w:spacing w:val="4"/>
                <w:sz w:val="21"/>
                <w:szCs w:val="21"/>
                <w:highlight w:val="none"/>
                <w:lang w:val="en-US" w:eastAsia="zh-CN"/>
              </w:rPr>
              <w:t>4</w:t>
            </w:r>
            <w:r>
              <w:rPr>
                <w:rFonts w:hint="eastAsia" w:ascii="宋体" w:hAnsi="宋体" w:eastAsia="宋体" w:cs="宋体"/>
                <w:spacing w:val="4"/>
                <w:sz w:val="21"/>
                <w:szCs w:val="21"/>
                <w:highlight w:val="none"/>
              </w:rPr>
              <w:t>分，扣完为止；检查中发现污泥</w:t>
            </w:r>
            <w:r>
              <w:rPr>
                <w:rFonts w:hint="eastAsia" w:ascii="宋体" w:hAnsi="宋体" w:eastAsia="宋体" w:cs="宋体"/>
                <w:spacing w:val="16"/>
                <w:sz w:val="21"/>
                <w:szCs w:val="21"/>
                <w:highlight w:val="none"/>
              </w:rPr>
              <w:t>未按规定进行无害化处置，一次</w:t>
            </w:r>
            <w:r>
              <w:rPr>
                <w:rFonts w:hint="eastAsia" w:ascii="宋体" w:hAnsi="宋体" w:eastAsia="宋体" w:cs="宋体"/>
                <w:spacing w:val="-6"/>
                <w:sz w:val="21"/>
                <w:szCs w:val="21"/>
                <w:highlight w:val="none"/>
              </w:rPr>
              <w:t>扣1分。</w:t>
            </w:r>
          </w:p>
        </w:tc>
        <w:tc>
          <w:tcPr>
            <w:tcW w:w="1036" w:type="dxa"/>
            <w:vAlign w:val="top"/>
          </w:tcPr>
          <w:p w14:paraId="1F6FD46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6047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594" w:type="dxa"/>
            <w:vMerge w:val="restart"/>
            <w:vAlign w:val="center"/>
          </w:tcPr>
          <w:p w14:paraId="67563D68">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76" w:type="dxa"/>
            <w:vMerge w:val="restart"/>
            <w:vAlign w:val="center"/>
          </w:tcPr>
          <w:p w14:paraId="1C1C44C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管理质量</w:t>
            </w:r>
          </w:p>
        </w:tc>
        <w:tc>
          <w:tcPr>
            <w:tcW w:w="1105" w:type="dxa"/>
            <w:vAlign w:val="center"/>
          </w:tcPr>
          <w:p w14:paraId="12987E9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管理制度</w:t>
            </w:r>
          </w:p>
        </w:tc>
        <w:tc>
          <w:tcPr>
            <w:tcW w:w="1054" w:type="dxa"/>
            <w:vAlign w:val="center"/>
          </w:tcPr>
          <w:p w14:paraId="123E6623">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64" w:type="dxa"/>
            <w:vAlign w:val="top"/>
          </w:tcPr>
          <w:p w14:paraId="3495651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0CFDA650">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管理制度健全，有各级管理制度、</w:t>
            </w:r>
            <w:r>
              <w:rPr>
                <w:rFonts w:hint="eastAsia" w:ascii="宋体" w:hAnsi="宋体" w:eastAsia="宋体" w:cs="宋体"/>
                <w:spacing w:val="16"/>
                <w:sz w:val="21"/>
                <w:szCs w:val="21"/>
                <w:highlight w:val="none"/>
              </w:rPr>
              <w:t>规章制度、考核制度健全。相关</w:t>
            </w:r>
            <w:r>
              <w:rPr>
                <w:rFonts w:hint="eastAsia" w:ascii="宋体" w:hAnsi="宋体" w:eastAsia="宋体" w:cs="宋体"/>
                <w:spacing w:val="13"/>
                <w:sz w:val="21"/>
                <w:szCs w:val="21"/>
                <w:highlight w:val="none"/>
              </w:rPr>
              <w:t>管理制度落实不到位，扣1分，</w:t>
            </w:r>
            <w:r>
              <w:rPr>
                <w:rFonts w:hint="eastAsia" w:ascii="宋体" w:hAnsi="宋体" w:eastAsia="宋体" w:cs="宋体"/>
                <w:spacing w:val="5"/>
                <w:sz w:val="21"/>
                <w:szCs w:val="21"/>
                <w:highlight w:val="none"/>
              </w:rPr>
              <w:t>运营岗位制度不健全，扣1分。</w:t>
            </w:r>
          </w:p>
        </w:tc>
        <w:tc>
          <w:tcPr>
            <w:tcW w:w="1036" w:type="dxa"/>
            <w:vAlign w:val="top"/>
          </w:tcPr>
          <w:p w14:paraId="1CEE636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6014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jc w:val="center"/>
        </w:trPr>
        <w:tc>
          <w:tcPr>
            <w:tcW w:w="594" w:type="dxa"/>
            <w:vMerge w:val="continue"/>
            <w:vAlign w:val="center"/>
          </w:tcPr>
          <w:p w14:paraId="09699B3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center"/>
          </w:tcPr>
          <w:p w14:paraId="4567984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center"/>
          </w:tcPr>
          <w:p w14:paraId="4486104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台账齐全</w:t>
            </w:r>
          </w:p>
        </w:tc>
        <w:tc>
          <w:tcPr>
            <w:tcW w:w="1054" w:type="dxa"/>
            <w:vAlign w:val="center"/>
          </w:tcPr>
          <w:p w14:paraId="0D57F501">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64" w:type="dxa"/>
            <w:vAlign w:val="top"/>
          </w:tcPr>
          <w:p w14:paraId="584377D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51347F9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具有交接班记录、设备运行</w:t>
            </w:r>
            <w:r>
              <w:rPr>
                <w:rFonts w:hint="eastAsia" w:ascii="宋体" w:hAnsi="宋体" w:cs="宋体"/>
                <w:spacing w:val="6"/>
                <w:sz w:val="21"/>
                <w:szCs w:val="21"/>
                <w:highlight w:val="none"/>
                <w:lang w:eastAsia="zh-CN"/>
              </w:rPr>
              <w:t>台账</w:t>
            </w:r>
            <w:r>
              <w:rPr>
                <w:rFonts w:hint="eastAsia" w:ascii="宋体" w:hAnsi="宋体" w:eastAsia="宋体" w:cs="宋体"/>
                <w:spacing w:val="6"/>
                <w:sz w:val="21"/>
                <w:szCs w:val="21"/>
                <w:highlight w:val="none"/>
              </w:rPr>
              <w:t>、</w:t>
            </w:r>
            <w:r>
              <w:rPr>
                <w:rFonts w:hint="eastAsia" w:ascii="宋体" w:hAnsi="宋体" w:eastAsia="宋体" w:cs="宋体"/>
                <w:spacing w:val="16"/>
                <w:sz w:val="21"/>
                <w:szCs w:val="21"/>
                <w:highlight w:val="none"/>
              </w:rPr>
              <w:t>设备维护维修</w:t>
            </w:r>
            <w:r>
              <w:rPr>
                <w:rFonts w:hint="eastAsia" w:ascii="宋体" w:hAnsi="宋体" w:cs="宋体"/>
                <w:spacing w:val="16"/>
                <w:sz w:val="21"/>
                <w:szCs w:val="21"/>
                <w:highlight w:val="none"/>
                <w:lang w:eastAsia="zh-CN"/>
              </w:rPr>
              <w:t>台</w:t>
            </w:r>
            <w:r>
              <w:rPr>
                <w:rFonts w:hint="eastAsia" w:ascii="宋体" w:hAnsi="宋体" w:cs="宋体"/>
                <w:spacing w:val="6"/>
                <w:sz w:val="21"/>
                <w:szCs w:val="21"/>
                <w:highlight w:val="none"/>
                <w:lang w:eastAsia="zh-CN"/>
              </w:rPr>
              <w:t>账</w:t>
            </w:r>
            <w:r>
              <w:rPr>
                <w:rFonts w:hint="eastAsia" w:ascii="宋体" w:hAnsi="宋体" w:eastAsia="宋体" w:cs="宋体"/>
                <w:spacing w:val="16"/>
                <w:sz w:val="21"/>
                <w:szCs w:val="21"/>
                <w:highlight w:val="none"/>
              </w:rPr>
              <w:t>、污泥处理</w:t>
            </w:r>
            <w:r>
              <w:rPr>
                <w:rFonts w:hint="eastAsia" w:ascii="宋体" w:hAnsi="宋体" w:cs="宋体"/>
                <w:spacing w:val="16"/>
                <w:sz w:val="21"/>
                <w:szCs w:val="21"/>
                <w:highlight w:val="none"/>
                <w:lang w:eastAsia="zh-CN"/>
              </w:rPr>
              <w:t>台</w:t>
            </w:r>
            <w:r>
              <w:rPr>
                <w:rFonts w:hint="eastAsia" w:ascii="宋体" w:hAnsi="宋体" w:cs="宋体"/>
                <w:spacing w:val="6"/>
                <w:sz w:val="21"/>
                <w:szCs w:val="21"/>
                <w:highlight w:val="none"/>
                <w:lang w:eastAsia="zh-CN"/>
              </w:rPr>
              <w:t>账</w:t>
            </w:r>
            <w:r>
              <w:rPr>
                <w:rFonts w:hint="eastAsia" w:ascii="宋体" w:hAnsi="宋体" w:eastAsia="宋体" w:cs="宋体"/>
                <w:spacing w:val="16"/>
                <w:sz w:val="21"/>
                <w:szCs w:val="21"/>
                <w:highlight w:val="none"/>
              </w:rPr>
              <w:t>、水质分析</w:t>
            </w:r>
            <w:r>
              <w:rPr>
                <w:rFonts w:hint="eastAsia" w:ascii="宋体" w:hAnsi="宋体" w:cs="宋体"/>
                <w:spacing w:val="16"/>
                <w:sz w:val="21"/>
                <w:szCs w:val="21"/>
                <w:highlight w:val="none"/>
                <w:lang w:eastAsia="zh-CN"/>
              </w:rPr>
              <w:t>台</w:t>
            </w:r>
            <w:r>
              <w:rPr>
                <w:rFonts w:hint="eastAsia" w:ascii="宋体" w:hAnsi="宋体" w:cs="宋体"/>
                <w:spacing w:val="6"/>
                <w:sz w:val="21"/>
                <w:szCs w:val="21"/>
                <w:highlight w:val="none"/>
                <w:lang w:eastAsia="zh-CN"/>
              </w:rPr>
              <w:t>账</w:t>
            </w:r>
            <w:r>
              <w:rPr>
                <w:rFonts w:hint="eastAsia" w:ascii="宋体" w:hAnsi="宋体" w:eastAsia="宋体" w:cs="宋体"/>
                <w:spacing w:val="16"/>
                <w:sz w:val="21"/>
                <w:szCs w:val="21"/>
                <w:highlight w:val="none"/>
              </w:rPr>
              <w:t>、在线监测设</w:t>
            </w:r>
            <w:r>
              <w:rPr>
                <w:rFonts w:hint="eastAsia" w:ascii="宋体" w:hAnsi="宋体" w:eastAsia="宋体" w:cs="宋体"/>
                <w:spacing w:val="6"/>
                <w:sz w:val="21"/>
                <w:szCs w:val="21"/>
                <w:highlight w:val="none"/>
              </w:rPr>
              <w:t>备日常维护</w:t>
            </w:r>
            <w:r>
              <w:rPr>
                <w:rFonts w:hint="eastAsia" w:ascii="宋体" w:hAnsi="宋体" w:cs="宋体"/>
                <w:spacing w:val="6"/>
                <w:sz w:val="21"/>
                <w:szCs w:val="21"/>
                <w:highlight w:val="none"/>
                <w:lang w:eastAsia="zh-CN"/>
              </w:rPr>
              <w:t>台账</w:t>
            </w:r>
            <w:r>
              <w:rPr>
                <w:rFonts w:hint="eastAsia" w:ascii="宋体" w:hAnsi="宋体" w:eastAsia="宋体" w:cs="宋体"/>
                <w:spacing w:val="6"/>
                <w:sz w:val="21"/>
                <w:szCs w:val="21"/>
                <w:highlight w:val="none"/>
              </w:rPr>
              <w:t>、应急演练记录、</w:t>
            </w:r>
            <w:r>
              <w:rPr>
                <w:rFonts w:hint="eastAsia" w:ascii="宋体" w:hAnsi="宋体" w:eastAsia="宋体" w:cs="宋体"/>
                <w:spacing w:val="16"/>
                <w:sz w:val="21"/>
                <w:szCs w:val="21"/>
                <w:highlight w:val="none"/>
              </w:rPr>
              <w:t>安全教育培训记录等</w:t>
            </w:r>
            <w:r>
              <w:rPr>
                <w:rFonts w:hint="eastAsia" w:ascii="宋体" w:hAnsi="宋体" w:cs="宋体"/>
                <w:spacing w:val="16"/>
                <w:sz w:val="21"/>
                <w:szCs w:val="21"/>
                <w:highlight w:val="none"/>
                <w:lang w:eastAsia="zh-CN"/>
              </w:rPr>
              <w:t>台</w:t>
            </w:r>
            <w:r>
              <w:rPr>
                <w:rFonts w:hint="eastAsia" w:ascii="宋体" w:hAnsi="宋体" w:cs="宋体"/>
                <w:spacing w:val="6"/>
                <w:sz w:val="21"/>
                <w:szCs w:val="21"/>
                <w:highlight w:val="none"/>
                <w:lang w:eastAsia="zh-CN"/>
              </w:rPr>
              <w:t>账</w:t>
            </w:r>
            <w:r>
              <w:rPr>
                <w:rFonts w:hint="eastAsia" w:ascii="宋体" w:hAnsi="宋体" w:eastAsia="宋体" w:cs="宋体"/>
                <w:spacing w:val="16"/>
                <w:sz w:val="21"/>
                <w:szCs w:val="21"/>
                <w:highlight w:val="none"/>
              </w:rPr>
              <w:t>，能真实反映全厂的运行情况，每缺少</w:t>
            </w:r>
            <w:r>
              <w:rPr>
                <w:rFonts w:hint="eastAsia" w:ascii="宋体" w:hAnsi="宋体" w:eastAsia="宋体" w:cs="宋体"/>
                <w:spacing w:val="6"/>
                <w:sz w:val="21"/>
                <w:szCs w:val="21"/>
                <w:highlight w:val="none"/>
              </w:rPr>
              <w:t>一项</w:t>
            </w:r>
            <w:r>
              <w:rPr>
                <w:rFonts w:hint="eastAsia" w:ascii="宋体" w:hAnsi="宋体" w:cs="宋体"/>
                <w:spacing w:val="6"/>
                <w:sz w:val="21"/>
                <w:szCs w:val="21"/>
                <w:highlight w:val="none"/>
                <w:lang w:eastAsia="zh-CN"/>
              </w:rPr>
              <w:t>台账</w:t>
            </w:r>
            <w:r>
              <w:rPr>
                <w:rFonts w:hint="eastAsia" w:ascii="宋体" w:hAnsi="宋体" w:eastAsia="宋体" w:cs="宋体"/>
                <w:spacing w:val="6"/>
                <w:sz w:val="21"/>
                <w:szCs w:val="21"/>
                <w:highlight w:val="none"/>
              </w:rPr>
              <w:t>扣0.5分，扣完为止。</w:t>
            </w:r>
          </w:p>
        </w:tc>
        <w:tc>
          <w:tcPr>
            <w:tcW w:w="1036" w:type="dxa"/>
            <w:vAlign w:val="top"/>
          </w:tcPr>
          <w:p w14:paraId="21EC02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5314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594" w:type="dxa"/>
            <w:vMerge w:val="continue"/>
            <w:vAlign w:val="center"/>
          </w:tcPr>
          <w:p w14:paraId="55E7425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center"/>
          </w:tcPr>
          <w:p w14:paraId="4198CA4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center"/>
          </w:tcPr>
          <w:p w14:paraId="3F66711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3"/>
                <w:sz w:val="21"/>
                <w:szCs w:val="21"/>
                <w:highlight w:val="none"/>
              </w:rPr>
            </w:pPr>
            <w:r>
              <w:rPr>
                <w:rFonts w:hint="eastAsia" w:ascii="宋体" w:hAnsi="宋体" w:eastAsia="宋体" w:cs="宋体"/>
                <w:spacing w:val="7"/>
                <w:sz w:val="21"/>
                <w:szCs w:val="21"/>
                <w:highlight w:val="none"/>
              </w:rPr>
              <w:t>信息</w:t>
            </w:r>
            <w:r>
              <w:rPr>
                <w:rFonts w:hint="eastAsia" w:ascii="宋体" w:hAnsi="宋体" w:eastAsia="宋体" w:cs="宋体"/>
                <w:spacing w:val="7"/>
                <w:sz w:val="21"/>
                <w:szCs w:val="21"/>
                <w:highlight w:val="none"/>
                <w:lang w:val="en-US" w:eastAsia="zh-CN"/>
              </w:rPr>
              <w:t>材料</w:t>
            </w:r>
            <w:r>
              <w:rPr>
                <w:rFonts w:hint="eastAsia" w:ascii="宋体" w:hAnsi="宋体" w:eastAsia="宋体" w:cs="宋体"/>
                <w:spacing w:val="7"/>
                <w:sz w:val="21"/>
                <w:szCs w:val="21"/>
                <w:highlight w:val="none"/>
              </w:rPr>
              <w:t>上报</w:t>
            </w:r>
          </w:p>
        </w:tc>
        <w:tc>
          <w:tcPr>
            <w:tcW w:w="1054" w:type="dxa"/>
            <w:vAlign w:val="center"/>
          </w:tcPr>
          <w:p w14:paraId="3F499CAD">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shd w:val="clear"/>
                <w:lang w:val="en-US" w:eastAsia="zh-CN"/>
              </w:rPr>
              <w:t>6</w:t>
            </w:r>
          </w:p>
        </w:tc>
        <w:tc>
          <w:tcPr>
            <w:tcW w:w="764" w:type="dxa"/>
            <w:vAlign w:val="top"/>
          </w:tcPr>
          <w:p w14:paraId="7F39B7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3855B16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4" w:firstLineChars="200"/>
              <w:jc w:val="both"/>
              <w:textAlignment w:val="baseline"/>
              <w:rPr>
                <w:rFonts w:hint="eastAsia" w:ascii="宋体" w:hAnsi="宋体" w:eastAsia="宋体" w:cs="宋体"/>
                <w:spacing w:val="6"/>
                <w:sz w:val="21"/>
                <w:szCs w:val="21"/>
                <w:highlight w:val="none"/>
              </w:rPr>
            </w:pPr>
            <w:r>
              <w:rPr>
                <w:rFonts w:hint="eastAsia" w:ascii="宋体" w:hAnsi="宋体" w:eastAsia="宋体" w:cs="宋体"/>
                <w:spacing w:val="16"/>
                <w:sz w:val="21"/>
                <w:szCs w:val="21"/>
                <w:highlight w:val="none"/>
              </w:rPr>
              <w:t>按照上级文件要求，按时上报</w:t>
            </w:r>
            <w:r>
              <w:rPr>
                <w:rFonts w:hint="eastAsia" w:ascii="宋体" w:hAnsi="宋体" w:eastAsia="宋体" w:cs="宋体"/>
                <w:spacing w:val="16"/>
                <w:sz w:val="21"/>
                <w:szCs w:val="21"/>
                <w:highlight w:val="none"/>
                <w:lang w:val="en-US" w:eastAsia="zh-CN"/>
              </w:rPr>
              <w:t>材料</w:t>
            </w:r>
            <w:r>
              <w:rPr>
                <w:rFonts w:hint="eastAsia" w:ascii="宋体" w:hAnsi="宋体" w:eastAsia="宋体" w:cs="宋体"/>
                <w:spacing w:val="16"/>
                <w:sz w:val="21"/>
                <w:szCs w:val="21"/>
                <w:highlight w:val="none"/>
              </w:rPr>
              <w:t>数</w:t>
            </w:r>
            <w:r>
              <w:rPr>
                <w:rFonts w:hint="eastAsia" w:ascii="宋体" w:hAnsi="宋体" w:eastAsia="宋体" w:cs="宋体"/>
                <w:spacing w:val="13"/>
                <w:sz w:val="21"/>
                <w:szCs w:val="21"/>
                <w:highlight w:val="none"/>
              </w:rPr>
              <w:t>据得</w:t>
            </w:r>
            <w:r>
              <w:rPr>
                <w:rFonts w:hint="eastAsia" w:ascii="宋体" w:hAnsi="宋体" w:eastAsia="宋体" w:cs="宋体"/>
                <w:spacing w:val="13"/>
                <w:sz w:val="21"/>
                <w:szCs w:val="21"/>
                <w:highlight w:val="none"/>
                <w:shd w:val="clear"/>
                <w:lang w:val="en-US" w:eastAsia="zh-CN"/>
              </w:rPr>
              <w:t>6</w:t>
            </w:r>
            <w:r>
              <w:rPr>
                <w:rFonts w:hint="eastAsia" w:ascii="宋体" w:hAnsi="宋体" w:eastAsia="宋体" w:cs="宋体"/>
                <w:spacing w:val="13"/>
                <w:sz w:val="21"/>
                <w:szCs w:val="21"/>
                <w:highlight w:val="none"/>
                <w:shd w:val="clear"/>
              </w:rPr>
              <w:t>分，未上报</w:t>
            </w:r>
            <w:r>
              <w:rPr>
                <w:rFonts w:hint="eastAsia" w:ascii="宋体" w:hAnsi="宋体" w:eastAsia="宋体" w:cs="宋体"/>
                <w:spacing w:val="13"/>
                <w:sz w:val="21"/>
                <w:szCs w:val="21"/>
                <w:highlight w:val="none"/>
                <w:shd w:val="clear"/>
                <w:lang w:val="en-US" w:eastAsia="zh-CN"/>
              </w:rPr>
              <w:t>材料</w:t>
            </w:r>
            <w:r>
              <w:rPr>
                <w:rFonts w:hint="eastAsia" w:ascii="宋体" w:hAnsi="宋体" w:eastAsia="宋体" w:cs="宋体"/>
                <w:spacing w:val="13"/>
                <w:sz w:val="21"/>
                <w:szCs w:val="21"/>
                <w:highlight w:val="none"/>
                <w:shd w:val="clear"/>
              </w:rPr>
              <w:t>数据或延期上</w:t>
            </w:r>
            <w:r>
              <w:rPr>
                <w:rFonts w:hint="eastAsia" w:ascii="宋体" w:hAnsi="宋体" w:eastAsia="宋体" w:cs="宋体"/>
                <w:spacing w:val="3"/>
                <w:sz w:val="21"/>
                <w:szCs w:val="21"/>
                <w:highlight w:val="none"/>
                <w:shd w:val="clear"/>
              </w:rPr>
              <w:t>报</w:t>
            </w:r>
            <w:r>
              <w:rPr>
                <w:rFonts w:hint="eastAsia" w:ascii="宋体" w:hAnsi="宋体" w:eastAsia="宋体" w:cs="宋体"/>
                <w:spacing w:val="13"/>
                <w:sz w:val="21"/>
                <w:szCs w:val="21"/>
                <w:highlight w:val="none"/>
                <w:shd w:val="clear"/>
                <w:lang w:val="en-US" w:eastAsia="zh-CN"/>
              </w:rPr>
              <w:t>材料</w:t>
            </w:r>
            <w:r>
              <w:rPr>
                <w:rFonts w:hint="eastAsia" w:ascii="宋体" w:hAnsi="宋体" w:eastAsia="宋体" w:cs="宋体"/>
                <w:spacing w:val="3"/>
                <w:sz w:val="21"/>
                <w:szCs w:val="21"/>
                <w:highlight w:val="none"/>
                <w:shd w:val="clear"/>
              </w:rPr>
              <w:t>数据每次扣</w:t>
            </w:r>
            <w:r>
              <w:rPr>
                <w:rFonts w:hint="eastAsia" w:ascii="宋体" w:hAnsi="宋体" w:eastAsia="宋体" w:cs="宋体"/>
                <w:spacing w:val="3"/>
                <w:sz w:val="21"/>
                <w:szCs w:val="21"/>
                <w:highlight w:val="none"/>
                <w:shd w:val="clear"/>
                <w:lang w:val="en-US" w:eastAsia="zh-CN"/>
              </w:rPr>
              <w:t>2</w:t>
            </w:r>
            <w:r>
              <w:rPr>
                <w:rFonts w:hint="eastAsia" w:ascii="宋体" w:hAnsi="宋体" w:eastAsia="宋体" w:cs="宋体"/>
                <w:spacing w:val="3"/>
                <w:sz w:val="21"/>
                <w:szCs w:val="21"/>
                <w:highlight w:val="none"/>
                <w:shd w:val="clear"/>
              </w:rPr>
              <w:t>分。</w:t>
            </w:r>
          </w:p>
        </w:tc>
        <w:tc>
          <w:tcPr>
            <w:tcW w:w="1036" w:type="dxa"/>
            <w:vAlign w:val="top"/>
          </w:tcPr>
          <w:p w14:paraId="5CC4CB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4A9D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jc w:val="center"/>
        </w:trPr>
        <w:tc>
          <w:tcPr>
            <w:tcW w:w="594" w:type="dxa"/>
            <w:vMerge w:val="continue"/>
            <w:vAlign w:val="center"/>
          </w:tcPr>
          <w:p w14:paraId="4FC6298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center"/>
          </w:tcPr>
          <w:p w14:paraId="0C3F488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center"/>
          </w:tcPr>
          <w:p w14:paraId="1F73DFD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3"/>
                <w:sz w:val="21"/>
                <w:szCs w:val="21"/>
                <w:highlight w:val="none"/>
              </w:rPr>
            </w:pPr>
            <w:r>
              <w:rPr>
                <w:rFonts w:hint="eastAsia" w:ascii="宋体" w:hAnsi="宋体" w:eastAsia="宋体" w:cs="宋体"/>
                <w:spacing w:val="6"/>
                <w:sz w:val="21"/>
                <w:szCs w:val="21"/>
                <w:highlight w:val="none"/>
              </w:rPr>
              <w:t>厂容厂貌</w:t>
            </w:r>
          </w:p>
        </w:tc>
        <w:tc>
          <w:tcPr>
            <w:tcW w:w="1054" w:type="dxa"/>
            <w:vAlign w:val="center"/>
          </w:tcPr>
          <w:p w14:paraId="18350041">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shd w:val="clear"/>
                <w:lang w:val="en-US" w:eastAsia="zh-CN"/>
              </w:rPr>
              <w:t>2</w:t>
            </w:r>
          </w:p>
        </w:tc>
        <w:tc>
          <w:tcPr>
            <w:tcW w:w="764" w:type="dxa"/>
            <w:vAlign w:val="top"/>
          </w:tcPr>
          <w:p w14:paraId="71EAE28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094FB978">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6"/>
                <w:sz w:val="21"/>
                <w:szCs w:val="21"/>
                <w:highlight w:val="none"/>
              </w:rPr>
            </w:pPr>
            <w:r>
              <w:rPr>
                <w:rFonts w:hint="eastAsia" w:ascii="宋体" w:hAnsi="宋体" w:eastAsia="宋体" w:cs="宋体"/>
                <w:spacing w:val="15"/>
                <w:sz w:val="21"/>
                <w:szCs w:val="21"/>
                <w:highlight w:val="none"/>
              </w:rPr>
              <w:t>厂区道路、设备间、各建(构)筑</w:t>
            </w:r>
            <w:r>
              <w:rPr>
                <w:rFonts w:hint="eastAsia" w:ascii="宋体" w:hAnsi="宋体" w:eastAsia="宋体" w:cs="宋体"/>
                <w:spacing w:val="13"/>
                <w:sz w:val="21"/>
                <w:szCs w:val="21"/>
                <w:highlight w:val="none"/>
              </w:rPr>
              <w:t>物、各设备整洁干净得</w:t>
            </w:r>
            <w:r>
              <w:rPr>
                <w:rFonts w:hint="eastAsia" w:ascii="宋体" w:hAnsi="宋体" w:eastAsia="宋体" w:cs="宋体"/>
                <w:spacing w:val="13"/>
                <w:sz w:val="21"/>
                <w:szCs w:val="21"/>
                <w:highlight w:val="none"/>
                <w:shd w:val="clear"/>
                <w:lang w:val="en-US" w:eastAsia="zh-CN"/>
              </w:rPr>
              <w:t>2</w:t>
            </w:r>
            <w:r>
              <w:rPr>
                <w:rFonts w:hint="eastAsia" w:ascii="宋体" w:hAnsi="宋体" w:eastAsia="宋体" w:cs="宋体"/>
                <w:spacing w:val="13"/>
                <w:sz w:val="21"/>
                <w:szCs w:val="21"/>
                <w:highlight w:val="none"/>
                <w:shd w:val="clear"/>
              </w:rPr>
              <w:t>分</w:t>
            </w:r>
            <w:r>
              <w:rPr>
                <w:rFonts w:hint="eastAsia" w:ascii="宋体" w:hAnsi="宋体" w:eastAsia="宋体" w:cs="宋体"/>
                <w:spacing w:val="13"/>
                <w:sz w:val="21"/>
                <w:szCs w:val="21"/>
                <w:highlight w:val="none"/>
              </w:rPr>
              <w:t>。办</w:t>
            </w:r>
            <w:r>
              <w:rPr>
                <w:rFonts w:hint="eastAsia" w:ascii="宋体" w:hAnsi="宋体" w:eastAsia="宋体" w:cs="宋体"/>
                <w:spacing w:val="5"/>
                <w:sz w:val="21"/>
                <w:szCs w:val="21"/>
                <w:highlight w:val="none"/>
              </w:rPr>
              <w:t>公区域卫生不清洁，办公桌杂乱，</w:t>
            </w:r>
            <w:r>
              <w:rPr>
                <w:rFonts w:hint="eastAsia" w:ascii="宋体" w:hAnsi="宋体" w:eastAsia="宋体" w:cs="宋体"/>
                <w:spacing w:val="16"/>
                <w:sz w:val="21"/>
                <w:szCs w:val="21"/>
                <w:highlight w:val="none"/>
              </w:rPr>
              <w:t>厂区车辆乱停乱放，厂区道路卫生不清洁，各构筑物及其防护栏有蜘蛛网，各设备及电气设备有</w:t>
            </w:r>
            <w:r>
              <w:rPr>
                <w:rFonts w:hint="eastAsia" w:ascii="宋体" w:hAnsi="宋体" w:eastAsia="宋体" w:cs="宋体"/>
                <w:spacing w:val="5"/>
                <w:sz w:val="21"/>
                <w:szCs w:val="21"/>
                <w:highlight w:val="none"/>
              </w:rPr>
              <w:t>灰尘和蜘蛛网，药品堆放不整齐，</w:t>
            </w:r>
            <w:r>
              <w:rPr>
                <w:rFonts w:hint="eastAsia" w:ascii="宋体" w:hAnsi="宋体" w:eastAsia="宋体" w:cs="宋体"/>
                <w:spacing w:val="16"/>
                <w:sz w:val="21"/>
                <w:szCs w:val="21"/>
                <w:highlight w:val="none"/>
              </w:rPr>
              <w:t>各车间卫生未清洁等，每发现一</w:t>
            </w:r>
            <w:r>
              <w:rPr>
                <w:rFonts w:hint="eastAsia" w:ascii="宋体" w:hAnsi="宋体" w:eastAsia="宋体" w:cs="宋体"/>
                <w:spacing w:val="5"/>
                <w:sz w:val="21"/>
                <w:szCs w:val="21"/>
                <w:highlight w:val="none"/>
              </w:rPr>
              <w:t>处扣0.5分，扣完为止。</w:t>
            </w:r>
          </w:p>
        </w:tc>
        <w:tc>
          <w:tcPr>
            <w:tcW w:w="1036" w:type="dxa"/>
            <w:vAlign w:val="top"/>
          </w:tcPr>
          <w:p w14:paraId="218BB42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2F4C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594" w:type="dxa"/>
            <w:vMerge w:val="restart"/>
            <w:vAlign w:val="center"/>
          </w:tcPr>
          <w:p w14:paraId="4150D64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76" w:type="dxa"/>
            <w:vMerge w:val="restart"/>
            <w:vAlign w:val="center"/>
          </w:tcPr>
          <w:p w14:paraId="39F7B181">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安全管理</w:t>
            </w:r>
          </w:p>
        </w:tc>
        <w:tc>
          <w:tcPr>
            <w:tcW w:w="1105" w:type="dxa"/>
            <w:vAlign w:val="top"/>
          </w:tcPr>
          <w:p w14:paraId="45BE43F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安全生产管理制度</w:t>
            </w:r>
          </w:p>
        </w:tc>
        <w:tc>
          <w:tcPr>
            <w:tcW w:w="1054" w:type="dxa"/>
            <w:vAlign w:val="center"/>
          </w:tcPr>
          <w:p w14:paraId="1BF3ACB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w:t>
            </w:r>
          </w:p>
        </w:tc>
        <w:tc>
          <w:tcPr>
            <w:tcW w:w="764" w:type="dxa"/>
            <w:vAlign w:val="top"/>
          </w:tcPr>
          <w:p w14:paraId="09E668E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restart"/>
            <w:vAlign w:val="center"/>
          </w:tcPr>
          <w:p w14:paraId="21091944">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4" w:firstLineChars="200"/>
              <w:jc w:val="both"/>
              <w:textAlignment w:val="baseline"/>
              <w:rPr>
                <w:rFonts w:hint="eastAsia" w:ascii="宋体" w:hAnsi="宋体" w:eastAsia="宋体" w:cs="宋体"/>
                <w:spacing w:val="15"/>
                <w:sz w:val="21"/>
                <w:szCs w:val="21"/>
                <w:highlight w:val="none"/>
              </w:rPr>
            </w:pPr>
            <w:r>
              <w:rPr>
                <w:rFonts w:hint="eastAsia" w:ascii="宋体" w:hAnsi="宋体" w:eastAsia="宋体" w:cs="宋体"/>
                <w:spacing w:val="16"/>
                <w:sz w:val="21"/>
                <w:szCs w:val="21"/>
                <w:highlight w:val="none"/>
              </w:rPr>
              <w:t>有健全的各级安全管理制度，操作规程、安全防护措施，有相关操作培训、应急预案。无相关安</w:t>
            </w:r>
            <w:r>
              <w:rPr>
                <w:rFonts w:hint="eastAsia" w:ascii="宋体" w:hAnsi="宋体" w:eastAsia="宋体" w:cs="宋体"/>
                <w:spacing w:val="13"/>
                <w:sz w:val="21"/>
                <w:szCs w:val="21"/>
                <w:highlight w:val="none"/>
              </w:rPr>
              <w:t>全管理制度及措施扣5分；有安</w:t>
            </w:r>
            <w:r>
              <w:rPr>
                <w:rFonts w:hint="eastAsia" w:ascii="宋体" w:hAnsi="宋体" w:eastAsia="宋体" w:cs="宋体"/>
                <w:spacing w:val="2"/>
                <w:sz w:val="21"/>
                <w:szCs w:val="21"/>
                <w:highlight w:val="none"/>
              </w:rPr>
              <w:t>全事故扣7分。</w:t>
            </w:r>
          </w:p>
        </w:tc>
        <w:tc>
          <w:tcPr>
            <w:tcW w:w="1036" w:type="dxa"/>
            <w:vMerge w:val="restart"/>
            <w:vAlign w:val="top"/>
          </w:tcPr>
          <w:p w14:paraId="1E43FA8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3E7E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594" w:type="dxa"/>
            <w:vMerge w:val="continue"/>
            <w:vAlign w:val="top"/>
          </w:tcPr>
          <w:p w14:paraId="65FFF55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top"/>
          </w:tcPr>
          <w:p w14:paraId="714AF89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0FADC5C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安全教育培训</w:t>
            </w:r>
          </w:p>
        </w:tc>
        <w:tc>
          <w:tcPr>
            <w:tcW w:w="1054" w:type="dxa"/>
            <w:vAlign w:val="center"/>
          </w:tcPr>
          <w:p w14:paraId="0326CAF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w:t>
            </w:r>
          </w:p>
        </w:tc>
        <w:tc>
          <w:tcPr>
            <w:tcW w:w="764" w:type="dxa"/>
            <w:vAlign w:val="top"/>
          </w:tcPr>
          <w:p w14:paraId="728820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760E9111">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Merge w:val="continue"/>
            <w:vAlign w:val="top"/>
          </w:tcPr>
          <w:p w14:paraId="70CC268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75B20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94" w:type="dxa"/>
            <w:vMerge w:val="continue"/>
            <w:vAlign w:val="top"/>
          </w:tcPr>
          <w:p w14:paraId="50B2544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top"/>
          </w:tcPr>
          <w:p w14:paraId="0288CF8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4385B6CF">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应急预案</w:t>
            </w:r>
          </w:p>
        </w:tc>
        <w:tc>
          <w:tcPr>
            <w:tcW w:w="1054" w:type="dxa"/>
            <w:vAlign w:val="center"/>
          </w:tcPr>
          <w:p w14:paraId="2C3CDF95">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w:t>
            </w:r>
          </w:p>
        </w:tc>
        <w:tc>
          <w:tcPr>
            <w:tcW w:w="764" w:type="dxa"/>
            <w:vAlign w:val="top"/>
          </w:tcPr>
          <w:p w14:paraId="20B1CC1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46E6E574">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Merge w:val="continue"/>
            <w:vAlign w:val="top"/>
          </w:tcPr>
          <w:p w14:paraId="255ACA6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0BB91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continue"/>
            <w:vAlign w:val="top"/>
          </w:tcPr>
          <w:p w14:paraId="5AF73E9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top"/>
          </w:tcPr>
          <w:p w14:paraId="46B41E1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795E4C1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配置安全防护措施</w:t>
            </w:r>
          </w:p>
        </w:tc>
        <w:tc>
          <w:tcPr>
            <w:tcW w:w="1054" w:type="dxa"/>
            <w:vAlign w:val="center"/>
          </w:tcPr>
          <w:p w14:paraId="602F81E7">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3</w:t>
            </w:r>
          </w:p>
        </w:tc>
        <w:tc>
          <w:tcPr>
            <w:tcW w:w="764" w:type="dxa"/>
            <w:vAlign w:val="top"/>
          </w:tcPr>
          <w:p w14:paraId="63A410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6E867564">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Merge w:val="continue"/>
            <w:vAlign w:val="top"/>
          </w:tcPr>
          <w:p w14:paraId="1A29FA5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765F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restart"/>
            <w:vAlign w:val="center"/>
          </w:tcPr>
          <w:p w14:paraId="3518477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4</w:t>
            </w:r>
          </w:p>
        </w:tc>
        <w:tc>
          <w:tcPr>
            <w:tcW w:w="1076" w:type="dxa"/>
            <w:vMerge w:val="restart"/>
            <w:vAlign w:val="top"/>
          </w:tcPr>
          <w:p w14:paraId="56F56BA8">
            <w:pPr>
              <w:spacing w:line="260" w:lineRule="auto"/>
              <w:rPr>
                <w:rFonts w:hint="eastAsia" w:ascii="宋体" w:hAnsi="宋体" w:eastAsia="宋体" w:cs="宋体"/>
                <w:sz w:val="21"/>
                <w:szCs w:val="21"/>
                <w:highlight w:val="none"/>
              </w:rPr>
            </w:pPr>
          </w:p>
          <w:p w14:paraId="4F99404D">
            <w:pPr>
              <w:spacing w:line="260" w:lineRule="auto"/>
              <w:rPr>
                <w:rFonts w:hint="eastAsia" w:ascii="宋体" w:hAnsi="宋体" w:eastAsia="宋体" w:cs="宋体"/>
                <w:sz w:val="21"/>
                <w:szCs w:val="21"/>
                <w:highlight w:val="none"/>
              </w:rPr>
            </w:pPr>
          </w:p>
          <w:p w14:paraId="639FB7E3">
            <w:pPr>
              <w:spacing w:line="260" w:lineRule="auto"/>
              <w:rPr>
                <w:rFonts w:hint="eastAsia" w:ascii="宋体" w:hAnsi="宋体" w:eastAsia="宋体" w:cs="宋体"/>
                <w:sz w:val="21"/>
                <w:szCs w:val="21"/>
                <w:highlight w:val="none"/>
              </w:rPr>
            </w:pPr>
          </w:p>
          <w:p w14:paraId="29D26CE4">
            <w:pPr>
              <w:spacing w:line="260" w:lineRule="auto"/>
              <w:rPr>
                <w:rFonts w:hint="eastAsia" w:ascii="宋体" w:hAnsi="宋体" w:eastAsia="宋体" w:cs="宋体"/>
                <w:sz w:val="21"/>
                <w:szCs w:val="21"/>
                <w:highlight w:val="none"/>
              </w:rPr>
            </w:pPr>
          </w:p>
          <w:p w14:paraId="610E6BE7">
            <w:pPr>
              <w:spacing w:line="260" w:lineRule="auto"/>
              <w:rPr>
                <w:rFonts w:hint="eastAsia" w:ascii="宋体" w:hAnsi="宋体" w:eastAsia="宋体" w:cs="宋体"/>
                <w:sz w:val="21"/>
                <w:szCs w:val="21"/>
                <w:highlight w:val="none"/>
              </w:rPr>
            </w:pPr>
          </w:p>
          <w:p w14:paraId="47405B97">
            <w:pPr>
              <w:pStyle w:val="224"/>
              <w:spacing w:before="65" w:line="229" w:lineRule="auto"/>
              <w:ind w:left="229" w:leftChars="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构筑物</w:t>
            </w:r>
          </w:p>
        </w:tc>
        <w:tc>
          <w:tcPr>
            <w:tcW w:w="1105" w:type="dxa"/>
            <w:vAlign w:val="top"/>
          </w:tcPr>
          <w:p w14:paraId="6E686068">
            <w:pPr>
              <w:pStyle w:val="224"/>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池内清洁，</w:t>
            </w:r>
          </w:p>
          <w:p w14:paraId="75D8A849">
            <w:pPr>
              <w:pStyle w:val="224"/>
              <w:keepNext w:val="0"/>
              <w:keepLines w:val="0"/>
              <w:pageBreakBefore w:val="0"/>
              <w:widowControl/>
              <w:kinsoku w:val="0"/>
              <w:wordWrap/>
              <w:overflowPunct/>
              <w:topLinePunct w:val="0"/>
              <w:autoSpaceDE w:val="0"/>
              <w:autoSpaceDN w:val="0"/>
              <w:bidi w:val="0"/>
              <w:adjustRightInd w:val="0"/>
              <w:snapToGrid w:val="0"/>
              <w:spacing w:line="264" w:lineRule="auto"/>
              <w:ind w:left="0" w:leftChars="0" w:right="0" w:rightChars="0" w:firstLine="0" w:firstLineChars="0"/>
              <w:jc w:val="both"/>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堰口出水均</w:t>
            </w:r>
            <w:r>
              <w:rPr>
                <w:rFonts w:hint="eastAsia" w:ascii="宋体" w:hAnsi="宋体" w:eastAsia="宋体" w:cs="宋体"/>
                <w:sz w:val="21"/>
                <w:szCs w:val="21"/>
                <w:highlight w:val="none"/>
              </w:rPr>
              <w:t>匀</w:t>
            </w:r>
          </w:p>
        </w:tc>
        <w:tc>
          <w:tcPr>
            <w:tcW w:w="1054" w:type="dxa"/>
            <w:vAlign w:val="top"/>
          </w:tcPr>
          <w:p w14:paraId="610B817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p w14:paraId="353F0C7D">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w:t>
            </w:r>
          </w:p>
        </w:tc>
        <w:tc>
          <w:tcPr>
            <w:tcW w:w="764" w:type="dxa"/>
            <w:vAlign w:val="top"/>
          </w:tcPr>
          <w:p w14:paraId="2C8CDCA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restart"/>
            <w:vAlign w:val="top"/>
          </w:tcPr>
          <w:p w14:paraId="6AFABF29">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4" w:firstLineChars="200"/>
              <w:jc w:val="both"/>
              <w:textAlignment w:val="baseline"/>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抽检五座(少于五座构筑物全部检查)，构筑物无明显腐蚀渗漏，地面清洁，堰口出水均匀，得2分；池内曝气均匀，无开锅现象，充氧设施正常运行，得2分；</w:t>
            </w:r>
          </w:p>
          <w:p w14:paraId="7B84D97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4" w:firstLineChars="200"/>
              <w:jc w:val="both"/>
              <w:textAlignment w:val="baseline"/>
              <w:rPr>
                <w:rFonts w:hint="eastAsia" w:ascii="宋体" w:hAnsi="宋体" w:eastAsia="宋体" w:cs="宋体"/>
                <w:spacing w:val="15"/>
                <w:sz w:val="21"/>
                <w:szCs w:val="21"/>
                <w:highlight w:val="none"/>
              </w:rPr>
            </w:pPr>
            <w:r>
              <w:rPr>
                <w:rFonts w:hint="eastAsia" w:ascii="宋体" w:hAnsi="宋体" w:eastAsia="宋体" w:cs="宋体"/>
                <w:spacing w:val="16"/>
                <w:sz w:val="21"/>
                <w:szCs w:val="21"/>
                <w:highlight w:val="none"/>
              </w:rPr>
              <w:t>敞开式构筑物有安全措施，得2分。一座构筑物不合格扣相应0.4分。</w:t>
            </w:r>
          </w:p>
        </w:tc>
        <w:tc>
          <w:tcPr>
            <w:tcW w:w="1036" w:type="dxa"/>
            <w:vAlign w:val="top"/>
          </w:tcPr>
          <w:p w14:paraId="6F86BD1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30CB7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continue"/>
            <w:vAlign w:val="center"/>
          </w:tcPr>
          <w:p w14:paraId="507AE01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tc>
        <w:tc>
          <w:tcPr>
            <w:tcW w:w="1076" w:type="dxa"/>
            <w:vMerge w:val="continue"/>
            <w:vAlign w:val="top"/>
          </w:tcPr>
          <w:p w14:paraId="11FBD7B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2706F875">
            <w:pPr>
              <w:pStyle w:val="224"/>
              <w:keepNext w:val="0"/>
              <w:keepLines w:val="0"/>
              <w:pageBreakBefore w:val="0"/>
              <w:widowControl/>
              <w:kinsoku w:val="0"/>
              <w:wordWrap/>
              <w:overflowPunct/>
              <w:topLinePunct w:val="0"/>
              <w:autoSpaceDE w:val="0"/>
              <w:autoSpaceDN w:val="0"/>
              <w:bidi w:val="0"/>
              <w:adjustRightInd w:val="0"/>
              <w:snapToGrid w:val="0"/>
              <w:spacing w:line="262" w:lineRule="auto"/>
              <w:ind w:left="0" w:leftChars="0" w:right="0" w:rightChars="0" w:firstLine="0" w:firstLineChars="0"/>
              <w:jc w:val="both"/>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构筑物池内</w:t>
            </w:r>
            <w:r>
              <w:rPr>
                <w:rFonts w:hint="eastAsia" w:ascii="宋体" w:hAnsi="宋体" w:eastAsia="宋体" w:cs="宋体"/>
                <w:spacing w:val="5"/>
                <w:sz w:val="21"/>
                <w:szCs w:val="21"/>
                <w:highlight w:val="none"/>
              </w:rPr>
              <w:t>曝气均匀</w:t>
            </w:r>
          </w:p>
        </w:tc>
        <w:tc>
          <w:tcPr>
            <w:tcW w:w="1054" w:type="dxa"/>
            <w:vAlign w:val="top"/>
          </w:tcPr>
          <w:p w14:paraId="5FCB1653">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p w14:paraId="63D5B2C3">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w:t>
            </w:r>
          </w:p>
        </w:tc>
        <w:tc>
          <w:tcPr>
            <w:tcW w:w="764" w:type="dxa"/>
            <w:vAlign w:val="top"/>
          </w:tcPr>
          <w:p w14:paraId="47C63AE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30D1E0DF">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Align w:val="top"/>
          </w:tcPr>
          <w:p w14:paraId="0F25803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795A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continue"/>
            <w:vAlign w:val="center"/>
          </w:tcPr>
          <w:p w14:paraId="0B83AFA7">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tc>
        <w:tc>
          <w:tcPr>
            <w:tcW w:w="1076" w:type="dxa"/>
            <w:vMerge w:val="continue"/>
            <w:vAlign w:val="top"/>
          </w:tcPr>
          <w:p w14:paraId="63A64F0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116DD4D6">
            <w:pPr>
              <w:pStyle w:val="224"/>
              <w:keepNext w:val="0"/>
              <w:keepLines w:val="0"/>
              <w:pageBreakBefore w:val="0"/>
              <w:widowControl/>
              <w:kinsoku w:val="0"/>
              <w:wordWrap/>
              <w:overflowPunct/>
              <w:topLinePunct w:val="0"/>
              <w:autoSpaceDE w:val="0"/>
              <w:autoSpaceDN w:val="0"/>
              <w:bidi w:val="0"/>
              <w:adjustRightInd w:val="0"/>
              <w:snapToGrid w:val="0"/>
              <w:spacing w:line="262" w:lineRule="auto"/>
              <w:ind w:left="0" w:leftChars="0" w:right="0" w:rightChars="0" w:firstLine="0" w:firstLineChars="0"/>
              <w:jc w:val="both"/>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有安全防护</w:t>
            </w:r>
            <w:r>
              <w:rPr>
                <w:rFonts w:hint="eastAsia" w:ascii="宋体" w:hAnsi="宋体" w:eastAsia="宋体" w:cs="宋体"/>
                <w:spacing w:val="4"/>
                <w:sz w:val="21"/>
                <w:szCs w:val="21"/>
                <w:highlight w:val="none"/>
              </w:rPr>
              <w:t>措施</w:t>
            </w:r>
          </w:p>
        </w:tc>
        <w:tc>
          <w:tcPr>
            <w:tcW w:w="1054" w:type="dxa"/>
            <w:vAlign w:val="top"/>
          </w:tcPr>
          <w:p w14:paraId="2DC5B62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p w14:paraId="084573F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2</w:t>
            </w:r>
          </w:p>
        </w:tc>
        <w:tc>
          <w:tcPr>
            <w:tcW w:w="764" w:type="dxa"/>
            <w:vAlign w:val="top"/>
          </w:tcPr>
          <w:p w14:paraId="46C8145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67AEF564">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Align w:val="top"/>
          </w:tcPr>
          <w:p w14:paraId="4E4B4F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2D14F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restart"/>
            <w:vAlign w:val="center"/>
          </w:tcPr>
          <w:p w14:paraId="0610287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5</w:t>
            </w:r>
          </w:p>
        </w:tc>
        <w:tc>
          <w:tcPr>
            <w:tcW w:w="1076" w:type="dxa"/>
            <w:vMerge w:val="restart"/>
            <w:vAlign w:val="top"/>
          </w:tcPr>
          <w:p w14:paraId="6CD3AECB">
            <w:pPr>
              <w:spacing w:line="264" w:lineRule="auto"/>
              <w:rPr>
                <w:rFonts w:hint="eastAsia" w:ascii="宋体" w:hAnsi="宋体" w:eastAsia="宋体" w:cs="宋体"/>
                <w:sz w:val="21"/>
                <w:szCs w:val="21"/>
                <w:highlight w:val="none"/>
              </w:rPr>
            </w:pPr>
          </w:p>
          <w:p w14:paraId="0F26BD52">
            <w:pPr>
              <w:spacing w:line="264" w:lineRule="auto"/>
              <w:rPr>
                <w:rFonts w:hint="eastAsia" w:ascii="宋体" w:hAnsi="宋体" w:eastAsia="宋体" w:cs="宋体"/>
                <w:sz w:val="21"/>
                <w:szCs w:val="21"/>
                <w:highlight w:val="none"/>
              </w:rPr>
            </w:pPr>
          </w:p>
          <w:p w14:paraId="673C8681">
            <w:pPr>
              <w:spacing w:line="264" w:lineRule="auto"/>
              <w:rPr>
                <w:rFonts w:hint="eastAsia" w:ascii="宋体" w:hAnsi="宋体" w:eastAsia="宋体" w:cs="宋体"/>
                <w:sz w:val="21"/>
                <w:szCs w:val="21"/>
                <w:highlight w:val="none"/>
              </w:rPr>
            </w:pPr>
          </w:p>
          <w:p w14:paraId="143E5A80">
            <w:pPr>
              <w:spacing w:line="264" w:lineRule="auto"/>
              <w:rPr>
                <w:rFonts w:hint="eastAsia" w:ascii="宋体" w:hAnsi="宋体" w:eastAsia="宋体" w:cs="宋体"/>
                <w:sz w:val="21"/>
                <w:szCs w:val="21"/>
                <w:highlight w:val="none"/>
              </w:rPr>
            </w:pPr>
          </w:p>
          <w:p w14:paraId="21D56883">
            <w:pPr>
              <w:spacing w:line="264" w:lineRule="auto"/>
              <w:rPr>
                <w:rFonts w:hint="eastAsia" w:ascii="宋体" w:hAnsi="宋体" w:eastAsia="宋体" w:cs="宋体"/>
                <w:sz w:val="21"/>
                <w:szCs w:val="21"/>
                <w:highlight w:val="none"/>
              </w:rPr>
            </w:pPr>
          </w:p>
          <w:p w14:paraId="6A2F2E69">
            <w:pPr>
              <w:pStyle w:val="224"/>
              <w:spacing w:before="65" w:line="228" w:lineRule="auto"/>
              <w:ind w:left="124" w:leftChars="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设备管理</w:t>
            </w:r>
          </w:p>
        </w:tc>
        <w:tc>
          <w:tcPr>
            <w:tcW w:w="1105" w:type="dxa"/>
            <w:vAlign w:val="top"/>
          </w:tcPr>
          <w:p w14:paraId="0B2289E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 w:firstLineChars="0"/>
              <w:jc w:val="both"/>
              <w:textAlignment w:val="baseline"/>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设备正常运行率90%以上</w:t>
            </w:r>
          </w:p>
        </w:tc>
        <w:tc>
          <w:tcPr>
            <w:tcW w:w="1054" w:type="dxa"/>
            <w:vAlign w:val="top"/>
          </w:tcPr>
          <w:p w14:paraId="5616B327">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p w14:paraId="107B49D4">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val="en-US" w:eastAsia="zh-CN"/>
              </w:rPr>
              <w:t>2</w:t>
            </w:r>
          </w:p>
        </w:tc>
        <w:tc>
          <w:tcPr>
            <w:tcW w:w="764" w:type="dxa"/>
            <w:vAlign w:val="top"/>
          </w:tcPr>
          <w:p w14:paraId="1070471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restart"/>
            <w:vAlign w:val="top"/>
          </w:tcPr>
          <w:p w14:paraId="16E1D148">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16" w:firstLineChars="200"/>
              <w:jc w:val="both"/>
              <w:textAlignment w:val="baseline"/>
              <w:rPr>
                <w:rFonts w:hint="eastAsia" w:ascii="宋体" w:hAnsi="宋体" w:eastAsia="宋体" w:cs="宋体"/>
                <w:spacing w:val="15"/>
                <w:sz w:val="21"/>
                <w:szCs w:val="21"/>
                <w:highlight w:val="none"/>
              </w:rPr>
            </w:pPr>
            <w:r>
              <w:rPr>
                <w:rFonts w:hint="eastAsia" w:ascii="宋体" w:hAnsi="宋体" w:eastAsia="宋体" w:cs="宋体"/>
                <w:spacing w:val="-1"/>
                <w:sz w:val="21"/>
                <w:szCs w:val="21"/>
                <w:highlight w:val="none"/>
              </w:rPr>
              <w:t>设备正常运行率90%以上，</w:t>
            </w:r>
            <w:r>
              <w:rPr>
                <w:rFonts w:hint="eastAsia" w:ascii="宋体" w:hAnsi="宋体" w:eastAsia="宋体" w:cs="宋体"/>
                <w:spacing w:val="-1"/>
                <w:sz w:val="21"/>
                <w:szCs w:val="21"/>
                <w:highlight w:val="none"/>
                <w:shd w:val="clear"/>
              </w:rPr>
              <w:t>得</w:t>
            </w:r>
            <w:r>
              <w:rPr>
                <w:rFonts w:hint="eastAsia" w:ascii="宋体" w:hAnsi="宋体" w:eastAsia="宋体" w:cs="宋体"/>
                <w:spacing w:val="-47"/>
                <w:sz w:val="21"/>
                <w:szCs w:val="21"/>
                <w:highlight w:val="none"/>
                <w:shd w:val="clear"/>
              </w:rPr>
              <w:t xml:space="preserve"> </w:t>
            </w:r>
            <w:r>
              <w:rPr>
                <w:rFonts w:hint="eastAsia" w:ascii="宋体" w:hAnsi="宋体" w:eastAsia="宋体" w:cs="宋体"/>
                <w:spacing w:val="-1"/>
                <w:sz w:val="21"/>
                <w:szCs w:val="21"/>
                <w:highlight w:val="none"/>
                <w:shd w:val="clear"/>
                <w:lang w:val="en-US" w:eastAsia="zh-CN"/>
              </w:rPr>
              <w:t>2</w:t>
            </w:r>
            <w:r>
              <w:rPr>
                <w:rFonts w:hint="eastAsia" w:ascii="宋体" w:hAnsi="宋体" w:eastAsia="宋体" w:cs="宋体"/>
                <w:spacing w:val="-57"/>
                <w:sz w:val="21"/>
                <w:szCs w:val="21"/>
                <w:highlight w:val="none"/>
                <w:shd w:val="clear"/>
              </w:rPr>
              <w:t xml:space="preserve"> </w:t>
            </w:r>
            <w:r>
              <w:rPr>
                <w:rFonts w:hint="eastAsia" w:ascii="宋体" w:hAnsi="宋体" w:eastAsia="宋体" w:cs="宋体"/>
                <w:spacing w:val="-1"/>
                <w:sz w:val="21"/>
                <w:szCs w:val="21"/>
                <w:highlight w:val="none"/>
                <w:shd w:val="clear"/>
              </w:rPr>
              <w:t>分，</w:t>
            </w:r>
            <w:r>
              <w:rPr>
                <w:rFonts w:hint="eastAsia" w:ascii="宋体" w:hAnsi="宋体" w:eastAsia="宋体" w:cs="宋体"/>
                <w:sz w:val="21"/>
                <w:szCs w:val="21"/>
                <w:highlight w:val="none"/>
                <w:shd w:val="clear"/>
              </w:rPr>
              <w:t xml:space="preserve"> </w:t>
            </w:r>
            <w:r>
              <w:rPr>
                <w:rFonts w:hint="eastAsia" w:ascii="宋体" w:hAnsi="宋体" w:eastAsia="宋体" w:cs="宋体"/>
                <w:spacing w:val="5"/>
                <w:sz w:val="21"/>
                <w:szCs w:val="21"/>
                <w:highlight w:val="none"/>
                <w:shd w:val="clear"/>
              </w:rPr>
              <w:t>未达到90%以上扣</w:t>
            </w:r>
            <w:r>
              <w:rPr>
                <w:rFonts w:hint="eastAsia" w:ascii="宋体" w:hAnsi="宋体" w:eastAsia="宋体" w:cs="宋体"/>
                <w:spacing w:val="-20"/>
                <w:sz w:val="21"/>
                <w:szCs w:val="21"/>
                <w:highlight w:val="none"/>
                <w:shd w:val="clear"/>
              </w:rPr>
              <w:t xml:space="preserve"> </w:t>
            </w:r>
            <w:r>
              <w:rPr>
                <w:rFonts w:hint="eastAsia" w:ascii="宋体" w:hAnsi="宋体" w:eastAsia="宋体" w:cs="宋体"/>
                <w:spacing w:val="5"/>
                <w:sz w:val="21"/>
                <w:szCs w:val="21"/>
                <w:highlight w:val="none"/>
                <w:shd w:val="clear"/>
                <w:lang w:val="en-US" w:eastAsia="zh-CN"/>
              </w:rPr>
              <w:t>2</w:t>
            </w:r>
            <w:r>
              <w:rPr>
                <w:rFonts w:hint="eastAsia" w:ascii="宋体" w:hAnsi="宋体" w:eastAsia="宋体" w:cs="宋体"/>
                <w:spacing w:val="-38"/>
                <w:sz w:val="21"/>
                <w:szCs w:val="21"/>
                <w:highlight w:val="none"/>
                <w:shd w:val="clear"/>
              </w:rPr>
              <w:t xml:space="preserve"> </w:t>
            </w:r>
            <w:r>
              <w:rPr>
                <w:rFonts w:hint="eastAsia" w:ascii="宋体" w:hAnsi="宋体" w:eastAsia="宋体" w:cs="宋体"/>
                <w:spacing w:val="5"/>
                <w:sz w:val="21"/>
                <w:szCs w:val="21"/>
                <w:highlight w:val="none"/>
                <w:shd w:val="clear"/>
              </w:rPr>
              <w:t>分；设备定期</w:t>
            </w:r>
            <w:r>
              <w:rPr>
                <w:rFonts w:hint="eastAsia" w:ascii="宋体" w:hAnsi="宋体" w:eastAsia="宋体" w:cs="宋体"/>
                <w:spacing w:val="13"/>
                <w:sz w:val="21"/>
                <w:szCs w:val="21"/>
                <w:highlight w:val="none"/>
                <w:shd w:val="clear"/>
              </w:rPr>
              <w:t>维护保养得</w:t>
            </w:r>
            <w:r>
              <w:rPr>
                <w:rFonts w:hint="eastAsia" w:ascii="宋体" w:hAnsi="宋体" w:eastAsia="宋体" w:cs="宋体"/>
                <w:spacing w:val="-28"/>
                <w:sz w:val="21"/>
                <w:szCs w:val="21"/>
                <w:highlight w:val="none"/>
                <w:shd w:val="clear"/>
              </w:rPr>
              <w:t xml:space="preserve"> </w:t>
            </w:r>
            <w:r>
              <w:rPr>
                <w:rFonts w:hint="eastAsia" w:ascii="宋体" w:hAnsi="宋体" w:eastAsia="宋体" w:cs="宋体"/>
                <w:spacing w:val="13"/>
                <w:sz w:val="21"/>
                <w:szCs w:val="21"/>
                <w:highlight w:val="none"/>
                <w:shd w:val="clear"/>
                <w:lang w:val="en-US" w:eastAsia="zh-CN"/>
              </w:rPr>
              <w:t>2</w:t>
            </w:r>
            <w:r>
              <w:rPr>
                <w:rFonts w:hint="eastAsia" w:ascii="宋体" w:hAnsi="宋体" w:eastAsia="宋体" w:cs="宋体"/>
                <w:spacing w:val="13"/>
                <w:sz w:val="21"/>
                <w:szCs w:val="21"/>
                <w:highlight w:val="none"/>
                <w:shd w:val="clear"/>
              </w:rPr>
              <w:t>分</w:t>
            </w:r>
            <w:r>
              <w:rPr>
                <w:rFonts w:hint="eastAsia" w:ascii="宋体" w:hAnsi="宋体" w:eastAsia="宋体" w:cs="宋体"/>
                <w:spacing w:val="13"/>
                <w:sz w:val="21"/>
                <w:szCs w:val="21"/>
                <w:highlight w:val="none"/>
              </w:rPr>
              <w:t>，设备外观整洁无明显损坏得</w:t>
            </w:r>
            <w:r>
              <w:rPr>
                <w:rFonts w:hint="eastAsia" w:ascii="宋体" w:hAnsi="宋体" w:eastAsia="宋体" w:cs="宋体"/>
                <w:spacing w:val="-28"/>
                <w:sz w:val="21"/>
                <w:szCs w:val="21"/>
                <w:highlight w:val="none"/>
              </w:rPr>
              <w:t xml:space="preserve"> </w:t>
            </w:r>
            <w:r>
              <w:rPr>
                <w:rFonts w:hint="eastAsia" w:ascii="宋体" w:hAnsi="宋体" w:eastAsia="宋体" w:cs="宋体"/>
                <w:spacing w:val="13"/>
                <w:sz w:val="21"/>
                <w:szCs w:val="21"/>
                <w:highlight w:val="none"/>
                <w:lang w:val="en-US" w:eastAsia="zh-CN"/>
              </w:rPr>
              <w:t>2</w:t>
            </w:r>
            <w:r>
              <w:rPr>
                <w:rFonts w:hint="eastAsia" w:ascii="宋体" w:hAnsi="宋体" w:eastAsia="宋体" w:cs="宋体"/>
                <w:spacing w:val="13"/>
                <w:sz w:val="21"/>
                <w:szCs w:val="21"/>
                <w:highlight w:val="none"/>
              </w:rPr>
              <w:t>分，一项不合格</w:t>
            </w:r>
            <w:r>
              <w:rPr>
                <w:rFonts w:hint="eastAsia" w:ascii="宋体" w:hAnsi="宋体" w:eastAsia="宋体" w:cs="宋体"/>
                <w:spacing w:val="-3"/>
                <w:sz w:val="21"/>
                <w:szCs w:val="21"/>
                <w:highlight w:val="none"/>
              </w:rPr>
              <w:t>的扣</w:t>
            </w:r>
            <w:r>
              <w:rPr>
                <w:rFonts w:hint="eastAsia" w:ascii="宋体" w:hAnsi="宋体" w:eastAsia="宋体" w:cs="宋体"/>
                <w:spacing w:val="-23"/>
                <w:sz w:val="21"/>
                <w:szCs w:val="21"/>
                <w:highlight w:val="none"/>
              </w:rPr>
              <w:t xml:space="preserve"> </w:t>
            </w:r>
            <w:r>
              <w:rPr>
                <w:rFonts w:hint="eastAsia" w:ascii="宋体" w:hAnsi="宋体" w:eastAsia="宋体" w:cs="宋体"/>
                <w:spacing w:val="-3"/>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3"/>
                <w:sz w:val="21"/>
                <w:szCs w:val="21"/>
                <w:highlight w:val="none"/>
              </w:rPr>
              <w:t>分。</w:t>
            </w:r>
          </w:p>
        </w:tc>
        <w:tc>
          <w:tcPr>
            <w:tcW w:w="1036" w:type="dxa"/>
            <w:vAlign w:val="top"/>
          </w:tcPr>
          <w:p w14:paraId="30E1E06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3AA1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continue"/>
            <w:vAlign w:val="top"/>
          </w:tcPr>
          <w:p w14:paraId="76DB8CD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top"/>
          </w:tcPr>
          <w:p w14:paraId="75D01C9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70886D5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 w:firstLineChars="0"/>
              <w:jc w:val="both"/>
              <w:textAlignment w:val="baseline"/>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设备定期维护保养</w:t>
            </w:r>
          </w:p>
        </w:tc>
        <w:tc>
          <w:tcPr>
            <w:tcW w:w="1054" w:type="dxa"/>
            <w:vAlign w:val="top"/>
          </w:tcPr>
          <w:p w14:paraId="67A07404">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rPr>
            </w:pPr>
          </w:p>
          <w:p w14:paraId="1C7A806F">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pacing w:val="7"/>
                <w:sz w:val="21"/>
                <w:szCs w:val="21"/>
                <w:highlight w:val="none"/>
                <w:lang w:val="en-US" w:eastAsia="zh-CN"/>
              </w:rPr>
              <w:t>2</w:t>
            </w:r>
          </w:p>
        </w:tc>
        <w:tc>
          <w:tcPr>
            <w:tcW w:w="764" w:type="dxa"/>
            <w:vAlign w:val="top"/>
          </w:tcPr>
          <w:p w14:paraId="2733B7B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45A01FA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Align w:val="top"/>
          </w:tcPr>
          <w:p w14:paraId="37B9E3C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1B42D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continue"/>
            <w:vAlign w:val="top"/>
          </w:tcPr>
          <w:p w14:paraId="11F2B54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076" w:type="dxa"/>
            <w:vMerge w:val="continue"/>
            <w:vAlign w:val="top"/>
          </w:tcPr>
          <w:p w14:paraId="4741418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1105" w:type="dxa"/>
            <w:vAlign w:val="top"/>
          </w:tcPr>
          <w:p w14:paraId="55E6440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 w:firstLineChars="0"/>
              <w:jc w:val="both"/>
              <w:textAlignment w:val="baseline"/>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设备外观整洁无明显损坏</w:t>
            </w:r>
          </w:p>
        </w:tc>
        <w:tc>
          <w:tcPr>
            <w:tcW w:w="1054" w:type="dxa"/>
            <w:vAlign w:val="top"/>
          </w:tcPr>
          <w:p w14:paraId="1DAA527C">
            <w:pPr>
              <w:spacing w:line="438" w:lineRule="auto"/>
              <w:jc w:val="both"/>
              <w:rPr>
                <w:rFonts w:hint="eastAsia" w:ascii="宋体" w:hAnsi="宋体" w:eastAsia="宋体" w:cs="宋体"/>
                <w:sz w:val="21"/>
                <w:szCs w:val="21"/>
                <w:highlight w:val="none"/>
              </w:rPr>
            </w:pPr>
          </w:p>
          <w:p w14:paraId="10165FFD">
            <w:pPr>
              <w:pStyle w:val="224"/>
              <w:spacing w:before="65" w:line="189" w:lineRule="auto"/>
              <w:ind w:left="330" w:leftChars="0"/>
              <w:jc w:val="both"/>
              <w:rPr>
                <w:rFonts w:hint="eastAsia" w:ascii="宋体" w:hAnsi="宋体" w:eastAsia="宋体" w:cs="宋体"/>
                <w:spacing w:val="7"/>
                <w:sz w:val="21"/>
                <w:szCs w:val="21"/>
                <w:highlight w:val="none"/>
                <w:lang w:eastAsia="zh-CN"/>
              </w:rPr>
            </w:pPr>
            <w:r>
              <w:rPr>
                <w:rFonts w:hint="eastAsia" w:ascii="宋体" w:hAnsi="宋体" w:eastAsia="宋体" w:cs="宋体"/>
                <w:sz w:val="21"/>
                <w:szCs w:val="21"/>
                <w:highlight w:val="none"/>
                <w:shd w:val="clear"/>
                <w:lang w:val="en-US" w:eastAsia="zh-CN"/>
              </w:rPr>
              <w:t>2</w:t>
            </w:r>
          </w:p>
        </w:tc>
        <w:tc>
          <w:tcPr>
            <w:tcW w:w="764" w:type="dxa"/>
            <w:vAlign w:val="top"/>
          </w:tcPr>
          <w:p w14:paraId="4186B60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0CDCCEFA">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Align w:val="top"/>
          </w:tcPr>
          <w:p w14:paraId="77A6DE1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5722D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shd w:val="clear" w:color="auto" w:fill="auto"/>
            <w:vAlign w:val="center"/>
          </w:tcPr>
          <w:p w14:paraId="154FE55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center"/>
              <w:textAlignment w:val="baseline"/>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sz w:val="21"/>
                <w:szCs w:val="21"/>
                <w:highlight w:val="none"/>
                <w:lang w:val="en-US" w:eastAsia="zh-CN"/>
              </w:rPr>
              <w:t>6</w:t>
            </w:r>
          </w:p>
        </w:tc>
        <w:tc>
          <w:tcPr>
            <w:tcW w:w="1076" w:type="dxa"/>
            <w:vAlign w:val="top"/>
          </w:tcPr>
          <w:p w14:paraId="54C8E62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应急管理</w:t>
            </w:r>
          </w:p>
        </w:tc>
        <w:tc>
          <w:tcPr>
            <w:tcW w:w="1105" w:type="dxa"/>
            <w:vAlign w:val="top"/>
          </w:tcPr>
          <w:p w14:paraId="17736A01">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 w:firstLineChars="0"/>
              <w:jc w:val="both"/>
              <w:textAlignment w:val="baseline"/>
              <w:rPr>
                <w:rFonts w:hint="eastAsia" w:ascii="宋体" w:hAnsi="宋体" w:eastAsia="宋体" w:cs="宋体"/>
                <w:spacing w:val="16"/>
                <w:sz w:val="21"/>
                <w:szCs w:val="21"/>
                <w:highlight w:val="none"/>
                <w:lang w:eastAsia="zh-CN"/>
              </w:rPr>
            </w:pPr>
            <w:r>
              <w:rPr>
                <w:rFonts w:hint="eastAsia" w:cs="宋体"/>
                <w:spacing w:val="16"/>
                <w:sz w:val="21"/>
                <w:szCs w:val="21"/>
                <w:highlight w:val="none"/>
                <w:lang w:eastAsia="zh-CN"/>
              </w:rPr>
              <w:t>应急管理措施</w:t>
            </w:r>
          </w:p>
        </w:tc>
        <w:tc>
          <w:tcPr>
            <w:tcW w:w="1054" w:type="dxa"/>
            <w:vAlign w:val="top"/>
          </w:tcPr>
          <w:p w14:paraId="0B7F272F">
            <w:pPr>
              <w:pStyle w:val="224"/>
              <w:spacing w:before="65" w:line="189" w:lineRule="auto"/>
              <w:ind w:left="330" w:leftChars="0"/>
              <w:jc w:val="both"/>
              <w:rPr>
                <w:rFonts w:hint="default" w:ascii="宋体" w:hAnsi="宋体" w:eastAsia="宋体" w:cs="宋体"/>
                <w:sz w:val="21"/>
                <w:szCs w:val="21"/>
                <w:highlight w:val="none"/>
                <w:shd w:val="clear"/>
                <w:lang w:val="en-US" w:eastAsia="zh-CN"/>
              </w:rPr>
            </w:pPr>
            <w:r>
              <w:rPr>
                <w:rFonts w:hint="eastAsia" w:cs="宋体"/>
                <w:sz w:val="21"/>
                <w:szCs w:val="21"/>
                <w:highlight w:val="none"/>
                <w:shd w:val="clear"/>
                <w:lang w:val="en-US" w:eastAsia="zh-CN"/>
              </w:rPr>
              <w:t>5</w:t>
            </w:r>
          </w:p>
        </w:tc>
        <w:tc>
          <w:tcPr>
            <w:tcW w:w="764" w:type="dxa"/>
            <w:vAlign w:val="top"/>
          </w:tcPr>
          <w:p w14:paraId="369C26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Align w:val="top"/>
          </w:tcPr>
          <w:p w14:paraId="772413A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default" w:ascii="宋体" w:hAnsi="宋体" w:eastAsia="宋体" w:cs="宋体"/>
                <w:spacing w:val="15"/>
                <w:sz w:val="21"/>
                <w:szCs w:val="21"/>
                <w:highlight w:val="none"/>
                <w:lang w:val="en-US" w:eastAsia="zh-CN"/>
              </w:rPr>
            </w:pPr>
            <w:r>
              <w:rPr>
                <w:rFonts w:hint="eastAsia" w:cs="宋体"/>
                <w:spacing w:val="15"/>
                <w:sz w:val="21"/>
                <w:szCs w:val="21"/>
                <w:highlight w:val="none"/>
                <w:lang w:eastAsia="zh-CN"/>
              </w:rPr>
              <w:t>突发状况时，应急措施得当，没有造成重大影响，得</w:t>
            </w:r>
            <w:r>
              <w:rPr>
                <w:rFonts w:hint="eastAsia" w:cs="宋体"/>
                <w:spacing w:val="15"/>
                <w:sz w:val="21"/>
                <w:szCs w:val="21"/>
                <w:highlight w:val="none"/>
                <w:lang w:val="en-US" w:eastAsia="zh-CN"/>
              </w:rPr>
              <w:t>5</w:t>
            </w:r>
            <w:r>
              <w:rPr>
                <w:rFonts w:hint="eastAsia" w:cs="宋体"/>
                <w:spacing w:val="15"/>
                <w:sz w:val="21"/>
                <w:szCs w:val="21"/>
                <w:highlight w:val="none"/>
                <w:lang w:eastAsia="zh-CN"/>
              </w:rPr>
              <w:t>分，</w:t>
            </w:r>
            <w:r>
              <w:rPr>
                <w:rFonts w:hint="eastAsia" w:cs="宋体"/>
                <w:spacing w:val="5"/>
                <w:sz w:val="21"/>
                <w:szCs w:val="21"/>
                <w:highlight w:val="none"/>
                <w:lang w:eastAsia="zh-CN"/>
              </w:rPr>
              <w:t>若没有及时采取应急措施，或采取应急措施不当</w:t>
            </w:r>
            <w:r>
              <w:rPr>
                <w:rFonts w:hint="eastAsia" w:cs="宋体"/>
                <w:spacing w:val="5"/>
                <w:sz w:val="21"/>
                <w:szCs w:val="21"/>
                <w:highlight w:val="none"/>
                <w:lang w:val="en-US" w:eastAsia="zh-CN"/>
              </w:rPr>
              <w:t>，且造成重大影响，扣5分。</w:t>
            </w:r>
          </w:p>
        </w:tc>
        <w:tc>
          <w:tcPr>
            <w:tcW w:w="1036" w:type="dxa"/>
            <w:vAlign w:val="top"/>
          </w:tcPr>
          <w:p w14:paraId="34F608D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18BF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Merge w:val="restart"/>
            <w:vAlign w:val="center"/>
          </w:tcPr>
          <w:p w14:paraId="2159F44B">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lang w:val="en-US" w:eastAsia="zh-CN"/>
              </w:rPr>
              <w:t>7</w:t>
            </w:r>
          </w:p>
        </w:tc>
        <w:tc>
          <w:tcPr>
            <w:tcW w:w="1076" w:type="dxa"/>
            <w:vMerge w:val="restart"/>
            <w:vAlign w:val="center"/>
          </w:tcPr>
          <w:p w14:paraId="3ED1063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val="en-US" w:eastAsia="zh-CN"/>
              </w:rPr>
            </w:pPr>
            <w:r>
              <w:rPr>
                <w:rFonts w:hint="eastAsia" w:ascii="宋体" w:hAnsi="宋体" w:eastAsia="宋体" w:cs="宋体"/>
                <w:spacing w:val="7"/>
                <w:sz w:val="21"/>
                <w:szCs w:val="21"/>
                <w:highlight w:val="none"/>
              </w:rPr>
              <w:t>化验分析</w:t>
            </w:r>
          </w:p>
        </w:tc>
        <w:tc>
          <w:tcPr>
            <w:tcW w:w="1105" w:type="dxa"/>
            <w:vAlign w:val="top"/>
          </w:tcPr>
          <w:p w14:paraId="17623A5C">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 w:firstLineChars="0"/>
              <w:jc w:val="both"/>
              <w:textAlignment w:val="baseline"/>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日常分析</w:t>
            </w:r>
          </w:p>
        </w:tc>
        <w:tc>
          <w:tcPr>
            <w:tcW w:w="1054" w:type="dxa"/>
            <w:vAlign w:val="top"/>
          </w:tcPr>
          <w:p w14:paraId="6F0A7EF6">
            <w:pPr>
              <w:pStyle w:val="224"/>
              <w:spacing w:before="65" w:line="189" w:lineRule="auto"/>
              <w:ind w:left="330" w:leftChars="0"/>
              <w:jc w:val="both"/>
              <w:rPr>
                <w:rFonts w:hint="eastAsia" w:cs="宋体"/>
                <w:sz w:val="21"/>
                <w:szCs w:val="21"/>
                <w:highlight w:val="none"/>
                <w:shd w:val="clear"/>
                <w:lang w:val="en-US" w:eastAsia="zh-CN"/>
              </w:rPr>
            </w:pPr>
          </w:p>
          <w:p w14:paraId="26C36D6F">
            <w:pPr>
              <w:pStyle w:val="224"/>
              <w:spacing w:before="65" w:line="189" w:lineRule="auto"/>
              <w:ind w:left="330" w:leftChars="0"/>
              <w:jc w:val="both"/>
              <w:rPr>
                <w:rFonts w:hint="eastAsia" w:cs="宋体"/>
                <w:sz w:val="21"/>
                <w:szCs w:val="21"/>
                <w:highlight w:val="none"/>
                <w:shd w:val="clear"/>
                <w:lang w:val="en-US" w:eastAsia="zh-CN"/>
              </w:rPr>
            </w:pPr>
            <w:r>
              <w:rPr>
                <w:rFonts w:hint="eastAsia" w:cs="宋体"/>
                <w:sz w:val="21"/>
                <w:szCs w:val="21"/>
                <w:highlight w:val="none"/>
                <w:shd w:val="clear"/>
                <w:lang w:val="en-US" w:eastAsia="zh-CN"/>
              </w:rPr>
              <w:t>3</w:t>
            </w:r>
          </w:p>
        </w:tc>
        <w:tc>
          <w:tcPr>
            <w:tcW w:w="764" w:type="dxa"/>
            <w:vAlign w:val="top"/>
          </w:tcPr>
          <w:p w14:paraId="32E804B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restart"/>
            <w:vAlign w:val="top"/>
          </w:tcPr>
          <w:p w14:paraId="524D10DE">
            <w:pPr>
              <w:pStyle w:val="224"/>
              <w:keepNext w:val="0"/>
              <w:keepLines w:val="0"/>
              <w:pageBreakBefore w:val="0"/>
              <w:widowControl/>
              <w:wordWrap/>
              <w:overflowPunct/>
              <w:topLinePunct w:val="0"/>
              <w:bidi w:val="0"/>
              <w:adjustRightInd w:val="0"/>
              <w:spacing w:before="185" w:line="262" w:lineRule="auto"/>
              <w:ind w:left="87" w:right="76" w:firstLine="476" w:firstLineChars="200"/>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1.有日常分析并保持数据记录完</w:t>
            </w:r>
            <w:r>
              <w:rPr>
                <w:rFonts w:hint="eastAsia" w:ascii="宋体" w:hAnsi="宋体" w:eastAsia="宋体" w:cs="宋体"/>
                <w:spacing w:val="5"/>
                <w:sz w:val="21"/>
                <w:szCs w:val="21"/>
                <w:highlight w:val="none"/>
              </w:rPr>
              <w:t>整，得</w:t>
            </w:r>
            <w:r>
              <w:rPr>
                <w:rFonts w:hint="eastAsia" w:ascii="宋体" w:hAnsi="宋体" w:eastAsia="宋体" w:cs="宋体"/>
                <w:spacing w:val="-26"/>
                <w:sz w:val="21"/>
                <w:szCs w:val="21"/>
                <w:highlight w:val="none"/>
              </w:rPr>
              <w:t xml:space="preserve"> </w:t>
            </w:r>
            <w:r>
              <w:rPr>
                <w:rFonts w:hint="eastAsia" w:ascii="宋体" w:hAnsi="宋体" w:eastAsia="宋体" w:cs="宋体"/>
                <w:spacing w:val="5"/>
                <w:sz w:val="21"/>
                <w:szCs w:val="21"/>
                <w:highlight w:val="none"/>
              </w:rPr>
              <w:t>3</w:t>
            </w:r>
            <w:r>
              <w:rPr>
                <w:rFonts w:hint="eastAsia" w:ascii="宋体" w:hAnsi="宋体" w:eastAsia="宋体" w:cs="宋体"/>
                <w:spacing w:val="-36"/>
                <w:sz w:val="21"/>
                <w:szCs w:val="21"/>
                <w:highlight w:val="none"/>
              </w:rPr>
              <w:t xml:space="preserve"> </w:t>
            </w:r>
            <w:r>
              <w:rPr>
                <w:rFonts w:hint="eastAsia" w:ascii="宋体" w:hAnsi="宋体" w:eastAsia="宋体" w:cs="宋体"/>
                <w:spacing w:val="5"/>
                <w:sz w:val="21"/>
                <w:szCs w:val="21"/>
                <w:highlight w:val="none"/>
              </w:rPr>
              <w:t>分，没有不得分。</w:t>
            </w:r>
          </w:p>
          <w:p w14:paraId="5AFC5456">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r>
              <w:rPr>
                <w:rFonts w:hint="eastAsia" w:ascii="宋体" w:hAnsi="宋体" w:eastAsia="宋体" w:cs="宋体"/>
                <w:spacing w:val="15"/>
                <w:sz w:val="21"/>
                <w:szCs w:val="21"/>
                <w:highlight w:val="none"/>
              </w:rPr>
              <w:t>2.有日常数据检测，按规定每季</w:t>
            </w:r>
            <w:r>
              <w:rPr>
                <w:rFonts w:hint="eastAsia" w:ascii="宋体" w:hAnsi="宋体" w:eastAsia="宋体" w:cs="宋体"/>
                <w:sz w:val="21"/>
                <w:szCs w:val="21"/>
                <w:highlight w:val="none"/>
              </w:rPr>
              <w:t xml:space="preserve"> </w:t>
            </w:r>
            <w:r>
              <w:rPr>
                <w:rFonts w:hint="eastAsia" w:ascii="宋体" w:hAnsi="宋体" w:eastAsia="宋体" w:cs="宋体"/>
                <w:spacing w:val="16"/>
                <w:sz w:val="21"/>
                <w:szCs w:val="21"/>
                <w:highlight w:val="none"/>
              </w:rPr>
              <w:t>度进行一次监督性监测，监测报</w:t>
            </w:r>
            <w:r>
              <w:rPr>
                <w:rFonts w:hint="eastAsia" w:ascii="宋体" w:hAnsi="宋体" w:eastAsia="宋体" w:cs="宋体"/>
                <w:spacing w:val="3"/>
                <w:sz w:val="21"/>
                <w:szCs w:val="21"/>
                <w:highlight w:val="none"/>
              </w:rPr>
              <w:t>告齐全，监测数据合格，得</w:t>
            </w:r>
            <w:r>
              <w:rPr>
                <w:rFonts w:hint="eastAsia" w:ascii="宋体" w:hAnsi="宋体" w:eastAsia="宋体" w:cs="宋体"/>
                <w:spacing w:val="-32"/>
                <w:sz w:val="21"/>
                <w:szCs w:val="21"/>
                <w:highlight w:val="none"/>
              </w:rPr>
              <w:t xml:space="preserve"> </w:t>
            </w:r>
            <w:r>
              <w:rPr>
                <w:rFonts w:hint="eastAsia" w:ascii="宋体" w:hAnsi="宋体" w:eastAsia="宋体" w:cs="宋体"/>
                <w:spacing w:val="3"/>
                <w:sz w:val="21"/>
                <w:szCs w:val="21"/>
                <w:highlight w:val="none"/>
              </w:rPr>
              <w:t>3</w:t>
            </w:r>
            <w:r>
              <w:rPr>
                <w:rFonts w:hint="eastAsia" w:ascii="宋体" w:hAnsi="宋体" w:eastAsia="宋体" w:cs="宋体"/>
                <w:spacing w:val="-35"/>
                <w:sz w:val="21"/>
                <w:szCs w:val="21"/>
                <w:highlight w:val="none"/>
              </w:rPr>
              <w:t xml:space="preserve"> </w:t>
            </w:r>
            <w:r>
              <w:rPr>
                <w:rFonts w:hint="eastAsia" w:ascii="宋体" w:hAnsi="宋体" w:eastAsia="宋体" w:cs="宋体"/>
                <w:spacing w:val="3"/>
                <w:sz w:val="21"/>
                <w:szCs w:val="21"/>
                <w:highlight w:val="none"/>
              </w:rPr>
              <w:t>分，</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每缺少一季度监测报告，扣</w:t>
            </w:r>
            <w:r>
              <w:rPr>
                <w:rFonts w:hint="eastAsia" w:ascii="宋体" w:hAnsi="宋体" w:eastAsia="宋体" w:cs="宋体"/>
                <w:spacing w:val="-32"/>
                <w:sz w:val="21"/>
                <w:szCs w:val="21"/>
                <w:highlight w:val="none"/>
              </w:rPr>
              <w:t xml:space="preserve"> </w:t>
            </w:r>
            <w:r>
              <w:rPr>
                <w:rFonts w:hint="eastAsia" w:ascii="宋体" w:hAnsi="宋体" w:eastAsia="宋体" w:cs="宋体"/>
                <w:spacing w:val="7"/>
                <w:sz w:val="21"/>
                <w:szCs w:val="21"/>
                <w:highlight w:val="none"/>
              </w:rPr>
              <w:t>0.75</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分，扣完为止。</w:t>
            </w:r>
          </w:p>
        </w:tc>
        <w:tc>
          <w:tcPr>
            <w:tcW w:w="1036" w:type="dxa"/>
            <w:vAlign w:val="top"/>
          </w:tcPr>
          <w:p w14:paraId="677075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23700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7" w:hRule="atLeast"/>
          <w:jc w:val="center"/>
        </w:trPr>
        <w:tc>
          <w:tcPr>
            <w:tcW w:w="594" w:type="dxa"/>
            <w:vMerge w:val="continue"/>
            <w:shd w:val="clear" w:color="auto" w:fill="auto"/>
            <w:vAlign w:val="center"/>
          </w:tcPr>
          <w:p w14:paraId="29891649">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48" w:firstLineChars="200"/>
              <w:jc w:val="center"/>
              <w:textAlignment w:val="baseline"/>
              <w:rPr>
                <w:rFonts w:hint="eastAsia" w:ascii="宋体" w:hAnsi="宋体" w:eastAsia="宋体" w:cs="宋体"/>
                <w:spacing w:val="7"/>
                <w:kern w:val="2"/>
                <w:sz w:val="21"/>
                <w:szCs w:val="21"/>
                <w:highlight w:val="none"/>
                <w:lang w:val="en-US" w:eastAsia="zh-CN" w:bidi="ar-SA"/>
              </w:rPr>
            </w:pPr>
          </w:p>
        </w:tc>
        <w:tc>
          <w:tcPr>
            <w:tcW w:w="1076" w:type="dxa"/>
            <w:vMerge w:val="continue"/>
            <w:vAlign w:val="top"/>
          </w:tcPr>
          <w:p w14:paraId="0FDC4DD7">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eastAsia" w:ascii="宋体" w:hAnsi="宋体" w:eastAsia="宋体" w:cs="宋体"/>
                <w:spacing w:val="7"/>
                <w:sz w:val="21"/>
                <w:szCs w:val="21"/>
                <w:highlight w:val="none"/>
                <w:lang w:val="en-US" w:eastAsia="zh-CN"/>
              </w:rPr>
            </w:pPr>
          </w:p>
        </w:tc>
        <w:tc>
          <w:tcPr>
            <w:tcW w:w="1105" w:type="dxa"/>
            <w:vAlign w:val="top"/>
          </w:tcPr>
          <w:p w14:paraId="2555B860">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2" w:firstLineChars="0"/>
              <w:jc w:val="both"/>
              <w:textAlignment w:val="baseline"/>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监督性监测</w:t>
            </w:r>
          </w:p>
        </w:tc>
        <w:tc>
          <w:tcPr>
            <w:tcW w:w="1054" w:type="dxa"/>
            <w:vAlign w:val="top"/>
          </w:tcPr>
          <w:p w14:paraId="78E326E5">
            <w:pPr>
              <w:pStyle w:val="224"/>
              <w:spacing w:before="65" w:line="189" w:lineRule="auto"/>
              <w:ind w:left="330" w:leftChars="0"/>
              <w:jc w:val="both"/>
              <w:rPr>
                <w:rFonts w:hint="eastAsia" w:cs="宋体"/>
                <w:sz w:val="21"/>
                <w:szCs w:val="21"/>
                <w:highlight w:val="none"/>
                <w:shd w:val="clear"/>
                <w:lang w:val="en-US" w:eastAsia="zh-CN"/>
              </w:rPr>
            </w:pPr>
          </w:p>
          <w:p w14:paraId="6F911E76">
            <w:pPr>
              <w:pStyle w:val="224"/>
              <w:spacing w:before="65" w:line="189" w:lineRule="auto"/>
              <w:ind w:left="330" w:leftChars="0"/>
              <w:jc w:val="both"/>
              <w:rPr>
                <w:rFonts w:hint="eastAsia" w:cs="宋体"/>
                <w:sz w:val="21"/>
                <w:szCs w:val="21"/>
                <w:highlight w:val="none"/>
                <w:shd w:val="clear"/>
                <w:lang w:val="en-US" w:eastAsia="zh-CN"/>
              </w:rPr>
            </w:pPr>
            <w:r>
              <w:rPr>
                <w:rFonts w:hint="eastAsia" w:cs="宋体"/>
                <w:sz w:val="21"/>
                <w:szCs w:val="21"/>
                <w:highlight w:val="none"/>
                <w:shd w:val="clear"/>
                <w:lang w:val="en-US" w:eastAsia="zh-CN"/>
              </w:rPr>
              <w:t>3</w:t>
            </w:r>
          </w:p>
        </w:tc>
        <w:tc>
          <w:tcPr>
            <w:tcW w:w="764" w:type="dxa"/>
            <w:vAlign w:val="top"/>
          </w:tcPr>
          <w:p w14:paraId="3B5F167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c>
          <w:tcPr>
            <w:tcW w:w="4063" w:type="dxa"/>
            <w:vMerge w:val="continue"/>
            <w:vAlign w:val="top"/>
          </w:tcPr>
          <w:p w14:paraId="68B4E062">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80" w:firstLineChars="200"/>
              <w:jc w:val="both"/>
              <w:textAlignment w:val="baseline"/>
              <w:rPr>
                <w:rFonts w:hint="eastAsia" w:ascii="宋体" w:hAnsi="宋体" w:eastAsia="宋体" w:cs="宋体"/>
                <w:spacing w:val="15"/>
                <w:sz w:val="21"/>
                <w:szCs w:val="21"/>
                <w:highlight w:val="none"/>
              </w:rPr>
            </w:pPr>
          </w:p>
        </w:tc>
        <w:tc>
          <w:tcPr>
            <w:tcW w:w="1036" w:type="dxa"/>
            <w:vAlign w:val="top"/>
          </w:tcPr>
          <w:p w14:paraId="595F711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61D92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shd w:val="clear" w:color="auto" w:fill="auto"/>
            <w:vAlign w:val="center"/>
          </w:tcPr>
          <w:p w14:paraId="2E843EFE">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right="0" w:rightChars="0"/>
              <w:jc w:val="center"/>
              <w:textAlignment w:val="baseline"/>
              <w:rPr>
                <w:rFonts w:hint="eastAsia" w:ascii="宋体" w:hAnsi="宋体" w:eastAsia="宋体" w:cs="宋体"/>
                <w:spacing w:val="7"/>
                <w:kern w:val="2"/>
                <w:sz w:val="21"/>
                <w:szCs w:val="21"/>
                <w:highlight w:val="none"/>
                <w:lang w:val="en-US" w:eastAsia="zh-CN" w:bidi="ar-SA"/>
              </w:rPr>
            </w:pPr>
            <w:r>
              <w:rPr>
                <w:rFonts w:hint="eastAsia" w:cs="宋体"/>
                <w:spacing w:val="7"/>
                <w:sz w:val="21"/>
                <w:szCs w:val="21"/>
                <w:highlight w:val="none"/>
                <w:lang w:val="en-US" w:eastAsia="zh-CN"/>
              </w:rPr>
              <w:t>8</w:t>
            </w:r>
          </w:p>
        </w:tc>
        <w:tc>
          <w:tcPr>
            <w:tcW w:w="1076" w:type="dxa"/>
            <w:vAlign w:val="center"/>
          </w:tcPr>
          <w:p w14:paraId="75D23583">
            <w:pPr>
              <w:pStyle w:val="224"/>
              <w:spacing w:before="65" w:line="353" w:lineRule="auto"/>
              <w:ind w:left="436" w:leftChars="0" w:right="120" w:rightChars="0" w:hanging="309" w:firstLineChars="0"/>
              <w:jc w:val="both"/>
              <w:rPr>
                <w:rFonts w:hint="eastAsia" w:ascii="宋体" w:hAnsi="宋体" w:eastAsia="宋体" w:cs="宋体"/>
                <w:spacing w:val="7"/>
                <w:sz w:val="21"/>
                <w:szCs w:val="21"/>
                <w:highlight w:val="none"/>
                <w:lang w:val="en-US" w:eastAsia="zh-CN"/>
              </w:rPr>
            </w:pPr>
            <w:r>
              <w:rPr>
                <w:rFonts w:hint="eastAsia" w:ascii="宋体" w:hAnsi="宋体" w:eastAsia="宋体" w:cs="宋体"/>
                <w:spacing w:val="5"/>
                <w:sz w:val="21"/>
                <w:szCs w:val="21"/>
                <w:highlight w:val="none"/>
              </w:rPr>
              <w:t>公众满意</w:t>
            </w:r>
            <w:r>
              <w:rPr>
                <w:rFonts w:hint="eastAsia" w:ascii="宋体" w:hAnsi="宋体" w:eastAsia="宋体" w:cs="宋体"/>
                <w:spacing w:val="1"/>
                <w:sz w:val="21"/>
                <w:szCs w:val="21"/>
                <w:highlight w:val="none"/>
              </w:rPr>
              <w:t>度</w:t>
            </w:r>
          </w:p>
        </w:tc>
        <w:tc>
          <w:tcPr>
            <w:tcW w:w="1105" w:type="dxa"/>
            <w:vAlign w:val="center"/>
          </w:tcPr>
          <w:p w14:paraId="604AA49A">
            <w:pPr>
              <w:pStyle w:val="224"/>
              <w:spacing w:before="65" w:line="228" w:lineRule="auto"/>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群众投诉</w:t>
            </w:r>
          </w:p>
        </w:tc>
        <w:tc>
          <w:tcPr>
            <w:tcW w:w="1054" w:type="dxa"/>
            <w:vAlign w:val="center"/>
          </w:tcPr>
          <w:p w14:paraId="529B17C6">
            <w:pPr>
              <w:pStyle w:val="224"/>
              <w:spacing w:before="65" w:line="189" w:lineRule="auto"/>
              <w:ind w:left="330" w:leftChars="0"/>
              <w:jc w:val="both"/>
              <w:rPr>
                <w:rFonts w:hint="eastAsia" w:cs="宋体"/>
                <w:sz w:val="21"/>
                <w:szCs w:val="21"/>
                <w:highlight w:val="none"/>
                <w:shd w:val="clear"/>
                <w:lang w:val="en-US" w:eastAsia="zh-CN"/>
              </w:rPr>
            </w:pPr>
            <w:r>
              <w:rPr>
                <w:rFonts w:hint="eastAsia" w:cs="宋体"/>
                <w:sz w:val="21"/>
                <w:szCs w:val="21"/>
                <w:highlight w:val="none"/>
                <w:shd w:val="clear"/>
                <w:lang w:val="en-US" w:eastAsia="zh-CN"/>
              </w:rPr>
              <w:t>3</w:t>
            </w:r>
          </w:p>
        </w:tc>
        <w:tc>
          <w:tcPr>
            <w:tcW w:w="764" w:type="dxa"/>
            <w:vAlign w:val="center"/>
          </w:tcPr>
          <w:p w14:paraId="2EF6CAEB">
            <w:pPr>
              <w:jc w:val="both"/>
              <w:rPr>
                <w:rFonts w:hint="eastAsia" w:ascii="宋体" w:hAnsi="宋体" w:eastAsia="宋体" w:cs="宋体"/>
                <w:sz w:val="21"/>
                <w:szCs w:val="21"/>
                <w:highlight w:val="none"/>
              </w:rPr>
            </w:pPr>
          </w:p>
        </w:tc>
        <w:tc>
          <w:tcPr>
            <w:tcW w:w="4063" w:type="dxa"/>
            <w:vAlign w:val="center"/>
          </w:tcPr>
          <w:p w14:paraId="72A87896">
            <w:pPr>
              <w:pStyle w:val="224"/>
              <w:keepNext w:val="0"/>
              <w:keepLines w:val="0"/>
              <w:pageBreakBefore w:val="0"/>
              <w:widowControl/>
              <w:wordWrap/>
              <w:overflowPunct/>
              <w:topLinePunct w:val="0"/>
              <w:bidi w:val="0"/>
              <w:adjustRightInd w:val="0"/>
              <w:spacing w:before="140" w:line="270" w:lineRule="auto"/>
              <w:ind w:left="86" w:leftChars="0" w:right="76" w:rightChars="0" w:firstLine="472" w:firstLineChars="200"/>
              <w:jc w:val="both"/>
              <w:rPr>
                <w:rFonts w:hint="eastAsia" w:ascii="宋体" w:hAnsi="宋体" w:eastAsia="宋体" w:cs="宋体"/>
                <w:spacing w:val="15"/>
                <w:sz w:val="21"/>
                <w:szCs w:val="21"/>
                <w:highlight w:val="none"/>
              </w:rPr>
            </w:pPr>
            <w:r>
              <w:rPr>
                <w:rFonts w:hint="eastAsia" w:ascii="宋体" w:hAnsi="宋体" w:eastAsia="宋体" w:cs="宋体"/>
                <w:spacing w:val="13"/>
                <w:sz w:val="21"/>
                <w:szCs w:val="21"/>
                <w:highlight w:val="none"/>
              </w:rPr>
              <w:t>无群众投诉，得3分；有群众投</w:t>
            </w:r>
            <w:r>
              <w:rPr>
                <w:rFonts w:hint="eastAsia" w:ascii="宋体" w:hAnsi="宋体" w:cs="宋体"/>
                <w:spacing w:val="13"/>
                <w:sz w:val="21"/>
                <w:szCs w:val="21"/>
                <w:highlight w:val="none"/>
                <w:lang w:val="en-US" w:eastAsia="zh-CN"/>
              </w:rPr>
              <w:t>诉</w:t>
            </w:r>
            <w:r>
              <w:rPr>
                <w:rFonts w:hint="eastAsia" w:ascii="宋体" w:hAnsi="宋体" w:eastAsia="宋体" w:cs="宋体"/>
                <w:spacing w:val="13"/>
                <w:sz w:val="21"/>
                <w:szCs w:val="21"/>
                <w:highlight w:val="none"/>
              </w:rPr>
              <w:t>，若在5天内得到解决，不扣</w:t>
            </w:r>
            <w:r>
              <w:rPr>
                <w:rFonts w:hint="eastAsia" w:ascii="宋体" w:hAnsi="宋体" w:eastAsia="宋体" w:cs="宋体"/>
                <w:spacing w:val="16"/>
                <w:sz w:val="21"/>
                <w:szCs w:val="21"/>
                <w:highlight w:val="none"/>
              </w:rPr>
              <w:t>分，若未处理并且被环保部门备</w:t>
            </w:r>
            <w:r>
              <w:rPr>
                <w:rFonts w:hint="eastAsia" w:ascii="宋体" w:hAnsi="宋体" w:eastAsia="宋体" w:cs="宋体"/>
                <w:spacing w:val="-2"/>
                <w:sz w:val="21"/>
                <w:szCs w:val="21"/>
                <w:highlight w:val="none"/>
              </w:rPr>
              <w:t>案，扣3分。</w:t>
            </w:r>
          </w:p>
        </w:tc>
        <w:tc>
          <w:tcPr>
            <w:tcW w:w="1036" w:type="dxa"/>
            <w:vAlign w:val="top"/>
          </w:tcPr>
          <w:p w14:paraId="5632DC1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1F47A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Align w:val="center"/>
          </w:tcPr>
          <w:p w14:paraId="4DD17573">
            <w:pPr>
              <w:pStyle w:val="224"/>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jc w:val="center"/>
              <w:textAlignment w:val="baseline"/>
              <w:rPr>
                <w:rFonts w:hint="default" w:ascii="宋体" w:hAnsi="宋体" w:eastAsia="宋体" w:cs="宋体"/>
                <w:spacing w:val="7"/>
                <w:sz w:val="21"/>
                <w:szCs w:val="21"/>
                <w:highlight w:val="none"/>
                <w:lang w:val="en-US" w:eastAsia="zh-CN"/>
              </w:rPr>
            </w:pPr>
            <w:r>
              <w:rPr>
                <w:rFonts w:hint="eastAsia" w:cs="宋体"/>
                <w:spacing w:val="7"/>
                <w:sz w:val="21"/>
                <w:szCs w:val="21"/>
                <w:highlight w:val="none"/>
                <w:lang w:val="en-US" w:eastAsia="zh-CN"/>
              </w:rPr>
              <w:t>9</w:t>
            </w:r>
          </w:p>
        </w:tc>
        <w:tc>
          <w:tcPr>
            <w:tcW w:w="1076" w:type="dxa"/>
            <w:vAlign w:val="center"/>
          </w:tcPr>
          <w:p w14:paraId="05A43921">
            <w:pPr>
              <w:pStyle w:val="224"/>
              <w:spacing w:before="65" w:line="353" w:lineRule="auto"/>
              <w:ind w:left="436" w:leftChars="0" w:right="120" w:rightChars="0" w:hanging="309" w:firstLineChars="0"/>
              <w:jc w:val="both"/>
              <w:rPr>
                <w:rFonts w:hint="eastAsia" w:ascii="宋体" w:hAnsi="宋体" w:eastAsia="宋体" w:cs="宋体"/>
                <w:spacing w:val="5"/>
                <w:sz w:val="21"/>
                <w:szCs w:val="21"/>
                <w:highlight w:val="none"/>
                <w:lang w:eastAsia="zh-CN"/>
              </w:rPr>
            </w:pPr>
            <w:r>
              <w:rPr>
                <w:rFonts w:hint="eastAsia" w:cs="宋体"/>
                <w:spacing w:val="5"/>
                <w:sz w:val="21"/>
                <w:szCs w:val="21"/>
                <w:highlight w:val="none"/>
                <w:lang w:eastAsia="zh-CN"/>
              </w:rPr>
              <w:t>上级部门监督</w:t>
            </w:r>
          </w:p>
        </w:tc>
        <w:tc>
          <w:tcPr>
            <w:tcW w:w="1105" w:type="dxa"/>
            <w:vAlign w:val="center"/>
          </w:tcPr>
          <w:p w14:paraId="126B05A4">
            <w:pPr>
              <w:pStyle w:val="224"/>
              <w:spacing w:before="65" w:line="228" w:lineRule="auto"/>
              <w:ind w:left="0" w:leftChars="0" w:firstLine="0" w:firstLineChars="0"/>
              <w:jc w:val="both"/>
              <w:rPr>
                <w:rFonts w:hint="eastAsia" w:ascii="宋体" w:hAnsi="宋体" w:eastAsia="宋体" w:cs="宋体"/>
                <w:spacing w:val="7"/>
                <w:sz w:val="21"/>
                <w:szCs w:val="21"/>
                <w:highlight w:val="none"/>
              </w:rPr>
            </w:pPr>
            <w:r>
              <w:rPr>
                <w:rFonts w:hint="eastAsia" w:cs="宋体"/>
                <w:spacing w:val="5"/>
                <w:sz w:val="21"/>
                <w:szCs w:val="21"/>
                <w:highlight w:val="none"/>
                <w:lang w:eastAsia="zh-CN"/>
              </w:rPr>
              <w:t>上级部门通报批评</w:t>
            </w:r>
          </w:p>
        </w:tc>
        <w:tc>
          <w:tcPr>
            <w:tcW w:w="1054" w:type="dxa"/>
            <w:vAlign w:val="center"/>
          </w:tcPr>
          <w:p w14:paraId="7689CAE3">
            <w:pPr>
              <w:pStyle w:val="224"/>
              <w:spacing w:before="65" w:line="189" w:lineRule="auto"/>
              <w:ind w:left="330" w:leftChars="0"/>
              <w:jc w:val="both"/>
              <w:rPr>
                <w:rFonts w:hint="default" w:cs="宋体"/>
                <w:sz w:val="21"/>
                <w:szCs w:val="21"/>
                <w:highlight w:val="none"/>
                <w:shd w:val="clear"/>
                <w:lang w:val="en-US" w:eastAsia="zh-CN"/>
              </w:rPr>
            </w:pPr>
            <w:r>
              <w:rPr>
                <w:rFonts w:hint="eastAsia" w:cs="宋体"/>
                <w:sz w:val="21"/>
                <w:szCs w:val="21"/>
                <w:highlight w:val="none"/>
                <w:shd w:val="clear"/>
                <w:lang w:val="en-US" w:eastAsia="zh-CN"/>
              </w:rPr>
              <w:t>12</w:t>
            </w:r>
          </w:p>
        </w:tc>
        <w:tc>
          <w:tcPr>
            <w:tcW w:w="764" w:type="dxa"/>
            <w:vAlign w:val="center"/>
          </w:tcPr>
          <w:p w14:paraId="27DCCDA2">
            <w:pPr>
              <w:jc w:val="both"/>
              <w:rPr>
                <w:rFonts w:hint="eastAsia" w:ascii="宋体" w:hAnsi="宋体" w:eastAsia="宋体" w:cs="宋体"/>
                <w:sz w:val="21"/>
                <w:szCs w:val="21"/>
                <w:highlight w:val="none"/>
              </w:rPr>
            </w:pPr>
          </w:p>
        </w:tc>
        <w:tc>
          <w:tcPr>
            <w:tcW w:w="4063" w:type="dxa"/>
            <w:vAlign w:val="center"/>
          </w:tcPr>
          <w:p w14:paraId="69B4FE54">
            <w:pPr>
              <w:pStyle w:val="224"/>
              <w:keepNext w:val="0"/>
              <w:keepLines w:val="0"/>
              <w:pageBreakBefore w:val="0"/>
              <w:widowControl/>
              <w:wordWrap/>
              <w:overflowPunct/>
              <w:topLinePunct w:val="0"/>
              <w:bidi w:val="0"/>
              <w:adjustRightInd w:val="0"/>
              <w:spacing w:before="140" w:line="270" w:lineRule="auto"/>
              <w:ind w:left="86" w:leftChars="0" w:right="76" w:rightChars="0" w:firstLine="472" w:firstLineChars="200"/>
              <w:jc w:val="both"/>
              <w:rPr>
                <w:rFonts w:hint="default" w:ascii="宋体" w:hAnsi="宋体" w:eastAsia="宋体" w:cs="宋体"/>
                <w:spacing w:val="13"/>
                <w:sz w:val="21"/>
                <w:szCs w:val="21"/>
                <w:highlight w:val="none"/>
                <w:lang w:val="en-US" w:eastAsia="zh-CN"/>
              </w:rPr>
            </w:pPr>
            <w:r>
              <w:rPr>
                <w:rFonts w:hint="eastAsia" w:cs="宋体"/>
                <w:spacing w:val="13"/>
                <w:sz w:val="21"/>
                <w:szCs w:val="21"/>
                <w:highlight w:val="none"/>
                <w:lang w:eastAsia="zh-CN"/>
              </w:rPr>
              <w:t>无上级部门通报，得</w:t>
            </w:r>
            <w:r>
              <w:rPr>
                <w:rFonts w:hint="eastAsia" w:cs="宋体"/>
                <w:spacing w:val="13"/>
                <w:sz w:val="21"/>
                <w:szCs w:val="21"/>
                <w:highlight w:val="none"/>
                <w:lang w:val="en-US" w:eastAsia="zh-CN"/>
              </w:rPr>
              <w:t>12分；有</w:t>
            </w:r>
            <w:r>
              <w:rPr>
                <w:rFonts w:hint="eastAsia" w:cs="宋体"/>
                <w:spacing w:val="5"/>
                <w:sz w:val="21"/>
                <w:szCs w:val="21"/>
                <w:highlight w:val="none"/>
                <w:lang w:eastAsia="zh-CN"/>
              </w:rPr>
              <w:t>上级部门通报，若在</w:t>
            </w:r>
            <w:r>
              <w:rPr>
                <w:rFonts w:hint="eastAsia" w:cs="宋体"/>
                <w:spacing w:val="5"/>
                <w:sz w:val="21"/>
                <w:szCs w:val="21"/>
                <w:highlight w:val="none"/>
                <w:lang w:val="en-US" w:eastAsia="zh-CN"/>
              </w:rPr>
              <w:t>1天内得到解决，并没有造成重大影响，扣6分，</w:t>
            </w:r>
            <w:r>
              <w:rPr>
                <w:rFonts w:hint="eastAsia" w:cs="宋体"/>
                <w:spacing w:val="5"/>
                <w:sz w:val="21"/>
                <w:szCs w:val="21"/>
                <w:highlight w:val="none"/>
                <w:lang w:eastAsia="zh-CN"/>
              </w:rPr>
              <w:t>若不能在</w:t>
            </w:r>
            <w:r>
              <w:rPr>
                <w:rFonts w:hint="eastAsia" w:cs="宋体"/>
                <w:spacing w:val="5"/>
                <w:sz w:val="21"/>
                <w:szCs w:val="21"/>
                <w:highlight w:val="none"/>
                <w:lang w:val="en-US" w:eastAsia="zh-CN"/>
              </w:rPr>
              <w:t>1天内得到解决，且造成重大影响，扣12分。</w:t>
            </w:r>
          </w:p>
        </w:tc>
        <w:tc>
          <w:tcPr>
            <w:tcW w:w="1036" w:type="dxa"/>
            <w:vAlign w:val="top"/>
          </w:tcPr>
          <w:p w14:paraId="65EAF63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sz w:val="21"/>
                <w:szCs w:val="21"/>
                <w:highlight w:val="none"/>
              </w:rPr>
            </w:pPr>
          </w:p>
        </w:tc>
      </w:tr>
      <w:tr w14:paraId="7C56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Align w:val="center"/>
          </w:tcPr>
          <w:p w14:paraId="261F495B">
            <w:pPr>
              <w:pStyle w:val="224"/>
              <w:spacing w:before="65" w:line="189" w:lineRule="auto"/>
              <w:ind w:left="250" w:leftChars="0"/>
              <w:jc w:val="both"/>
              <w:rPr>
                <w:rFonts w:hint="eastAsia" w:ascii="宋体" w:hAnsi="宋体" w:eastAsia="宋体" w:cs="宋体"/>
                <w:spacing w:val="7"/>
                <w:sz w:val="21"/>
                <w:szCs w:val="21"/>
                <w:highlight w:val="none"/>
                <w:lang w:val="en-US" w:eastAsia="zh-CN"/>
              </w:rPr>
            </w:pPr>
          </w:p>
        </w:tc>
        <w:tc>
          <w:tcPr>
            <w:tcW w:w="1076" w:type="dxa"/>
            <w:vAlign w:val="center"/>
          </w:tcPr>
          <w:p w14:paraId="18B0365E">
            <w:pPr>
              <w:pStyle w:val="224"/>
              <w:spacing w:before="225" w:line="230" w:lineRule="auto"/>
              <w:ind w:left="121"/>
              <w:jc w:val="both"/>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合计(100</w:t>
            </w:r>
          </w:p>
          <w:p w14:paraId="098D6CE7">
            <w:pPr>
              <w:pStyle w:val="224"/>
              <w:spacing w:before="149" w:line="229" w:lineRule="auto"/>
              <w:ind w:left="387" w:leftChars="0"/>
              <w:jc w:val="both"/>
              <w:rPr>
                <w:rFonts w:hint="eastAsia" w:ascii="宋体" w:hAnsi="宋体" w:eastAsia="宋体" w:cs="宋体"/>
                <w:spacing w:val="5"/>
                <w:sz w:val="21"/>
                <w:szCs w:val="21"/>
                <w:highlight w:val="none"/>
              </w:rPr>
            </w:pPr>
            <w:r>
              <w:rPr>
                <w:rFonts w:hint="eastAsia" w:ascii="宋体" w:hAnsi="宋体" w:eastAsia="宋体" w:cs="宋体"/>
                <w:spacing w:val="1"/>
                <w:sz w:val="21"/>
                <w:szCs w:val="21"/>
                <w:highlight w:val="none"/>
              </w:rPr>
              <w:t>分)</w:t>
            </w:r>
          </w:p>
        </w:tc>
        <w:tc>
          <w:tcPr>
            <w:tcW w:w="1105" w:type="dxa"/>
            <w:vAlign w:val="center"/>
          </w:tcPr>
          <w:p w14:paraId="41ECB58F">
            <w:pPr>
              <w:jc w:val="both"/>
              <w:rPr>
                <w:rFonts w:hint="eastAsia" w:ascii="宋体" w:hAnsi="宋体" w:eastAsia="宋体" w:cs="宋体"/>
                <w:spacing w:val="7"/>
                <w:sz w:val="21"/>
                <w:szCs w:val="21"/>
                <w:highlight w:val="none"/>
              </w:rPr>
            </w:pPr>
          </w:p>
        </w:tc>
        <w:tc>
          <w:tcPr>
            <w:tcW w:w="1054" w:type="dxa"/>
            <w:vAlign w:val="center"/>
          </w:tcPr>
          <w:p w14:paraId="69E33351">
            <w:pPr>
              <w:pStyle w:val="224"/>
              <w:spacing w:before="65" w:line="189" w:lineRule="auto"/>
              <w:ind w:left="330" w:leftChars="0"/>
              <w:jc w:val="both"/>
              <w:rPr>
                <w:rFonts w:hint="eastAsia" w:cs="宋体"/>
                <w:sz w:val="21"/>
                <w:szCs w:val="21"/>
                <w:highlight w:val="none"/>
                <w:shd w:val="clear"/>
                <w:lang w:val="en-US" w:eastAsia="zh-CN"/>
              </w:rPr>
            </w:pPr>
            <w:r>
              <w:rPr>
                <w:rFonts w:hint="eastAsia" w:cs="宋体"/>
                <w:sz w:val="21"/>
                <w:szCs w:val="21"/>
                <w:highlight w:val="none"/>
                <w:shd w:val="clear"/>
                <w:lang w:val="en-US" w:eastAsia="zh-CN"/>
              </w:rPr>
              <w:t>100</w:t>
            </w:r>
          </w:p>
        </w:tc>
        <w:tc>
          <w:tcPr>
            <w:tcW w:w="764" w:type="dxa"/>
            <w:vAlign w:val="center"/>
          </w:tcPr>
          <w:p w14:paraId="06854B3B">
            <w:pPr>
              <w:jc w:val="both"/>
              <w:rPr>
                <w:rFonts w:hint="eastAsia" w:ascii="宋体" w:hAnsi="宋体" w:eastAsia="宋体" w:cs="宋体"/>
                <w:sz w:val="21"/>
                <w:szCs w:val="21"/>
                <w:highlight w:val="none"/>
              </w:rPr>
            </w:pPr>
          </w:p>
        </w:tc>
        <w:tc>
          <w:tcPr>
            <w:tcW w:w="4063" w:type="dxa"/>
            <w:vAlign w:val="center"/>
          </w:tcPr>
          <w:p w14:paraId="2B1F510A">
            <w:pPr>
              <w:jc w:val="both"/>
              <w:rPr>
                <w:rFonts w:hint="eastAsia" w:ascii="宋体" w:hAnsi="宋体" w:eastAsia="宋体" w:cs="宋体"/>
                <w:spacing w:val="13"/>
                <w:sz w:val="21"/>
                <w:szCs w:val="21"/>
                <w:highlight w:val="none"/>
              </w:rPr>
            </w:pPr>
          </w:p>
        </w:tc>
        <w:tc>
          <w:tcPr>
            <w:tcW w:w="1036" w:type="dxa"/>
            <w:vAlign w:val="center"/>
          </w:tcPr>
          <w:p w14:paraId="1922E357">
            <w:pPr>
              <w:jc w:val="both"/>
              <w:rPr>
                <w:rFonts w:hint="eastAsia" w:ascii="宋体" w:hAnsi="宋体" w:eastAsia="宋体" w:cs="宋体"/>
                <w:sz w:val="21"/>
                <w:szCs w:val="21"/>
                <w:highlight w:val="none"/>
              </w:rPr>
            </w:pPr>
          </w:p>
        </w:tc>
      </w:tr>
      <w:tr w14:paraId="5F4A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94" w:type="dxa"/>
            <w:vAlign w:val="center"/>
          </w:tcPr>
          <w:p w14:paraId="60FA5623">
            <w:pPr>
              <w:pStyle w:val="224"/>
              <w:spacing w:before="258" w:line="189" w:lineRule="auto"/>
              <w:ind w:left="250" w:leftChars="0"/>
              <w:jc w:val="both"/>
              <w:rPr>
                <w:rFonts w:hint="eastAsia" w:ascii="宋体" w:hAnsi="宋体" w:eastAsia="宋体" w:cs="宋体"/>
                <w:spacing w:val="7"/>
                <w:sz w:val="21"/>
                <w:szCs w:val="21"/>
                <w:highlight w:val="none"/>
                <w:lang w:val="en-US" w:eastAsia="zh-CN"/>
              </w:rPr>
            </w:pPr>
          </w:p>
        </w:tc>
        <w:tc>
          <w:tcPr>
            <w:tcW w:w="1076" w:type="dxa"/>
            <w:vAlign w:val="center"/>
          </w:tcPr>
          <w:p w14:paraId="41C44877">
            <w:pPr>
              <w:pStyle w:val="224"/>
              <w:spacing w:before="226" w:line="228" w:lineRule="auto"/>
              <w:ind w:left="121" w:leftChars="0"/>
              <w:jc w:val="both"/>
              <w:rPr>
                <w:rFonts w:hint="eastAsia" w:ascii="宋体" w:hAnsi="宋体" w:eastAsia="宋体" w:cs="宋体"/>
                <w:spacing w:val="5"/>
                <w:sz w:val="21"/>
                <w:szCs w:val="21"/>
                <w:highlight w:val="none"/>
              </w:rPr>
            </w:pPr>
            <w:r>
              <w:rPr>
                <w:rFonts w:hint="eastAsia" w:ascii="宋体" w:hAnsi="宋体" w:eastAsia="宋体" w:cs="宋体"/>
                <w:spacing w:val="7"/>
                <w:sz w:val="21"/>
                <w:szCs w:val="21"/>
                <w:highlight w:val="none"/>
              </w:rPr>
              <w:t>考评得分</w:t>
            </w:r>
          </w:p>
        </w:tc>
        <w:tc>
          <w:tcPr>
            <w:tcW w:w="1105" w:type="dxa"/>
            <w:vAlign w:val="center"/>
          </w:tcPr>
          <w:p w14:paraId="20704DDB">
            <w:pPr>
              <w:jc w:val="both"/>
              <w:rPr>
                <w:rFonts w:hint="eastAsia" w:ascii="宋体" w:hAnsi="宋体" w:eastAsia="宋体" w:cs="宋体"/>
                <w:spacing w:val="7"/>
                <w:sz w:val="21"/>
                <w:szCs w:val="21"/>
                <w:highlight w:val="none"/>
              </w:rPr>
            </w:pPr>
          </w:p>
        </w:tc>
        <w:tc>
          <w:tcPr>
            <w:tcW w:w="1054" w:type="dxa"/>
            <w:vAlign w:val="center"/>
          </w:tcPr>
          <w:p w14:paraId="59FC1DC3">
            <w:pPr>
              <w:jc w:val="both"/>
              <w:rPr>
                <w:rFonts w:hint="eastAsia" w:ascii="宋体" w:hAnsi="宋体" w:eastAsia="宋体" w:cs="宋体"/>
                <w:sz w:val="21"/>
                <w:szCs w:val="21"/>
                <w:highlight w:val="none"/>
              </w:rPr>
            </w:pPr>
          </w:p>
        </w:tc>
        <w:tc>
          <w:tcPr>
            <w:tcW w:w="764" w:type="dxa"/>
            <w:vAlign w:val="center"/>
          </w:tcPr>
          <w:p w14:paraId="20DCE7D1">
            <w:pPr>
              <w:jc w:val="both"/>
              <w:rPr>
                <w:rFonts w:hint="eastAsia" w:ascii="宋体" w:hAnsi="宋体" w:eastAsia="宋体" w:cs="宋体"/>
                <w:sz w:val="21"/>
                <w:szCs w:val="21"/>
                <w:highlight w:val="none"/>
              </w:rPr>
            </w:pPr>
          </w:p>
        </w:tc>
        <w:tc>
          <w:tcPr>
            <w:tcW w:w="4063" w:type="dxa"/>
            <w:vAlign w:val="center"/>
          </w:tcPr>
          <w:p w14:paraId="4583CA37">
            <w:pPr>
              <w:jc w:val="both"/>
              <w:rPr>
                <w:rFonts w:hint="eastAsia" w:ascii="宋体" w:hAnsi="宋体" w:eastAsia="宋体" w:cs="宋体"/>
                <w:spacing w:val="13"/>
                <w:sz w:val="21"/>
                <w:szCs w:val="21"/>
                <w:highlight w:val="none"/>
              </w:rPr>
            </w:pPr>
          </w:p>
        </w:tc>
        <w:tc>
          <w:tcPr>
            <w:tcW w:w="1036" w:type="dxa"/>
            <w:vAlign w:val="center"/>
          </w:tcPr>
          <w:p w14:paraId="0DD140BB">
            <w:pPr>
              <w:jc w:val="both"/>
              <w:rPr>
                <w:rFonts w:hint="eastAsia" w:ascii="宋体" w:hAnsi="宋体" w:eastAsia="宋体" w:cs="宋体"/>
                <w:sz w:val="21"/>
                <w:szCs w:val="21"/>
                <w:highlight w:val="none"/>
              </w:rPr>
            </w:pPr>
          </w:p>
        </w:tc>
      </w:tr>
    </w:tbl>
    <w:p w14:paraId="26899648">
      <w:pPr>
        <w:spacing w:before="292" w:line="228" w:lineRule="auto"/>
        <w:ind w:left="763"/>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 xml:space="preserve">考评单位：                                        </w:t>
      </w:r>
      <w:r>
        <w:rPr>
          <w:rFonts w:hint="eastAsia" w:ascii="宋体" w:hAnsi="宋体" w:eastAsia="宋体" w:cs="宋体"/>
          <w:spacing w:val="3"/>
          <w:sz w:val="21"/>
          <w:szCs w:val="21"/>
          <w:highlight w:val="none"/>
        </w:rPr>
        <w:t xml:space="preserve">              考评人：</w:t>
      </w:r>
    </w:p>
    <w:p w14:paraId="47A6A4D2">
      <w:pPr>
        <w:rPr>
          <w:rFonts w:hint="eastAsia" w:ascii="宋体" w:hAnsi="宋体" w:eastAsia="宋体" w:cs="宋体"/>
          <w:sz w:val="21"/>
          <w:szCs w:val="21"/>
          <w:highlight w:val="none"/>
        </w:rPr>
        <w:sectPr>
          <w:footerReference r:id="rId3" w:type="default"/>
          <w:pgSz w:w="11906" w:h="16838"/>
          <w:pgMar w:top="1440" w:right="1134" w:bottom="1440" w:left="1134" w:header="851" w:footer="992" w:gutter="0"/>
          <w:pgNumType w:fmt="decimal" w:start="1"/>
          <w:cols w:space="425" w:num="1"/>
          <w:docGrid w:type="lines" w:linePitch="312" w:charSpace="0"/>
        </w:sectPr>
      </w:pPr>
    </w:p>
    <w:p w14:paraId="00CE7B18">
      <w:pPr>
        <w:spacing w:before="101" w:line="225" w:lineRule="auto"/>
        <w:jc w:val="center"/>
        <w:rPr>
          <w:rFonts w:hint="eastAsia" w:ascii="宋体" w:hAnsi="宋体" w:eastAsia="宋体" w:cs="宋体"/>
          <w:sz w:val="28"/>
          <w:szCs w:val="28"/>
          <w:highlight w:val="none"/>
        </w:rPr>
      </w:pPr>
      <w:r>
        <w:rPr>
          <w:rFonts w:hint="eastAsia" w:ascii="宋体" w:hAnsi="宋体" w:eastAsia="宋体" w:cs="宋体"/>
          <w:b/>
          <w:bCs/>
          <w:spacing w:val="7"/>
          <w:sz w:val="28"/>
          <w:szCs w:val="28"/>
          <w:highlight w:val="none"/>
          <w:lang w:val="en-US" w:eastAsia="zh-CN"/>
        </w:rPr>
        <w:t>北海市铁山港区</w:t>
      </w:r>
      <w:r>
        <w:rPr>
          <w:rFonts w:hint="eastAsia" w:ascii="宋体" w:hAnsi="宋体" w:eastAsia="宋体" w:cs="宋体"/>
          <w:b/>
          <w:bCs/>
          <w:spacing w:val="7"/>
          <w:sz w:val="28"/>
          <w:szCs w:val="28"/>
          <w:highlight w:val="none"/>
        </w:rPr>
        <w:t>污水处理设施在线监测维护考核评分表</w:t>
      </w:r>
    </w:p>
    <w:p w14:paraId="669BCC44">
      <w:pPr>
        <w:spacing w:line="81" w:lineRule="exact"/>
        <w:rPr>
          <w:rFonts w:hint="eastAsia" w:ascii="宋体" w:hAnsi="宋体" w:eastAsia="宋体" w:cs="宋体"/>
          <w:sz w:val="21"/>
          <w:szCs w:val="21"/>
          <w:highlight w:val="none"/>
        </w:rPr>
      </w:pPr>
    </w:p>
    <w:tbl>
      <w:tblPr>
        <w:tblStyle w:val="638"/>
        <w:tblW w:w="10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489"/>
        <w:gridCol w:w="2"/>
        <w:gridCol w:w="2528"/>
        <w:gridCol w:w="221"/>
        <w:gridCol w:w="1446"/>
        <w:gridCol w:w="858"/>
        <w:gridCol w:w="795"/>
        <w:gridCol w:w="635"/>
        <w:gridCol w:w="773"/>
        <w:gridCol w:w="881"/>
      </w:tblGrid>
      <w:tr w14:paraId="0FBF9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0079" w:type="dxa"/>
            <w:gridSpan w:val="11"/>
            <w:vAlign w:val="top"/>
          </w:tcPr>
          <w:p w14:paraId="75D439F1">
            <w:pPr>
              <w:pStyle w:val="224"/>
              <w:spacing w:before="107" w:line="221" w:lineRule="auto"/>
              <w:ind w:left="116"/>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考核点位名称：</w:t>
            </w:r>
          </w:p>
        </w:tc>
      </w:tr>
      <w:tr w14:paraId="1B41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1940" w:type="dxa"/>
            <w:gridSpan w:val="2"/>
            <w:vAlign w:val="top"/>
          </w:tcPr>
          <w:p w14:paraId="75FC3473">
            <w:pPr>
              <w:pStyle w:val="224"/>
              <w:spacing w:before="33" w:line="207" w:lineRule="auto"/>
              <w:ind w:left="2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点位维护负责人</w:t>
            </w:r>
          </w:p>
        </w:tc>
        <w:tc>
          <w:tcPr>
            <w:tcW w:w="2751" w:type="dxa"/>
            <w:gridSpan w:val="3"/>
            <w:vAlign w:val="top"/>
          </w:tcPr>
          <w:p w14:paraId="055D20DE">
            <w:pPr>
              <w:rPr>
                <w:rFonts w:hint="eastAsia" w:ascii="宋体" w:hAnsi="宋体" w:eastAsia="宋体" w:cs="宋体"/>
                <w:sz w:val="21"/>
                <w:szCs w:val="21"/>
                <w:highlight w:val="none"/>
              </w:rPr>
            </w:pPr>
          </w:p>
        </w:tc>
        <w:tc>
          <w:tcPr>
            <w:tcW w:w="2304" w:type="dxa"/>
            <w:gridSpan w:val="2"/>
            <w:vAlign w:val="top"/>
          </w:tcPr>
          <w:p w14:paraId="64162A46">
            <w:pPr>
              <w:pStyle w:val="224"/>
              <w:spacing w:before="33" w:line="207" w:lineRule="auto"/>
              <w:ind w:left="499"/>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考</w:t>
            </w:r>
            <w:r>
              <w:rPr>
                <w:rFonts w:hint="eastAsia" w:ascii="宋体" w:hAnsi="宋体" w:eastAsia="宋体" w:cs="宋体"/>
                <w:spacing w:val="9"/>
                <w:sz w:val="21"/>
                <w:szCs w:val="21"/>
                <w:highlight w:val="none"/>
              </w:rPr>
              <w:t xml:space="preserve"> </w:t>
            </w:r>
            <w:r>
              <w:rPr>
                <w:rFonts w:hint="eastAsia" w:ascii="宋体" w:hAnsi="宋体" w:eastAsia="宋体" w:cs="宋体"/>
                <w:spacing w:val="-16"/>
                <w:sz w:val="21"/>
                <w:szCs w:val="21"/>
                <w:highlight w:val="none"/>
              </w:rPr>
              <w:t>核</w:t>
            </w:r>
            <w:r>
              <w:rPr>
                <w:rFonts w:hint="eastAsia" w:ascii="宋体" w:hAnsi="宋体" w:eastAsia="宋体" w:cs="宋体"/>
                <w:spacing w:val="46"/>
                <w:sz w:val="21"/>
                <w:szCs w:val="21"/>
                <w:highlight w:val="none"/>
              </w:rPr>
              <w:t xml:space="preserve"> </w:t>
            </w:r>
            <w:r>
              <w:rPr>
                <w:rFonts w:hint="eastAsia" w:ascii="宋体" w:hAnsi="宋体" w:eastAsia="宋体" w:cs="宋体"/>
                <w:spacing w:val="-16"/>
                <w:sz w:val="21"/>
                <w:szCs w:val="21"/>
                <w:highlight w:val="none"/>
              </w:rPr>
              <w:t>日</w:t>
            </w:r>
            <w:r>
              <w:rPr>
                <w:rFonts w:hint="eastAsia" w:ascii="宋体" w:hAnsi="宋体" w:eastAsia="宋体" w:cs="宋体"/>
                <w:spacing w:val="4"/>
                <w:sz w:val="21"/>
                <w:szCs w:val="21"/>
                <w:highlight w:val="none"/>
              </w:rPr>
              <w:t xml:space="preserve">  </w:t>
            </w:r>
            <w:r>
              <w:rPr>
                <w:rFonts w:hint="eastAsia" w:ascii="宋体" w:hAnsi="宋体" w:eastAsia="宋体" w:cs="宋体"/>
                <w:spacing w:val="-16"/>
                <w:sz w:val="21"/>
                <w:szCs w:val="21"/>
                <w:highlight w:val="none"/>
              </w:rPr>
              <w:t>期</w:t>
            </w:r>
          </w:p>
        </w:tc>
        <w:tc>
          <w:tcPr>
            <w:tcW w:w="3084" w:type="dxa"/>
            <w:gridSpan w:val="4"/>
            <w:vAlign w:val="top"/>
          </w:tcPr>
          <w:p w14:paraId="424BAAAB">
            <w:pPr>
              <w:pStyle w:val="224"/>
              <w:spacing w:before="33" w:line="207" w:lineRule="auto"/>
              <w:ind w:left="72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年</w:t>
            </w:r>
            <w:r>
              <w:rPr>
                <w:rFonts w:hint="eastAsia" w:ascii="宋体" w:hAnsi="宋体" w:eastAsia="宋体" w:cs="宋体"/>
                <w:spacing w:val="2"/>
                <w:sz w:val="21"/>
                <w:szCs w:val="21"/>
                <w:highlight w:val="none"/>
              </w:rPr>
              <w:t xml:space="preserve">     </w:t>
            </w:r>
            <w:r>
              <w:rPr>
                <w:rFonts w:hint="eastAsia" w:ascii="宋体" w:hAnsi="宋体" w:eastAsia="宋体" w:cs="宋体"/>
                <w:spacing w:val="-8"/>
                <w:sz w:val="21"/>
                <w:szCs w:val="21"/>
                <w:highlight w:val="none"/>
              </w:rPr>
              <w:t>月</w:t>
            </w:r>
            <w:r>
              <w:rPr>
                <w:rFonts w:hint="eastAsia" w:ascii="宋体" w:hAnsi="宋体" w:eastAsia="宋体" w:cs="宋体"/>
                <w:spacing w:val="12"/>
                <w:sz w:val="21"/>
                <w:szCs w:val="21"/>
                <w:highlight w:val="none"/>
              </w:rPr>
              <w:t xml:space="preserve">    </w:t>
            </w:r>
            <w:r>
              <w:rPr>
                <w:rFonts w:hint="eastAsia" w:ascii="宋体" w:hAnsi="宋体" w:eastAsia="宋体" w:cs="宋体"/>
                <w:spacing w:val="-8"/>
                <w:sz w:val="21"/>
                <w:szCs w:val="21"/>
                <w:highlight w:val="none"/>
              </w:rPr>
              <w:t>日</w:t>
            </w:r>
          </w:p>
        </w:tc>
      </w:tr>
      <w:tr w14:paraId="2B08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995" w:type="dxa"/>
            <w:gridSpan w:val="7"/>
            <w:vAlign w:val="top"/>
          </w:tcPr>
          <w:p w14:paraId="28652F65">
            <w:pPr>
              <w:pStyle w:val="224"/>
              <w:spacing w:before="175" w:line="221" w:lineRule="auto"/>
              <w:ind w:left="196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巡检内容、情况及异常情况说明</w:t>
            </w:r>
          </w:p>
        </w:tc>
        <w:tc>
          <w:tcPr>
            <w:tcW w:w="795" w:type="dxa"/>
            <w:vAlign w:val="center"/>
          </w:tcPr>
          <w:p w14:paraId="5CD31AA5">
            <w:pPr>
              <w:jc w:val="center"/>
              <w:rPr>
                <w:rFonts w:hint="eastAsia"/>
                <w:highlight w:val="none"/>
              </w:rPr>
            </w:pPr>
            <w:r>
              <w:rPr>
                <w:rFonts w:hint="eastAsia"/>
                <w:highlight w:val="none"/>
              </w:rPr>
              <w:t>备注</w:t>
            </w:r>
          </w:p>
        </w:tc>
        <w:tc>
          <w:tcPr>
            <w:tcW w:w="635" w:type="dxa"/>
            <w:vAlign w:val="center"/>
          </w:tcPr>
          <w:p w14:paraId="4CE6A54D">
            <w:pPr>
              <w:jc w:val="center"/>
              <w:rPr>
                <w:rFonts w:hint="eastAsia"/>
                <w:highlight w:val="none"/>
              </w:rPr>
            </w:pPr>
            <w:r>
              <w:rPr>
                <w:rFonts w:hint="eastAsia"/>
                <w:highlight w:val="none"/>
              </w:rPr>
              <w:t>分值</w:t>
            </w:r>
          </w:p>
        </w:tc>
        <w:tc>
          <w:tcPr>
            <w:tcW w:w="773" w:type="dxa"/>
            <w:vAlign w:val="center"/>
          </w:tcPr>
          <w:p w14:paraId="78F520ED">
            <w:pPr>
              <w:jc w:val="center"/>
              <w:rPr>
                <w:rFonts w:hint="eastAsia"/>
                <w:highlight w:val="none"/>
              </w:rPr>
            </w:pPr>
            <w:r>
              <w:rPr>
                <w:rFonts w:hint="eastAsia"/>
                <w:highlight w:val="none"/>
              </w:rPr>
              <w:t>得分</w:t>
            </w:r>
          </w:p>
        </w:tc>
        <w:tc>
          <w:tcPr>
            <w:tcW w:w="881" w:type="dxa"/>
            <w:tcBorders>
              <w:bottom w:val="single" w:color="auto" w:sz="4" w:space="0"/>
            </w:tcBorders>
            <w:vAlign w:val="center"/>
          </w:tcPr>
          <w:p w14:paraId="685AB83B">
            <w:pPr>
              <w:jc w:val="center"/>
              <w:rPr>
                <w:rFonts w:hint="eastAsia"/>
                <w:highlight w:val="none"/>
              </w:rPr>
            </w:pPr>
            <w:r>
              <w:rPr>
                <w:rFonts w:hint="eastAsia"/>
                <w:highlight w:val="none"/>
              </w:rPr>
              <w:t>总分</w:t>
            </w:r>
          </w:p>
        </w:tc>
      </w:tr>
      <w:tr w14:paraId="2D6A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451" w:type="dxa"/>
            <w:vMerge w:val="restart"/>
            <w:textDirection w:val="tbRlV"/>
            <w:vAlign w:val="top"/>
          </w:tcPr>
          <w:p w14:paraId="10BE1CBA">
            <w:pPr>
              <w:pStyle w:val="224"/>
              <w:spacing w:before="112" w:line="200" w:lineRule="auto"/>
              <w:ind w:left="4543"/>
              <w:rPr>
                <w:rFonts w:hint="eastAsia" w:ascii="宋体" w:hAnsi="宋体" w:eastAsia="宋体" w:cs="宋体"/>
                <w:sz w:val="21"/>
                <w:szCs w:val="21"/>
                <w:highlight w:val="none"/>
              </w:rPr>
            </w:pPr>
            <w:r>
              <w:rPr>
                <w:rFonts w:hint="eastAsia" w:ascii="宋体" w:hAnsi="宋体" w:eastAsia="宋体" w:cs="宋体"/>
                <w:spacing w:val="54"/>
                <w:position w:val="1"/>
                <w:sz w:val="21"/>
                <w:szCs w:val="21"/>
                <w:highlight w:val="none"/>
              </w:rPr>
              <w:t>日</w:t>
            </w:r>
            <w:r>
              <w:rPr>
                <w:rFonts w:hint="eastAsia" w:ascii="宋体" w:hAnsi="宋体" w:eastAsia="宋体" w:cs="宋体"/>
                <w:spacing w:val="54"/>
                <w:sz w:val="21"/>
                <w:szCs w:val="21"/>
                <w:highlight w:val="none"/>
              </w:rPr>
              <w:t>常维护概述</w:t>
            </w:r>
          </w:p>
        </w:tc>
        <w:tc>
          <w:tcPr>
            <w:tcW w:w="1489" w:type="dxa"/>
            <w:vMerge w:val="restart"/>
            <w:tcBorders>
              <w:bottom w:val="nil"/>
            </w:tcBorders>
            <w:vAlign w:val="top"/>
          </w:tcPr>
          <w:p w14:paraId="69DB4A16">
            <w:pPr>
              <w:pStyle w:val="224"/>
              <w:spacing w:before="198" w:line="231" w:lineRule="auto"/>
              <w:ind w:left="640" w:right="106" w:hanging="522"/>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（一）准备工</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作</w:t>
            </w:r>
          </w:p>
        </w:tc>
        <w:tc>
          <w:tcPr>
            <w:tcW w:w="2751" w:type="dxa"/>
            <w:gridSpan w:val="3"/>
            <w:vAlign w:val="top"/>
          </w:tcPr>
          <w:p w14:paraId="73F5D014">
            <w:pPr>
              <w:pStyle w:val="224"/>
              <w:spacing w:before="103" w:line="220" w:lineRule="auto"/>
              <w:ind w:left="39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查看数采仪历史记录</w:t>
            </w:r>
          </w:p>
        </w:tc>
        <w:tc>
          <w:tcPr>
            <w:tcW w:w="2304" w:type="dxa"/>
            <w:gridSpan w:val="2"/>
            <w:vAlign w:val="top"/>
          </w:tcPr>
          <w:p w14:paraId="5518922B">
            <w:pPr>
              <w:pStyle w:val="224"/>
              <w:spacing w:before="103" w:line="221" w:lineRule="auto"/>
              <w:ind w:left="466"/>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□正常</w:t>
            </w:r>
            <w:r>
              <w:rPr>
                <w:rFonts w:hint="eastAsia" w:ascii="宋体" w:hAnsi="宋体" w:eastAsia="宋体" w:cs="宋体"/>
                <w:spacing w:val="34"/>
                <w:sz w:val="21"/>
                <w:szCs w:val="21"/>
                <w:highlight w:val="none"/>
              </w:rPr>
              <w:t xml:space="preserve"> </w:t>
            </w:r>
            <w:r>
              <w:rPr>
                <w:rFonts w:hint="eastAsia" w:ascii="宋体" w:hAnsi="宋体" w:eastAsia="宋体" w:cs="宋体"/>
                <w:spacing w:val="-11"/>
                <w:sz w:val="21"/>
                <w:szCs w:val="21"/>
                <w:highlight w:val="none"/>
              </w:rPr>
              <w:t>□异常</w:t>
            </w:r>
          </w:p>
        </w:tc>
        <w:tc>
          <w:tcPr>
            <w:tcW w:w="795" w:type="dxa"/>
            <w:vAlign w:val="top"/>
          </w:tcPr>
          <w:p w14:paraId="3481A993">
            <w:pPr>
              <w:rPr>
                <w:rFonts w:hint="eastAsia" w:ascii="宋体" w:hAnsi="宋体" w:eastAsia="宋体" w:cs="宋体"/>
                <w:sz w:val="21"/>
                <w:szCs w:val="21"/>
                <w:highlight w:val="none"/>
              </w:rPr>
            </w:pPr>
          </w:p>
        </w:tc>
        <w:tc>
          <w:tcPr>
            <w:tcW w:w="635" w:type="dxa"/>
            <w:vAlign w:val="top"/>
          </w:tcPr>
          <w:p w14:paraId="7004FFE8">
            <w:pPr>
              <w:pStyle w:val="224"/>
              <w:spacing w:before="137" w:line="184" w:lineRule="auto"/>
              <w:ind w:left="273"/>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73" w:type="dxa"/>
            <w:tcBorders>
              <w:right w:val="single" w:color="auto" w:sz="4" w:space="0"/>
            </w:tcBorders>
            <w:vAlign w:val="top"/>
          </w:tcPr>
          <w:p w14:paraId="3CF19928">
            <w:pPr>
              <w:rPr>
                <w:rFonts w:hint="eastAsia" w:ascii="宋体" w:hAnsi="宋体" w:eastAsia="宋体" w:cs="宋体"/>
                <w:sz w:val="21"/>
                <w:szCs w:val="21"/>
                <w:highlight w:val="none"/>
              </w:rPr>
            </w:pPr>
          </w:p>
        </w:tc>
        <w:tc>
          <w:tcPr>
            <w:tcW w:w="881" w:type="dxa"/>
            <w:vMerge w:val="restart"/>
            <w:tcBorders>
              <w:top w:val="single" w:color="auto" w:sz="4" w:space="0"/>
              <w:left w:val="single" w:color="auto" w:sz="4" w:space="0"/>
              <w:bottom w:val="single" w:color="auto" w:sz="4" w:space="0"/>
              <w:right w:val="single" w:color="auto" w:sz="4" w:space="0"/>
            </w:tcBorders>
            <w:vAlign w:val="top"/>
          </w:tcPr>
          <w:p w14:paraId="444D8663">
            <w:pPr>
              <w:spacing w:line="245" w:lineRule="auto"/>
              <w:rPr>
                <w:rFonts w:hint="eastAsia" w:ascii="宋体" w:hAnsi="宋体" w:eastAsia="宋体" w:cs="宋体"/>
                <w:sz w:val="21"/>
                <w:szCs w:val="21"/>
                <w:highlight w:val="none"/>
              </w:rPr>
            </w:pPr>
          </w:p>
          <w:p w14:paraId="4F937D02">
            <w:pPr>
              <w:spacing w:line="245" w:lineRule="auto"/>
              <w:rPr>
                <w:rFonts w:hint="eastAsia" w:ascii="宋体" w:hAnsi="宋体" w:eastAsia="宋体" w:cs="宋体"/>
                <w:sz w:val="21"/>
                <w:szCs w:val="21"/>
                <w:highlight w:val="none"/>
              </w:rPr>
            </w:pPr>
          </w:p>
          <w:p w14:paraId="3414C35F">
            <w:pPr>
              <w:spacing w:line="245" w:lineRule="auto"/>
              <w:rPr>
                <w:rFonts w:hint="eastAsia" w:ascii="宋体" w:hAnsi="宋体" w:eastAsia="宋体" w:cs="宋体"/>
                <w:sz w:val="21"/>
                <w:szCs w:val="21"/>
                <w:highlight w:val="none"/>
              </w:rPr>
            </w:pPr>
          </w:p>
          <w:p w14:paraId="3D8023F3">
            <w:pPr>
              <w:spacing w:line="245" w:lineRule="auto"/>
              <w:rPr>
                <w:rFonts w:hint="eastAsia" w:ascii="宋体" w:hAnsi="宋体" w:eastAsia="宋体" w:cs="宋体"/>
                <w:sz w:val="21"/>
                <w:szCs w:val="21"/>
                <w:highlight w:val="none"/>
              </w:rPr>
            </w:pPr>
          </w:p>
          <w:p w14:paraId="3766DCB3">
            <w:pPr>
              <w:spacing w:line="245" w:lineRule="auto"/>
              <w:rPr>
                <w:rFonts w:hint="eastAsia" w:ascii="宋体" w:hAnsi="宋体" w:eastAsia="宋体" w:cs="宋体"/>
                <w:sz w:val="21"/>
                <w:szCs w:val="21"/>
                <w:highlight w:val="none"/>
              </w:rPr>
            </w:pPr>
          </w:p>
          <w:p w14:paraId="279A7782">
            <w:pPr>
              <w:spacing w:line="245" w:lineRule="auto"/>
              <w:rPr>
                <w:rFonts w:hint="eastAsia" w:ascii="宋体" w:hAnsi="宋体" w:eastAsia="宋体" w:cs="宋体"/>
                <w:sz w:val="21"/>
                <w:szCs w:val="21"/>
                <w:highlight w:val="none"/>
              </w:rPr>
            </w:pPr>
          </w:p>
          <w:p w14:paraId="7BABBD41">
            <w:pPr>
              <w:spacing w:line="245" w:lineRule="auto"/>
              <w:rPr>
                <w:rFonts w:hint="eastAsia" w:ascii="宋体" w:hAnsi="宋体" w:eastAsia="宋体" w:cs="宋体"/>
                <w:sz w:val="21"/>
                <w:szCs w:val="21"/>
                <w:highlight w:val="none"/>
              </w:rPr>
            </w:pPr>
          </w:p>
          <w:p w14:paraId="4120AA94">
            <w:pPr>
              <w:spacing w:line="245" w:lineRule="auto"/>
              <w:rPr>
                <w:rFonts w:hint="eastAsia" w:ascii="宋体" w:hAnsi="宋体" w:eastAsia="宋体" w:cs="宋体"/>
                <w:sz w:val="21"/>
                <w:szCs w:val="21"/>
                <w:highlight w:val="none"/>
              </w:rPr>
            </w:pPr>
          </w:p>
          <w:p w14:paraId="23857AC1">
            <w:pPr>
              <w:spacing w:line="245" w:lineRule="auto"/>
              <w:rPr>
                <w:rFonts w:hint="eastAsia" w:ascii="宋体" w:hAnsi="宋体" w:eastAsia="宋体" w:cs="宋体"/>
                <w:sz w:val="21"/>
                <w:szCs w:val="21"/>
                <w:highlight w:val="none"/>
              </w:rPr>
            </w:pPr>
          </w:p>
          <w:p w14:paraId="4020FD20">
            <w:pPr>
              <w:spacing w:line="245" w:lineRule="auto"/>
              <w:rPr>
                <w:rFonts w:hint="eastAsia" w:ascii="宋体" w:hAnsi="宋体" w:eastAsia="宋体" w:cs="宋体"/>
                <w:sz w:val="21"/>
                <w:szCs w:val="21"/>
                <w:highlight w:val="none"/>
              </w:rPr>
            </w:pPr>
          </w:p>
          <w:p w14:paraId="41AA542A">
            <w:pPr>
              <w:spacing w:line="245" w:lineRule="auto"/>
              <w:rPr>
                <w:rFonts w:hint="eastAsia" w:ascii="宋体" w:hAnsi="宋体" w:eastAsia="宋体" w:cs="宋体"/>
                <w:sz w:val="21"/>
                <w:szCs w:val="21"/>
                <w:highlight w:val="none"/>
              </w:rPr>
            </w:pPr>
          </w:p>
          <w:p w14:paraId="5F5FF785">
            <w:pPr>
              <w:spacing w:line="245" w:lineRule="auto"/>
              <w:rPr>
                <w:rFonts w:hint="eastAsia" w:ascii="宋体" w:hAnsi="宋体" w:eastAsia="宋体" w:cs="宋体"/>
                <w:sz w:val="21"/>
                <w:szCs w:val="21"/>
                <w:highlight w:val="none"/>
              </w:rPr>
            </w:pPr>
          </w:p>
          <w:p w14:paraId="2F48F007">
            <w:pPr>
              <w:spacing w:line="245" w:lineRule="auto"/>
              <w:rPr>
                <w:rFonts w:hint="eastAsia" w:ascii="宋体" w:hAnsi="宋体" w:eastAsia="宋体" w:cs="宋体"/>
                <w:sz w:val="21"/>
                <w:szCs w:val="21"/>
                <w:highlight w:val="none"/>
              </w:rPr>
            </w:pPr>
          </w:p>
          <w:p w14:paraId="38CAE04F">
            <w:pPr>
              <w:spacing w:line="245" w:lineRule="auto"/>
              <w:rPr>
                <w:rFonts w:hint="eastAsia" w:ascii="宋体" w:hAnsi="宋体" w:eastAsia="宋体" w:cs="宋体"/>
                <w:sz w:val="21"/>
                <w:szCs w:val="21"/>
                <w:highlight w:val="none"/>
              </w:rPr>
            </w:pPr>
          </w:p>
          <w:p w14:paraId="5FCBA3B5">
            <w:pPr>
              <w:spacing w:line="246" w:lineRule="auto"/>
              <w:rPr>
                <w:rFonts w:hint="eastAsia" w:ascii="宋体" w:hAnsi="宋体" w:eastAsia="宋体" w:cs="宋体"/>
                <w:sz w:val="21"/>
                <w:szCs w:val="21"/>
                <w:highlight w:val="none"/>
              </w:rPr>
            </w:pPr>
          </w:p>
          <w:p w14:paraId="678CC83B">
            <w:pPr>
              <w:spacing w:line="246" w:lineRule="auto"/>
              <w:rPr>
                <w:rFonts w:hint="eastAsia" w:ascii="宋体" w:hAnsi="宋体" w:eastAsia="宋体" w:cs="宋体"/>
                <w:sz w:val="21"/>
                <w:szCs w:val="21"/>
                <w:highlight w:val="none"/>
              </w:rPr>
            </w:pPr>
          </w:p>
          <w:p w14:paraId="1DFFBBB6">
            <w:pPr>
              <w:spacing w:line="246" w:lineRule="auto"/>
              <w:rPr>
                <w:rFonts w:hint="eastAsia" w:ascii="宋体" w:hAnsi="宋体" w:eastAsia="宋体" w:cs="宋体"/>
                <w:sz w:val="21"/>
                <w:szCs w:val="21"/>
                <w:highlight w:val="none"/>
              </w:rPr>
            </w:pPr>
          </w:p>
          <w:p w14:paraId="3BA24296">
            <w:pPr>
              <w:spacing w:line="246" w:lineRule="auto"/>
              <w:rPr>
                <w:rFonts w:hint="eastAsia" w:ascii="宋体" w:hAnsi="宋体" w:eastAsia="宋体" w:cs="宋体"/>
                <w:sz w:val="21"/>
                <w:szCs w:val="21"/>
                <w:highlight w:val="none"/>
              </w:rPr>
            </w:pPr>
          </w:p>
          <w:p w14:paraId="5DB147C1">
            <w:pPr>
              <w:spacing w:line="246" w:lineRule="auto"/>
              <w:rPr>
                <w:rFonts w:hint="eastAsia" w:ascii="宋体" w:hAnsi="宋体" w:eastAsia="宋体" w:cs="宋体"/>
                <w:sz w:val="21"/>
                <w:szCs w:val="21"/>
                <w:highlight w:val="none"/>
              </w:rPr>
            </w:pPr>
          </w:p>
          <w:p w14:paraId="1803AD80">
            <w:pPr>
              <w:spacing w:line="246" w:lineRule="auto"/>
              <w:rPr>
                <w:rFonts w:hint="eastAsia" w:ascii="宋体" w:hAnsi="宋体" w:eastAsia="宋体" w:cs="宋体"/>
                <w:sz w:val="21"/>
                <w:szCs w:val="21"/>
                <w:highlight w:val="none"/>
              </w:rPr>
            </w:pPr>
          </w:p>
          <w:p w14:paraId="36FA3CBE">
            <w:pPr>
              <w:spacing w:line="246" w:lineRule="auto"/>
              <w:rPr>
                <w:rFonts w:hint="eastAsia" w:ascii="宋体" w:hAnsi="宋体" w:eastAsia="宋体" w:cs="宋体"/>
                <w:sz w:val="21"/>
                <w:szCs w:val="21"/>
                <w:highlight w:val="none"/>
              </w:rPr>
            </w:pPr>
          </w:p>
          <w:p w14:paraId="53971485">
            <w:pPr>
              <w:pStyle w:val="224"/>
              <w:spacing w:before="71" w:line="222" w:lineRule="auto"/>
              <w:ind w:left="16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100</w:t>
            </w:r>
            <w:r>
              <w:rPr>
                <w:rFonts w:hint="eastAsia" w:ascii="宋体" w:hAnsi="宋体" w:eastAsia="宋体" w:cs="宋体"/>
                <w:spacing w:val="-44"/>
                <w:sz w:val="21"/>
                <w:szCs w:val="21"/>
                <w:highlight w:val="none"/>
              </w:rPr>
              <w:t xml:space="preserve"> </w:t>
            </w:r>
            <w:r>
              <w:rPr>
                <w:rFonts w:hint="eastAsia" w:ascii="宋体" w:hAnsi="宋体" w:eastAsia="宋体" w:cs="宋体"/>
                <w:spacing w:val="-6"/>
                <w:sz w:val="21"/>
                <w:szCs w:val="21"/>
                <w:highlight w:val="none"/>
              </w:rPr>
              <w:t>分</w:t>
            </w:r>
          </w:p>
        </w:tc>
      </w:tr>
      <w:tr w14:paraId="22D6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451" w:type="dxa"/>
            <w:vMerge w:val="continue"/>
            <w:textDirection w:val="tbRlV"/>
            <w:vAlign w:val="top"/>
          </w:tcPr>
          <w:p w14:paraId="64C1D4CC">
            <w:pPr>
              <w:rPr>
                <w:rFonts w:hint="eastAsia" w:ascii="宋体" w:hAnsi="宋体" w:eastAsia="宋体" w:cs="宋体"/>
                <w:sz w:val="21"/>
                <w:szCs w:val="21"/>
                <w:highlight w:val="none"/>
              </w:rPr>
            </w:pPr>
          </w:p>
        </w:tc>
        <w:tc>
          <w:tcPr>
            <w:tcW w:w="1489" w:type="dxa"/>
            <w:vMerge w:val="continue"/>
            <w:tcBorders>
              <w:top w:val="nil"/>
            </w:tcBorders>
            <w:vAlign w:val="top"/>
          </w:tcPr>
          <w:p w14:paraId="469D7BAB">
            <w:pPr>
              <w:rPr>
                <w:rFonts w:hint="eastAsia" w:ascii="宋体" w:hAnsi="宋体" w:eastAsia="宋体" w:cs="宋体"/>
                <w:sz w:val="21"/>
                <w:szCs w:val="21"/>
                <w:highlight w:val="none"/>
              </w:rPr>
            </w:pPr>
          </w:p>
        </w:tc>
        <w:tc>
          <w:tcPr>
            <w:tcW w:w="2751" w:type="dxa"/>
            <w:gridSpan w:val="3"/>
            <w:vAlign w:val="top"/>
          </w:tcPr>
          <w:p w14:paraId="5D87527C">
            <w:pPr>
              <w:pStyle w:val="224"/>
              <w:spacing w:before="122" w:line="220" w:lineRule="auto"/>
              <w:ind w:left="72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检查试剂存量</w:t>
            </w:r>
          </w:p>
        </w:tc>
        <w:tc>
          <w:tcPr>
            <w:tcW w:w="2304" w:type="dxa"/>
            <w:gridSpan w:val="2"/>
            <w:vAlign w:val="top"/>
          </w:tcPr>
          <w:p w14:paraId="1A4C0F7D">
            <w:pPr>
              <w:pStyle w:val="224"/>
              <w:spacing w:before="122" w:line="221" w:lineRule="auto"/>
              <w:ind w:left="466"/>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□正常</w:t>
            </w:r>
            <w:r>
              <w:rPr>
                <w:rFonts w:hint="eastAsia" w:ascii="宋体" w:hAnsi="宋体" w:eastAsia="宋体" w:cs="宋体"/>
                <w:spacing w:val="34"/>
                <w:sz w:val="21"/>
                <w:szCs w:val="21"/>
                <w:highlight w:val="none"/>
              </w:rPr>
              <w:t xml:space="preserve"> </w:t>
            </w:r>
            <w:r>
              <w:rPr>
                <w:rFonts w:hint="eastAsia" w:ascii="宋体" w:hAnsi="宋体" w:eastAsia="宋体" w:cs="宋体"/>
                <w:spacing w:val="-11"/>
                <w:sz w:val="21"/>
                <w:szCs w:val="21"/>
                <w:highlight w:val="none"/>
              </w:rPr>
              <w:t>□异常</w:t>
            </w:r>
          </w:p>
        </w:tc>
        <w:tc>
          <w:tcPr>
            <w:tcW w:w="795" w:type="dxa"/>
            <w:vAlign w:val="top"/>
          </w:tcPr>
          <w:p w14:paraId="191C7E97">
            <w:pPr>
              <w:pStyle w:val="224"/>
              <w:spacing w:before="122" w:line="222" w:lineRule="auto"/>
              <w:ind w:left="115"/>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余量：</w:t>
            </w:r>
          </w:p>
        </w:tc>
        <w:tc>
          <w:tcPr>
            <w:tcW w:w="635" w:type="dxa"/>
            <w:vAlign w:val="top"/>
          </w:tcPr>
          <w:p w14:paraId="72766A74">
            <w:pPr>
              <w:pStyle w:val="224"/>
              <w:spacing w:before="157" w:line="184" w:lineRule="auto"/>
              <w:ind w:left="273"/>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73" w:type="dxa"/>
            <w:tcBorders>
              <w:right w:val="single" w:color="auto" w:sz="4" w:space="0"/>
            </w:tcBorders>
            <w:vAlign w:val="top"/>
          </w:tcPr>
          <w:p w14:paraId="6781A261">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50166753">
            <w:pPr>
              <w:rPr>
                <w:rFonts w:hint="eastAsia" w:ascii="宋体" w:hAnsi="宋体" w:eastAsia="宋体" w:cs="宋体"/>
                <w:sz w:val="21"/>
                <w:szCs w:val="21"/>
                <w:highlight w:val="none"/>
              </w:rPr>
            </w:pPr>
          </w:p>
        </w:tc>
      </w:tr>
      <w:tr w14:paraId="57AF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51" w:type="dxa"/>
            <w:vMerge w:val="continue"/>
            <w:textDirection w:val="tbRlV"/>
            <w:vAlign w:val="top"/>
          </w:tcPr>
          <w:p w14:paraId="615F5F9E">
            <w:pPr>
              <w:rPr>
                <w:rFonts w:hint="eastAsia" w:ascii="宋体" w:hAnsi="宋体" w:eastAsia="宋体" w:cs="宋体"/>
                <w:sz w:val="21"/>
                <w:szCs w:val="21"/>
                <w:highlight w:val="none"/>
              </w:rPr>
            </w:pPr>
          </w:p>
        </w:tc>
        <w:tc>
          <w:tcPr>
            <w:tcW w:w="1489" w:type="dxa"/>
            <w:vMerge w:val="restart"/>
            <w:tcBorders>
              <w:bottom w:val="nil"/>
            </w:tcBorders>
            <w:vAlign w:val="top"/>
          </w:tcPr>
          <w:p w14:paraId="42C5C73A">
            <w:pPr>
              <w:spacing w:line="282" w:lineRule="auto"/>
              <w:rPr>
                <w:rFonts w:hint="eastAsia" w:ascii="宋体" w:hAnsi="宋体" w:eastAsia="宋体" w:cs="宋体"/>
                <w:sz w:val="21"/>
                <w:szCs w:val="21"/>
                <w:highlight w:val="none"/>
              </w:rPr>
            </w:pPr>
          </w:p>
          <w:p w14:paraId="4389EC15">
            <w:pPr>
              <w:spacing w:line="282" w:lineRule="auto"/>
              <w:rPr>
                <w:rFonts w:hint="eastAsia" w:ascii="宋体" w:hAnsi="宋体" w:eastAsia="宋体" w:cs="宋体"/>
                <w:sz w:val="21"/>
                <w:szCs w:val="21"/>
                <w:highlight w:val="none"/>
              </w:rPr>
            </w:pPr>
          </w:p>
          <w:p w14:paraId="3444C180">
            <w:pPr>
              <w:spacing w:line="283" w:lineRule="auto"/>
              <w:rPr>
                <w:rFonts w:hint="eastAsia" w:ascii="宋体" w:hAnsi="宋体" w:eastAsia="宋体" w:cs="宋体"/>
                <w:sz w:val="21"/>
                <w:szCs w:val="21"/>
                <w:highlight w:val="none"/>
              </w:rPr>
            </w:pPr>
          </w:p>
          <w:p w14:paraId="2FB225CA">
            <w:pPr>
              <w:spacing w:line="283" w:lineRule="auto"/>
              <w:rPr>
                <w:rFonts w:hint="eastAsia" w:ascii="宋体" w:hAnsi="宋体" w:eastAsia="宋体" w:cs="宋体"/>
                <w:sz w:val="21"/>
                <w:szCs w:val="21"/>
                <w:highlight w:val="none"/>
              </w:rPr>
            </w:pPr>
          </w:p>
          <w:p w14:paraId="2FA2D75A">
            <w:pPr>
              <w:spacing w:line="283" w:lineRule="auto"/>
              <w:rPr>
                <w:rFonts w:hint="eastAsia" w:ascii="宋体" w:hAnsi="宋体" w:eastAsia="宋体" w:cs="宋体"/>
                <w:sz w:val="21"/>
                <w:szCs w:val="21"/>
                <w:highlight w:val="none"/>
              </w:rPr>
            </w:pPr>
          </w:p>
          <w:p w14:paraId="6CA403B3">
            <w:pPr>
              <w:pStyle w:val="224"/>
              <w:spacing w:before="72" w:line="233" w:lineRule="auto"/>
              <w:ind w:left="642" w:right="106" w:hanging="524"/>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（二）站点检</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查</w:t>
            </w:r>
          </w:p>
        </w:tc>
        <w:tc>
          <w:tcPr>
            <w:tcW w:w="2751" w:type="dxa"/>
            <w:gridSpan w:val="3"/>
            <w:vAlign w:val="top"/>
          </w:tcPr>
          <w:p w14:paraId="2917882F">
            <w:pPr>
              <w:pStyle w:val="224"/>
              <w:spacing w:before="34" w:line="226" w:lineRule="auto"/>
              <w:ind w:left="944" w:right="9" w:hanging="831"/>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供电系统（稳压器、UPS</w:t>
            </w:r>
            <w:r>
              <w:rPr>
                <w:rFonts w:hint="eastAsia" w:ascii="宋体" w:hAnsi="宋体" w:eastAsia="宋体" w:cs="宋体"/>
                <w:spacing w:val="-42"/>
                <w:sz w:val="21"/>
                <w:szCs w:val="21"/>
                <w:highlight w:val="none"/>
              </w:rPr>
              <w:t xml:space="preserve"> </w:t>
            </w:r>
            <w:r>
              <w:rPr>
                <w:rFonts w:hint="eastAsia" w:ascii="宋体" w:hAnsi="宋体" w:eastAsia="宋体" w:cs="宋体"/>
                <w:spacing w:val="-14"/>
                <w:sz w:val="21"/>
                <w:szCs w:val="21"/>
                <w:highlight w:val="none"/>
              </w:rPr>
              <w:t>等）</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是否正常</w:t>
            </w:r>
          </w:p>
        </w:tc>
        <w:tc>
          <w:tcPr>
            <w:tcW w:w="2304" w:type="dxa"/>
            <w:gridSpan w:val="2"/>
            <w:vAlign w:val="top"/>
          </w:tcPr>
          <w:p w14:paraId="49E62D22">
            <w:pPr>
              <w:pStyle w:val="224"/>
              <w:spacing w:before="1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10826C7D">
            <w:pPr>
              <w:rPr>
                <w:rFonts w:hint="eastAsia" w:ascii="宋体" w:hAnsi="宋体" w:eastAsia="宋体" w:cs="宋体"/>
                <w:sz w:val="21"/>
                <w:szCs w:val="21"/>
                <w:highlight w:val="none"/>
              </w:rPr>
            </w:pPr>
          </w:p>
        </w:tc>
        <w:tc>
          <w:tcPr>
            <w:tcW w:w="635" w:type="dxa"/>
            <w:vAlign w:val="top"/>
          </w:tcPr>
          <w:p w14:paraId="2A3A8848">
            <w:pPr>
              <w:pStyle w:val="224"/>
              <w:spacing w:before="213" w:line="184" w:lineRule="auto"/>
              <w:ind w:left="273"/>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73" w:type="dxa"/>
            <w:tcBorders>
              <w:right w:val="single" w:color="auto" w:sz="4" w:space="0"/>
            </w:tcBorders>
            <w:vAlign w:val="top"/>
          </w:tcPr>
          <w:p w14:paraId="77833E9B">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1D47DF92">
            <w:pPr>
              <w:rPr>
                <w:rFonts w:hint="eastAsia" w:ascii="宋体" w:hAnsi="宋体" w:eastAsia="宋体" w:cs="宋体"/>
                <w:sz w:val="21"/>
                <w:szCs w:val="21"/>
                <w:highlight w:val="none"/>
              </w:rPr>
            </w:pPr>
          </w:p>
        </w:tc>
      </w:tr>
      <w:tr w14:paraId="40F70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51" w:type="dxa"/>
            <w:vMerge w:val="continue"/>
            <w:textDirection w:val="tbRlV"/>
            <w:vAlign w:val="top"/>
          </w:tcPr>
          <w:p w14:paraId="2869B23A">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4349CFD2">
            <w:pPr>
              <w:rPr>
                <w:rFonts w:hint="eastAsia" w:ascii="宋体" w:hAnsi="宋体" w:eastAsia="宋体" w:cs="宋体"/>
                <w:sz w:val="21"/>
                <w:szCs w:val="21"/>
                <w:highlight w:val="none"/>
              </w:rPr>
            </w:pPr>
          </w:p>
        </w:tc>
        <w:tc>
          <w:tcPr>
            <w:tcW w:w="2751" w:type="dxa"/>
            <w:gridSpan w:val="3"/>
            <w:vAlign w:val="top"/>
          </w:tcPr>
          <w:p w14:paraId="44DA2BAF">
            <w:pPr>
              <w:pStyle w:val="224"/>
              <w:spacing w:before="34" w:line="226" w:lineRule="auto"/>
              <w:ind w:left="944" w:right="9" w:hanging="831"/>
              <w:rPr>
                <w:rFonts w:hint="eastAsia" w:ascii="宋体" w:hAnsi="宋体" w:eastAsia="宋体" w:cs="宋体"/>
                <w:sz w:val="21"/>
                <w:szCs w:val="21"/>
                <w:highlight w:val="none"/>
              </w:rPr>
            </w:pPr>
            <w:r>
              <w:rPr>
                <w:rFonts w:hint="eastAsia" w:ascii="宋体" w:hAnsi="宋体" w:eastAsia="宋体" w:cs="宋体"/>
                <w:spacing w:val="-19"/>
                <w:sz w:val="21"/>
                <w:szCs w:val="21"/>
                <w:highlight w:val="none"/>
              </w:rPr>
              <w:t>通信系统（有线、无线通信）</w:t>
            </w:r>
            <w:r>
              <w:rPr>
                <w:rFonts w:hint="eastAsia" w:ascii="宋体" w:hAnsi="宋体" w:eastAsia="宋体" w:cs="宋体"/>
                <w:spacing w:val="9"/>
                <w:sz w:val="21"/>
                <w:szCs w:val="21"/>
                <w:highlight w:val="none"/>
              </w:rPr>
              <w:t xml:space="preserve"> </w:t>
            </w:r>
            <w:r>
              <w:rPr>
                <w:rFonts w:hint="eastAsia" w:ascii="宋体" w:hAnsi="宋体" w:eastAsia="宋体" w:cs="宋体"/>
                <w:spacing w:val="-3"/>
                <w:sz w:val="21"/>
                <w:szCs w:val="21"/>
                <w:highlight w:val="none"/>
              </w:rPr>
              <w:t>是否正常</w:t>
            </w:r>
          </w:p>
        </w:tc>
        <w:tc>
          <w:tcPr>
            <w:tcW w:w="2304" w:type="dxa"/>
            <w:gridSpan w:val="2"/>
            <w:vAlign w:val="top"/>
          </w:tcPr>
          <w:p w14:paraId="487AA4CB">
            <w:pPr>
              <w:pStyle w:val="224"/>
              <w:spacing w:before="1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06AA996F">
            <w:pPr>
              <w:rPr>
                <w:rFonts w:hint="eastAsia" w:ascii="宋体" w:hAnsi="宋体" w:eastAsia="宋体" w:cs="宋体"/>
                <w:sz w:val="21"/>
                <w:szCs w:val="21"/>
                <w:highlight w:val="none"/>
              </w:rPr>
            </w:pPr>
          </w:p>
        </w:tc>
        <w:tc>
          <w:tcPr>
            <w:tcW w:w="635" w:type="dxa"/>
            <w:vAlign w:val="top"/>
          </w:tcPr>
          <w:p w14:paraId="26FCE31E">
            <w:pPr>
              <w:pStyle w:val="224"/>
              <w:spacing w:before="213" w:line="184" w:lineRule="auto"/>
              <w:ind w:left="273"/>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73" w:type="dxa"/>
            <w:tcBorders>
              <w:right w:val="single" w:color="auto" w:sz="4" w:space="0"/>
            </w:tcBorders>
            <w:vAlign w:val="top"/>
          </w:tcPr>
          <w:p w14:paraId="2AA79F25">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26FB2545">
            <w:pPr>
              <w:rPr>
                <w:rFonts w:hint="eastAsia" w:ascii="宋体" w:hAnsi="宋体" w:eastAsia="宋体" w:cs="宋体"/>
                <w:sz w:val="21"/>
                <w:szCs w:val="21"/>
                <w:highlight w:val="none"/>
              </w:rPr>
            </w:pPr>
          </w:p>
        </w:tc>
      </w:tr>
      <w:tr w14:paraId="5EC09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451" w:type="dxa"/>
            <w:vMerge w:val="continue"/>
            <w:textDirection w:val="tbRlV"/>
            <w:vAlign w:val="top"/>
          </w:tcPr>
          <w:p w14:paraId="27348CBD">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6AD3856E">
            <w:pPr>
              <w:rPr>
                <w:rFonts w:hint="eastAsia" w:ascii="宋体" w:hAnsi="宋体" w:eastAsia="宋体" w:cs="宋体"/>
                <w:sz w:val="21"/>
                <w:szCs w:val="21"/>
                <w:highlight w:val="none"/>
              </w:rPr>
            </w:pPr>
          </w:p>
        </w:tc>
        <w:tc>
          <w:tcPr>
            <w:tcW w:w="2751" w:type="dxa"/>
            <w:gridSpan w:val="3"/>
            <w:vAlign w:val="top"/>
          </w:tcPr>
          <w:p w14:paraId="36791696">
            <w:pPr>
              <w:pStyle w:val="224"/>
              <w:spacing w:before="35" w:line="220" w:lineRule="auto"/>
              <w:jc w:val="right"/>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采样系统（水泵、电磁阀、</w:t>
            </w:r>
          </w:p>
          <w:p w14:paraId="10C7CD7F">
            <w:pPr>
              <w:pStyle w:val="224"/>
              <w:spacing w:before="23" w:line="211" w:lineRule="auto"/>
              <w:ind w:left="83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过滤网等）</w:t>
            </w:r>
          </w:p>
        </w:tc>
        <w:tc>
          <w:tcPr>
            <w:tcW w:w="2304" w:type="dxa"/>
            <w:gridSpan w:val="2"/>
            <w:vAlign w:val="top"/>
          </w:tcPr>
          <w:p w14:paraId="7E5DF4E7">
            <w:pPr>
              <w:pStyle w:val="224"/>
              <w:spacing w:before="1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488C49FD">
            <w:pPr>
              <w:rPr>
                <w:rFonts w:hint="eastAsia" w:ascii="宋体" w:hAnsi="宋体" w:eastAsia="宋体" w:cs="宋体"/>
                <w:sz w:val="21"/>
                <w:szCs w:val="21"/>
                <w:highlight w:val="none"/>
              </w:rPr>
            </w:pPr>
          </w:p>
        </w:tc>
        <w:tc>
          <w:tcPr>
            <w:tcW w:w="635" w:type="dxa"/>
            <w:vAlign w:val="top"/>
          </w:tcPr>
          <w:p w14:paraId="5578320B">
            <w:pPr>
              <w:pStyle w:val="224"/>
              <w:spacing w:before="213" w:line="184" w:lineRule="auto"/>
              <w:ind w:left="2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3" w:type="dxa"/>
            <w:tcBorders>
              <w:right w:val="single" w:color="auto" w:sz="4" w:space="0"/>
            </w:tcBorders>
            <w:vAlign w:val="top"/>
          </w:tcPr>
          <w:p w14:paraId="58FD7458">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0A1D8E55">
            <w:pPr>
              <w:rPr>
                <w:rFonts w:hint="eastAsia" w:ascii="宋体" w:hAnsi="宋体" w:eastAsia="宋体" w:cs="宋体"/>
                <w:sz w:val="21"/>
                <w:szCs w:val="21"/>
                <w:highlight w:val="none"/>
              </w:rPr>
            </w:pPr>
          </w:p>
        </w:tc>
      </w:tr>
      <w:tr w14:paraId="6F100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jc w:val="center"/>
        </w:trPr>
        <w:tc>
          <w:tcPr>
            <w:tcW w:w="451" w:type="dxa"/>
            <w:vMerge w:val="continue"/>
            <w:textDirection w:val="tbRlV"/>
            <w:vAlign w:val="top"/>
          </w:tcPr>
          <w:p w14:paraId="4CB31C01">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3592B404">
            <w:pPr>
              <w:rPr>
                <w:rFonts w:hint="eastAsia" w:ascii="宋体" w:hAnsi="宋体" w:eastAsia="宋体" w:cs="宋体"/>
                <w:sz w:val="21"/>
                <w:szCs w:val="21"/>
                <w:highlight w:val="none"/>
              </w:rPr>
            </w:pPr>
          </w:p>
        </w:tc>
        <w:tc>
          <w:tcPr>
            <w:tcW w:w="2751" w:type="dxa"/>
            <w:gridSpan w:val="3"/>
            <w:vAlign w:val="top"/>
          </w:tcPr>
          <w:p w14:paraId="19BB0792">
            <w:pPr>
              <w:pStyle w:val="224"/>
              <w:spacing w:before="34" w:line="230" w:lineRule="auto"/>
              <w:ind w:left="612" w:right="104" w:hanging="498"/>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站房设施是否齐全，相关电</w:t>
            </w:r>
            <w:r>
              <w:rPr>
                <w:rFonts w:hint="eastAsia" w:ascii="宋体" w:hAnsi="宋体" w:eastAsia="宋体" w:cs="宋体"/>
                <w:spacing w:val="6"/>
                <w:sz w:val="21"/>
                <w:szCs w:val="21"/>
                <w:highlight w:val="none"/>
              </w:rPr>
              <w:t xml:space="preserve"> </w:t>
            </w:r>
            <w:r>
              <w:rPr>
                <w:rFonts w:hint="eastAsia" w:ascii="宋体" w:hAnsi="宋体" w:eastAsia="宋体" w:cs="宋体"/>
                <w:spacing w:val="-2"/>
                <w:sz w:val="21"/>
                <w:szCs w:val="21"/>
                <w:highlight w:val="none"/>
              </w:rPr>
              <w:t>器是否稳定运行</w:t>
            </w:r>
          </w:p>
          <w:p w14:paraId="7B92BF4A">
            <w:pPr>
              <w:pStyle w:val="224"/>
              <w:spacing w:before="21" w:line="223" w:lineRule="auto"/>
              <w:ind w:left="1050" w:right="104" w:hanging="931"/>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（电脑、桌椅、空调、排风</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扇等）</w:t>
            </w:r>
          </w:p>
        </w:tc>
        <w:tc>
          <w:tcPr>
            <w:tcW w:w="2304" w:type="dxa"/>
            <w:gridSpan w:val="2"/>
            <w:vAlign w:val="top"/>
          </w:tcPr>
          <w:p w14:paraId="276BD7F1">
            <w:pPr>
              <w:spacing w:line="386" w:lineRule="auto"/>
              <w:rPr>
                <w:rFonts w:hint="eastAsia" w:ascii="宋体" w:hAnsi="宋体" w:eastAsia="宋体" w:cs="宋体"/>
                <w:sz w:val="21"/>
                <w:szCs w:val="21"/>
                <w:highlight w:val="none"/>
              </w:rPr>
            </w:pPr>
          </w:p>
          <w:p w14:paraId="5C94C79B">
            <w:pPr>
              <w:pStyle w:val="224"/>
              <w:spacing w:before="71"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2FD9698C">
            <w:pPr>
              <w:rPr>
                <w:rFonts w:hint="eastAsia" w:ascii="宋体" w:hAnsi="宋体" w:eastAsia="宋体" w:cs="宋体"/>
                <w:sz w:val="21"/>
                <w:szCs w:val="21"/>
                <w:highlight w:val="none"/>
              </w:rPr>
            </w:pPr>
          </w:p>
        </w:tc>
        <w:tc>
          <w:tcPr>
            <w:tcW w:w="635" w:type="dxa"/>
            <w:vAlign w:val="top"/>
          </w:tcPr>
          <w:p w14:paraId="357B8124">
            <w:pPr>
              <w:spacing w:line="421" w:lineRule="auto"/>
              <w:rPr>
                <w:rFonts w:hint="eastAsia" w:ascii="宋体" w:hAnsi="宋体" w:eastAsia="宋体" w:cs="宋体"/>
                <w:sz w:val="21"/>
                <w:szCs w:val="21"/>
                <w:highlight w:val="none"/>
              </w:rPr>
            </w:pPr>
          </w:p>
          <w:p w14:paraId="1B39A107">
            <w:pPr>
              <w:pStyle w:val="224"/>
              <w:spacing w:before="71" w:line="184" w:lineRule="auto"/>
              <w:ind w:left="273"/>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73" w:type="dxa"/>
            <w:tcBorders>
              <w:right w:val="single" w:color="auto" w:sz="4" w:space="0"/>
            </w:tcBorders>
            <w:vAlign w:val="top"/>
          </w:tcPr>
          <w:p w14:paraId="41625C33">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5A1584C6">
            <w:pPr>
              <w:rPr>
                <w:rFonts w:hint="eastAsia" w:ascii="宋体" w:hAnsi="宋体" w:eastAsia="宋体" w:cs="宋体"/>
                <w:sz w:val="21"/>
                <w:szCs w:val="21"/>
                <w:highlight w:val="none"/>
              </w:rPr>
            </w:pPr>
          </w:p>
        </w:tc>
      </w:tr>
      <w:tr w14:paraId="5D110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451" w:type="dxa"/>
            <w:vMerge w:val="continue"/>
            <w:textDirection w:val="tbRlV"/>
            <w:vAlign w:val="top"/>
          </w:tcPr>
          <w:p w14:paraId="0ADAC308">
            <w:pPr>
              <w:rPr>
                <w:rFonts w:hint="eastAsia" w:ascii="宋体" w:hAnsi="宋体" w:eastAsia="宋体" w:cs="宋体"/>
                <w:sz w:val="21"/>
                <w:szCs w:val="21"/>
                <w:highlight w:val="none"/>
              </w:rPr>
            </w:pPr>
          </w:p>
        </w:tc>
        <w:tc>
          <w:tcPr>
            <w:tcW w:w="1489" w:type="dxa"/>
            <w:vMerge w:val="continue"/>
            <w:tcBorders>
              <w:top w:val="nil"/>
            </w:tcBorders>
            <w:vAlign w:val="top"/>
          </w:tcPr>
          <w:p w14:paraId="0BBF463D">
            <w:pPr>
              <w:rPr>
                <w:rFonts w:hint="eastAsia" w:ascii="宋体" w:hAnsi="宋体" w:eastAsia="宋体" w:cs="宋体"/>
                <w:sz w:val="21"/>
                <w:szCs w:val="21"/>
                <w:highlight w:val="none"/>
              </w:rPr>
            </w:pPr>
          </w:p>
        </w:tc>
        <w:tc>
          <w:tcPr>
            <w:tcW w:w="2751" w:type="dxa"/>
            <w:gridSpan w:val="3"/>
            <w:vAlign w:val="top"/>
          </w:tcPr>
          <w:p w14:paraId="0E262706">
            <w:pPr>
              <w:pStyle w:val="224"/>
              <w:spacing w:before="38" w:line="224" w:lineRule="auto"/>
              <w:ind w:left="501" w:right="104" w:hanging="389"/>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封条、试剂、有效性审核标</w:t>
            </w:r>
            <w:r>
              <w:rPr>
                <w:rFonts w:hint="eastAsia" w:ascii="宋体" w:hAnsi="宋体" w:eastAsia="宋体" w:cs="宋体"/>
                <w:spacing w:val="8"/>
                <w:sz w:val="21"/>
                <w:szCs w:val="21"/>
                <w:highlight w:val="none"/>
              </w:rPr>
              <w:t xml:space="preserve"> </w:t>
            </w:r>
            <w:r>
              <w:rPr>
                <w:rFonts w:hint="eastAsia" w:ascii="宋体" w:hAnsi="宋体" w:eastAsia="宋体" w:cs="宋体"/>
                <w:spacing w:val="-1"/>
                <w:sz w:val="21"/>
                <w:szCs w:val="21"/>
                <w:highlight w:val="none"/>
              </w:rPr>
              <w:t>签是否在有效期内</w:t>
            </w:r>
          </w:p>
        </w:tc>
        <w:tc>
          <w:tcPr>
            <w:tcW w:w="2304" w:type="dxa"/>
            <w:gridSpan w:val="2"/>
            <w:vAlign w:val="top"/>
          </w:tcPr>
          <w:p w14:paraId="57FBF1A7">
            <w:pPr>
              <w:pStyle w:val="224"/>
              <w:spacing w:before="181"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385FFDBC">
            <w:pPr>
              <w:rPr>
                <w:rFonts w:hint="eastAsia" w:ascii="宋体" w:hAnsi="宋体" w:eastAsia="宋体" w:cs="宋体"/>
                <w:sz w:val="21"/>
                <w:szCs w:val="21"/>
                <w:highlight w:val="none"/>
              </w:rPr>
            </w:pPr>
          </w:p>
        </w:tc>
        <w:tc>
          <w:tcPr>
            <w:tcW w:w="635" w:type="dxa"/>
            <w:vAlign w:val="top"/>
          </w:tcPr>
          <w:p w14:paraId="04F84573">
            <w:pPr>
              <w:pStyle w:val="224"/>
              <w:spacing w:before="216"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56AF49D7">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4FA6A4DF">
            <w:pPr>
              <w:rPr>
                <w:rFonts w:hint="eastAsia" w:ascii="宋体" w:hAnsi="宋体" w:eastAsia="宋体" w:cs="宋体"/>
                <w:sz w:val="21"/>
                <w:szCs w:val="21"/>
                <w:highlight w:val="none"/>
              </w:rPr>
            </w:pPr>
          </w:p>
        </w:tc>
      </w:tr>
      <w:tr w14:paraId="36C38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51" w:type="dxa"/>
            <w:vMerge w:val="continue"/>
            <w:textDirection w:val="tbRlV"/>
            <w:vAlign w:val="top"/>
          </w:tcPr>
          <w:p w14:paraId="5673F9E0">
            <w:pPr>
              <w:rPr>
                <w:rFonts w:hint="eastAsia" w:ascii="宋体" w:hAnsi="宋体" w:eastAsia="宋体" w:cs="宋体"/>
                <w:sz w:val="21"/>
                <w:szCs w:val="21"/>
                <w:highlight w:val="none"/>
              </w:rPr>
            </w:pPr>
          </w:p>
        </w:tc>
        <w:tc>
          <w:tcPr>
            <w:tcW w:w="1489" w:type="dxa"/>
            <w:vMerge w:val="restart"/>
            <w:tcBorders>
              <w:bottom w:val="nil"/>
            </w:tcBorders>
            <w:vAlign w:val="top"/>
          </w:tcPr>
          <w:p w14:paraId="3A579D8D">
            <w:pPr>
              <w:spacing w:line="263" w:lineRule="auto"/>
              <w:rPr>
                <w:rFonts w:hint="eastAsia" w:ascii="宋体" w:hAnsi="宋体" w:eastAsia="宋体" w:cs="宋体"/>
                <w:sz w:val="21"/>
                <w:szCs w:val="21"/>
                <w:highlight w:val="none"/>
              </w:rPr>
            </w:pPr>
          </w:p>
          <w:p w14:paraId="5BA28BFA">
            <w:pPr>
              <w:spacing w:line="263" w:lineRule="auto"/>
              <w:rPr>
                <w:rFonts w:hint="eastAsia" w:ascii="宋体" w:hAnsi="宋体" w:eastAsia="宋体" w:cs="宋体"/>
                <w:sz w:val="21"/>
                <w:szCs w:val="21"/>
                <w:highlight w:val="none"/>
              </w:rPr>
            </w:pPr>
          </w:p>
          <w:p w14:paraId="225A109F">
            <w:pPr>
              <w:spacing w:line="263" w:lineRule="auto"/>
              <w:rPr>
                <w:rFonts w:hint="eastAsia" w:ascii="宋体" w:hAnsi="宋体" w:eastAsia="宋体" w:cs="宋体"/>
                <w:sz w:val="21"/>
                <w:szCs w:val="21"/>
                <w:highlight w:val="none"/>
              </w:rPr>
            </w:pPr>
          </w:p>
          <w:p w14:paraId="50A11B98">
            <w:pPr>
              <w:spacing w:line="264" w:lineRule="auto"/>
              <w:rPr>
                <w:rFonts w:hint="eastAsia" w:ascii="宋体" w:hAnsi="宋体" w:eastAsia="宋体" w:cs="宋体"/>
                <w:sz w:val="21"/>
                <w:szCs w:val="21"/>
                <w:highlight w:val="none"/>
              </w:rPr>
            </w:pPr>
          </w:p>
          <w:p w14:paraId="4176EB2F">
            <w:pPr>
              <w:spacing w:line="264" w:lineRule="auto"/>
              <w:rPr>
                <w:rFonts w:hint="eastAsia" w:ascii="宋体" w:hAnsi="宋体" w:eastAsia="宋体" w:cs="宋体"/>
                <w:sz w:val="21"/>
                <w:szCs w:val="21"/>
                <w:highlight w:val="none"/>
              </w:rPr>
            </w:pPr>
          </w:p>
          <w:p w14:paraId="2CA8FD13">
            <w:pPr>
              <w:pStyle w:val="224"/>
              <w:spacing w:before="71" w:line="234" w:lineRule="auto"/>
              <w:ind w:left="642" w:right="106" w:hanging="524"/>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（三）仪器检</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查</w:t>
            </w:r>
          </w:p>
        </w:tc>
        <w:tc>
          <w:tcPr>
            <w:tcW w:w="2751" w:type="dxa"/>
            <w:gridSpan w:val="3"/>
            <w:vAlign w:val="top"/>
          </w:tcPr>
          <w:p w14:paraId="18D6AB23">
            <w:pPr>
              <w:pStyle w:val="224"/>
              <w:spacing w:before="39" w:line="224" w:lineRule="auto"/>
              <w:ind w:left="939" w:right="104" w:hanging="825"/>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仪器运行情况（每日巡检汇</w:t>
            </w:r>
            <w:r>
              <w:rPr>
                <w:rFonts w:hint="eastAsia" w:ascii="宋体" w:hAnsi="宋体" w:eastAsia="宋体" w:cs="宋体"/>
                <w:spacing w:val="6"/>
                <w:sz w:val="21"/>
                <w:szCs w:val="21"/>
                <w:highlight w:val="none"/>
              </w:rPr>
              <w:t xml:space="preserve"> </w:t>
            </w:r>
            <w:r>
              <w:rPr>
                <w:rFonts w:hint="eastAsia" w:ascii="宋体" w:hAnsi="宋体" w:eastAsia="宋体" w:cs="宋体"/>
                <w:spacing w:val="-2"/>
                <w:sz w:val="21"/>
                <w:szCs w:val="21"/>
                <w:highlight w:val="none"/>
              </w:rPr>
              <w:t>报情况）</w:t>
            </w:r>
          </w:p>
        </w:tc>
        <w:tc>
          <w:tcPr>
            <w:tcW w:w="2304" w:type="dxa"/>
            <w:gridSpan w:val="2"/>
            <w:vAlign w:val="top"/>
          </w:tcPr>
          <w:p w14:paraId="2488B9A9">
            <w:pPr>
              <w:pStyle w:val="224"/>
              <w:spacing w:before="182" w:line="221" w:lineRule="auto"/>
              <w:ind w:left="466"/>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□正常</w:t>
            </w:r>
            <w:r>
              <w:rPr>
                <w:rFonts w:hint="eastAsia" w:ascii="宋体" w:hAnsi="宋体" w:eastAsia="宋体" w:cs="宋体"/>
                <w:spacing w:val="34"/>
                <w:sz w:val="21"/>
                <w:szCs w:val="21"/>
                <w:highlight w:val="none"/>
              </w:rPr>
              <w:t xml:space="preserve"> </w:t>
            </w:r>
            <w:r>
              <w:rPr>
                <w:rFonts w:hint="eastAsia" w:ascii="宋体" w:hAnsi="宋体" w:eastAsia="宋体" w:cs="宋体"/>
                <w:spacing w:val="-11"/>
                <w:sz w:val="21"/>
                <w:szCs w:val="21"/>
                <w:highlight w:val="none"/>
              </w:rPr>
              <w:t>□异常</w:t>
            </w:r>
          </w:p>
        </w:tc>
        <w:tc>
          <w:tcPr>
            <w:tcW w:w="795" w:type="dxa"/>
            <w:vAlign w:val="top"/>
          </w:tcPr>
          <w:p w14:paraId="7A3A724E">
            <w:pPr>
              <w:rPr>
                <w:rFonts w:hint="eastAsia" w:ascii="宋体" w:hAnsi="宋体" w:eastAsia="宋体" w:cs="宋体"/>
                <w:sz w:val="21"/>
                <w:szCs w:val="21"/>
                <w:highlight w:val="none"/>
              </w:rPr>
            </w:pPr>
          </w:p>
        </w:tc>
        <w:tc>
          <w:tcPr>
            <w:tcW w:w="635" w:type="dxa"/>
            <w:vAlign w:val="top"/>
          </w:tcPr>
          <w:p w14:paraId="4DFEC092">
            <w:pPr>
              <w:pStyle w:val="224"/>
              <w:spacing w:before="217"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1A4403EE">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1942D6A7">
            <w:pPr>
              <w:rPr>
                <w:rFonts w:hint="eastAsia" w:ascii="宋体" w:hAnsi="宋体" w:eastAsia="宋体" w:cs="宋体"/>
                <w:sz w:val="21"/>
                <w:szCs w:val="21"/>
                <w:highlight w:val="none"/>
              </w:rPr>
            </w:pPr>
          </w:p>
        </w:tc>
      </w:tr>
      <w:tr w14:paraId="5578E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451" w:type="dxa"/>
            <w:vMerge w:val="continue"/>
            <w:textDirection w:val="tbRlV"/>
            <w:vAlign w:val="top"/>
          </w:tcPr>
          <w:p w14:paraId="6A227382">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444B9F1B">
            <w:pPr>
              <w:rPr>
                <w:rFonts w:hint="eastAsia" w:ascii="宋体" w:hAnsi="宋体" w:eastAsia="宋体" w:cs="宋体"/>
                <w:sz w:val="21"/>
                <w:szCs w:val="21"/>
                <w:highlight w:val="none"/>
              </w:rPr>
            </w:pPr>
          </w:p>
        </w:tc>
        <w:tc>
          <w:tcPr>
            <w:tcW w:w="2751" w:type="dxa"/>
            <w:gridSpan w:val="3"/>
            <w:vAlign w:val="top"/>
          </w:tcPr>
          <w:p w14:paraId="4C34EC59">
            <w:pPr>
              <w:pStyle w:val="224"/>
              <w:spacing w:before="77" w:line="221" w:lineRule="auto"/>
              <w:ind w:left="94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超标数据</w:t>
            </w:r>
          </w:p>
        </w:tc>
        <w:tc>
          <w:tcPr>
            <w:tcW w:w="2304" w:type="dxa"/>
            <w:gridSpan w:val="2"/>
            <w:vAlign w:val="top"/>
          </w:tcPr>
          <w:p w14:paraId="0FAC697B">
            <w:pPr>
              <w:pStyle w:val="224"/>
              <w:spacing w:before="76"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□有</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□无</w:t>
            </w:r>
          </w:p>
        </w:tc>
        <w:tc>
          <w:tcPr>
            <w:tcW w:w="795" w:type="dxa"/>
            <w:vAlign w:val="top"/>
          </w:tcPr>
          <w:p w14:paraId="2A1D740E">
            <w:pPr>
              <w:rPr>
                <w:rFonts w:hint="eastAsia" w:ascii="宋体" w:hAnsi="宋体" w:eastAsia="宋体" w:cs="宋体"/>
                <w:sz w:val="21"/>
                <w:szCs w:val="21"/>
                <w:highlight w:val="none"/>
              </w:rPr>
            </w:pPr>
          </w:p>
        </w:tc>
        <w:tc>
          <w:tcPr>
            <w:tcW w:w="635" w:type="dxa"/>
            <w:vAlign w:val="top"/>
          </w:tcPr>
          <w:p w14:paraId="1C09A463">
            <w:pPr>
              <w:pStyle w:val="224"/>
              <w:spacing w:before="111"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613BDBF4">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5380F28C">
            <w:pPr>
              <w:rPr>
                <w:rFonts w:hint="eastAsia" w:ascii="宋体" w:hAnsi="宋体" w:eastAsia="宋体" w:cs="宋体"/>
                <w:sz w:val="21"/>
                <w:szCs w:val="21"/>
                <w:highlight w:val="none"/>
              </w:rPr>
            </w:pPr>
          </w:p>
        </w:tc>
      </w:tr>
      <w:tr w14:paraId="235F2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451" w:type="dxa"/>
            <w:vMerge w:val="continue"/>
            <w:textDirection w:val="tbRlV"/>
            <w:vAlign w:val="top"/>
          </w:tcPr>
          <w:p w14:paraId="60F671C9">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6CD758FE">
            <w:pPr>
              <w:rPr>
                <w:rFonts w:hint="eastAsia" w:ascii="宋体" w:hAnsi="宋体" w:eastAsia="宋体" w:cs="宋体"/>
                <w:sz w:val="21"/>
                <w:szCs w:val="21"/>
                <w:highlight w:val="none"/>
              </w:rPr>
            </w:pPr>
          </w:p>
        </w:tc>
        <w:tc>
          <w:tcPr>
            <w:tcW w:w="2751" w:type="dxa"/>
            <w:gridSpan w:val="3"/>
            <w:vAlign w:val="top"/>
          </w:tcPr>
          <w:p w14:paraId="69A85E2C">
            <w:pPr>
              <w:pStyle w:val="224"/>
              <w:spacing w:before="39" w:line="221" w:lineRule="auto"/>
              <w:jc w:val="right"/>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仪器管路是否畅通（水样、</w:t>
            </w:r>
          </w:p>
          <w:p w14:paraId="5AE4C74B">
            <w:pPr>
              <w:pStyle w:val="224"/>
              <w:spacing w:before="22" w:line="207" w:lineRule="auto"/>
              <w:ind w:left="83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试剂管路）</w:t>
            </w:r>
          </w:p>
        </w:tc>
        <w:tc>
          <w:tcPr>
            <w:tcW w:w="2304" w:type="dxa"/>
            <w:gridSpan w:val="2"/>
            <w:vAlign w:val="top"/>
          </w:tcPr>
          <w:p w14:paraId="15706CDA">
            <w:pPr>
              <w:pStyle w:val="224"/>
              <w:spacing w:before="182"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531D3BCB">
            <w:pPr>
              <w:rPr>
                <w:rFonts w:hint="eastAsia" w:ascii="宋体" w:hAnsi="宋体" w:eastAsia="宋体" w:cs="宋体"/>
                <w:sz w:val="21"/>
                <w:szCs w:val="21"/>
                <w:highlight w:val="none"/>
              </w:rPr>
            </w:pPr>
          </w:p>
        </w:tc>
        <w:tc>
          <w:tcPr>
            <w:tcW w:w="635" w:type="dxa"/>
            <w:vAlign w:val="top"/>
          </w:tcPr>
          <w:p w14:paraId="459C49DB">
            <w:pPr>
              <w:pStyle w:val="224"/>
              <w:spacing w:before="217"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0491E5D0">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53B29492">
            <w:pPr>
              <w:rPr>
                <w:rFonts w:hint="eastAsia" w:ascii="宋体" w:hAnsi="宋体" w:eastAsia="宋体" w:cs="宋体"/>
                <w:sz w:val="21"/>
                <w:szCs w:val="21"/>
                <w:highlight w:val="none"/>
              </w:rPr>
            </w:pPr>
          </w:p>
        </w:tc>
      </w:tr>
      <w:tr w14:paraId="5293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51" w:type="dxa"/>
            <w:vMerge w:val="continue"/>
            <w:textDirection w:val="tbRlV"/>
            <w:vAlign w:val="top"/>
          </w:tcPr>
          <w:p w14:paraId="02EA458D">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2EF9746C">
            <w:pPr>
              <w:rPr>
                <w:rFonts w:hint="eastAsia" w:ascii="宋体" w:hAnsi="宋体" w:eastAsia="宋体" w:cs="宋体"/>
                <w:sz w:val="21"/>
                <w:szCs w:val="21"/>
                <w:highlight w:val="none"/>
              </w:rPr>
            </w:pPr>
          </w:p>
        </w:tc>
        <w:tc>
          <w:tcPr>
            <w:tcW w:w="2751" w:type="dxa"/>
            <w:gridSpan w:val="3"/>
            <w:vAlign w:val="top"/>
          </w:tcPr>
          <w:p w14:paraId="5B5000C4">
            <w:pPr>
              <w:pStyle w:val="224"/>
              <w:spacing w:before="36" w:line="222" w:lineRule="auto"/>
              <w:ind w:left="1277" w:right="162" w:hanging="110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仪器内部硬件是否工作正</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常</w:t>
            </w:r>
          </w:p>
        </w:tc>
        <w:tc>
          <w:tcPr>
            <w:tcW w:w="2304" w:type="dxa"/>
            <w:gridSpan w:val="2"/>
            <w:vAlign w:val="top"/>
          </w:tcPr>
          <w:p w14:paraId="70EC928F">
            <w:pPr>
              <w:pStyle w:val="224"/>
              <w:spacing w:before="1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097EDFF1">
            <w:pPr>
              <w:rPr>
                <w:rFonts w:hint="eastAsia" w:ascii="宋体" w:hAnsi="宋体" w:eastAsia="宋体" w:cs="宋体"/>
                <w:sz w:val="21"/>
                <w:szCs w:val="21"/>
                <w:highlight w:val="none"/>
              </w:rPr>
            </w:pPr>
          </w:p>
        </w:tc>
        <w:tc>
          <w:tcPr>
            <w:tcW w:w="635" w:type="dxa"/>
            <w:vAlign w:val="top"/>
          </w:tcPr>
          <w:p w14:paraId="04424B95">
            <w:pPr>
              <w:pStyle w:val="224"/>
              <w:spacing w:before="213" w:line="184" w:lineRule="auto"/>
              <w:ind w:left="2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3" w:type="dxa"/>
            <w:tcBorders>
              <w:right w:val="single" w:color="auto" w:sz="4" w:space="0"/>
            </w:tcBorders>
            <w:vAlign w:val="top"/>
          </w:tcPr>
          <w:p w14:paraId="628BC9E9">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410A9897">
            <w:pPr>
              <w:rPr>
                <w:rFonts w:hint="eastAsia" w:ascii="宋体" w:hAnsi="宋体" w:eastAsia="宋体" w:cs="宋体"/>
                <w:sz w:val="21"/>
                <w:szCs w:val="21"/>
                <w:highlight w:val="none"/>
              </w:rPr>
            </w:pPr>
          </w:p>
        </w:tc>
      </w:tr>
      <w:tr w14:paraId="497A4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451" w:type="dxa"/>
            <w:vMerge w:val="continue"/>
            <w:textDirection w:val="tbRlV"/>
            <w:vAlign w:val="top"/>
          </w:tcPr>
          <w:p w14:paraId="2C075B4F">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60A30996">
            <w:pPr>
              <w:rPr>
                <w:rFonts w:hint="eastAsia" w:ascii="宋体" w:hAnsi="宋体" w:eastAsia="宋体" w:cs="宋体"/>
                <w:sz w:val="21"/>
                <w:szCs w:val="21"/>
                <w:highlight w:val="none"/>
              </w:rPr>
            </w:pPr>
          </w:p>
        </w:tc>
        <w:tc>
          <w:tcPr>
            <w:tcW w:w="2751" w:type="dxa"/>
            <w:gridSpan w:val="3"/>
            <w:vAlign w:val="top"/>
          </w:tcPr>
          <w:p w14:paraId="1111EBC1">
            <w:pPr>
              <w:pStyle w:val="224"/>
              <w:spacing w:before="35" w:line="222" w:lineRule="auto"/>
              <w:ind w:left="1277" w:right="162" w:hanging="1106"/>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仪器与数采仪通信是否正</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常</w:t>
            </w:r>
          </w:p>
        </w:tc>
        <w:tc>
          <w:tcPr>
            <w:tcW w:w="2304" w:type="dxa"/>
            <w:gridSpan w:val="2"/>
            <w:vAlign w:val="top"/>
          </w:tcPr>
          <w:p w14:paraId="289DF5F2">
            <w:pPr>
              <w:pStyle w:val="224"/>
              <w:spacing w:before="1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44494811">
            <w:pPr>
              <w:rPr>
                <w:rFonts w:hint="eastAsia" w:ascii="宋体" w:hAnsi="宋体" w:eastAsia="宋体" w:cs="宋体"/>
                <w:sz w:val="21"/>
                <w:szCs w:val="21"/>
                <w:highlight w:val="none"/>
              </w:rPr>
            </w:pPr>
          </w:p>
        </w:tc>
        <w:tc>
          <w:tcPr>
            <w:tcW w:w="635" w:type="dxa"/>
            <w:vAlign w:val="top"/>
          </w:tcPr>
          <w:p w14:paraId="5A47C85C">
            <w:pPr>
              <w:pStyle w:val="224"/>
              <w:spacing w:before="213" w:line="184" w:lineRule="auto"/>
              <w:ind w:left="2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3" w:type="dxa"/>
            <w:tcBorders>
              <w:right w:val="single" w:color="auto" w:sz="4" w:space="0"/>
            </w:tcBorders>
            <w:vAlign w:val="top"/>
          </w:tcPr>
          <w:p w14:paraId="05E9E257">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33D0D9C7">
            <w:pPr>
              <w:rPr>
                <w:rFonts w:hint="eastAsia" w:ascii="宋体" w:hAnsi="宋体" w:eastAsia="宋体" w:cs="宋体"/>
                <w:sz w:val="21"/>
                <w:szCs w:val="21"/>
                <w:highlight w:val="none"/>
              </w:rPr>
            </w:pPr>
          </w:p>
        </w:tc>
      </w:tr>
      <w:tr w14:paraId="05C1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51" w:type="dxa"/>
            <w:vMerge w:val="continue"/>
            <w:textDirection w:val="tbRlV"/>
            <w:vAlign w:val="top"/>
          </w:tcPr>
          <w:p w14:paraId="3B254E6F">
            <w:pPr>
              <w:rPr>
                <w:rFonts w:hint="eastAsia" w:ascii="宋体" w:hAnsi="宋体" w:eastAsia="宋体" w:cs="宋体"/>
                <w:sz w:val="21"/>
                <w:szCs w:val="21"/>
                <w:highlight w:val="none"/>
              </w:rPr>
            </w:pPr>
          </w:p>
        </w:tc>
        <w:tc>
          <w:tcPr>
            <w:tcW w:w="1489" w:type="dxa"/>
            <w:vMerge w:val="continue"/>
            <w:tcBorders>
              <w:top w:val="nil"/>
            </w:tcBorders>
            <w:vAlign w:val="top"/>
          </w:tcPr>
          <w:p w14:paraId="34B0ADD0">
            <w:pPr>
              <w:rPr>
                <w:rFonts w:hint="eastAsia" w:ascii="宋体" w:hAnsi="宋体" w:eastAsia="宋体" w:cs="宋体"/>
                <w:sz w:val="21"/>
                <w:szCs w:val="21"/>
                <w:highlight w:val="none"/>
              </w:rPr>
            </w:pPr>
          </w:p>
        </w:tc>
        <w:tc>
          <w:tcPr>
            <w:tcW w:w="2751" w:type="dxa"/>
            <w:gridSpan w:val="3"/>
            <w:vAlign w:val="top"/>
          </w:tcPr>
          <w:p w14:paraId="2A3E5714">
            <w:pPr>
              <w:pStyle w:val="224"/>
              <w:spacing w:before="41" w:line="223" w:lineRule="auto"/>
              <w:ind w:left="619" w:right="162" w:hanging="448"/>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仪器参数相关系数是否修</w:t>
            </w:r>
            <w:r>
              <w:rPr>
                <w:rFonts w:hint="eastAsia" w:ascii="宋体" w:hAnsi="宋体" w:eastAsia="宋体" w:cs="宋体"/>
                <w:spacing w:val="2"/>
                <w:sz w:val="21"/>
                <w:szCs w:val="21"/>
                <w:highlight w:val="none"/>
              </w:rPr>
              <w:t xml:space="preserve"> </w:t>
            </w:r>
            <w:r>
              <w:rPr>
                <w:rFonts w:hint="eastAsia" w:ascii="宋体" w:hAnsi="宋体" w:eastAsia="宋体" w:cs="宋体"/>
                <w:spacing w:val="-3"/>
                <w:sz w:val="21"/>
                <w:szCs w:val="21"/>
                <w:highlight w:val="none"/>
              </w:rPr>
              <w:t>改（备注记录）</w:t>
            </w:r>
          </w:p>
        </w:tc>
        <w:tc>
          <w:tcPr>
            <w:tcW w:w="2304" w:type="dxa"/>
            <w:gridSpan w:val="2"/>
            <w:vAlign w:val="top"/>
          </w:tcPr>
          <w:p w14:paraId="0DBA1CFB">
            <w:pPr>
              <w:pStyle w:val="224"/>
              <w:spacing w:before="181"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411623A7">
            <w:pPr>
              <w:rPr>
                <w:rFonts w:hint="eastAsia" w:ascii="宋体" w:hAnsi="宋体" w:eastAsia="宋体" w:cs="宋体"/>
                <w:sz w:val="21"/>
                <w:szCs w:val="21"/>
                <w:highlight w:val="none"/>
              </w:rPr>
            </w:pPr>
          </w:p>
        </w:tc>
        <w:tc>
          <w:tcPr>
            <w:tcW w:w="635" w:type="dxa"/>
            <w:vAlign w:val="top"/>
          </w:tcPr>
          <w:p w14:paraId="6B9AA2A6">
            <w:pPr>
              <w:pStyle w:val="224"/>
              <w:spacing w:before="216" w:line="184" w:lineRule="auto"/>
              <w:ind w:left="2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3" w:type="dxa"/>
            <w:tcBorders>
              <w:right w:val="single" w:color="auto" w:sz="4" w:space="0"/>
            </w:tcBorders>
            <w:vAlign w:val="top"/>
          </w:tcPr>
          <w:p w14:paraId="3F12D2C2">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177BC182">
            <w:pPr>
              <w:rPr>
                <w:rFonts w:hint="eastAsia" w:ascii="宋体" w:hAnsi="宋体" w:eastAsia="宋体" w:cs="宋体"/>
                <w:sz w:val="21"/>
                <w:szCs w:val="21"/>
                <w:highlight w:val="none"/>
              </w:rPr>
            </w:pPr>
          </w:p>
        </w:tc>
      </w:tr>
      <w:tr w14:paraId="2948C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451" w:type="dxa"/>
            <w:vMerge w:val="continue"/>
            <w:textDirection w:val="tbRlV"/>
            <w:vAlign w:val="top"/>
          </w:tcPr>
          <w:p w14:paraId="319CFA33">
            <w:pPr>
              <w:rPr>
                <w:rFonts w:hint="eastAsia" w:ascii="宋体" w:hAnsi="宋体" w:eastAsia="宋体" w:cs="宋体"/>
                <w:sz w:val="21"/>
                <w:szCs w:val="21"/>
                <w:highlight w:val="none"/>
              </w:rPr>
            </w:pPr>
          </w:p>
        </w:tc>
        <w:tc>
          <w:tcPr>
            <w:tcW w:w="1489" w:type="dxa"/>
            <w:vMerge w:val="restart"/>
            <w:tcBorders>
              <w:bottom w:val="nil"/>
            </w:tcBorders>
            <w:vAlign w:val="top"/>
          </w:tcPr>
          <w:p w14:paraId="34ED9302">
            <w:pPr>
              <w:spacing w:line="294" w:lineRule="auto"/>
              <w:rPr>
                <w:rFonts w:hint="eastAsia" w:ascii="宋体" w:hAnsi="宋体" w:eastAsia="宋体" w:cs="宋体"/>
                <w:sz w:val="21"/>
                <w:szCs w:val="21"/>
                <w:highlight w:val="none"/>
              </w:rPr>
            </w:pPr>
          </w:p>
          <w:p w14:paraId="4F5C08D1">
            <w:pPr>
              <w:spacing w:line="294" w:lineRule="auto"/>
              <w:rPr>
                <w:rFonts w:hint="eastAsia" w:ascii="宋体" w:hAnsi="宋体" w:eastAsia="宋体" w:cs="宋体"/>
                <w:sz w:val="21"/>
                <w:szCs w:val="21"/>
                <w:highlight w:val="none"/>
              </w:rPr>
            </w:pPr>
          </w:p>
          <w:p w14:paraId="5FAC9652">
            <w:pPr>
              <w:spacing w:line="294" w:lineRule="auto"/>
              <w:rPr>
                <w:rFonts w:hint="eastAsia" w:ascii="宋体" w:hAnsi="宋体" w:eastAsia="宋体" w:cs="宋体"/>
                <w:sz w:val="21"/>
                <w:szCs w:val="21"/>
                <w:highlight w:val="none"/>
              </w:rPr>
            </w:pPr>
          </w:p>
          <w:p w14:paraId="1303F214">
            <w:pPr>
              <w:spacing w:line="295" w:lineRule="auto"/>
              <w:rPr>
                <w:rFonts w:hint="eastAsia" w:ascii="宋体" w:hAnsi="宋体" w:eastAsia="宋体" w:cs="宋体"/>
                <w:sz w:val="21"/>
                <w:szCs w:val="21"/>
                <w:highlight w:val="none"/>
              </w:rPr>
            </w:pPr>
          </w:p>
          <w:p w14:paraId="5A329301">
            <w:pPr>
              <w:pStyle w:val="224"/>
              <w:spacing w:before="72" w:line="231" w:lineRule="auto"/>
              <w:ind w:left="640" w:right="106" w:hanging="522"/>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（四）定期维</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护</w:t>
            </w:r>
          </w:p>
        </w:tc>
        <w:tc>
          <w:tcPr>
            <w:tcW w:w="2751" w:type="dxa"/>
            <w:gridSpan w:val="3"/>
            <w:vAlign w:val="top"/>
          </w:tcPr>
          <w:p w14:paraId="7C4606A3">
            <w:pPr>
              <w:pStyle w:val="224"/>
              <w:spacing w:before="79" w:line="221" w:lineRule="auto"/>
              <w:ind w:left="72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仪器外部清洁</w:t>
            </w:r>
          </w:p>
        </w:tc>
        <w:tc>
          <w:tcPr>
            <w:tcW w:w="2304" w:type="dxa"/>
            <w:gridSpan w:val="2"/>
            <w:vAlign w:val="top"/>
          </w:tcPr>
          <w:p w14:paraId="139AC364">
            <w:pPr>
              <w:pStyle w:val="224"/>
              <w:spacing w:before="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35FB3FF2">
            <w:pPr>
              <w:rPr>
                <w:rFonts w:hint="eastAsia" w:ascii="宋体" w:hAnsi="宋体" w:eastAsia="宋体" w:cs="宋体"/>
                <w:sz w:val="21"/>
                <w:szCs w:val="21"/>
                <w:highlight w:val="none"/>
              </w:rPr>
            </w:pPr>
          </w:p>
        </w:tc>
        <w:tc>
          <w:tcPr>
            <w:tcW w:w="635" w:type="dxa"/>
            <w:vAlign w:val="top"/>
          </w:tcPr>
          <w:p w14:paraId="29A8582E">
            <w:pPr>
              <w:pStyle w:val="224"/>
              <w:spacing w:before="113"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4133E9A0">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76421635">
            <w:pPr>
              <w:rPr>
                <w:rFonts w:hint="eastAsia" w:ascii="宋体" w:hAnsi="宋体" w:eastAsia="宋体" w:cs="宋体"/>
                <w:sz w:val="21"/>
                <w:szCs w:val="21"/>
                <w:highlight w:val="none"/>
              </w:rPr>
            </w:pPr>
          </w:p>
        </w:tc>
      </w:tr>
      <w:tr w14:paraId="6466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451" w:type="dxa"/>
            <w:vMerge w:val="continue"/>
            <w:textDirection w:val="tbRlV"/>
            <w:vAlign w:val="top"/>
          </w:tcPr>
          <w:p w14:paraId="72016BE4">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35147CFF">
            <w:pPr>
              <w:rPr>
                <w:rFonts w:hint="eastAsia" w:ascii="宋体" w:hAnsi="宋体" w:eastAsia="宋体" w:cs="宋体"/>
                <w:sz w:val="21"/>
                <w:szCs w:val="21"/>
                <w:highlight w:val="none"/>
              </w:rPr>
            </w:pPr>
          </w:p>
        </w:tc>
        <w:tc>
          <w:tcPr>
            <w:tcW w:w="2751" w:type="dxa"/>
            <w:gridSpan w:val="3"/>
            <w:vAlign w:val="top"/>
          </w:tcPr>
          <w:p w14:paraId="1837CE52">
            <w:pPr>
              <w:pStyle w:val="224"/>
              <w:spacing w:before="108" w:line="221" w:lineRule="auto"/>
              <w:ind w:left="74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内部管路清洗</w:t>
            </w:r>
          </w:p>
        </w:tc>
        <w:tc>
          <w:tcPr>
            <w:tcW w:w="2304" w:type="dxa"/>
            <w:gridSpan w:val="2"/>
            <w:vAlign w:val="top"/>
          </w:tcPr>
          <w:p w14:paraId="05A92DA6">
            <w:pPr>
              <w:pStyle w:val="224"/>
              <w:spacing w:before="107"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225D34E9">
            <w:pPr>
              <w:rPr>
                <w:rFonts w:hint="eastAsia" w:ascii="宋体" w:hAnsi="宋体" w:eastAsia="宋体" w:cs="宋体"/>
                <w:sz w:val="21"/>
                <w:szCs w:val="21"/>
                <w:highlight w:val="none"/>
              </w:rPr>
            </w:pPr>
          </w:p>
        </w:tc>
        <w:tc>
          <w:tcPr>
            <w:tcW w:w="635" w:type="dxa"/>
            <w:vAlign w:val="top"/>
          </w:tcPr>
          <w:p w14:paraId="6F9B6102">
            <w:pPr>
              <w:pStyle w:val="224"/>
              <w:spacing w:before="142"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2522160A">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29882645">
            <w:pPr>
              <w:rPr>
                <w:rFonts w:hint="eastAsia" w:ascii="宋体" w:hAnsi="宋体" w:eastAsia="宋体" w:cs="宋体"/>
                <w:sz w:val="21"/>
                <w:szCs w:val="21"/>
                <w:highlight w:val="none"/>
              </w:rPr>
            </w:pPr>
          </w:p>
        </w:tc>
      </w:tr>
      <w:tr w14:paraId="2503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451" w:type="dxa"/>
            <w:vMerge w:val="continue"/>
            <w:textDirection w:val="tbRlV"/>
            <w:vAlign w:val="top"/>
          </w:tcPr>
          <w:p w14:paraId="2B3A195C">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27BF0A72">
            <w:pPr>
              <w:rPr>
                <w:rFonts w:hint="eastAsia" w:ascii="宋体" w:hAnsi="宋体" w:eastAsia="宋体" w:cs="宋体"/>
                <w:sz w:val="21"/>
                <w:szCs w:val="21"/>
                <w:highlight w:val="none"/>
              </w:rPr>
            </w:pPr>
          </w:p>
        </w:tc>
        <w:tc>
          <w:tcPr>
            <w:tcW w:w="2751" w:type="dxa"/>
            <w:gridSpan w:val="3"/>
            <w:vAlign w:val="top"/>
          </w:tcPr>
          <w:p w14:paraId="5326797D">
            <w:pPr>
              <w:pStyle w:val="224"/>
              <w:spacing w:before="77" w:line="216" w:lineRule="auto"/>
              <w:ind w:left="14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pH</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值电极及取样滤网清洗</w:t>
            </w:r>
          </w:p>
        </w:tc>
        <w:tc>
          <w:tcPr>
            <w:tcW w:w="2304" w:type="dxa"/>
            <w:gridSpan w:val="2"/>
            <w:vAlign w:val="top"/>
          </w:tcPr>
          <w:p w14:paraId="3BD7CD7F">
            <w:pPr>
              <w:pStyle w:val="224"/>
              <w:spacing w:before="76"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2C92E4D7">
            <w:pPr>
              <w:rPr>
                <w:rFonts w:hint="eastAsia" w:ascii="宋体" w:hAnsi="宋体" w:eastAsia="宋体" w:cs="宋体"/>
                <w:sz w:val="21"/>
                <w:szCs w:val="21"/>
                <w:highlight w:val="none"/>
              </w:rPr>
            </w:pPr>
          </w:p>
        </w:tc>
        <w:tc>
          <w:tcPr>
            <w:tcW w:w="635" w:type="dxa"/>
            <w:vAlign w:val="top"/>
          </w:tcPr>
          <w:p w14:paraId="73BFC069">
            <w:pPr>
              <w:pStyle w:val="224"/>
              <w:spacing w:before="111" w:line="184" w:lineRule="auto"/>
              <w:ind w:left="2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3" w:type="dxa"/>
            <w:tcBorders>
              <w:right w:val="single" w:color="auto" w:sz="4" w:space="0"/>
            </w:tcBorders>
            <w:vAlign w:val="top"/>
          </w:tcPr>
          <w:p w14:paraId="61BD61DF">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2A534E44">
            <w:pPr>
              <w:rPr>
                <w:rFonts w:hint="eastAsia" w:ascii="宋体" w:hAnsi="宋体" w:eastAsia="宋体" w:cs="宋体"/>
                <w:sz w:val="21"/>
                <w:szCs w:val="21"/>
                <w:highlight w:val="none"/>
              </w:rPr>
            </w:pPr>
          </w:p>
        </w:tc>
      </w:tr>
      <w:tr w14:paraId="4E47F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451" w:type="dxa"/>
            <w:vMerge w:val="continue"/>
            <w:textDirection w:val="tbRlV"/>
            <w:vAlign w:val="top"/>
          </w:tcPr>
          <w:p w14:paraId="56423C93">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19DE8D34">
            <w:pPr>
              <w:rPr>
                <w:rFonts w:hint="eastAsia" w:ascii="宋体" w:hAnsi="宋体" w:eastAsia="宋体" w:cs="宋体"/>
                <w:sz w:val="21"/>
                <w:szCs w:val="21"/>
                <w:highlight w:val="none"/>
              </w:rPr>
            </w:pPr>
          </w:p>
        </w:tc>
        <w:tc>
          <w:tcPr>
            <w:tcW w:w="2751" w:type="dxa"/>
            <w:gridSpan w:val="3"/>
            <w:vAlign w:val="top"/>
          </w:tcPr>
          <w:p w14:paraId="12D787E2">
            <w:pPr>
              <w:pStyle w:val="224"/>
              <w:spacing w:before="87" w:line="220" w:lineRule="auto"/>
              <w:ind w:left="943"/>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更换试剂</w:t>
            </w:r>
          </w:p>
        </w:tc>
        <w:tc>
          <w:tcPr>
            <w:tcW w:w="2304" w:type="dxa"/>
            <w:gridSpan w:val="2"/>
            <w:vAlign w:val="top"/>
          </w:tcPr>
          <w:p w14:paraId="7DF0D294">
            <w:pPr>
              <w:pStyle w:val="224"/>
              <w:spacing w:before="86"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6428784E">
            <w:pPr>
              <w:rPr>
                <w:rFonts w:hint="eastAsia" w:ascii="宋体" w:hAnsi="宋体" w:eastAsia="宋体" w:cs="宋体"/>
                <w:sz w:val="21"/>
                <w:szCs w:val="21"/>
                <w:highlight w:val="none"/>
              </w:rPr>
            </w:pPr>
          </w:p>
        </w:tc>
        <w:tc>
          <w:tcPr>
            <w:tcW w:w="635" w:type="dxa"/>
            <w:vAlign w:val="top"/>
          </w:tcPr>
          <w:p w14:paraId="0EAD1A35">
            <w:pPr>
              <w:pStyle w:val="224"/>
              <w:spacing w:before="121"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725EFB9B">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7EC99473">
            <w:pPr>
              <w:rPr>
                <w:rFonts w:hint="eastAsia" w:ascii="宋体" w:hAnsi="宋体" w:eastAsia="宋体" w:cs="宋体"/>
                <w:sz w:val="21"/>
                <w:szCs w:val="21"/>
                <w:highlight w:val="none"/>
              </w:rPr>
            </w:pPr>
          </w:p>
        </w:tc>
      </w:tr>
      <w:tr w14:paraId="173D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51" w:type="dxa"/>
            <w:vMerge w:val="continue"/>
            <w:textDirection w:val="tbRlV"/>
            <w:vAlign w:val="top"/>
          </w:tcPr>
          <w:p w14:paraId="4F2337C4">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7CBD180D">
            <w:pPr>
              <w:rPr>
                <w:rFonts w:hint="eastAsia" w:ascii="宋体" w:hAnsi="宋体" w:eastAsia="宋体" w:cs="宋体"/>
                <w:sz w:val="21"/>
                <w:szCs w:val="21"/>
                <w:highlight w:val="none"/>
              </w:rPr>
            </w:pPr>
          </w:p>
        </w:tc>
        <w:tc>
          <w:tcPr>
            <w:tcW w:w="2751" w:type="dxa"/>
            <w:gridSpan w:val="3"/>
            <w:vAlign w:val="top"/>
          </w:tcPr>
          <w:p w14:paraId="73D4D6B0">
            <w:pPr>
              <w:pStyle w:val="224"/>
              <w:spacing w:before="40" w:line="220" w:lineRule="auto"/>
              <w:ind w:left="171"/>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耗材更换（蠕动泵胶管、</w:t>
            </w:r>
          </w:p>
          <w:p w14:paraId="18FA2ED2">
            <w:pPr>
              <w:pStyle w:val="224"/>
              <w:spacing w:before="20" w:line="209" w:lineRule="auto"/>
              <w:ind w:left="79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NaOH</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管等）</w:t>
            </w:r>
          </w:p>
        </w:tc>
        <w:tc>
          <w:tcPr>
            <w:tcW w:w="2304" w:type="dxa"/>
            <w:gridSpan w:val="2"/>
            <w:vAlign w:val="top"/>
          </w:tcPr>
          <w:p w14:paraId="787BA1F3">
            <w:pPr>
              <w:pStyle w:val="224"/>
              <w:spacing w:before="181"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4D0D2B95">
            <w:pPr>
              <w:rPr>
                <w:rFonts w:hint="eastAsia" w:ascii="宋体" w:hAnsi="宋体" w:eastAsia="宋体" w:cs="宋体"/>
                <w:sz w:val="21"/>
                <w:szCs w:val="21"/>
                <w:highlight w:val="none"/>
              </w:rPr>
            </w:pPr>
          </w:p>
        </w:tc>
        <w:tc>
          <w:tcPr>
            <w:tcW w:w="635" w:type="dxa"/>
            <w:vAlign w:val="top"/>
          </w:tcPr>
          <w:p w14:paraId="22D4F109">
            <w:pPr>
              <w:pStyle w:val="224"/>
              <w:spacing w:before="216"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69D5DCDC">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2A0F6330">
            <w:pPr>
              <w:rPr>
                <w:rFonts w:hint="eastAsia" w:ascii="宋体" w:hAnsi="宋体" w:eastAsia="宋体" w:cs="宋体"/>
                <w:sz w:val="21"/>
                <w:szCs w:val="21"/>
                <w:highlight w:val="none"/>
              </w:rPr>
            </w:pPr>
          </w:p>
        </w:tc>
      </w:tr>
      <w:tr w14:paraId="421F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51" w:type="dxa"/>
            <w:vMerge w:val="continue"/>
            <w:textDirection w:val="tbRlV"/>
            <w:vAlign w:val="top"/>
          </w:tcPr>
          <w:p w14:paraId="2FEB0284">
            <w:pPr>
              <w:rPr>
                <w:rFonts w:hint="eastAsia" w:ascii="宋体" w:hAnsi="宋体" w:eastAsia="宋体" w:cs="宋体"/>
                <w:sz w:val="21"/>
                <w:szCs w:val="21"/>
                <w:highlight w:val="none"/>
              </w:rPr>
            </w:pPr>
          </w:p>
        </w:tc>
        <w:tc>
          <w:tcPr>
            <w:tcW w:w="1489" w:type="dxa"/>
            <w:vMerge w:val="continue"/>
            <w:tcBorders>
              <w:top w:val="nil"/>
              <w:bottom w:val="nil"/>
            </w:tcBorders>
            <w:vAlign w:val="top"/>
          </w:tcPr>
          <w:p w14:paraId="653D3161">
            <w:pPr>
              <w:rPr>
                <w:rFonts w:hint="eastAsia" w:ascii="宋体" w:hAnsi="宋体" w:eastAsia="宋体" w:cs="宋体"/>
                <w:sz w:val="21"/>
                <w:szCs w:val="21"/>
                <w:highlight w:val="none"/>
              </w:rPr>
            </w:pPr>
          </w:p>
        </w:tc>
        <w:tc>
          <w:tcPr>
            <w:tcW w:w="2751" w:type="dxa"/>
            <w:gridSpan w:val="3"/>
            <w:vAlign w:val="top"/>
          </w:tcPr>
          <w:p w14:paraId="0AD4B45A">
            <w:pPr>
              <w:pStyle w:val="224"/>
              <w:spacing w:before="117" w:line="222" w:lineRule="auto"/>
              <w:ind w:left="39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打扫站房及设备卫生</w:t>
            </w:r>
          </w:p>
        </w:tc>
        <w:tc>
          <w:tcPr>
            <w:tcW w:w="2304" w:type="dxa"/>
            <w:gridSpan w:val="2"/>
            <w:vAlign w:val="top"/>
          </w:tcPr>
          <w:p w14:paraId="3D255147">
            <w:pPr>
              <w:pStyle w:val="224"/>
              <w:spacing w:before="117"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753481D2">
            <w:pPr>
              <w:rPr>
                <w:rFonts w:hint="eastAsia" w:ascii="宋体" w:hAnsi="宋体" w:eastAsia="宋体" w:cs="宋体"/>
                <w:sz w:val="21"/>
                <w:szCs w:val="21"/>
                <w:highlight w:val="none"/>
              </w:rPr>
            </w:pPr>
          </w:p>
        </w:tc>
        <w:tc>
          <w:tcPr>
            <w:tcW w:w="635" w:type="dxa"/>
            <w:vAlign w:val="top"/>
          </w:tcPr>
          <w:p w14:paraId="2E8BB2DC">
            <w:pPr>
              <w:pStyle w:val="224"/>
              <w:spacing w:before="151"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46A25F71">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22D07B77">
            <w:pPr>
              <w:rPr>
                <w:rFonts w:hint="eastAsia" w:ascii="宋体" w:hAnsi="宋体" w:eastAsia="宋体" w:cs="宋体"/>
                <w:sz w:val="21"/>
                <w:szCs w:val="21"/>
                <w:highlight w:val="none"/>
              </w:rPr>
            </w:pPr>
          </w:p>
        </w:tc>
      </w:tr>
      <w:tr w14:paraId="194B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451" w:type="dxa"/>
            <w:vMerge w:val="continue"/>
            <w:textDirection w:val="tbRlV"/>
            <w:vAlign w:val="top"/>
          </w:tcPr>
          <w:p w14:paraId="2E6BC650">
            <w:pPr>
              <w:rPr>
                <w:rFonts w:hint="eastAsia" w:ascii="宋体" w:hAnsi="宋体" w:eastAsia="宋体" w:cs="宋体"/>
                <w:sz w:val="21"/>
                <w:szCs w:val="21"/>
                <w:highlight w:val="none"/>
              </w:rPr>
            </w:pPr>
          </w:p>
        </w:tc>
        <w:tc>
          <w:tcPr>
            <w:tcW w:w="1489" w:type="dxa"/>
            <w:vMerge w:val="continue"/>
            <w:tcBorders>
              <w:top w:val="nil"/>
              <w:bottom w:val="single" w:color="auto" w:sz="4" w:space="0"/>
            </w:tcBorders>
            <w:vAlign w:val="top"/>
          </w:tcPr>
          <w:p w14:paraId="49F4E6D0">
            <w:pPr>
              <w:rPr>
                <w:rFonts w:hint="eastAsia" w:ascii="宋体" w:hAnsi="宋体" w:eastAsia="宋体" w:cs="宋体"/>
                <w:sz w:val="21"/>
                <w:szCs w:val="21"/>
                <w:highlight w:val="none"/>
              </w:rPr>
            </w:pPr>
          </w:p>
        </w:tc>
        <w:tc>
          <w:tcPr>
            <w:tcW w:w="2751" w:type="dxa"/>
            <w:gridSpan w:val="3"/>
            <w:vAlign w:val="top"/>
          </w:tcPr>
          <w:p w14:paraId="1B53E5D1">
            <w:pPr>
              <w:pStyle w:val="224"/>
              <w:spacing w:before="78" w:line="222" w:lineRule="auto"/>
              <w:ind w:left="722"/>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填写台账记录</w:t>
            </w:r>
          </w:p>
        </w:tc>
        <w:tc>
          <w:tcPr>
            <w:tcW w:w="2304" w:type="dxa"/>
            <w:gridSpan w:val="2"/>
            <w:vAlign w:val="top"/>
          </w:tcPr>
          <w:p w14:paraId="48B78EAC">
            <w:pPr>
              <w:pStyle w:val="224"/>
              <w:spacing w:before="78" w:line="222" w:lineRule="auto"/>
              <w:ind w:left="631"/>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6EBBBA1A">
            <w:pPr>
              <w:rPr>
                <w:rFonts w:hint="eastAsia" w:ascii="宋体" w:hAnsi="宋体" w:eastAsia="宋体" w:cs="宋体"/>
                <w:sz w:val="21"/>
                <w:szCs w:val="21"/>
                <w:highlight w:val="none"/>
              </w:rPr>
            </w:pPr>
          </w:p>
        </w:tc>
        <w:tc>
          <w:tcPr>
            <w:tcW w:w="635" w:type="dxa"/>
            <w:vAlign w:val="top"/>
          </w:tcPr>
          <w:p w14:paraId="6B24BF77">
            <w:pPr>
              <w:pStyle w:val="224"/>
              <w:spacing w:before="112" w:line="184" w:lineRule="auto"/>
              <w:ind w:left="269"/>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73" w:type="dxa"/>
            <w:tcBorders>
              <w:right w:val="single" w:color="auto" w:sz="4" w:space="0"/>
            </w:tcBorders>
            <w:vAlign w:val="top"/>
          </w:tcPr>
          <w:p w14:paraId="125C825B">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21587936">
            <w:pPr>
              <w:rPr>
                <w:rFonts w:hint="eastAsia" w:ascii="宋体" w:hAnsi="宋体" w:eastAsia="宋体" w:cs="宋体"/>
                <w:sz w:val="21"/>
                <w:szCs w:val="21"/>
                <w:highlight w:val="none"/>
              </w:rPr>
            </w:pPr>
          </w:p>
        </w:tc>
      </w:tr>
      <w:tr w14:paraId="6EB1B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451" w:type="dxa"/>
            <w:vMerge w:val="continue"/>
            <w:tcBorders>
              <w:right w:val="single" w:color="auto" w:sz="4" w:space="0"/>
            </w:tcBorders>
            <w:textDirection w:val="tbRlV"/>
            <w:vAlign w:val="top"/>
          </w:tcPr>
          <w:p w14:paraId="2462274A">
            <w:pPr>
              <w:rPr>
                <w:rFonts w:hint="eastAsia" w:ascii="宋体" w:hAnsi="宋体" w:eastAsia="宋体" w:cs="宋体"/>
                <w:sz w:val="21"/>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top"/>
          </w:tcPr>
          <w:p w14:paraId="5644D431">
            <w:pPr>
              <w:pStyle w:val="224"/>
              <w:spacing w:before="180" w:line="230" w:lineRule="auto"/>
              <w:ind w:left="197" w:leftChars="0" w:right="106" w:rightChars="0" w:hanging="79" w:firstLine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（五）仪器调</w:t>
            </w:r>
            <w:r>
              <w:rPr>
                <w:rFonts w:hint="eastAsia" w:ascii="宋体" w:hAnsi="宋体" w:eastAsia="宋体" w:cs="宋体"/>
                <w:spacing w:val="4"/>
                <w:sz w:val="21"/>
                <w:szCs w:val="21"/>
                <w:highlight w:val="none"/>
              </w:rPr>
              <w:t xml:space="preserve"> </w:t>
            </w:r>
            <w:r>
              <w:rPr>
                <w:rFonts w:hint="eastAsia" w:ascii="宋体" w:hAnsi="宋体" w:eastAsia="宋体" w:cs="宋体"/>
                <w:spacing w:val="-2"/>
                <w:sz w:val="21"/>
                <w:szCs w:val="21"/>
                <w:highlight w:val="none"/>
              </w:rPr>
              <w:t>试校准情况</w:t>
            </w:r>
          </w:p>
        </w:tc>
        <w:tc>
          <w:tcPr>
            <w:tcW w:w="2751" w:type="dxa"/>
            <w:gridSpan w:val="3"/>
            <w:tcBorders>
              <w:left w:val="single" w:color="auto" w:sz="4" w:space="0"/>
            </w:tcBorders>
            <w:vAlign w:val="top"/>
          </w:tcPr>
          <w:p w14:paraId="3D49CD2E">
            <w:pPr>
              <w:pStyle w:val="224"/>
              <w:spacing w:before="180" w:line="230" w:lineRule="auto"/>
              <w:ind w:left="1050" w:leftChars="0" w:right="162" w:rightChars="0" w:hanging="880" w:firstLineChars="0"/>
              <w:rPr>
                <w:rFonts w:hint="eastAsia" w:ascii="宋体" w:hAnsi="宋体" w:eastAsia="宋体" w:cs="宋体"/>
                <w:spacing w:val="-2"/>
                <w:sz w:val="21"/>
                <w:szCs w:val="21"/>
                <w:highlight w:val="none"/>
              </w:rPr>
            </w:pPr>
            <w:r>
              <w:rPr>
                <w:rFonts w:hint="eastAsia" w:ascii="宋体" w:hAnsi="宋体" w:eastAsia="宋体" w:cs="宋体"/>
                <w:spacing w:val="-5"/>
                <w:sz w:val="21"/>
                <w:szCs w:val="21"/>
                <w:highlight w:val="none"/>
              </w:rPr>
              <w:t>每月至少开展</w:t>
            </w:r>
            <w:r>
              <w:rPr>
                <w:rFonts w:hint="eastAsia" w:ascii="宋体" w:hAnsi="宋体" w:eastAsia="宋体" w:cs="宋体"/>
                <w:spacing w:val="-23"/>
                <w:sz w:val="21"/>
                <w:szCs w:val="21"/>
                <w:highlight w:val="none"/>
              </w:rPr>
              <w:t xml:space="preserve"> </w:t>
            </w:r>
            <w:r>
              <w:rPr>
                <w:rFonts w:hint="eastAsia" w:ascii="宋体" w:hAnsi="宋体" w:eastAsia="宋体" w:cs="宋体"/>
                <w:spacing w:val="-5"/>
                <w:sz w:val="21"/>
                <w:szCs w:val="21"/>
                <w:highlight w:val="none"/>
              </w:rPr>
              <w:t>1</w:t>
            </w:r>
            <w:r>
              <w:rPr>
                <w:rFonts w:hint="eastAsia" w:ascii="宋体" w:hAnsi="宋体" w:eastAsia="宋体" w:cs="宋体"/>
                <w:spacing w:val="-40"/>
                <w:sz w:val="21"/>
                <w:szCs w:val="21"/>
                <w:highlight w:val="none"/>
              </w:rPr>
              <w:t xml:space="preserve"> </w:t>
            </w:r>
            <w:r>
              <w:rPr>
                <w:rFonts w:hint="eastAsia" w:ascii="宋体" w:hAnsi="宋体" w:eastAsia="宋体" w:cs="宋体"/>
                <w:spacing w:val="-5"/>
                <w:sz w:val="21"/>
                <w:szCs w:val="21"/>
                <w:highlight w:val="none"/>
              </w:rPr>
              <w:t>次仪器调</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试校准</w:t>
            </w:r>
          </w:p>
        </w:tc>
        <w:tc>
          <w:tcPr>
            <w:tcW w:w="2304" w:type="dxa"/>
            <w:gridSpan w:val="2"/>
            <w:vAlign w:val="top"/>
          </w:tcPr>
          <w:p w14:paraId="10B7C0B5">
            <w:pPr>
              <w:pStyle w:val="224"/>
              <w:spacing w:before="117" w:line="222" w:lineRule="auto"/>
              <w:ind w:left="631" w:leftChars="0"/>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267EDFE5">
            <w:pPr>
              <w:rPr>
                <w:rFonts w:hint="eastAsia" w:ascii="宋体" w:hAnsi="宋体" w:eastAsia="宋体" w:cs="宋体"/>
                <w:sz w:val="21"/>
                <w:szCs w:val="21"/>
                <w:highlight w:val="none"/>
              </w:rPr>
            </w:pPr>
          </w:p>
        </w:tc>
        <w:tc>
          <w:tcPr>
            <w:tcW w:w="635" w:type="dxa"/>
            <w:vAlign w:val="top"/>
          </w:tcPr>
          <w:p w14:paraId="1E8CBAA4">
            <w:pPr>
              <w:pStyle w:val="224"/>
              <w:spacing w:before="112" w:line="184" w:lineRule="auto"/>
              <w:ind w:left="26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73" w:type="dxa"/>
            <w:tcBorders>
              <w:right w:val="single" w:color="auto" w:sz="4" w:space="0"/>
            </w:tcBorders>
            <w:vAlign w:val="top"/>
          </w:tcPr>
          <w:p w14:paraId="795B4E93">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6D2B11A3">
            <w:pPr>
              <w:rPr>
                <w:rFonts w:hint="eastAsia" w:ascii="宋体" w:hAnsi="宋体" w:eastAsia="宋体" w:cs="宋体"/>
                <w:sz w:val="21"/>
                <w:szCs w:val="21"/>
                <w:highlight w:val="none"/>
              </w:rPr>
            </w:pPr>
          </w:p>
        </w:tc>
      </w:tr>
      <w:tr w14:paraId="3B9D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451" w:type="dxa"/>
            <w:vMerge w:val="continue"/>
            <w:tcBorders>
              <w:right w:val="single" w:color="auto" w:sz="4" w:space="0"/>
            </w:tcBorders>
            <w:textDirection w:val="tbRlV"/>
            <w:vAlign w:val="top"/>
          </w:tcPr>
          <w:p w14:paraId="1E42A439">
            <w:pPr>
              <w:rPr>
                <w:rFonts w:hint="eastAsia" w:ascii="宋体" w:hAnsi="宋体" w:eastAsia="宋体" w:cs="宋体"/>
                <w:sz w:val="21"/>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top"/>
          </w:tcPr>
          <w:p w14:paraId="4A148533">
            <w:pPr>
              <w:pStyle w:val="224"/>
              <w:spacing w:before="209" w:line="231" w:lineRule="auto"/>
              <w:ind w:left="421" w:leftChars="0" w:right="106" w:rightChars="0" w:hanging="303" w:firstLine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（六）废液处</w:t>
            </w:r>
            <w:r>
              <w:rPr>
                <w:rFonts w:hint="eastAsia" w:ascii="宋体" w:hAnsi="宋体" w:eastAsia="宋体" w:cs="宋体"/>
                <w:spacing w:val="4"/>
                <w:sz w:val="21"/>
                <w:szCs w:val="21"/>
                <w:highlight w:val="none"/>
              </w:rPr>
              <w:t xml:space="preserve"> </w:t>
            </w:r>
            <w:r>
              <w:rPr>
                <w:rFonts w:hint="eastAsia" w:ascii="宋体" w:hAnsi="宋体" w:eastAsia="宋体" w:cs="宋体"/>
                <w:spacing w:val="-4"/>
                <w:sz w:val="21"/>
                <w:szCs w:val="21"/>
                <w:highlight w:val="none"/>
              </w:rPr>
              <w:t>理情况</w:t>
            </w:r>
          </w:p>
        </w:tc>
        <w:tc>
          <w:tcPr>
            <w:tcW w:w="2751" w:type="dxa"/>
            <w:gridSpan w:val="3"/>
            <w:tcBorders>
              <w:left w:val="single" w:color="auto" w:sz="4" w:space="0"/>
            </w:tcBorders>
            <w:vAlign w:val="top"/>
          </w:tcPr>
          <w:p w14:paraId="5D083053">
            <w:pPr>
              <w:spacing w:line="281" w:lineRule="auto"/>
              <w:rPr>
                <w:rFonts w:hint="eastAsia" w:ascii="宋体" w:hAnsi="宋体" w:eastAsia="宋体" w:cs="宋体"/>
                <w:sz w:val="21"/>
                <w:szCs w:val="21"/>
                <w:highlight w:val="none"/>
              </w:rPr>
            </w:pPr>
          </w:p>
          <w:p w14:paraId="597BFF18">
            <w:pPr>
              <w:pStyle w:val="224"/>
              <w:spacing w:before="71" w:line="223" w:lineRule="auto"/>
              <w:ind w:left="940" w:leftChars="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及时处理</w:t>
            </w:r>
          </w:p>
        </w:tc>
        <w:tc>
          <w:tcPr>
            <w:tcW w:w="2304" w:type="dxa"/>
            <w:gridSpan w:val="2"/>
            <w:vAlign w:val="top"/>
          </w:tcPr>
          <w:p w14:paraId="2254EA79">
            <w:pPr>
              <w:pStyle w:val="224"/>
              <w:spacing w:before="78" w:line="222" w:lineRule="auto"/>
              <w:ind w:left="631" w:leftChars="0"/>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66020269">
            <w:pPr>
              <w:rPr>
                <w:rFonts w:hint="eastAsia" w:ascii="宋体" w:hAnsi="宋体" w:eastAsia="宋体" w:cs="宋体"/>
                <w:sz w:val="21"/>
                <w:szCs w:val="21"/>
                <w:highlight w:val="none"/>
              </w:rPr>
            </w:pPr>
          </w:p>
        </w:tc>
        <w:tc>
          <w:tcPr>
            <w:tcW w:w="635" w:type="dxa"/>
            <w:vAlign w:val="top"/>
          </w:tcPr>
          <w:p w14:paraId="278577F1">
            <w:pPr>
              <w:pStyle w:val="224"/>
              <w:spacing w:before="112" w:line="184" w:lineRule="auto"/>
              <w:ind w:left="26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73" w:type="dxa"/>
            <w:tcBorders>
              <w:right w:val="single" w:color="auto" w:sz="4" w:space="0"/>
            </w:tcBorders>
            <w:vAlign w:val="top"/>
          </w:tcPr>
          <w:p w14:paraId="50BDC14D">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57ECB026">
            <w:pPr>
              <w:rPr>
                <w:rFonts w:hint="eastAsia" w:ascii="宋体" w:hAnsi="宋体" w:eastAsia="宋体" w:cs="宋体"/>
                <w:sz w:val="21"/>
                <w:szCs w:val="21"/>
                <w:highlight w:val="none"/>
              </w:rPr>
            </w:pPr>
          </w:p>
        </w:tc>
      </w:tr>
      <w:tr w14:paraId="17CD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451" w:type="dxa"/>
            <w:vMerge w:val="continue"/>
            <w:tcBorders>
              <w:right w:val="single" w:color="auto" w:sz="4" w:space="0"/>
            </w:tcBorders>
            <w:textDirection w:val="tbRlV"/>
            <w:vAlign w:val="top"/>
          </w:tcPr>
          <w:p w14:paraId="10FEA30D">
            <w:pPr>
              <w:rPr>
                <w:rFonts w:hint="eastAsia" w:ascii="宋体" w:hAnsi="宋体" w:eastAsia="宋体" w:cs="宋体"/>
                <w:sz w:val="21"/>
                <w:szCs w:val="21"/>
                <w:highlight w:val="none"/>
              </w:rPr>
            </w:pPr>
          </w:p>
        </w:tc>
        <w:tc>
          <w:tcPr>
            <w:tcW w:w="1489" w:type="dxa"/>
            <w:tcBorders>
              <w:top w:val="single" w:color="auto" w:sz="4" w:space="0"/>
              <w:left w:val="single" w:color="auto" w:sz="4" w:space="0"/>
              <w:bottom w:val="single" w:color="auto" w:sz="4" w:space="0"/>
              <w:right w:val="single" w:color="auto" w:sz="4" w:space="0"/>
            </w:tcBorders>
            <w:vAlign w:val="top"/>
          </w:tcPr>
          <w:p w14:paraId="619FCA13">
            <w:pPr>
              <w:pStyle w:val="224"/>
              <w:spacing w:before="203" w:line="229" w:lineRule="auto"/>
              <w:ind w:left="197" w:leftChars="0" w:right="106" w:rightChars="0" w:hanging="79" w:firstLine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（七）异常数</w:t>
            </w:r>
            <w:r>
              <w:rPr>
                <w:rFonts w:hint="eastAsia" w:ascii="宋体" w:hAnsi="宋体" w:eastAsia="宋体" w:cs="宋体"/>
                <w:spacing w:val="4"/>
                <w:sz w:val="21"/>
                <w:szCs w:val="21"/>
                <w:highlight w:val="none"/>
              </w:rPr>
              <w:t xml:space="preserve"> </w:t>
            </w:r>
            <w:r>
              <w:rPr>
                <w:rFonts w:hint="eastAsia" w:ascii="宋体" w:hAnsi="宋体" w:eastAsia="宋体" w:cs="宋体"/>
                <w:spacing w:val="-2"/>
                <w:sz w:val="21"/>
                <w:szCs w:val="21"/>
                <w:highlight w:val="none"/>
              </w:rPr>
              <w:t>据处理情况</w:t>
            </w:r>
          </w:p>
        </w:tc>
        <w:tc>
          <w:tcPr>
            <w:tcW w:w="2751" w:type="dxa"/>
            <w:gridSpan w:val="3"/>
            <w:tcBorders>
              <w:left w:val="single" w:color="auto" w:sz="4" w:space="0"/>
            </w:tcBorders>
            <w:vAlign w:val="top"/>
          </w:tcPr>
          <w:p w14:paraId="724B3099">
            <w:pPr>
              <w:pStyle w:val="224"/>
              <w:spacing w:before="204" w:line="231" w:lineRule="auto"/>
              <w:ind w:left="1166" w:leftChars="0" w:right="162" w:rightChars="0" w:hanging="992" w:firstLineChars="0"/>
              <w:rPr>
                <w:rFonts w:hint="eastAsia" w:ascii="宋体" w:hAnsi="宋体" w:eastAsia="宋体" w:cs="宋体"/>
                <w:spacing w:val="-2"/>
                <w:sz w:val="21"/>
                <w:szCs w:val="21"/>
                <w:highlight w:val="none"/>
              </w:rPr>
            </w:pPr>
            <w:r>
              <w:rPr>
                <w:rFonts w:hint="eastAsia" w:ascii="宋体" w:hAnsi="宋体" w:eastAsia="宋体" w:cs="宋体"/>
                <w:spacing w:val="-1"/>
                <w:sz w:val="21"/>
                <w:szCs w:val="21"/>
                <w:highlight w:val="none"/>
              </w:rPr>
              <w:t>发现数据异常并及时汇报</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处理</w:t>
            </w:r>
          </w:p>
        </w:tc>
        <w:tc>
          <w:tcPr>
            <w:tcW w:w="2304" w:type="dxa"/>
            <w:gridSpan w:val="2"/>
            <w:vAlign w:val="top"/>
          </w:tcPr>
          <w:p w14:paraId="2D5DC6E6">
            <w:pPr>
              <w:pStyle w:val="224"/>
              <w:spacing w:before="117" w:line="222" w:lineRule="auto"/>
              <w:ind w:left="631" w:leftChars="0"/>
              <w:rPr>
                <w:rFonts w:hint="eastAsia" w:ascii="宋体" w:hAnsi="宋体" w:eastAsia="宋体" w:cs="宋体"/>
                <w:spacing w:val="-16"/>
                <w:sz w:val="21"/>
                <w:szCs w:val="21"/>
                <w:highlight w:val="none"/>
              </w:rPr>
            </w:pPr>
            <w:r>
              <w:rPr>
                <w:rFonts w:hint="eastAsia" w:ascii="宋体" w:hAnsi="宋体" w:eastAsia="宋体" w:cs="宋体"/>
                <w:spacing w:val="-16"/>
                <w:sz w:val="21"/>
                <w:szCs w:val="21"/>
                <w:highlight w:val="none"/>
              </w:rPr>
              <w:t>□是</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rPr>
              <w:t>□否</w:t>
            </w:r>
          </w:p>
        </w:tc>
        <w:tc>
          <w:tcPr>
            <w:tcW w:w="795" w:type="dxa"/>
            <w:vAlign w:val="top"/>
          </w:tcPr>
          <w:p w14:paraId="46DD20EE">
            <w:pPr>
              <w:rPr>
                <w:rFonts w:hint="eastAsia" w:ascii="宋体" w:hAnsi="宋体" w:eastAsia="宋体" w:cs="宋体"/>
                <w:sz w:val="21"/>
                <w:szCs w:val="21"/>
                <w:highlight w:val="none"/>
              </w:rPr>
            </w:pPr>
          </w:p>
        </w:tc>
        <w:tc>
          <w:tcPr>
            <w:tcW w:w="635" w:type="dxa"/>
            <w:vAlign w:val="top"/>
          </w:tcPr>
          <w:p w14:paraId="195E3DBA">
            <w:pPr>
              <w:pStyle w:val="224"/>
              <w:spacing w:before="112" w:line="184" w:lineRule="auto"/>
              <w:ind w:left="26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773" w:type="dxa"/>
            <w:tcBorders>
              <w:right w:val="single" w:color="auto" w:sz="4" w:space="0"/>
            </w:tcBorders>
            <w:vAlign w:val="top"/>
          </w:tcPr>
          <w:p w14:paraId="72BF0C68">
            <w:pPr>
              <w:rPr>
                <w:rFonts w:hint="eastAsia" w:ascii="宋体" w:hAnsi="宋体" w:eastAsia="宋体" w:cs="宋体"/>
                <w:sz w:val="21"/>
                <w:szCs w:val="21"/>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top"/>
          </w:tcPr>
          <w:p w14:paraId="72F15F16">
            <w:pPr>
              <w:rPr>
                <w:rFonts w:hint="eastAsia" w:ascii="宋体" w:hAnsi="宋体" w:eastAsia="宋体" w:cs="宋体"/>
                <w:sz w:val="21"/>
                <w:szCs w:val="21"/>
                <w:highlight w:val="none"/>
              </w:rPr>
            </w:pPr>
          </w:p>
        </w:tc>
      </w:tr>
      <w:tr w14:paraId="31AC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jc w:val="center"/>
        </w:trPr>
        <w:tc>
          <w:tcPr>
            <w:tcW w:w="451" w:type="dxa"/>
            <w:textDirection w:val="tbRlV"/>
            <w:vAlign w:val="top"/>
          </w:tcPr>
          <w:p w14:paraId="7D9904DE">
            <w:pPr>
              <w:pStyle w:val="224"/>
              <w:spacing w:before="116" w:line="209" w:lineRule="auto"/>
              <w:ind w:left="38"/>
              <w:rPr>
                <w:rFonts w:hint="eastAsia" w:ascii="宋体" w:hAnsi="宋体" w:eastAsia="宋体" w:cs="宋体"/>
                <w:sz w:val="21"/>
                <w:szCs w:val="21"/>
                <w:highlight w:val="none"/>
              </w:rPr>
            </w:pPr>
            <w:r>
              <w:rPr>
                <w:rFonts w:hint="eastAsia" w:ascii="宋体" w:hAnsi="宋体" w:eastAsia="宋体" w:cs="宋体"/>
                <w:spacing w:val="49"/>
                <w:sz w:val="21"/>
                <w:szCs w:val="21"/>
                <w:highlight w:val="none"/>
              </w:rPr>
              <w:t>考核得分</w:t>
            </w:r>
          </w:p>
        </w:tc>
        <w:tc>
          <w:tcPr>
            <w:tcW w:w="4019" w:type="dxa"/>
            <w:gridSpan w:val="3"/>
            <w:vAlign w:val="top"/>
          </w:tcPr>
          <w:p w14:paraId="03B67137">
            <w:pPr>
              <w:rPr>
                <w:rFonts w:hint="eastAsia" w:ascii="宋体" w:hAnsi="宋体" w:eastAsia="宋体" w:cs="宋体"/>
                <w:sz w:val="21"/>
                <w:szCs w:val="21"/>
                <w:highlight w:val="none"/>
              </w:rPr>
            </w:pPr>
          </w:p>
        </w:tc>
        <w:tc>
          <w:tcPr>
            <w:tcW w:w="1667" w:type="dxa"/>
            <w:gridSpan w:val="2"/>
            <w:vAlign w:val="top"/>
          </w:tcPr>
          <w:p w14:paraId="1C413B8C">
            <w:pPr>
              <w:spacing w:line="391" w:lineRule="auto"/>
              <w:rPr>
                <w:rFonts w:hint="eastAsia" w:ascii="宋体" w:hAnsi="宋体" w:eastAsia="宋体" w:cs="宋体"/>
                <w:sz w:val="21"/>
                <w:szCs w:val="21"/>
                <w:highlight w:val="none"/>
              </w:rPr>
            </w:pPr>
          </w:p>
          <w:p w14:paraId="73FFC220">
            <w:pPr>
              <w:pStyle w:val="224"/>
              <w:spacing w:before="71" w:line="221" w:lineRule="auto"/>
              <w:ind w:left="287"/>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考核结论</w:t>
            </w:r>
          </w:p>
        </w:tc>
        <w:tc>
          <w:tcPr>
            <w:tcW w:w="3942" w:type="dxa"/>
            <w:gridSpan w:val="5"/>
            <w:vAlign w:val="top"/>
          </w:tcPr>
          <w:p w14:paraId="7BC8BDCA">
            <w:pPr>
              <w:rPr>
                <w:rFonts w:hint="eastAsia" w:ascii="宋体" w:hAnsi="宋体" w:eastAsia="宋体" w:cs="宋体"/>
                <w:sz w:val="21"/>
                <w:szCs w:val="21"/>
                <w:highlight w:val="none"/>
              </w:rPr>
            </w:pPr>
          </w:p>
        </w:tc>
      </w:tr>
      <w:tr w14:paraId="6035A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jc w:val="center"/>
        </w:trPr>
        <w:tc>
          <w:tcPr>
            <w:tcW w:w="451" w:type="dxa"/>
            <w:textDirection w:val="tbRlV"/>
            <w:vAlign w:val="top"/>
          </w:tcPr>
          <w:p w14:paraId="2C86A5E6">
            <w:pPr>
              <w:pStyle w:val="224"/>
              <w:spacing w:before="116" w:line="209" w:lineRule="auto"/>
              <w:ind w:left="38"/>
              <w:rPr>
                <w:rFonts w:hint="eastAsia" w:ascii="宋体" w:hAnsi="宋体" w:eastAsia="宋体" w:cs="宋体"/>
                <w:sz w:val="21"/>
                <w:szCs w:val="21"/>
                <w:highlight w:val="none"/>
              </w:rPr>
            </w:pPr>
            <w:r>
              <w:rPr>
                <w:rFonts w:hint="eastAsia" w:ascii="宋体" w:hAnsi="宋体" w:eastAsia="宋体" w:cs="宋体"/>
                <w:spacing w:val="52"/>
                <w:sz w:val="21"/>
                <w:szCs w:val="21"/>
                <w:highlight w:val="none"/>
              </w:rPr>
              <w:t>考核人签字</w:t>
            </w:r>
          </w:p>
        </w:tc>
        <w:tc>
          <w:tcPr>
            <w:tcW w:w="1491" w:type="dxa"/>
            <w:gridSpan w:val="2"/>
            <w:vAlign w:val="top"/>
          </w:tcPr>
          <w:p w14:paraId="34B7496C">
            <w:pPr>
              <w:rPr>
                <w:rFonts w:hint="eastAsia" w:ascii="宋体" w:hAnsi="宋体" w:eastAsia="宋体" w:cs="宋体"/>
                <w:sz w:val="21"/>
                <w:szCs w:val="21"/>
                <w:highlight w:val="none"/>
              </w:rPr>
            </w:pPr>
          </w:p>
        </w:tc>
        <w:tc>
          <w:tcPr>
            <w:tcW w:w="8137" w:type="dxa"/>
            <w:gridSpan w:val="8"/>
            <w:vAlign w:val="top"/>
          </w:tcPr>
          <w:p w14:paraId="5BAA0E81">
            <w:pPr>
              <w:rPr>
                <w:rFonts w:hint="eastAsia" w:ascii="宋体" w:hAnsi="宋体" w:eastAsia="宋体" w:cs="宋体"/>
                <w:sz w:val="21"/>
                <w:szCs w:val="21"/>
                <w:highlight w:val="none"/>
              </w:rPr>
            </w:pPr>
          </w:p>
        </w:tc>
      </w:tr>
      <w:tr w14:paraId="2F8C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942" w:type="dxa"/>
            <w:gridSpan w:val="3"/>
            <w:vAlign w:val="top"/>
          </w:tcPr>
          <w:p w14:paraId="23033BA1">
            <w:pPr>
              <w:pStyle w:val="224"/>
              <w:spacing w:before="132" w:line="221" w:lineRule="auto"/>
              <w:ind w:left="212"/>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点位维护负责人</w:t>
            </w:r>
          </w:p>
        </w:tc>
        <w:tc>
          <w:tcPr>
            <w:tcW w:w="2528" w:type="dxa"/>
            <w:vAlign w:val="top"/>
          </w:tcPr>
          <w:p w14:paraId="33331AD9">
            <w:pPr>
              <w:rPr>
                <w:rFonts w:hint="eastAsia" w:ascii="宋体" w:hAnsi="宋体" w:eastAsia="宋体" w:cs="宋体"/>
                <w:sz w:val="21"/>
                <w:szCs w:val="21"/>
                <w:highlight w:val="none"/>
              </w:rPr>
            </w:pPr>
          </w:p>
        </w:tc>
        <w:tc>
          <w:tcPr>
            <w:tcW w:w="2525" w:type="dxa"/>
            <w:gridSpan w:val="3"/>
            <w:vAlign w:val="top"/>
          </w:tcPr>
          <w:p w14:paraId="31E49E25">
            <w:pPr>
              <w:pStyle w:val="224"/>
              <w:spacing w:before="132" w:line="221" w:lineRule="auto"/>
              <w:ind w:left="499"/>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考</w:t>
            </w:r>
            <w:r>
              <w:rPr>
                <w:rFonts w:hint="eastAsia" w:ascii="宋体" w:hAnsi="宋体" w:eastAsia="宋体" w:cs="宋体"/>
                <w:spacing w:val="9"/>
                <w:sz w:val="21"/>
                <w:szCs w:val="21"/>
                <w:highlight w:val="none"/>
              </w:rPr>
              <w:t xml:space="preserve"> </w:t>
            </w:r>
            <w:r>
              <w:rPr>
                <w:rFonts w:hint="eastAsia" w:ascii="宋体" w:hAnsi="宋体" w:eastAsia="宋体" w:cs="宋体"/>
                <w:spacing w:val="-16"/>
                <w:sz w:val="21"/>
                <w:szCs w:val="21"/>
                <w:highlight w:val="none"/>
              </w:rPr>
              <w:t>核</w:t>
            </w:r>
            <w:r>
              <w:rPr>
                <w:rFonts w:hint="eastAsia" w:ascii="宋体" w:hAnsi="宋体" w:eastAsia="宋体" w:cs="宋体"/>
                <w:spacing w:val="46"/>
                <w:sz w:val="21"/>
                <w:szCs w:val="21"/>
                <w:highlight w:val="none"/>
              </w:rPr>
              <w:t xml:space="preserve"> </w:t>
            </w:r>
            <w:r>
              <w:rPr>
                <w:rFonts w:hint="eastAsia" w:ascii="宋体" w:hAnsi="宋体" w:eastAsia="宋体" w:cs="宋体"/>
                <w:spacing w:val="-16"/>
                <w:sz w:val="21"/>
                <w:szCs w:val="21"/>
                <w:highlight w:val="none"/>
              </w:rPr>
              <w:t>日</w:t>
            </w:r>
            <w:r>
              <w:rPr>
                <w:rFonts w:hint="eastAsia" w:ascii="宋体" w:hAnsi="宋体" w:eastAsia="宋体" w:cs="宋体"/>
                <w:spacing w:val="4"/>
                <w:sz w:val="21"/>
                <w:szCs w:val="21"/>
                <w:highlight w:val="none"/>
              </w:rPr>
              <w:t xml:space="preserve">  </w:t>
            </w:r>
            <w:r>
              <w:rPr>
                <w:rFonts w:hint="eastAsia" w:ascii="宋体" w:hAnsi="宋体" w:eastAsia="宋体" w:cs="宋体"/>
                <w:spacing w:val="-16"/>
                <w:sz w:val="21"/>
                <w:szCs w:val="21"/>
                <w:highlight w:val="none"/>
              </w:rPr>
              <w:t>期</w:t>
            </w:r>
          </w:p>
        </w:tc>
        <w:tc>
          <w:tcPr>
            <w:tcW w:w="3084" w:type="dxa"/>
            <w:gridSpan w:val="4"/>
            <w:vAlign w:val="top"/>
          </w:tcPr>
          <w:p w14:paraId="4E91FE2C">
            <w:pPr>
              <w:pStyle w:val="224"/>
              <w:spacing w:before="132" w:line="221" w:lineRule="auto"/>
              <w:ind w:left="724"/>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年</w:t>
            </w:r>
            <w:r>
              <w:rPr>
                <w:rFonts w:hint="eastAsia" w:ascii="宋体" w:hAnsi="宋体" w:eastAsia="宋体" w:cs="宋体"/>
                <w:spacing w:val="2"/>
                <w:sz w:val="21"/>
                <w:szCs w:val="21"/>
                <w:highlight w:val="none"/>
              </w:rPr>
              <w:t xml:space="preserve">     </w:t>
            </w:r>
            <w:r>
              <w:rPr>
                <w:rFonts w:hint="eastAsia" w:ascii="宋体" w:hAnsi="宋体" w:eastAsia="宋体" w:cs="宋体"/>
                <w:spacing w:val="-8"/>
                <w:sz w:val="21"/>
                <w:szCs w:val="21"/>
                <w:highlight w:val="none"/>
              </w:rPr>
              <w:t>月</w:t>
            </w:r>
            <w:r>
              <w:rPr>
                <w:rFonts w:hint="eastAsia" w:ascii="宋体" w:hAnsi="宋体" w:eastAsia="宋体" w:cs="宋体"/>
                <w:spacing w:val="12"/>
                <w:sz w:val="21"/>
                <w:szCs w:val="21"/>
                <w:highlight w:val="none"/>
              </w:rPr>
              <w:t xml:space="preserve">    </w:t>
            </w:r>
            <w:r>
              <w:rPr>
                <w:rFonts w:hint="eastAsia" w:ascii="宋体" w:hAnsi="宋体" w:eastAsia="宋体" w:cs="宋体"/>
                <w:spacing w:val="-8"/>
                <w:sz w:val="21"/>
                <w:szCs w:val="21"/>
                <w:highlight w:val="none"/>
              </w:rPr>
              <w:t>日</w:t>
            </w:r>
          </w:p>
        </w:tc>
      </w:tr>
    </w:tbl>
    <w:p w14:paraId="6760AE1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562" w:firstLineChars="200"/>
        <w:jc w:val="both"/>
        <w:rPr>
          <w:rFonts w:hint="eastAsia" w:ascii="宋体" w:hAnsi="宋体" w:eastAsia="宋体" w:cs="宋体"/>
          <w:b/>
          <w:bCs/>
          <w:color w:val="auto"/>
          <w:kern w:val="0"/>
          <w:sz w:val="28"/>
          <w:szCs w:val="28"/>
          <w:highlight w:val="none"/>
          <w:lang w:val="en-US" w:eastAsia="zh-CN" w:bidi="ar"/>
        </w:rPr>
      </w:pPr>
    </w:p>
    <w:p w14:paraId="7DE49BA4">
      <w:pPr>
        <w:pStyle w:val="40"/>
        <w:rPr>
          <w:highlight w:val="none"/>
        </w:rPr>
      </w:pPr>
    </w:p>
    <w:p w14:paraId="1E3C996A">
      <w:pPr>
        <w:adjustRightInd/>
        <w:spacing w:line="360" w:lineRule="auto"/>
        <w:jc w:val="center"/>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sectPr>
          <w:headerReference r:id="rId5" w:type="first"/>
          <w:footerReference r:id="rId8" w:type="first"/>
          <w:headerReference r:id="rId4" w:type="default"/>
          <w:footerReference r:id="rId6" w:type="default"/>
          <w:footerReference r:id="rId7" w:type="even"/>
          <w:pgSz w:w="11906" w:h="16838"/>
          <w:pgMar w:top="1247" w:right="1418" w:bottom="1276" w:left="1418" w:header="851" w:footer="992" w:gutter="0"/>
          <w:pgNumType w:fmt="decimal"/>
          <w:cols w:space="720" w:num="1"/>
          <w:titlePg/>
          <w:docGrid w:linePitch="312" w:charSpace="0"/>
        </w:sectPr>
      </w:pPr>
    </w:p>
    <w:p w14:paraId="5776EF2A">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5" w:name="_Toc11988"/>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第五部分  </w:t>
      </w:r>
      <w:bookmarkEnd w:id="61"/>
      <w:bookmarkEnd w:id="62"/>
      <w:bookmarkStart w:id="66" w:name="第四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评审方法及评审标准</w:t>
      </w:r>
      <w:bookmarkEnd w:id="65"/>
    </w:p>
    <w:p w14:paraId="5A8C3EAA">
      <w:pPr>
        <w:snapToGrid w:val="0"/>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38"/>
        <w:gridCol w:w="899"/>
        <w:gridCol w:w="1214"/>
      </w:tblGrid>
      <w:tr w14:paraId="780E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F1F1F1" w:themeFill="background1" w:themeFillShade="F2"/>
            <w:noWrap w:val="0"/>
            <w:vAlign w:val="center"/>
          </w:tcPr>
          <w:p w14:paraId="1A5227B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5838" w:type="dxa"/>
            <w:shd w:val="clear" w:color="auto" w:fill="F1F1F1" w:themeFill="background1" w:themeFillShade="F2"/>
            <w:noWrap w:val="0"/>
            <w:vAlign w:val="center"/>
          </w:tcPr>
          <w:p w14:paraId="50ED549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评标标准</w:t>
            </w:r>
          </w:p>
        </w:tc>
        <w:tc>
          <w:tcPr>
            <w:tcW w:w="899" w:type="dxa"/>
            <w:shd w:val="clear" w:color="auto" w:fill="F1F1F1" w:themeFill="background1" w:themeFillShade="F2"/>
            <w:noWrap w:val="0"/>
            <w:vAlign w:val="center"/>
          </w:tcPr>
          <w:p w14:paraId="0845ACA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权重</w:t>
            </w:r>
          </w:p>
        </w:tc>
        <w:tc>
          <w:tcPr>
            <w:tcW w:w="1214" w:type="dxa"/>
            <w:shd w:val="clear" w:color="auto" w:fill="F1F1F1" w:themeFill="background1" w:themeFillShade="F2"/>
            <w:noWrap w:val="0"/>
            <w:vAlign w:val="center"/>
          </w:tcPr>
          <w:p w14:paraId="0718CC9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主观分/客观分属性</w:t>
            </w:r>
          </w:p>
        </w:tc>
      </w:tr>
      <w:tr w14:paraId="3CAA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F0328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w:t>
            </w:r>
          </w:p>
        </w:tc>
        <w:tc>
          <w:tcPr>
            <w:tcW w:w="5838" w:type="dxa"/>
            <w:noWrap w:val="0"/>
            <w:vAlign w:val="center"/>
          </w:tcPr>
          <w:p w14:paraId="03CD1CC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价格分</w:t>
            </w:r>
          </w:p>
        </w:tc>
        <w:tc>
          <w:tcPr>
            <w:tcW w:w="899" w:type="dxa"/>
            <w:noWrap w:val="0"/>
            <w:vAlign w:val="center"/>
          </w:tcPr>
          <w:p w14:paraId="1423DFC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214" w:type="dxa"/>
            <w:noWrap w:val="0"/>
            <w:vAlign w:val="center"/>
          </w:tcPr>
          <w:p w14:paraId="394509D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p>
        </w:tc>
      </w:tr>
      <w:tr w14:paraId="7BD8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569FDD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.1</w:t>
            </w:r>
          </w:p>
        </w:tc>
        <w:tc>
          <w:tcPr>
            <w:tcW w:w="5838" w:type="dxa"/>
            <w:noWrap w:val="0"/>
            <w:vAlign w:val="center"/>
          </w:tcPr>
          <w:p w14:paraId="49C1F629">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磋商报价</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3C411B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评审报价</w:t>
            </w:r>
            <w:r>
              <w:rPr>
                <w:rFonts w:hint="eastAsia" w:ascii="宋体" w:hAnsi="宋体" w:eastAsia="宋体" w:cs="宋体"/>
                <w:bCs/>
                <w:color w:val="auto"/>
                <w:sz w:val="21"/>
                <w:szCs w:val="21"/>
                <w:highlight w:val="none"/>
              </w:rPr>
              <w:t>为</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的</w:t>
            </w:r>
            <w:r>
              <w:rPr>
                <w:rFonts w:hint="eastAsia" w:ascii="宋体" w:hAnsi="宋体" w:cs="宋体"/>
                <w:bCs/>
                <w:color w:val="auto"/>
                <w:sz w:val="21"/>
                <w:szCs w:val="21"/>
                <w:highlight w:val="none"/>
                <w:lang w:eastAsia="zh-CN"/>
              </w:rPr>
              <w:t>磋商报价</w:t>
            </w:r>
            <w:r>
              <w:rPr>
                <w:rFonts w:hint="eastAsia" w:ascii="宋体" w:hAnsi="宋体" w:eastAsia="宋体" w:cs="宋体"/>
                <w:bCs/>
                <w:color w:val="auto"/>
                <w:sz w:val="21"/>
                <w:szCs w:val="21"/>
                <w:highlight w:val="none"/>
              </w:rPr>
              <w:t>进行政策性扣除后的价格，</w:t>
            </w:r>
            <w:r>
              <w:rPr>
                <w:rFonts w:hint="eastAsia" w:ascii="宋体" w:hAnsi="宋体" w:cs="宋体"/>
                <w:bCs/>
                <w:color w:val="auto"/>
                <w:sz w:val="21"/>
                <w:szCs w:val="21"/>
                <w:highlight w:val="none"/>
                <w:lang w:eastAsia="zh-CN"/>
              </w:rPr>
              <w:t>评审报价</w:t>
            </w:r>
            <w:r>
              <w:rPr>
                <w:rFonts w:hint="eastAsia" w:ascii="宋体" w:hAnsi="宋体" w:eastAsia="宋体" w:cs="宋体"/>
                <w:bCs/>
                <w:color w:val="auto"/>
                <w:sz w:val="21"/>
                <w:szCs w:val="21"/>
                <w:highlight w:val="none"/>
              </w:rPr>
              <w:t>只是作为</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时使用。最终</w:t>
            </w:r>
            <w:r>
              <w:rPr>
                <w:rFonts w:hint="eastAsia" w:ascii="宋体" w:hAnsi="宋体" w:cs="宋体"/>
                <w:bCs/>
                <w:color w:val="auto"/>
                <w:sz w:val="21"/>
                <w:szCs w:val="21"/>
                <w:highlight w:val="none"/>
                <w:lang w:val="en-US" w:eastAsia="zh-CN"/>
              </w:rPr>
              <w:t>成交供应商</w:t>
            </w:r>
            <w:r>
              <w:rPr>
                <w:rFonts w:hint="eastAsia" w:ascii="宋体" w:hAnsi="宋体" w:eastAsia="宋体" w:cs="宋体"/>
                <w:bCs/>
                <w:color w:val="auto"/>
                <w:sz w:val="21"/>
                <w:szCs w:val="21"/>
                <w:highlight w:val="none"/>
              </w:rPr>
              <w:t>的</w:t>
            </w:r>
            <w:r>
              <w:rPr>
                <w:rFonts w:hint="eastAsia" w:ascii="宋体"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金额＝</w:t>
            </w:r>
            <w:r>
              <w:rPr>
                <w:rFonts w:hint="eastAsia" w:ascii="宋体" w:hAnsi="宋体" w:cs="宋体"/>
                <w:bCs/>
                <w:color w:val="auto"/>
                <w:sz w:val="21"/>
                <w:szCs w:val="21"/>
                <w:highlight w:val="none"/>
                <w:lang w:eastAsia="zh-CN"/>
              </w:rPr>
              <w:t>磋商报价</w:t>
            </w:r>
            <w:r>
              <w:rPr>
                <w:rFonts w:hint="eastAsia" w:ascii="宋体" w:hAnsi="宋体" w:eastAsia="宋体" w:cs="宋体"/>
                <w:bCs/>
                <w:color w:val="auto"/>
                <w:sz w:val="21"/>
                <w:szCs w:val="21"/>
                <w:highlight w:val="none"/>
              </w:rPr>
              <w:t>。</w:t>
            </w:r>
          </w:p>
          <w:p w14:paraId="0366B9B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E89EB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4DDAF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（4）政策性扣除计算方法。</w:t>
            </w:r>
          </w:p>
          <w:p w14:paraId="2A49800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的</w:t>
            </w:r>
            <w:r>
              <w:rPr>
                <w:rFonts w:hint="eastAsia" w:ascii="宋体" w:hAnsi="宋体" w:cs="宋体"/>
                <w:bCs/>
                <w:color w:val="auto"/>
                <w:sz w:val="21"/>
                <w:szCs w:val="21"/>
                <w:highlight w:val="none"/>
                <w:lang w:eastAsia="zh-CN"/>
              </w:rPr>
              <w:t>磋商报价</w:t>
            </w:r>
            <w:r>
              <w:rPr>
                <w:rFonts w:hint="eastAsia" w:ascii="宋体" w:hAnsi="宋体" w:eastAsia="宋体" w:cs="宋体"/>
                <w:bCs/>
                <w:color w:val="auto"/>
                <w:sz w:val="21"/>
                <w:szCs w:val="21"/>
                <w:highlight w:val="none"/>
              </w:rPr>
              <w:t>给予20%的扣除，扣除后的价格为</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报价，即</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报价=</w:t>
            </w:r>
            <w:r>
              <w:rPr>
                <w:rFonts w:hint="eastAsia" w:ascii="宋体" w:hAnsi="宋体" w:cs="宋体"/>
                <w:bCs/>
                <w:color w:val="auto"/>
                <w:sz w:val="21"/>
                <w:szCs w:val="21"/>
                <w:highlight w:val="none"/>
                <w:lang w:eastAsia="zh-CN"/>
              </w:rPr>
              <w:t>磋商报价</w:t>
            </w:r>
            <w:r>
              <w:rPr>
                <w:rFonts w:hint="eastAsia" w:ascii="宋体" w:hAnsi="宋体" w:eastAsia="宋体" w:cs="宋体"/>
                <w:bCs/>
                <w:color w:val="auto"/>
                <w:sz w:val="21"/>
                <w:szCs w:val="21"/>
                <w:highlight w:val="none"/>
              </w:rPr>
              <w:t>×（1-20%）。除上述情况外，</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报价=</w:t>
            </w:r>
            <w:r>
              <w:rPr>
                <w:rFonts w:hint="eastAsia" w:ascii="宋体" w:hAnsi="宋体" w:cs="宋体"/>
                <w:bCs/>
                <w:color w:val="auto"/>
                <w:sz w:val="21"/>
                <w:szCs w:val="21"/>
                <w:highlight w:val="none"/>
                <w:lang w:eastAsia="zh-CN"/>
              </w:rPr>
              <w:t>磋商报价</w:t>
            </w:r>
            <w:r>
              <w:rPr>
                <w:rFonts w:hint="eastAsia" w:ascii="宋体" w:hAnsi="宋体" w:eastAsia="宋体" w:cs="宋体"/>
                <w:bCs/>
                <w:color w:val="auto"/>
                <w:sz w:val="21"/>
                <w:szCs w:val="21"/>
                <w:highlight w:val="none"/>
              </w:rPr>
              <w:t>。</w:t>
            </w:r>
          </w:p>
          <w:p w14:paraId="23C88D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（5）以进入综合评分环节的最低的</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报价为基准价，基准价报价得分为</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p w14:paraId="09B8CDA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（6）价格分计算公式：        </w:t>
            </w:r>
          </w:p>
          <w:p w14:paraId="2AB71AA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某</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价格分=基准价/某</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评标报价金额×</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p w14:paraId="5C81DCF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bCs/>
                <w:color w:val="auto"/>
                <w:sz w:val="21"/>
                <w:szCs w:val="21"/>
                <w:highlight w:val="none"/>
                <w:lang w:val="en-US" w:eastAsia="zh-CN"/>
              </w:rPr>
              <w:t>磋商小组</w:t>
            </w:r>
            <w:r>
              <w:rPr>
                <w:rFonts w:hint="eastAsia" w:ascii="宋体" w:hAnsi="宋体" w:eastAsia="宋体" w:cs="宋体"/>
                <w:bCs/>
                <w:color w:val="auto"/>
                <w:sz w:val="21"/>
                <w:szCs w:val="21"/>
                <w:highlight w:val="none"/>
              </w:rPr>
              <w:t>认为</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的报价明显低于其他通过符合性审查</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的报价，有可能影响产品质量或者不能诚信履约的，应当要求其在</w:t>
            </w:r>
            <w:r>
              <w:rPr>
                <w:rFonts w:hint="eastAsia" w:ascii="宋体" w:hAnsi="宋体" w:cs="宋体"/>
                <w:bCs/>
                <w:color w:val="auto"/>
                <w:sz w:val="21"/>
                <w:szCs w:val="21"/>
                <w:highlight w:val="none"/>
                <w:lang w:val="en-US" w:eastAsia="zh-CN"/>
              </w:rPr>
              <w:t>评审</w:t>
            </w:r>
            <w:r>
              <w:rPr>
                <w:rFonts w:hint="eastAsia" w:ascii="宋体" w:hAnsi="宋体" w:eastAsia="宋体" w:cs="宋体"/>
                <w:bCs/>
                <w:color w:val="auto"/>
                <w:sz w:val="21"/>
                <w:szCs w:val="21"/>
                <w:highlight w:val="none"/>
              </w:rPr>
              <w:t>现场合理的时间内提供书面说明，必要时提交相关证明材料；</w:t>
            </w:r>
            <w:r>
              <w:rPr>
                <w:rFonts w:hint="eastAsia" w:ascii="宋体" w:hAnsi="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不能证明其报价合理性的，</w:t>
            </w:r>
            <w:r>
              <w:rPr>
                <w:rFonts w:hint="eastAsia" w:ascii="宋体" w:hAnsi="宋体" w:cs="宋体"/>
                <w:bCs/>
                <w:color w:val="auto"/>
                <w:sz w:val="21"/>
                <w:szCs w:val="21"/>
                <w:highlight w:val="none"/>
                <w:lang w:val="en-US" w:eastAsia="zh-CN"/>
              </w:rPr>
              <w:t>磋商小组</w:t>
            </w:r>
            <w:r>
              <w:rPr>
                <w:rFonts w:hint="eastAsia" w:ascii="宋体" w:hAnsi="宋体" w:eastAsia="宋体" w:cs="宋体"/>
                <w:bCs/>
                <w:color w:val="auto"/>
                <w:sz w:val="21"/>
                <w:szCs w:val="21"/>
                <w:highlight w:val="none"/>
              </w:rPr>
              <w:t>应当将其作为无效</w:t>
            </w:r>
            <w:r>
              <w:rPr>
                <w:rFonts w:hint="eastAsia" w:ascii="宋体" w:hAnsi="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处理。</w:t>
            </w:r>
          </w:p>
        </w:tc>
        <w:tc>
          <w:tcPr>
            <w:tcW w:w="899" w:type="dxa"/>
            <w:noWrap w:val="0"/>
            <w:vAlign w:val="center"/>
          </w:tcPr>
          <w:p w14:paraId="4421C74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1214" w:type="dxa"/>
            <w:noWrap w:val="0"/>
            <w:vAlign w:val="center"/>
          </w:tcPr>
          <w:p w14:paraId="3E2BAF7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客观分</w:t>
            </w:r>
          </w:p>
        </w:tc>
      </w:tr>
      <w:tr w14:paraId="1C30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6914B6A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w:t>
            </w:r>
          </w:p>
        </w:tc>
        <w:tc>
          <w:tcPr>
            <w:tcW w:w="5838" w:type="dxa"/>
            <w:noWrap w:val="0"/>
            <w:vAlign w:val="center"/>
          </w:tcPr>
          <w:p w14:paraId="26D5048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技术分</w:t>
            </w:r>
          </w:p>
        </w:tc>
        <w:tc>
          <w:tcPr>
            <w:tcW w:w="899" w:type="dxa"/>
            <w:noWrap w:val="0"/>
            <w:vAlign w:val="center"/>
          </w:tcPr>
          <w:p w14:paraId="31E6CE5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70</w:t>
            </w:r>
          </w:p>
        </w:tc>
        <w:tc>
          <w:tcPr>
            <w:tcW w:w="1214" w:type="dxa"/>
            <w:noWrap w:val="0"/>
            <w:vAlign w:val="center"/>
          </w:tcPr>
          <w:p w14:paraId="234CFA2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p>
        </w:tc>
      </w:tr>
      <w:tr w14:paraId="336A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856" w:type="dxa"/>
            <w:noWrap w:val="0"/>
            <w:vAlign w:val="center"/>
          </w:tcPr>
          <w:p w14:paraId="38E72F3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w:t>
            </w:r>
          </w:p>
        </w:tc>
        <w:tc>
          <w:tcPr>
            <w:tcW w:w="5838" w:type="dxa"/>
            <w:noWrap w:val="0"/>
            <w:vAlign w:val="center"/>
          </w:tcPr>
          <w:p w14:paraId="21DE4DB1">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项目实施方案（1</w:t>
            </w:r>
            <w:r>
              <w:rPr>
                <w:rFonts w:hint="eastAsia" w:ascii="宋体" w:hAnsi="宋体" w:cs="宋体"/>
                <w:b/>
                <w:bCs w:val="0"/>
                <w:color w:val="auto"/>
                <w:kern w:val="0"/>
                <w:sz w:val="21"/>
                <w:szCs w:val="21"/>
                <w:highlight w:val="none"/>
                <w:lang w:val="en-US" w:eastAsia="zh-CN"/>
              </w:rPr>
              <w:t>4</w:t>
            </w:r>
            <w:r>
              <w:rPr>
                <w:rFonts w:hint="eastAsia" w:ascii="宋体" w:hAnsi="宋体" w:eastAsia="宋体" w:cs="宋体"/>
                <w:b/>
                <w:bCs w:val="0"/>
                <w:color w:val="auto"/>
                <w:kern w:val="0"/>
                <w:sz w:val="21"/>
                <w:szCs w:val="21"/>
                <w:highlight w:val="none"/>
                <w:lang w:val="en-US" w:eastAsia="zh-CN"/>
              </w:rPr>
              <w:t>分）</w:t>
            </w:r>
          </w:p>
          <w:p w14:paraId="6EB480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一档（0分）：</w:t>
            </w:r>
            <w:r>
              <w:rPr>
                <w:rFonts w:hint="eastAsia" w:ascii="宋体" w:hAnsi="宋体" w:eastAsia="宋体" w:cs="宋体"/>
                <w:b w:val="0"/>
                <w:bCs w:val="0"/>
                <w:color w:val="auto"/>
                <w:sz w:val="21"/>
                <w:szCs w:val="21"/>
                <w:highlight w:val="none"/>
              </w:rPr>
              <w:t>供应商未提</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项目实施方案不得分</w:t>
            </w:r>
            <w:r>
              <w:rPr>
                <w:rFonts w:hint="eastAsia" w:ascii="宋体" w:hAnsi="宋体" w:eastAsia="宋体" w:cs="宋体"/>
                <w:b w:val="0"/>
                <w:bCs w:val="0"/>
                <w:color w:val="auto"/>
                <w:sz w:val="21"/>
                <w:szCs w:val="21"/>
                <w:highlight w:val="none"/>
                <w:lang w:eastAsia="zh-CN"/>
              </w:rPr>
              <w:t>。</w:t>
            </w:r>
          </w:p>
          <w:p w14:paraId="31A010C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项目实施方案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实施计划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内容简单，包含运营</w:t>
            </w:r>
            <w:r>
              <w:rPr>
                <w:rFonts w:hint="eastAsia" w:ascii="宋体" w:hAnsi="宋体" w:eastAsia="宋体" w:cs="宋体"/>
                <w:color w:val="auto"/>
                <w:sz w:val="21"/>
                <w:szCs w:val="21"/>
                <w:highlight w:val="none"/>
              </w:rPr>
              <w:t>服务过程中</w:t>
            </w:r>
            <w:r>
              <w:rPr>
                <w:rFonts w:hint="eastAsia" w:ascii="宋体" w:hAnsi="宋体" w:eastAsia="宋体" w:cs="宋体"/>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具有污水设备运营维护规划的实施流程、排污工作流程安排。</w:t>
            </w:r>
          </w:p>
          <w:p w14:paraId="6CB48AB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项目实施方案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实施计划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内容简单，包含运营</w:t>
            </w:r>
            <w:r>
              <w:rPr>
                <w:rFonts w:hint="eastAsia" w:ascii="宋体" w:hAnsi="宋体" w:eastAsia="宋体" w:cs="宋体"/>
                <w:color w:val="auto"/>
                <w:sz w:val="21"/>
                <w:szCs w:val="21"/>
                <w:highlight w:val="none"/>
              </w:rPr>
              <w:t>服务过程中</w:t>
            </w:r>
            <w:r>
              <w:rPr>
                <w:rFonts w:hint="eastAsia" w:ascii="宋体" w:hAnsi="宋体" w:eastAsia="宋体" w:cs="宋体"/>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具有污水设备运营维护规划的实施流程、排污工作流程安排。具有质量技术保证措施和手段的排污主要工序、污泥处置方式、资源消耗分析</w:t>
            </w:r>
            <w:r>
              <w:rPr>
                <w:rFonts w:hint="eastAsia" w:ascii="宋体" w:hAnsi="宋体" w:eastAsia="宋体" w:cs="宋体"/>
                <w:color w:val="auto"/>
                <w:kern w:val="2"/>
                <w:sz w:val="21"/>
                <w:szCs w:val="21"/>
                <w:highlight w:val="none"/>
                <w:lang w:val="en-US" w:eastAsia="zh-CN" w:bidi="ar"/>
              </w:rPr>
              <w:t>。</w:t>
            </w:r>
          </w:p>
          <w:p w14:paraId="24BCE0B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项目实施方案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实施计划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内容简单，包含运营</w:t>
            </w:r>
            <w:r>
              <w:rPr>
                <w:rFonts w:hint="eastAsia" w:ascii="宋体" w:hAnsi="宋体" w:eastAsia="宋体" w:cs="宋体"/>
                <w:color w:val="auto"/>
                <w:sz w:val="21"/>
                <w:szCs w:val="21"/>
                <w:highlight w:val="none"/>
              </w:rPr>
              <w:t>服务过程中</w:t>
            </w:r>
            <w:r>
              <w:rPr>
                <w:rFonts w:hint="eastAsia" w:ascii="宋体" w:hAnsi="宋体" w:eastAsia="宋体" w:cs="宋体"/>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污水设备运营维护规划的实施流程、排污工作流程安排。具有质量技术保证措施和手段的排污主要工序、污泥处置方式、资源消耗分析，制定定期巡检制度、设备运行报告制度，针对可能发生的设备故障及其他突发情况制定相应的处理措施</w:t>
            </w:r>
            <w:r>
              <w:rPr>
                <w:rFonts w:hint="eastAsia" w:ascii="宋体" w:hAnsi="宋体" w:eastAsia="宋体" w:cs="宋体"/>
                <w:color w:val="auto"/>
                <w:kern w:val="2"/>
                <w:sz w:val="21"/>
                <w:szCs w:val="21"/>
                <w:highlight w:val="none"/>
                <w:lang w:val="en-US" w:eastAsia="zh-CN" w:bidi="ar"/>
              </w:rPr>
              <w:t>。</w:t>
            </w:r>
          </w:p>
          <w:p w14:paraId="75CCF5C4">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w:t>
            </w:r>
            <w:r>
              <w:rPr>
                <w:rFonts w:hint="eastAsia" w:ascii="宋体" w:hAnsi="宋体" w:cs="宋体"/>
                <w:b w:val="0"/>
                <w:bCs w:val="0"/>
                <w:color w:val="auto"/>
                <w:sz w:val="21"/>
                <w:szCs w:val="21"/>
                <w:highlight w:val="none"/>
                <w:lang w:val="en-US" w:eastAsia="zh-CN"/>
              </w:rPr>
              <w:t>供</w:t>
            </w:r>
            <w:r>
              <w:rPr>
                <w:rFonts w:hint="eastAsia" w:ascii="宋体" w:hAnsi="宋体" w:eastAsia="宋体" w:cs="宋体"/>
                <w:b w:val="0"/>
                <w:bCs w:val="0"/>
                <w:color w:val="auto"/>
                <w:sz w:val="21"/>
                <w:szCs w:val="21"/>
                <w:highlight w:val="none"/>
              </w:rPr>
              <w:t>项目实施方案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实施计划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内容简单，包含运营</w:t>
            </w:r>
            <w:r>
              <w:rPr>
                <w:rFonts w:hint="eastAsia" w:ascii="宋体" w:hAnsi="宋体" w:eastAsia="宋体" w:cs="宋体"/>
                <w:color w:val="auto"/>
                <w:sz w:val="21"/>
                <w:szCs w:val="21"/>
                <w:highlight w:val="none"/>
              </w:rPr>
              <w:t>服务过程中</w:t>
            </w:r>
            <w:r>
              <w:rPr>
                <w:rFonts w:hint="eastAsia" w:ascii="宋体" w:hAnsi="宋体" w:eastAsia="宋体" w:cs="宋体"/>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管理措施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污水设备运营维护规划的实施流程、排污工作流程安排。具有质量技术保证措施和手段的排污主要工序、污泥处置方式、资源消耗分析，制定定期巡检制度、设备运行报告制度，针对可能发生的设备故障及其他突发情况制定相应的处理措施，具有工作</w:t>
            </w:r>
            <w:r>
              <w:rPr>
                <w:rFonts w:hint="eastAsia" w:ascii="宋体" w:hAnsi="宋体" w:eastAsia="宋体" w:cs="宋体"/>
                <w:color w:val="auto"/>
                <w:sz w:val="21"/>
                <w:szCs w:val="21"/>
                <w:highlight w:val="none"/>
                <w:lang w:eastAsia="zh-CN"/>
              </w:rPr>
              <w:t>进度计划及时间</w:t>
            </w:r>
            <w:r>
              <w:rPr>
                <w:rFonts w:hint="eastAsia" w:ascii="宋体" w:hAnsi="宋体" w:eastAsia="宋体" w:cs="宋体"/>
                <w:color w:val="auto"/>
                <w:sz w:val="21"/>
                <w:szCs w:val="21"/>
                <w:highlight w:val="none"/>
              </w:rPr>
              <w:t>节点控制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具有监测数据记录、审核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纠正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
              </w:rPr>
              <w:t>有针对本项目建立的检查及监督机制，能说明各级别检查及监督机制的主要职责及检查程序。</w:t>
            </w:r>
          </w:p>
        </w:tc>
        <w:tc>
          <w:tcPr>
            <w:tcW w:w="899" w:type="dxa"/>
            <w:noWrap w:val="0"/>
            <w:vAlign w:val="center"/>
          </w:tcPr>
          <w:p w14:paraId="3A1AE44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4</w:t>
            </w:r>
          </w:p>
        </w:tc>
        <w:tc>
          <w:tcPr>
            <w:tcW w:w="1214" w:type="dxa"/>
            <w:noWrap w:val="0"/>
            <w:vAlign w:val="center"/>
          </w:tcPr>
          <w:p w14:paraId="2B37224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主观分</w:t>
            </w:r>
          </w:p>
        </w:tc>
      </w:tr>
      <w:tr w14:paraId="0362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56" w:type="dxa"/>
            <w:noWrap w:val="0"/>
            <w:vAlign w:val="center"/>
          </w:tcPr>
          <w:p w14:paraId="6AD23F6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w:t>
            </w:r>
          </w:p>
        </w:tc>
        <w:tc>
          <w:tcPr>
            <w:tcW w:w="5838" w:type="dxa"/>
            <w:shd w:val="clear" w:color="auto" w:fill="auto"/>
            <w:noWrap w:val="0"/>
            <w:vAlign w:val="center"/>
          </w:tcPr>
          <w:p w14:paraId="68D4F985">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运营服务质量保障方案（1</w:t>
            </w:r>
            <w:r>
              <w:rPr>
                <w:rFonts w:hint="eastAsia" w:ascii="宋体" w:hAnsi="宋体" w:cs="宋体"/>
                <w:b/>
                <w:bCs w:val="0"/>
                <w:color w:val="auto"/>
                <w:kern w:val="0"/>
                <w:sz w:val="21"/>
                <w:szCs w:val="21"/>
                <w:highlight w:val="none"/>
                <w:lang w:val="en-US" w:eastAsia="zh-CN"/>
              </w:rPr>
              <w:t>3</w:t>
            </w:r>
            <w:r>
              <w:rPr>
                <w:rFonts w:hint="eastAsia" w:ascii="宋体" w:hAnsi="宋体" w:eastAsia="宋体" w:cs="宋体"/>
                <w:b/>
                <w:bCs w:val="0"/>
                <w:color w:val="auto"/>
                <w:kern w:val="0"/>
                <w:sz w:val="21"/>
                <w:szCs w:val="21"/>
                <w:highlight w:val="none"/>
                <w:lang w:val="en-US" w:eastAsia="zh-CN"/>
              </w:rPr>
              <w:t>分）</w:t>
            </w:r>
          </w:p>
          <w:p w14:paraId="1DE2B36D">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zh-CN"/>
              </w:rPr>
              <w:t>一档（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zh-CN"/>
              </w:rPr>
              <w:t>分）：</w:t>
            </w:r>
            <w:r>
              <w:rPr>
                <w:rFonts w:hint="eastAsia" w:ascii="宋体" w:hAnsi="宋体" w:eastAsia="宋体" w:cs="宋体"/>
                <w:color w:val="auto"/>
                <w:sz w:val="21"/>
                <w:szCs w:val="21"/>
                <w:highlight w:val="none"/>
                <w:lang w:val="en-US" w:eastAsia="zh-CN"/>
              </w:rPr>
              <w:t>供应商未</w:t>
            </w:r>
            <w:r>
              <w:rPr>
                <w:rFonts w:hint="eastAsia" w:ascii="宋体" w:hAnsi="宋体" w:eastAsia="宋体" w:cs="宋体"/>
                <w:b w:val="0"/>
                <w:bCs/>
                <w:color w:val="auto"/>
                <w:sz w:val="21"/>
                <w:szCs w:val="21"/>
                <w:highlight w:val="none"/>
                <w:lang w:val="en-US" w:eastAsia="zh-CN"/>
              </w:rPr>
              <w:t>提供运营服务质量保障</w:t>
            </w:r>
            <w:r>
              <w:rPr>
                <w:rFonts w:hint="eastAsia" w:ascii="宋体" w:hAnsi="宋体" w:eastAsia="宋体" w:cs="宋体"/>
                <w:color w:val="auto"/>
                <w:sz w:val="21"/>
                <w:szCs w:val="21"/>
                <w:highlight w:val="none"/>
                <w:lang w:val="en-US" w:eastAsia="zh-CN"/>
              </w:rPr>
              <w:t>方案不得分。</w:t>
            </w:r>
          </w:p>
          <w:p w14:paraId="3CAB0BBC">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提供运营服务质量保障</w:t>
            </w:r>
            <w:r>
              <w:rPr>
                <w:rFonts w:hint="eastAsia" w:ascii="宋体" w:hAnsi="宋体" w:eastAsia="宋体" w:cs="宋体"/>
                <w:color w:val="auto"/>
                <w:sz w:val="21"/>
                <w:szCs w:val="21"/>
                <w:highlight w:val="none"/>
                <w:lang w:val="en-US" w:eastAsia="zh-CN"/>
              </w:rPr>
              <w:t>方案，具有服务响应措施、具体服务模式、服务响应流程、实施效率保障措施、服务质量管理制度。</w:t>
            </w:r>
          </w:p>
          <w:p w14:paraId="6BE16B52">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提供运营服务质量保障</w:t>
            </w:r>
            <w:r>
              <w:rPr>
                <w:rFonts w:hint="eastAsia" w:ascii="宋体" w:hAnsi="宋体" w:eastAsia="宋体" w:cs="宋体"/>
                <w:color w:val="auto"/>
                <w:sz w:val="21"/>
                <w:szCs w:val="21"/>
                <w:highlight w:val="none"/>
                <w:lang w:val="en-US" w:eastAsia="zh-CN"/>
              </w:rPr>
              <w:t>方案，具有服务响应措施、具体服务模式、服务响应流程、实施效率保障措施、服务质量管理制度，提供项目前期准备工作计划，包括前期资料准备、工作准备。</w:t>
            </w:r>
          </w:p>
          <w:p w14:paraId="33A42E3F">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提供运营服务质量保障</w:t>
            </w:r>
            <w:r>
              <w:rPr>
                <w:rFonts w:hint="eastAsia" w:ascii="宋体" w:hAnsi="宋体" w:eastAsia="宋体" w:cs="宋体"/>
                <w:color w:val="auto"/>
                <w:sz w:val="21"/>
                <w:szCs w:val="21"/>
                <w:highlight w:val="none"/>
                <w:lang w:val="en-US" w:eastAsia="zh-CN"/>
              </w:rPr>
              <w:t>方案，具有服务响应措施、具体服务模式、服务响应流程、实施效率保障措施、服务质量管理制度，提供项目前期准备工作计划，包括前期资料准备、工作准备。提供技术流程框图，并根据各项服务工作内容的服务目标及提出技术操作要点。具有排污监测数据质量控制措施、数据保密承诺及管理措施，具有及时的数据检查、监测数据纠错措施、服务成果质量保证措施。</w:t>
            </w:r>
          </w:p>
          <w:p w14:paraId="47766713">
            <w:pPr>
              <w:pStyle w:val="40"/>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五档（1</w:t>
            </w: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val="en-US" w:eastAsia="zh-CN"/>
              </w:rPr>
              <w:t>分）：</w:t>
            </w:r>
            <w:r>
              <w:rPr>
                <w:rFonts w:hint="eastAsia" w:ascii="宋体" w:hAnsi="宋体" w:eastAsia="宋体" w:cs="宋体"/>
                <w:b w:val="0"/>
                <w:bCs/>
                <w:color w:val="auto"/>
                <w:sz w:val="21"/>
                <w:szCs w:val="21"/>
                <w:highlight w:val="none"/>
                <w:lang w:val="en-US" w:eastAsia="zh-CN"/>
              </w:rPr>
              <w:t>提供运营服务质量保障</w:t>
            </w:r>
            <w:r>
              <w:rPr>
                <w:rFonts w:hint="eastAsia" w:ascii="宋体" w:hAnsi="宋体" w:eastAsia="宋体" w:cs="宋体"/>
                <w:color w:val="auto"/>
                <w:sz w:val="21"/>
                <w:szCs w:val="21"/>
                <w:highlight w:val="none"/>
                <w:lang w:val="en-US" w:eastAsia="zh-CN"/>
              </w:rPr>
              <w:t>方案，具有服务响应措施、具体服务模式、服务响应流程、实施效率保障措施、服务质量管理制度，提供项目前期准备工作计划，包括前期资料准备、工作准备。提供技术流程框图，并根据各项服务工作内容的服务目标及提出技术操作要点。具有排污监测数据质量控制措施、数据保密承诺及管理措施，具有及时的数据检查、监测数据纠错措施、服务成果质量保证措施。具有安全保障承诺、运营服务人员安全管理制度、安全保证措施、安全作业流程及制度，针对故障设备进行检维修作业时制定安全检修方案，具有作业危险分析和控制措施。</w:t>
            </w:r>
          </w:p>
        </w:tc>
        <w:tc>
          <w:tcPr>
            <w:tcW w:w="899" w:type="dxa"/>
            <w:noWrap w:val="0"/>
            <w:vAlign w:val="center"/>
          </w:tcPr>
          <w:p w14:paraId="2894CCD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3</w:t>
            </w:r>
          </w:p>
        </w:tc>
        <w:tc>
          <w:tcPr>
            <w:tcW w:w="1214" w:type="dxa"/>
            <w:noWrap w:val="0"/>
            <w:vAlign w:val="center"/>
          </w:tcPr>
          <w:p w14:paraId="4052B32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主观分</w:t>
            </w:r>
          </w:p>
        </w:tc>
      </w:tr>
      <w:tr w14:paraId="1EBE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59CDD51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w:t>
            </w:r>
          </w:p>
        </w:tc>
        <w:tc>
          <w:tcPr>
            <w:tcW w:w="5838" w:type="dxa"/>
            <w:shd w:val="clear" w:color="auto" w:fill="auto"/>
            <w:noWrap w:val="0"/>
            <w:vAlign w:val="center"/>
          </w:tcPr>
          <w:p w14:paraId="60584005">
            <w:pPr>
              <w:pStyle w:val="2"/>
              <w:keepNext w:val="0"/>
              <w:keepLines w:val="0"/>
              <w:pageBreakBefore w:val="0"/>
              <w:widowControl w:val="0"/>
              <w:numPr>
                <w:ilvl w:val="0"/>
                <w:numId w:val="0"/>
              </w:numPr>
              <w:tabs>
                <w:tab w:val="clear" w:pos="432"/>
              </w:tabs>
              <w:kinsoku/>
              <w:wordWrap/>
              <w:overflowPunct/>
              <w:topLinePunct w:val="0"/>
              <w:autoSpaceDE/>
              <w:autoSpaceDN/>
              <w:bidi w:val="0"/>
              <w:adjustRightIn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拟投入人员管理方案</w:t>
            </w:r>
            <w:r>
              <w:rPr>
                <w:rFonts w:hint="eastAsia" w:ascii="宋体" w:hAnsi="宋体" w:eastAsia="宋体" w:cs="宋体"/>
                <w:b/>
                <w:bCs w:val="0"/>
                <w:color w:val="auto"/>
                <w:kern w:val="0"/>
                <w:sz w:val="21"/>
                <w:szCs w:val="21"/>
                <w:highlight w:val="none"/>
                <w:lang w:val="en-US" w:eastAsia="zh-CN"/>
              </w:rPr>
              <w:t>（12分）</w:t>
            </w:r>
          </w:p>
          <w:p w14:paraId="3FFB0E1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一档（</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未提供</w:t>
            </w:r>
            <w:r>
              <w:rPr>
                <w:rFonts w:hint="eastAsia" w:ascii="宋体" w:hAnsi="宋体" w:eastAsia="宋体" w:cs="宋体"/>
                <w:b w:val="0"/>
                <w:bCs w:val="0"/>
                <w:color w:val="auto"/>
                <w:kern w:val="2"/>
                <w:sz w:val="21"/>
                <w:szCs w:val="21"/>
                <w:highlight w:val="none"/>
                <w:lang w:val="en-US" w:eastAsia="zh-CN" w:bidi="ar-SA"/>
              </w:rPr>
              <w:t>拟投入人员管理方案</w:t>
            </w:r>
            <w:r>
              <w:rPr>
                <w:rFonts w:hint="eastAsia" w:ascii="宋体" w:hAnsi="宋体" w:eastAsia="宋体" w:cs="宋体"/>
                <w:b w:val="0"/>
                <w:bCs w:val="0"/>
                <w:color w:val="auto"/>
                <w:sz w:val="21"/>
                <w:szCs w:val="21"/>
                <w:highlight w:val="none"/>
              </w:rPr>
              <w:t>不得分。</w:t>
            </w:r>
          </w:p>
          <w:p w14:paraId="280F6EE5">
            <w:pPr>
              <w:keepNext w:val="0"/>
              <w:keepLines w:val="0"/>
              <w:pageBreakBefore w:val="0"/>
              <w:widowControl w:val="0"/>
              <w:kinsoku/>
              <w:wordWrap/>
              <w:overflowPunct/>
              <w:topLinePunct w:val="0"/>
              <w:autoSpaceDE/>
              <w:autoSpaceDN/>
              <w:bidi w:val="0"/>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kern w:val="2"/>
                <w:sz w:val="21"/>
                <w:szCs w:val="21"/>
                <w:highlight w:val="none"/>
                <w:lang w:val="en-US" w:eastAsia="zh-CN" w:bidi="ar-SA"/>
              </w:rPr>
              <w:t>拟投入人员管理方案，</w:t>
            </w: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w:t>
            </w:r>
            <w:r>
              <w:rPr>
                <w:rFonts w:hint="eastAsia" w:ascii="宋体" w:hAnsi="宋体" w:eastAsia="宋体" w:cs="宋体"/>
                <w:color w:val="auto"/>
                <w:sz w:val="21"/>
                <w:szCs w:val="21"/>
                <w:highlight w:val="none"/>
                <w:lang w:eastAsia="zh-CN"/>
              </w:rPr>
              <w:t>。</w:t>
            </w:r>
          </w:p>
          <w:p w14:paraId="569B6435">
            <w:pPr>
              <w:keepNext w:val="0"/>
              <w:keepLines w:val="0"/>
              <w:pageBreakBefore w:val="0"/>
              <w:widowControl w:val="0"/>
              <w:kinsoku/>
              <w:wordWrap/>
              <w:overflowPunct/>
              <w:topLinePunct w:val="0"/>
              <w:autoSpaceDE/>
              <w:autoSpaceDN/>
              <w:bidi w:val="0"/>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kern w:val="2"/>
                <w:sz w:val="21"/>
                <w:szCs w:val="21"/>
                <w:highlight w:val="none"/>
                <w:lang w:val="en-US" w:eastAsia="zh-CN" w:bidi="ar-SA"/>
              </w:rPr>
              <w:t>拟投入人员管理方案，</w:t>
            </w: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并制定各项工作人员运营作业安排表</w:t>
            </w:r>
            <w:r>
              <w:rPr>
                <w:rFonts w:hint="eastAsia" w:ascii="宋体" w:hAnsi="宋体" w:eastAsia="宋体" w:cs="宋体"/>
                <w:color w:val="auto"/>
                <w:sz w:val="21"/>
                <w:szCs w:val="21"/>
                <w:highlight w:val="none"/>
                <w:lang w:eastAsia="zh-CN"/>
              </w:rPr>
              <w:t>。</w:t>
            </w:r>
          </w:p>
          <w:p w14:paraId="270F94A4">
            <w:pPr>
              <w:keepNext w:val="0"/>
              <w:keepLines w:val="0"/>
              <w:pageBreakBefore w:val="0"/>
              <w:widowControl w:val="0"/>
              <w:kinsoku/>
              <w:wordWrap/>
              <w:overflowPunct/>
              <w:topLinePunct w:val="0"/>
              <w:autoSpaceDE/>
              <w:autoSpaceDN/>
              <w:bidi w:val="0"/>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kern w:val="2"/>
                <w:sz w:val="21"/>
                <w:szCs w:val="21"/>
                <w:highlight w:val="none"/>
                <w:lang w:val="en-US" w:eastAsia="zh-CN" w:bidi="ar-SA"/>
              </w:rPr>
              <w:t>拟投入人员管理方案，</w:t>
            </w: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并制定各项工作人员运营作业安排表</w:t>
            </w:r>
            <w:r>
              <w:rPr>
                <w:rFonts w:hint="eastAsia" w:ascii="宋体" w:hAnsi="宋体" w:eastAsia="宋体" w:cs="宋体"/>
                <w:color w:val="auto"/>
                <w:sz w:val="21"/>
                <w:szCs w:val="21"/>
                <w:highlight w:val="none"/>
                <w:lang w:val="en-US" w:eastAsia="zh-CN"/>
              </w:rPr>
              <w:t>，具有人员调配计划</w:t>
            </w:r>
            <w:r>
              <w:rPr>
                <w:rFonts w:hint="eastAsia" w:ascii="宋体" w:hAnsi="宋体" w:eastAsia="宋体" w:cs="宋体"/>
                <w:color w:val="auto"/>
                <w:sz w:val="21"/>
                <w:szCs w:val="21"/>
                <w:highlight w:val="none"/>
                <w:lang w:eastAsia="zh-CN"/>
              </w:rPr>
              <w:t>。</w:t>
            </w:r>
            <w:r>
              <w:rPr>
                <w:rFonts w:hint="eastAsia" w:ascii="宋体" w:hAnsi="宋体" w:eastAsia="宋体" w:cs="宋体"/>
                <w:b w:val="0"/>
                <w:bCs/>
                <w:sz w:val="21"/>
                <w:szCs w:val="21"/>
                <w:highlight w:val="none"/>
                <w:lang w:val="en-US" w:eastAsia="zh-CN"/>
              </w:rPr>
              <w:t>配备应急人员，制定应急岗位职责，有快速响应时间及处理方案。</w:t>
            </w:r>
          </w:p>
          <w:p w14:paraId="02C2676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kern w:val="2"/>
                <w:sz w:val="21"/>
                <w:szCs w:val="21"/>
                <w:highlight w:val="none"/>
                <w:lang w:val="en-US" w:eastAsia="zh-CN" w:bidi="ar-SA"/>
              </w:rPr>
              <w:t>拟投入人员管理方案，</w:t>
            </w: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规划安排表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具有项目各岗位工作职责，有明确的技术管理架构</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并制定各项工作人员运营作业安排表</w:t>
            </w:r>
            <w:r>
              <w:rPr>
                <w:rFonts w:hint="eastAsia" w:ascii="宋体" w:hAnsi="宋体" w:eastAsia="宋体" w:cs="宋体"/>
                <w:color w:val="auto"/>
                <w:sz w:val="21"/>
                <w:szCs w:val="21"/>
                <w:highlight w:val="none"/>
                <w:lang w:val="en-US" w:eastAsia="zh-CN"/>
              </w:rPr>
              <w:t>，具有人员调配计划，具有岗位管理框架、职责分工，</w:t>
            </w:r>
            <w:r>
              <w:rPr>
                <w:rFonts w:hint="eastAsia" w:ascii="宋体" w:hAnsi="宋体" w:eastAsia="宋体" w:cs="宋体"/>
                <w:bCs/>
                <w:color w:val="auto"/>
                <w:sz w:val="21"/>
                <w:szCs w:val="21"/>
                <w:highlight w:val="none"/>
              </w:rPr>
              <w:t>管理服务规章制度（工作制度、岗位职责等）</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运营服务</w:t>
            </w:r>
            <w:r>
              <w:rPr>
                <w:rFonts w:hint="eastAsia" w:ascii="宋体" w:hAnsi="宋体" w:eastAsia="宋体" w:cs="宋体"/>
                <w:color w:val="auto"/>
                <w:sz w:val="21"/>
                <w:szCs w:val="21"/>
                <w:highlight w:val="none"/>
                <w:lang w:eastAsia="zh-CN"/>
              </w:rPr>
              <w:t>人员自我约束机制等</w:t>
            </w:r>
            <w:r>
              <w:rPr>
                <w:rFonts w:hint="eastAsia" w:ascii="宋体" w:hAnsi="宋体" w:eastAsia="宋体" w:cs="宋体"/>
                <w:color w:val="auto"/>
                <w:sz w:val="21"/>
                <w:szCs w:val="21"/>
                <w:highlight w:val="none"/>
              </w:rPr>
              <w:t>。</w:t>
            </w:r>
            <w:r>
              <w:rPr>
                <w:rFonts w:hint="eastAsia" w:ascii="宋体" w:hAnsi="宋体" w:eastAsia="宋体" w:cs="宋体"/>
                <w:b w:val="0"/>
                <w:bCs/>
                <w:sz w:val="21"/>
                <w:szCs w:val="21"/>
                <w:highlight w:val="none"/>
                <w:lang w:val="en-US" w:eastAsia="zh-CN"/>
              </w:rPr>
              <w:t>具有应急小组，制定应急岗位职责，提供对设备故障、人员意外事故、停电等各专项突发事件的解决措施，有快速响应时间、应急救援程序及处理方案，方案全面完善。</w:t>
            </w:r>
          </w:p>
        </w:tc>
        <w:tc>
          <w:tcPr>
            <w:tcW w:w="899" w:type="dxa"/>
            <w:noWrap w:val="0"/>
            <w:vAlign w:val="center"/>
          </w:tcPr>
          <w:p w14:paraId="34F2FF7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2</w:t>
            </w:r>
          </w:p>
        </w:tc>
        <w:tc>
          <w:tcPr>
            <w:tcW w:w="1214" w:type="dxa"/>
            <w:noWrap w:val="0"/>
            <w:vAlign w:val="center"/>
          </w:tcPr>
          <w:p w14:paraId="3E8D949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主观分</w:t>
            </w:r>
          </w:p>
        </w:tc>
      </w:tr>
      <w:tr w14:paraId="4417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725CE6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2.4</w:t>
            </w:r>
          </w:p>
        </w:tc>
        <w:tc>
          <w:tcPr>
            <w:tcW w:w="5838" w:type="dxa"/>
            <w:shd w:val="clear" w:color="auto" w:fill="auto"/>
            <w:noWrap w:val="0"/>
            <w:vAlign w:val="center"/>
          </w:tcPr>
          <w:p w14:paraId="3891383B">
            <w:pPr>
              <w:pStyle w:val="2"/>
              <w:keepNext w:val="0"/>
              <w:keepLines w:val="0"/>
              <w:pageBreakBefore w:val="0"/>
              <w:widowControl w:val="0"/>
              <w:numPr>
                <w:ilvl w:val="0"/>
                <w:numId w:val="0"/>
              </w:numPr>
              <w:tabs>
                <w:tab w:val="clear" w:pos="432"/>
              </w:tabs>
              <w:kinsoku/>
              <w:wordWrap/>
              <w:overflowPunct/>
              <w:topLinePunct w:val="0"/>
              <w:autoSpaceDE/>
              <w:autoSpaceDN/>
              <w:bidi w:val="0"/>
              <w:adjustRightIn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应急方案</w:t>
            </w:r>
            <w:r>
              <w:rPr>
                <w:rFonts w:hint="eastAsia" w:ascii="宋体" w:hAnsi="宋体" w:eastAsia="宋体" w:cs="宋体"/>
                <w:b/>
                <w:bCs w:val="0"/>
                <w:color w:val="auto"/>
                <w:kern w:val="0"/>
                <w:sz w:val="21"/>
                <w:szCs w:val="21"/>
                <w:highlight w:val="none"/>
                <w:lang w:val="en-US" w:eastAsia="zh-CN"/>
              </w:rPr>
              <w:t>（16分）</w:t>
            </w:r>
          </w:p>
          <w:p w14:paraId="5F626CB8">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Cs/>
                <w:color w:val="auto"/>
                <w:sz w:val="21"/>
                <w:szCs w:val="21"/>
                <w:highlight w:val="none"/>
                <w:lang w:val="en-US" w:eastAsia="zh-CN"/>
              </w:rPr>
              <w:t>供应商未提供</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不得分。</w:t>
            </w:r>
          </w:p>
          <w:p w14:paraId="3868F424">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提供应急方案，</w:t>
            </w:r>
            <w:r>
              <w:rPr>
                <w:rFonts w:hint="eastAsia" w:ascii="宋体" w:hAnsi="宋体" w:eastAsia="宋体" w:cs="宋体"/>
                <w:color w:val="auto"/>
                <w:sz w:val="21"/>
                <w:szCs w:val="21"/>
                <w:highlight w:val="none"/>
                <w:lang w:val="en-US" w:eastAsia="zh-CN"/>
              </w:rPr>
              <w:t>有应急处理实施计划</w:t>
            </w:r>
            <w:r>
              <w:rPr>
                <w:rFonts w:hint="eastAsia" w:ascii="宋体" w:hAnsi="宋体" w:eastAsia="宋体" w:cs="宋体"/>
                <w:color w:val="auto"/>
                <w:sz w:val="21"/>
                <w:szCs w:val="21"/>
                <w:highlight w:val="none"/>
                <w:lang w:eastAsia="zh-CN"/>
              </w:rPr>
              <w:t>。</w:t>
            </w:r>
          </w:p>
          <w:p w14:paraId="3238F107">
            <w:pPr>
              <w:keepNext w:val="0"/>
              <w:keepLines w:val="0"/>
              <w:pageBreakBefore w:val="0"/>
              <w:widowControl w:val="0"/>
              <w:kinsoku/>
              <w:wordWrap/>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提供应急方案，</w:t>
            </w:r>
            <w:r>
              <w:rPr>
                <w:rFonts w:hint="eastAsia" w:ascii="宋体" w:hAnsi="宋体" w:eastAsia="宋体" w:cs="宋体"/>
                <w:color w:val="auto"/>
                <w:sz w:val="21"/>
                <w:szCs w:val="21"/>
                <w:highlight w:val="none"/>
                <w:lang w:val="en-US" w:eastAsia="zh-CN"/>
              </w:rPr>
              <w:t>有应急处理实施计划及解决方案、排污设备运行保障措施等方面内容</w:t>
            </w:r>
            <w:r>
              <w:rPr>
                <w:rFonts w:hint="eastAsia" w:ascii="宋体" w:hAnsi="宋体" w:eastAsia="宋体" w:cs="宋体"/>
                <w:color w:val="auto"/>
                <w:sz w:val="21"/>
                <w:szCs w:val="21"/>
                <w:highlight w:val="none"/>
                <w:lang w:eastAsia="zh-CN"/>
              </w:rPr>
              <w:t>；</w:t>
            </w:r>
          </w:p>
          <w:p w14:paraId="3890C446">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提供应急方案，</w:t>
            </w:r>
            <w:r>
              <w:rPr>
                <w:rFonts w:hint="eastAsia" w:ascii="宋体" w:hAnsi="宋体" w:eastAsia="宋体" w:cs="宋体"/>
                <w:color w:val="auto"/>
                <w:sz w:val="21"/>
                <w:szCs w:val="21"/>
                <w:highlight w:val="none"/>
                <w:lang w:val="en-US" w:eastAsia="zh-CN"/>
              </w:rPr>
              <w:t>有应急处理实施计划及解决方案、排污设备运行保障措施、排污故障风险防控措施等内容，为本项目设置应急团队。</w:t>
            </w:r>
          </w:p>
          <w:p w14:paraId="433BDC9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提供应急方案，</w:t>
            </w:r>
            <w:r>
              <w:rPr>
                <w:rFonts w:hint="eastAsia" w:ascii="宋体" w:hAnsi="宋体" w:eastAsia="宋体" w:cs="宋体"/>
                <w:color w:val="auto"/>
                <w:sz w:val="21"/>
                <w:szCs w:val="21"/>
                <w:highlight w:val="none"/>
                <w:lang w:val="en-US" w:eastAsia="zh-CN"/>
              </w:rPr>
              <w:t>有应急处理实施计划及解决方案、排污设备运行保障措施、排污故障风险防控措施等内容；为本项目设置应急团队，</w:t>
            </w:r>
            <w:r>
              <w:rPr>
                <w:rFonts w:hint="eastAsia" w:ascii="宋体" w:hAnsi="宋体" w:eastAsia="宋体" w:cs="宋体"/>
                <w:color w:val="auto"/>
                <w:sz w:val="21"/>
                <w:szCs w:val="21"/>
                <w:highlight w:val="none"/>
                <w:lang w:val="en-US" w:eastAsia="zh-CN" w:bidi="zh-CN"/>
              </w:rPr>
              <w:t>配置有机动技术人员用于对紧急事件处理，承诺对应急处理能马上响应，保证后期运维人员充足，方案</w:t>
            </w:r>
            <w:r>
              <w:rPr>
                <w:rFonts w:hint="eastAsia" w:ascii="宋体" w:hAnsi="宋体" w:eastAsia="宋体" w:cs="宋体"/>
                <w:color w:val="auto"/>
                <w:sz w:val="21"/>
                <w:szCs w:val="21"/>
                <w:highlight w:val="none"/>
                <w:lang w:val="en-US" w:eastAsia="zh-CN"/>
              </w:rPr>
              <w:t>符合本项目要求与特点。</w:t>
            </w:r>
          </w:p>
        </w:tc>
        <w:tc>
          <w:tcPr>
            <w:tcW w:w="899" w:type="dxa"/>
            <w:noWrap w:val="0"/>
            <w:vAlign w:val="center"/>
          </w:tcPr>
          <w:p w14:paraId="2B0E3F4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16</w:t>
            </w:r>
          </w:p>
        </w:tc>
        <w:tc>
          <w:tcPr>
            <w:tcW w:w="1214" w:type="dxa"/>
            <w:noWrap w:val="0"/>
            <w:vAlign w:val="center"/>
          </w:tcPr>
          <w:p w14:paraId="05EC242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主观分</w:t>
            </w:r>
          </w:p>
        </w:tc>
      </w:tr>
      <w:tr w14:paraId="17BC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3" w:hRule="atLeast"/>
          <w:jc w:val="center"/>
        </w:trPr>
        <w:tc>
          <w:tcPr>
            <w:tcW w:w="856" w:type="dxa"/>
            <w:noWrap w:val="0"/>
            <w:vAlign w:val="center"/>
          </w:tcPr>
          <w:p w14:paraId="7E6AE92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w:t>
            </w:r>
          </w:p>
        </w:tc>
        <w:tc>
          <w:tcPr>
            <w:tcW w:w="5838" w:type="dxa"/>
            <w:shd w:val="clear" w:color="auto" w:fill="auto"/>
            <w:noWrap w:val="0"/>
            <w:vAlign w:val="center"/>
          </w:tcPr>
          <w:p w14:paraId="5204DC0B">
            <w:pPr>
              <w:pStyle w:val="2"/>
              <w:keepNext w:val="0"/>
              <w:keepLines w:val="0"/>
              <w:pageBreakBefore w:val="0"/>
              <w:widowControl w:val="0"/>
              <w:numPr>
                <w:ilvl w:val="0"/>
                <w:numId w:val="0"/>
              </w:numPr>
              <w:tabs>
                <w:tab w:val="clear" w:pos="432"/>
              </w:tabs>
              <w:kinsoku/>
              <w:wordWrap/>
              <w:overflowPunct/>
              <w:topLinePunct w:val="0"/>
              <w:autoSpaceDE/>
              <w:autoSpaceDN/>
              <w:bidi w:val="0"/>
              <w:adjustRightInd/>
              <w:spacing w:line="40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培训方案</w:t>
            </w:r>
            <w:r>
              <w:rPr>
                <w:rFonts w:hint="eastAsia" w:ascii="宋体" w:hAnsi="宋体" w:eastAsia="宋体" w:cs="宋体"/>
                <w:b/>
                <w:bCs w:val="0"/>
                <w:color w:val="auto"/>
                <w:kern w:val="0"/>
                <w:sz w:val="21"/>
                <w:szCs w:val="21"/>
                <w:highlight w:val="none"/>
                <w:lang w:val="en-US" w:eastAsia="zh-CN"/>
              </w:rPr>
              <w:t>（15分）</w:t>
            </w:r>
          </w:p>
          <w:p w14:paraId="1ABEA282">
            <w:pPr>
              <w:pStyle w:val="40"/>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提供培训方案，能承诺对</w:t>
            </w:r>
            <w:r>
              <w:rPr>
                <w:rFonts w:hint="eastAsia" w:ascii="宋体" w:hAnsi="宋体" w:eastAsia="宋体" w:cs="宋体"/>
                <w:color w:val="auto"/>
                <w:sz w:val="21"/>
                <w:szCs w:val="21"/>
                <w:highlight w:val="none"/>
                <w:lang w:val="en-US" w:eastAsia="zh-CN"/>
              </w:rPr>
              <w:t>运营服务人</w:t>
            </w:r>
            <w:r>
              <w:rPr>
                <w:rFonts w:hint="eastAsia" w:ascii="宋体" w:hAnsi="宋体" w:eastAsia="宋体" w:cs="宋体"/>
                <w:color w:val="auto"/>
                <w:sz w:val="21"/>
                <w:szCs w:val="21"/>
                <w:highlight w:val="none"/>
              </w:rPr>
              <w:t>员进行</w:t>
            </w:r>
            <w:r>
              <w:rPr>
                <w:rFonts w:hint="eastAsia" w:ascii="宋体" w:hAnsi="宋体" w:cs="宋体"/>
                <w:color w:val="auto"/>
                <w:sz w:val="21"/>
                <w:szCs w:val="21"/>
                <w:highlight w:val="none"/>
                <w:lang w:val="en-US" w:eastAsia="zh-CN"/>
              </w:rPr>
              <w:t>一次</w:t>
            </w:r>
            <w:r>
              <w:rPr>
                <w:rFonts w:hint="eastAsia" w:ascii="宋体" w:hAnsi="宋体" w:eastAsia="宋体" w:cs="宋体"/>
                <w:color w:val="auto"/>
                <w:sz w:val="21"/>
                <w:szCs w:val="21"/>
                <w:highlight w:val="none"/>
                <w:lang w:val="en-US" w:eastAsia="zh-CN"/>
              </w:rPr>
              <w:t>岗前运营服务培训及</w:t>
            </w:r>
            <w:r>
              <w:rPr>
                <w:rFonts w:hint="eastAsia" w:ascii="宋体" w:hAnsi="宋体" w:cs="宋体"/>
                <w:color w:val="auto"/>
                <w:sz w:val="21"/>
                <w:szCs w:val="21"/>
                <w:highlight w:val="none"/>
                <w:lang w:val="en-US" w:eastAsia="zh-CN"/>
              </w:rPr>
              <w:t>每三个月一次的</w:t>
            </w:r>
            <w:r>
              <w:rPr>
                <w:rFonts w:hint="eastAsia" w:ascii="宋体" w:hAnsi="宋体" w:eastAsia="宋体" w:cs="宋体"/>
                <w:color w:val="auto"/>
                <w:sz w:val="21"/>
                <w:szCs w:val="21"/>
                <w:highlight w:val="none"/>
                <w:lang w:val="en-US" w:eastAsia="zh-CN"/>
              </w:rPr>
              <w:t>在岗运营服务培训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培训内容、培训方法、培训时间、培训地点安排等内容</w:t>
            </w:r>
            <w:r>
              <w:rPr>
                <w:rFonts w:hint="eastAsia" w:ascii="宋体" w:hAnsi="宋体" w:eastAsia="宋体" w:cs="宋体"/>
                <w:color w:val="auto"/>
                <w:sz w:val="21"/>
                <w:szCs w:val="21"/>
                <w:highlight w:val="none"/>
                <w:lang w:val="en-US" w:eastAsia="zh-CN"/>
              </w:rPr>
              <w:t>。</w:t>
            </w:r>
          </w:p>
          <w:p w14:paraId="12FDB918">
            <w:pPr>
              <w:pStyle w:val="40"/>
              <w:keepNext w:val="0"/>
              <w:keepLines w:val="0"/>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提供培训方案，能承诺对</w:t>
            </w:r>
            <w:r>
              <w:rPr>
                <w:rFonts w:hint="eastAsia" w:ascii="宋体" w:hAnsi="宋体" w:eastAsia="宋体" w:cs="宋体"/>
                <w:color w:val="auto"/>
                <w:sz w:val="21"/>
                <w:szCs w:val="21"/>
                <w:highlight w:val="none"/>
                <w:lang w:val="en-US" w:eastAsia="zh-CN"/>
              </w:rPr>
              <w:t>运营服务人</w:t>
            </w:r>
            <w:r>
              <w:rPr>
                <w:rFonts w:hint="eastAsia" w:ascii="宋体" w:hAnsi="宋体" w:eastAsia="宋体" w:cs="宋体"/>
                <w:color w:val="auto"/>
                <w:sz w:val="21"/>
                <w:szCs w:val="21"/>
                <w:highlight w:val="none"/>
              </w:rPr>
              <w:t>员进行</w:t>
            </w:r>
            <w:r>
              <w:rPr>
                <w:rFonts w:hint="eastAsia" w:ascii="宋体" w:hAnsi="宋体" w:cs="宋体"/>
                <w:color w:val="auto"/>
                <w:sz w:val="21"/>
                <w:szCs w:val="21"/>
                <w:highlight w:val="none"/>
                <w:lang w:val="en-US" w:eastAsia="zh-CN"/>
              </w:rPr>
              <w:t>一次</w:t>
            </w:r>
            <w:r>
              <w:rPr>
                <w:rFonts w:hint="eastAsia" w:ascii="宋体" w:hAnsi="宋体" w:eastAsia="宋体" w:cs="宋体"/>
                <w:color w:val="auto"/>
                <w:sz w:val="21"/>
                <w:szCs w:val="21"/>
                <w:highlight w:val="none"/>
                <w:lang w:val="en-US" w:eastAsia="zh-CN"/>
              </w:rPr>
              <w:t>岗前运营服务培训及</w:t>
            </w:r>
            <w:r>
              <w:rPr>
                <w:rFonts w:hint="eastAsia" w:ascii="宋体" w:hAnsi="宋体" w:cs="宋体"/>
                <w:color w:val="auto"/>
                <w:sz w:val="21"/>
                <w:szCs w:val="21"/>
                <w:highlight w:val="none"/>
                <w:lang w:val="en-US" w:eastAsia="zh-CN"/>
              </w:rPr>
              <w:t>每二个月一次的</w:t>
            </w:r>
            <w:r>
              <w:rPr>
                <w:rFonts w:hint="eastAsia" w:ascii="宋体" w:hAnsi="宋体" w:eastAsia="宋体" w:cs="宋体"/>
                <w:color w:val="auto"/>
                <w:sz w:val="21"/>
                <w:szCs w:val="21"/>
                <w:highlight w:val="none"/>
                <w:lang w:val="en-US" w:eastAsia="zh-CN"/>
              </w:rPr>
              <w:t>在岗运营服务培训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培训内容、培训方法、培训时间、培训地点安排等内容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针对运营服务人员制定各岗位</w:t>
            </w:r>
            <w:r>
              <w:rPr>
                <w:rFonts w:hint="eastAsia" w:ascii="宋体" w:hAnsi="宋体" w:eastAsia="宋体" w:cs="宋体"/>
                <w:color w:val="auto"/>
                <w:sz w:val="21"/>
                <w:szCs w:val="21"/>
                <w:highlight w:val="none"/>
              </w:rPr>
              <w:t>针对性的培训计划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包含设备</w:t>
            </w:r>
            <w:r>
              <w:rPr>
                <w:rFonts w:hint="eastAsia" w:ascii="宋体" w:hAnsi="宋体" w:eastAsia="宋体" w:cs="宋体"/>
                <w:color w:val="auto"/>
                <w:sz w:val="21"/>
                <w:szCs w:val="21"/>
                <w:highlight w:val="none"/>
                <w:lang w:val="en-US" w:eastAsia="zh-CN"/>
              </w:rPr>
              <w:t>理论知识及安全操作技能培训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安全作业培训</w:t>
            </w:r>
            <w:r>
              <w:rPr>
                <w:rFonts w:hint="eastAsia" w:ascii="宋体" w:hAnsi="宋体" w:cs="宋体"/>
                <w:color w:val="auto"/>
                <w:sz w:val="21"/>
                <w:szCs w:val="21"/>
                <w:highlight w:val="none"/>
                <w:lang w:val="en-US" w:eastAsia="zh-CN"/>
              </w:rPr>
              <w:t>、监测数据记录及纠正等</w:t>
            </w:r>
            <w:r>
              <w:rPr>
                <w:rFonts w:hint="eastAsia" w:ascii="宋体" w:hAnsi="宋体" w:eastAsia="宋体" w:cs="宋体"/>
                <w:color w:val="auto"/>
                <w:sz w:val="21"/>
                <w:szCs w:val="21"/>
                <w:highlight w:val="none"/>
                <w:lang w:val="en-US" w:eastAsia="zh-CN"/>
              </w:rPr>
              <w:t>多种培训方式。</w:t>
            </w:r>
          </w:p>
          <w:p w14:paraId="2FB463E3">
            <w:pPr>
              <w:pStyle w:val="40"/>
              <w:keepNext w:val="0"/>
              <w:keepLines w:val="0"/>
              <w:pageBreakBefore w:val="0"/>
              <w:widowControl w:val="0"/>
              <w:kinsoku/>
              <w:wordWrap/>
              <w:overflowPunct/>
              <w:topLinePunct w:val="0"/>
              <w:autoSpaceDE/>
              <w:autoSpaceDN/>
              <w:bidi w:val="0"/>
              <w:spacing w:line="400" w:lineRule="exac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提供培训方案，能承诺对</w:t>
            </w:r>
            <w:r>
              <w:rPr>
                <w:rFonts w:hint="eastAsia" w:ascii="宋体" w:hAnsi="宋体" w:eastAsia="宋体" w:cs="宋体"/>
                <w:color w:val="auto"/>
                <w:sz w:val="21"/>
                <w:szCs w:val="21"/>
                <w:highlight w:val="none"/>
                <w:lang w:val="en-US" w:eastAsia="zh-CN"/>
              </w:rPr>
              <w:t>运营服务人</w:t>
            </w:r>
            <w:r>
              <w:rPr>
                <w:rFonts w:hint="eastAsia" w:ascii="宋体" w:hAnsi="宋体" w:eastAsia="宋体" w:cs="宋体"/>
                <w:color w:val="auto"/>
                <w:sz w:val="21"/>
                <w:szCs w:val="21"/>
                <w:highlight w:val="none"/>
              </w:rPr>
              <w:t>员进行</w:t>
            </w:r>
            <w:r>
              <w:rPr>
                <w:rFonts w:hint="eastAsia" w:ascii="宋体" w:hAnsi="宋体" w:cs="宋体"/>
                <w:color w:val="auto"/>
                <w:sz w:val="21"/>
                <w:szCs w:val="21"/>
                <w:highlight w:val="none"/>
                <w:lang w:val="en-US" w:eastAsia="zh-CN"/>
              </w:rPr>
              <w:t>一次</w:t>
            </w:r>
            <w:r>
              <w:rPr>
                <w:rFonts w:hint="eastAsia" w:ascii="宋体" w:hAnsi="宋体" w:eastAsia="宋体" w:cs="宋体"/>
                <w:color w:val="auto"/>
                <w:sz w:val="21"/>
                <w:szCs w:val="21"/>
                <w:highlight w:val="none"/>
                <w:lang w:val="en-US" w:eastAsia="zh-CN"/>
              </w:rPr>
              <w:t>岗前运营服务培训及</w:t>
            </w:r>
            <w:r>
              <w:rPr>
                <w:rFonts w:hint="eastAsia" w:ascii="宋体" w:hAnsi="宋体" w:cs="宋体"/>
                <w:color w:val="auto"/>
                <w:sz w:val="21"/>
                <w:szCs w:val="21"/>
                <w:highlight w:val="none"/>
                <w:lang w:val="en-US" w:eastAsia="zh-CN"/>
              </w:rPr>
              <w:t>每一个月一次的</w:t>
            </w:r>
            <w:r>
              <w:rPr>
                <w:rFonts w:hint="eastAsia" w:ascii="宋体" w:hAnsi="宋体" w:eastAsia="宋体" w:cs="宋体"/>
                <w:color w:val="auto"/>
                <w:sz w:val="21"/>
                <w:szCs w:val="21"/>
                <w:highlight w:val="none"/>
                <w:lang w:val="en-US" w:eastAsia="zh-CN"/>
              </w:rPr>
              <w:t>在岗运营服务培训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培训内容、培训方法、培训时间、培训地点安排等内容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针对运营服务人员制定各岗位</w:t>
            </w:r>
            <w:r>
              <w:rPr>
                <w:rFonts w:hint="eastAsia" w:ascii="宋体" w:hAnsi="宋体" w:eastAsia="宋体" w:cs="宋体"/>
                <w:color w:val="auto"/>
                <w:sz w:val="21"/>
                <w:szCs w:val="21"/>
                <w:highlight w:val="none"/>
              </w:rPr>
              <w:t>针对性的培训计划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包含设备</w:t>
            </w:r>
            <w:r>
              <w:rPr>
                <w:rFonts w:hint="eastAsia" w:ascii="宋体" w:hAnsi="宋体" w:eastAsia="宋体" w:cs="宋体"/>
                <w:color w:val="auto"/>
                <w:sz w:val="21"/>
                <w:szCs w:val="21"/>
                <w:highlight w:val="none"/>
                <w:lang w:val="en-US" w:eastAsia="zh-CN"/>
              </w:rPr>
              <w:t>理论知识及安全操作技能培训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安全作业培训</w:t>
            </w:r>
            <w:r>
              <w:rPr>
                <w:rFonts w:hint="eastAsia" w:ascii="宋体" w:hAnsi="宋体" w:cs="宋体"/>
                <w:color w:val="auto"/>
                <w:sz w:val="21"/>
                <w:szCs w:val="21"/>
                <w:highlight w:val="none"/>
                <w:lang w:val="en-US" w:eastAsia="zh-CN"/>
              </w:rPr>
              <w:t>、监测数据记录及纠正等</w:t>
            </w:r>
            <w:r>
              <w:rPr>
                <w:rFonts w:hint="eastAsia" w:ascii="宋体" w:hAnsi="宋体" w:eastAsia="宋体" w:cs="宋体"/>
                <w:color w:val="auto"/>
                <w:sz w:val="21"/>
                <w:szCs w:val="21"/>
                <w:highlight w:val="none"/>
                <w:lang w:val="en-US" w:eastAsia="zh-CN"/>
              </w:rPr>
              <w:t>多种培训方式，制定有培训考核办法及考核标准，对考核不合格的人员进行整顿及加强管理。具有监督机制，针对各岗位的考核奖惩制度进行严格管理。</w:t>
            </w:r>
          </w:p>
        </w:tc>
        <w:tc>
          <w:tcPr>
            <w:tcW w:w="899" w:type="dxa"/>
            <w:noWrap w:val="0"/>
            <w:vAlign w:val="center"/>
          </w:tcPr>
          <w:p w14:paraId="09F95BC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5</w:t>
            </w:r>
          </w:p>
        </w:tc>
        <w:tc>
          <w:tcPr>
            <w:tcW w:w="1214" w:type="dxa"/>
            <w:noWrap w:val="0"/>
            <w:vAlign w:val="center"/>
          </w:tcPr>
          <w:p w14:paraId="579C86A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主观分</w:t>
            </w:r>
          </w:p>
        </w:tc>
      </w:tr>
      <w:tr w14:paraId="1787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2ED11C5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w:t>
            </w:r>
          </w:p>
        </w:tc>
        <w:tc>
          <w:tcPr>
            <w:tcW w:w="5838" w:type="dxa"/>
            <w:noWrap w:val="0"/>
            <w:vAlign w:val="center"/>
          </w:tcPr>
          <w:p w14:paraId="53787E0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商务分</w:t>
            </w:r>
          </w:p>
        </w:tc>
        <w:tc>
          <w:tcPr>
            <w:tcW w:w="899" w:type="dxa"/>
            <w:noWrap w:val="0"/>
            <w:vAlign w:val="center"/>
          </w:tcPr>
          <w:p w14:paraId="7AA1312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20</w:t>
            </w:r>
          </w:p>
        </w:tc>
        <w:tc>
          <w:tcPr>
            <w:tcW w:w="1214" w:type="dxa"/>
            <w:noWrap w:val="0"/>
            <w:vAlign w:val="center"/>
          </w:tcPr>
          <w:p w14:paraId="520DE46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p>
        </w:tc>
      </w:tr>
      <w:tr w14:paraId="585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61FAACC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3.1</w:t>
            </w:r>
          </w:p>
        </w:tc>
        <w:tc>
          <w:tcPr>
            <w:tcW w:w="5838" w:type="dxa"/>
            <w:noWrap w:val="0"/>
            <w:vAlign w:val="center"/>
          </w:tcPr>
          <w:p w14:paraId="22E2F1C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业绩分（</w:t>
            </w:r>
            <w:r>
              <w:rPr>
                <w:rFonts w:hint="eastAsia" w:ascii="宋体" w:hAnsi="宋体" w:cs="宋体"/>
                <w:b/>
                <w:bCs w:val="0"/>
                <w:color w:val="auto"/>
                <w:kern w:val="2"/>
                <w:sz w:val="21"/>
                <w:szCs w:val="21"/>
                <w:highlight w:val="none"/>
                <w:lang w:val="en-US" w:eastAsia="zh-CN" w:bidi="ar-SA"/>
              </w:rPr>
              <w:t>8</w:t>
            </w:r>
            <w:r>
              <w:rPr>
                <w:rFonts w:hint="eastAsia" w:ascii="宋体" w:hAnsi="宋体" w:eastAsia="宋体" w:cs="宋体"/>
                <w:b/>
                <w:bCs w:val="0"/>
                <w:color w:val="auto"/>
                <w:kern w:val="2"/>
                <w:sz w:val="21"/>
                <w:szCs w:val="21"/>
                <w:highlight w:val="none"/>
                <w:lang w:val="en-US" w:eastAsia="zh-CN" w:bidi="ar-SA"/>
              </w:rPr>
              <w:t>分）</w:t>
            </w:r>
          </w:p>
          <w:p w14:paraId="3F6B4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bookmarkStart w:id="67" w:name="OLE_LINK2"/>
            <w:r>
              <w:rPr>
                <w:rFonts w:hint="eastAsia" w:ascii="宋体" w:hAnsi="宋体" w:eastAsia="宋体" w:cs="宋体"/>
                <w:b w:val="0"/>
                <w:bCs w:val="0"/>
                <w:color w:val="auto"/>
                <w:sz w:val="21"/>
                <w:szCs w:val="21"/>
                <w:highlight w:val="none"/>
                <w:lang w:val="en-US" w:eastAsia="zh-CN"/>
              </w:rPr>
              <w:t>供应商202</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年1月1日以来（以合同签订时间为准)具有与本项目采购内容相关业绩的，每提供一个得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353B06E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b/>
                <w:bCs/>
                <w:kern w:val="0"/>
                <w:sz w:val="21"/>
                <w:szCs w:val="21"/>
                <w:highlight w:val="none"/>
                <w:lang w:bidi="ar"/>
              </w:rPr>
              <w:t>注：需提供有效的项目合同复印件或中标</w:t>
            </w:r>
            <w:r>
              <w:rPr>
                <w:rFonts w:hint="eastAsia" w:ascii="宋体" w:hAnsi="宋体" w:eastAsia="宋体" w:cs="宋体"/>
                <w:b/>
                <w:bCs/>
                <w:kern w:val="0"/>
                <w:sz w:val="21"/>
                <w:szCs w:val="21"/>
                <w:highlight w:val="none"/>
                <w:lang w:val="en-US" w:eastAsia="zh-CN" w:bidi="ar"/>
              </w:rPr>
              <w:t>/</w:t>
            </w:r>
            <w:r>
              <w:rPr>
                <w:rFonts w:hint="eastAsia" w:ascii="宋体" w:hAnsi="宋体" w:eastAsia="宋体" w:cs="宋体"/>
                <w:b/>
                <w:bCs/>
                <w:kern w:val="0"/>
                <w:sz w:val="21"/>
                <w:szCs w:val="21"/>
                <w:highlight w:val="none"/>
                <w:lang w:bidi="ar"/>
              </w:rPr>
              <w:t>成交通知书复印件，加盖</w:t>
            </w:r>
            <w:r>
              <w:rPr>
                <w:rFonts w:hint="eastAsia" w:ascii="宋体" w:hAnsi="宋体" w:eastAsia="宋体" w:cs="宋体"/>
                <w:b/>
                <w:bCs/>
                <w:kern w:val="0"/>
                <w:sz w:val="21"/>
                <w:szCs w:val="21"/>
                <w:highlight w:val="none"/>
                <w:lang w:val="en-US" w:eastAsia="zh-CN" w:bidi="ar"/>
              </w:rPr>
              <w:t>单位</w:t>
            </w:r>
            <w:r>
              <w:rPr>
                <w:rFonts w:hint="eastAsia" w:ascii="宋体" w:hAnsi="宋体" w:eastAsia="宋体" w:cs="宋体"/>
                <w:b/>
                <w:bCs/>
                <w:kern w:val="0"/>
                <w:sz w:val="21"/>
                <w:szCs w:val="21"/>
                <w:highlight w:val="none"/>
                <w:lang w:bidi="ar"/>
              </w:rPr>
              <w:t>公章，未提供或提供材料不满足要求的不予计分</w:t>
            </w:r>
            <w:bookmarkEnd w:id="67"/>
            <w:r>
              <w:rPr>
                <w:rFonts w:hint="eastAsia" w:ascii="宋体" w:hAnsi="宋体" w:eastAsia="宋体" w:cs="宋体"/>
                <w:b w:val="0"/>
                <w:bCs w:val="0"/>
                <w:color w:val="000000"/>
                <w:sz w:val="21"/>
                <w:szCs w:val="21"/>
                <w:highlight w:val="none"/>
                <w:lang w:val="en-US" w:eastAsia="zh-CN"/>
              </w:rPr>
              <w:t>。</w:t>
            </w:r>
          </w:p>
        </w:tc>
        <w:tc>
          <w:tcPr>
            <w:tcW w:w="899" w:type="dxa"/>
            <w:noWrap w:val="0"/>
            <w:vAlign w:val="center"/>
          </w:tcPr>
          <w:p w14:paraId="0BB471D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w:t>
            </w:r>
          </w:p>
        </w:tc>
        <w:tc>
          <w:tcPr>
            <w:tcW w:w="1214" w:type="dxa"/>
            <w:noWrap w:val="0"/>
            <w:vAlign w:val="center"/>
          </w:tcPr>
          <w:p w14:paraId="1D76B04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客观分</w:t>
            </w:r>
          </w:p>
        </w:tc>
      </w:tr>
      <w:tr w14:paraId="3FE5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09D93B8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3.2</w:t>
            </w:r>
          </w:p>
        </w:tc>
        <w:tc>
          <w:tcPr>
            <w:tcW w:w="5838" w:type="dxa"/>
            <w:noWrap w:val="0"/>
            <w:vAlign w:val="center"/>
          </w:tcPr>
          <w:p w14:paraId="54B00F01">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拟投入人员资历分（12分）</w:t>
            </w:r>
          </w:p>
          <w:p w14:paraId="3F82E77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default"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供应商拟投入人员具备生态环境类或污水治理类或机械类或环保类或污水运维设备类任意相关领域高级职称的，每投入1名得3分，满分6分；</w:t>
            </w:r>
          </w:p>
          <w:p w14:paraId="3EDA47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供应商拟投入人员具备生态环境类或污水治理类或机械类或环保类或污水运维设备类任意相关领域中级职称的，每投入1名得2分，满分6分。</w:t>
            </w:r>
          </w:p>
          <w:p w14:paraId="6999446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both"/>
              <w:textAlignment w:val="auto"/>
              <w:rPr>
                <w:rFonts w:hint="default" w:ascii="宋体" w:hAnsi="宋体" w:cs="宋体"/>
                <w:b w:val="0"/>
                <w:bCs w:val="0"/>
                <w:kern w:val="0"/>
                <w:sz w:val="21"/>
                <w:szCs w:val="21"/>
                <w:highlight w:val="none"/>
                <w:lang w:val="en-US" w:eastAsia="zh-CN" w:bidi="ar"/>
              </w:rPr>
            </w:pPr>
            <w:r>
              <w:rPr>
                <w:rFonts w:hint="eastAsia" w:ascii="宋体" w:hAnsi="宋体" w:eastAsia="宋体" w:cs="宋体"/>
                <w:b/>
                <w:bCs/>
                <w:kern w:val="0"/>
                <w:sz w:val="21"/>
                <w:szCs w:val="21"/>
                <w:highlight w:val="none"/>
                <w:lang w:bidi="ar"/>
              </w:rPr>
              <w:t>注：需提供</w:t>
            </w:r>
            <w:r>
              <w:rPr>
                <w:rFonts w:hint="eastAsia" w:ascii="宋体" w:hAnsi="宋体" w:cs="宋体"/>
                <w:b/>
                <w:bCs/>
                <w:kern w:val="0"/>
                <w:sz w:val="21"/>
                <w:szCs w:val="21"/>
                <w:highlight w:val="none"/>
                <w:lang w:val="en-US" w:eastAsia="zh-CN" w:bidi="ar"/>
              </w:rPr>
              <w:t>上述人员</w:t>
            </w:r>
            <w:r>
              <w:rPr>
                <w:rFonts w:hint="eastAsia" w:ascii="宋体" w:hAnsi="宋体" w:eastAsia="宋体" w:cs="宋体"/>
                <w:b/>
                <w:bCs/>
                <w:kern w:val="0"/>
                <w:sz w:val="21"/>
                <w:szCs w:val="21"/>
                <w:highlight w:val="none"/>
                <w:lang w:bidi="ar"/>
              </w:rPr>
              <w:t>有效的</w:t>
            </w:r>
            <w:r>
              <w:rPr>
                <w:rFonts w:hint="eastAsia" w:ascii="宋体" w:hAnsi="宋体" w:cs="宋体"/>
                <w:b/>
                <w:bCs/>
                <w:kern w:val="0"/>
                <w:sz w:val="21"/>
                <w:szCs w:val="21"/>
                <w:highlight w:val="none"/>
                <w:lang w:val="en-US" w:eastAsia="zh-CN" w:bidi="ar"/>
              </w:rPr>
              <w:t>社保缴纳记录或社保单位证明资料</w:t>
            </w:r>
            <w:r>
              <w:rPr>
                <w:rFonts w:hint="eastAsia" w:ascii="宋体" w:hAnsi="宋体" w:eastAsia="宋体" w:cs="宋体"/>
                <w:b/>
                <w:bCs/>
                <w:kern w:val="0"/>
                <w:sz w:val="21"/>
                <w:szCs w:val="21"/>
                <w:highlight w:val="none"/>
                <w:lang w:bidi="ar"/>
              </w:rPr>
              <w:t>，加盖</w:t>
            </w:r>
            <w:r>
              <w:rPr>
                <w:rFonts w:hint="eastAsia" w:ascii="宋体" w:hAnsi="宋体" w:eastAsia="宋体" w:cs="宋体"/>
                <w:b/>
                <w:bCs/>
                <w:kern w:val="0"/>
                <w:sz w:val="21"/>
                <w:szCs w:val="21"/>
                <w:highlight w:val="none"/>
                <w:lang w:val="en-US" w:eastAsia="zh-CN" w:bidi="ar"/>
              </w:rPr>
              <w:t>单位</w:t>
            </w:r>
            <w:r>
              <w:rPr>
                <w:rFonts w:hint="eastAsia" w:ascii="宋体" w:hAnsi="宋体" w:eastAsia="宋体" w:cs="宋体"/>
                <w:b/>
                <w:bCs/>
                <w:kern w:val="0"/>
                <w:sz w:val="21"/>
                <w:szCs w:val="21"/>
                <w:highlight w:val="none"/>
                <w:lang w:bidi="ar"/>
              </w:rPr>
              <w:t>公章，未提供或提供材料不满足要求的不予计分</w:t>
            </w:r>
            <w:r>
              <w:rPr>
                <w:rFonts w:hint="eastAsia" w:ascii="宋体" w:hAnsi="宋体" w:eastAsia="宋体" w:cs="宋体"/>
                <w:b w:val="0"/>
                <w:bCs w:val="0"/>
                <w:color w:val="000000"/>
                <w:sz w:val="21"/>
                <w:szCs w:val="21"/>
                <w:highlight w:val="none"/>
                <w:lang w:val="en-US" w:eastAsia="zh-CN"/>
              </w:rPr>
              <w:t>。</w:t>
            </w:r>
          </w:p>
        </w:tc>
        <w:tc>
          <w:tcPr>
            <w:tcW w:w="899" w:type="dxa"/>
            <w:noWrap w:val="0"/>
            <w:vAlign w:val="center"/>
          </w:tcPr>
          <w:p w14:paraId="0332719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c>
          <w:tcPr>
            <w:tcW w:w="1214" w:type="dxa"/>
            <w:noWrap w:val="0"/>
            <w:vAlign w:val="center"/>
          </w:tcPr>
          <w:p w14:paraId="70CAB39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客观分</w:t>
            </w:r>
          </w:p>
        </w:tc>
      </w:tr>
    </w:tbl>
    <w:p w14:paraId="665680DF">
      <w:pPr>
        <w:snapToGrid w:val="0"/>
        <w:spacing w:line="360" w:lineRule="auto"/>
        <w:ind w:firstLine="400" w:firstLineChars="200"/>
        <w:rPr>
          <w:rFonts w:cs="仿宋_GB2312"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cs="宋体"/>
          <w:color w:val="000000" w:themeColor="text1"/>
          <w:sz w:val="20"/>
          <w:szCs w:val="20"/>
          <w:highlight w:val="none"/>
          <w:shd w:val="clear" w:color="auto" w:fill="FFFFFF"/>
          <w14:textFill>
            <w14:solidFill>
              <w14:schemeClr w14:val="tx1"/>
            </w14:solidFill>
          </w14:textFill>
        </w:rPr>
        <w:t> </w:t>
      </w:r>
    </w:p>
    <w:p w14:paraId="6E259795">
      <w:pPr>
        <w:adjustRightInd/>
        <w:spacing w:line="360" w:lineRule="auto"/>
        <w:ind w:firstLine="482" w:firstLineChars="200"/>
        <w:rPr>
          <w:rFonts w:cs="Arial" w:asciiTheme="minorEastAsia" w:hAnsiTheme="minorEastAsia" w:eastAsiaTheme="minorEastAsia"/>
          <w:b/>
          <w:color w:val="000000" w:themeColor="text1"/>
          <w:kern w:val="0"/>
          <w:sz w:val="24"/>
          <w:highlight w:val="none"/>
          <w14:textFill>
            <w14:solidFill>
              <w14:schemeClr w14:val="tx1"/>
            </w14:solidFill>
          </w14:textFill>
        </w:rPr>
      </w:pPr>
    </w:p>
    <w:p w14:paraId="1AB45F88">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003AA951">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06BCA22F">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734DC3D8">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4E8DDD81">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2D74FEFF">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164156E2">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1E7CBE3C">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1A55FD03">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1EE5B911">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7999394B">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699750CF">
      <w:pPr>
        <w:pStyle w:val="394"/>
        <w:spacing w:before="0"/>
        <w:ind w:firstLine="643"/>
        <w:jc w:val="center"/>
        <w:outlineLvl w:val="9"/>
        <w:rPr>
          <w:rFonts w:hint="eastAsia" w:cs="仿宋_GB2312" w:asciiTheme="minorEastAsia" w:hAnsiTheme="minorEastAsia" w:eastAsiaTheme="minorEastAsia"/>
          <w:b/>
          <w:color w:val="000000" w:themeColor="text1"/>
          <w:sz w:val="32"/>
          <w:highlight w:val="none"/>
          <w14:textFill>
            <w14:solidFill>
              <w14:schemeClr w14:val="tx1"/>
            </w14:solidFill>
          </w14:textFill>
        </w:rPr>
      </w:pPr>
    </w:p>
    <w:p w14:paraId="06C09A27">
      <w:pPr>
        <w:pStyle w:val="394"/>
        <w:spacing w:before="0"/>
        <w:ind w:firstLine="643"/>
        <w:jc w:val="center"/>
        <w:outlineLvl w:val="9"/>
        <w:rPr>
          <w:rFonts w:cs="仿宋_GB2312" w:asciiTheme="minorEastAsia" w:hAnsiTheme="minorEastAsia" w:eastAsiaTheme="minorEastAsia"/>
          <w:b/>
          <w:color w:val="000000" w:themeColor="text1"/>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一、评审方法</w:t>
      </w:r>
    </w:p>
    <w:p w14:paraId="19131C8F">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highlight w:val="none"/>
          <w14:textFill>
            <w14:solidFill>
              <w14:schemeClr w14:val="tx1"/>
            </w14:solidFill>
          </w14:textFill>
        </w:rPr>
        <w:t>1.综合评分法。</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cs="Arial" w:asciiTheme="minorEastAsia" w:hAnsiTheme="minorEastAsia" w:eastAsiaTheme="minorEastAsia"/>
          <w:color w:val="000000" w:themeColor="text1"/>
          <w:kern w:val="0"/>
          <w:sz w:val="24"/>
          <w:highlight w:val="none"/>
          <w14:textFill>
            <w14:solidFill>
              <w14:schemeClr w14:val="tx1"/>
            </w14:solidFill>
          </w14:textFill>
        </w:rPr>
      </w:pPr>
    </w:p>
    <w:p w14:paraId="111ED5F6">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二、磋商小组的组成</w:t>
      </w:r>
    </w:p>
    <w:p w14:paraId="290827B6">
      <w:pPr>
        <w:pStyle w:val="394"/>
        <w:spacing w:before="0"/>
        <w:ind w:firstLine="0" w:firstLineChars="0"/>
        <w:outlineLvl w:val="9"/>
        <w:rPr>
          <w:rFonts w:cs="Arial" w:asciiTheme="minorEastAsia" w:hAnsiTheme="minorEastAsia" w:eastAsiaTheme="minorEastAsia"/>
          <w:b/>
          <w:color w:val="000000" w:themeColor="text1"/>
          <w:kern w:val="0"/>
          <w:highlight w:val="none"/>
          <w14:textFill>
            <w14:solidFill>
              <w14:schemeClr w14:val="tx1"/>
            </w14:solidFill>
          </w14:textFill>
        </w:rPr>
      </w:pPr>
      <w:r>
        <w:rPr>
          <w:rFonts w:hint="eastAsia" w:cs="Arial" w:asciiTheme="minorEastAsia" w:hAnsiTheme="minorEastAsia" w:eastAsiaTheme="minorEastAsia"/>
          <w:b/>
          <w:color w:val="000000" w:themeColor="text1"/>
          <w:kern w:val="0"/>
          <w:highlight w:val="none"/>
          <w14:textFill>
            <w14:solidFill>
              <w14:schemeClr w14:val="tx1"/>
            </w14:solidFill>
          </w14:textFill>
        </w:rPr>
        <w:t>1.磋商小组的组成。</w:t>
      </w:r>
    </w:p>
    <w:p w14:paraId="3E017511">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snapToGrid w:val="0"/>
        <w:spacing w:line="360" w:lineRule="auto"/>
        <w:outlineLvl w:val="9"/>
        <w:rPr>
          <w:rFonts w:cs="Arial"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Arial" w:asciiTheme="minorEastAsia" w:hAnsiTheme="minorEastAsia" w:eastAsiaTheme="minorEastAsia"/>
          <w:b/>
          <w:color w:val="000000" w:themeColor="text1"/>
          <w:kern w:val="0"/>
          <w:sz w:val="24"/>
          <w:szCs w:val="20"/>
          <w:highlight w:val="none"/>
          <w14:textFill>
            <w14:solidFill>
              <w14:schemeClr w14:val="tx1"/>
            </w14:solidFill>
          </w14:textFill>
        </w:rPr>
        <w:t>2.磋商小组的组成人员的回避。</w:t>
      </w:r>
    </w:p>
    <w:p w14:paraId="6CC3F267">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在政府采购活动中，磋商小组的组成人员与供应商有下列利害关系之一的，应当回避：</w:t>
      </w:r>
    </w:p>
    <w:p w14:paraId="2B50DFA1">
      <w:pPr>
        <w:pStyle w:val="394"/>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2.1参加采购活动前3年内与供应商存在劳动关系；</w:t>
      </w:r>
    </w:p>
    <w:p w14:paraId="6FB90865">
      <w:pPr>
        <w:pStyle w:val="394"/>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2.2参加采购活动前3年内担任供应商的董事、监事；</w:t>
      </w:r>
    </w:p>
    <w:p w14:paraId="10542609">
      <w:pPr>
        <w:pStyle w:val="394"/>
        <w:spacing w:before="0"/>
        <w:ind w:firstLine="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　　2.3参加采购活动前3年内是供应商的控股股东或者实际控制人；</w:t>
      </w:r>
    </w:p>
    <w:p w14:paraId="7825968D">
      <w:pPr>
        <w:pStyle w:val="394"/>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2.4与供应商的法定代表人或者负责人有夫妻、直系血亲、三代以内旁系血亲或者近姻亲关系；</w:t>
      </w:r>
    </w:p>
    <w:p w14:paraId="0E9B744D">
      <w:pPr>
        <w:pStyle w:val="394"/>
        <w:spacing w:before="0"/>
        <w:ind w:firstLine="480" w:firstLineChars="0"/>
        <w:outlineLvl w:val="9"/>
        <w:rPr>
          <w:rFonts w:cs="Arial" w:asciiTheme="minorEastAsia" w:hAnsiTheme="minorEastAsia" w:eastAsiaTheme="minorEastAsia"/>
          <w:color w:val="000000" w:themeColor="text1"/>
          <w:kern w:val="0"/>
          <w:highlight w:val="none"/>
          <w14:textFill>
            <w14:solidFill>
              <w14:schemeClr w14:val="tx1"/>
            </w14:solidFill>
          </w14:textFill>
        </w:rPr>
      </w:pPr>
      <w:r>
        <w:rPr>
          <w:rFonts w:hint="eastAsia" w:cs="Arial" w:asciiTheme="minorEastAsia" w:hAnsiTheme="minorEastAsia" w:eastAsiaTheme="minorEastAsia"/>
          <w:color w:val="000000" w:themeColor="text1"/>
          <w:kern w:val="0"/>
          <w:highlight w:val="none"/>
          <w14:textFill>
            <w14:solidFill>
              <w14:schemeClr w14:val="tx1"/>
            </w14:solidFill>
          </w14:textFill>
        </w:rPr>
        <w:t>2.5与供应商有其他可能影响政府采购活动公平、公正进行的关系。</w:t>
      </w:r>
    </w:p>
    <w:p w14:paraId="7506D9D5">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p>
    <w:p w14:paraId="1C39529C">
      <w:pPr>
        <w:snapToGrid w:val="0"/>
        <w:spacing w:line="360" w:lineRule="auto"/>
        <w:ind w:left="120" w:leftChars="57" w:firstLine="482" w:firstLineChars="150"/>
        <w:jc w:val="center"/>
        <w:outlineLvl w:val="9"/>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三、磋商小组的职责</w:t>
      </w:r>
    </w:p>
    <w:p w14:paraId="55D4B171">
      <w:pPr>
        <w:pStyle w:val="394"/>
        <w:spacing w:before="0"/>
        <w:ind w:firstLine="0" w:firstLineChars="0"/>
        <w:outlineLvl w:val="9"/>
        <w:rPr>
          <w:rFonts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1.磋商小组负责具体评审事务，并独立履行下列职责：</w:t>
      </w:r>
    </w:p>
    <w:p w14:paraId="685591A3">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1.1</w:t>
      </w:r>
      <w:r>
        <w:rPr>
          <w:rFonts w:hint="eastAsia" w:asciiTheme="minorEastAsia" w:hAnsiTheme="minorEastAsia" w:eastAsiaTheme="minorEastAsia"/>
          <w:color w:val="000000" w:themeColor="text1"/>
          <w:szCs w:val="24"/>
          <w:highlight w:val="none"/>
          <w14:textFill>
            <w14:solidFill>
              <w14:schemeClr w14:val="tx1"/>
            </w14:solidFill>
          </w14:textFill>
        </w:rPr>
        <w:t>对供应商的资格进行审查；</w:t>
      </w:r>
      <w:r>
        <w:rPr>
          <w:rFonts w:hint="eastAsia" w:asciiTheme="minorEastAsia" w:hAnsiTheme="minorEastAsia" w:eastAsiaTheme="minorEastAsia"/>
          <w:color w:val="000000" w:themeColor="text1"/>
          <w:highlight w:val="none"/>
          <w14:textFill>
            <w14:solidFill>
              <w14:schemeClr w14:val="tx1"/>
            </w14:solidFill>
          </w14:textFill>
        </w:rPr>
        <w:t>对响应文件的有效性、完整性和响应程度进行审查；</w:t>
      </w:r>
    </w:p>
    <w:p w14:paraId="5C7DB3EE">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1.2审查、评价响应文件是否符合磋商文件的商务、技术等实质性要求；</w:t>
      </w:r>
    </w:p>
    <w:p w14:paraId="021EEE43">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1.3要求供应商对响应文件有关事项作出澄清、说明或者更正；</w:t>
      </w:r>
    </w:p>
    <w:p w14:paraId="26D609AB">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1.4磋商小组集中与单一供应商分别进行磋商；</w:t>
      </w:r>
    </w:p>
    <w:p w14:paraId="55C8A13A">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1.5确定磋商文件的变动情况，并确定提交最后报价的供应商；</w:t>
      </w:r>
    </w:p>
    <w:p w14:paraId="4E21ECE4">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1.6根据磋商文件确定的评审办法及评审标准对提交最后报价的供应商的响应文件和最后报价采用综合评分法进行综合评分；</w:t>
      </w:r>
    </w:p>
    <w:p w14:paraId="18258FBB">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1.7编制评审报告，确定成交候选人名单，以及根据采购人委托直接确定成交人；</w:t>
      </w:r>
    </w:p>
    <w:p w14:paraId="47F035C9">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1.8向采购人、采购代理机构或者有关部门报告评审中发现的违法行为；</w:t>
      </w:r>
    </w:p>
    <w:p w14:paraId="2E2DA3CF">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1.9法律、法规、规章、磋商文件等规定的其它事项。</w:t>
      </w:r>
    </w:p>
    <w:p w14:paraId="31BD8811">
      <w:pPr>
        <w:pStyle w:val="394"/>
        <w:spacing w:before="0"/>
        <w:ind w:firstLine="0" w:firstLineChars="0"/>
        <w:outlineLvl w:val="9"/>
        <w:rPr>
          <w:rFonts w:cs="Arial" w:asciiTheme="minorEastAsia" w:hAnsiTheme="minorEastAsia" w:eastAsiaTheme="minorEastAsia"/>
          <w:b/>
          <w:color w:val="000000" w:themeColor="text1"/>
          <w:kern w:val="0"/>
          <w:szCs w:val="24"/>
          <w:highlight w:val="none"/>
          <w14:textFill>
            <w14:solidFill>
              <w14:schemeClr w14:val="tx1"/>
            </w14:solidFill>
          </w14:textFill>
        </w:rPr>
      </w:pPr>
      <w:r>
        <w:rPr>
          <w:rFonts w:hint="eastAsia" w:cs="Arial" w:asciiTheme="minorEastAsia" w:hAnsiTheme="minorEastAsia" w:eastAsiaTheme="minorEastAsia"/>
          <w:b/>
          <w:color w:val="000000" w:themeColor="text1"/>
          <w:kern w:val="0"/>
          <w:szCs w:val="24"/>
          <w:highlight w:val="none"/>
          <w14:textFill>
            <w14:solidFill>
              <w14:schemeClr w14:val="tx1"/>
            </w14:solidFill>
          </w14:textFill>
        </w:rPr>
        <w:t>2.磋商小组及其成员不得有下列行为：</w:t>
      </w:r>
    </w:p>
    <w:p w14:paraId="5708A9FA">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2.1确定参与本项目至评审结束前私自接触供应商；</w:t>
      </w:r>
    </w:p>
    <w:p w14:paraId="02E263E0">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2.2接受供应商提出的“超出响应文件的范围或者改变响应文件的实质性内容”的澄清、说明或者更正； </w:t>
      </w:r>
    </w:p>
    <w:p w14:paraId="40F73438">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2.3违反评审纪律发表倾向性意见或者征询采购人的倾向性意见；</w:t>
      </w:r>
    </w:p>
    <w:p w14:paraId="2816A044">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2.4对需要专业判断的主观评审因素协商评分；</w:t>
      </w:r>
    </w:p>
    <w:p w14:paraId="46D00DA3">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2.5在评审过程中擅离职守，影响评审程序正常进行的；</w:t>
      </w:r>
    </w:p>
    <w:p w14:paraId="0179E907">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2.6记录、复制或者带走任何评审资料；</w:t>
      </w:r>
    </w:p>
    <w:p w14:paraId="511FB43F">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2.7其他不遵守评审纪律的行为。</w:t>
      </w:r>
    </w:p>
    <w:p w14:paraId="3D654E59">
      <w:pPr>
        <w:pStyle w:val="394"/>
        <w:spacing w:before="0"/>
        <w:ind w:firstLine="480"/>
        <w:outlineLvl w:val="9"/>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磋商小组成员有2.1-2.5行为之一的，其评审意见无效，并不得获取评审劳务报酬和报销异地评审差旅费。</w:t>
      </w:r>
    </w:p>
    <w:p w14:paraId="0DE44B92">
      <w:pPr>
        <w:pStyle w:val="394"/>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09309533">
      <w:pPr>
        <w:pStyle w:val="394"/>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四、评审程序</w:t>
      </w:r>
    </w:p>
    <w:p w14:paraId="0D1FC919">
      <w:pPr>
        <w:pStyle w:val="394"/>
        <w:spacing w:before="0"/>
        <w:ind w:firstLine="472" w:firstLineChars="196"/>
        <w:outlineLvl w:val="9"/>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详见磋商文件“第二部分 竞争性磋商流程”。</w:t>
      </w:r>
    </w:p>
    <w:p w14:paraId="2DDC45EC">
      <w:pPr>
        <w:pStyle w:val="394"/>
        <w:spacing w:before="0"/>
        <w:ind w:firstLine="0" w:firstLineChars="0"/>
        <w:outlineLvl w:val="9"/>
        <w:rPr>
          <w:rFonts w:asciiTheme="minorEastAsia" w:hAnsiTheme="minorEastAsia" w:eastAsiaTheme="minorEastAsia"/>
          <w:b/>
          <w:color w:val="000000" w:themeColor="text1"/>
          <w:highlight w:val="none"/>
          <w14:textFill>
            <w14:solidFill>
              <w14:schemeClr w14:val="tx1"/>
            </w14:solidFill>
          </w14:textFill>
        </w:rPr>
      </w:pPr>
    </w:p>
    <w:p w14:paraId="31543DC3">
      <w:pPr>
        <w:pStyle w:val="394"/>
        <w:spacing w:before="0"/>
        <w:ind w:firstLine="0" w:firstLineChars="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五、评审须知</w:t>
      </w:r>
    </w:p>
    <w:p w14:paraId="3BCBA2EB">
      <w:pPr>
        <w:pStyle w:val="394"/>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1. 响应文件的澄清</w:t>
      </w:r>
    </w:p>
    <w:p w14:paraId="16DC89D6">
      <w:pPr>
        <w:spacing w:line="360" w:lineRule="auto"/>
        <w:ind w:firstLine="48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4"/>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2.最后报价的修正原则</w:t>
      </w:r>
    </w:p>
    <w:p w14:paraId="26D5FE0D">
      <w:pPr>
        <w:spacing w:line="360" w:lineRule="auto"/>
        <w:ind w:firstLine="48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磋商小组对响应文件的最后报价进行审核，对发现计算、书写等错误的，按以下原则进行修正：</w:t>
      </w:r>
    </w:p>
    <w:p w14:paraId="08E9DF37">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2.1《最后报价一览表》内容与响应文件中响应内容不一致的，以《最后报价一览表》为准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2EC136A">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2.2大写金额和小写金额不一致的，以大写金额为准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F47ED0F">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2.3单价金额小数点或者百分比有明显错位的，以《最后报价一览表》的总价为准，并修改单价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71927FB4">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2.4总价金额与按单价汇总金额不一致的，以单价金额计算结果为准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07D61261">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2.5同时出现两种以上不一致的，按照前款规定的顺序修正。</w:t>
      </w:r>
    </w:p>
    <w:p w14:paraId="103B6B24">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2.6以修正后的总价作为最后报价。</w:t>
      </w:r>
    </w:p>
    <w:p w14:paraId="27FE44BC">
      <w:pPr>
        <w:spacing w:line="360" w:lineRule="auto"/>
        <w:outlineLvl w:val="9"/>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w:t>
      </w: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供应商对根据修正原则修正后的最后报价不确认的，响应无效。</w:t>
      </w:r>
    </w:p>
    <w:p w14:paraId="51CB1FB3">
      <w:pPr>
        <w:pStyle w:val="394"/>
        <w:spacing w:before="0"/>
        <w:ind w:firstLine="0" w:firstLineChars="0"/>
        <w:outlineLvl w:val="9"/>
        <w:rPr>
          <w:rFonts w:cs="仿宋_GB2312"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w:t>
      </w:r>
      <w:r>
        <w:rPr>
          <w:rFonts w:hint="eastAsia" w:asciiTheme="minorEastAsia" w:hAnsiTheme="minorEastAsia" w:eastAsiaTheme="minorEastAsia"/>
          <w:b/>
          <w:color w:val="000000" w:themeColor="text1"/>
          <w:spacing w:val="20"/>
          <w:highlight w:val="none"/>
          <w14:textFill>
            <w14:solidFill>
              <w14:schemeClr w14:val="tx1"/>
            </w14:solidFill>
          </w14:textFill>
        </w:rPr>
        <w:t>响应无效</w:t>
      </w:r>
    </w:p>
    <w:p w14:paraId="7F533240">
      <w:pPr>
        <w:pStyle w:val="22"/>
        <w:spacing w:line="360" w:lineRule="auto"/>
        <w:ind w:firstLine="600" w:firstLineChars="250"/>
        <w:outlineLvl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Cs w:val="21"/>
          <w:highlight w:val="none"/>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480F4CC1">
      <w:pPr>
        <w:spacing w:line="360" w:lineRule="auto"/>
        <w:ind w:firstLine="480" w:firstLineChars="200"/>
        <w:outlineLvl w:val="9"/>
        <w:rPr>
          <w:rFonts w:cs="仿宋_GB2312"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w:t>
      </w:r>
      <w:r>
        <w:rPr>
          <w:rFonts w:hint="eastAsia" w:cs="仿宋_GB2312" w:asciiTheme="minorEastAsia" w:hAnsiTheme="minorEastAsia" w:eastAsiaTheme="minorEastAsia"/>
          <w:color w:val="000000" w:themeColor="text1"/>
          <w:sz w:val="24"/>
          <w:szCs w:val="21"/>
          <w:highlight w:val="none"/>
          <w14:textFill>
            <w14:solidFill>
              <w14:schemeClr w14:val="tx1"/>
            </w14:solidFill>
          </w14:textFill>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3.2为采购项目提供整体设计、规范编制或者项目管理、监理、检测等服务的供应商再参加该采购项目的其他采购活动的；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3.3供应商不具备磋商文件中规定的资格要求的（供应商未提供有效的资格证明文件的，视为供应商不具备磋商文件中规定的资格要求）；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3.4如以联合体形式参加政府采购活动的，联合协议不符合磋商文件规定的联合协议要求的；</w:t>
      </w:r>
    </w:p>
    <w:p w14:paraId="2E02DA1F">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3.5响应文件未按磋商文件的澄清、修改的内容编制，又不符合实质性要求的；</w:t>
      </w:r>
    </w:p>
    <w:p w14:paraId="0967EA58">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3.6响应文件组成漏项，内容不全或内容字迹模糊辨认不清的；</w:t>
      </w:r>
    </w:p>
    <w:p w14:paraId="5298FDD5">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3.7响应文件中法人授权书所载内容与本项目内容有异的；</w:t>
      </w:r>
    </w:p>
    <w:p w14:paraId="2E1ADE0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3.8响应文件未按照磋商文件要求签署、盖章的；</w:t>
      </w:r>
    </w:p>
    <w:p w14:paraId="263ED35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3.9</w:t>
      </w:r>
      <w:r>
        <w:rPr>
          <w:rFonts w:hint="eastAsia" w:ascii="宋体" w:hAnsi="宋体" w:cs="宋体"/>
          <w:color w:val="000000" w:themeColor="text1"/>
          <w:kern w:val="0"/>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3.10响应文件含有采购人不能接受的附加条件的；</w:t>
      </w:r>
    </w:p>
    <w:p w14:paraId="6027B64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3.11响应文件中承诺的响应有效期少于磋商文件中载明的响应有效期的；</w:t>
      </w:r>
    </w:p>
    <w:p w14:paraId="48E07CA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3.12供应商所投内容不符合磋商文件中实质性要求的；</w:t>
      </w:r>
    </w:p>
    <w:p w14:paraId="48F87129">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3.13所提交的《最后报价一览表》中出现不是唯一的、有选择性的报价的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7BD19EA">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3.14最后报价高于本项目采购预算或者最高限价的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66041DBF">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3.15《最后报价一览表》填写不完整或字迹不能辨认或有漏项的；</w:t>
      </w:r>
    </w:p>
    <w:p w14:paraId="414979D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3.16供应商对根据修正原则修正后的最后报价不确认的；</w:t>
      </w:r>
    </w:p>
    <w:p w14:paraId="5674C5C4">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3.17供应商提供虚假材料响应的（包括但不限于以下情节）；</w:t>
      </w:r>
    </w:p>
    <w:p w14:paraId="5382A01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3.17.1使用伪造、变造的许可证件；</w:t>
      </w:r>
    </w:p>
    <w:p w14:paraId="4121D62E">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3.17.2提供虚假的财务状况或者业绩；</w:t>
      </w:r>
    </w:p>
    <w:p w14:paraId="1F09CC17">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3.17.3提供虚假的项目负责人或者主要技术人员简历、劳动关系证明；</w:t>
      </w:r>
    </w:p>
    <w:p w14:paraId="25BF027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3.17.4提供虚假的信用状况；</w:t>
      </w:r>
    </w:p>
    <w:p w14:paraId="2C8EA3D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3.17.5其他弄虚作假的行为。</w:t>
      </w:r>
    </w:p>
    <w:p w14:paraId="4975B978">
      <w:pPr>
        <w:spacing w:line="360" w:lineRule="auto"/>
        <w:ind w:firstLine="48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3.18供应商有恶意串通、妨碍其他供应商的竞争行为、损害采购人或者其他供应商的合法权益情形的。</w:t>
      </w:r>
    </w:p>
    <w:p w14:paraId="3DFF33C1">
      <w:pPr>
        <w:spacing w:line="360" w:lineRule="auto"/>
        <w:ind w:firstLine="48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有下列情形之一的，属于或视为恶意串通，其响应无效：</w:t>
      </w:r>
    </w:p>
    <w:p w14:paraId="2663479A">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3.18.1供应商直接或者间接从采购人或者采购代理机构处获得其他供应商的相关情况并修改其响应文件；</w:t>
      </w:r>
    </w:p>
    <w:p w14:paraId="179C043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3.18.2供应商按照采购人或者采购代理机构的授意撤换、修改投标文件或者响应文件；</w:t>
      </w:r>
    </w:p>
    <w:p w14:paraId="7C5C2F09">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3.18.3供应商之间协商报价、技术方案等投标文件或者响应文件的实质性内容；</w:t>
      </w:r>
    </w:p>
    <w:p w14:paraId="6F02564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3.18.4属于同一集团、协会、商会等组织成员的供应商按照该组织要求协同参加政府采购活动；</w:t>
      </w:r>
    </w:p>
    <w:p w14:paraId="514DD8A2">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3.18.5供应商之间事先约定由某一特定供应商中标、成交；</w:t>
      </w:r>
    </w:p>
    <w:p w14:paraId="0E8FB9D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3.18.6供应商之间商定部分供应商放弃参加政府采购活动或者放弃中标、成交；</w:t>
      </w:r>
    </w:p>
    <w:p w14:paraId="54BED63F">
      <w:pPr>
        <w:spacing w:line="360" w:lineRule="auto"/>
        <w:ind w:firstLine="480" w:firstLineChars="200"/>
        <w:outlineLvl w:val="9"/>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3.18.7供应商与采购人或者采购代理机构之间、供应商相互之间，为谋求特定供应商中标、成交或者排斥其他供应商的其他串通行为</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26C44DDB">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3.18.8不同供应商的响应文件由同一单位或者个人编制；</w:t>
      </w:r>
    </w:p>
    <w:p w14:paraId="7DD28721">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3.18.9不同供应商委托同一单位或者个人办理响应事宜；</w:t>
      </w:r>
    </w:p>
    <w:p w14:paraId="618F95DB">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3.18.10不同供应商的响应文件载明的项目管理成员或者联系人员为同一人；</w:t>
      </w:r>
    </w:p>
    <w:p w14:paraId="17C5FDBD">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3.18.11不同供应商的响应文件异常一致或者最后报价呈规律性差异。</w:t>
      </w:r>
    </w:p>
    <w:p w14:paraId="5360F643">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3.19供应商仅提交备份响应文件，没有在电子交易平台传输提交响应文件的，响应无效；</w:t>
      </w:r>
    </w:p>
    <w:p w14:paraId="3A89BAE0">
      <w:pPr>
        <w:spacing w:line="360" w:lineRule="auto"/>
        <w:ind w:firstLine="480" w:firstLineChars="200"/>
        <w:outlineLvl w:val="9"/>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3.20法律、法规、规章（适用本市的）及省级以上规范性文件（适用本市的）规定的其他无效情形。</w:t>
      </w:r>
    </w:p>
    <w:p w14:paraId="35F21063">
      <w:pPr>
        <w:pStyle w:val="394"/>
        <w:spacing w:before="0"/>
        <w:ind w:firstLine="0" w:firstLineChars="0"/>
        <w:outlineLvl w:val="9"/>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4. 重新开展采购活动</w:t>
      </w:r>
    </w:p>
    <w:p w14:paraId="7C238146">
      <w:pPr>
        <w:spacing w:line="360" w:lineRule="auto"/>
        <w:ind w:firstLine="407"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szCs w:val="21"/>
          <w:highlight w:val="none"/>
          <w14:textFill>
            <w14:solidFill>
              <w14:schemeClr w14:val="tx1"/>
            </w14:solidFill>
          </w14:textFill>
        </w:rPr>
        <w:t>出现下列情形之一的，采购代理机构应当终止竞争性磋商采购活动，通过电子交易平台发布项目终止公告并说明原因，重新开展采购活动：</w:t>
      </w:r>
    </w:p>
    <w:p w14:paraId="427CAD9B">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（1）因情况变化，不再符合规定的竞争性磋商采购方式适用情形的；</w:t>
      </w:r>
    </w:p>
    <w:p w14:paraId="45EE5E8C">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（2）出现影响采购公正的违法、违规行为的；</w:t>
      </w:r>
    </w:p>
    <w:p w14:paraId="0C238EB7">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（3）在采购过程中符合要求的供应商或者最后报价未超过采购预算的供应商不足3家的（有特殊规定的从其规定）。</w:t>
      </w:r>
    </w:p>
    <w:p w14:paraId="7970A380">
      <w:pPr>
        <w:pStyle w:val="394"/>
        <w:spacing w:before="0"/>
        <w:ind w:firstLine="0" w:firstLineChars="0"/>
        <w:outlineLvl w:val="9"/>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5. 终止采购活动</w:t>
      </w:r>
    </w:p>
    <w:p w14:paraId="5403440E">
      <w:pPr>
        <w:spacing w:line="360" w:lineRule="auto"/>
        <w:ind w:firstLine="465" w:firstLineChars="194"/>
        <w:outlineLvl w:val="9"/>
        <w:rPr>
          <w:rFonts w:asciiTheme="minorEastAsia" w:hAnsiTheme="minorEastAsia" w:eastAsia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olor w:val="000000" w:themeColor="text1"/>
          <w:sz w:val="24"/>
          <w:szCs w:val="21"/>
          <w:highlight w:val="none"/>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01951018">
      <w:pPr>
        <w:spacing w:line="360" w:lineRule="auto"/>
        <w:outlineLvl w:val="9"/>
        <w:rPr>
          <w:rFonts w:cs="仿宋_GB2312"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highlight w:val="none"/>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highlight w:val="none"/>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17497DD">
      <w:pPr>
        <w:pStyle w:val="394"/>
        <w:spacing w:before="0"/>
        <w:ind w:firstLine="0" w:firstLineChars="0"/>
        <w:outlineLvl w:val="9"/>
        <w:rPr>
          <w:rFonts w:cs="仿宋_GB2312" w:asciiTheme="minorEastAsia" w:hAnsiTheme="minorEastAsia" w:eastAsiaTheme="minorEastAsia"/>
          <w:b/>
          <w:color w:val="000000" w:themeColor="text1"/>
          <w:highlight w:val="none"/>
          <w14:textFill>
            <w14:solidFill>
              <w14:schemeClr w14:val="tx1"/>
            </w14:solidFill>
          </w14:textFill>
        </w:rPr>
      </w:pPr>
    </w:p>
    <w:p w14:paraId="60C9CADD">
      <w:pPr>
        <w:snapToGrid w:val="0"/>
        <w:spacing w:line="360" w:lineRule="auto"/>
        <w:ind w:left="120" w:leftChars="57" w:firstLine="482" w:firstLineChars="150"/>
        <w:jc w:val="center"/>
        <w:outlineLvl w:val="9"/>
        <w:rPr>
          <w:rFonts w:cs="仿宋_GB2312" w:asciiTheme="minorEastAsia" w:hAnsiTheme="minorEastAsia" w:eastAsiaTheme="minorEastAsia"/>
          <w:b/>
          <w:color w:val="000000" w:themeColor="text1"/>
          <w:sz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highlight w:val="none"/>
          <w14:textFill>
            <w14:solidFill>
              <w14:schemeClr w14:val="tx1"/>
            </w14:solidFill>
          </w14:textFill>
        </w:rPr>
        <w:t>六、评审过程的保密与录像</w:t>
      </w:r>
    </w:p>
    <w:p w14:paraId="6505EAD5">
      <w:pPr>
        <w:widowControl/>
        <w:spacing w:line="360" w:lineRule="auto"/>
        <w:ind w:firstLine="482" w:firstLineChars="200"/>
        <w:outlineLvl w:val="9"/>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1.保密。</w:t>
      </w:r>
      <w:r>
        <w:rPr>
          <w:rFonts w:hint="eastAsia" w:cs="仿宋_GB2312" w:asciiTheme="minorEastAsia" w:hAnsiTheme="minorEastAsia" w:eastAsiaTheme="minorEastAsia"/>
          <w:color w:val="000000" w:themeColor="text1"/>
          <w:sz w:val="24"/>
          <w:highlight w:val="none"/>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2.录音录像。</w:t>
      </w:r>
      <w:r>
        <w:rPr>
          <w:rFonts w:hint="eastAsia" w:cs="仿宋_GB2312" w:asciiTheme="minorEastAsia" w:hAnsiTheme="minorEastAsia" w:eastAsiaTheme="minorEastAsia"/>
          <w:color w:val="000000" w:themeColor="text1"/>
          <w:sz w:val="24"/>
          <w:highlight w:val="none"/>
          <w14:textFill>
            <w14:solidFill>
              <w14:schemeClr w14:val="tx1"/>
            </w14:solidFill>
          </w14:textFill>
        </w:rPr>
        <w:t>采购代理机构对评审工作现场进行全过程录音录像，录音录像资料作为采购项目文件随其他文件一并存档。</w:t>
      </w:r>
    </w:p>
    <w:p w14:paraId="2D1084E2">
      <w:pPr>
        <w:widowControl/>
        <w:adjustRightInd/>
        <w:jc w:val="left"/>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70AAE8F9">
      <w:pPr>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68" w:name="_Toc5206"/>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第六部分</w:t>
      </w:r>
      <w:bookmarkEnd w:id="66"/>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  拟签订的合同文本</w:t>
      </w:r>
      <w:bookmarkEnd w:id="68"/>
    </w:p>
    <w:p w14:paraId="1B6F36B4">
      <w:pPr>
        <w:spacing w:line="480" w:lineRule="auto"/>
        <w:jc w:val="center"/>
        <w:rPr>
          <w:rFonts w:ascii="宋体" w:hAnsi="宋体" w:cs="宋体"/>
          <w:b/>
          <w:color w:val="000000" w:themeColor="text1"/>
          <w:sz w:val="24"/>
          <w:highlight w:val="none"/>
          <w14:textFill>
            <w14:solidFill>
              <w14:schemeClr w14:val="tx1"/>
            </w14:solidFill>
          </w14:textFill>
        </w:rPr>
      </w:pPr>
      <w:bookmarkStart w:id="69" w:name="第五部分"/>
      <w:bookmarkStart w:id="70" w:name="_Toc86217003"/>
    </w:p>
    <w:p w14:paraId="699269F4">
      <w:pPr>
        <w:spacing w:line="480" w:lineRule="auto"/>
        <w:jc w:val="center"/>
        <w:rPr>
          <w:rFonts w:ascii="宋体" w:hAnsi="宋体" w:cs="宋体"/>
          <w:b/>
          <w:color w:val="000000" w:themeColor="text1"/>
          <w:sz w:val="24"/>
          <w:highlight w:val="none"/>
          <w14:textFill>
            <w14:solidFill>
              <w14:schemeClr w14:val="tx1"/>
            </w14:solidFill>
          </w14:textFill>
        </w:rPr>
      </w:pPr>
    </w:p>
    <w:p w14:paraId="68D4A9DD">
      <w:pPr>
        <w:pStyle w:val="633"/>
        <w:rPr>
          <w:color w:val="000000" w:themeColor="text1"/>
          <w:highlight w:val="none"/>
          <w14:textFill>
            <w14:solidFill>
              <w14:schemeClr w14:val="tx1"/>
            </w14:solidFill>
          </w14:textFill>
        </w:rPr>
      </w:pPr>
    </w:p>
    <w:p w14:paraId="40F7BD2E">
      <w:pPr>
        <w:pStyle w:val="633"/>
        <w:rPr>
          <w:color w:val="000000" w:themeColor="text1"/>
          <w:highlight w:val="none"/>
          <w14:textFill>
            <w14:solidFill>
              <w14:schemeClr w14:val="tx1"/>
            </w14:solidFill>
          </w14:textFill>
        </w:rPr>
      </w:pPr>
    </w:p>
    <w:p w14:paraId="1038358A">
      <w:pPr>
        <w:pStyle w:val="633"/>
        <w:rPr>
          <w:color w:val="000000" w:themeColor="text1"/>
          <w:highlight w:val="none"/>
          <w14:textFill>
            <w14:solidFill>
              <w14:schemeClr w14:val="tx1"/>
            </w14:solidFill>
          </w14:textFill>
        </w:rPr>
      </w:pPr>
    </w:p>
    <w:p w14:paraId="4428A9D4">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政府采购合同参考范本</w:t>
      </w:r>
    </w:p>
    <w:p w14:paraId="4BCC4496">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14:paraId="70BB5292">
      <w:pPr>
        <w:pStyle w:val="283"/>
        <w:ind w:firstLine="2843" w:firstLineChars="1180"/>
        <w:rPr>
          <w:rFonts w:ascii="宋体" w:hAnsi="宋体" w:cs="宋体"/>
          <w:b/>
          <w:color w:val="000000" w:themeColor="text1"/>
          <w:szCs w:val="24"/>
          <w:highlight w:val="none"/>
          <w14:textFill>
            <w14:solidFill>
              <w14:schemeClr w14:val="tx1"/>
            </w14:solidFill>
          </w14:textFill>
        </w:rPr>
      </w:pPr>
    </w:p>
    <w:p w14:paraId="29CFB182">
      <w:pPr>
        <w:pStyle w:val="22"/>
        <w:spacing w:after="120"/>
        <w:rPr>
          <w:color w:val="000000" w:themeColor="text1"/>
          <w:highlight w:val="none"/>
          <w14:textFill>
            <w14:solidFill>
              <w14:schemeClr w14:val="tx1"/>
            </w14:solidFill>
          </w14:textFill>
        </w:rPr>
      </w:pPr>
    </w:p>
    <w:p w14:paraId="65C5E361">
      <w:pPr>
        <w:pStyle w:val="22"/>
        <w:spacing w:after="120"/>
        <w:rPr>
          <w:color w:val="000000" w:themeColor="text1"/>
          <w:highlight w:val="none"/>
          <w14:textFill>
            <w14:solidFill>
              <w14:schemeClr w14:val="tx1"/>
            </w14:solidFill>
          </w14:textFill>
        </w:rPr>
      </w:pPr>
    </w:p>
    <w:p w14:paraId="435EBEB5">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071CF9B7">
      <w:pPr>
        <w:adjustRightInd/>
        <w:spacing w:line="360" w:lineRule="auto"/>
        <w:ind w:left="1680" w:leftChars="8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5141E486">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1B2A6E53">
      <w:pPr>
        <w:adjustRightInd/>
        <w:spacing w:line="360" w:lineRule="auto"/>
        <w:ind w:left="1680" w:leftChars="8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6385D915">
      <w:pPr>
        <w:pStyle w:val="633"/>
        <w:rPr>
          <w:color w:val="000000" w:themeColor="text1"/>
          <w:highlight w:val="none"/>
          <w14:textFill>
            <w14:solidFill>
              <w14:schemeClr w14:val="tx1"/>
            </w14:solidFill>
          </w14:textFill>
        </w:rPr>
      </w:pPr>
    </w:p>
    <w:p w14:paraId="4FA553F6">
      <w:pPr>
        <w:pStyle w:val="633"/>
        <w:rPr>
          <w:color w:val="000000" w:themeColor="text1"/>
          <w:highlight w:val="none"/>
          <w14:textFill>
            <w14:solidFill>
              <w14:schemeClr w14:val="tx1"/>
            </w14:solidFill>
          </w14:textFill>
        </w:rPr>
      </w:pPr>
    </w:p>
    <w:p w14:paraId="4BFE0730">
      <w:pPr>
        <w:pStyle w:val="633"/>
        <w:rPr>
          <w:color w:val="000000" w:themeColor="text1"/>
          <w:highlight w:val="none"/>
          <w14:textFill>
            <w14:solidFill>
              <w14:schemeClr w14:val="tx1"/>
            </w14:solidFill>
          </w14:textFill>
        </w:rPr>
      </w:pPr>
    </w:p>
    <w:p w14:paraId="24A623B0">
      <w:pPr>
        <w:pStyle w:val="633"/>
        <w:rPr>
          <w:color w:val="000000" w:themeColor="text1"/>
          <w:highlight w:val="none"/>
          <w14:textFill>
            <w14:solidFill>
              <w14:schemeClr w14:val="tx1"/>
            </w14:solidFill>
          </w14:textFill>
        </w:rPr>
      </w:pPr>
    </w:p>
    <w:p w14:paraId="70624335">
      <w:pPr>
        <w:pStyle w:val="633"/>
        <w:rPr>
          <w:color w:val="000000" w:themeColor="text1"/>
          <w:highlight w:val="none"/>
          <w14:textFill>
            <w14:solidFill>
              <w14:schemeClr w14:val="tx1"/>
            </w14:solidFill>
          </w14:textFill>
        </w:rPr>
      </w:pPr>
    </w:p>
    <w:p w14:paraId="704865F7">
      <w:pPr>
        <w:pStyle w:val="633"/>
        <w:rPr>
          <w:color w:val="000000" w:themeColor="text1"/>
          <w:highlight w:val="none"/>
          <w14:textFill>
            <w14:solidFill>
              <w14:schemeClr w14:val="tx1"/>
            </w14:solidFill>
          </w14:textFill>
        </w:rPr>
      </w:pPr>
    </w:p>
    <w:p w14:paraId="22B64D40">
      <w:pPr>
        <w:pStyle w:val="633"/>
        <w:rPr>
          <w:color w:val="000000" w:themeColor="text1"/>
          <w:highlight w:val="none"/>
          <w14:textFill>
            <w14:solidFill>
              <w14:schemeClr w14:val="tx1"/>
            </w14:solidFill>
          </w14:textFill>
        </w:rPr>
      </w:pPr>
    </w:p>
    <w:p w14:paraId="28D07BB6">
      <w:pPr>
        <w:pStyle w:val="633"/>
        <w:rPr>
          <w:color w:val="000000" w:themeColor="text1"/>
          <w:highlight w:val="none"/>
          <w14:textFill>
            <w14:solidFill>
              <w14:schemeClr w14:val="tx1"/>
            </w14:solidFill>
          </w14:textFill>
        </w:rPr>
      </w:pPr>
    </w:p>
    <w:p w14:paraId="2B8678A3">
      <w:pPr>
        <w:pStyle w:val="633"/>
        <w:rPr>
          <w:color w:val="000000" w:themeColor="text1"/>
          <w:highlight w:val="none"/>
          <w14:textFill>
            <w14:solidFill>
              <w14:schemeClr w14:val="tx1"/>
            </w14:solidFill>
          </w14:textFill>
        </w:rPr>
      </w:pPr>
    </w:p>
    <w:p w14:paraId="5E033B5D">
      <w:pPr>
        <w:pStyle w:val="633"/>
        <w:rPr>
          <w:color w:val="000000" w:themeColor="text1"/>
          <w:highlight w:val="none"/>
          <w14:textFill>
            <w14:solidFill>
              <w14:schemeClr w14:val="tx1"/>
            </w14:solidFill>
          </w14:textFill>
        </w:rPr>
      </w:pPr>
    </w:p>
    <w:p w14:paraId="2B9E8CB4">
      <w:pPr>
        <w:spacing w:line="360" w:lineRule="auto"/>
        <w:jc w:val="center"/>
        <w:outlineLvl w:val="9"/>
        <w:rPr>
          <w:rFonts w:ascii="宋体" w:hAnsi="宋体" w:cs="宋体"/>
          <w:b/>
          <w:color w:val="000000" w:themeColor="text1"/>
          <w:sz w:val="24"/>
          <w:highlight w:val="none"/>
          <w14:textFill>
            <w14:solidFill>
              <w14:schemeClr w14:val="tx1"/>
            </w14:solidFill>
          </w14:textFill>
        </w:rPr>
      </w:pPr>
      <w:bookmarkStart w:id="71" w:name="_Toc22209"/>
      <w:r>
        <w:rPr>
          <w:rFonts w:hint="eastAsia" w:ascii="宋体" w:hAnsi="宋体"/>
          <w:b/>
          <w:color w:val="000000" w:themeColor="text1"/>
          <w:sz w:val="24"/>
          <w:highlight w:val="none"/>
          <w14:textFill>
            <w14:solidFill>
              <w14:schemeClr w14:val="tx1"/>
            </w14:solidFill>
          </w14:textFill>
        </w:rPr>
        <w:t xml:space="preserve">第一节 </w:t>
      </w:r>
      <w:r>
        <w:rPr>
          <w:rFonts w:hint="eastAsia" w:ascii="宋体" w:hAnsi="宋体"/>
          <w:b/>
          <w:color w:val="000000" w:themeColor="text1"/>
          <w:sz w:val="24"/>
          <w:highlight w:val="none"/>
          <w:lang w:val="en-US" w:eastAsia="zh-CN"/>
          <w14:textFill>
            <w14:solidFill>
              <w14:schemeClr w14:val="tx1"/>
            </w14:solidFill>
          </w14:textFill>
        </w:rPr>
        <w:t>合同</w:t>
      </w:r>
      <w:r>
        <w:rPr>
          <w:rFonts w:hint="eastAsia" w:ascii="宋体" w:hAnsi="宋体"/>
          <w:b/>
          <w:color w:val="000000" w:themeColor="text1"/>
          <w:sz w:val="24"/>
          <w:highlight w:val="none"/>
          <w14:textFill>
            <w14:solidFill>
              <w14:schemeClr w14:val="tx1"/>
            </w14:solidFill>
          </w14:textFill>
        </w:rPr>
        <w:t>书</w:t>
      </w:r>
      <w:bookmarkEnd w:id="71"/>
    </w:p>
    <w:p w14:paraId="70DF7B68">
      <w:pPr>
        <w:keepNext w:val="0"/>
        <w:widowControl w:val="0"/>
        <w:kinsoku/>
        <w:overflowPunct/>
        <w:topLinePunct w:val="0"/>
        <w:bidi w:val="0"/>
        <w:snapToGrid w:val="0"/>
        <w:spacing w:beforeAutospacing="0" w:line="400" w:lineRule="exact"/>
        <w:ind w:right="480"/>
        <w:textAlignment w:val="auto"/>
        <w:outlineLvl w:val="9"/>
        <w:rPr>
          <w:rFonts w:hint="eastAsia" w:ascii="宋体" w:hAnsi="宋体" w:eastAsia="宋体" w:cs="宋体"/>
          <w:bCs/>
          <w:color w:val="000000"/>
          <w:sz w:val="21"/>
          <w:szCs w:val="21"/>
          <w:highlight w:val="none"/>
          <w:u w:val="single"/>
        </w:rPr>
      </w:pPr>
      <w:r>
        <w:rPr>
          <w:rFonts w:hint="eastAsia" w:ascii="宋体" w:hAnsi="宋体" w:eastAsia="宋体" w:cs="宋体"/>
          <w:bCs/>
          <w:color w:val="000000"/>
          <w:sz w:val="21"/>
          <w:szCs w:val="21"/>
          <w:highlight w:val="none"/>
        </w:rPr>
        <w:t>合同编号：</w:t>
      </w:r>
    </w:p>
    <w:p w14:paraId="649AB845">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000000"/>
          <w:sz w:val="21"/>
          <w:szCs w:val="21"/>
          <w:highlight w:val="none"/>
        </w:rPr>
      </w:pPr>
    </w:p>
    <w:p w14:paraId="67DFFCE7">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采购单位（甲方）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采购计划号 ：</w:t>
      </w:r>
      <w:r>
        <w:rPr>
          <w:rFonts w:hint="eastAsia" w:ascii="宋体" w:hAnsi="宋体" w:eastAsia="宋体" w:cs="宋体"/>
          <w:color w:val="000000"/>
          <w:sz w:val="21"/>
          <w:szCs w:val="21"/>
          <w:highlight w:val="none"/>
          <w:u w:val="single"/>
        </w:rPr>
        <w:t xml:space="preserve">                      </w:t>
      </w:r>
    </w:p>
    <w:p w14:paraId="4062FEB8">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 应 商（乙方）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项目名称编号：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18C7431B">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 xml:space="preserve">签  订  地  点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签 订 时 间</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6998C3C1">
      <w:pPr>
        <w:keepNext w:val="0"/>
        <w:widowControl w:val="0"/>
        <w:kinsoku/>
        <w:overflowPunct/>
        <w:topLinePunct w:val="0"/>
        <w:bidi w:val="0"/>
        <w:adjustRightInd w:val="0"/>
        <w:snapToGrid w:val="0"/>
        <w:spacing w:line="400" w:lineRule="exact"/>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根据《中华人民共和国政府采购法》、《</w:t>
      </w:r>
      <w:r>
        <w:rPr>
          <w:rFonts w:hint="eastAsia" w:ascii="宋体" w:hAnsi="宋体" w:eastAsia="宋体" w:cs="宋体"/>
          <w:color w:val="000000"/>
          <w:sz w:val="21"/>
          <w:szCs w:val="21"/>
          <w:highlight w:val="none"/>
          <w:lang w:eastAsia="zh-CN"/>
        </w:rPr>
        <w:t>中华人民共和国民法典</w:t>
      </w:r>
      <w:r>
        <w:rPr>
          <w:rFonts w:hint="eastAsia" w:ascii="宋体" w:hAnsi="宋体" w:eastAsia="宋体" w:cs="宋体"/>
          <w:color w:val="000000"/>
          <w:sz w:val="21"/>
          <w:szCs w:val="21"/>
          <w:highlight w:val="none"/>
        </w:rPr>
        <w:t>》等法律、法规规定，按照</w:t>
      </w:r>
      <w:r>
        <w:rPr>
          <w:rFonts w:hint="eastAsia" w:ascii="宋体" w:hAnsi="宋体" w:cs="宋体"/>
          <w:color w:val="000000"/>
          <w:sz w:val="21"/>
          <w:szCs w:val="21"/>
          <w:highlight w:val="none"/>
          <w:lang w:val="en-US" w:eastAsia="zh-CN"/>
        </w:rPr>
        <w:t>采购</w:t>
      </w:r>
      <w:r>
        <w:rPr>
          <w:rFonts w:hint="eastAsia" w:ascii="宋体" w:hAnsi="宋体" w:eastAsia="宋体" w:cs="宋体"/>
          <w:color w:val="000000"/>
          <w:sz w:val="21"/>
          <w:szCs w:val="21"/>
          <w:highlight w:val="none"/>
          <w:lang w:eastAsia="zh-CN"/>
        </w:rPr>
        <w:t>文件</w:t>
      </w:r>
      <w:r>
        <w:rPr>
          <w:rFonts w:hint="eastAsia" w:ascii="宋体" w:hAnsi="宋体" w:eastAsia="宋体" w:cs="宋体"/>
          <w:color w:val="000000"/>
          <w:sz w:val="21"/>
          <w:szCs w:val="21"/>
          <w:highlight w:val="none"/>
        </w:rPr>
        <w:t>规定条款和</w:t>
      </w:r>
      <w:r>
        <w:rPr>
          <w:rFonts w:hint="eastAsia" w:ascii="宋体" w:hAnsi="宋体" w:eastAsia="宋体" w:cs="宋体"/>
          <w:color w:val="000000"/>
          <w:sz w:val="21"/>
          <w:szCs w:val="21"/>
          <w:highlight w:val="none"/>
          <w:lang w:eastAsia="zh-CN"/>
        </w:rPr>
        <w:t>乙方</w:t>
      </w:r>
      <w:r>
        <w:rPr>
          <w:rFonts w:hint="eastAsia" w:ascii="宋体" w:hAnsi="宋体" w:cs="宋体"/>
          <w:color w:val="000000"/>
          <w:sz w:val="21"/>
          <w:szCs w:val="21"/>
          <w:highlight w:val="none"/>
          <w:lang w:val="en-US" w:eastAsia="zh-CN"/>
        </w:rPr>
        <w:t>响应</w:t>
      </w:r>
      <w:r>
        <w:rPr>
          <w:rFonts w:hint="eastAsia" w:ascii="宋体" w:hAnsi="宋体" w:eastAsia="宋体" w:cs="宋体"/>
          <w:color w:val="000000"/>
          <w:sz w:val="21"/>
          <w:szCs w:val="21"/>
          <w:highlight w:val="none"/>
          <w:lang w:eastAsia="zh-CN"/>
        </w:rPr>
        <w:t>文件</w:t>
      </w:r>
      <w:r>
        <w:rPr>
          <w:rFonts w:hint="eastAsia" w:ascii="宋体" w:hAnsi="宋体" w:eastAsia="宋体" w:cs="宋体"/>
          <w:color w:val="000000"/>
          <w:sz w:val="21"/>
          <w:szCs w:val="21"/>
          <w:highlight w:val="none"/>
        </w:rPr>
        <w:t>及其承诺，甲乙双方签订本合同。</w:t>
      </w:r>
    </w:p>
    <w:p w14:paraId="255BC901">
      <w:pPr>
        <w:keepNext w:val="0"/>
        <w:widowControl w:val="0"/>
        <w:kinsoku/>
        <w:overflowPunct/>
        <w:topLinePunct w:val="0"/>
        <w:bidi w:val="0"/>
        <w:adjustRightInd w:val="0"/>
        <w:snapToGrid w:val="0"/>
        <w:spacing w:line="400" w:lineRule="exact"/>
        <w:ind w:firstLine="422" w:firstLineChars="200"/>
        <w:textAlignment w:val="auto"/>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第一条　合同标的</w:t>
      </w:r>
    </w:p>
    <w:p w14:paraId="6C73631B">
      <w:pPr>
        <w:keepNext w:val="0"/>
        <w:widowControl w:val="0"/>
        <w:kinsoku/>
        <w:overflowPunct/>
        <w:topLinePunct w:val="0"/>
        <w:bidi w:val="0"/>
        <w:adjustRightInd w:val="0"/>
        <w:snapToGrid w:val="0"/>
        <w:spacing w:after="156" w:afterLines="50" w:line="400" w:lineRule="exact"/>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1.服务一览表</w:t>
      </w:r>
    </w:p>
    <w:tbl>
      <w:tblPr>
        <w:tblStyle w:val="6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96"/>
        <w:gridCol w:w="1659"/>
        <w:gridCol w:w="1189"/>
        <w:gridCol w:w="1189"/>
        <w:gridCol w:w="1189"/>
        <w:gridCol w:w="1189"/>
        <w:gridCol w:w="1189"/>
      </w:tblGrid>
      <w:tr w14:paraId="25A7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1" w:type="dxa"/>
            <w:noWrap w:val="0"/>
            <w:vAlign w:val="center"/>
          </w:tcPr>
          <w:p w14:paraId="647C4FD5">
            <w:pPr>
              <w:widowControl/>
              <w:kinsoku/>
              <w:wordWrap/>
              <w:topLinePunct w:val="0"/>
              <w:bidi w:val="0"/>
              <w:spacing w:beforeAutospacing="0"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序号</w:t>
            </w:r>
          </w:p>
        </w:tc>
        <w:tc>
          <w:tcPr>
            <w:tcW w:w="1296" w:type="dxa"/>
            <w:noWrap w:val="0"/>
            <w:vAlign w:val="center"/>
          </w:tcPr>
          <w:p w14:paraId="3921BFEF">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659" w:type="dxa"/>
            <w:shd w:val="clear" w:color="auto" w:fill="auto"/>
            <w:noWrap w:val="0"/>
            <w:vAlign w:val="center"/>
          </w:tcPr>
          <w:p w14:paraId="28FCFBEC">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费用内容</w:t>
            </w:r>
          </w:p>
        </w:tc>
        <w:tc>
          <w:tcPr>
            <w:tcW w:w="1189" w:type="dxa"/>
            <w:shd w:val="clear" w:color="auto" w:fill="auto"/>
            <w:noWrap w:val="0"/>
            <w:vAlign w:val="center"/>
          </w:tcPr>
          <w:p w14:paraId="7FE580F5">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南康一厂</w:t>
            </w:r>
          </w:p>
        </w:tc>
        <w:tc>
          <w:tcPr>
            <w:tcW w:w="1189" w:type="dxa"/>
            <w:shd w:val="clear" w:color="auto" w:fill="auto"/>
            <w:noWrap w:val="0"/>
            <w:vAlign w:val="center"/>
          </w:tcPr>
          <w:p w14:paraId="14188EA2">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南康二厂</w:t>
            </w:r>
          </w:p>
        </w:tc>
        <w:tc>
          <w:tcPr>
            <w:tcW w:w="1189" w:type="dxa"/>
            <w:shd w:val="clear" w:color="auto" w:fill="auto"/>
            <w:noWrap w:val="0"/>
            <w:vAlign w:val="center"/>
          </w:tcPr>
          <w:p w14:paraId="6D298794">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营盘污水处理厂</w:t>
            </w:r>
          </w:p>
        </w:tc>
        <w:tc>
          <w:tcPr>
            <w:tcW w:w="1189" w:type="dxa"/>
            <w:shd w:val="clear" w:color="auto" w:fill="auto"/>
            <w:noWrap w:val="0"/>
            <w:vAlign w:val="center"/>
          </w:tcPr>
          <w:p w14:paraId="4BE68810">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2"/>
                <w:sz w:val="21"/>
                <w:szCs w:val="21"/>
                <w:highlight w:val="none"/>
                <w:u w:val="none"/>
                <w:lang w:val="en-US" w:eastAsia="zh-CN" w:bidi="ar-SA"/>
              </w:rPr>
              <w:t>合计（每年）</w:t>
            </w:r>
          </w:p>
        </w:tc>
        <w:tc>
          <w:tcPr>
            <w:tcW w:w="1189" w:type="dxa"/>
            <w:shd w:val="clear" w:color="auto" w:fill="auto"/>
            <w:noWrap w:val="0"/>
            <w:vAlign w:val="center"/>
          </w:tcPr>
          <w:p w14:paraId="1382CE65">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E8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17DE135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296" w:type="dxa"/>
            <w:vMerge w:val="restart"/>
            <w:shd w:val="clear" w:color="auto" w:fill="auto"/>
            <w:noWrap w:val="0"/>
            <w:vAlign w:val="center"/>
          </w:tcPr>
          <w:p w14:paraId="6F0393D4">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 xml:space="preserve">2026年北海市铁山港区污水处理厂运营服务采购 </w:t>
            </w:r>
          </w:p>
        </w:tc>
        <w:tc>
          <w:tcPr>
            <w:tcW w:w="1659" w:type="dxa"/>
            <w:shd w:val="clear" w:color="auto" w:fill="auto"/>
            <w:noWrap w:val="0"/>
            <w:vAlign w:val="center"/>
          </w:tcPr>
          <w:p w14:paraId="1F5AB830">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运维管理及在线监测费（每年）</w:t>
            </w:r>
          </w:p>
        </w:tc>
        <w:tc>
          <w:tcPr>
            <w:tcW w:w="1189" w:type="dxa"/>
            <w:noWrap w:val="0"/>
            <w:vAlign w:val="center"/>
          </w:tcPr>
          <w:p w14:paraId="48A710A1">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0BBC64EC">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24C26232">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47C7DD18">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45722C89">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4EDE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69989DD0">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296" w:type="dxa"/>
            <w:vMerge w:val="continue"/>
            <w:shd w:val="clear" w:color="auto" w:fill="auto"/>
            <w:noWrap w:val="0"/>
            <w:vAlign w:val="center"/>
          </w:tcPr>
          <w:p w14:paraId="6669FA43">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659" w:type="dxa"/>
            <w:shd w:val="clear" w:color="auto" w:fill="auto"/>
            <w:noWrap w:val="0"/>
            <w:vAlign w:val="center"/>
          </w:tcPr>
          <w:p w14:paraId="4C6D62EE">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设备维护费（每年）</w:t>
            </w:r>
          </w:p>
        </w:tc>
        <w:tc>
          <w:tcPr>
            <w:tcW w:w="1189" w:type="dxa"/>
            <w:noWrap w:val="0"/>
            <w:vAlign w:val="center"/>
          </w:tcPr>
          <w:p w14:paraId="206ADA17">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0884D54A">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193774E4">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4D3F93CB">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6ACE8339">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1243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17D44D83">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296" w:type="dxa"/>
            <w:vMerge w:val="continue"/>
            <w:shd w:val="clear" w:color="auto" w:fill="auto"/>
            <w:noWrap w:val="0"/>
            <w:vAlign w:val="center"/>
          </w:tcPr>
          <w:p w14:paraId="3D70ABEA">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659" w:type="dxa"/>
            <w:shd w:val="clear" w:color="auto" w:fill="auto"/>
            <w:noWrap w:val="0"/>
            <w:vAlign w:val="center"/>
          </w:tcPr>
          <w:p w14:paraId="1C508629">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扩容运营费（每年）</w:t>
            </w:r>
          </w:p>
        </w:tc>
        <w:tc>
          <w:tcPr>
            <w:tcW w:w="1189" w:type="dxa"/>
            <w:noWrap w:val="0"/>
            <w:vAlign w:val="center"/>
          </w:tcPr>
          <w:p w14:paraId="66E53926">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6FA30D70">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33CBC36E">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33858D28">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5AAF36F2">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3518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708EC4D8">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296" w:type="dxa"/>
            <w:vMerge w:val="continue"/>
            <w:shd w:val="clear" w:color="auto" w:fill="auto"/>
            <w:noWrap w:val="0"/>
            <w:vAlign w:val="center"/>
          </w:tcPr>
          <w:p w14:paraId="156B056A">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659" w:type="dxa"/>
            <w:shd w:val="clear" w:color="auto" w:fill="auto"/>
            <w:noWrap w:val="0"/>
            <w:vAlign w:val="center"/>
          </w:tcPr>
          <w:p w14:paraId="34B809AB">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洗（FMBR）膜费（每年）</w:t>
            </w:r>
          </w:p>
        </w:tc>
        <w:tc>
          <w:tcPr>
            <w:tcW w:w="1189" w:type="dxa"/>
            <w:noWrap w:val="0"/>
            <w:vAlign w:val="center"/>
          </w:tcPr>
          <w:p w14:paraId="318C1B1E">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5C988BB0">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6D099D87">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89" w:type="dxa"/>
            <w:noWrap w:val="0"/>
            <w:vAlign w:val="center"/>
          </w:tcPr>
          <w:p w14:paraId="551FA9E1">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189" w:type="dxa"/>
            <w:noWrap w:val="0"/>
            <w:vAlign w:val="center"/>
          </w:tcPr>
          <w:p w14:paraId="2D1D4350">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3A58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741" w:type="dxa"/>
            <w:gridSpan w:val="8"/>
            <w:noWrap w:val="0"/>
            <w:vAlign w:val="center"/>
          </w:tcPr>
          <w:p w14:paraId="2E8C1AEB">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合计金额：（大写）人民币                        （小写）¥           </w:t>
            </w:r>
          </w:p>
        </w:tc>
      </w:tr>
    </w:tbl>
    <w:p w14:paraId="164B212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合同合计</w:t>
      </w:r>
      <w:r>
        <w:rPr>
          <w:rFonts w:hint="eastAsia" w:ascii="宋体" w:hAnsi="宋体" w:eastAsia="宋体" w:cs="宋体"/>
          <w:color w:val="000000"/>
          <w:sz w:val="21"/>
          <w:szCs w:val="21"/>
          <w:highlight w:val="none"/>
          <w:lang w:val="en-US" w:eastAsia="zh-CN"/>
        </w:rPr>
        <w:t>金额</w:t>
      </w:r>
      <w:r>
        <w:rPr>
          <w:rFonts w:hint="eastAsia" w:ascii="宋体" w:hAnsi="宋体" w:eastAsia="宋体" w:cs="宋体"/>
          <w:color w:val="auto"/>
          <w:kern w:val="2"/>
          <w:sz w:val="21"/>
          <w:szCs w:val="21"/>
          <w:highlight w:val="none"/>
          <w:lang w:val="en-US" w:eastAsia="zh-CN" w:bidi="ar-SA"/>
        </w:rPr>
        <w:t>包含</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000000" w:themeColor="text1"/>
          <w:sz w:val="21"/>
          <w:szCs w:val="21"/>
          <w:highlight w:val="none"/>
          <w14:textFill>
            <w14:solidFill>
              <w14:schemeClr w14:val="tx1"/>
            </w14:solidFill>
          </w14:textFill>
        </w:rPr>
        <w:t>员工工资、福利、社会保险、加班费、工伤补偿费、意外事故补偿费等费用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运维</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管理及在线监测费用、设备维护费、扩容运营费、洗膜费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auto"/>
          <w:sz w:val="21"/>
          <w:szCs w:val="21"/>
          <w:highlight w:val="none"/>
          <w:lang w:val="en-US" w:eastAsia="zh-CN"/>
        </w:rPr>
        <w:t>成本、利润及各项税收等费用的总和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政策性文件规定及</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采购项目</w:t>
      </w:r>
      <w:r>
        <w:rPr>
          <w:rFonts w:hint="eastAsia" w:ascii="宋体" w:hAnsi="宋体" w:eastAsia="宋体" w:cs="宋体"/>
          <w:color w:val="000000" w:themeColor="text1"/>
          <w:sz w:val="21"/>
          <w:szCs w:val="21"/>
          <w:highlight w:val="none"/>
          <w14:textFill>
            <w14:solidFill>
              <w14:schemeClr w14:val="tx1"/>
            </w14:solidFill>
          </w14:textFill>
        </w:rPr>
        <w:t>包含的所有风险、责任等各项应有的所有费用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除此之外，甲方不再支付任何费用</w:t>
      </w:r>
      <w:r>
        <w:rPr>
          <w:rFonts w:hint="eastAsia" w:ascii="宋体" w:hAnsi="宋体" w:eastAsia="宋体" w:cs="宋体"/>
          <w:color w:val="000000"/>
          <w:sz w:val="21"/>
          <w:szCs w:val="21"/>
          <w:highlight w:val="none"/>
          <w:lang w:val="en-US" w:eastAsia="zh-CN"/>
        </w:rPr>
        <w:t>。</w:t>
      </w:r>
    </w:p>
    <w:p w14:paraId="5691C3B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第二条　质量保证</w:t>
      </w:r>
    </w:p>
    <w:p w14:paraId="1879FC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乙方所提供的服务质量必须与</w:t>
      </w:r>
      <w:r>
        <w:rPr>
          <w:rFonts w:hint="eastAsia" w:ascii="宋体" w:hAnsi="宋体" w:cs="宋体"/>
          <w:color w:val="000000"/>
          <w:sz w:val="21"/>
          <w:szCs w:val="21"/>
          <w:highlight w:val="none"/>
          <w:lang w:val="en-US" w:eastAsia="zh-CN"/>
        </w:rPr>
        <w:t>采购</w:t>
      </w:r>
      <w:r>
        <w:rPr>
          <w:rFonts w:hint="eastAsia" w:ascii="宋体" w:hAnsi="宋体" w:eastAsia="宋体" w:cs="宋体"/>
          <w:color w:val="000000"/>
          <w:sz w:val="21"/>
          <w:szCs w:val="21"/>
          <w:highlight w:val="none"/>
          <w:lang w:eastAsia="zh-CN"/>
        </w:rPr>
        <w:t>文件</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响应</w:t>
      </w:r>
      <w:r>
        <w:rPr>
          <w:rFonts w:hint="eastAsia" w:ascii="宋体" w:hAnsi="宋体" w:eastAsia="宋体" w:cs="宋体"/>
          <w:color w:val="000000"/>
          <w:sz w:val="21"/>
          <w:szCs w:val="21"/>
          <w:highlight w:val="none"/>
          <w:lang w:eastAsia="zh-CN"/>
        </w:rPr>
        <w:t>文件</w:t>
      </w:r>
      <w:r>
        <w:rPr>
          <w:rFonts w:hint="eastAsia" w:ascii="宋体" w:hAnsi="宋体" w:eastAsia="宋体" w:cs="宋体"/>
          <w:color w:val="000000"/>
          <w:sz w:val="21"/>
          <w:szCs w:val="21"/>
          <w:highlight w:val="none"/>
        </w:rPr>
        <w:t>和承诺相一致。</w:t>
      </w:r>
    </w:p>
    <w:p w14:paraId="57E3878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1"/>
          <w:szCs w:val="21"/>
          <w:highlight w:val="none"/>
        </w:rPr>
        <w:t>第三条　</w:t>
      </w:r>
      <w:r>
        <w:rPr>
          <w:rFonts w:hint="eastAsia" w:ascii="宋体" w:hAnsi="宋体" w:eastAsia="宋体" w:cs="宋体"/>
          <w:b/>
          <w:color w:val="000000"/>
          <w:sz w:val="21"/>
          <w:szCs w:val="21"/>
          <w:highlight w:val="none"/>
          <w:lang w:val="en-US" w:eastAsia="zh-CN"/>
        </w:rPr>
        <w:t>服务时间</w:t>
      </w:r>
    </w:p>
    <w:p w14:paraId="34E830C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服务期限</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lang w:val="en-US" w:eastAsia="zh-CN"/>
        </w:rPr>
        <w:t>自202  年    月   日起至202  年    月   日止</w:t>
      </w:r>
      <w:r>
        <w:rPr>
          <w:rFonts w:hint="eastAsia" w:ascii="宋体" w:hAnsi="宋体" w:eastAsia="宋体" w:cs="宋体"/>
          <w:color w:val="000000"/>
          <w:sz w:val="21"/>
          <w:szCs w:val="21"/>
          <w:highlight w:val="none"/>
          <w:lang w:val="en-US" w:eastAsia="zh-CN"/>
        </w:rPr>
        <w:t>。</w:t>
      </w:r>
    </w:p>
    <w:p w14:paraId="1525DEF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b w:val="0"/>
          <w:bCs/>
          <w:color w:val="000000"/>
          <w:sz w:val="21"/>
          <w:szCs w:val="21"/>
          <w:highlight w:val="none"/>
          <w:u w:val="single"/>
          <w:lang w:val="en-US" w:eastAsia="zh-CN"/>
        </w:rPr>
      </w:pPr>
      <w:r>
        <w:rPr>
          <w:rFonts w:hint="eastAsia" w:ascii="宋体" w:hAnsi="宋体" w:eastAsia="宋体" w:cs="宋体"/>
          <w:b w:val="0"/>
          <w:bCs/>
          <w:color w:val="000000"/>
          <w:sz w:val="21"/>
          <w:szCs w:val="21"/>
          <w:highlight w:val="none"/>
          <w:lang w:val="en-US" w:eastAsia="zh-CN"/>
        </w:rPr>
        <w:t>2.服务地点：</w:t>
      </w:r>
      <w:r>
        <w:rPr>
          <w:rFonts w:hint="eastAsia" w:ascii="宋体" w:hAnsi="宋体" w:cs="宋体"/>
          <w:b w:val="0"/>
          <w:bCs/>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lang w:val="en-US" w:eastAsia="zh-CN"/>
        </w:rPr>
        <w:t xml:space="preserve">。 </w:t>
      </w:r>
    </w:p>
    <w:p w14:paraId="496A263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b/>
          <w:color w:val="000000"/>
          <w:sz w:val="21"/>
          <w:szCs w:val="21"/>
          <w:highlight w:val="none"/>
        </w:rPr>
        <w:t>第四条  付款方式</w:t>
      </w:r>
    </w:p>
    <w:p w14:paraId="03FACD5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1.资金性质：</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eastAsia="zh-CN"/>
        </w:rPr>
        <w:t>财政性资金</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none"/>
        </w:rPr>
        <w:t>。</w:t>
      </w:r>
    </w:p>
    <w:p w14:paraId="1E00D50B">
      <w:pPr>
        <w:pStyle w:val="100"/>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sz w:val="21"/>
          <w:szCs w:val="21"/>
          <w:highlight w:val="none"/>
        </w:rPr>
        <w:t>2.付款方式</w:t>
      </w:r>
      <w:r>
        <w:rPr>
          <w:rFonts w:hint="eastAsia" w:ascii="宋体" w:hAnsi="宋体" w:eastAsia="宋体" w:cs="宋体"/>
          <w:color w:val="000000"/>
          <w:sz w:val="21"/>
          <w:szCs w:val="21"/>
          <w:highlight w:val="none"/>
          <w:u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2"/>
          <w:sz w:val="21"/>
          <w:szCs w:val="21"/>
          <w:highlight w:val="none"/>
          <w:u w:val="single"/>
          <w:lang w:val="en-US" w:eastAsia="zh-CN" w:bidi="ar-SA"/>
        </w:rPr>
        <w:t>。</w:t>
      </w:r>
    </w:p>
    <w:p w14:paraId="73B995F2">
      <w:pPr>
        <w:pStyle w:val="100"/>
        <w:keepNext w:val="0"/>
        <w:keepLines w:val="0"/>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rPr>
        <w:t>第五条　履约保证金</w:t>
      </w:r>
      <w:r>
        <w:rPr>
          <w:rFonts w:hint="eastAsia" w:ascii="宋体" w:hAnsi="宋体" w:eastAsia="宋体" w:cs="宋体"/>
          <w:b/>
          <w:color w:val="000000"/>
          <w:sz w:val="21"/>
          <w:szCs w:val="21"/>
          <w:highlight w:val="none"/>
          <w:lang w:eastAsia="zh-CN"/>
        </w:rPr>
        <w:t>：无。</w:t>
      </w:r>
    </w:p>
    <w:p w14:paraId="784DD08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第六条 </w:t>
      </w:r>
      <w:r>
        <w:rPr>
          <w:rFonts w:hint="eastAsia" w:ascii="宋体" w:hAnsi="宋体" w:eastAsia="宋体" w:cs="宋体"/>
          <w:b/>
          <w:color w:val="000000"/>
          <w:sz w:val="21"/>
          <w:szCs w:val="21"/>
          <w:highlight w:val="none"/>
          <w:lang w:val="en-US" w:eastAsia="zh-CN"/>
        </w:rPr>
        <w:t xml:space="preserve"> </w:t>
      </w:r>
      <w:r>
        <w:rPr>
          <w:rFonts w:hint="eastAsia" w:ascii="宋体" w:hAnsi="宋体" w:eastAsia="宋体" w:cs="宋体"/>
          <w:b/>
          <w:color w:val="000000"/>
          <w:sz w:val="21"/>
          <w:szCs w:val="21"/>
          <w:highlight w:val="none"/>
        </w:rPr>
        <w:t>税费  本合同执行中相关的一切税费均由乙方负担。</w:t>
      </w:r>
    </w:p>
    <w:p w14:paraId="55D3A20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rPr>
        <w:t>第七条　</w:t>
      </w:r>
      <w:r>
        <w:rPr>
          <w:rFonts w:hint="eastAsia" w:ascii="宋体" w:hAnsi="宋体" w:eastAsia="宋体" w:cs="宋体"/>
          <w:b/>
          <w:color w:val="000000"/>
          <w:sz w:val="21"/>
          <w:szCs w:val="21"/>
          <w:highlight w:val="none"/>
          <w:lang w:val="en-US" w:eastAsia="zh-CN"/>
        </w:rPr>
        <w:t>验收</w:t>
      </w:r>
    </w:p>
    <w:p w14:paraId="147D6486">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highlight w:val="none"/>
          <w:lang w:val="en-US" w:eastAsia="zh-CN"/>
        </w:rPr>
      </w:pPr>
      <w:r>
        <w:rPr>
          <w:rFonts w:hint="eastAsia" w:ascii="宋体" w:hAnsi="宋体" w:eastAsia="宋体" w:cs="宋体"/>
          <w:b w:val="0"/>
          <w:bCs/>
          <w:color w:val="auto"/>
          <w:highlight w:val="none"/>
          <w:lang w:val="en-US" w:eastAsia="zh-CN"/>
        </w:rPr>
        <w:t xml:space="preserve">    1.</w:t>
      </w:r>
      <w:r>
        <w:rPr>
          <w:rFonts w:hint="eastAsia" w:ascii="宋体" w:hAnsi="宋体" w:eastAsia="宋体" w:cs="宋体"/>
          <w:b w:val="0"/>
          <w:bCs/>
          <w:color w:val="auto"/>
          <w:szCs w:val="21"/>
          <w:highlight w:val="none"/>
        </w:rPr>
        <w:t>乙方</w:t>
      </w:r>
      <w:r>
        <w:rPr>
          <w:rFonts w:hint="eastAsia" w:ascii="宋体" w:hAnsi="宋体" w:eastAsia="宋体" w:cs="宋体"/>
          <w:color w:val="auto"/>
          <w:szCs w:val="21"/>
          <w:highlight w:val="none"/>
        </w:rPr>
        <w:t>应按</w:t>
      </w:r>
      <w:r>
        <w:rPr>
          <w:rFonts w:hint="eastAsia" w:hAnsi="宋体" w:cs="宋体"/>
          <w:color w:val="auto"/>
          <w:szCs w:val="21"/>
          <w:highlight w:val="none"/>
          <w:lang w:val="en-US" w:eastAsia="zh-CN"/>
        </w:rPr>
        <w:t>采购</w:t>
      </w:r>
      <w:r>
        <w:rPr>
          <w:rFonts w:hint="eastAsia" w:hAnsi="宋体" w:eastAsia="宋体" w:cs="宋体"/>
          <w:color w:val="auto"/>
          <w:szCs w:val="21"/>
          <w:highlight w:val="none"/>
          <w:lang w:eastAsia="zh-CN"/>
        </w:rPr>
        <w:t>文件</w:t>
      </w:r>
      <w:r>
        <w:rPr>
          <w:rFonts w:hint="eastAsia" w:ascii="宋体" w:hAnsi="宋体" w:eastAsia="宋体" w:cs="宋体"/>
          <w:color w:val="auto"/>
          <w:szCs w:val="21"/>
          <w:highlight w:val="none"/>
        </w:rPr>
        <w:t>规定及</w:t>
      </w:r>
      <w:r>
        <w:rPr>
          <w:rFonts w:hint="eastAsia" w:hAnsi="宋体" w:cs="宋体"/>
          <w:color w:val="auto"/>
          <w:szCs w:val="21"/>
          <w:highlight w:val="none"/>
          <w:lang w:val="en-US" w:eastAsia="zh-CN"/>
        </w:rPr>
        <w:t>响应</w:t>
      </w:r>
      <w:r>
        <w:rPr>
          <w:rFonts w:hint="eastAsia" w:ascii="宋体" w:hAnsi="宋体" w:eastAsia="宋体" w:cs="宋体"/>
          <w:color w:val="auto"/>
          <w:szCs w:val="21"/>
          <w:highlight w:val="none"/>
        </w:rPr>
        <w:t>文件承诺的技术要求、质量标准向甲方提供服务。</w:t>
      </w:r>
    </w:p>
    <w:p w14:paraId="4AED03DD">
      <w:pPr>
        <w:pStyle w:val="34"/>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.甲方对乙方提交的服务依据</w:t>
      </w:r>
      <w:r>
        <w:rPr>
          <w:rFonts w:hint="eastAsia" w:hAnsi="宋体" w:cs="宋体"/>
          <w:color w:val="auto"/>
          <w:highlight w:val="none"/>
          <w:lang w:val="en-US" w:eastAsia="zh-CN"/>
        </w:rPr>
        <w:t>采购</w:t>
      </w:r>
      <w:r>
        <w:rPr>
          <w:rFonts w:hint="eastAsia" w:hAnsi="宋体" w:eastAsia="宋体" w:cs="宋体"/>
          <w:color w:val="auto"/>
          <w:highlight w:val="none"/>
          <w:lang w:eastAsia="zh-CN"/>
        </w:rPr>
        <w:t>文件</w:t>
      </w:r>
      <w:r>
        <w:rPr>
          <w:rFonts w:hint="eastAsia" w:ascii="宋体" w:hAnsi="宋体" w:eastAsia="宋体" w:cs="宋体"/>
          <w:color w:val="auto"/>
          <w:highlight w:val="none"/>
        </w:rPr>
        <w:t>上的服务要求和国家有关质量标准进行现场初步验收，符合</w:t>
      </w:r>
      <w:r>
        <w:rPr>
          <w:rFonts w:hint="eastAsia" w:hAnsi="宋体" w:cs="宋体"/>
          <w:color w:val="auto"/>
          <w:highlight w:val="none"/>
          <w:lang w:val="en-US" w:eastAsia="zh-CN"/>
        </w:rPr>
        <w:t>采购</w:t>
      </w:r>
      <w:r>
        <w:rPr>
          <w:rFonts w:hint="eastAsia" w:hAnsi="宋体" w:eastAsia="宋体" w:cs="宋体"/>
          <w:color w:val="auto"/>
          <w:highlight w:val="none"/>
          <w:lang w:eastAsia="zh-CN"/>
        </w:rPr>
        <w:t>文件</w:t>
      </w:r>
      <w:r>
        <w:rPr>
          <w:rFonts w:hint="eastAsia" w:ascii="宋体" w:hAnsi="宋体" w:eastAsia="宋体" w:cs="宋体"/>
          <w:color w:val="auto"/>
          <w:highlight w:val="none"/>
        </w:rPr>
        <w:t>技术要求的，给予签收，初步验收不合格的不予签收。</w:t>
      </w:r>
      <w:r>
        <w:rPr>
          <w:rFonts w:hint="eastAsia" w:ascii="宋体" w:hAnsi="宋体" w:eastAsia="宋体" w:cs="宋体"/>
          <w:bCs/>
          <w:color w:val="auto"/>
          <w:highlight w:val="none"/>
        </w:rPr>
        <w:t>甲方应当</w:t>
      </w:r>
      <w:r>
        <w:rPr>
          <w:rFonts w:hint="eastAsia" w:hAnsi="宋体" w:eastAsia="宋体" w:cs="宋体"/>
          <w:bCs/>
          <w:color w:val="auto"/>
          <w:highlight w:val="none"/>
          <w:lang w:val="en-US" w:eastAsia="zh-CN"/>
        </w:rPr>
        <w:t>在乙方提交</w:t>
      </w:r>
      <w:r>
        <w:rPr>
          <w:rFonts w:hint="eastAsia" w:ascii="宋体" w:hAnsi="宋体" w:eastAsia="宋体" w:cs="宋体"/>
          <w:bCs/>
          <w:color w:val="auto"/>
          <w:highlight w:val="none"/>
        </w:rPr>
        <w:t>服务成果后</w:t>
      </w:r>
      <w:r>
        <w:rPr>
          <w:rFonts w:hint="eastAsia" w:hAnsi="宋体" w:eastAsia="宋体" w:cs="宋体"/>
          <w:bCs/>
          <w:color w:val="auto"/>
          <w:highlight w:val="none"/>
          <w:lang w:val="en-US" w:eastAsia="zh-CN"/>
        </w:rPr>
        <w:t>的</w:t>
      </w:r>
      <w:r>
        <w:rPr>
          <w:rFonts w:hint="eastAsia" w:ascii="宋体" w:hAnsi="宋体" w:eastAsia="宋体" w:cs="宋体"/>
          <w:bCs/>
          <w:color w:val="auto"/>
          <w:highlight w:val="none"/>
        </w:rPr>
        <w:t>七个工作日内进行验收</w:t>
      </w:r>
      <w:r>
        <w:rPr>
          <w:rFonts w:hint="eastAsia" w:ascii="宋体" w:hAnsi="宋体" w:eastAsia="宋体" w:cs="宋体"/>
          <w:color w:val="auto"/>
          <w:highlight w:val="none"/>
        </w:rPr>
        <w:t>。</w:t>
      </w:r>
    </w:p>
    <w:p w14:paraId="528475C4">
      <w:pPr>
        <w:pStyle w:val="34"/>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.乙方提交服务成果前应对提交的服务成果作出全面检查和对验收文件进行整理，并列出清单，作为甲方验收和使用的技术条件依据，检验的结果应随服务成果交给甲方。</w:t>
      </w:r>
    </w:p>
    <w:p w14:paraId="1A2A2B8B">
      <w:pPr>
        <w:pStyle w:val="34"/>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hAnsi="宋体" w:eastAsia="宋体" w:cs="宋体"/>
          <w:color w:val="auto"/>
          <w:highlight w:val="none"/>
          <w:lang w:val="en-US" w:eastAsia="zh-CN"/>
        </w:rPr>
        <w:t>成果交付时</w:t>
      </w:r>
      <w:r>
        <w:rPr>
          <w:rFonts w:hint="eastAsia" w:ascii="宋体" w:hAnsi="宋体" w:eastAsia="宋体" w:cs="宋体"/>
          <w:color w:val="auto"/>
          <w:highlight w:val="none"/>
          <w:lang w:val="en-US" w:eastAsia="zh-CN"/>
        </w:rPr>
        <w:t>，</w:t>
      </w:r>
      <w:r>
        <w:rPr>
          <w:rFonts w:hint="eastAsia" w:ascii="宋体" w:hAnsi="宋体" w:eastAsia="宋体" w:cs="宋体"/>
          <w:b w:val="0"/>
          <w:bCs w:val="0"/>
          <w:color w:val="auto"/>
          <w:sz w:val="21"/>
          <w:highlight w:val="none"/>
          <w:lang w:val="en-US" w:eastAsia="zh-CN"/>
        </w:rPr>
        <w:t>甲方</w:t>
      </w:r>
      <w:r>
        <w:rPr>
          <w:rFonts w:hint="eastAsia" w:hAnsi="宋体" w:eastAsia="宋体" w:cs="宋体"/>
          <w:b w:val="0"/>
          <w:bCs w:val="0"/>
          <w:color w:val="auto"/>
          <w:sz w:val="21"/>
          <w:highlight w:val="none"/>
          <w:lang w:val="en-US" w:eastAsia="zh-CN"/>
        </w:rPr>
        <w:t>有权</w:t>
      </w:r>
      <w:r>
        <w:rPr>
          <w:rFonts w:hint="eastAsia" w:ascii="宋体" w:hAnsi="宋体" w:eastAsia="宋体" w:cs="宋体"/>
          <w:b w:val="0"/>
          <w:bCs w:val="0"/>
          <w:color w:val="auto"/>
          <w:sz w:val="21"/>
          <w:highlight w:val="none"/>
          <w:lang w:val="en-US" w:eastAsia="zh-CN"/>
        </w:rPr>
        <w:t>组织</w:t>
      </w:r>
      <w:r>
        <w:rPr>
          <w:rFonts w:hint="eastAsia" w:hAnsi="宋体" w:eastAsia="宋体" w:cs="宋体"/>
          <w:b w:val="0"/>
          <w:bCs w:val="0"/>
          <w:color w:val="auto"/>
          <w:sz w:val="21"/>
          <w:highlight w:val="none"/>
          <w:lang w:val="en-US" w:eastAsia="zh-CN"/>
        </w:rPr>
        <w:t>专家</w:t>
      </w:r>
      <w:r>
        <w:rPr>
          <w:rFonts w:hint="eastAsia" w:ascii="宋体" w:hAnsi="宋体" w:eastAsia="宋体" w:cs="宋体"/>
          <w:b w:val="0"/>
          <w:bCs w:val="0"/>
          <w:color w:val="auto"/>
          <w:sz w:val="21"/>
          <w:highlight w:val="none"/>
          <w:lang w:val="en-US" w:eastAsia="zh-CN"/>
        </w:rPr>
        <w:t>以及有关管理部门按</w:t>
      </w:r>
      <w:r>
        <w:rPr>
          <w:rFonts w:hint="eastAsia" w:hAnsi="宋体" w:cs="宋体"/>
          <w:b w:val="0"/>
          <w:bCs w:val="0"/>
          <w:color w:val="auto"/>
          <w:sz w:val="21"/>
          <w:highlight w:val="none"/>
          <w:lang w:val="en-US" w:eastAsia="zh-CN"/>
        </w:rPr>
        <w:t>采购</w:t>
      </w:r>
      <w:r>
        <w:rPr>
          <w:rFonts w:hint="eastAsia" w:ascii="宋体" w:hAnsi="宋体" w:eastAsia="宋体" w:cs="宋体"/>
          <w:b w:val="0"/>
          <w:bCs w:val="0"/>
          <w:color w:val="auto"/>
          <w:sz w:val="21"/>
          <w:highlight w:val="none"/>
          <w:lang w:val="en-US" w:eastAsia="zh-CN"/>
        </w:rPr>
        <w:t>文件</w:t>
      </w:r>
      <w:r>
        <w:rPr>
          <w:rFonts w:hint="eastAsia" w:hAnsi="宋体" w:eastAsia="宋体" w:cs="宋体"/>
          <w:b w:val="0"/>
          <w:bCs w:val="0"/>
          <w:color w:val="auto"/>
          <w:sz w:val="21"/>
          <w:highlight w:val="none"/>
          <w:lang w:val="en-US" w:eastAsia="zh-CN"/>
        </w:rPr>
        <w:t>、</w:t>
      </w:r>
      <w:r>
        <w:rPr>
          <w:rFonts w:hint="eastAsia" w:hAnsi="宋体" w:cs="宋体"/>
          <w:b w:val="0"/>
          <w:bCs w:val="0"/>
          <w:color w:val="auto"/>
          <w:sz w:val="21"/>
          <w:highlight w:val="none"/>
          <w:lang w:val="en-US" w:eastAsia="zh-CN"/>
        </w:rPr>
        <w:t>响应</w:t>
      </w:r>
      <w:r>
        <w:rPr>
          <w:rFonts w:hint="eastAsia" w:hAnsi="宋体" w:eastAsia="宋体" w:cs="宋体"/>
          <w:b w:val="0"/>
          <w:bCs w:val="0"/>
          <w:color w:val="auto"/>
          <w:sz w:val="21"/>
          <w:highlight w:val="none"/>
          <w:lang w:val="en-US" w:eastAsia="zh-CN"/>
        </w:rPr>
        <w:t>文件</w:t>
      </w:r>
      <w:r>
        <w:rPr>
          <w:rFonts w:hint="eastAsia" w:ascii="宋体" w:hAnsi="宋体" w:eastAsia="宋体" w:cs="宋体"/>
          <w:b w:val="0"/>
          <w:bCs w:val="0"/>
          <w:color w:val="auto"/>
          <w:sz w:val="21"/>
          <w:highlight w:val="none"/>
          <w:lang w:val="en-US" w:eastAsia="zh-CN"/>
        </w:rPr>
        <w:t>以及合同相关条款要求对</w:t>
      </w:r>
      <w:r>
        <w:rPr>
          <w:rFonts w:hint="eastAsia" w:hAnsi="宋体" w:eastAsia="宋体" w:cs="宋体"/>
          <w:b w:val="0"/>
          <w:bCs w:val="0"/>
          <w:color w:val="auto"/>
          <w:sz w:val="21"/>
          <w:highlight w:val="none"/>
          <w:lang w:val="en-US" w:eastAsia="zh-CN"/>
        </w:rPr>
        <w:t>服务成果</w:t>
      </w:r>
      <w:r>
        <w:rPr>
          <w:rFonts w:hint="eastAsia" w:ascii="宋体" w:hAnsi="宋体" w:eastAsia="宋体" w:cs="宋体"/>
          <w:b w:val="0"/>
          <w:bCs w:val="0"/>
          <w:color w:val="auto"/>
          <w:sz w:val="21"/>
          <w:highlight w:val="none"/>
          <w:lang w:val="en-US" w:eastAsia="zh-CN"/>
        </w:rPr>
        <w:t>进行</w:t>
      </w:r>
      <w:r>
        <w:rPr>
          <w:rFonts w:hint="eastAsia" w:hAnsi="宋体" w:eastAsia="宋体" w:cs="宋体"/>
          <w:b w:val="0"/>
          <w:bCs w:val="0"/>
          <w:color w:val="auto"/>
          <w:sz w:val="21"/>
          <w:highlight w:val="none"/>
          <w:lang w:val="en-US" w:eastAsia="zh-CN"/>
        </w:rPr>
        <w:t>评审、检验</w:t>
      </w:r>
      <w:r>
        <w:rPr>
          <w:rFonts w:hint="eastAsia" w:ascii="宋体" w:hAnsi="宋体" w:eastAsia="宋体" w:cs="宋体"/>
          <w:color w:val="000000"/>
          <w:sz w:val="21"/>
          <w:szCs w:val="21"/>
          <w:highlight w:val="none"/>
          <w:lang w:val="en-US" w:eastAsia="zh-CN"/>
        </w:rPr>
        <w:t xml:space="preserve">。  </w:t>
      </w:r>
    </w:p>
    <w:p w14:paraId="2A30608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第八条 违约责任</w:t>
      </w:r>
    </w:p>
    <w:p w14:paraId="0D7BCB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所提供的</w:t>
      </w:r>
      <w:r>
        <w:rPr>
          <w:rFonts w:hint="eastAsia" w:ascii="宋体" w:hAnsi="宋体" w:eastAsia="宋体" w:cs="宋体"/>
          <w:color w:val="auto"/>
          <w:sz w:val="21"/>
          <w:szCs w:val="21"/>
          <w:highlight w:val="none"/>
          <w:lang w:val="en-US" w:eastAsia="zh-CN"/>
        </w:rPr>
        <w:t>服务</w:t>
      </w:r>
      <w:r>
        <w:rPr>
          <w:rFonts w:hint="eastAsia" w:ascii="宋体" w:hAnsi="宋体" w:cs="宋体"/>
          <w:color w:val="auto"/>
          <w:kern w:val="0"/>
          <w:szCs w:val="21"/>
          <w:highlight w:val="none"/>
        </w:rPr>
        <w:t>未能按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lang w:eastAsia="zh-CN"/>
        </w:rPr>
        <w:t>文件</w:t>
      </w:r>
      <w:r>
        <w:rPr>
          <w:rFonts w:hint="eastAsia" w:ascii="宋体" w:hAnsi="宋体" w:cs="宋体"/>
          <w:color w:val="auto"/>
          <w:kern w:val="0"/>
          <w:szCs w:val="21"/>
          <w:highlight w:val="none"/>
        </w:rPr>
        <w:t>规定的内容</w:t>
      </w:r>
      <w:r>
        <w:rPr>
          <w:rFonts w:hint="eastAsia" w:ascii="宋体" w:hAnsi="宋体" w:eastAsia="宋体" w:cs="宋体"/>
          <w:color w:val="auto"/>
          <w:sz w:val="21"/>
          <w:szCs w:val="21"/>
          <w:highlight w:val="none"/>
        </w:rPr>
        <w:t>以及</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文件所承诺</w:t>
      </w:r>
      <w:r>
        <w:rPr>
          <w:rFonts w:hint="eastAsia" w:ascii="宋体" w:hAnsi="宋体" w:eastAsia="宋体" w:cs="宋体"/>
          <w:color w:val="auto"/>
          <w:sz w:val="21"/>
          <w:szCs w:val="21"/>
          <w:highlight w:val="none"/>
          <w:lang w:val="en-US" w:eastAsia="zh-CN"/>
        </w:rPr>
        <w:t>内容</w:t>
      </w:r>
      <w:r>
        <w:rPr>
          <w:rFonts w:hint="eastAsia" w:ascii="宋体" w:hAnsi="宋体" w:cs="宋体"/>
          <w:color w:val="auto"/>
          <w:kern w:val="0"/>
          <w:szCs w:val="21"/>
          <w:highlight w:val="none"/>
        </w:rPr>
        <w:t>及相关要求向</w:t>
      </w:r>
      <w:r>
        <w:rPr>
          <w:rFonts w:hint="eastAsia" w:ascii="宋体" w:hAnsi="宋体" w:cs="宋体"/>
          <w:color w:val="auto"/>
          <w:kern w:val="0"/>
          <w:szCs w:val="21"/>
          <w:highlight w:val="none"/>
          <w:lang w:val="en-US" w:eastAsia="zh-CN"/>
        </w:rPr>
        <w:t>甲方</w:t>
      </w:r>
      <w:r>
        <w:rPr>
          <w:rFonts w:hint="eastAsia" w:ascii="宋体" w:hAnsi="宋体" w:cs="宋体"/>
          <w:color w:val="auto"/>
          <w:kern w:val="0"/>
          <w:szCs w:val="21"/>
          <w:highlight w:val="none"/>
        </w:rPr>
        <w:t>交付服务的，</w:t>
      </w:r>
      <w:r>
        <w:rPr>
          <w:rFonts w:hint="eastAsia" w:ascii="宋体" w:hAnsi="宋体" w:cs="宋体"/>
          <w:color w:val="auto"/>
          <w:kern w:val="0"/>
          <w:szCs w:val="21"/>
          <w:highlight w:val="none"/>
          <w:lang w:val="en-US" w:eastAsia="zh-CN"/>
        </w:rPr>
        <w:t>乙方须</w:t>
      </w:r>
      <w:r>
        <w:rPr>
          <w:rFonts w:hint="eastAsia" w:ascii="宋体" w:hAnsi="宋体" w:cs="宋体"/>
          <w:color w:val="auto"/>
          <w:kern w:val="0"/>
          <w:szCs w:val="21"/>
          <w:highlight w:val="none"/>
        </w:rPr>
        <w:t>承担违约责任，</w:t>
      </w:r>
      <w:r>
        <w:rPr>
          <w:rFonts w:hint="eastAsia" w:ascii="宋体" w:hAnsi="宋体" w:cs="宋体"/>
          <w:color w:val="auto"/>
          <w:kern w:val="0"/>
          <w:szCs w:val="21"/>
          <w:highlight w:val="none"/>
          <w:lang w:val="en-US" w:eastAsia="zh-CN"/>
        </w:rPr>
        <w:t>并</w:t>
      </w:r>
      <w:r>
        <w:rPr>
          <w:rFonts w:hint="eastAsia" w:ascii="宋体" w:hAnsi="宋体" w:cs="宋体"/>
          <w:color w:val="auto"/>
          <w:kern w:val="0"/>
          <w:szCs w:val="21"/>
          <w:highlight w:val="none"/>
        </w:rPr>
        <w:t>支付违约金。违约金以每项服务内容每有1次不符合服务要求的，按合同款的</w:t>
      </w:r>
      <w:r>
        <w:rPr>
          <w:rFonts w:hint="eastAsia" w:ascii="宋体" w:hAnsi="宋体" w:cs="宋体"/>
          <w:color w:val="auto"/>
          <w:kern w:val="0"/>
          <w:szCs w:val="21"/>
          <w:highlight w:val="none"/>
          <w:lang w:val="en-US" w:eastAsia="zh-CN"/>
        </w:rPr>
        <w:t>0.05‰</w:t>
      </w:r>
      <w:r>
        <w:rPr>
          <w:rFonts w:hint="eastAsia" w:ascii="宋体" w:hAnsi="宋体" w:cs="宋体"/>
          <w:color w:val="auto"/>
          <w:kern w:val="0"/>
          <w:szCs w:val="21"/>
          <w:highlight w:val="none"/>
        </w:rPr>
        <w:t>进行扣除。</w:t>
      </w:r>
    </w:p>
    <w:p w14:paraId="5FA8D9A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.乙方支付的违约金不足以弥补甲方损失的，还应承担赔偿责任</w:t>
      </w:r>
      <w:r>
        <w:rPr>
          <w:rFonts w:hint="eastAsia" w:ascii="宋体" w:hAnsi="宋体" w:eastAsia="宋体" w:cs="宋体"/>
          <w:color w:val="000000"/>
          <w:szCs w:val="21"/>
          <w:highlight w:val="none"/>
        </w:rPr>
        <w:t>。</w:t>
      </w:r>
    </w:p>
    <w:p w14:paraId="60F7EEF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w:t>
      </w:r>
      <w:r>
        <w:rPr>
          <w:rFonts w:hint="eastAsia" w:ascii="宋体" w:hAnsi="宋体" w:eastAsia="宋体" w:cs="宋体"/>
          <w:b/>
          <w:color w:val="000000"/>
          <w:sz w:val="21"/>
          <w:szCs w:val="21"/>
          <w:highlight w:val="none"/>
          <w:lang w:val="en-US" w:eastAsia="zh-CN"/>
        </w:rPr>
        <w:t>九</w:t>
      </w:r>
      <w:r>
        <w:rPr>
          <w:rFonts w:hint="eastAsia" w:ascii="宋体" w:hAnsi="宋体" w:eastAsia="宋体" w:cs="宋体"/>
          <w:b/>
          <w:color w:val="000000"/>
          <w:sz w:val="21"/>
          <w:szCs w:val="21"/>
          <w:highlight w:val="none"/>
        </w:rPr>
        <w:t>条 不可抗力事件处理</w:t>
      </w:r>
    </w:p>
    <w:p w14:paraId="4F09FC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1.在合同有效期内，任何一方因不可抗力事件导致不能履行合同，则合同履行期可延长，其延长期与不可抗力影响期相同。</w:t>
      </w:r>
    </w:p>
    <w:p w14:paraId="03D403B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2.不可抗力事件发生后，应立即通知对方，并寄送有关权威机构出具的证明。</w:t>
      </w:r>
    </w:p>
    <w:p w14:paraId="41510D2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3.不可抗力事件延续一百二十天以上，双方应通过友好协商，确定是否继续履行合同。</w:t>
      </w:r>
    </w:p>
    <w:p w14:paraId="3D870A2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第</w:t>
      </w:r>
      <w:r>
        <w:rPr>
          <w:rFonts w:hint="eastAsia" w:ascii="宋体" w:hAnsi="宋体" w:eastAsia="宋体" w:cs="宋体"/>
          <w:b/>
          <w:color w:val="000000"/>
          <w:sz w:val="21"/>
          <w:szCs w:val="21"/>
          <w:highlight w:val="none"/>
          <w:lang w:val="en-US" w:eastAsia="zh-CN"/>
        </w:rPr>
        <w:t>十</w:t>
      </w:r>
      <w:r>
        <w:rPr>
          <w:rFonts w:hint="eastAsia" w:ascii="宋体" w:hAnsi="宋体" w:eastAsia="宋体" w:cs="宋体"/>
          <w:b/>
          <w:color w:val="000000"/>
          <w:sz w:val="21"/>
          <w:szCs w:val="21"/>
          <w:highlight w:val="none"/>
        </w:rPr>
        <w:t>条  合同争议解决</w:t>
      </w:r>
    </w:p>
    <w:p w14:paraId="0E72E4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1.因服务质量问题发生争议的，应邀请国家认可的质量检测机构对服务质量进行鉴定。服务符合标准或要求的，鉴定费由甲方承担；服务不符合标准或要求的，鉴定费由乙方承担。</w:t>
      </w:r>
    </w:p>
    <w:p w14:paraId="41125E2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pacing w:val="4"/>
          <w:sz w:val="21"/>
          <w:szCs w:val="21"/>
          <w:highlight w:val="none"/>
        </w:rPr>
        <w:t>因履行本合同引起的或与本合同有关的争议，甲乙双方应首先通过友好协商解决，如果协商不能解决，可向甲方所在地的</w:t>
      </w:r>
      <w:r>
        <w:rPr>
          <w:rFonts w:hint="eastAsia" w:ascii="宋体" w:hAnsi="宋体" w:eastAsia="宋体" w:cs="宋体"/>
          <w:color w:val="000000"/>
          <w:spacing w:val="4"/>
          <w:sz w:val="21"/>
          <w:szCs w:val="21"/>
          <w:highlight w:val="none"/>
          <w:u w:val="single"/>
        </w:rPr>
        <w:t xml:space="preserve"> </w:t>
      </w:r>
      <w:r>
        <w:rPr>
          <w:rFonts w:hint="eastAsia" w:ascii="宋体" w:hAnsi="宋体" w:eastAsia="宋体" w:cs="宋体"/>
          <w:color w:val="000000"/>
          <w:spacing w:val="4"/>
          <w:sz w:val="21"/>
          <w:szCs w:val="21"/>
          <w:highlight w:val="none"/>
          <w:u w:val="single"/>
          <w:lang w:val="en-US" w:eastAsia="zh-CN"/>
        </w:rPr>
        <w:t>人民法院提起诉讼</w:t>
      </w:r>
      <w:r>
        <w:rPr>
          <w:rFonts w:hint="eastAsia" w:ascii="宋体" w:hAnsi="宋体" w:eastAsia="宋体" w:cs="宋体"/>
          <w:color w:val="000000"/>
          <w:spacing w:val="4"/>
          <w:sz w:val="21"/>
          <w:szCs w:val="21"/>
          <w:highlight w:val="none"/>
          <w:u w:val="single"/>
        </w:rPr>
        <w:t xml:space="preserve"> </w:t>
      </w:r>
      <w:r>
        <w:rPr>
          <w:rFonts w:hint="eastAsia" w:ascii="宋体" w:hAnsi="宋体" w:eastAsia="宋体" w:cs="宋体"/>
          <w:b/>
          <w:color w:val="000000"/>
          <w:sz w:val="21"/>
          <w:szCs w:val="21"/>
          <w:highlight w:val="none"/>
        </w:rPr>
        <w:t>。</w:t>
      </w:r>
    </w:p>
    <w:p w14:paraId="3EAF5F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诉讼</w:t>
      </w:r>
      <w:r>
        <w:rPr>
          <w:rFonts w:hint="eastAsia" w:ascii="宋体" w:hAnsi="宋体" w:eastAsia="宋体" w:cs="宋体"/>
          <w:color w:val="000000"/>
          <w:sz w:val="21"/>
          <w:szCs w:val="21"/>
          <w:highlight w:val="none"/>
        </w:rPr>
        <w:t>期间，本合同</w:t>
      </w:r>
      <w:r>
        <w:rPr>
          <w:rFonts w:hint="eastAsia" w:ascii="宋体" w:hAnsi="宋体" w:eastAsia="宋体" w:cs="宋体"/>
          <w:color w:val="000000"/>
          <w:sz w:val="21"/>
          <w:szCs w:val="21"/>
          <w:highlight w:val="none"/>
          <w:lang w:val="en-US" w:eastAsia="zh-CN"/>
        </w:rPr>
        <w:t>不受争议部分可</w:t>
      </w:r>
      <w:r>
        <w:rPr>
          <w:rFonts w:hint="eastAsia" w:ascii="宋体" w:hAnsi="宋体" w:eastAsia="宋体" w:cs="宋体"/>
          <w:color w:val="000000"/>
          <w:sz w:val="21"/>
          <w:szCs w:val="21"/>
          <w:highlight w:val="none"/>
        </w:rPr>
        <w:t>继续履行。</w:t>
      </w:r>
    </w:p>
    <w:p w14:paraId="4220B3B8">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w:t>
      </w:r>
      <w:r>
        <w:rPr>
          <w:rFonts w:hint="eastAsia" w:ascii="宋体" w:hAnsi="宋体" w:eastAsia="宋体" w:cs="宋体"/>
          <w:b/>
          <w:color w:val="000000"/>
          <w:sz w:val="21"/>
          <w:szCs w:val="21"/>
          <w:highlight w:val="none"/>
          <w:lang w:val="en-US" w:eastAsia="zh-CN"/>
        </w:rPr>
        <w:t>十一</w:t>
      </w:r>
      <w:r>
        <w:rPr>
          <w:rFonts w:hint="eastAsia" w:ascii="宋体" w:hAnsi="宋体" w:eastAsia="宋体" w:cs="宋体"/>
          <w:b/>
          <w:color w:val="000000"/>
          <w:sz w:val="21"/>
          <w:szCs w:val="21"/>
          <w:highlight w:val="none"/>
        </w:rPr>
        <w:t>条 合同生效及其它</w:t>
      </w:r>
    </w:p>
    <w:p w14:paraId="03A6D9C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1.合同经双方法定代表人或授权代表（委托代理人）签字</w:t>
      </w:r>
      <w:r>
        <w:rPr>
          <w:rFonts w:hint="eastAsia" w:ascii="宋体" w:hAnsi="宋体" w:eastAsia="宋体" w:cs="宋体"/>
          <w:b w:val="0"/>
          <w:bCs/>
          <w:color w:val="000000"/>
          <w:sz w:val="21"/>
          <w:szCs w:val="21"/>
          <w:highlight w:val="none"/>
          <w:lang w:val="en-US" w:eastAsia="zh-CN"/>
        </w:rPr>
        <w:t>或盖章</w:t>
      </w:r>
      <w:r>
        <w:rPr>
          <w:rFonts w:hint="eastAsia" w:ascii="宋体" w:hAnsi="宋体" w:eastAsia="宋体" w:cs="宋体"/>
          <w:b w:val="0"/>
          <w:bCs/>
          <w:color w:val="000000"/>
          <w:sz w:val="21"/>
          <w:szCs w:val="21"/>
          <w:highlight w:val="none"/>
        </w:rPr>
        <w:t>并加盖单位公章后生效。</w:t>
      </w:r>
    </w:p>
    <w:p w14:paraId="4ACBBF5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2.</w:t>
      </w:r>
      <w:r>
        <w:rPr>
          <w:rFonts w:hint="eastAsia" w:ascii="宋体" w:hAnsi="宋体" w:eastAsia="宋体" w:cs="宋体"/>
          <w:b w:val="0"/>
          <w:bCs/>
          <w:color w:val="000000"/>
          <w:sz w:val="21"/>
          <w:szCs w:val="21"/>
          <w:highlight w:val="none"/>
          <w:lang w:val="en-US" w:eastAsia="zh-CN"/>
        </w:rPr>
        <w:t>合同执行中涉及采购资金和采购内容修改或补充的，须经北海市政府采购监督管理科审批，并签书面补充协议报政府采购监管部门备案，方可作为主合同不可分割的一部分。</w:t>
      </w:r>
    </w:p>
    <w:p w14:paraId="57BFAD7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3.本合同未尽事宜，遵照《</w:t>
      </w:r>
      <w:r>
        <w:rPr>
          <w:rFonts w:hint="eastAsia" w:ascii="宋体" w:hAnsi="宋体" w:eastAsia="宋体" w:cs="宋体"/>
          <w:b w:val="0"/>
          <w:bCs/>
          <w:color w:val="000000"/>
          <w:sz w:val="21"/>
          <w:szCs w:val="21"/>
          <w:highlight w:val="none"/>
          <w:lang w:eastAsia="zh-CN"/>
        </w:rPr>
        <w:t>中华人民共和国民法典</w:t>
      </w:r>
      <w:r>
        <w:rPr>
          <w:rFonts w:hint="eastAsia" w:ascii="宋体" w:hAnsi="宋体" w:eastAsia="宋体" w:cs="宋体"/>
          <w:b w:val="0"/>
          <w:bCs/>
          <w:color w:val="000000"/>
          <w:sz w:val="21"/>
          <w:szCs w:val="21"/>
          <w:highlight w:val="none"/>
        </w:rPr>
        <w:t>》有关条文执行。</w:t>
      </w:r>
    </w:p>
    <w:p w14:paraId="5016E94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w:t>
      </w:r>
      <w:r>
        <w:rPr>
          <w:rFonts w:hint="eastAsia" w:ascii="宋体" w:hAnsi="宋体" w:eastAsia="宋体" w:cs="宋体"/>
          <w:b/>
          <w:color w:val="000000"/>
          <w:sz w:val="21"/>
          <w:szCs w:val="21"/>
          <w:highlight w:val="none"/>
          <w:lang w:val="en-US" w:eastAsia="zh-CN"/>
        </w:rPr>
        <w:t>二</w:t>
      </w:r>
      <w:r>
        <w:rPr>
          <w:rFonts w:hint="eastAsia" w:ascii="宋体" w:hAnsi="宋体" w:eastAsia="宋体" w:cs="宋体"/>
          <w:b/>
          <w:color w:val="000000"/>
          <w:sz w:val="21"/>
          <w:szCs w:val="21"/>
          <w:highlight w:val="none"/>
        </w:rPr>
        <w:t>条　合同的变更、终止与转让</w:t>
      </w:r>
    </w:p>
    <w:p w14:paraId="6C2DA75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1.除《中华人民共和国政府采购法》第五十条规定的情形外，本合同一经签订，甲乙双方不得擅自变更、中止或终止。</w:t>
      </w:r>
    </w:p>
    <w:p w14:paraId="166340B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2.乙方不得擅自转让其应履行的合同义务。</w:t>
      </w:r>
    </w:p>
    <w:p w14:paraId="683C8E2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w:t>
      </w:r>
      <w:r>
        <w:rPr>
          <w:rFonts w:hint="eastAsia" w:ascii="宋体" w:hAnsi="宋体" w:eastAsia="宋体" w:cs="宋体"/>
          <w:b/>
          <w:color w:val="000000"/>
          <w:sz w:val="21"/>
          <w:szCs w:val="21"/>
          <w:highlight w:val="none"/>
          <w:lang w:val="en-US" w:eastAsia="zh-CN"/>
        </w:rPr>
        <w:t>三</w:t>
      </w:r>
      <w:r>
        <w:rPr>
          <w:rFonts w:hint="eastAsia" w:ascii="宋体" w:hAnsi="宋体" w:eastAsia="宋体" w:cs="宋体"/>
          <w:b/>
          <w:color w:val="000000"/>
          <w:sz w:val="21"/>
          <w:szCs w:val="21"/>
          <w:highlight w:val="none"/>
        </w:rPr>
        <w:t>条　签订本合同依据</w:t>
      </w:r>
    </w:p>
    <w:p w14:paraId="4ED4720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 下述合同附件为本合同不可分割的部分并与本合同具有同等效力：</w:t>
      </w:r>
    </w:p>
    <w:p w14:paraId="0D728A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成交</w:t>
      </w:r>
      <w:r>
        <w:rPr>
          <w:rFonts w:hint="eastAsia" w:ascii="宋体" w:hAnsi="宋体" w:eastAsia="宋体" w:cs="宋体"/>
          <w:color w:val="000000"/>
          <w:sz w:val="21"/>
          <w:szCs w:val="21"/>
          <w:highlight w:val="none"/>
          <w:lang w:val="en-US" w:eastAsia="zh-CN"/>
        </w:rPr>
        <w:t>通知书；</w:t>
      </w:r>
    </w:p>
    <w:p w14:paraId="5E5F15E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（2）乙方提供的</w:t>
      </w:r>
      <w:r>
        <w:rPr>
          <w:rFonts w:hint="eastAsia" w:ascii="宋体" w:hAnsi="宋体" w:cs="宋体"/>
          <w:color w:val="000000"/>
          <w:sz w:val="21"/>
          <w:szCs w:val="21"/>
          <w:highlight w:val="none"/>
          <w:lang w:val="en-US" w:eastAsia="zh-CN"/>
        </w:rPr>
        <w:t>响应</w:t>
      </w:r>
      <w:r>
        <w:rPr>
          <w:rFonts w:hint="eastAsia" w:ascii="宋体" w:hAnsi="宋体" w:eastAsia="宋体" w:cs="宋体"/>
          <w:color w:val="000000"/>
          <w:sz w:val="21"/>
          <w:szCs w:val="21"/>
          <w:highlight w:val="none"/>
          <w:lang w:val="en-US" w:eastAsia="zh-CN"/>
        </w:rPr>
        <w:t>文件；</w:t>
      </w:r>
    </w:p>
    <w:p w14:paraId="47CF4C9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cs="宋体"/>
          <w:color w:val="000000"/>
          <w:sz w:val="21"/>
          <w:szCs w:val="21"/>
          <w:highlight w:val="none"/>
          <w:lang w:val="en-US" w:eastAsia="zh-CN"/>
        </w:rPr>
        <w:t>采购</w:t>
      </w:r>
      <w:r>
        <w:rPr>
          <w:rFonts w:hint="eastAsia" w:ascii="宋体" w:hAnsi="宋体" w:eastAsia="宋体" w:cs="宋体"/>
          <w:color w:val="000000"/>
          <w:sz w:val="21"/>
          <w:szCs w:val="21"/>
          <w:highlight w:val="none"/>
          <w:lang w:val="en-US" w:eastAsia="zh-CN"/>
        </w:rPr>
        <w:t>文件。</w:t>
      </w:r>
    </w:p>
    <w:p w14:paraId="6E4839CE">
      <w:pPr>
        <w:pStyle w:val="34"/>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第十</w:t>
      </w:r>
      <w:r>
        <w:rPr>
          <w:rFonts w:hint="eastAsia" w:hAnsi="宋体" w:eastAsia="宋体" w:cs="宋体"/>
          <w:b/>
          <w:color w:val="000000"/>
          <w:sz w:val="21"/>
          <w:szCs w:val="21"/>
          <w:highlight w:val="none"/>
          <w:lang w:val="en-US" w:eastAsia="zh-CN"/>
        </w:rPr>
        <w:t>四</w:t>
      </w:r>
      <w:r>
        <w:rPr>
          <w:rFonts w:hint="eastAsia" w:ascii="宋体" w:hAnsi="宋体" w:eastAsia="宋体" w:cs="宋体"/>
          <w:b/>
          <w:color w:val="000000"/>
          <w:sz w:val="21"/>
          <w:szCs w:val="21"/>
          <w:highlight w:val="none"/>
        </w:rPr>
        <w:t>条</w:t>
      </w:r>
      <w:r>
        <w:rPr>
          <w:rFonts w:hint="eastAsia" w:ascii="宋体" w:hAnsi="宋体" w:eastAsia="宋体" w:cs="宋体"/>
          <w:b/>
          <w:color w:val="000000"/>
          <w:sz w:val="21"/>
          <w:szCs w:val="21"/>
          <w:highlight w:val="none"/>
          <w:lang w:val="en-US" w:eastAsia="zh-CN"/>
        </w:rPr>
        <w:t xml:space="preserve">  </w:t>
      </w:r>
      <w:r>
        <w:rPr>
          <w:rFonts w:hint="eastAsia" w:ascii="宋体" w:hAnsi="宋体" w:eastAsia="宋体" w:cs="宋体"/>
          <w:color w:val="000000"/>
          <w:sz w:val="21"/>
          <w:szCs w:val="21"/>
          <w:highlight w:val="none"/>
        </w:rPr>
        <w:t>本合同一式</w:t>
      </w: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份，</w:t>
      </w:r>
      <w:r>
        <w:rPr>
          <w:rFonts w:hint="eastAsia" w:ascii="宋体" w:hAnsi="宋体" w:eastAsia="宋体" w:cs="宋体"/>
          <w:color w:val="000000"/>
          <w:spacing w:val="4"/>
          <w:sz w:val="21"/>
          <w:szCs w:val="21"/>
          <w:highlight w:val="none"/>
        </w:rPr>
        <w:t>采购代理机构</w:t>
      </w:r>
      <w:r>
        <w:rPr>
          <w:rFonts w:hint="eastAsia" w:ascii="宋体" w:hAnsi="宋体" w:eastAsia="宋体" w:cs="宋体"/>
          <w:color w:val="000000"/>
          <w:sz w:val="21"/>
          <w:szCs w:val="21"/>
          <w:highlight w:val="none"/>
        </w:rPr>
        <w:t>一份，甲</w:t>
      </w:r>
      <w:r>
        <w:rPr>
          <w:rFonts w:hint="eastAsia" w:ascii="宋体" w:hAnsi="宋体" w:eastAsia="宋体" w:cs="宋体"/>
          <w:color w:val="000000"/>
          <w:sz w:val="21"/>
          <w:szCs w:val="21"/>
          <w:highlight w:val="none"/>
          <w:lang w:eastAsia="zh-CN"/>
        </w:rPr>
        <w:t>方</w:t>
      </w: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lang w:eastAsia="zh-CN"/>
        </w:rPr>
        <w:t>份，</w:t>
      </w:r>
      <w:r>
        <w:rPr>
          <w:rFonts w:hint="eastAsia" w:ascii="宋体" w:hAnsi="宋体" w:eastAsia="宋体" w:cs="宋体"/>
          <w:color w:val="000000"/>
          <w:sz w:val="21"/>
          <w:szCs w:val="21"/>
          <w:highlight w:val="none"/>
        </w:rPr>
        <w:t>乙方</w:t>
      </w: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份（可根据需要另增加）。</w:t>
      </w:r>
    </w:p>
    <w:p w14:paraId="27C746DF">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lang w:val="en-US" w:eastAsia="zh-CN"/>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4BC0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516" w:type="dxa"/>
            <w:noWrap w:val="0"/>
            <w:vAlign w:val="center"/>
          </w:tcPr>
          <w:p w14:paraId="2BC9B832">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甲方（章）           </w:t>
            </w:r>
          </w:p>
          <w:p w14:paraId="18735A1F">
            <w:pPr>
              <w:keepNext w:val="0"/>
              <w:widowControl w:val="0"/>
              <w:kinsoku/>
              <w:overflowPunct/>
              <w:topLinePunct w:val="0"/>
              <w:bidi w:val="0"/>
              <w:adjustRightInd w:val="0"/>
              <w:snapToGrid w:val="0"/>
              <w:spacing w:line="400" w:lineRule="exact"/>
              <w:ind w:firstLine="945" w:firstLineChars="450"/>
              <w:jc w:val="right"/>
              <w:textAlignment w:val="auto"/>
              <w:rPr>
                <w:rFonts w:hint="eastAsia" w:ascii="宋体" w:hAnsi="宋体" w:eastAsia="宋体" w:cs="宋体"/>
                <w:color w:val="000000"/>
                <w:sz w:val="21"/>
                <w:szCs w:val="21"/>
                <w:highlight w:val="none"/>
              </w:rPr>
            </w:pPr>
          </w:p>
        </w:tc>
        <w:tc>
          <w:tcPr>
            <w:tcW w:w="4772" w:type="dxa"/>
            <w:noWrap w:val="0"/>
            <w:vAlign w:val="center"/>
          </w:tcPr>
          <w:p w14:paraId="79F30703">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乙方（章）              </w:t>
            </w:r>
          </w:p>
          <w:p w14:paraId="72931426">
            <w:pPr>
              <w:keepNext w:val="0"/>
              <w:widowControl w:val="0"/>
              <w:kinsoku/>
              <w:overflowPunct/>
              <w:topLinePunct w:val="0"/>
              <w:bidi w:val="0"/>
              <w:adjustRightInd w:val="0"/>
              <w:snapToGrid w:val="0"/>
              <w:spacing w:line="400" w:lineRule="exact"/>
              <w:jc w:val="both"/>
              <w:textAlignment w:val="auto"/>
              <w:rPr>
                <w:rFonts w:hint="eastAsia" w:ascii="宋体" w:hAnsi="宋体" w:eastAsia="宋体" w:cs="宋体"/>
                <w:color w:val="000000"/>
                <w:sz w:val="21"/>
                <w:szCs w:val="21"/>
                <w:highlight w:val="none"/>
              </w:rPr>
            </w:pPr>
          </w:p>
        </w:tc>
      </w:tr>
      <w:tr w14:paraId="64C1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4516" w:type="dxa"/>
            <w:noWrap w:val="0"/>
            <w:vAlign w:val="center"/>
          </w:tcPr>
          <w:p w14:paraId="505DC557">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tc>
        <w:tc>
          <w:tcPr>
            <w:tcW w:w="4772" w:type="dxa"/>
            <w:noWrap w:val="0"/>
            <w:vAlign w:val="center"/>
          </w:tcPr>
          <w:p w14:paraId="231D9220">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w:t>
            </w:r>
          </w:p>
        </w:tc>
      </w:tr>
      <w:tr w14:paraId="277A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4516" w:type="dxa"/>
            <w:noWrap w:val="0"/>
            <w:vAlign w:val="center"/>
          </w:tcPr>
          <w:p w14:paraId="651DF3BA">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法定代表人（负责人）：</w:t>
            </w:r>
          </w:p>
        </w:tc>
        <w:tc>
          <w:tcPr>
            <w:tcW w:w="4772" w:type="dxa"/>
            <w:noWrap w:val="0"/>
            <w:vAlign w:val="center"/>
          </w:tcPr>
          <w:p w14:paraId="1F30379D">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法定代表人（负责人）：</w:t>
            </w:r>
          </w:p>
        </w:tc>
      </w:tr>
      <w:tr w14:paraId="7159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4516" w:type="dxa"/>
            <w:noWrap w:val="0"/>
            <w:vAlign w:val="center"/>
          </w:tcPr>
          <w:p w14:paraId="69849776">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w:t>
            </w:r>
          </w:p>
        </w:tc>
        <w:tc>
          <w:tcPr>
            <w:tcW w:w="4772" w:type="dxa"/>
            <w:noWrap w:val="0"/>
            <w:vAlign w:val="center"/>
          </w:tcPr>
          <w:p w14:paraId="033C73ED">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w:t>
            </w:r>
          </w:p>
        </w:tc>
      </w:tr>
      <w:tr w14:paraId="13E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4516" w:type="dxa"/>
            <w:noWrap w:val="0"/>
            <w:vAlign w:val="center"/>
          </w:tcPr>
          <w:p w14:paraId="3EAA520B">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tc>
        <w:tc>
          <w:tcPr>
            <w:tcW w:w="4772" w:type="dxa"/>
            <w:noWrap w:val="0"/>
            <w:vAlign w:val="center"/>
          </w:tcPr>
          <w:p w14:paraId="5BA51456">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tc>
      </w:tr>
      <w:tr w14:paraId="0AF8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5873672D">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电子邮箱：</w:t>
            </w:r>
          </w:p>
        </w:tc>
        <w:tc>
          <w:tcPr>
            <w:tcW w:w="4772" w:type="dxa"/>
            <w:noWrap w:val="0"/>
            <w:vAlign w:val="center"/>
          </w:tcPr>
          <w:p w14:paraId="5A669F44">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电子邮箱：</w:t>
            </w:r>
          </w:p>
        </w:tc>
      </w:tr>
      <w:tr w14:paraId="3170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7257478">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p>
        </w:tc>
        <w:tc>
          <w:tcPr>
            <w:tcW w:w="4772" w:type="dxa"/>
            <w:noWrap w:val="0"/>
            <w:vAlign w:val="center"/>
          </w:tcPr>
          <w:p w14:paraId="561AD741">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p>
        </w:tc>
      </w:tr>
      <w:tr w14:paraId="4D13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CA0B3EB">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账号：</w:t>
            </w:r>
          </w:p>
        </w:tc>
        <w:tc>
          <w:tcPr>
            <w:tcW w:w="4772" w:type="dxa"/>
            <w:noWrap w:val="0"/>
            <w:vAlign w:val="center"/>
          </w:tcPr>
          <w:p w14:paraId="39E738EB">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账号：</w:t>
            </w:r>
          </w:p>
        </w:tc>
      </w:tr>
      <w:tr w14:paraId="1D3D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4A10A25">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p>
        </w:tc>
        <w:tc>
          <w:tcPr>
            <w:tcW w:w="4772" w:type="dxa"/>
            <w:noWrap w:val="0"/>
            <w:vAlign w:val="center"/>
          </w:tcPr>
          <w:p w14:paraId="4AE85AD0">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邮政编码：</w:t>
            </w:r>
          </w:p>
        </w:tc>
      </w:tr>
      <w:tr w14:paraId="18B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288" w:type="dxa"/>
            <w:gridSpan w:val="2"/>
            <w:noWrap w:val="0"/>
            <w:vAlign w:val="top"/>
          </w:tcPr>
          <w:p w14:paraId="71AC1EE7">
            <w:pPr>
              <w:keepNext w:val="0"/>
              <w:widowControl w:val="0"/>
              <w:kinsoku/>
              <w:wordWrap w:val="0"/>
              <w:overflowPunct/>
              <w:topLinePunct w:val="0"/>
              <w:bidi w:val="0"/>
              <w:adjustRightInd w:val="0"/>
              <w:snapToGrid w:val="0"/>
              <w:spacing w:line="400" w:lineRule="exact"/>
              <w:ind w:firstLine="630" w:firstLineChars="300"/>
              <w:jc w:val="righ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909BDA9">
            <w:pPr>
              <w:keepNext w:val="0"/>
              <w:widowControl w:val="0"/>
              <w:kinsoku/>
              <w:overflowPunct/>
              <w:topLinePunct w:val="0"/>
              <w:bidi w:val="0"/>
              <w:adjustRightInd w:val="0"/>
              <w:snapToGrid w:val="0"/>
              <w:spacing w:line="400" w:lineRule="exact"/>
              <w:ind w:firstLine="630" w:firstLineChars="300"/>
              <w:jc w:val="righ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    月    日</w:t>
            </w:r>
          </w:p>
        </w:tc>
      </w:tr>
    </w:tbl>
    <w:p w14:paraId="5AFDFD48">
      <w:pPr>
        <w:bidi w:val="0"/>
        <w:rPr>
          <w:rFonts w:hint="eastAsia"/>
          <w:highlight w:val="none"/>
        </w:rPr>
      </w:pPr>
    </w:p>
    <w:p w14:paraId="30C3A9F2">
      <w:pPr>
        <w:numPr>
          <w:ilvl w:val="0"/>
          <w:numId w:val="0"/>
        </w:numPr>
        <w:ind w:left="432" w:leftChars="0" w:hanging="432" w:firstLineChars="0"/>
        <w:outlineLvl w:val="9"/>
        <w:rPr>
          <w:rFonts w:hint="eastAsia"/>
          <w:highlight w:val="none"/>
        </w:rPr>
      </w:pPr>
    </w:p>
    <w:p w14:paraId="3357457E">
      <w:pPr>
        <w:outlineLvl w:val="9"/>
        <w:rPr>
          <w:rFonts w:hint="eastAsia"/>
          <w:highlight w:val="none"/>
        </w:rPr>
      </w:pPr>
    </w:p>
    <w:p w14:paraId="13987A52">
      <w:pPr>
        <w:numPr>
          <w:ilvl w:val="0"/>
          <w:numId w:val="0"/>
        </w:numPr>
        <w:tabs>
          <w:tab w:val="left" w:pos="432"/>
        </w:tabs>
        <w:ind w:leftChars="0"/>
        <w:outlineLvl w:val="9"/>
        <w:rPr>
          <w:rFonts w:hint="eastAsia"/>
          <w:highlight w:val="none"/>
        </w:rPr>
      </w:pPr>
    </w:p>
    <w:p w14:paraId="6729A556">
      <w:pPr>
        <w:outlineLvl w:val="9"/>
        <w:rPr>
          <w:rFonts w:hint="eastAsia"/>
          <w:highlight w:val="none"/>
        </w:rPr>
      </w:pPr>
    </w:p>
    <w:p w14:paraId="59836874">
      <w:pPr>
        <w:numPr>
          <w:ilvl w:val="0"/>
          <w:numId w:val="0"/>
        </w:numPr>
        <w:tabs>
          <w:tab w:val="left" w:pos="432"/>
        </w:tabs>
        <w:ind w:leftChars="0"/>
        <w:outlineLvl w:val="9"/>
        <w:rPr>
          <w:rFonts w:hint="eastAsia"/>
          <w:highlight w:val="none"/>
        </w:rPr>
      </w:pPr>
    </w:p>
    <w:p w14:paraId="1BACBE38">
      <w:pPr>
        <w:outlineLvl w:val="9"/>
        <w:rPr>
          <w:rFonts w:hint="eastAsia"/>
          <w:highlight w:val="none"/>
        </w:rPr>
      </w:pPr>
    </w:p>
    <w:p w14:paraId="27629E14">
      <w:pPr>
        <w:numPr>
          <w:ilvl w:val="0"/>
          <w:numId w:val="0"/>
        </w:numPr>
        <w:tabs>
          <w:tab w:val="left" w:pos="432"/>
        </w:tabs>
        <w:ind w:leftChars="0"/>
        <w:outlineLvl w:val="9"/>
        <w:rPr>
          <w:rFonts w:hint="eastAsia"/>
          <w:highlight w:val="none"/>
        </w:rPr>
      </w:pPr>
    </w:p>
    <w:p w14:paraId="7B0ABBFC">
      <w:pPr>
        <w:outlineLvl w:val="9"/>
        <w:rPr>
          <w:rFonts w:hint="eastAsia"/>
          <w:highlight w:val="none"/>
        </w:rPr>
      </w:pPr>
    </w:p>
    <w:p w14:paraId="647752B4">
      <w:pPr>
        <w:outlineLvl w:val="9"/>
        <w:rPr>
          <w:rFonts w:hint="eastAsia"/>
          <w:highlight w:val="none"/>
        </w:rPr>
      </w:pPr>
    </w:p>
    <w:p w14:paraId="1CFC0A06">
      <w:pPr>
        <w:outlineLvl w:val="9"/>
        <w:rPr>
          <w:rFonts w:hint="eastAsia"/>
          <w:highlight w:val="none"/>
        </w:rPr>
      </w:pPr>
    </w:p>
    <w:p w14:paraId="5D5F525C">
      <w:pPr>
        <w:numPr>
          <w:ilvl w:val="0"/>
          <w:numId w:val="0"/>
        </w:numPr>
        <w:tabs>
          <w:tab w:val="left" w:pos="432"/>
        </w:tabs>
        <w:ind w:leftChars="0"/>
        <w:outlineLvl w:val="9"/>
        <w:rPr>
          <w:rFonts w:hint="eastAsia"/>
          <w:highlight w:val="none"/>
        </w:rPr>
      </w:pPr>
    </w:p>
    <w:p w14:paraId="4D9FFC59">
      <w:pPr>
        <w:outlineLvl w:val="9"/>
        <w:rPr>
          <w:rFonts w:hint="eastAsia"/>
          <w:highlight w:val="none"/>
        </w:rPr>
      </w:pPr>
    </w:p>
    <w:p w14:paraId="0D1BFC62">
      <w:pPr>
        <w:numPr>
          <w:ilvl w:val="0"/>
          <w:numId w:val="0"/>
        </w:numPr>
        <w:tabs>
          <w:tab w:val="left" w:pos="432"/>
        </w:tabs>
        <w:ind w:leftChars="0"/>
        <w:outlineLvl w:val="9"/>
        <w:rPr>
          <w:rFonts w:hint="eastAsia"/>
          <w:highlight w:val="none"/>
        </w:rPr>
      </w:pPr>
    </w:p>
    <w:p w14:paraId="558E4F6A">
      <w:pPr>
        <w:outlineLvl w:val="9"/>
        <w:rPr>
          <w:rFonts w:hint="eastAsia"/>
          <w:highlight w:val="none"/>
        </w:rPr>
      </w:pPr>
    </w:p>
    <w:p w14:paraId="76D089D9">
      <w:pPr>
        <w:numPr>
          <w:ilvl w:val="0"/>
          <w:numId w:val="0"/>
        </w:numPr>
        <w:tabs>
          <w:tab w:val="left" w:pos="432"/>
        </w:tabs>
        <w:ind w:leftChars="0"/>
        <w:outlineLvl w:val="9"/>
        <w:rPr>
          <w:rFonts w:hint="eastAsia"/>
          <w:highlight w:val="none"/>
        </w:rPr>
      </w:pPr>
    </w:p>
    <w:p w14:paraId="063DFD32">
      <w:pPr>
        <w:outlineLvl w:val="9"/>
        <w:rPr>
          <w:rFonts w:hint="eastAsia"/>
          <w:highlight w:val="none"/>
        </w:rPr>
      </w:pPr>
    </w:p>
    <w:p w14:paraId="00696F1E">
      <w:pPr>
        <w:snapToGrid w:val="0"/>
        <w:spacing w:line="360" w:lineRule="auto"/>
        <w:jc w:val="center"/>
        <w:outlineLvl w:val="9"/>
        <w:rPr>
          <w:rFonts w:hint="eastAsia" w:ascii="宋体" w:hAnsi="宋体" w:eastAsia="宋体" w:cs="宋体"/>
          <w:b/>
          <w:color w:val="000000"/>
          <w:sz w:val="32"/>
          <w:szCs w:val="32"/>
          <w:highlight w:val="none"/>
        </w:rPr>
      </w:pPr>
    </w:p>
    <w:p w14:paraId="5F78A4A0">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29CF85F3">
      <w:pPr>
        <w:snapToGrid w:val="0"/>
        <w:spacing w:line="360" w:lineRule="auto"/>
        <w:jc w:val="center"/>
        <w:outlineLvl w:val="9"/>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合 同 附 件</w:t>
      </w:r>
    </w:p>
    <w:tbl>
      <w:tblPr>
        <w:tblStyle w:val="62"/>
        <w:tblW w:w="0" w:type="auto"/>
        <w:jc w:val="center"/>
        <w:tblLayout w:type="fixed"/>
        <w:tblCellMar>
          <w:top w:w="0" w:type="dxa"/>
          <w:left w:w="108" w:type="dxa"/>
          <w:bottom w:w="0" w:type="dxa"/>
          <w:right w:w="108" w:type="dxa"/>
        </w:tblCellMar>
      </w:tblPr>
      <w:tblGrid>
        <w:gridCol w:w="4373"/>
        <w:gridCol w:w="4812"/>
      </w:tblGrid>
      <w:tr w14:paraId="133EE330">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09671B67">
            <w:pPr>
              <w:numPr>
                <w:ilvl w:val="0"/>
                <w:numId w:val="0"/>
              </w:numPr>
              <w:snapToGrid w:val="0"/>
              <w:spacing w:line="360" w:lineRule="auto"/>
              <w:outlineLvl w:val="9"/>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1.</w:t>
            </w:r>
            <w:r>
              <w:rPr>
                <w:rFonts w:hint="eastAsia" w:ascii="宋体" w:hAnsi="宋体" w:cs="宋体"/>
                <w:b/>
                <w:color w:val="000000"/>
                <w:szCs w:val="21"/>
                <w:highlight w:val="none"/>
                <w:lang w:val="en-US" w:eastAsia="zh-CN"/>
              </w:rPr>
              <w:t>供应商</w:t>
            </w:r>
            <w:r>
              <w:rPr>
                <w:rFonts w:hint="eastAsia" w:ascii="宋体" w:hAnsi="宋体" w:eastAsia="宋体" w:cs="宋体"/>
                <w:b/>
                <w:color w:val="000000"/>
                <w:szCs w:val="21"/>
                <w:highlight w:val="none"/>
              </w:rPr>
              <w:t>承诺具体事项：</w:t>
            </w:r>
          </w:p>
          <w:p w14:paraId="6FD33F77">
            <w:pPr>
              <w:snapToGrid w:val="0"/>
              <w:spacing w:line="360" w:lineRule="auto"/>
              <w:outlineLvl w:val="9"/>
              <w:rPr>
                <w:rFonts w:hint="eastAsia" w:ascii="宋体" w:hAnsi="宋体" w:eastAsia="宋体" w:cs="宋体"/>
                <w:b/>
                <w:color w:val="000000"/>
                <w:szCs w:val="21"/>
                <w:highlight w:val="none"/>
              </w:rPr>
            </w:pPr>
          </w:p>
          <w:p w14:paraId="090E9A5B">
            <w:pPr>
              <w:snapToGrid w:val="0"/>
              <w:spacing w:line="360" w:lineRule="auto"/>
              <w:outlineLvl w:val="9"/>
              <w:rPr>
                <w:rFonts w:hint="eastAsia" w:ascii="宋体" w:hAnsi="宋体" w:eastAsia="宋体" w:cs="宋体"/>
                <w:b/>
                <w:color w:val="000000"/>
                <w:szCs w:val="21"/>
                <w:highlight w:val="none"/>
              </w:rPr>
            </w:pPr>
          </w:p>
          <w:p w14:paraId="712E19A0">
            <w:pPr>
              <w:snapToGrid w:val="0"/>
              <w:spacing w:line="360" w:lineRule="auto"/>
              <w:outlineLvl w:val="9"/>
              <w:rPr>
                <w:rFonts w:hint="eastAsia" w:ascii="宋体" w:hAnsi="宋体" w:eastAsia="宋体" w:cs="宋体"/>
                <w:b/>
                <w:color w:val="000000"/>
                <w:szCs w:val="21"/>
                <w:highlight w:val="none"/>
              </w:rPr>
            </w:pPr>
          </w:p>
          <w:p w14:paraId="33C7F480">
            <w:pPr>
              <w:snapToGrid w:val="0"/>
              <w:spacing w:line="360" w:lineRule="auto"/>
              <w:outlineLvl w:val="9"/>
              <w:rPr>
                <w:rFonts w:hint="eastAsia" w:ascii="宋体" w:hAnsi="宋体" w:eastAsia="宋体" w:cs="宋体"/>
                <w:b/>
                <w:color w:val="000000"/>
                <w:szCs w:val="21"/>
                <w:highlight w:val="none"/>
              </w:rPr>
            </w:pPr>
          </w:p>
          <w:p w14:paraId="3F805004">
            <w:pPr>
              <w:snapToGrid w:val="0"/>
              <w:spacing w:line="360" w:lineRule="auto"/>
              <w:outlineLvl w:val="9"/>
              <w:rPr>
                <w:rFonts w:hint="eastAsia" w:ascii="宋体" w:hAnsi="宋体" w:eastAsia="宋体" w:cs="宋体"/>
                <w:b/>
                <w:color w:val="000000"/>
                <w:szCs w:val="21"/>
                <w:highlight w:val="none"/>
              </w:rPr>
            </w:pPr>
          </w:p>
        </w:tc>
      </w:tr>
      <w:tr w14:paraId="417B0986">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2BBFFC89">
            <w:pPr>
              <w:numPr>
                <w:ilvl w:val="0"/>
                <w:numId w:val="0"/>
              </w:numPr>
              <w:snapToGrid w:val="0"/>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2.服务</w:t>
            </w:r>
            <w:r>
              <w:rPr>
                <w:rFonts w:hint="eastAsia" w:ascii="宋体" w:hAnsi="宋体" w:eastAsia="宋体" w:cs="宋体"/>
                <w:b/>
                <w:color w:val="000000"/>
                <w:szCs w:val="21"/>
                <w:highlight w:val="none"/>
              </w:rPr>
              <w:t>期责任：</w:t>
            </w:r>
          </w:p>
          <w:p w14:paraId="22EE5596">
            <w:pPr>
              <w:snapToGrid w:val="0"/>
              <w:spacing w:line="360" w:lineRule="auto"/>
              <w:rPr>
                <w:rFonts w:hint="eastAsia" w:ascii="宋体" w:hAnsi="宋体" w:eastAsia="宋体" w:cs="宋体"/>
                <w:b/>
                <w:color w:val="000000"/>
                <w:szCs w:val="21"/>
                <w:highlight w:val="none"/>
              </w:rPr>
            </w:pPr>
          </w:p>
          <w:p w14:paraId="1AB12679">
            <w:pPr>
              <w:snapToGrid w:val="0"/>
              <w:spacing w:line="360" w:lineRule="auto"/>
              <w:rPr>
                <w:rFonts w:hint="eastAsia" w:ascii="宋体" w:hAnsi="宋体" w:eastAsia="宋体" w:cs="宋体"/>
                <w:b/>
                <w:color w:val="000000"/>
                <w:szCs w:val="21"/>
                <w:highlight w:val="none"/>
              </w:rPr>
            </w:pPr>
          </w:p>
          <w:p w14:paraId="1959FE88">
            <w:pPr>
              <w:snapToGrid w:val="0"/>
              <w:spacing w:line="360" w:lineRule="auto"/>
              <w:rPr>
                <w:rFonts w:hint="eastAsia" w:ascii="宋体" w:hAnsi="宋体" w:eastAsia="宋体" w:cs="宋体"/>
                <w:b/>
                <w:color w:val="000000"/>
                <w:szCs w:val="21"/>
                <w:highlight w:val="none"/>
              </w:rPr>
            </w:pPr>
          </w:p>
          <w:p w14:paraId="74161F67">
            <w:pPr>
              <w:snapToGrid w:val="0"/>
              <w:spacing w:line="360" w:lineRule="auto"/>
              <w:rPr>
                <w:rFonts w:hint="eastAsia" w:ascii="宋体" w:hAnsi="宋体" w:eastAsia="宋体" w:cs="宋体"/>
                <w:b/>
                <w:color w:val="000000"/>
                <w:szCs w:val="21"/>
                <w:highlight w:val="none"/>
              </w:rPr>
            </w:pPr>
          </w:p>
          <w:p w14:paraId="03C985CC">
            <w:pPr>
              <w:snapToGrid w:val="0"/>
              <w:spacing w:line="360" w:lineRule="auto"/>
              <w:rPr>
                <w:rFonts w:hint="eastAsia" w:ascii="宋体" w:hAnsi="宋体" w:eastAsia="宋体" w:cs="宋体"/>
                <w:b/>
                <w:color w:val="000000"/>
                <w:szCs w:val="21"/>
                <w:highlight w:val="none"/>
              </w:rPr>
            </w:pPr>
          </w:p>
        </w:tc>
      </w:tr>
      <w:tr w14:paraId="6DD8594F">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noWrap w:val="0"/>
            <w:vAlign w:val="top"/>
          </w:tcPr>
          <w:p w14:paraId="5308AF1F">
            <w:pPr>
              <w:numPr>
                <w:ilvl w:val="0"/>
                <w:numId w:val="0"/>
              </w:numPr>
              <w:snapToGrid w:val="0"/>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3.</w:t>
            </w:r>
            <w:r>
              <w:rPr>
                <w:rFonts w:hint="eastAsia" w:ascii="宋体" w:hAnsi="宋体" w:eastAsia="宋体" w:cs="宋体"/>
                <w:b/>
                <w:color w:val="000000"/>
                <w:szCs w:val="21"/>
                <w:highlight w:val="none"/>
              </w:rPr>
              <w:t>其他具体事项：</w:t>
            </w:r>
          </w:p>
          <w:p w14:paraId="73F45047">
            <w:pPr>
              <w:snapToGrid w:val="0"/>
              <w:spacing w:line="360" w:lineRule="auto"/>
              <w:rPr>
                <w:rFonts w:hint="eastAsia" w:ascii="宋体" w:hAnsi="宋体" w:eastAsia="宋体" w:cs="宋体"/>
                <w:b/>
                <w:color w:val="000000"/>
                <w:szCs w:val="21"/>
                <w:highlight w:val="none"/>
              </w:rPr>
            </w:pPr>
          </w:p>
          <w:p w14:paraId="6830AE89">
            <w:pPr>
              <w:snapToGrid w:val="0"/>
              <w:spacing w:line="360" w:lineRule="auto"/>
              <w:rPr>
                <w:rFonts w:hint="eastAsia" w:ascii="宋体" w:hAnsi="宋体" w:eastAsia="宋体" w:cs="宋体"/>
                <w:b/>
                <w:color w:val="000000"/>
                <w:szCs w:val="21"/>
                <w:highlight w:val="none"/>
              </w:rPr>
            </w:pPr>
          </w:p>
          <w:p w14:paraId="1D770B02">
            <w:pPr>
              <w:snapToGrid w:val="0"/>
              <w:spacing w:line="360" w:lineRule="auto"/>
              <w:rPr>
                <w:rFonts w:hint="eastAsia" w:ascii="宋体" w:hAnsi="宋体" w:eastAsia="宋体" w:cs="宋体"/>
                <w:b/>
                <w:color w:val="000000"/>
                <w:szCs w:val="21"/>
                <w:highlight w:val="none"/>
              </w:rPr>
            </w:pPr>
          </w:p>
          <w:p w14:paraId="1F0B6691">
            <w:pPr>
              <w:snapToGrid w:val="0"/>
              <w:spacing w:line="360" w:lineRule="auto"/>
              <w:rPr>
                <w:rFonts w:hint="eastAsia" w:ascii="宋体" w:hAnsi="宋体" w:eastAsia="宋体" w:cs="宋体"/>
                <w:b/>
                <w:color w:val="000000"/>
                <w:szCs w:val="21"/>
                <w:highlight w:val="none"/>
              </w:rPr>
            </w:pPr>
          </w:p>
          <w:p w14:paraId="659001B8">
            <w:pPr>
              <w:snapToGrid w:val="0"/>
              <w:spacing w:line="360" w:lineRule="auto"/>
              <w:rPr>
                <w:rFonts w:hint="eastAsia" w:ascii="宋体" w:hAnsi="宋体" w:eastAsia="宋体" w:cs="宋体"/>
                <w:b/>
                <w:color w:val="000000"/>
                <w:szCs w:val="21"/>
                <w:highlight w:val="none"/>
              </w:rPr>
            </w:pPr>
          </w:p>
        </w:tc>
      </w:tr>
      <w:tr w14:paraId="40CBA9E7">
        <w:tblPrEx>
          <w:tblCellMar>
            <w:top w:w="0" w:type="dxa"/>
            <w:left w:w="108" w:type="dxa"/>
            <w:bottom w:w="0" w:type="dxa"/>
            <w:right w:w="108" w:type="dxa"/>
          </w:tblCellMar>
        </w:tblPrEx>
        <w:trPr>
          <w:trHeight w:val="2577" w:hRule="atLeast"/>
          <w:jc w:val="center"/>
        </w:trPr>
        <w:tc>
          <w:tcPr>
            <w:tcW w:w="4373" w:type="dxa"/>
            <w:tcBorders>
              <w:top w:val="single" w:color="auto" w:sz="4" w:space="0"/>
              <w:left w:val="single" w:color="auto" w:sz="4" w:space="0"/>
              <w:bottom w:val="single" w:color="auto" w:sz="4" w:space="0"/>
              <w:right w:val="single" w:color="auto" w:sz="4" w:space="0"/>
            </w:tcBorders>
            <w:noWrap w:val="0"/>
            <w:vAlign w:val="center"/>
          </w:tcPr>
          <w:p w14:paraId="33BF4E49">
            <w:pPr>
              <w:snapToGrid w:val="0"/>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甲方（章）</w:t>
            </w:r>
          </w:p>
          <w:p w14:paraId="1C337075">
            <w:pPr>
              <w:snapToGrid w:val="0"/>
              <w:spacing w:line="360" w:lineRule="auto"/>
              <w:ind w:firstLine="422" w:firstLineChars="200"/>
              <w:rPr>
                <w:rFonts w:hint="eastAsia" w:ascii="宋体" w:hAnsi="宋体" w:eastAsia="宋体" w:cs="宋体"/>
                <w:b/>
                <w:color w:val="000000"/>
                <w:szCs w:val="21"/>
                <w:highlight w:val="none"/>
              </w:rPr>
            </w:pPr>
          </w:p>
          <w:p w14:paraId="6160BA1C">
            <w:pPr>
              <w:snapToGrid w:val="0"/>
              <w:spacing w:line="360" w:lineRule="auto"/>
              <w:ind w:firstLine="422" w:firstLineChars="200"/>
              <w:rPr>
                <w:rFonts w:hint="eastAsia" w:ascii="宋体" w:hAnsi="宋体" w:eastAsia="宋体" w:cs="宋体"/>
                <w:b/>
                <w:color w:val="000000"/>
                <w:szCs w:val="21"/>
                <w:highlight w:val="none"/>
              </w:rPr>
            </w:pPr>
          </w:p>
          <w:p w14:paraId="6859A59B">
            <w:pPr>
              <w:snapToGrid w:val="0"/>
              <w:spacing w:line="360" w:lineRule="auto"/>
              <w:ind w:firstLine="422" w:firstLineChars="200"/>
              <w:rPr>
                <w:rFonts w:hint="eastAsia" w:ascii="宋体" w:hAnsi="宋体" w:eastAsia="宋体" w:cs="宋体"/>
                <w:b/>
                <w:color w:val="000000"/>
                <w:szCs w:val="21"/>
                <w:highlight w:val="none"/>
              </w:rPr>
            </w:pPr>
          </w:p>
          <w:p w14:paraId="50C8D804">
            <w:pPr>
              <w:snapToGrid w:val="0"/>
              <w:spacing w:line="360" w:lineRule="auto"/>
              <w:rPr>
                <w:rFonts w:hint="eastAsia" w:ascii="宋体" w:hAnsi="宋体" w:eastAsia="宋体" w:cs="宋体"/>
                <w:b/>
                <w:color w:val="000000"/>
                <w:szCs w:val="21"/>
                <w:highlight w:val="none"/>
              </w:rPr>
            </w:pPr>
          </w:p>
          <w:p w14:paraId="029B9DC9">
            <w:pPr>
              <w:snapToGrid w:val="0"/>
              <w:spacing w:line="360" w:lineRule="auto"/>
              <w:rPr>
                <w:rFonts w:hint="eastAsia" w:ascii="宋体" w:hAnsi="宋体" w:eastAsia="宋体" w:cs="宋体"/>
                <w:b/>
                <w:color w:val="000000"/>
                <w:szCs w:val="21"/>
                <w:highlight w:val="none"/>
              </w:rPr>
            </w:pPr>
          </w:p>
          <w:p w14:paraId="47CFB805">
            <w:pPr>
              <w:snapToGrid w:val="0"/>
              <w:spacing w:line="360" w:lineRule="auto"/>
              <w:rPr>
                <w:rFonts w:hint="eastAsia" w:ascii="宋体" w:hAnsi="宋体" w:eastAsia="宋体" w:cs="宋体"/>
                <w:b/>
                <w:color w:val="000000"/>
                <w:szCs w:val="21"/>
                <w:highlight w:val="none"/>
              </w:rPr>
            </w:pPr>
          </w:p>
          <w:p w14:paraId="6019EFD1">
            <w:pPr>
              <w:snapToGrid w:val="0"/>
              <w:spacing w:line="360" w:lineRule="auto"/>
              <w:rPr>
                <w:rFonts w:hint="eastAsia" w:ascii="宋体" w:hAnsi="宋体" w:eastAsia="宋体" w:cs="宋体"/>
                <w:b/>
                <w:color w:val="000000"/>
                <w:szCs w:val="21"/>
                <w:highlight w:val="none"/>
              </w:rPr>
            </w:pPr>
          </w:p>
          <w:p w14:paraId="1C601E73">
            <w:pPr>
              <w:snapToGrid w:val="0"/>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                 年   月   日 </w:t>
            </w:r>
          </w:p>
        </w:tc>
        <w:tc>
          <w:tcPr>
            <w:tcW w:w="4812" w:type="dxa"/>
            <w:tcBorders>
              <w:top w:val="single" w:color="auto" w:sz="4" w:space="0"/>
              <w:left w:val="single" w:color="auto" w:sz="4" w:space="0"/>
              <w:bottom w:val="single" w:color="auto" w:sz="4" w:space="0"/>
              <w:right w:val="single" w:color="auto" w:sz="4" w:space="0"/>
            </w:tcBorders>
            <w:noWrap w:val="0"/>
            <w:vAlign w:val="center"/>
          </w:tcPr>
          <w:p w14:paraId="65849422">
            <w:pPr>
              <w:snapToGrid w:val="0"/>
              <w:spacing w:line="360" w:lineRule="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乙方（章）</w:t>
            </w:r>
          </w:p>
          <w:p w14:paraId="127DD77D">
            <w:pPr>
              <w:snapToGrid w:val="0"/>
              <w:spacing w:line="360" w:lineRule="auto"/>
              <w:rPr>
                <w:rFonts w:hint="eastAsia" w:ascii="宋体" w:hAnsi="宋体" w:eastAsia="宋体" w:cs="宋体"/>
                <w:b/>
                <w:color w:val="000000"/>
                <w:szCs w:val="21"/>
                <w:highlight w:val="none"/>
              </w:rPr>
            </w:pPr>
          </w:p>
          <w:p w14:paraId="42BD8430">
            <w:pPr>
              <w:snapToGrid w:val="0"/>
              <w:spacing w:line="360" w:lineRule="auto"/>
              <w:rPr>
                <w:rFonts w:hint="eastAsia" w:ascii="宋体" w:hAnsi="宋体" w:eastAsia="宋体" w:cs="宋体"/>
                <w:b/>
                <w:color w:val="000000"/>
                <w:szCs w:val="21"/>
                <w:highlight w:val="none"/>
              </w:rPr>
            </w:pPr>
          </w:p>
          <w:p w14:paraId="554AF6C3">
            <w:pPr>
              <w:snapToGrid w:val="0"/>
              <w:spacing w:line="360" w:lineRule="auto"/>
              <w:rPr>
                <w:rFonts w:hint="eastAsia" w:ascii="宋体" w:hAnsi="宋体" w:eastAsia="宋体" w:cs="宋体"/>
                <w:b/>
                <w:color w:val="000000"/>
                <w:szCs w:val="21"/>
                <w:highlight w:val="none"/>
              </w:rPr>
            </w:pPr>
          </w:p>
          <w:p w14:paraId="1A732150">
            <w:pPr>
              <w:snapToGrid w:val="0"/>
              <w:spacing w:line="360" w:lineRule="auto"/>
              <w:ind w:firstLine="422" w:firstLineChars="200"/>
              <w:rPr>
                <w:rFonts w:hint="eastAsia" w:ascii="宋体" w:hAnsi="宋体" w:eastAsia="宋体" w:cs="宋体"/>
                <w:b/>
                <w:color w:val="000000"/>
                <w:szCs w:val="21"/>
                <w:highlight w:val="none"/>
              </w:rPr>
            </w:pPr>
          </w:p>
          <w:p w14:paraId="408AA7BD">
            <w:pPr>
              <w:snapToGrid w:val="0"/>
              <w:spacing w:line="360" w:lineRule="auto"/>
              <w:ind w:firstLine="422" w:firstLineChars="200"/>
              <w:rPr>
                <w:rFonts w:hint="eastAsia" w:ascii="宋体" w:hAnsi="宋体" w:eastAsia="宋体" w:cs="宋体"/>
                <w:b/>
                <w:color w:val="000000"/>
                <w:szCs w:val="21"/>
                <w:highlight w:val="none"/>
              </w:rPr>
            </w:pPr>
          </w:p>
          <w:p w14:paraId="709E373A">
            <w:pPr>
              <w:snapToGrid w:val="0"/>
              <w:spacing w:line="360" w:lineRule="auto"/>
              <w:ind w:firstLine="422" w:firstLineChars="200"/>
              <w:rPr>
                <w:rFonts w:hint="eastAsia" w:ascii="宋体" w:hAnsi="宋体" w:eastAsia="宋体" w:cs="宋体"/>
                <w:b/>
                <w:color w:val="000000"/>
                <w:szCs w:val="21"/>
                <w:highlight w:val="none"/>
              </w:rPr>
            </w:pPr>
          </w:p>
          <w:p w14:paraId="37933268">
            <w:pPr>
              <w:snapToGrid w:val="0"/>
              <w:spacing w:line="360" w:lineRule="auto"/>
              <w:rPr>
                <w:rFonts w:hint="eastAsia" w:ascii="宋体" w:hAnsi="宋体" w:eastAsia="宋体" w:cs="宋体"/>
                <w:b/>
                <w:color w:val="000000"/>
                <w:szCs w:val="21"/>
                <w:highlight w:val="none"/>
              </w:rPr>
            </w:pPr>
          </w:p>
          <w:p w14:paraId="335486D4">
            <w:pPr>
              <w:snapToGrid w:val="0"/>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                年   月   日</w:t>
            </w:r>
          </w:p>
        </w:tc>
      </w:tr>
    </w:tbl>
    <w:p w14:paraId="2E7179D9">
      <w:pPr>
        <w:snapToGrid w:val="0"/>
        <w:spacing w:beforeLines="20"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注：填不下时可另加附页</w:t>
      </w:r>
    </w:p>
    <w:p w14:paraId="125E918A">
      <w:pPr>
        <w:spacing w:line="360" w:lineRule="auto"/>
        <w:ind w:left="-420" w:leftChars="-200" w:right="-420" w:rightChars="-200" w:firstLine="480" w:firstLineChars="200"/>
        <w:rPr>
          <w:rFonts w:ascii="宋体" w:hAnsi="宋体" w:cs="宋体"/>
          <w:color w:val="000000" w:themeColor="text1"/>
          <w:sz w:val="24"/>
          <w:highlight w:val="none"/>
          <w14:textFill>
            <w14:solidFill>
              <w14:schemeClr w14:val="tx1"/>
            </w14:solidFill>
          </w14:textFill>
        </w:rPr>
      </w:pPr>
    </w:p>
    <w:p w14:paraId="27BA45DA">
      <w:pPr>
        <w:numPr>
          <w:ilvl w:val="0"/>
          <w:numId w:val="0"/>
        </w:numPr>
        <w:tabs>
          <w:tab w:val="left" w:pos="432"/>
        </w:tabs>
        <w:ind w:leftChars="0"/>
        <w:outlineLvl w:val="9"/>
        <w:rPr>
          <w:rFonts w:ascii="宋体" w:hAnsi="宋体" w:cs="宋体"/>
          <w:color w:val="000000" w:themeColor="text1"/>
          <w:sz w:val="24"/>
          <w:highlight w:val="none"/>
          <w14:textFill>
            <w14:solidFill>
              <w14:schemeClr w14:val="tx1"/>
            </w14:solidFill>
          </w14:textFill>
        </w:rPr>
      </w:pPr>
    </w:p>
    <w:p w14:paraId="6456930B">
      <w:pPr>
        <w:rPr>
          <w:highlight w:val="none"/>
        </w:rPr>
      </w:pPr>
    </w:p>
    <w:p w14:paraId="3AD2FF26">
      <w:pPr>
        <w:spacing w:line="360" w:lineRule="auto"/>
        <w:ind w:firstLine="562" w:firstLineChars="200"/>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761C8A02">
      <w:pP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14:paraId="0E550C75">
      <w:pPr>
        <w:snapToGrid w:val="0"/>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72" w:name="_Toc1089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第七部分</w:t>
      </w:r>
      <w:bookmarkEnd w:id="69"/>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w:t>
      </w:r>
      <w:bookmarkEnd w:id="70"/>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应提交的有关格式范例</w:t>
      </w:r>
      <w:bookmarkEnd w:id="72"/>
    </w:p>
    <w:p w14:paraId="055E9E2F">
      <w:pPr>
        <w:pStyle w:val="26"/>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6F3F7B5E">
      <w:pPr>
        <w:spacing w:line="360" w:lineRule="auto"/>
        <w:ind w:firstLine="482"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bCs/>
          <w:color w:val="auto"/>
          <w:sz w:val="24"/>
          <w:szCs w:val="24"/>
          <w:highlight w:val="none"/>
        </w:rPr>
        <w:t>供应商</w:t>
      </w:r>
      <w:r>
        <w:rPr>
          <w:rFonts w:hint="eastAsia" w:cs="仿宋_GB2312" w:asciiTheme="minorEastAsia" w:hAnsiTheme="minorEastAsia" w:eastAsiaTheme="minorEastAsia"/>
          <w:b/>
          <w:bCs/>
          <w:color w:val="auto"/>
          <w:sz w:val="24"/>
          <w:szCs w:val="24"/>
          <w:highlight w:val="none"/>
          <w:lang w:eastAsia="zh-CN"/>
        </w:rPr>
        <w:t>须</w:t>
      </w:r>
      <w:r>
        <w:rPr>
          <w:rFonts w:hint="eastAsia" w:cs="仿宋_GB2312" w:asciiTheme="minorEastAsia" w:hAnsiTheme="minorEastAsia" w:eastAsiaTheme="minorEastAsia"/>
          <w:b/>
          <w:bCs/>
          <w:color w:val="auto"/>
          <w:sz w:val="24"/>
          <w:szCs w:val="24"/>
          <w:highlight w:val="none"/>
        </w:rPr>
        <w:t>按照以下格式编制响应文件。</w:t>
      </w:r>
    </w:p>
    <w:p w14:paraId="2D181781">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14:paraId="27CCC111">
      <w:pPr>
        <w:pStyle w:val="40"/>
        <w:rPr>
          <w:rFonts w:cs="仿宋_GB2312" w:asciiTheme="minorEastAsia" w:hAnsiTheme="minorEastAsia" w:eastAsiaTheme="minorEastAsia"/>
          <w:b/>
          <w:color w:val="auto"/>
          <w:sz w:val="32"/>
          <w:szCs w:val="32"/>
          <w:highlight w:val="none"/>
        </w:rPr>
      </w:pPr>
    </w:p>
    <w:p w14:paraId="2AC43EE0">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14:paraId="7BD927A9">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FE03AC5">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14:paraId="4FD3B771">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14:paraId="2A4E1606">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14:paraId="71DAA031">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14:paraId="72B4C83A">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14:paraId="7B5F6C42">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14:paraId="5358BA13">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14:paraId="72A3976E">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14:paraId="1AA4B196">
      <w:pPr>
        <w:adjustRightInd/>
        <w:spacing w:line="360" w:lineRule="auto"/>
        <w:rPr>
          <w:rFonts w:ascii="宋体" w:hAnsi="宋体"/>
          <w:color w:val="auto"/>
          <w:sz w:val="21"/>
          <w:szCs w:val="21"/>
          <w:highlight w:val="none"/>
        </w:rPr>
      </w:pPr>
    </w:p>
    <w:p w14:paraId="1C121036">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A5F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574F0334">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73F1EF23">
            <w:pPr>
              <w:spacing w:line="360" w:lineRule="auto"/>
              <w:rPr>
                <w:rFonts w:ascii="宋体" w:hAnsi="宋体" w:cs="宋体"/>
                <w:bCs/>
                <w:color w:val="auto"/>
                <w:sz w:val="21"/>
                <w:szCs w:val="21"/>
                <w:highlight w:val="none"/>
              </w:rPr>
            </w:pPr>
          </w:p>
          <w:p w14:paraId="781CDEA9">
            <w:pPr>
              <w:spacing w:line="360" w:lineRule="auto"/>
              <w:rPr>
                <w:rFonts w:ascii="宋体" w:hAnsi="宋体" w:cs="宋体"/>
                <w:bCs/>
                <w:color w:val="auto"/>
                <w:sz w:val="21"/>
                <w:szCs w:val="21"/>
                <w:highlight w:val="none"/>
              </w:rPr>
            </w:pPr>
          </w:p>
          <w:p w14:paraId="1353B889">
            <w:pPr>
              <w:spacing w:line="360" w:lineRule="auto"/>
              <w:rPr>
                <w:rFonts w:ascii="宋体" w:hAnsi="宋体" w:cs="宋体"/>
                <w:bCs/>
                <w:color w:val="auto"/>
                <w:sz w:val="21"/>
                <w:szCs w:val="21"/>
                <w:highlight w:val="none"/>
              </w:rPr>
            </w:pPr>
          </w:p>
          <w:p w14:paraId="6552F721">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12286691">
            <w:pPr>
              <w:spacing w:line="360" w:lineRule="auto"/>
              <w:rPr>
                <w:rFonts w:ascii="宋体" w:hAnsi="宋体" w:cs="宋体"/>
                <w:bCs/>
                <w:color w:val="auto"/>
                <w:sz w:val="21"/>
                <w:szCs w:val="21"/>
                <w:highlight w:val="none"/>
              </w:rPr>
            </w:pPr>
          </w:p>
        </w:tc>
      </w:tr>
    </w:tbl>
    <w:p w14:paraId="646E50D7">
      <w:pPr>
        <w:pStyle w:val="40"/>
        <w:rPr>
          <w:rFonts w:hint="eastAsia"/>
          <w:color w:val="auto"/>
          <w:sz w:val="21"/>
          <w:szCs w:val="21"/>
          <w:highlight w:val="none"/>
          <w:lang w:val="zh-CN"/>
        </w:rPr>
      </w:pPr>
    </w:p>
    <w:p w14:paraId="0A18AE17">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1944BB47">
      <w:pPr>
        <w:autoSpaceDE w:val="0"/>
        <w:autoSpaceDN w:val="0"/>
        <w:spacing w:line="360" w:lineRule="auto"/>
        <w:jc w:val="center"/>
        <w:rPr>
          <w:rFonts w:hint="eastAsia" w:ascii="宋体" w:hAnsi="宋体" w:cs="宋体"/>
          <w:b/>
          <w:color w:val="auto"/>
          <w:kern w:val="0"/>
          <w:sz w:val="32"/>
          <w:szCs w:val="32"/>
          <w:highlight w:val="none"/>
          <w:lang w:val="zh-CN"/>
        </w:rPr>
      </w:pPr>
    </w:p>
    <w:p w14:paraId="5F338EF7">
      <w:pPr>
        <w:autoSpaceDE w:val="0"/>
        <w:autoSpaceDN w:val="0"/>
        <w:spacing w:line="360" w:lineRule="auto"/>
        <w:jc w:val="center"/>
        <w:rPr>
          <w:rFonts w:hint="eastAsia" w:ascii="宋体" w:hAnsi="宋体" w:cs="宋体"/>
          <w:b/>
          <w:color w:val="auto"/>
          <w:kern w:val="0"/>
          <w:sz w:val="32"/>
          <w:szCs w:val="32"/>
          <w:highlight w:val="none"/>
          <w:lang w:val="zh-CN"/>
        </w:rPr>
      </w:pPr>
    </w:p>
    <w:p w14:paraId="46EBFB99">
      <w:pPr>
        <w:autoSpaceDE w:val="0"/>
        <w:autoSpaceDN w:val="0"/>
        <w:spacing w:line="360" w:lineRule="auto"/>
        <w:jc w:val="center"/>
        <w:rPr>
          <w:rFonts w:hint="eastAsia" w:ascii="宋体" w:hAnsi="宋体" w:cs="宋体"/>
          <w:b/>
          <w:color w:val="auto"/>
          <w:kern w:val="0"/>
          <w:sz w:val="32"/>
          <w:szCs w:val="32"/>
          <w:highlight w:val="none"/>
          <w:lang w:val="zh-CN"/>
        </w:rPr>
      </w:pPr>
    </w:p>
    <w:p w14:paraId="79F79256">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w:t>
      </w:r>
      <w:r>
        <w:rPr>
          <w:rFonts w:hint="eastAsia" w:ascii="宋体" w:hAnsi="宋体" w:cs="宋体"/>
          <w:b/>
          <w:color w:val="auto"/>
          <w:sz w:val="30"/>
          <w:szCs w:val="30"/>
          <w:highlight w:val="none"/>
          <w:lang w:eastAsia="zh-CN"/>
        </w:rPr>
        <w:t>磋商</w:t>
      </w:r>
      <w:r>
        <w:rPr>
          <w:rFonts w:hint="eastAsia" w:ascii="宋体" w:hAnsi="宋体" w:cs="宋体"/>
          <w:b/>
          <w:color w:val="auto"/>
          <w:sz w:val="30"/>
          <w:szCs w:val="30"/>
          <w:highlight w:val="none"/>
        </w:rPr>
        <w:t>）</w:t>
      </w:r>
    </w:p>
    <w:p w14:paraId="397FF797">
      <w:pPr>
        <w:adjustRightInd/>
        <w:spacing w:line="360" w:lineRule="auto"/>
        <w:rPr>
          <w:rFonts w:ascii="宋体" w:hAnsi="宋体" w:cs="宋体"/>
          <w:bCs/>
          <w:color w:val="auto"/>
          <w:sz w:val="24"/>
          <w:szCs w:val="21"/>
          <w:highlight w:val="none"/>
        </w:rPr>
      </w:pPr>
    </w:p>
    <w:p w14:paraId="02D6D759">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047E97E7">
      <w:pPr>
        <w:snapToGrid w:val="0"/>
        <w:spacing w:line="276" w:lineRule="auto"/>
        <w:ind w:firstLine="960" w:firstLineChars="400"/>
        <w:rPr>
          <w:rFonts w:ascii="宋体" w:hAnsi="宋体"/>
          <w:color w:val="auto"/>
          <w:sz w:val="24"/>
          <w:highlight w:val="none"/>
          <w:u w:val="single"/>
        </w:rPr>
      </w:pPr>
    </w:p>
    <w:p w14:paraId="3F776BED">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14:paraId="1769FAEA">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14:paraId="0CB6F604">
      <w:pPr>
        <w:snapToGrid w:val="0"/>
        <w:spacing w:line="276" w:lineRule="auto"/>
        <w:rPr>
          <w:rFonts w:ascii="宋体" w:hAnsi="宋体"/>
          <w:color w:val="auto"/>
          <w:sz w:val="21"/>
          <w:szCs w:val="21"/>
          <w:highlight w:val="none"/>
        </w:rPr>
      </w:pPr>
    </w:p>
    <w:p w14:paraId="0C40C4DF">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6263F204">
      <w:pPr>
        <w:snapToGrid w:val="0"/>
        <w:spacing w:line="276" w:lineRule="auto"/>
        <w:rPr>
          <w:rFonts w:ascii="宋体" w:hAnsi="宋体"/>
          <w:color w:val="auto"/>
          <w:sz w:val="21"/>
          <w:szCs w:val="21"/>
          <w:highlight w:val="none"/>
        </w:rPr>
      </w:pPr>
    </w:p>
    <w:p w14:paraId="518A2261">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14:paraId="0061AA36">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14:paraId="001C5B9B">
      <w:pPr>
        <w:adjustRightInd/>
        <w:spacing w:line="360" w:lineRule="auto"/>
        <w:rPr>
          <w:rFonts w:ascii="宋体" w:hAnsi="宋体" w:cs="宋体"/>
          <w:bCs/>
          <w:color w:val="auto"/>
          <w:sz w:val="21"/>
          <w:szCs w:val="21"/>
          <w:highlight w:val="none"/>
        </w:rPr>
      </w:pPr>
    </w:p>
    <w:p w14:paraId="7A443490">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44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1F1334C">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6E261831">
            <w:pPr>
              <w:spacing w:line="360" w:lineRule="auto"/>
              <w:rPr>
                <w:rFonts w:ascii="宋体" w:hAnsi="宋体" w:cs="宋体"/>
                <w:bCs/>
                <w:color w:val="auto"/>
                <w:sz w:val="21"/>
                <w:szCs w:val="21"/>
                <w:highlight w:val="none"/>
              </w:rPr>
            </w:pPr>
          </w:p>
        </w:tc>
      </w:tr>
    </w:tbl>
    <w:p w14:paraId="0388AC52">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7BB881CC">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39272FBC">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42A0671E">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3AB998A7">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1BEF5F38">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51A182AD">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14:paraId="25EC7558">
      <w:pPr>
        <w:snapToGrid w:val="0"/>
        <w:spacing w:line="360" w:lineRule="auto"/>
        <w:ind w:right="480"/>
        <w:jc w:val="center"/>
        <w:rPr>
          <w:rFonts w:ascii="宋体" w:hAnsi="宋体" w:cs="宋体"/>
          <w:color w:val="auto"/>
          <w:sz w:val="24"/>
          <w:highlight w:val="none"/>
        </w:rPr>
      </w:pPr>
    </w:p>
    <w:p w14:paraId="32DF02BD">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14:paraId="015770AE">
      <w:pPr>
        <w:snapToGrid w:val="0"/>
        <w:spacing w:line="360" w:lineRule="auto"/>
        <w:rPr>
          <w:rFonts w:ascii="宋体" w:hAnsi="宋体" w:cs="宋体"/>
          <w:color w:val="auto"/>
          <w:sz w:val="24"/>
          <w:highlight w:val="none"/>
        </w:rPr>
      </w:pPr>
    </w:p>
    <w:p w14:paraId="4016E1F1">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14:paraId="0552EC25">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14:paraId="4A6744BA">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14:paraId="783FD022">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14:paraId="72335B14">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8DF9B8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14:paraId="40784D59">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14:paraId="4E887E1D">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14:paraId="39C71E00">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14:paraId="6A3B9348">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7069F1DF">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0639C6A8">
      <w:pPr>
        <w:snapToGrid w:val="0"/>
        <w:spacing w:line="360" w:lineRule="auto"/>
        <w:ind w:right="480"/>
        <w:rPr>
          <w:rFonts w:ascii="宋体" w:hAnsi="宋体" w:cs="宋体"/>
          <w:color w:val="auto"/>
          <w:sz w:val="21"/>
          <w:szCs w:val="21"/>
          <w:highlight w:val="none"/>
        </w:rPr>
      </w:pPr>
    </w:p>
    <w:p w14:paraId="549D956F">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5B7BA3CF">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3D5E0FAB">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5F0D8058">
      <w:pPr>
        <w:snapToGrid w:val="0"/>
        <w:spacing w:line="360" w:lineRule="auto"/>
        <w:ind w:right="480"/>
        <w:rPr>
          <w:rFonts w:ascii="宋体" w:hAnsi="宋体" w:cs="宋体"/>
          <w:color w:val="auto"/>
          <w:sz w:val="24"/>
          <w:highlight w:val="none"/>
        </w:rPr>
      </w:pPr>
    </w:p>
    <w:p w14:paraId="3CFCC033">
      <w:pPr>
        <w:spacing w:line="360" w:lineRule="auto"/>
        <w:jc w:val="center"/>
        <w:rPr>
          <w:rFonts w:hint="eastAsia" w:cs="仿宋_GB2312" w:asciiTheme="minorEastAsia" w:hAnsiTheme="minorEastAsia" w:eastAsiaTheme="minorEastAsia"/>
          <w:b/>
          <w:color w:val="auto"/>
          <w:sz w:val="32"/>
          <w:szCs w:val="32"/>
          <w:highlight w:val="none"/>
        </w:rPr>
      </w:pPr>
    </w:p>
    <w:p w14:paraId="452B4E3C">
      <w:pPr>
        <w:spacing w:line="360" w:lineRule="auto"/>
        <w:jc w:val="center"/>
        <w:rPr>
          <w:rFonts w:hint="eastAsia" w:cs="仿宋_GB2312" w:asciiTheme="minorEastAsia" w:hAnsiTheme="minorEastAsia" w:eastAsiaTheme="minorEastAsia"/>
          <w:b/>
          <w:color w:val="auto"/>
          <w:sz w:val="32"/>
          <w:szCs w:val="32"/>
          <w:highlight w:val="none"/>
        </w:rPr>
      </w:pPr>
    </w:p>
    <w:p w14:paraId="163E318F">
      <w:pPr>
        <w:pStyle w:val="40"/>
        <w:rPr>
          <w:rFonts w:hint="eastAsia" w:cs="仿宋_GB2312" w:asciiTheme="minorEastAsia" w:hAnsiTheme="minorEastAsia" w:eastAsiaTheme="minorEastAsia"/>
          <w:b/>
          <w:color w:val="auto"/>
          <w:sz w:val="32"/>
          <w:szCs w:val="32"/>
          <w:highlight w:val="none"/>
        </w:rPr>
      </w:pPr>
    </w:p>
    <w:p w14:paraId="4BA1222F">
      <w:pPr>
        <w:pStyle w:val="40"/>
        <w:rPr>
          <w:rFonts w:hint="eastAsia" w:cs="仿宋_GB2312" w:asciiTheme="minorEastAsia" w:hAnsiTheme="minorEastAsia" w:eastAsiaTheme="minorEastAsia"/>
          <w:b/>
          <w:color w:val="auto"/>
          <w:sz w:val="32"/>
          <w:szCs w:val="32"/>
          <w:highlight w:val="none"/>
        </w:rPr>
      </w:pPr>
    </w:p>
    <w:p w14:paraId="010B86FD">
      <w:pPr>
        <w:pStyle w:val="40"/>
        <w:rPr>
          <w:rFonts w:hint="eastAsia" w:cs="仿宋_GB2312" w:asciiTheme="minorEastAsia" w:hAnsiTheme="minorEastAsia" w:eastAsiaTheme="minorEastAsia"/>
          <w:b/>
          <w:color w:val="auto"/>
          <w:sz w:val="32"/>
          <w:szCs w:val="32"/>
          <w:highlight w:val="none"/>
        </w:rPr>
      </w:pPr>
    </w:p>
    <w:p w14:paraId="6A26985A">
      <w:pPr>
        <w:pStyle w:val="40"/>
        <w:rPr>
          <w:rFonts w:hint="eastAsia" w:cs="仿宋_GB2312" w:asciiTheme="minorEastAsia" w:hAnsiTheme="minorEastAsia" w:eastAsiaTheme="minorEastAsia"/>
          <w:b/>
          <w:color w:val="auto"/>
          <w:sz w:val="32"/>
          <w:szCs w:val="32"/>
          <w:highlight w:val="none"/>
        </w:rPr>
      </w:pPr>
    </w:p>
    <w:p w14:paraId="12E07DC1">
      <w:pPr>
        <w:pStyle w:val="40"/>
        <w:rPr>
          <w:rFonts w:hint="eastAsia" w:cs="仿宋_GB2312" w:asciiTheme="minorEastAsia" w:hAnsiTheme="minorEastAsia" w:eastAsiaTheme="minorEastAsia"/>
          <w:b/>
          <w:color w:val="auto"/>
          <w:sz w:val="32"/>
          <w:szCs w:val="32"/>
          <w:highlight w:val="none"/>
        </w:rPr>
      </w:pPr>
    </w:p>
    <w:p w14:paraId="5188A1CE">
      <w:pPr>
        <w:pStyle w:val="40"/>
        <w:rPr>
          <w:rFonts w:hint="eastAsia" w:cs="仿宋_GB2312" w:asciiTheme="minorEastAsia" w:hAnsiTheme="minorEastAsia" w:eastAsiaTheme="minorEastAsia"/>
          <w:b/>
          <w:color w:val="auto"/>
          <w:sz w:val="32"/>
          <w:szCs w:val="32"/>
          <w:highlight w:val="none"/>
        </w:rPr>
      </w:pPr>
    </w:p>
    <w:p w14:paraId="5719C705">
      <w:pPr>
        <w:rPr>
          <w:rFonts w:hint="eastAsia"/>
          <w:color w:val="auto"/>
          <w:highlight w:val="none"/>
        </w:rPr>
      </w:pPr>
    </w:p>
    <w:p w14:paraId="22178FEA">
      <w:pPr>
        <w:numPr>
          <w:ilvl w:val="0"/>
          <w:numId w:val="0"/>
        </w:numPr>
        <w:snapToGrid w:val="0"/>
        <w:spacing w:line="360" w:lineRule="auto"/>
        <w:ind w:leftChars="0" w:right="480" w:rightChars="0"/>
        <w:jc w:val="center"/>
        <w:rPr>
          <w:rFonts w:hint="eastAsia" w:cs="宋体" w:asciiTheme="minorEastAsia" w:hAnsiTheme="minorEastAsia" w:eastAsiaTheme="minorEastAsia"/>
          <w:b/>
          <w:color w:val="auto"/>
          <w:kern w:val="0"/>
          <w:sz w:val="30"/>
          <w:szCs w:val="30"/>
          <w:highlight w:val="none"/>
          <w:lang w:val="en-US" w:eastAsia="zh-CN"/>
        </w:rPr>
      </w:pPr>
    </w:p>
    <w:p w14:paraId="7CE67A00">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14:paraId="06CD10D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color w:val="auto"/>
          <w:sz w:val="21"/>
          <w:szCs w:val="21"/>
          <w:highlight w:val="none"/>
          <w:lang w:val="en-US" w:eastAsia="zh-CN"/>
        </w:rPr>
      </w:pPr>
    </w:p>
    <w:p w14:paraId="10B2C98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说明：</w:t>
      </w:r>
      <w:r>
        <w:rPr>
          <w:rFonts w:hint="eastAsia" w:ascii="宋体" w:hAnsi="宋体" w:eastAsia="宋体" w:cs="宋体"/>
          <w:b w:val="0"/>
          <w:bCs w:val="0"/>
          <w:color w:val="auto"/>
          <w:sz w:val="21"/>
          <w:szCs w:val="21"/>
          <w:highlight w:val="none"/>
        </w:rPr>
        <w:t>根据磋商文件第</w:t>
      </w:r>
      <w:r>
        <w:rPr>
          <w:rFonts w:hint="eastAsia" w:ascii="宋体" w:hAnsi="宋体" w:eastAsia="宋体" w:cs="宋体"/>
          <w:b w:val="0"/>
          <w:bCs w:val="0"/>
          <w:color w:val="auto"/>
          <w:sz w:val="21"/>
          <w:szCs w:val="21"/>
          <w:highlight w:val="none"/>
          <w:lang w:eastAsia="zh-CN"/>
        </w:rPr>
        <w:t>一部分</w:t>
      </w:r>
      <w:r>
        <w:rPr>
          <w:rFonts w:hint="eastAsia" w:ascii="宋体" w:hAnsi="宋体" w:eastAsia="宋体" w:cs="宋体"/>
          <w:b w:val="0"/>
          <w:bCs w:val="0"/>
          <w:color w:val="auto"/>
          <w:sz w:val="21"/>
          <w:szCs w:val="21"/>
          <w:highlight w:val="none"/>
        </w:rPr>
        <w:t>竞争性磋商公告</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供应商以下三种</w:t>
      </w:r>
      <w:r>
        <w:rPr>
          <w:rFonts w:hint="eastAsia" w:ascii="宋体"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之一填报。</w:t>
      </w:r>
    </w:p>
    <w:p w14:paraId="33AABD6F">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w:t>
      </w:r>
      <w:r>
        <w:rPr>
          <w:rFonts w:hint="eastAsia" w:ascii="宋体" w:hAnsi="宋体" w:eastAsia="宋体" w:cs="宋体"/>
          <w:b/>
          <w:bCs/>
          <w:color w:val="auto"/>
          <w:sz w:val="21"/>
          <w:szCs w:val="21"/>
          <w:highlight w:val="none"/>
          <w:u w:val="single"/>
        </w:rPr>
        <w:t>从业人员、营业收入、资产总额填报上一年度数据，无上一年度数据的新成立企业可不填报</w:t>
      </w:r>
      <w:r>
        <w:rPr>
          <w:rFonts w:hint="eastAsia" w:ascii="宋体" w:hAnsi="宋体" w:eastAsia="宋体" w:cs="宋体"/>
          <w:color w:val="auto"/>
          <w:sz w:val="21"/>
          <w:szCs w:val="21"/>
          <w:highlight w:val="none"/>
        </w:rPr>
        <w:t>；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A3FBA7F">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14:paraId="7DF30957">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39E5738">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lang w:val="en-US" w:eastAsia="zh-CN"/>
        </w:rPr>
      </w:pPr>
    </w:p>
    <w:p w14:paraId="2465D128">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14:paraId="6DADD8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14:paraId="4E315125">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14:paraId="5ADF310C">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14:paraId="2D045118">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，属于</w:t>
      </w:r>
      <w:r>
        <w:rPr>
          <w:rFonts w:hint="eastAsia" w:cs="宋体" w:asciiTheme="minorEastAsia" w:hAnsiTheme="minorEastAsia" w:eastAsiaTheme="minorEastAsia"/>
          <w:color w:val="auto"/>
          <w:sz w:val="21"/>
          <w:szCs w:val="21"/>
          <w:highlight w:val="none"/>
          <w:u w:val="single"/>
        </w:rPr>
        <w:t xml:space="preserve"> 水利、环境和公共设施管理</w:t>
      </w:r>
      <w:r>
        <w:rPr>
          <w:rFonts w:hint="eastAsia" w:cs="宋体" w:asciiTheme="minorEastAsia" w:hAnsiTheme="minorEastAsia" w:eastAsiaTheme="minorEastAsia"/>
          <w:color w:val="auto"/>
          <w:sz w:val="21"/>
          <w:szCs w:val="21"/>
          <w:highlight w:val="none"/>
          <w:u w:val="single"/>
          <w:lang w:val="en-US" w:eastAsia="zh-CN"/>
        </w:rPr>
        <w:t>行</w:t>
      </w:r>
      <w:r>
        <w:rPr>
          <w:rFonts w:hint="eastAsia" w:cs="宋体" w:asciiTheme="minorEastAsia" w:hAnsiTheme="minorEastAsia" w:eastAsiaTheme="minorEastAsia"/>
          <w:color w:val="auto"/>
          <w:sz w:val="21"/>
          <w:szCs w:val="21"/>
          <w:highlight w:val="none"/>
          <w:u w:val="single"/>
        </w:rPr>
        <w:t xml:space="preserve">业 </w:t>
      </w:r>
      <w:r>
        <w:rPr>
          <w:rFonts w:hint="eastAsia" w:cs="宋体" w:asciiTheme="minorEastAsia" w:hAnsiTheme="minorEastAsia" w:eastAsiaTheme="minorEastAsia"/>
          <w:color w:val="auto"/>
          <w:sz w:val="21"/>
          <w:szCs w:val="21"/>
          <w:highlight w:val="none"/>
        </w:rPr>
        <w:t xml:space="preserve">；承建（承接）企业为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29D7D218">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374BFEFC">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14:paraId="64B956B7">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14:paraId="488D954D">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14:paraId="52542950">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14:paraId="4F358BD4">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14:paraId="4D5606B3">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14:paraId="7345B8E8">
      <w:pPr>
        <w:pStyle w:val="16"/>
        <w:rPr>
          <w:rFonts w:hint="eastAsia"/>
          <w:color w:val="auto"/>
          <w:highlight w:val="none"/>
        </w:rPr>
      </w:pPr>
    </w:p>
    <w:p w14:paraId="65F4C514">
      <w:pPr>
        <w:spacing w:line="360" w:lineRule="auto"/>
        <w:jc w:val="center"/>
        <w:rPr>
          <w:rFonts w:hint="eastAsia" w:asciiTheme="minorEastAsia" w:hAnsiTheme="minorEastAsia" w:eastAsiaTheme="minorEastAsia"/>
          <w:b/>
          <w:color w:val="auto"/>
          <w:spacing w:val="6"/>
          <w:sz w:val="30"/>
          <w:szCs w:val="30"/>
          <w:highlight w:val="none"/>
        </w:rPr>
      </w:pPr>
    </w:p>
    <w:p w14:paraId="69CA9F11">
      <w:pPr>
        <w:pStyle w:val="2"/>
        <w:numPr>
          <w:ilvl w:val="0"/>
          <w:numId w:val="0"/>
        </w:numPr>
        <w:ind w:leftChars="0"/>
        <w:rPr>
          <w:rFonts w:hint="eastAsia"/>
          <w:color w:val="auto"/>
          <w:highlight w:val="none"/>
        </w:rPr>
      </w:pPr>
    </w:p>
    <w:p w14:paraId="1DFC3A76">
      <w:pPr>
        <w:rPr>
          <w:rFonts w:hint="eastAsia"/>
          <w:color w:val="auto"/>
          <w:highlight w:val="none"/>
        </w:rPr>
      </w:pPr>
    </w:p>
    <w:p w14:paraId="34954DC7">
      <w:pPr>
        <w:pStyle w:val="2"/>
        <w:numPr>
          <w:ilvl w:val="0"/>
          <w:numId w:val="0"/>
        </w:numPr>
        <w:ind w:leftChars="0"/>
        <w:rPr>
          <w:rFonts w:hint="eastAsia"/>
          <w:color w:val="auto"/>
          <w:highlight w:val="none"/>
        </w:rPr>
      </w:pPr>
    </w:p>
    <w:p w14:paraId="4AE9F985">
      <w:pPr>
        <w:rPr>
          <w:rFonts w:hint="eastAsia"/>
          <w:color w:val="auto"/>
          <w:highlight w:val="none"/>
        </w:rPr>
      </w:pPr>
    </w:p>
    <w:p w14:paraId="0F98AF19">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14:paraId="107E67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5B7B1A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14:paraId="3DB9D1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0B9C29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19873AD0">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14:paraId="7227B4F7">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14:paraId="066887EB">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14:paraId="459ADEE7">
      <w:pPr>
        <w:pStyle w:val="40"/>
        <w:rPr>
          <w:rFonts w:hint="eastAsia"/>
          <w:color w:val="auto"/>
          <w:highlight w:val="none"/>
        </w:rPr>
      </w:pPr>
    </w:p>
    <w:p w14:paraId="2B157E05">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14:paraId="73253E84">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14:paraId="0133640C">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14:paraId="606F6045">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14:paraId="25E507D9">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14:paraId="7E08F181">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14:paraId="46170C51">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14:paraId="026A9EE3">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14:paraId="206279C8">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14:paraId="63A193FA">
      <w:pPr>
        <w:spacing w:line="360" w:lineRule="auto"/>
        <w:jc w:val="both"/>
        <w:rPr>
          <w:rFonts w:cs="仿宋_GB2312" w:asciiTheme="minorEastAsia" w:hAnsiTheme="minorEastAsia" w:eastAsiaTheme="minorEastAsia"/>
          <w:b/>
          <w:color w:val="auto"/>
          <w:sz w:val="32"/>
          <w:szCs w:val="32"/>
          <w:highlight w:val="none"/>
        </w:rPr>
      </w:pPr>
    </w:p>
    <w:p w14:paraId="469BF074">
      <w:pPr>
        <w:pStyle w:val="406"/>
        <w:rPr>
          <w:rFonts w:cs="仿宋_GB2312" w:asciiTheme="minorEastAsia" w:hAnsiTheme="minorEastAsia" w:eastAsiaTheme="minorEastAsia"/>
          <w:b/>
          <w:color w:val="auto"/>
          <w:sz w:val="32"/>
          <w:szCs w:val="32"/>
          <w:highlight w:val="none"/>
        </w:rPr>
      </w:pPr>
    </w:p>
    <w:p w14:paraId="28017D28">
      <w:pPr>
        <w:pStyle w:val="25"/>
        <w:rPr>
          <w:rFonts w:cs="仿宋_GB2312" w:asciiTheme="minorEastAsia" w:hAnsiTheme="minorEastAsia" w:eastAsiaTheme="minorEastAsia"/>
          <w:b/>
          <w:color w:val="auto"/>
          <w:sz w:val="32"/>
          <w:szCs w:val="32"/>
          <w:highlight w:val="none"/>
        </w:rPr>
      </w:pPr>
    </w:p>
    <w:p w14:paraId="6D03226B">
      <w:pPr>
        <w:rPr>
          <w:rFonts w:cs="仿宋_GB2312" w:asciiTheme="minorEastAsia" w:hAnsiTheme="minorEastAsia" w:eastAsiaTheme="minorEastAsia"/>
          <w:b/>
          <w:color w:val="auto"/>
          <w:sz w:val="32"/>
          <w:szCs w:val="32"/>
          <w:highlight w:val="none"/>
        </w:rPr>
      </w:pPr>
    </w:p>
    <w:p w14:paraId="6724C788">
      <w:pPr>
        <w:pStyle w:val="406"/>
        <w:rPr>
          <w:rFonts w:cs="仿宋_GB2312" w:asciiTheme="minorEastAsia" w:hAnsiTheme="minorEastAsia" w:eastAsiaTheme="minorEastAsia"/>
          <w:b/>
          <w:color w:val="auto"/>
          <w:sz w:val="32"/>
          <w:szCs w:val="32"/>
          <w:highlight w:val="none"/>
        </w:rPr>
      </w:pPr>
    </w:p>
    <w:p w14:paraId="5A146793">
      <w:pPr>
        <w:pStyle w:val="25"/>
        <w:rPr>
          <w:rFonts w:cs="仿宋_GB2312" w:asciiTheme="minorEastAsia" w:hAnsiTheme="minorEastAsia" w:eastAsiaTheme="minorEastAsia"/>
          <w:b/>
          <w:color w:val="auto"/>
          <w:sz w:val="32"/>
          <w:szCs w:val="32"/>
          <w:highlight w:val="none"/>
        </w:rPr>
      </w:pPr>
    </w:p>
    <w:p w14:paraId="3E3C863D">
      <w:pPr>
        <w:rPr>
          <w:rFonts w:hint="eastAsia"/>
          <w:color w:val="auto"/>
          <w:highlight w:val="none"/>
          <w:lang w:val="zh-CN"/>
        </w:rPr>
      </w:pPr>
    </w:p>
    <w:p w14:paraId="1024321E">
      <w:pPr>
        <w:widowControl/>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4</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rPr>
        <w:t>供应商直接控股、管理关系信息表</w:t>
      </w:r>
    </w:p>
    <w:p w14:paraId="55300D9B">
      <w:pPr>
        <w:snapToGrid w:val="0"/>
        <w:spacing w:line="360" w:lineRule="auto"/>
        <w:jc w:val="center"/>
        <w:rPr>
          <w:rFonts w:hint="eastAsia" w:ascii="宋体" w:hAnsi="宋体"/>
          <w:b/>
          <w:color w:val="auto"/>
          <w:sz w:val="30"/>
          <w:szCs w:val="30"/>
          <w:highlight w:val="none"/>
        </w:rPr>
      </w:pPr>
    </w:p>
    <w:p w14:paraId="07CFDC77">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供应商直接控股股东信息表</w:t>
      </w:r>
    </w:p>
    <w:tbl>
      <w:tblPr>
        <w:tblStyle w:val="6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C8E097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0243B2C">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869104D">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F0A383F">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0F44273">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CF9A99C">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2DA7E3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1685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81C7F0">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30B7C">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E6E281">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2B9899">
            <w:pPr>
              <w:spacing w:line="240" w:lineRule="exact"/>
              <w:jc w:val="center"/>
              <w:rPr>
                <w:rFonts w:ascii="宋体" w:hAnsi="宋体" w:cs="宋体"/>
                <w:color w:val="auto"/>
                <w:kern w:val="0"/>
                <w:szCs w:val="21"/>
                <w:highlight w:val="none"/>
              </w:rPr>
            </w:pPr>
          </w:p>
        </w:tc>
      </w:tr>
      <w:tr w14:paraId="23B8C0D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A6E10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526E50">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1F956E">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8052BB">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340D3">
            <w:pPr>
              <w:spacing w:line="240" w:lineRule="exact"/>
              <w:jc w:val="center"/>
              <w:rPr>
                <w:rFonts w:ascii="宋体" w:hAnsi="宋体" w:cs="宋体"/>
                <w:color w:val="auto"/>
                <w:kern w:val="0"/>
                <w:szCs w:val="21"/>
                <w:highlight w:val="none"/>
              </w:rPr>
            </w:pPr>
          </w:p>
        </w:tc>
      </w:tr>
      <w:tr w14:paraId="758D42A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40B40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03A467">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4F6F05">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8DCD4A">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46489">
            <w:pPr>
              <w:spacing w:line="240" w:lineRule="exact"/>
              <w:jc w:val="center"/>
              <w:rPr>
                <w:rFonts w:ascii="宋体" w:hAnsi="宋体" w:cs="宋体"/>
                <w:color w:val="auto"/>
                <w:kern w:val="0"/>
                <w:szCs w:val="21"/>
                <w:highlight w:val="none"/>
              </w:rPr>
            </w:pPr>
          </w:p>
        </w:tc>
      </w:tr>
    </w:tbl>
    <w:p w14:paraId="072ED185">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注：</w:t>
      </w:r>
    </w:p>
    <w:p w14:paraId="4C4E9089">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BDB2C6">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61473E13">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14:paraId="24831EC5">
      <w:pPr>
        <w:pStyle w:val="40"/>
        <w:rPr>
          <w:rFonts w:hint="eastAsia" w:ascii="宋体" w:hAnsi="宋体"/>
          <w:color w:val="auto"/>
          <w:sz w:val="21"/>
          <w:szCs w:val="21"/>
          <w:highlight w:val="none"/>
        </w:rPr>
      </w:pPr>
    </w:p>
    <w:p w14:paraId="35CF689F">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17417976">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7661202E">
      <w:pPr>
        <w:pStyle w:val="40"/>
        <w:ind w:firstLine="3150" w:firstLineChars="1500"/>
        <w:rPr>
          <w:rFonts w:hint="eastAsia" w:ascii="宋体" w:hAnsi="宋体"/>
          <w:b/>
          <w:color w:val="auto"/>
          <w:sz w:val="24"/>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r>
        <w:rPr>
          <w:rFonts w:hint="eastAsia" w:ascii="宋体" w:hAnsi="宋体"/>
          <w:b/>
          <w:color w:val="auto"/>
          <w:sz w:val="24"/>
          <w:highlight w:val="none"/>
        </w:rPr>
        <w:t xml:space="preserve"> </w:t>
      </w:r>
    </w:p>
    <w:p w14:paraId="783EEB4B">
      <w:pPr>
        <w:snapToGrid w:val="0"/>
        <w:spacing w:line="360" w:lineRule="auto"/>
        <w:jc w:val="center"/>
        <w:rPr>
          <w:rFonts w:hint="eastAsia" w:ascii="宋体" w:hAnsi="宋体"/>
          <w:b/>
          <w:color w:val="auto"/>
          <w:sz w:val="30"/>
          <w:szCs w:val="30"/>
          <w:highlight w:val="none"/>
        </w:rPr>
      </w:pPr>
    </w:p>
    <w:p w14:paraId="558210B8">
      <w:pPr>
        <w:snapToGrid w:val="0"/>
        <w:spacing w:line="360" w:lineRule="auto"/>
        <w:jc w:val="center"/>
        <w:rPr>
          <w:rFonts w:hint="eastAsia" w:ascii="宋体" w:hAnsi="宋体"/>
          <w:color w:val="auto"/>
          <w:sz w:val="32"/>
          <w:szCs w:val="32"/>
          <w:highlight w:val="none"/>
        </w:rPr>
      </w:pPr>
      <w:r>
        <w:rPr>
          <w:rFonts w:hint="eastAsia" w:ascii="宋体" w:hAnsi="宋体"/>
          <w:b/>
          <w:color w:val="auto"/>
          <w:sz w:val="30"/>
          <w:szCs w:val="30"/>
          <w:highlight w:val="none"/>
        </w:rPr>
        <w:t>供应商直接管理关系信息表</w:t>
      </w:r>
    </w:p>
    <w:tbl>
      <w:tblPr>
        <w:tblStyle w:val="6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1CC6ED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7A5BD79">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88C75AF">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08A65DE">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4CDAB4D">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93F15C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72AFB1">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9CE1EF">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FC35F9">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7B42D1">
            <w:pPr>
              <w:spacing w:line="240" w:lineRule="exact"/>
              <w:jc w:val="center"/>
              <w:rPr>
                <w:rFonts w:ascii="宋体" w:hAnsi="宋体" w:cs="宋体"/>
                <w:color w:val="auto"/>
                <w:kern w:val="0"/>
                <w:sz w:val="24"/>
                <w:highlight w:val="none"/>
              </w:rPr>
            </w:pPr>
          </w:p>
        </w:tc>
      </w:tr>
      <w:tr w14:paraId="4CA9343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0B0FF5">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F1E6D">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8CE226">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1315A8">
            <w:pPr>
              <w:spacing w:line="240" w:lineRule="exact"/>
              <w:jc w:val="center"/>
              <w:rPr>
                <w:rFonts w:ascii="宋体" w:hAnsi="宋体" w:cs="宋体"/>
                <w:color w:val="auto"/>
                <w:kern w:val="0"/>
                <w:sz w:val="24"/>
                <w:highlight w:val="none"/>
              </w:rPr>
            </w:pPr>
          </w:p>
        </w:tc>
      </w:tr>
      <w:tr w14:paraId="34B0DF3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2740AB">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05872A">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92E81E">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EA648A">
            <w:pPr>
              <w:spacing w:line="240" w:lineRule="exact"/>
              <w:jc w:val="center"/>
              <w:rPr>
                <w:rFonts w:ascii="宋体" w:hAnsi="宋体" w:cs="宋体"/>
                <w:color w:val="auto"/>
                <w:kern w:val="0"/>
                <w:sz w:val="24"/>
                <w:highlight w:val="none"/>
              </w:rPr>
            </w:pPr>
          </w:p>
        </w:tc>
      </w:tr>
    </w:tbl>
    <w:p w14:paraId="6DE144E0">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D8D3FB8">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F20823D">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1E2B908F">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11C01379">
      <w:pPr>
        <w:spacing w:line="360" w:lineRule="auto"/>
        <w:ind w:firstLine="3570" w:firstLineChars="1700"/>
        <w:rPr>
          <w:rFonts w:hint="eastAsia" w:ascii="宋体" w:hAnsi="宋体" w:cs="宋体"/>
          <w:color w:val="auto"/>
          <w:szCs w:val="21"/>
          <w:highlight w:val="none"/>
        </w:rPr>
      </w:pPr>
    </w:p>
    <w:p w14:paraId="30B3EC46">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435104AB">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12391727">
      <w:pPr>
        <w:pStyle w:val="40"/>
        <w:ind w:firstLine="3150" w:firstLineChars="1500"/>
        <w:rPr>
          <w:rFonts w:hint="eastAsia" w:ascii="宋体" w:hAnsi="宋体" w:cs="仿宋_GB2312"/>
          <w:b/>
          <w:color w:val="auto"/>
          <w:sz w:val="32"/>
          <w:szCs w:val="32"/>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170057AD">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无串通竞标行为的承诺函</w:t>
      </w:r>
    </w:p>
    <w:p w14:paraId="2360D085">
      <w:pPr>
        <w:spacing w:line="520" w:lineRule="exact"/>
        <w:jc w:val="center"/>
        <w:rPr>
          <w:rFonts w:hint="eastAsia" w:ascii="宋体" w:hAnsi="宋体" w:eastAsia="宋体" w:cs="宋体"/>
          <w:b/>
          <w:bCs/>
          <w:color w:val="auto"/>
          <w:sz w:val="32"/>
          <w:szCs w:val="32"/>
          <w:highlight w:val="none"/>
        </w:rPr>
      </w:pPr>
    </w:p>
    <w:p w14:paraId="327CEE0F">
      <w:pPr>
        <w:spacing w:line="360" w:lineRule="auto"/>
        <w:ind w:firstLine="422" w:firstLineChars="200"/>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u w:val="single"/>
        </w:rPr>
        <w:t>（采购人）</w:t>
      </w:r>
      <w:r>
        <w:rPr>
          <w:rFonts w:hint="eastAsia" w:ascii="宋体" w:hAnsi="宋体" w:eastAsia="宋体" w:cs="仿宋_GB2312"/>
          <w:b/>
          <w:bCs/>
          <w:color w:val="auto"/>
          <w:sz w:val="21"/>
          <w:szCs w:val="21"/>
          <w:highlight w:val="none"/>
        </w:rPr>
        <w:t>：</w:t>
      </w:r>
    </w:p>
    <w:p w14:paraId="78483235">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39C0442C">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或不同供应商报名</w:t>
      </w:r>
      <w:r>
        <w:rPr>
          <w:rFonts w:hint="eastAsia" w:ascii="宋体" w:hAnsi="宋体" w:cs="仿宋_GB2312"/>
          <w:color w:val="auto"/>
          <w:sz w:val="21"/>
          <w:szCs w:val="21"/>
          <w:highlight w:val="none"/>
          <w:lang w:eastAsia="zh-CN"/>
        </w:rPr>
        <w:t>使用</w:t>
      </w:r>
      <w:r>
        <w:rPr>
          <w:rFonts w:hint="eastAsia" w:ascii="宋体" w:hAnsi="宋体" w:cs="仿宋_GB2312"/>
          <w:color w:val="auto"/>
          <w:sz w:val="21"/>
          <w:szCs w:val="21"/>
          <w:highlight w:val="none"/>
        </w:rPr>
        <w:t>的IP地址一致的；</w:t>
      </w:r>
    </w:p>
    <w:p w14:paraId="3029365F">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E2B6023">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3.不同的供应商的响应文件载明的项目管理员或者联系人员为同一人；</w:t>
      </w:r>
    </w:p>
    <w:p w14:paraId="43F4BFC7">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1B39C3B4">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14:paraId="1CC5C4C8">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6.不同供应商的竞标保证金从同一单位或者个人账户转出。</w:t>
      </w:r>
    </w:p>
    <w:p w14:paraId="65688F26">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7.不同供应商的电子响应文件上传计算机的网卡MAC地址或硬盘序列号等硬件信息相同的；</w:t>
      </w:r>
    </w:p>
    <w:p w14:paraId="1E2BDF00">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8.上传的电子响应文件存在使用本项目其他响应供应商的数字证书加密的，或者加盖本项目其他响应供应商的电子印章的；</w:t>
      </w:r>
    </w:p>
    <w:p w14:paraId="03A35384">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17D88583">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7AD539E4">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2CE902EF">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FDF733E">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3A5C5C6C">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w:t>
      </w:r>
      <w:r>
        <w:rPr>
          <w:rFonts w:hint="eastAsia" w:ascii="宋体" w:hAnsi="宋体" w:cs="仿宋_GB2312"/>
          <w:color w:val="auto"/>
          <w:sz w:val="21"/>
          <w:szCs w:val="21"/>
          <w:highlight w:val="none"/>
          <w:lang w:eastAsia="zh-CN"/>
        </w:rPr>
        <w:t>磋商</w:t>
      </w:r>
      <w:r>
        <w:rPr>
          <w:rFonts w:hint="eastAsia" w:ascii="宋体" w:hAnsi="宋体" w:cs="仿宋_GB2312"/>
          <w:color w:val="auto"/>
          <w:sz w:val="21"/>
          <w:szCs w:val="21"/>
          <w:highlight w:val="none"/>
        </w:rPr>
        <w:t>项目中事先约定轮流以高价位或者低价位成交,或者事先约定由某一特定供应商成交,然后再参加竞标；</w:t>
      </w:r>
    </w:p>
    <w:p w14:paraId="58737F43">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15ADC62C">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776EF17A">
      <w:pPr>
        <w:spacing w:line="360" w:lineRule="auto"/>
        <w:ind w:left="0" w:leftChars="0" w:firstLine="641" w:firstLineChars="304"/>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三、法律责任</w:t>
      </w:r>
    </w:p>
    <w:p w14:paraId="134A1D01">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若我方违反上述承诺，我方愿意承担一切后果，给贵单位造成损失的，我方愿承担全部赔偿责任，并接受相关行政监督部门的处罚。并不再寻求任何旨在减轻或者免除法律责任的辩解。</w:t>
      </w:r>
    </w:p>
    <w:p w14:paraId="11A7ACA8">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本承诺函自签署之日起生效，长期有效。</w:t>
      </w:r>
    </w:p>
    <w:p w14:paraId="6A3C7CBF">
      <w:pPr>
        <w:spacing w:line="360" w:lineRule="auto"/>
        <w:ind w:firstLine="420" w:firstLineChars="200"/>
        <w:contextualSpacing/>
        <w:rPr>
          <w:rFonts w:hint="eastAsia" w:ascii="宋体" w:hAnsi="宋体" w:cs="仿宋_GB2312"/>
          <w:color w:val="auto"/>
          <w:sz w:val="21"/>
          <w:szCs w:val="21"/>
          <w:highlight w:val="none"/>
        </w:rPr>
      </w:pPr>
    </w:p>
    <w:p w14:paraId="6931AF85">
      <w:pPr>
        <w:spacing w:line="360" w:lineRule="auto"/>
        <w:contextualSpacing/>
        <w:rPr>
          <w:rFonts w:hint="eastAsia" w:ascii="宋体" w:hAnsi="宋体" w:cs="仿宋_GB2312"/>
          <w:color w:val="auto"/>
          <w:sz w:val="21"/>
          <w:szCs w:val="21"/>
          <w:highlight w:val="none"/>
        </w:rPr>
      </w:pPr>
    </w:p>
    <w:p w14:paraId="359457E6">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0C3882EB">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5D84BBD7">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12658276">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7B456FCE">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0600A92">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14:paraId="2CC4A436">
      <w:pPr>
        <w:pStyle w:val="40"/>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14:paraId="69BC2F22">
      <w:pPr>
        <w:rPr>
          <w:color w:val="auto"/>
          <w:highlight w:val="none"/>
        </w:rPr>
      </w:pPr>
    </w:p>
    <w:p w14:paraId="5942E932">
      <w:pPr>
        <w:pStyle w:val="40"/>
        <w:rPr>
          <w:color w:val="auto"/>
          <w:highlight w:val="none"/>
        </w:rPr>
      </w:pPr>
    </w:p>
    <w:p w14:paraId="42506A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4BFCE0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14:paraId="5F4F4A19">
      <w:pPr>
        <w:pStyle w:val="106"/>
        <w:numPr>
          <w:ilvl w:val="0"/>
          <w:numId w:val="7"/>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14:paraId="340E474D">
      <w:pPr>
        <w:numPr>
          <w:ilvl w:val="0"/>
          <w:numId w:val="7"/>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14:paraId="5A8D3F31">
      <w:pPr>
        <w:numPr>
          <w:ilvl w:val="0"/>
          <w:numId w:val="7"/>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14:paraId="45A28AEE">
      <w:pPr>
        <w:numPr>
          <w:ilvl w:val="0"/>
          <w:numId w:val="7"/>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14:paraId="4D19542C">
      <w:pPr>
        <w:numPr>
          <w:ilvl w:val="0"/>
          <w:numId w:val="7"/>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1E60CD36">
      <w:pPr>
        <w:numPr>
          <w:ilvl w:val="0"/>
          <w:numId w:val="7"/>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14:paraId="08D04D29">
      <w:pPr>
        <w:numPr>
          <w:ilvl w:val="0"/>
          <w:numId w:val="7"/>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305FED94">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0B7505C">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5F45765B">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14:paraId="37412F66">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14:paraId="6DC088F0">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14:paraId="1D691B02">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14:paraId="3D5E3414">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14:paraId="516DD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14:paraId="712CBE56">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14:paraId="54F2E1DD">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5CA13E5A">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3DB036A6">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67A022F0">
      <w:pPr>
        <w:spacing w:line="360" w:lineRule="auto"/>
        <w:ind w:right="420"/>
        <w:rPr>
          <w:rFonts w:hint="eastAsia" w:ascii="宋体" w:hAnsi="宋体" w:eastAsia="宋体" w:cs="宋体"/>
          <w:color w:val="auto"/>
          <w:sz w:val="21"/>
          <w:szCs w:val="21"/>
          <w:highlight w:val="none"/>
        </w:rPr>
      </w:pPr>
    </w:p>
    <w:p w14:paraId="54EAAFCB">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6A8EBE95">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147C638F">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445478FD">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763CF1FC">
      <w:pPr>
        <w:widowControl/>
        <w:numPr>
          <w:ilvl w:val="0"/>
          <w:numId w:val="0"/>
        </w:numPr>
        <w:adjustRightInd/>
        <w:jc w:val="center"/>
        <w:rPr>
          <w:rFonts w:hint="eastAsia" w:cs="仿宋_GB2312" w:asciiTheme="minorEastAsia" w:hAnsiTheme="minorEastAsia" w:eastAsiaTheme="minorEastAsia"/>
          <w:b/>
          <w:color w:val="auto"/>
          <w:kern w:val="0"/>
          <w:sz w:val="30"/>
          <w:szCs w:val="30"/>
          <w:highlight w:val="none"/>
          <w:lang w:val="en-US" w:eastAsia="zh-CN"/>
        </w:rPr>
      </w:pPr>
    </w:p>
    <w:p w14:paraId="23F1E678">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14:paraId="7C700EB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14:paraId="0F6A0DBF">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F6CD38B">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14:paraId="4D593AF0">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1DCE53D">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14:paraId="3567C889">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3A372F37">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14:paraId="3D72E64E">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62A98F">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E8B285F">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71401664">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14:paraId="13705299">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4277D7E8">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14:paraId="158519ED">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14:paraId="52B3DB2B">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644E714A">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563F605A">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C926088">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14:paraId="1F3CBDF3">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14:paraId="4DE7BEC6">
      <w:pPr>
        <w:widowControl/>
        <w:adjustRightInd/>
        <w:jc w:val="center"/>
        <w:rPr>
          <w:rFonts w:cs="仿宋_GB2312" w:asciiTheme="minorEastAsia" w:hAnsiTheme="minorEastAsia" w:eastAsiaTheme="minorEastAsia"/>
          <w:b/>
          <w:color w:val="auto"/>
          <w:kern w:val="0"/>
          <w:sz w:val="32"/>
          <w:szCs w:val="32"/>
          <w:highlight w:val="none"/>
        </w:rPr>
      </w:pPr>
    </w:p>
    <w:p w14:paraId="3329AD1C">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021D1A59">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14:paraId="0594C949">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lang w:val="zh-CN"/>
        </w:rPr>
        <w:t>政府采购供应商廉洁自律承诺书</w:t>
      </w:r>
    </w:p>
    <w:p w14:paraId="431DD389">
      <w:pPr>
        <w:rPr>
          <w:rFonts w:hint="eastAsia"/>
          <w:color w:val="auto"/>
          <w:highlight w:val="none"/>
          <w:lang w:val="zh-CN"/>
        </w:rPr>
      </w:pPr>
    </w:p>
    <w:p w14:paraId="6A80EDF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14:paraId="6E6F713E">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14:paraId="0B43BE3E">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14:paraId="65C10492">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14:paraId="5B1B339C">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14:paraId="10BFA1D5">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14:paraId="4134FF37">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14:paraId="0F22F898">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5B781B0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14:paraId="42047521">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14:paraId="463B2FE8">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14:paraId="3AEC3765">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14:paraId="5B6BD885">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14:paraId="102B1C18">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eastAsia="宋体" w:cs="宋体"/>
          <w:b/>
          <w:bCs/>
          <w:color w:val="auto"/>
          <w:kern w:val="2"/>
          <w:sz w:val="30"/>
          <w:szCs w:val="30"/>
          <w:highlight w:val="none"/>
          <w:lang w:val="en-US" w:eastAsia="zh-CN" w:bidi="ar-SA"/>
        </w:rPr>
        <w:t>4.商务技术服务响应、偏离情况说明表</w:t>
      </w:r>
    </w:p>
    <w:p w14:paraId="74EB2C29">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14:paraId="3D3687E4">
      <w:pPr>
        <w:keepNext/>
        <w:keepLines/>
        <w:pageBreakBefore w:val="0"/>
        <w:topLinePunct w:val="0"/>
        <w:bidi w:val="0"/>
        <w:spacing w:line="32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0BF828CA">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14:paraId="6F831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14:paraId="2E711DE0">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05" w:type="dxa"/>
            <w:noWrap w:val="0"/>
            <w:vAlign w:val="center"/>
          </w:tcPr>
          <w:p w14:paraId="09D41DD0">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p>
        </w:tc>
        <w:tc>
          <w:tcPr>
            <w:tcW w:w="3149" w:type="dxa"/>
            <w:noWrap w:val="0"/>
            <w:vAlign w:val="center"/>
          </w:tcPr>
          <w:p w14:paraId="4D0B91B7">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响应文件具体响应</w:t>
            </w:r>
          </w:p>
        </w:tc>
        <w:tc>
          <w:tcPr>
            <w:tcW w:w="1565" w:type="dxa"/>
            <w:noWrap w:val="0"/>
            <w:vAlign w:val="center"/>
          </w:tcPr>
          <w:p w14:paraId="4EA64340">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454" w:type="dxa"/>
            <w:noWrap w:val="0"/>
            <w:vAlign w:val="center"/>
          </w:tcPr>
          <w:p w14:paraId="3785DD09">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3" w:name="_Toc173211904"/>
            <w:bookmarkStart w:id="74" w:name="_Toc405905880"/>
            <w:bookmarkStart w:id="75" w:name="_Toc254970733"/>
            <w:bookmarkStart w:id="76" w:name="_Toc173066405"/>
            <w:bookmarkStart w:id="77" w:name="_Toc254970592"/>
            <w:r>
              <w:rPr>
                <w:rFonts w:hint="eastAsia" w:ascii="宋体" w:hAnsi="宋体" w:eastAsia="宋体" w:cs="宋体"/>
                <w:color w:val="auto"/>
                <w:szCs w:val="21"/>
                <w:highlight w:val="none"/>
              </w:rPr>
              <w:t>说明</w:t>
            </w:r>
            <w:bookmarkEnd w:id="73"/>
            <w:bookmarkEnd w:id="74"/>
            <w:bookmarkEnd w:id="75"/>
            <w:bookmarkEnd w:id="76"/>
            <w:bookmarkEnd w:id="77"/>
          </w:p>
        </w:tc>
      </w:tr>
      <w:tr w14:paraId="66B66F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32F83AB4">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8" w:name="_Toc405905881"/>
            <w:r>
              <w:rPr>
                <w:rFonts w:hint="eastAsia" w:ascii="宋体" w:hAnsi="宋体" w:eastAsia="宋体" w:cs="宋体"/>
                <w:color w:val="auto"/>
                <w:szCs w:val="21"/>
                <w:highlight w:val="none"/>
              </w:rPr>
              <w:t>商务部分</w:t>
            </w:r>
            <w:bookmarkEnd w:id="78"/>
          </w:p>
        </w:tc>
      </w:tr>
      <w:tr w14:paraId="2252E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64E7BF1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05" w:type="dxa"/>
            <w:noWrap w:val="0"/>
            <w:vAlign w:val="center"/>
          </w:tcPr>
          <w:p w14:paraId="633188B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4B51457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0D58F3F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563D37A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7CFC6F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1A4FC36A">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05" w:type="dxa"/>
            <w:noWrap w:val="0"/>
            <w:vAlign w:val="center"/>
          </w:tcPr>
          <w:p w14:paraId="5BBDDF9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6E6F788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37411C3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0634BC8A">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4CBAA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0D79409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05" w:type="dxa"/>
            <w:noWrap w:val="0"/>
            <w:vAlign w:val="center"/>
          </w:tcPr>
          <w:p w14:paraId="0C158D6E">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5B57F2A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0170D26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02CF243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6CB3AD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0FD9522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9" w:name="_Toc405905886"/>
            <w:r>
              <w:rPr>
                <w:rFonts w:hint="eastAsia" w:ascii="宋体" w:hAnsi="宋体" w:eastAsia="宋体" w:cs="宋体"/>
                <w:color w:val="auto"/>
                <w:szCs w:val="21"/>
                <w:highlight w:val="none"/>
              </w:rPr>
              <w:t>技术部分</w:t>
            </w:r>
            <w:bookmarkEnd w:id="79"/>
          </w:p>
        </w:tc>
      </w:tr>
      <w:tr w14:paraId="300E3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79D8640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0" w:name="_Toc405905887"/>
            <w:r>
              <w:rPr>
                <w:rFonts w:hint="eastAsia" w:ascii="宋体" w:hAnsi="宋体" w:eastAsia="宋体" w:cs="宋体"/>
                <w:color w:val="auto"/>
                <w:szCs w:val="21"/>
                <w:highlight w:val="none"/>
              </w:rPr>
              <w:t>1</w:t>
            </w:r>
            <w:bookmarkEnd w:id="80"/>
          </w:p>
        </w:tc>
        <w:tc>
          <w:tcPr>
            <w:tcW w:w="3005" w:type="dxa"/>
            <w:noWrap w:val="0"/>
            <w:vAlign w:val="center"/>
          </w:tcPr>
          <w:p w14:paraId="4602A70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03822E5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1AE481C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72C4553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2ABFD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0E2EE60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1" w:name="_Toc405905888"/>
            <w:r>
              <w:rPr>
                <w:rFonts w:hint="eastAsia" w:ascii="宋体" w:hAnsi="宋体" w:eastAsia="宋体" w:cs="宋体"/>
                <w:color w:val="auto"/>
                <w:szCs w:val="21"/>
                <w:highlight w:val="none"/>
              </w:rPr>
              <w:t>2</w:t>
            </w:r>
            <w:bookmarkEnd w:id="81"/>
          </w:p>
        </w:tc>
        <w:tc>
          <w:tcPr>
            <w:tcW w:w="3005" w:type="dxa"/>
            <w:noWrap w:val="0"/>
            <w:vAlign w:val="center"/>
          </w:tcPr>
          <w:p w14:paraId="23957D0E">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61F86A9E">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0EF1E60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4A3ABDC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4DF141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14:paraId="66C09CD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2" w:name="_Toc405905890"/>
            <w:r>
              <w:rPr>
                <w:rFonts w:hint="eastAsia" w:ascii="宋体" w:hAnsi="宋体" w:eastAsia="宋体" w:cs="宋体"/>
                <w:color w:val="auto"/>
                <w:szCs w:val="21"/>
                <w:highlight w:val="none"/>
              </w:rPr>
              <w:t>…</w:t>
            </w:r>
            <w:bookmarkEnd w:id="82"/>
          </w:p>
        </w:tc>
        <w:tc>
          <w:tcPr>
            <w:tcW w:w="3005" w:type="dxa"/>
            <w:noWrap w:val="0"/>
            <w:vAlign w:val="center"/>
          </w:tcPr>
          <w:p w14:paraId="163EF96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5FDFD84A">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14:paraId="4E27F15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14:paraId="424EABF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14:paraId="249B2C04">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412BE4F9">
      <w:pPr>
        <w:pStyle w:val="22"/>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14:paraId="55B0C6C1">
      <w:pPr>
        <w:pStyle w:val="34"/>
        <w:keepNext/>
        <w:keepLines/>
        <w:pageBreakBefore w:val="0"/>
        <w:topLinePunct w:val="0"/>
        <w:bidi w:val="0"/>
        <w:spacing w:line="360" w:lineRule="exact"/>
        <w:rPr>
          <w:rFonts w:hint="eastAsia" w:ascii="宋体" w:hAnsi="宋体" w:eastAsia="宋体" w:cs="宋体"/>
          <w:color w:val="auto"/>
          <w:highlight w:val="none"/>
        </w:rPr>
      </w:pPr>
    </w:p>
    <w:p w14:paraId="77DC934D">
      <w:pPr>
        <w:pStyle w:val="34"/>
        <w:keepNext/>
        <w:keepLines/>
        <w:pageBreakBefore w:val="0"/>
        <w:kinsoku/>
        <w:wordWrap/>
        <w:overflowPunct/>
        <w:topLinePunct w:val="0"/>
        <w:bidi w:val="0"/>
        <w:spacing w:line="360" w:lineRule="exact"/>
        <w:rPr>
          <w:rFonts w:hint="eastAsia" w:ascii="宋体" w:hAnsi="宋体" w:eastAsia="宋体" w:cs="宋体"/>
          <w:color w:val="auto"/>
          <w:highlight w:val="none"/>
        </w:rPr>
      </w:pPr>
    </w:p>
    <w:p w14:paraId="1B1D164D">
      <w:pPr>
        <w:pStyle w:val="14"/>
        <w:rPr>
          <w:rFonts w:hint="eastAsia"/>
          <w:highlight w:val="none"/>
        </w:rPr>
      </w:pPr>
    </w:p>
    <w:p w14:paraId="697E950E">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4CD264D4">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01E588DE">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147F2E33">
      <w:pPr>
        <w:pStyle w:val="34"/>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14:paraId="33DBF6DF">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3D986EE7">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34EBABBB">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DD1411A">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3FFB111B">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183443EC">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691BBD50">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1D4056B">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14:paraId="24684D1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14:paraId="63C0A827">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62"/>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6"/>
        <w:gridCol w:w="1409"/>
        <w:gridCol w:w="656"/>
        <w:gridCol w:w="917"/>
        <w:gridCol w:w="917"/>
        <w:gridCol w:w="1697"/>
        <w:gridCol w:w="1329"/>
        <w:gridCol w:w="1168"/>
      </w:tblGrid>
      <w:tr w14:paraId="3341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7" w:type="dxa"/>
            <w:vMerge w:val="restart"/>
            <w:vAlign w:val="center"/>
          </w:tcPr>
          <w:p w14:paraId="081851EF">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16" w:type="dxa"/>
            <w:vMerge w:val="restart"/>
            <w:vAlign w:val="center"/>
          </w:tcPr>
          <w:p w14:paraId="10276749">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09" w:type="dxa"/>
            <w:vMerge w:val="restart"/>
            <w:vAlign w:val="center"/>
          </w:tcPr>
          <w:p w14:paraId="0FE47137">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56" w:type="dxa"/>
            <w:vMerge w:val="restart"/>
            <w:vAlign w:val="center"/>
          </w:tcPr>
          <w:p w14:paraId="09A9324D">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17" w:type="dxa"/>
            <w:vMerge w:val="restart"/>
            <w:vAlign w:val="center"/>
          </w:tcPr>
          <w:p w14:paraId="09707F49">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17" w:type="dxa"/>
            <w:vMerge w:val="restart"/>
            <w:vAlign w:val="center"/>
          </w:tcPr>
          <w:p w14:paraId="65F98949">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26" w:type="dxa"/>
            <w:gridSpan w:val="2"/>
            <w:vAlign w:val="center"/>
          </w:tcPr>
          <w:p w14:paraId="6D7544B5">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68" w:type="dxa"/>
            <w:vMerge w:val="restart"/>
            <w:vAlign w:val="center"/>
          </w:tcPr>
          <w:p w14:paraId="42F869AF">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14:paraId="24B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7" w:type="dxa"/>
            <w:vMerge w:val="continue"/>
            <w:vAlign w:val="center"/>
          </w:tcPr>
          <w:p w14:paraId="1FEEA891">
            <w:pPr>
              <w:keepNext/>
              <w:keepLines/>
              <w:jc w:val="center"/>
              <w:rPr>
                <w:rFonts w:ascii="宋体" w:hAnsi="宋体"/>
                <w:color w:val="auto"/>
                <w:szCs w:val="21"/>
                <w:highlight w:val="none"/>
              </w:rPr>
            </w:pPr>
          </w:p>
        </w:tc>
        <w:tc>
          <w:tcPr>
            <w:tcW w:w="916" w:type="dxa"/>
            <w:vMerge w:val="continue"/>
            <w:vAlign w:val="center"/>
          </w:tcPr>
          <w:p w14:paraId="62F8F97C">
            <w:pPr>
              <w:keepNext/>
              <w:keepLines/>
              <w:jc w:val="center"/>
              <w:rPr>
                <w:rFonts w:ascii="宋体" w:hAnsi="宋体"/>
                <w:color w:val="auto"/>
                <w:szCs w:val="21"/>
                <w:highlight w:val="none"/>
              </w:rPr>
            </w:pPr>
          </w:p>
        </w:tc>
        <w:tc>
          <w:tcPr>
            <w:tcW w:w="1409" w:type="dxa"/>
            <w:vMerge w:val="continue"/>
          </w:tcPr>
          <w:p w14:paraId="11583442">
            <w:pPr>
              <w:keepNext/>
              <w:keepLines/>
              <w:jc w:val="center"/>
              <w:rPr>
                <w:rFonts w:ascii="宋体" w:hAnsi="宋体"/>
                <w:color w:val="auto"/>
                <w:szCs w:val="21"/>
                <w:highlight w:val="none"/>
              </w:rPr>
            </w:pPr>
          </w:p>
        </w:tc>
        <w:tc>
          <w:tcPr>
            <w:tcW w:w="656" w:type="dxa"/>
            <w:vMerge w:val="continue"/>
          </w:tcPr>
          <w:p w14:paraId="4EE6F9AD">
            <w:pPr>
              <w:keepNext/>
              <w:keepLines/>
              <w:jc w:val="center"/>
              <w:rPr>
                <w:rFonts w:ascii="宋体" w:hAnsi="宋体"/>
                <w:color w:val="auto"/>
                <w:szCs w:val="21"/>
                <w:highlight w:val="none"/>
              </w:rPr>
            </w:pPr>
          </w:p>
        </w:tc>
        <w:tc>
          <w:tcPr>
            <w:tcW w:w="917" w:type="dxa"/>
            <w:vMerge w:val="continue"/>
          </w:tcPr>
          <w:p w14:paraId="542A618B">
            <w:pPr>
              <w:keepNext/>
              <w:keepLines/>
              <w:jc w:val="center"/>
              <w:rPr>
                <w:rFonts w:ascii="宋体" w:hAnsi="宋体"/>
                <w:color w:val="auto"/>
                <w:szCs w:val="21"/>
                <w:highlight w:val="none"/>
              </w:rPr>
            </w:pPr>
          </w:p>
        </w:tc>
        <w:tc>
          <w:tcPr>
            <w:tcW w:w="917" w:type="dxa"/>
            <w:vMerge w:val="continue"/>
            <w:vAlign w:val="center"/>
          </w:tcPr>
          <w:p w14:paraId="366DA018">
            <w:pPr>
              <w:keepNext/>
              <w:keepLines/>
              <w:jc w:val="center"/>
              <w:rPr>
                <w:rFonts w:ascii="宋体" w:hAnsi="宋体"/>
                <w:color w:val="auto"/>
                <w:szCs w:val="21"/>
                <w:highlight w:val="none"/>
              </w:rPr>
            </w:pPr>
          </w:p>
        </w:tc>
        <w:tc>
          <w:tcPr>
            <w:tcW w:w="1697" w:type="dxa"/>
            <w:vAlign w:val="center"/>
          </w:tcPr>
          <w:p w14:paraId="670DD836">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29" w:type="dxa"/>
            <w:vAlign w:val="center"/>
          </w:tcPr>
          <w:p w14:paraId="3D000164">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68" w:type="dxa"/>
            <w:vMerge w:val="continue"/>
            <w:vAlign w:val="center"/>
          </w:tcPr>
          <w:p w14:paraId="265AC6FB">
            <w:pPr>
              <w:keepNext/>
              <w:keepLines/>
              <w:jc w:val="center"/>
              <w:rPr>
                <w:rFonts w:ascii="宋体" w:hAnsi="宋体"/>
                <w:color w:val="auto"/>
                <w:szCs w:val="21"/>
                <w:highlight w:val="none"/>
              </w:rPr>
            </w:pPr>
          </w:p>
        </w:tc>
      </w:tr>
      <w:tr w14:paraId="0F91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14:paraId="0D45F12C">
            <w:pPr>
              <w:keepNext/>
              <w:keepLines/>
              <w:ind w:left="223" w:hanging="222" w:hangingChars="106"/>
              <w:jc w:val="center"/>
              <w:rPr>
                <w:color w:val="auto"/>
                <w:szCs w:val="21"/>
                <w:highlight w:val="none"/>
              </w:rPr>
            </w:pPr>
          </w:p>
        </w:tc>
        <w:tc>
          <w:tcPr>
            <w:tcW w:w="916" w:type="dxa"/>
            <w:vAlign w:val="center"/>
          </w:tcPr>
          <w:p w14:paraId="29692294">
            <w:pPr>
              <w:keepNext/>
              <w:keepLines/>
              <w:jc w:val="center"/>
              <w:rPr>
                <w:rFonts w:ascii="宋体" w:hAnsi="宋体"/>
                <w:b/>
                <w:color w:val="auto"/>
                <w:szCs w:val="21"/>
                <w:highlight w:val="none"/>
              </w:rPr>
            </w:pPr>
          </w:p>
        </w:tc>
        <w:tc>
          <w:tcPr>
            <w:tcW w:w="1409" w:type="dxa"/>
          </w:tcPr>
          <w:p w14:paraId="7B9FA88A">
            <w:pPr>
              <w:keepNext/>
              <w:keepLines/>
              <w:jc w:val="center"/>
              <w:rPr>
                <w:rFonts w:ascii="宋体" w:hAnsi="宋体"/>
                <w:b/>
                <w:color w:val="auto"/>
                <w:szCs w:val="21"/>
                <w:highlight w:val="none"/>
              </w:rPr>
            </w:pPr>
          </w:p>
        </w:tc>
        <w:tc>
          <w:tcPr>
            <w:tcW w:w="656" w:type="dxa"/>
          </w:tcPr>
          <w:p w14:paraId="6631AFDB">
            <w:pPr>
              <w:keepNext/>
              <w:keepLines/>
              <w:jc w:val="center"/>
              <w:rPr>
                <w:rFonts w:ascii="宋体" w:hAnsi="宋体"/>
                <w:b/>
                <w:color w:val="auto"/>
                <w:szCs w:val="21"/>
                <w:highlight w:val="none"/>
              </w:rPr>
            </w:pPr>
          </w:p>
        </w:tc>
        <w:tc>
          <w:tcPr>
            <w:tcW w:w="917" w:type="dxa"/>
          </w:tcPr>
          <w:p w14:paraId="1C570807">
            <w:pPr>
              <w:keepNext/>
              <w:keepLines/>
              <w:jc w:val="center"/>
              <w:rPr>
                <w:rFonts w:ascii="宋体" w:hAnsi="宋体"/>
                <w:b/>
                <w:color w:val="auto"/>
                <w:szCs w:val="21"/>
                <w:highlight w:val="none"/>
              </w:rPr>
            </w:pPr>
          </w:p>
        </w:tc>
        <w:tc>
          <w:tcPr>
            <w:tcW w:w="917" w:type="dxa"/>
            <w:vAlign w:val="center"/>
          </w:tcPr>
          <w:p w14:paraId="5D721054">
            <w:pPr>
              <w:keepNext/>
              <w:keepLines/>
              <w:jc w:val="center"/>
              <w:rPr>
                <w:rFonts w:ascii="宋体" w:hAnsi="宋体"/>
                <w:b/>
                <w:color w:val="auto"/>
                <w:szCs w:val="21"/>
                <w:highlight w:val="none"/>
              </w:rPr>
            </w:pPr>
          </w:p>
        </w:tc>
        <w:tc>
          <w:tcPr>
            <w:tcW w:w="1697" w:type="dxa"/>
            <w:vAlign w:val="center"/>
          </w:tcPr>
          <w:p w14:paraId="3EE45DAA">
            <w:pPr>
              <w:keepNext/>
              <w:keepLines/>
              <w:jc w:val="center"/>
              <w:rPr>
                <w:rFonts w:ascii="宋体" w:hAnsi="宋体"/>
                <w:b/>
                <w:color w:val="auto"/>
                <w:szCs w:val="21"/>
                <w:highlight w:val="none"/>
              </w:rPr>
            </w:pPr>
          </w:p>
        </w:tc>
        <w:tc>
          <w:tcPr>
            <w:tcW w:w="1329" w:type="dxa"/>
            <w:vAlign w:val="center"/>
          </w:tcPr>
          <w:p w14:paraId="79EA0B60">
            <w:pPr>
              <w:keepNext/>
              <w:keepLines/>
              <w:jc w:val="center"/>
              <w:rPr>
                <w:rFonts w:ascii="宋体" w:hAnsi="宋体"/>
                <w:b/>
                <w:color w:val="auto"/>
                <w:szCs w:val="21"/>
                <w:highlight w:val="none"/>
              </w:rPr>
            </w:pPr>
          </w:p>
        </w:tc>
        <w:tc>
          <w:tcPr>
            <w:tcW w:w="1168" w:type="dxa"/>
            <w:vAlign w:val="center"/>
          </w:tcPr>
          <w:p w14:paraId="2864C4A1">
            <w:pPr>
              <w:keepNext/>
              <w:keepLines/>
              <w:jc w:val="center"/>
              <w:rPr>
                <w:rFonts w:ascii="宋体" w:hAnsi="宋体"/>
                <w:b/>
                <w:color w:val="auto"/>
                <w:szCs w:val="21"/>
                <w:highlight w:val="none"/>
              </w:rPr>
            </w:pPr>
          </w:p>
        </w:tc>
      </w:tr>
      <w:tr w14:paraId="3134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14:paraId="05E94E16">
            <w:pPr>
              <w:keepNext/>
              <w:keepLines/>
              <w:ind w:left="223" w:hanging="222" w:hangingChars="106"/>
              <w:jc w:val="center"/>
              <w:rPr>
                <w:color w:val="auto"/>
                <w:szCs w:val="21"/>
                <w:highlight w:val="none"/>
              </w:rPr>
            </w:pPr>
          </w:p>
        </w:tc>
        <w:tc>
          <w:tcPr>
            <w:tcW w:w="916" w:type="dxa"/>
            <w:vAlign w:val="center"/>
          </w:tcPr>
          <w:p w14:paraId="3340F1AA">
            <w:pPr>
              <w:keepNext/>
              <w:keepLines/>
              <w:jc w:val="center"/>
              <w:rPr>
                <w:rFonts w:ascii="宋体" w:hAnsi="宋体"/>
                <w:b/>
                <w:color w:val="auto"/>
                <w:szCs w:val="21"/>
                <w:highlight w:val="none"/>
              </w:rPr>
            </w:pPr>
          </w:p>
        </w:tc>
        <w:tc>
          <w:tcPr>
            <w:tcW w:w="1409" w:type="dxa"/>
          </w:tcPr>
          <w:p w14:paraId="50EAF2D7">
            <w:pPr>
              <w:keepNext/>
              <w:keepLines/>
              <w:jc w:val="center"/>
              <w:rPr>
                <w:rFonts w:ascii="宋体" w:hAnsi="宋体"/>
                <w:b/>
                <w:color w:val="auto"/>
                <w:szCs w:val="21"/>
                <w:highlight w:val="none"/>
              </w:rPr>
            </w:pPr>
          </w:p>
        </w:tc>
        <w:tc>
          <w:tcPr>
            <w:tcW w:w="656" w:type="dxa"/>
          </w:tcPr>
          <w:p w14:paraId="2703617D">
            <w:pPr>
              <w:keepNext/>
              <w:keepLines/>
              <w:jc w:val="center"/>
              <w:rPr>
                <w:rFonts w:ascii="宋体" w:hAnsi="宋体"/>
                <w:b/>
                <w:color w:val="auto"/>
                <w:szCs w:val="21"/>
                <w:highlight w:val="none"/>
              </w:rPr>
            </w:pPr>
          </w:p>
        </w:tc>
        <w:tc>
          <w:tcPr>
            <w:tcW w:w="917" w:type="dxa"/>
          </w:tcPr>
          <w:p w14:paraId="04955FEA">
            <w:pPr>
              <w:keepNext/>
              <w:keepLines/>
              <w:jc w:val="center"/>
              <w:rPr>
                <w:rFonts w:ascii="宋体" w:hAnsi="宋体"/>
                <w:b/>
                <w:color w:val="auto"/>
                <w:szCs w:val="21"/>
                <w:highlight w:val="none"/>
              </w:rPr>
            </w:pPr>
          </w:p>
        </w:tc>
        <w:tc>
          <w:tcPr>
            <w:tcW w:w="917" w:type="dxa"/>
            <w:vAlign w:val="center"/>
          </w:tcPr>
          <w:p w14:paraId="13339F7E">
            <w:pPr>
              <w:keepNext/>
              <w:keepLines/>
              <w:jc w:val="center"/>
              <w:rPr>
                <w:rFonts w:ascii="宋体" w:hAnsi="宋体"/>
                <w:b/>
                <w:color w:val="auto"/>
                <w:szCs w:val="21"/>
                <w:highlight w:val="none"/>
              </w:rPr>
            </w:pPr>
          </w:p>
        </w:tc>
        <w:tc>
          <w:tcPr>
            <w:tcW w:w="1697" w:type="dxa"/>
            <w:vAlign w:val="center"/>
          </w:tcPr>
          <w:p w14:paraId="5AE33DBE">
            <w:pPr>
              <w:keepNext/>
              <w:keepLines/>
              <w:jc w:val="center"/>
              <w:rPr>
                <w:rFonts w:ascii="宋体" w:hAnsi="宋体"/>
                <w:b/>
                <w:color w:val="auto"/>
                <w:szCs w:val="21"/>
                <w:highlight w:val="none"/>
              </w:rPr>
            </w:pPr>
          </w:p>
        </w:tc>
        <w:tc>
          <w:tcPr>
            <w:tcW w:w="1329" w:type="dxa"/>
            <w:vAlign w:val="center"/>
          </w:tcPr>
          <w:p w14:paraId="565C8EB8">
            <w:pPr>
              <w:keepNext/>
              <w:keepLines/>
              <w:jc w:val="center"/>
              <w:rPr>
                <w:rFonts w:ascii="宋体" w:hAnsi="宋体"/>
                <w:b/>
                <w:color w:val="auto"/>
                <w:szCs w:val="21"/>
                <w:highlight w:val="none"/>
              </w:rPr>
            </w:pPr>
          </w:p>
        </w:tc>
        <w:tc>
          <w:tcPr>
            <w:tcW w:w="1168" w:type="dxa"/>
            <w:vAlign w:val="center"/>
          </w:tcPr>
          <w:p w14:paraId="6D2699A1">
            <w:pPr>
              <w:keepNext/>
              <w:keepLines/>
              <w:jc w:val="center"/>
              <w:rPr>
                <w:rFonts w:ascii="宋体" w:hAnsi="宋体"/>
                <w:b/>
                <w:color w:val="auto"/>
                <w:szCs w:val="21"/>
                <w:highlight w:val="none"/>
              </w:rPr>
            </w:pPr>
          </w:p>
        </w:tc>
      </w:tr>
      <w:tr w14:paraId="3035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vAlign w:val="center"/>
          </w:tcPr>
          <w:p w14:paraId="7759FB26">
            <w:pPr>
              <w:keepNext/>
              <w:keepLines/>
              <w:ind w:left="223" w:hanging="222" w:hangingChars="106"/>
              <w:jc w:val="center"/>
              <w:rPr>
                <w:color w:val="auto"/>
                <w:szCs w:val="21"/>
                <w:highlight w:val="none"/>
              </w:rPr>
            </w:pPr>
          </w:p>
        </w:tc>
        <w:tc>
          <w:tcPr>
            <w:tcW w:w="916" w:type="dxa"/>
            <w:vAlign w:val="center"/>
          </w:tcPr>
          <w:p w14:paraId="69AEE2B8">
            <w:pPr>
              <w:keepNext/>
              <w:keepLines/>
              <w:jc w:val="center"/>
              <w:rPr>
                <w:rFonts w:ascii="宋体" w:hAnsi="宋体"/>
                <w:b/>
                <w:color w:val="auto"/>
                <w:szCs w:val="21"/>
                <w:highlight w:val="none"/>
              </w:rPr>
            </w:pPr>
          </w:p>
        </w:tc>
        <w:tc>
          <w:tcPr>
            <w:tcW w:w="1409" w:type="dxa"/>
          </w:tcPr>
          <w:p w14:paraId="2A2AE289">
            <w:pPr>
              <w:keepNext/>
              <w:keepLines/>
              <w:jc w:val="center"/>
              <w:rPr>
                <w:rFonts w:ascii="宋体" w:hAnsi="宋体"/>
                <w:b/>
                <w:color w:val="auto"/>
                <w:szCs w:val="21"/>
                <w:highlight w:val="none"/>
              </w:rPr>
            </w:pPr>
          </w:p>
        </w:tc>
        <w:tc>
          <w:tcPr>
            <w:tcW w:w="656" w:type="dxa"/>
          </w:tcPr>
          <w:p w14:paraId="2F367BBB">
            <w:pPr>
              <w:keepNext/>
              <w:keepLines/>
              <w:jc w:val="center"/>
              <w:rPr>
                <w:rFonts w:ascii="宋体" w:hAnsi="宋体"/>
                <w:b/>
                <w:color w:val="auto"/>
                <w:szCs w:val="21"/>
                <w:highlight w:val="none"/>
              </w:rPr>
            </w:pPr>
          </w:p>
        </w:tc>
        <w:tc>
          <w:tcPr>
            <w:tcW w:w="917" w:type="dxa"/>
          </w:tcPr>
          <w:p w14:paraId="2A10E864">
            <w:pPr>
              <w:keepNext/>
              <w:keepLines/>
              <w:jc w:val="center"/>
              <w:rPr>
                <w:rFonts w:ascii="宋体" w:hAnsi="宋体"/>
                <w:b/>
                <w:color w:val="auto"/>
                <w:szCs w:val="21"/>
                <w:highlight w:val="none"/>
              </w:rPr>
            </w:pPr>
          </w:p>
        </w:tc>
        <w:tc>
          <w:tcPr>
            <w:tcW w:w="917" w:type="dxa"/>
            <w:vAlign w:val="center"/>
          </w:tcPr>
          <w:p w14:paraId="7B592F79">
            <w:pPr>
              <w:keepNext/>
              <w:keepLines/>
              <w:jc w:val="center"/>
              <w:rPr>
                <w:rFonts w:ascii="宋体" w:hAnsi="宋体"/>
                <w:b/>
                <w:color w:val="auto"/>
                <w:szCs w:val="21"/>
                <w:highlight w:val="none"/>
              </w:rPr>
            </w:pPr>
          </w:p>
        </w:tc>
        <w:tc>
          <w:tcPr>
            <w:tcW w:w="1697" w:type="dxa"/>
            <w:vAlign w:val="center"/>
          </w:tcPr>
          <w:p w14:paraId="290AF4F9">
            <w:pPr>
              <w:keepNext/>
              <w:keepLines/>
              <w:jc w:val="center"/>
              <w:rPr>
                <w:rFonts w:ascii="宋体" w:hAnsi="宋体"/>
                <w:b/>
                <w:color w:val="auto"/>
                <w:szCs w:val="21"/>
                <w:highlight w:val="none"/>
              </w:rPr>
            </w:pPr>
          </w:p>
        </w:tc>
        <w:tc>
          <w:tcPr>
            <w:tcW w:w="1329" w:type="dxa"/>
            <w:vAlign w:val="center"/>
          </w:tcPr>
          <w:p w14:paraId="17BF85D9">
            <w:pPr>
              <w:keepNext/>
              <w:keepLines/>
              <w:jc w:val="center"/>
              <w:rPr>
                <w:rFonts w:ascii="宋体" w:hAnsi="宋体"/>
                <w:b/>
                <w:color w:val="auto"/>
                <w:szCs w:val="21"/>
                <w:highlight w:val="none"/>
              </w:rPr>
            </w:pPr>
          </w:p>
        </w:tc>
        <w:tc>
          <w:tcPr>
            <w:tcW w:w="1168" w:type="dxa"/>
            <w:vAlign w:val="center"/>
          </w:tcPr>
          <w:p w14:paraId="46805DB3">
            <w:pPr>
              <w:keepNext/>
              <w:keepLines/>
              <w:jc w:val="center"/>
              <w:rPr>
                <w:rFonts w:ascii="宋体" w:hAnsi="宋体"/>
                <w:b/>
                <w:color w:val="auto"/>
                <w:szCs w:val="21"/>
                <w:highlight w:val="none"/>
              </w:rPr>
            </w:pPr>
          </w:p>
        </w:tc>
      </w:tr>
    </w:tbl>
    <w:p w14:paraId="3023A1E6">
      <w:pPr>
        <w:pStyle w:val="40"/>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14:paraId="19EDB533">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14:paraId="79CC3A37">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14:paraId="407F2B7E">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p w14:paraId="78EF4E88">
      <w:pPr>
        <w:keepNext w:val="0"/>
        <w:keepLines w:val="0"/>
        <w:pageBreakBefore w:val="0"/>
        <w:widowControl w:val="0"/>
        <w:tabs>
          <w:tab w:val="left" w:pos="2155"/>
        </w:tabs>
        <w:kinsoku/>
        <w:wordWrap w:val="0"/>
        <w:overflowPunct/>
        <w:topLinePunct w:val="0"/>
        <w:autoSpaceDE/>
        <w:autoSpaceDN/>
        <w:bidi w:val="0"/>
        <w:adjustRightInd w:val="0"/>
        <w:spacing w:line="370" w:lineRule="exact"/>
        <w:ind w:firstLine="904" w:firstLineChars="300"/>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14:paraId="7C20EE5D">
      <w:pPr>
        <w:keepNext w:val="0"/>
        <w:keepLines w:val="0"/>
        <w:pageBreakBefore w:val="0"/>
        <w:widowControl w:val="0"/>
        <w:tabs>
          <w:tab w:val="left" w:pos="2155"/>
        </w:tabs>
        <w:kinsoku/>
        <w:wordWrap w:val="0"/>
        <w:overflowPunct/>
        <w:topLinePunct w:val="0"/>
        <w:autoSpaceDE/>
        <w:autoSpaceDN/>
        <w:bidi w:val="0"/>
        <w:adjustRightInd w:val="0"/>
        <w:spacing w:line="370" w:lineRule="exact"/>
        <w:jc w:val="center"/>
        <w:textAlignment w:val="baseline"/>
        <w:outlineLvl w:val="3"/>
        <w:rPr>
          <w:rFonts w:hint="eastAsia" w:cs="仿宋_GB2312" w:asciiTheme="minorEastAsia" w:hAnsiTheme="minorEastAsia" w:eastAsiaTheme="minorEastAsia"/>
          <w:b/>
          <w:bCs/>
          <w:color w:val="auto"/>
          <w:kern w:val="2"/>
          <w:sz w:val="30"/>
          <w:szCs w:val="30"/>
          <w:highlight w:val="none"/>
          <w:lang w:val="en-US" w:eastAsia="zh-CN" w:bidi="ar-SA"/>
        </w:rPr>
      </w:pPr>
    </w:p>
    <w:p w14:paraId="608FD595">
      <w:pPr>
        <w:pageBreakBefore w:val="0"/>
        <w:kinsoku/>
        <w:wordWrap/>
        <w:overflowPunct/>
        <w:topLinePunct w:val="0"/>
        <w:bidi w:val="0"/>
        <w:spacing w:line="300" w:lineRule="auto"/>
        <w:jc w:val="center"/>
        <w:rPr>
          <w:rFonts w:hint="eastAsia" w:ascii="宋体" w:hAnsi="宋体" w:cs="Times New Roman"/>
          <w:b/>
          <w:bCs/>
          <w:color w:val="auto"/>
          <w:kern w:val="2"/>
          <w:sz w:val="32"/>
          <w:szCs w:val="32"/>
          <w:highlight w:val="none"/>
          <w:lang w:val="en-US" w:eastAsia="zh-CN" w:bidi="ar-SA"/>
        </w:rPr>
      </w:pPr>
    </w:p>
    <w:p w14:paraId="6CBCDCA1">
      <w:pPr>
        <w:rPr>
          <w:rFonts w:hint="eastAsia"/>
          <w:color w:val="auto"/>
          <w:highlight w:val="none"/>
          <w:lang w:val="en-US" w:eastAsia="zh-CN"/>
        </w:rPr>
      </w:pPr>
    </w:p>
    <w:p w14:paraId="0342BB5E">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zh-CN"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6.2023年1月1日以来具有与本项目采购内容相关业绩证明材料</w:t>
      </w:r>
    </w:p>
    <w:p w14:paraId="3FB38E4A">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14:paraId="0D614908">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2"/>
        <w:tblW w:w="8339" w:type="dxa"/>
        <w:tblInd w:w="296" w:type="dxa"/>
        <w:tblLayout w:type="fixed"/>
        <w:tblCellMar>
          <w:top w:w="0" w:type="dxa"/>
          <w:left w:w="108" w:type="dxa"/>
          <w:bottom w:w="0" w:type="dxa"/>
          <w:right w:w="108" w:type="dxa"/>
        </w:tblCellMar>
      </w:tblPr>
      <w:tblGrid>
        <w:gridCol w:w="1722"/>
        <w:gridCol w:w="1451"/>
        <w:gridCol w:w="1222"/>
        <w:gridCol w:w="1235"/>
        <w:gridCol w:w="1622"/>
        <w:gridCol w:w="1087"/>
      </w:tblGrid>
      <w:tr w14:paraId="4F554F5F">
        <w:tblPrEx>
          <w:tblCellMar>
            <w:top w:w="0" w:type="dxa"/>
            <w:left w:w="108" w:type="dxa"/>
            <w:bottom w:w="0" w:type="dxa"/>
            <w:right w:w="108" w:type="dxa"/>
          </w:tblCellMar>
        </w:tblPrEx>
        <w:trPr>
          <w:trHeight w:val="749" w:hRule="atLeast"/>
        </w:trPr>
        <w:tc>
          <w:tcPr>
            <w:tcW w:w="1722" w:type="dxa"/>
            <w:tcBorders>
              <w:top w:val="single" w:color="auto" w:sz="6" w:space="0"/>
              <w:left w:val="single" w:color="auto" w:sz="6" w:space="0"/>
              <w:bottom w:val="single" w:color="auto" w:sz="6" w:space="0"/>
              <w:right w:val="single" w:color="auto" w:sz="6" w:space="0"/>
            </w:tcBorders>
            <w:vAlign w:val="center"/>
          </w:tcPr>
          <w:p w14:paraId="548B0DD7">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451" w:type="dxa"/>
            <w:tcBorders>
              <w:top w:val="single" w:color="auto" w:sz="6" w:space="0"/>
              <w:left w:val="single" w:color="auto" w:sz="6" w:space="0"/>
              <w:bottom w:val="single" w:color="auto" w:sz="6" w:space="0"/>
              <w:right w:val="single" w:color="auto" w:sz="6" w:space="0"/>
            </w:tcBorders>
            <w:vAlign w:val="center"/>
          </w:tcPr>
          <w:p w14:paraId="41A3EBEB">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22" w:type="dxa"/>
            <w:tcBorders>
              <w:top w:val="single" w:color="auto" w:sz="6" w:space="0"/>
              <w:left w:val="single" w:color="auto" w:sz="6" w:space="0"/>
              <w:bottom w:val="single" w:color="auto" w:sz="6" w:space="0"/>
              <w:right w:val="single" w:color="auto" w:sz="6" w:space="0"/>
            </w:tcBorders>
            <w:vAlign w:val="center"/>
          </w:tcPr>
          <w:p w14:paraId="6D01E8E6">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14:paraId="6FE412F3">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35" w:type="dxa"/>
            <w:tcBorders>
              <w:top w:val="single" w:color="auto" w:sz="6" w:space="0"/>
              <w:left w:val="single" w:color="auto" w:sz="6" w:space="0"/>
              <w:bottom w:val="single" w:color="auto" w:sz="6" w:space="0"/>
              <w:right w:val="single" w:color="auto" w:sz="6" w:space="0"/>
            </w:tcBorders>
            <w:vAlign w:val="center"/>
          </w:tcPr>
          <w:p w14:paraId="24EF12E1">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22" w:type="dxa"/>
            <w:tcBorders>
              <w:top w:val="single" w:color="auto" w:sz="6" w:space="0"/>
              <w:left w:val="single" w:color="auto" w:sz="6" w:space="0"/>
              <w:bottom w:val="single" w:color="auto" w:sz="6" w:space="0"/>
              <w:right w:val="single" w:color="auto" w:sz="6" w:space="0"/>
            </w:tcBorders>
            <w:vAlign w:val="center"/>
          </w:tcPr>
          <w:p w14:paraId="7F54B315">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087" w:type="dxa"/>
            <w:tcBorders>
              <w:top w:val="single" w:color="auto" w:sz="6" w:space="0"/>
              <w:left w:val="single" w:color="auto" w:sz="6" w:space="0"/>
              <w:bottom w:val="single" w:color="auto" w:sz="6" w:space="0"/>
              <w:right w:val="single" w:color="auto" w:sz="6" w:space="0"/>
            </w:tcBorders>
            <w:vAlign w:val="center"/>
          </w:tcPr>
          <w:p w14:paraId="7669229E">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14:paraId="1F6B29E4">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14:paraId="788B8A58">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451" w:type="dxa"/>
            <w:tcBorders>
              <w:top w:val="single" w:color="auto" w:sz="6" w:space="0"/>
              <w:left w:val="single" w:color="auto" w:sz="6" w:space="0"/>
              <w:bottom w:val="single" w:color="auto" w:sz="6" w:space="0"/>
              <w:right w:val="single" w:color="auto" w:sz="6" w:space="0"/>
            </w:tcBorders>
          </w:tcPr>
          <w:p w14:paraId="28FEDEA9">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14:paraId="2DD1F43C">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14:paraId="71906184">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14:paraId="53CC3E0F">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14:paraId="3E2FD72E">
            <w:pPr>
              <w:autoSpaceDE w:val="0"/>
              <w:autoSpaceDN w:val="0"/>
              <w:spacing w:line="360" w:lineRule="auto"/>
              <w:rPr>
                <w:rFonts w:cs="仿宋_GB2312" w:asciiTheme="minorEastAsia" w:hAnsiTheme="minorEastAsia" w:eastAsiaTheme="minorEastAsia"/>
                <w:color w:val="auto"/>
                <w:sz w:val="21"/>
                <w:szCs w:val="21"/>
                <w:highlight w:val="none"/>
              </w:rPr>
            </w:pPr>
          </w:p>
        </w:tc>
      </w:tr>
      <w:tr w14:paraId="71896746">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14:paraId="6017F86F">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451" w:type="dxa"/>
            <w:tcBorders>
              <w:top w:val="single" w:color="auto" w:sz="6" w:space="0"/>
              <w:left w:val="single" w:color="auto" w:sz="6" w:space="0"/>
              <w:bottom w:val="single" w:color="auto" w:sz="6" w:space="0"/>
              <w:right w:val="single" w:color="auto" w:sz="6" w:space="0"/>
            </w:tcBorders>
          </w:tcPr>
          <w:p w14:paraId="4119548D">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14:paraId="6F5FEFBB">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14:paraId="4064AD0D">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14:paraId="625B9298">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14:paraId="1734478E">
            <w:pPr>
              <w:autoSpaceDE w:val="0"/>
              <w:autoSpaceDN w:val="0"/>
              <w:spacing w:line="360" w:lineRule="auto"/>
              <w:rPr>
                <w:rFonts w:cs="仿宋_GB2312" w:asciiTheme="minorEastAsia" w:hAnsiTheme="minorEastAsia" w:eastAsiaTheme="minorEastAsia"/>
                <w:color w:val="auto"/>
                <w:sz w:val="21"/>
                <w:szCs w:val="21"/>
                <w:highlight w:val="none"/>
              </w:rPr>
            </w:pPr>
          </w:p>
        </w:tc>
      </w:tr>
      <w:tr w14:paraId="07CF22FC">
        <w:tblPrEx>
          <w:tblCellMar>
            <w:top w:w="0" w:type="dxa"/>
            <w:left w:w="108" w:type="dxa"/>
            <w:bottom w:w="0" w:type="dxa"/>
            <w:right w:w="108" w:type="dxa"/>
          </w:tblCellMar>
        </w:tblPrEx>
        <w:trPr>
          <w:trHeight w:val="855" w:hRule="atLeast"/>
        </w:trPr>
        <w:tc>
          <w:tcPr>
            <w:tcW w:w="1722" w:type="dxa"/>
            <w:tcBorders>
              <w:top w:val="single" w:color="auto" w:sz="6" w:space="0"/>
              <w:left w:val="single" w:color="auto" w:sz="6" w:space="0"/>
              <w:bottom w:val="single" w:color="auto" w:sz="6" w:space="0"/>
              <w:right w:val="single" w:color="auto" w:sz="6" w:space="0"/>
            </w:tcBorders>
            <w:vAlign w:val="center"/>
          </w:tcPr>
          <w:p w14:paraId="0233D566">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451" w:type="dxa"/>
            <w:tcBorders>
              <w:top w:val="single" w:color="auto" w:sz="6" w:space="0"/>
              <w:left w:val="single" w:color="auto" w:sz="6" w:space="0"/>
              <w:bottom w:val="single" w:color="auto" w:sz="6" w:space="0"/>
              <w:right w:val="single" w:color="auto" w:sz="6" w:space="0"/>
            </w:tcBorders>
          </w:tcPr>
          <w:p w14:paraId="235FC0B1">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14:paraId="562991D1">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14:paraId="1C8CBD6E">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14:paraId="3A6FEBD6">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14:paraId="07A5EFC9">
            <w:pPr>
              <w:autoSpaceDE w:val="0"/>
              <w:autoSpaceDN w:val="0"/>
              <w:spacing w:line="360" w:lineRule="auto"/>
              <w:rPr>
                <w:rFonts w:cs="仿宋_GB2312" w:asciiTheme="minorEastAsia" w:hAnsiTheme="minorEastAsia" w:eastAsiaTheme="minorEastAsia"/>
                <w:color w:val="auto"/>
                <w:sz w:val="21"/>
                <w:szCs w:val="21"/>
                <w:highlight w:val="none"/>
              </w:rPr>
            </w:pPr>
          </w:p>
        </w:tc>
      </w:tr>
    </w:tbl>
    <w:p w14:paraId="122715F0">
      <w:pPr>
        <w:pStyle w:val="34"/>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w:t>
      </w:r>
      <w:r>
        <w:rPr>
          <w:rFonts w:hint="eastAsia" w:ascii="宋体" w:hAnsi="宋体" w:eastAsia="宋体" w:cs="宋体"/>
          <w:b/>
          <w:bCs/>
          <w:kern w:val="0"/>
          <w:sz w:val="21"/>
          <w:szCs w:val="21"/>
          <w:highlight w:val="none"/>
          <w:lang w:bidi="ar"/>
        </w:rPr>
        <w:t>或中标</w:t>
      </w:r>
      <w:r>
        <w:rPr>
          <w:rFonts w:hint="eastAsia" w:ascii="宋体" w:hAnsi="宋体" w:eastAsia="宋体" w:cs="宋体"/>
          <w:b/>
          <w:bCs/>
          <w:kern w:val="0"/>
          <w:sz w:val="21"/>
          <w:szCs w:val="21"/>
          <w:highlight w:val="none"/>
          <w:lang w:val="en-US" w:eastAsia="zh-CN" w:bidi="ar"/>
        </w:rPr>
        <w:t>/</w:t>
      </w:r>
      <w:r>
        <w:rPr>
          <w:rFonts w:hint="eastAsia" w:ascii="宋体" w:hAnsi="宋体" w:eastAsia="宋体" w:cs="宋体"/>
          <w:b/>
          <w:bCs/>
          <w:kern w:val="0"/>
          <w:sz w:val="21"/>
          <w:szCs w:val="21"/>
          <w:highlight w:val="none"/>
          <w:lang w:bidi="ar"/>
        </w:rPr>
        <w:t>成交通知书复印件</w:t>
      </w:r>
      <w:r>
        <w:rPr>
          <w:rFonts w:hint="eastAsia" w:hAnsi="宋体" w:cs="宋体"/>
          <w:b/>
          <w:bCs/>
          <w:kern w:val="0"/>
          <w:sz w:val="21"/>
          <w:szCs w:val="21"/>
          <w:highlight w:val="none"/>
          <w:lang w:eastAsia="zh-CN" w:bidi="ar"/>
        </w:rPr>
        <w:t>，加盖单位公章，</w:t>
      </w:r>
      <w:r>
        <w:rPr>
          <w:rFonts w:hint="eastAsia" w:cs="仿宋_GB2312" w:asciiTheme="minorEastAsia" w:hAnsiTheme="minorEastAsia" w:eastAsiaTheme="minorEastAsia"/>
          <w:b/>
          <w:color w:val="auto"/>
          <w:sz w:val="21"/>
          <w:szCs w:val="21"/>
          <w:highlight w:val="none"/>
        </w:rPr>
        <w:t>并注明所在文件页码。</w:t>
      </w:r>
    </w:p>
    <w:p w14:paraId="425134B0">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14:paraId="774A7AAB">
      <w:pPr>
        <w:pStyle w:val="34"/>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14:paraId="754BE4FB">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54BAA4C4">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14995512">
      <w:pPr>
        <w:rPr>
          <w:rFonts w:hint="eastAsia"/>
          <w:color w:val="auto"/>
          <w:highlight w:val="none"/>
        </w:rPr>
      </w:pPr>
    </w:p>
    <w:p w14:paraId="5DB7BE69">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731EA44A">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14:paraId="2144A70E">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14:paraId="1BFD0160">
      <w:pPr>
        <w:keepNext w:val="0"/>
        <w:keepLines w:val="0"/>
        <w:pageBreakBefore w:val="0"/>
        <w:widowControl w:val="0"/>
        <w:kinsoku/>
        <w:wordWrap/>
        <w:overflowPunct/>
        <w:topLinePunct w:val="0"/>
        <w:autoSpaceDE w:val="0"/>
        <w:autoSpaceDN w:val="0"/>
        <w:bidi w:val="0"/>
        <w:adjustRightInd w:val="0"/>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14:paraId="02C335D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按你方磋商文件要求，</w:t>
      </w:r>
      <w:r>
        <w:rPr>
          <w:rFonts w:hint="eastAsia" w:ascii="宋体" w:hAnsi="宋体" w:eastAsia="宋体" w:cs="宋体"/>
          <w:color w:val="auto"/>
          <w:sz w:val="21"/>
          <w:szCs w:val="21"/>
          <w:highlight w:val="none"/>
        </w:rPr>
        <w:t>我们即</w:t>
      </w:r>
      <w:r>
        <w:rPr>
          <w:rFonts w:hint="eastAsia" w:ascii="宋体" w:hAnsi="宋体" w:eastAsia="宋体" w:cs="宋体"/>
          <w:color w:val="auto"/>
          <w:sz w:val="21"/>
          <w:szCs w:val="21"/>
          <w:highlight w:val="none"/>
          <w:lang w:val="zh-CN"/>
        </w:rPr>
        <w:t>本响应文件签字方，谨此向你方发出要约如下：如你方接受本响应，我方承诺按照如下报价表的价格完成</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zh-CN"/>
        </w:rPr>
        <w:t>的实施。</w:t>
      </w:r>
    </w:p>
    <w:p w14:paraId="0C0698B2">
      <w:pPr>
        <w:rPr>
          <w:rFonts w:hint="eastAsia"/>
          <w:highlight w:val="none"/>
        </w:rPr>
      </w:pPr>
    </w:p>
    <w:tbl>
      <w:tblPr>
        <w:tblStyle w:val="62"/>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96"/>
        <w:gridCol w:w="1774"/>
        <w:gridCol w:w="1320"/>
        <w:gridCol w:w="1080"/>
        <w:gridCol w:w="1155"/>
        <w:gridCol w:w="1380"/>
        <w:gridCol w:w="895"/>
      </w:tblGrid>
      <w:tr w14:paraId="0F07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1" w:type="dxa"/>
            <w:noWrap w:val="0"/>
            <w:vAlign w:val="center"/>
          </w:tcPr>
          <w:p w14:paraId="249A6996">
            <w:pPr>
              <w:widowControl/>
              <w:kinsoku/>
              <w:wordWrap/>
              <w:topLinePunct w:val="0"/>
              <w:bidi w:val="0"/>
              <w:spacing w:beforeAutospacing="0"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序号</w:t>
            </w:r>
          </w:p>
        </w:tc>
        <w:tc>
          <w:tcPr>
            <w:tcW w:w="1296" w:type="dxa"/>
            <w:noWrap w:val="0"/>
            <w:vAlign w:val="center"/>
          </w:tcPr>
          <w:p w14:paraId="6F9D3354">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774" w:type="dxa"/>
            <w:shd w:val="clear" w:color="auto" w:fill="auto"/>
            <w:noWrap w:val="0"/>
            <w:vAlign w:val="center"/>
          </w:tcPr>
          <w:p w14:paraId="07D359DB">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费用内容</w:t>
            </w:r>
          </w:p>
        </w:tc>
        <w:tc>
          <w:tcPr>
            <w:tcW w:w="1320" w:type="dxa"/>
            <w:shd w:val="clear" w:color="auto" w:fill="auto"/>
            <w:noWrap w:val="0"/>
            <w:vAlign w:val="center"/>
          </w:tcPr>
          <w:p w14:paraId="48737F5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南康一厂</w:t>
            </w:r>
          </w:p>
        </w:tc>
        <w:tc>
          <w:tcPr>
            <w:tcW w:w="1080" w:type="dxa"/>
            <w:shd w:val="clear" w:color="auto" w:fill="auto"/>
            <w:noWrap w:val="0"/>
            <w:vAlign w:val="center"/>
          </w:tcPr>
          <w:p w14:paraId="70471C7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南康二厂</w:t>
            </w:r>
          </w:p>
        </w:tc>
        <w:tc>
          <w:tcPr>
            <w:tcW w:w="1155" w:type="dxa"/>
            <w:shd w:val="clear" w:color="auto" w:fill="auto"/>
            <w:noWrap w:val="0"/>
            <w:vAlign w:val="center"/>
          </w:tcPr>
          <w:p w14:paraId="133C349C">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营盘污水处理厂</w:t>
            </w:r>
          </w:p>
        </w:tc>
        <w:tc>
          <w:tcPr>
            <w:tcW w:w="1380" w:type="dxa"/>
            <w:shd w:val="clear" w:color="auto" w:fill="auto"/>
            <w:noWrap w:val="0"/>
            <w:vAlign w:val="center"/>
          </w:tcPr>
          <w:p w14:paraId="3FCEDF9C">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2"/>
                <w:sz w:val="21"/>
                <w:szCs w:val="21"/>
                <w:highlight w:val="none"/>
                <w:u w:val="none"/>
                <w:lang w:val="en-US" w:eastAsia="zh-CN" w:bidi="ar-SA"/>
              </w:rPr>
              <w:t>合计（每年）</w:t>
            </w:r>
          </w:p>
        </w:tc>
        <w:tc>
          <w:tcPr>
            <w:tcW w:w="895" w:type="dxa"/>
            <w:shd w:val="clear" w:color="auto" w:fill="auto"/>
            <w:noWrap w:val="0"/>
            <w:vAlign w:val="center"/>
          </w:tcPr>
          <w:p w14:paraId="206028FB">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A51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125FB409">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296" w:type="dxa"/>
            <w:vMerge w:val="restart"/>
            <w:shd w:val="clear" w:color="auto" w:fill="auto"/>
            <w:noWrap w:val="0"/>
            <w:vAlign w:val="center"/>
          </w:tcPr>
          <w:p w14:paraId="4412040A">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 xml:space="preserve">2026年北海市铁山港区污水处理厂运营服务采购 </w:t>
            </w:r>
          </w:p>
        </w:tc>
        <w:tc>
          <w:tcPr>
            <w:tcW w:w="1774" w:type="dxa"/>
            <w:shd w:val="clear" w:color="auto" w:fill="auto"/>
            <w:noWrap w:val="0"/>
            <w:vAlign w:val="center"/>
          </w:tcPr>
          <w:p w14:paraId="3BDC247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运维管理及在线监测费（每年）</w:t>
            </w:r>
          </w:p>
        </w:tc>
        <w:tc>
          <w:tcPr>
            <w:tcW w:w="1320" w:type="dxa"/>
            <w:noWrap w:val="0"/>
            <w:vAlign w:val="center"/>
          </w:tcPr>
          <w:p w14:paraId="793091A3">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080" w:type="dxa"/>
            <w:noWrap w:val="0"/>
            <w:vAlign w:val="center"/>
          </w:tcPr>
          <w:p w14:paraId="667DF6D4">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55" w:type="dxa"/>
            <w:noWrap w:val="0"/>
            <w:vAlign w:val="center"/>
          </w:tcPr>
          <w:p w14:paraId="54B2F80A">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380" w:type="dxa"/>
            <w:noWrap w:val="0"/>
            <w:vAlign w:val="center"/>
          </w:tcPr>
          <w:p w14:paraId="1B09214E">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895" w:type="dxa"/>
            <w:noWrap w:val="0"/>
            <w:vAlign w:val="center"/>
          </w:tcPr>
          <w:p w14:paraId="261E39C4">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0BA0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08204561">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296" w:type="dxa"/>
            <w:vMerge w:val="continue"/>
            <w:shd w:val="clear" w:color="auto" w:fill="auto"/>
            <w:noWrap w:val="0"/>
            <w:vAlign w:val="center"/>
          </w:tcPr>
          <w:p w14:paraId="60F40AE8">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774" w:type="dxa"/>
            <w:shd w:val="clear" w:color="auto" w:fill="auto"/>
            <w:noWrap w:val="0"/>
            <w:vAlign w:val="center"/>
          </w:tcPr>
          <w:p w14:paraId="33252C03">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设备维护费</w:t>
            </w:r>
          </w:p>
          <w:p w14:paraId="6539892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（每年）</w:t>
            </w:r>
          </w:p>
        </w:tc>
        <w:tc>
          <w:tcPr>
            <w:tcW w:w="1320" w:type="dxa"/>
            <w:noWrap w:val="0"/>
            <w:vAlign w:val="center"/>
          </w:tcPr>
          <w:p w14:paraId="7822D867">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080" w:type="dxa"/>
            <w:noWrap w:val="0"/>
            <w:vAlign w:val="center"/>
          </w:tcPr>
          <w:p w14:paraId="1C4C835B">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55" w:type="dxa"/>
            <w:noWrap w:val="0"/>
            <w:vAlign w:val="center"/>
          </w:tcPr>
          <w:p w14:paraId="0918C636">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380" w:type="dxa"/>
            <w:noWrap w:val="0"/>
            <w:vAlign w:val="center"/>
          </w:tcPr>
          <w:p w14:paraId="213229CA">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895" w:type="dxa"/>
            <w:noWrap w:val="0"/>
            <w:vAlign w:val="center"/>
          </w:tcPr>
          <w:p w14:paraId="1876CBF9">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4A82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3D9B57C8">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296" w:type="dxa"/>
            <w:vMerge w:val="continue"/>
            <w:shd w:val="clear" w:color="auto" w:fill="auto"/>
            <w:noWrap w:val="0"/>
            <w:vAlign w:val="center"/>
          </w:tcPr>
          <w:p w14:paraId="262834A3">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774" w:type="dxa"/>
            <w:shd w:val="clear" w:color="auto" w:fill="auto"/>
            <w:noWrap w:val="0"/>
            <w:vAlign w:val="center"/>
          </w:tcPr>
          <w:p w14:paraId="0131E37D">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扩容运营费</w:t>
            </w:r>
          </w:p>
          <w:p w14:paraId="4D67067F">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（每年）</w:t>
            </w:r>
          </w:p>
        </w:tc>
        <w:tc>
          <w:tcPr>
            <w:tcW w:w="1320" w:type="dxa"/>
            <w:noWrap w:val="0"/>
            <w:vAlign w:val="center"/>
          </w:tcPr>
          <w:p w14:paraId="4E2F7F16">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080" w:type="dxa"/>
            <w:noWrap w:val="0"/>
            <w:vAlign w:val="center"/>
          </w:tcPr>
          <w:p w14:paraId="1118D196">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55" w:type="dxa"/>
            <w:noWrap w:val="0"/>
            <w:vAlign w:val="center"/>
          </w:tcPr>
          <w:p w14:paraId="0F9EEBAC">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380" w:type="dxa"/>
            <w:noWrap w:val="0"/>
            <w:vAlign w:val="center"/>
          </w:tcPr>
          <w:p w14:paraId="70FF4B25">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895" w:type="dxa"/>
            <w:noWrap w:val="0"/>
            <w:vAlign w:val="center"/>
          </w:tcPr>
          <w:p w14:paraId="58C891FA">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0E0B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1" w:type="dxa"/>
            <w:shd w:val="clear" w:color="auto" w:fill="auto"/>
            <w:noWrap w:val="0"/>
            <w:vAlign w:val="center"/>
          </w:tcPr>
          <w:p w14:paraId="12408145">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296" w:type="dxa"/>
            <w:vMerge w:val="continue"/>
            <w:shd w:val="clear" w:color="auto" w:fill="auto"/>
            <w:noWrap w:val="0"/>
            <w:vAlign w:val="center"/>
          </w:tcPr>
          <w:p w14:paraId="44D65336">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774" w:type="dxa"/>
            <w:shd w:val="clear" w:color="auto" w:fill="auto"/>
            <w:noWrap w:val="0"/>
            <w:vAlign w:val="center"/>
          </w:tcPr>
          <w:p w14:paraId="187751B3">
            <w:pPr>
              <w:keepNext w:val="0"/>
              <w:keepLines w:val="0"/>
              <w:pageBreakBefore w:val="0"/>
              <w:widowControl/>
              <w:suppressLineNumbers w:val="0"/>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洗（FMBR）膜费（每年）</w:t>
            </w:r>
          </w:p>
        </w:tc>
        <w:tc>
          <w:tcPr>
            <w:tcW w:w="1320" w:type="dxa"/>
            <w:noWrap w:val="0"/>
            <w:vAlign w:val="center"/>
          </w:tcPr>
          <w:p w14:paraId="7D647443">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080" w:type="dxa"/>
            <w:noWrap w:val="0"/>
            <w:vAlign w:val="center"/>
          </w:tcPr>
          <w:p w14:paraId="5A54E72E">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155" w:type="dxa"/>
            <w:noWrap w:val="0"/>
            <w:vAlign w:val="center"/>
          </w:tcPr>
          <w:p w14:paraId="76167E3F">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380" w:type="dxa"/>
            <w:noWrap w:val="0"/>
            <w:vAlign w:val="center"/>
          </w:tcPr>
          <w:p w14:paraId="5D2FAC0F">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895" w:type="dxa"/>
            <w:noWrap w:val="0"/>
            <w:vAlign w:val="center"/>
          </w:tcPr>
          <w:p w14:paraId="02D611C2">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2E06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741" w:type="dxa"/>
            <w:gridSpan w:val="8"/>
            <w:noWrap w:val="0"/>
            <w:vAlign w:val="center"/>
          </w:tcPr>
          <w:p w14:paraId="7E897382">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合计金额：（大写）人民币                        （小写）¥           </w:t>
            </w:r>
          </w:p>
        </w:tc>
      </w:tr>
    </w:tbl>
    <w:p w14:paraId="6F4E47F5">
      <w:pPr>
        <w:spacing w:line="360" w:lineRule="auto"/>
        <w:ind w:firstLine="422" w:firstLineChars="200"/>
        <w:rPr>
          <w:rFonts w:hint="eastAsia" w:ascii="宋体" w:hAnsi="宋体" w:cs="宋体"/>
          <w:b w:val="0"/>
          <w:bCs w:val="0"/>
          <w:color w:val="auto"/>
          <w:szCs w:val="21"/>
          <w:highlight w:val="none"/>
          <w:lang w:val="en-US" w:eastAsia="zh-CN"/>
        </w:rPr>
      </w:pPr>
      <w:r>
        <w:rPr>
          <w:rFonts w:hint="eastAsia" w:ascii="宋体" w:hAnsi="宋体" w:eastAsia="宋体" w:cs="宋体"/>
          <w:b/>
          <w:bCs/>
          <w:color w:val="auto"/>
          <w:szCs w:val="21"/>
          <w:highlight w:val="none"/>
        </w:rPr>
        <w:t>注：</w:t>
      </w:r>
      <w:r>
        <w:rPr>
          <w:rFonts w:hint="eastAsia" w:ascii="宋体" w:hAnsi="宋体" w:cs="宋体"/>
          <w:b w:val="0"/>
          <w:bCs w:val="0"/>
          <w:color w:val="auto"/>
          <w:szCs w:val="21"/>
          <w:highlight w:val="none"/>
          <w:lang w:val="en-US" w:eastAsia="zh-CN"/>
        </w:rPr>
        <w:t>1.所有价格均用人民币表示，单位为元，精确到小数点后两位；</w:t>
      </w:r>
    </w:p>
    <w:p w14:paraId="227DCCF4">
      <w:pPr>
        <w:keepNext w:val="0"/>
        <w:keepLines w:val="0"/>
        <w:pageBreakBefore w:val="0"/>
        <w:widowControl w:val="0"/>
        <w:numPr>
          <w:ilvl w:val="0"/>
          <w:numId w:val="0"/>
        </w:numPr>
        <w:kinsoku/>
        <w:wordWrap/>
        <w:overflowPunct/>
        <w:topLinePunct w:val="0"/>
        <w:autoSpaceDE/>
        <w:autoSpaceDN/>
        <w:bidi w:val="0"/>
        <w:spacing w:line="400" w:lineRule="exact"/>
        <w:ind w:firstLine="630" w:firstLineChars="3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2.磋商报价包含以下内容：</w:t>
      </w:r>
    </w:p>
    <w:p w14:paraId="0A870717">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（1）员工工资、福利、社会保险、加班费、工伤补偿费、意外事故补偿费等费用； </w:t>
      </w:r>
    </w:p>
    <w:p w14:paraId="2AD9A692">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（2）运维服务管理及在线监测费用、设备维护费、扩容运营费、洗膜费。</w:t>
      </w:r>
    </w:p>
    <w:p w14:paraId="2361DBBC">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（3）成本、利润及各项税收等费用的总和，政策性文件规定及采购项目包含的所有风险、责任等各项应有的所有费用，除此之外，采购人不再支付任何费用。</w:t>
      </w:r>
    </w:p>
    <w:p w14:paraId="5C9C3470">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（4）本项目按照《铁山港区镇级污水处理厂年度运营费用汇总表》中的各项内容进行单项报价，供应商的磋商总报价或单项报价超过采购预算或单项预算的，将导致其磋商被拒绝。</w:t>
      </w:r>
    </w:p>
    <w:p w14:paraId="2D6B0CC5">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3.磋商过程中，多轮报价（包括最终报价）均以</w:t>
      </w:r>
      <w:r>
        <w:rPr>
          <w:rFonts w:hint="eastAsia" w:ascii="宋体" w:hAnsi="宋体" w:cs="宋体"/>
          <w:b w:val="0"/>
          <w:bCs w:val="0"/>
          <w:color w:val="auto"/>
          <w:szCs w:val="21"/>
          <w:highlight w:val="none"/>
          <w:u w:val="single"/>
          <w:lang w:val="en-US" w:eastAsia="zh-CN"/>
        </w:rPr>
        <w:t>上述报价表</w:t>
      </w:r>
      <w:r>
        <w:rPr>
          <w:rFonts w:hint="eastAsia" w:ascii="宋体" w:hAnsi="宋体" w:cs="宋体"/>
          <w:b w:val="0"/>
          <w:bCs w:val="0"/>
          <w:color w:val="auto"/>
          <w:szCs w:val="21"/>
          <w:highlight w:val="none"/>
          <w:lang w:val="en-US" w:eastAsia="zh-CN"/>
        </w:rPr>
        <w:t>的格式报价；网上在线报价时，</w:t>
      </w:r>
      <w:r>
        <w:rPr>
          <w:rFonts w:hint="eastAsia" w:ascii="宋体" w:hAnsi="宋体" w:cs="宋体"/>
          <w:b w:val="0"/>
          <w:bCs w:val="0"/>
          <w:color w:val="auto"/>
          <w:szCs w:val="21"/>
          <w:highlight w:val="none"/>
          <w:u w:val="single"/>
          <w:lang w:val="en-US" w:eastAsia="zh-CN"/>
        </w:rPr>
        <w:t>报价表必须以附件的形式上传，否则出现任何问题后果自负</w:t>
      </w:r>
      <w:r>
        <w:rPr>
          <w:rFonts w:hint="eastAsia" w:ascii="宋体" w:hAnsi="宋体" w:cs="宋体"/>
          <w:b w:val="0"/>
          <w:bCs w:val="0"/>
          <w:color w:val="auto"/>
          <w:szCs w:val="21"/>
          <w:highlight w:val="none"/>
          <w:lang w:val="en-US" w:eastAsia="zh-CN"/>
        </w:rPr>
        <w:t>。线上报价上传时间最多为 30 分钟，</w:t>
      </w:r>
      <w:r>
        <w:rPr>
          <w:rFonts w:hint="eastAsia" w:ascii="宋体" w:hAnsi="宋体" w:cs="宋体"/>
          <w:b w:val="0"/>
          <w:bCs w:val="0"/>
          <w:color w:val="auto"/>
          <w:szCs w:val="21"/>
          <w:highlight w:val="none"/>
          <w:u w:val="single"/>
          <w:lang w:val="en-US" w:eastAsia="zh-CN"/>
        </w:rPr>
        <w:t>请各供应商提前做好相应的报价表，以免耽误报价</w:t>
      </w:r>
      <w:r>
        <w:rPr>
          <w:rFonts w:hint="eastAsia" w:ascii="宋体" w:hAnsi="宋体" w:cs="宋体"/>
          <w:b w:val="0"/>
          <w:bCs w:val="0"/>
          <w:color w:val="auto"/>
          <w:szCs w:val="21"/>
          <w:highlight w:val="none"/>
          <w:lang w:val="en-US" w:eastAsia="zh-CN"/>
        </w:rPr>
        <w:t>。</w:t>
      </w:r>
    </w:p>
    <w:p w14:paraId="762BC2FA">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val="0"/>
          <w:bCs w:val="0"/>
          <w:color w:val="auto"/>
          <w:szCs w:val="21"/>
          <w:highlight w:val="none"/>
          <w:lang w:val="zh-CN"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val="zh-CN" w:eastAsia="zh-CN"/>
        </w:rPr>
        <w:t>供应商需按本表格式填写，</w:t>
      </w:r>
      <w:r>
        <w:rPr>
          <w:rFonts w:hint="eastAsia" w:ascii="宋体" w:hAnsi="宋体" w:cs="宋体"/>
          <w:b w:val="0"/>
          <w:bCs w:val="0"/>
          <w:color w:val="auto"/>
          <w:szCs w:val="21"/>
          <w:highlight w:val="none"/>
          <w:lang w:val="en-US" w:eastAsia="zh-CN"/>
        </w:rPr>
        <w:t>否则视为响应文件含有采购人不能接受的附加条件，产生的后果由</w:t>
      </w:r>
      <w:r>
        <w:rPr>
          <w:rFonts w:hint="eastAsia" w:ascii="宋体" w:hAnsi="宋体" w:cs="宋体"/>
          <w:b w:val="0"/>
          <w:bCs w:val="0"/>
          <w:color w:val="auto"/>
          <w:szCs w:val="21"/>
          <w:highlight w:val="none"/>
          <w:lang w:val="zh-CN" w:eastAsia="zh-CN"/>
        </w:rPr>
        <w:t>供应商</w:t>
      </w:r>
      <w:r>
        <w:rPr>
          <w:rFonts w:hint="eastAsia" w:ascii="宋体" w:hAnsi="宋体" w:cs="宋体"/>
          <w:b w:val="0"/>
          <w:bCs w:val="0"/>
          <w:color w:val="auto"/>
          <w:szCs w:val="21"/>
          <w:highlight w:val="none"/>
          <w:lang w:val="en-US" w:eastAsia="zh-CN"/>
        </w:rPr>
        <w:t>自负</w:t>
      </w:r>
      <w:r>
        <w:rPr>
          <w:rFonts w:hint="eastAsia" w:ascii="宋体" w:hAnsi="宋体" w:cs="宋体"/>
          <w:b w:val="0"/>
          <w:bCs w:val="0"/>
          <w:color w:val="auto"/>
          <w:szCs w:val="21"/>
          <w:highlight w:val="none"/>
          <w:lang w:val="zh-CN" w:eastAsia="zh-CN"/>
        </w:rPr>
        <w:t>。</w:t>
      </w:r>
    </w:p>
    <w:p w14:paraId="7310BE70">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5.有关本项目实施所涉及的一切费用均计入报价。</w:t>
      </w:r>
      <w:r>
        <w:rPr>
          <w:rFonts w:hint="eastAsia" w:ascii="宋体" w:hAnsi="宋体" w:cs="宋体"/>
          <w:b/>
          <w:bCs/>
          <w:color w:val="auto"/>
          <w:szCs w:val="21"/>
          <w:highlight w:val="none"/>
          <w:lang w:val="en-US" w:eastAsia="zh-CN"/>
        </w:rPr>
        <w:t>采购人将以合同形式有偿取得货物或服务，不接受供应商给予的赠品、回扣或者与采购无关的其他商品、服务，不得出现 “0 元”“免费赠送” 等形式的无偿报价，否则视为报价文件含有采购人不能接受的附加条件，响应无效；采购内容未包含在上面提供的报价表名称栏中，供应商不能作出合理解释的，视为响应文件含有采购人不能接受的附加条件的，响应无效。</w:t>
      </w:r>
    </w:p>
    <w:p w14:paraId="6CB1184F">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6、请填写中小企业声明函。注：供应商提供的中小企业声明函内容不实的，属于提供虚假材料谋取中标、成交，依照《中华人民共和国政府采购法》等国家有关规定追究相应责任。</w:t>
      </w:r>
      <w:r>
        <w:rPr>
          <w:rFonts w:ascii="宋体" w:hAnsi="宋体" w:eastAsia="宋体" w:cs="宋体"/>
          <w:sz w:val="24"/>
          <w:szCs w:val="24"/>
          <w:highlight w:val="none"/>
        </w:rPr>
        <w:t>（本项目不专门面向中小企业采购，供应商自愿选择）。</w:t>
      </w:r>
    </w:p>
    <w:p w14:paraId="64D5E980">
      <w:pPr>
        <w:pStyle w:val="2"/>
        <w:numPr>
          <w:ilvl w:val="0"/>
          <w:numId w:val="0"/>
        </w:numPr>
        <w:ind w:leftChars="0"/>
        <w:rPr>
          <w:rFonts w:hint="default" w:eastAsia="宋体"/>
          <w:highlight w:val="none"/>
          <w:lang w:val="en-US" w:eastAsia="zh-CN"/>
        </w:rPr>
      </w:pPr>
      <w:r>
        <w:rPr>
          <w:rFonts w:hint="eastAsia" w:ascii="宋体" w:hAnsi="宋体" w:eastAsia="宋体" w:cs="宋体"/>
          <w:sz w:val="24"/>
          <w:szCs w:val="24"/>
          <w:highlight w:val="none"/>
          <w:lang w:val="en-US" w:eastAsia="zh-CN"/>
        </w:rPr>
        <w:t xml:space="preserve">    </w:t>
      </w:r>
    </w:p>
    <w:p w14:paraId="58252B08">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2E4E6265">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4BE429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F697F79">
      <w:pPr>
        <w:keepNext w:val="0"/>
        <w:keepLines w:val="0"/>
        <w:pageBreakBefore w:val="0"/>
        <w:widowControl w:val="0"/>
        <w:kinsoku/>
        <w:wordWrap/>
        <w:overflowPunct/>
        <w:topLinePunct w:val="0"/>
        <w:bidi w:val="0"/>
        <w:adjustRightInd w:val="0"/>
        <w:spacing w:line="320" w:lineRule="atLeast"/>
        <w:ind w:firstLine="3990" w:firstLineChars="1900"/>
        <w:textAlignment w:val="auto"/>
        <w:rPr>
          <w:rFonts w:hint="eastAsia" w:ascii="宋体" w:hAnsi="宋体" w:cs="宋体"/>
          <w:color w:val="auto"/>
          <w:kern w:val="0"/>
          <w:sz w:val="21"/>
          <w:szCs w:val="21"/>
          <w:highlight w:val="none"/>
          <w:lang w:val="zh-CN" w:eastAsia="zh-CN"/>
        </w:rPr>
      </w:pPr>
    </w:p>
    <w:p w14:paraId="087D99F6">
      <w:pPr>
        <w:pStyle w:val="26"/>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412FDDA6">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259D7EFE">
      <w:pPr>
        <w:widowControl/>
        <w:adjustRightInd/>
        <w:jc w:val="center"/>
        <w:rPr>
          <w:rFonts w:hint="eastAsia" w:asciiTheme="minorEastAsia" w:hAnsiTheme="minorEastAsia" w:eastAsiaTheme="minorEastAsia"/>
          <w:b/>
          <w:color w:val="000000" w:themeColor="text1"/>
          <w:sz w:val="32"/>
          <w:szCs w:val="32"/>
          <w:highlight w:val="none"/>
          <w:lang w:val="en-US" w:eastAsia="zh-CN"/>
          <w14:textFill>
            <w14:solidFill>
              <w14:schemeClr w14:val="tx1"/>
            </w14:solidFill>
          </w14:textFill>
        </w:rPr>
      </w:pPr>
    </w:p>
    <w:p w14:paraId="1CE5542D">
      <w:pPr>
        <w:spacing w:line="360" w:lineRule="auto"/>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 xml:space="preserve">  </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14:paraId="0D4DB7FB">
      <w:pPr>
        <w:pStyle w:val="116"/>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highlight w:val="none"/>
          <w14:textFill>
            <w14:solidFill>
              <w14:schemeClr w14:val="tx1"/>
            </w14:solidFill>
          </w14:textFill>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pgNumType w:fmt="decimal"/>
          <w:cols w:space="720" w:num="1"/>
          <w:titlePg/>
          <w:docGrid w:linePitch="312" w:charSpace="0"/>
        </w:sectPr>
      </w:pPr>
    </w:p>
    <w:p w14:paraId="2ABA09C2">
      <w:pPr>
        <w:pStyle w:val="3"/>
        <w:numPr>
          <w:ilvl w:val="0"/>
          <w:numId w:val="0"/>
        </w:numPr>
        <w:bidi w:val="0"/>
        <w:ind w:leftChars="0"/>
        <w:jc w:val="center"/>
        <w:rPr>
          <w:rFonts w:hint="eastAsia"/>
          <w:highlight w:val="none"/>
          <w:lang w:val="en-US" w:eastAsia="zh-CN"/>
        </w:rPr>
      </w:pPr>
      <w:bookmarkStart w:id="83" w:name="_Toc10737"/>
      <w:r>
        <w:rPr>
          <w:rFonts w:hint="eastAsia"/>
          <w:highlight w:val="none"/>
        </w:rPr>
        <w:t>第八部分</w:t>
      </w:r>
      <w:r>
        <w:rPr>
          <w:rFonts w:hint="eastAsia"/>
          <w:highlight w:val="none"/>
          <w:lang w:val="en-US" w:eastAsia="zh-CN"/>
        </w:rPr>
        <w:t xml:space="preserve">  附件</w:t>
      </w:r>
      <w:bookmarkEnd w:id="83"/>
    </w:p>
    <w:p w14:paraId="1096B000">
      <w:pPr>
        <w:widowControl/>
        <w:adjustRightInd/>
        <w:jc w:val="left"/>
        <w:rPr>
          <w:rFonts w:hint="eastAsia" w:ascii="宋体" w:hAnsi="宋体" w:eastAsia="宋体" w:cs="宋体"/>
          <w:b/>
          <w:color w:val="auto"/>
          <w:sz w:val="32"/>
          <w:szCs w:val="32"/>
          <w:highlight w:val="none"/>
        </w:rPr>
      </w:pPr>
    </w:p>
    <w:p w14:paraId="5A27DC7B">
      <w:pPr>
        <w:autoSpaceDE w:val="0"/>
        <w:autoSpaceDN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业务专用章使用说明函</w:t>
      </w:r>
    </w:p>
    <w:p w14:paraId="7B774198">
      <w:pPr>
        <w:autoSpaceDE w:val="0"/>
        <w:autoSpaceDN w:val="0"/>
        <w:jc w:val="center"/>
        <w:rPr>
          <w:rFonts w:hint="eastAsia" w:ascii="宋体" w:hAnsi="宋体" w:eastAsia="宋体" w:cs="宋体"/>
          <w:b/>
          <w:bCs/>
          <w:color w:val="auto"/>
          <w:sz w:val="32"/>
          <w:szCs w:val="32"/>
          <w:highlight w:val="none"/>
        </w:rPr>
      </w:pPr>
    </w:p>
    <w:p w14:paraId="4F7B007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5428D0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(供应商全称)是中华人民共和国依法登记注册的合法企业，</w:t>
      </w:r>
      <w:r>
        <w:rPr>
          <w:rFonts w:hint="eastAsia" w:ascii="宋体" w:hAnsi="宋体" w:eastAsia="宋体" w:cs="宋体"/>
          <w:bCs/>
          <w:color w:val="auto"/>
          <w:sz w:val="21"/>
          <w:szCs w:val="21"/>
          <w:highlight w:val="none"/>
        </w:rPr>
        <w:t>在参加</w:t>
      </w:r>
      <w:r>
        <w:rPr>
          <w:rFonts w:hint="eastAsia" w:ascii="宋体" w:hAnsi="宋体" w:eastAsia="宋体" w:cs="宋体"/>
          <w:color w:val="auto"/>
          <w:sz w:val="21"/>
          <w:szCs w:val="21"/>
          <w:highlight w:val="none"/>
        </w:rPr>
        <w:t>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bCs/>
          <w:color w:val="auto"/>
          <w:sz w:val="21"/>
          <w:szCs w:val="21"/>
          <w:highlight w:val="none"/>
        </w:rPr>
        <w:t>采购活动中作如下说明：</w:t>
      </w:r>
      <w:r>
        <w:rPr>
          <w:rFonts w:hint="eastAsia" w:ascii="宋体" w:hAnsi="宋体" w:eastAsia="宋体" w:cs="宋体"/>
          <w:color w:val="auto"/>
          <w:sz w:val="21"/>
          <w:szCs w:val="21"/>
          <w:highlight w:val="none"/>
        </w:rPr>
        <w:t xml:space="preserve">我方所使用的“XX专用章”与法定名称章具有同等的法律效力，对使用“XX专用章”的行为予以完全承认，并愿意承担相应责任。   </w:t>
      </w:r>
    </w:p>
    <w:p w14:paraId="2069901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14:paraId="504F3F7D">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供应商（法定名称章）：</w:t>
      </w:r>
    </w:p>
    <w:p w14:paraId="4DD0583E">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21145BE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w:t>
      </w:r>
    </w:p>
    <w:p w14:paraId="5BDEE82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87936"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28544;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2R+us2QAAAAoBAAAPAAAAAAAAAAEAIAAAACIAAABkcnMvZG93bnJldi54&#10;bWxQSwECFAAUAAAACACHTuJAqiAiWjICAAByBAAADgAAAAAAAAABACAAAAAoAQAAZHJzL2Uyb0Rv&#10;Yy54bWxQSwUGAAAAAAYABgBZAQAAzAU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86912"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29568;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SQXM2QAAAAoBAAAPAAAAAAAAAAEAIAAAACIAAABkcnMvZG93bnJl&#10;di54bWxQSwECFAAUAAAACACHTuJAqMhG2DUCAAByBAAADgAAAAAAAAABACAAAAAoAQAAZHJzL2Uy&#10;b0RvYy54bWxQSwUGAAAAAAYABgBZAQAAzwUAAAAA&#10;">
                <v:fill on="t" focussize="0,0"/>
                <v:stroke color="#000000" miterlimit="2" joinstyle="miter"/>
                <v:imagedata o:title=""/>
                <o:lock v:ext="edit" aspectratio="f"/>
              </v:rect>
            </w:pict>
          </mc:Fallback>
        </mc:AlternateContent>
      </w:r>
      <w:r>
        <w:rPr>
          <w:rFonts w:hint="eastAsia" w:ascii="宋体" w:hAnsi="宋体" w:eastAsia="宋体" w:cs="宋体"/>
          <w:color w:val="auto"/>
          <w:sz w:val="21"/>
          <w:szCs w:val="21"/>
          <w:highlight w:val="none"/>
        </w:rPr>
        <w:t>供应商法定名称章（印模）                供应商“XX专用章”（印模）</w:t>
      </w:r>
    </w:p>
    <w:p w14:paraId="78C9BBE4">
      <w:pPr>
        <w:widowControl/>
        <w:spacing w:line="360" w:lineRule="auto"/>
        <w:ind w:firstLine="420" w:firstLineChars="200"/>
        <w:jc w:val="left"/>
        <w:rPr>
          <w:rFonts w:hint="eastAsia" w:ascii="宋体" w:hAnsi="宋体" w:eastAsia="宋体" w:cs="宋体"/>
          <w:color w:val="auto"/>
          <w:kern w:val="0"/>
          <w:sz w:val="21"/>
          <w:szCs w:val="21"/>
          <w:highlight w:val="none"/>
        </w:rPr>
      </w:pPr>
    </w:p>
    <w:p w14:paraId="52AF5095">
      <w:pPr>
        <w:snapToGrid w:val="0"/>
        <w:spacing w:line="360" w:lineRule="auto"/>
        <w:jc w:val="center"/>
        <w:rPr>
          <w:rFonts w:hint="eastAsia" w:ascii="宋体" w:hAnsi="宋体" w:eastAsia="宋体" w:cs="宋体"/>
          <w:b/>
          <w:color w:val="auto"/>
          <w:sz w:val="21"/>
          <w:szCs w:val="21"/>
          <w:highlight w:val="none"/>
        </w:rPr>
      </w:pPr>
    </w:p>
    <w:p w14:paraId="2F9444BF">
      <w:pPr>
        <w:widowControl/>
        <w:adjustRightInd/>
        <w:jc w:val="left"/>
        <w:rPr>
          <w:rFonts w:hint="eastAsia" w:ascii="宋体" w:hAnsi="宋体" w:eastAsia="宋体" w:cs="宋体"/>
          <w:b/>
          <w:color w:val="auto"/>
          <w:sz w:val="21"/>
          <w:szCs w:val="21"/>
          <w:highlight w:val="none"/>
        </w:rPr>
      </w:pPr>
    </w:p>
    <w:p w14:paraId="23BDCFC3">
      <w:pPr>
        <w:pStyle w:val="40"/>
        <w:rPr>
          <w:rFonts w:hint="eastAsia" w:ascii="宋体" w:hAnsi="宋体" w:eastAsia="宋体" w:cs="宋体"/>
          <w:b/>
          <w:color w:val="auto"/>
          <w:sz w:val="21"/>
          <w:szCs w:val="21"/>
          <w:highlight w:val="none"/>
        </w:rPr>
      </w:pPr>
    </w:p>
    <w:p w14:paraId="010E9B7F">
      <w:pPr>
        <w:rPr>
          <w:rFonts w:hint="eastAsia" w:ascii="宋体" w:hAnsi="宋体" w:eastAsia="宋体" w:cs="宋体"/>
          <w:b/>
          <w:color w:val="auto"/>
          <w:sz w:val="21"/>
          <w:szCs w:val="21"/>
          <w:highlight w:val="none"/>
        </w:rPr>
      </w:pPr>
    </w:p>
    <w:p w14:paraId="185E9514">
      <w:pPr>
        <w:pStyle w:val="40"/>
        <w:rPr>
          <w:rFonts w:hint="eastAsia" w:ascii="宋体" w:hAnsi="宋体" w:eastAsia="宋体" w:cs="宋体"/>
          <w:b/>
          <w:color w:val="auto"/>
          <w:sz w:val="21"/>
          <w:szCs w:val="21"/>
          <w:highlight w:val="none"/>
        </w:rPr>
      </w:pPr>
    </w:p>
    <w:p w14:paraId="5FF063B1">
      <w:pPr>
        <w:rPr>
          <w:rFonts w:hint="eastAsia" w:ascii="宋体" w:hAnsi="宋体" w:eastAsia="宋体" w:cs="宋体"/>
          <w:b/>
          <w:color w:val="auto"/>
          <w:sz w:val="21"/>
          <w:szCs w:val="21"/>
          <w:highlight w:val="none"/>
        </w:rPr>
      </w:pPr>
    </w:p>
    <w:p w14:paraId="16039C1E">
      <w:pPr>
        <w:pStyle w:val="40"/>
        <w:rPr>
          <w:rFonts w:hint="eastAsia" w:ascii="宋体" w:hAnsi="宋体" w:eastAsia="宋体" w:cs="宋体"/>
          <w:b/>
          <w:color w:val="auto"/>
          <w:sz w:val="21"/>
          <w:szCs w:val="21"/>
          <w:highlight w:val="none"/>
        </w:rPr>
      </w:pPr>
    </w:p>
    <w:p w14:paraId="47D1D50D">
      <w:pPr>
        <w:rPr>
          <w:rFonts w:hint="eastAsia" w:ascii="宋体" w:hAnsi="宋体" w:eastAsia="宋体" w:cs="宋体"/>
          <w:b/>
          <w:color w:val="auto"/>
          <w:sz w:val="21"/>
          <w:szCs w:val="21"/>
          <w:highlight w:val="none"/>
        </w:rPr>
      </w:pPr>
    </w:p>
    <w:p w14:paraId="4E090080">
      <w:pPr>
        <w:pStyle w:val="40"/>
        <w:rPr>
          <w:rFonts w:hint="eastAsia" w:ascii="宋体" w:hAnsi="宋体" w:eastAsia="宋体" w:cs="宋体"/>
          <w:b/>
          <w:color w:val="auto"/>
          <w:sz w:val="21"/>
          <w:szCs w:val="21"/>
          <w:highlight w:val="none"/>
        </w:rPr>
      </w:pPr>
    </w:p>
    <w:p w14:paraId="5C3F186E">
      <w:pPr>
        <w:autoSpaceDE w:val="0"/>
        <w:autoSpaceDN w:val="0"/>
        <w:jc w:val="left"/>
        <w:rPr>
          <w:rFonts w:hint="eastAsia" w:cs="仿宋_GB2312" w:asciiTheme="minorEastAsia" w:hAnsiTheme="minorEastAsia" w:eastAsiaTheme="minorEastAsia"/>
          <w:b/>
          <w:color w:val="auto"/>
          <w:sz w:val="32"/>
          <w:szCs w:val="32"/>
          <w:highlight w:val="none"/>
        </w:rPr>
      </w:pPr>
    </w:p>
    <w:p w14:paraId="18CE7DAC">
      <w:pPr>
        <w:rPr>
          <w:color w:val="auto"/>
          <w:highlight w:val="none"/>
        </w:rPr>
      </w:pPr>
    </w:p>
    <w:p w14:paraId="10627A0D">
      <w:pPr>
        <w:rPr>
          <w:color w:val="auto"/>
          <w:highlight w:val="none"/>
        </w:rPr>
      </w:pPr>
    </w:p>
    <w:p w14:paraId="129FAC23">
      <w:pPr>
        <w:rPr>
          <w:color w:val="auto"/>
          <w:highlight w:val="none"/>
        </w:rPr>
      </w:pPr>
    </w:p>
    <w:p w14:paraId="1A1288D1">
      <w:pPr>
        <w:spacing w:line="360" w:lineRule="auto"/>
        <w:ind w:firstLine="482" w:firstLineChars="200"/>
        <w:rPr>
          <w:rFonts w:cs="仿宋_GB2312" w:asciiTheme="minorEastAsia" w:hAnsiTheme="minorEastAsia" w:eastAsiaTheme="minorEastAsia"/>
          <w:b/>
          <w:color w:val="000000" w:themeColor="text1"/>
          <w:sz w:val="24"/>
          <w:highlight w:val="none"/>
          <w14:textFill>
            <w14:solidFill>
              <w14:schemeClr w14:val="tx1"/>
            </w14:solidFill>
          </w14:textFill>
        </w:rPr>
      </w:pPr>
    </w:p>
    <w:sectPr>
      <w:headerReference r:id="rId15" w:type="first"/>
      <w:footerReference r:id="rId17" w:type="first"/>
      <w:headerReference r:id="rId14" w:type="default"/>
      <w:footerReference r:id="rId16" w:type="default"/>
      <w:pgSz w:w="11906" w:h="16838"/>
      <w:pgMar w:top="777" w:right="1418" w:bottom="471" w:left="1418"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5573CF3-E94B-47D8-B4B6-783BD9C69DA8}"/>
  </w:font>
  <w:font w:name="Arial">
    <w:panose1 w:val="020B0604020202020204"/>
    <w:charset w:val="01"/>
    <w:family w:val="swiss"/>
    <w:pitch w:val="default"/>
    <w:sig w:usb0="E0002EFF" w:usb1="C000785B" w:usb2="00000009" w:usb3="00000000" w:csb0="400001FF" w:csb1="FFFF0000"/>
    <w:embedRegular r:id="rId2" w:fontKey="{055AAAEA-12D1-44DB-B823-6AF22E3896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7BD0539-3C4D-4AA9-B1E6-D39BB49DACF5}"/>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EF9412CB-1071-4D62-96A9-BFAA58AFD234}"/>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30204"/>
    <w:charset w:val="00"/>
    <w:family w:val="swiss"/>
    <w:pitch w:val="default"/>
    <w:sig w:usb0="00000000" w:usb1="00000000" w:usb2="00000000" w:usb3="00000000" w:csb0="00000093" w:csb1="00000000"/>
    <w:embedRegular r:id="rId5" w:fontKey="{62D57F5C-A30B-4175-82B2-F0830F97A49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6" w:fontKey="{6A133E3A-F48B-42BF-983B-BFCDCAEC678E}"/>
  </w:font>
  <w:font w:name="MS Gothic">
    <w:panose1 w:val="020B0609070205080204"/>
    <w:charset w:val="80"/>
    <w:family w:val="modern"/>
    <w:pitch w:val="default"/>
    <w:sig w:usb0="E00002FF" w:usb1="6AC7FDFB" w:usb2="08000012" w:usb3="00000000" w:csb0="4002009F" w:csb1="DFD70000"/>
    <w:embedRegular r:id="rId7" w:fontKey="{DAE90737-AACF-492D-8388-702CFACF14BE}"/>
  </w:font>
  <w:font w:name="MS Mincho">
    <w:altName w:val="Yu Gothic UI"/>
    <w:panose1 w:val="02020609040205080304"/>
    <w:charset w:val="80"/>
    <w:family w:val="modern"/>
    <w:pitch w:val="default"/>
    <w:sig w:usb0="00000000" w:usb1="00000000" w:usb2="00000012" w:usb3="00000000" w:csb0="4002009F" w:csb1="DFD70000"/>
    <w:embedRegular r:id="rId8" w:fontKey="{441F6ECA-5001-4E55-8AB0-9A3AB94363FE}"/>
  </w:font>
  <w:font w:name="Wingdings 2">
    <w:altName w:val="Wingdings"/>
    <w:panose1 w:val="05020102010507070707"/>
    <w:charset w:val="00"/>
    <w:family w:val="auto"/>
    <w:pitch w:val="default"/>
    <w:sig w:usb0="00000000" w:usb1="00000000" w:usb2="00000000" w:usb3="00000000" w:csb0="80000000" w:csb1="00000000"/>
    <w:embedRegular r:id="rId9" w:fontKey="{19E4E50A-C11D-4D2C-84C7-31CBA91EE5B0}"/>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B5DA">
    <w:pPr>
      <w:pStyle w:val="40"/>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E6CD0">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1DE6CD0">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7603">
    <w:pPr>
      <w:pStyle w:val="40"/>
      <w:jc w:val="center"/>
      <w:rPr>
        <w:rFonts w:ascii="仿宋_GB2312" w:eastAsia="仿宋_GB2312"/>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1CB3B">
                          <w:pPr>
                            <w:pStyle w:val="4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71CB3B">
                    <w:pPr>
                      <w:pStyle w:val="4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044">
    <w:pPr>
      <w:pStyle w:val="40"/>
      <w:framePr w:wrap="around" w:vAnchor="text" w:hAnchor="margin" w:xAlign="right" w:y="1"/>
      <w:rPr>
        <w:rStyle w:val="66"/>
      </w:rPr>
    </w:pPr>
    <w:r>
      <w:fldChar w:fldCharType="begin"/>
    </w:r>
    <w:r>
      <w:rPr>
        <w:rStyle w:val="66"/>
      </w:rPr>
      <w:instrText xml:space="preserve">PAGE  </w:instrText>
    </w:r>
    <w:r>
      <w:fldChar w:fldCharType="end"/>
    </w:r>
  </w:p>
  <w:p w14:paraId="40EE9020">
    <w:pPr>
      <w:pStyle w:val="4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B64">
    <w:pPr>
      <w:pStyle w:val="40"/>
      <w:jc w:val="center"/>
      <w:rPr>
        <w:rFonts w:ascii="仿宋_GB2312" w:eastAsia="仿宋_GB2312"/>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1F1F7">
                          <w:pPr>
                            <w:pStyle w:val="4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D1F1F7">
                    <w:pPr>
                      <w:pStyle w:val="4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40"/>
      <w:jc w:val="center"/>
      <w:rPr>
        <w:rFonts w:ascii="仿宋_GB2312" w:eastAsia="仿宋_GB2312"/>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A67AE">
                          <w:pPr>
                            <w:pStyle w:val="4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2A67AE">
                    <w:pPr>
                      <w:pStyle w:val="4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40"/>
      <w:framePr w:wrap="around" w:vAnchor="text" w:hAnchor="margin" w:xAlign="right" w:y="1"/>
      <w:rPr>
        <w:rStyle w:val="66"/>
      </w:rPr>
    </w:pPr>
    <w:r>
      <w:fldChar w:fldCharType="begin"/>
    </w:r>
    <w:r>
      <w:rPr>
        <w:rStyle w:val="66"/>
      </w:rPr>
      <w:instrText xml:space="preserve">PAGE  </w:instrText>
    </w:r>
    <w:r>
      <w:fldChar w:fldCharType="end"/>
    </w:r>
  </w:p>
  <w:p w14:paraId="64D5ADA2">
    <w:pPr>
      <w:pStyle w:val="4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40"/>
      <w:jc w:val="center"/>
      <w:rPr>
        <w:rFonts w:ascii="仿宋_GB2312" w:eastAsia="仿宋_GB2312"/>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AF2D8">
                          <w:pPr>
                            <w:pStyle w:val="4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8AF2D8">
                    <w:pPr>
                      <w:pStyle w:val="4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CDDA">
    <w:pPr>
      <w:pStyle w:val="40"/>
      <w:rPr>
        <w:rFonts w:ascii="仿宋_GB2312" w:eastAsia="仿宋_GB2312"/>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8C5B1">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08C5B1">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7045">
    <w:pPr>
      <w:pStyle w:val="40"/>
      <w:rPr>
        <w:rFonts w:ascii="仿宋_GB2312" w:eastAsia="仿宋_GB2312"/>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849EC">
                          <w:pPr>
                            <w:pStyle w:val="4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B849EC">
                    <w:pPr>
                      <w:pStyle w:val="4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A21">
    <w:pPr>
      <w:pStyle w:val="4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3B">
    <w:pPr>
      <w:pStyle w:val="41"/>
      <w:pBdr>
        <w:bottom w:val="none" w:color="auto" w:sz="0" w:space="1"/>
      </w:pBdr>
      <w:jc w:val="right"/>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41"/>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41"/>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61BA">
    <w:pPr>
      <w:pStyle w:val="41"/>
      <w:jc w:val="left"/>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C2180">
    <w:pPr>
      <w:pStyle w:val="41"/>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A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1C47"/>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5F8"/>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687D"/>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EF43BB"/>
    <w:rsid w:val="02315AF4"/>
    <w:rsid w:val="02DA0C0E"/>
    <w:rsid w:val="03DD35E4"/>
    <w:rsid w:val="04407FCB"/>
    <w:rsid w:val="045D72C7"/>
    <w:rsid w:val="048575BC"/>
    <w:rsid w:val="04916F64"/>
    <w:rsid w:val="04A15716"/>
    <w:rsid w:val="05E918D0"/>
    <w:rsid w:val="062956B3"/>
    <w:rsid w:val="065A6178"/>
    <w:rsid w:val="07004E35"/>
    <w:rsid w:val="07105FF1"/>
    <w:rsid w:val="075562B7"/>
    <w:rsid w:val="07E1316C"/>
    <w:rsid w:val="07F6164B"/>
    <w:rsid w:val="087A1B7A"/>
    <w:rsid w:val="08C07E24"/>
    <w:rsid w:val="096B2097"/>
    <w:rsid w:val="0983003D"/>
    <w:rsid w:val="0A5B7E63"/>
    <w:rsid w:val="0B2C2F07"/>
    <w:rsid w:val="0B626F71"/>
    <w:rsid w:val="0B971310"/>
    <w:rsid w:val="0C87121B"/>
    <w:rsid w:val="0DF702FE"/>
    <w:rsid w:val="0E3F698B"/>
    <w:rsid w:val="0F21508F"/>
    <w:rsid w:val="0F5F2145"/>
    <w:rsid w:val="0F816ACD"/>
    <w:rsid w:val="0FB94501"/>
    <w:rsid w:val="109B71AD"/>
    <w:rsid w:val="10B047CF"/>
    <w:rsid w:val="10FC16EA"/>
    <w:rsid w:val="11050ACA"/>
    <w:rsid w:val="118963A1"/>
    <w:rsid w:val="123D6042"/>
    <w:rsid w:val="127723A9"/>
    <w:rsid w:val="13072A44"/>
    <w:rsid w:val="130848A2"/>
    <w:rsid w:val="13C551D8"/>
    <w:rsid w:val="145044FA"/>
    <w:rsid w:val="145B58F4"/>
    <w:rsid w:val="167C282F"/>
    <w:rsid w:val="185C019A"/>
    <w:rsid w:val="186742B0"/>
    <w:rsid w:val="19061883"/>
    <w:rsid w:val="1A225770"/>
    <w:rsid w:val="1A2B58C0"/>
    <w:rsid w:val="1AED39D5"/>
    <w:rsid w:val="1B2A271F"/>
    <w:rsid w:val="1B682381"/>
    <w:rsid w:val="1B890139"/>
    <w:rsid w:val="1C56667E"/>
    <w:rsid w:val="1D266CE1"/>
    <w:rsid w:val="1D3963AF"/>
    <w:rsid w:val="1D927B8A"/>
    <w:rsid w:val="1E357746"/>
    <w:rsid w:val="1E714A66"/>
    <w:rsid w:val="1EE154D4"/>
    <w:rsid w:val="1F7669D9"/>
    <w:rsid w:val="1F9000F9"/>
    <w:rsid w:val="1FE868A9"/>
    <w:rsid w:val="20504C0F"/>
    <w:rsid w:val="20DA7E56"/>
    <w:rsid w:val="211E26D6"/>
    <w:rsid w:val="21283D08"/>
    <w:rsid w:val="214E3DC8"/>
    <w:rsid w:val="21564E97"/>
    <w:rsid w:val="21C06456"/>
    <w:rsid w:val="22A10F5B"/>
    <w:rsid w:val="24DB3744"/>
    <w:rsid w:val="25B440B3"/>
    <w:rsid w:val="26003F4F"/>
    <w:rsid w:val="27291F80"/>
    <w:rsid w:val="2869648E"/>
    <w:rsid w:val="2AA1365A"/>
    <w:rsid w:val="2B563D23"/>
    <w:rsid w:val="2B8723B0"/>
    <w:rsid w:val="2DD15014"/>
    <w:rsid w:val="2E782484"/>
    <w:rsid w:val="2FA52628"/>
    <w:rsid w:val="2FD25781"/>
    <w:rsid w:val="2FD7142C"/>
    <w:rsid w:val="2FE6518C"/>
    <w:rsid w:val="300261BD"/>
    <w:rsid w:val="308710A4"/>
    <w:rsid w:val="31993E7B"/>
    <w:rsid w:val="319C6071"/>
    <w:rsid w:val="329478B9"/>
    <w:rsid w:val="32DB72BE"/>
    <w:rsid w:val="33015127"/>
    <w:rsid w:val="330E67C6"/>
    <w:rsid w:val="33E532CB"/>
    <w:rsid w:val="342E63AB"/>
    <w:rsid w:val="34332832"/>
    <w:rsid w:val="345D260B"/>
    <w:rsid w:val="34A21BE9"/>
    <w:rsid w:val="35265AE6"/>
    <w:rsid w:val="35841546"/>
    <w:rsid w:val="358F27FB"/>
    <w:rsid w:val="35C15C2A"/>
    <w:rsid w:val="365302AE"/>
    <w:rsid w:val="365378C4"/>
    <w:rsid w:val="366251C2"/>
    <w:rsid w:val="36BE466C"/>
    <w:rsid w:val="36D87CBE"/>
    <w:rsid w:val="376E0412"/>
    <w:rsid w:val="377E7703"/>
    <w:rsid w:val="37922A4D"/>
    <w:rsid w:val="37AE6F16"/>
    <w:rsid w:val="37F142D2"/>
    <w:rsid w:val="38CF183A"/>
    <w:rsid w:val="3955043F"/>
    <w:rsid w:val="39A13F14"/>
    <w:rsid w:val="39E96B90"/>
    <w:rsid w:val="3A254F87"/>
    <w:rsid w:val="3B253993"/>
    <w:rsid w:val="3B6250CD"/>
    <w:rsid w:val="3BBB1019"/>
    <w:rsid w:val="3C4D430D"/>
    <w:rsid w:val="3C5F759A"/>
    <w:rsid w:val="3D5C78D4"/>
    <w:rsid w:val="3E475FB2"/>
    <w:rsid w:val="3E8F7AA2"/>
    <w:rsid w:val="3F2E0B0A"/>
    <w:rsid w:val="3FFF72A6"/>
    <w:rsid w:val="40436D96"/>
    <w:rsid w:val="40BF05D7"/>
    <w:rsid w:val="41130852"/>
    <w:rsid w:val="41FB7427"/>
    <w:rsid w:val="42437ADB"/>
    <w:rsid w:val="42AE5DE9"/>
    <w:rsid w:val="42E1381E"/>
    <w:rsid w:val="43720C7A"/>
    <w:rsid w:val="43DD1F92"/>
    <w:rsid w:val="43FB717C"/>
    <w:rsid w:val="44F04025"/>
    <w:rsid w:val="451E447A"/>
    <w:rsid w:val="45345B76"/>
    <w:rsid w:val="459E681C"/>
    <w:rsid w:val="47255F4E"/>
    <w:rsid w:val="47307808"/>
    <w:rsid w:val="486F747C"/>
    <w:rsid w:val="4891083C"/>
    <w:rsid w:val="490368A3"/>
    <w:rsid w:val="4BC00EC1"/>
    <w:rsid w:val="4CA62F95"/>
    <w:rsid w:val="4CCE3E8B"/>
    <w:rsid w:val="4D861CF6"/>
    <w:rsid w:val="4D8858E0"/>
    <w:rsid w:val="4E424648"/>
    <w:rsid w:val="4F45079D"/>
    <w:rsid w:val="4F934F18"/>
    <w:rsid w:val="4F9B74A0"/>
    <w:rsid w:val="51674886"/>
    <w:rsid w:val="51A0432A"/>
    <w:rsid w:val="51A40E9A"/>
    <w:rsid w:val="51BA2C30"/>
    <w:rsid w:val="51F03A65"/>
    <w:rsid w:val="527140E5"/>
    <w:rsid w:val="5292508F"/>
    <w:rsid w:val="52A96B6F"/>
    <w:rsid w:val="53A854CE"/>
    <w:rsid w:val="543505B5"/>
    <w:rsid w:val="54656B86"/>
    <w:rsid w:val="550764A4"/>
    <w:rsid w:val="551926E0"/>
    <w:rsid w:val="561279B9"/>
    <w:rsid w:val="56515F3B"/>
    <w:rsid w:val="56964FE1"/>
    <w:rsid w:val="57152128"/>
    <w:rsid w:val="572B71CA"/>
    <w:rsid w:val="575651A9"/>
    <w:rsid w:val="57E958DA"/>
    <w:rsid w:val="582A2EA1"/>
    <w:rsid w:val="58313C22"/>
    <w:rsid w:val="58AE4F0C"/>
    <w:rsid w:val="58CC456A"/>
    <w:rsid w:val="598D540B"/>
    <w:rsid w:val="59CE0FEA"/>
    <w:rsid w:val="5A2A7C7B"/>
    <w:rsid w:val="5A6D3AD8"/>
    <w:rsid w:val="5AB23368"/>
    <w:rsid w:val="5B727530"/>
    <w:rsid w:val="5B83329D"/>
    <w:rsid w:val="5BB01637"/>
    <w:rsid w:val="5C80234E"/>
    <w:rsid w:val="5D8329FF"/>
    <w:rsid w:val="5E261785"/>
    <w:rsid w:val="5EBF1885"/>
    <w:rsid w:val="5FCC5339"/>
    <w:rsid w:val="5FE70807"/>
    <w:rsid w:val="606C3BBD"/>
    <w:rsid w:val="60E53485"/>
    <w:rsid w:val="61054A27"/>
    <w:rsid w:val="611D2366"/>
    <w:rsid w:val="61F82C89"/>
    <w:rsid w:val="62885958"/>
    <w:rsid w:val="6345631F"/>
    <w:rsid w:val="639170A1"/>
    <w:rsid w:val="63A1155A"/>
    <w:rsid w:val="63CC5C23"/>
    <w:rsid w:val="64BA4ADC"/>
    <w:rsid w:val="64CE2EAA"/>
    <w:rsid w:val="64FB63BE"/>
    <w:rsid w:val="65640FD8"/>
    <w:rsid w:val="662E75B1"/>
    <w:rsid w:val="66342C2E"/>
    <w:rsid w:val="663E784C"/>
    <w:rsid w:val="685867EC"/>
    <w:rsid w:val="68F75055"/>
    <w:rsid w:val="69584DB0"/>
    <w:rsid w:val="69FA3787"/>
    <w:rsid w:val="6A9F3997"/>
    <w:rsid w:val="6AA64288"/>
    <w:rsid w:val="6ABA1153"/>
    <w:rsid w:val="6AFE7291"/>
    <w:rsid w:val="6BE741CA"/>
    <w:rsid w:val="6C3B7073"/>
    <w:rsid w:val="6DE54A49"/>
    <w:rsid w:val="6E076DA5"/>
    <w:rsid w:val="6E107C24"/>
    <w:rsid w:val="6E1D2A67"/>
    <w:rsid w:val="6E706253"/>
    <w:rsid w:val="6E8E12EF"/>
    <w:rsid w:val="6F723706"/>
    <w:rsid w:val="6F992691"/>
    <w:rsid w:val="71124891"/>
    <w:rsid w:val="714125CE"/>
    <w:rsid w:val="71D43752"/>
    <w:rsid w:val="723560D1"/>
    <w:rsid w:val="73A25058"/>
    <w:rsid w:val="73DD6243"/>
    <w:rsid w:val="746A1E3C"/>
    <w:rsid w:val="74897257"/>
    <w:rsid w:val="749C4185"/>
    <w:rsid w:val="75644ADD"/>
    <w:rsid w:val="75DA2C18"/>
    <w:rsid w:val="76064139"/>
    <w:rsid w:val="76EC6EEF"/>
    <w:rsid w:val="775319EF"/>
    <w:rsid w:val="77940E9F"/>
    <w:rsid w:val="78000AED"/>
    <w:rsid w:val="78091B07"/>
    <w:rsid w:val="78A03884"/>
    <w:rsid w:val="78AF3D30"/>
    <w:rsid w:val="790F1C77"/>
    <w:rsid w:val="795659EE"/>
    <w:rsid w:val="7A67303B"/>
    <w:rsid w:val="7AAB1D04"/>
    <w:rsid w:val="7ABA4368"/>
    <w:rsid w:val="7B257FFD"/>
    <w:rsid w:val="7B6B0973"/>
    <w:rsid w:val="7BA83BB9"/>
    <w:rsid w:val="7C2B1DA5"/>
    <w:rsid w:val="7D612A8F"/>
    <w:rsid w:val="7DF4317E"/>
    <w:rsid w:val="7DFB58B2"/>
    <w:rsid w:val="7E086F22"/>
    <w:rsid w:val="7E64308B"/>
    <w:rsid w:val="7F3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rPr>
      <w:rFonts w:ascii="Calibri" w:hAnsi="Calibri" w:eastAsia="宋体" w:cs="Times New Roma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next w:val="17"/>
    <w:link w:val="613"/>
    <w:qFormat/>
    <w:uiPriority w:val="0"/>
    <w:pPr>
      <w:widowControl/>
      <w:snapToGrid w:val="0"/>
      <w:spacing w:line="480" w:lineRule="exact"/>
      <w:ind w:firstLine="567"/>
    </w:pPr>
    <w:rPr>
      <w:rFonts w:ascii="宋体"/>
      <w:snapToGrid w:val="0"/>
      <w:color w:val="000000"/>
      <w:kern w:val="28"/>
      <w:sz w:val="28"/>
      <w:szCs w:val="20"/>
    </w:rPr>
  </w:style>
  <w:style w:type="paragraph" w:customStyle="1" w:styleId="17">
    <w:name w:val="图表标题"/>
    <w:basedOn w:val="18"/>
    <w:next w:val="18"/>
    <w:qFormat/>
    <w:uiPriority w:val="0"/>
    <w:pPr>
      <w:spacing w:line="360" w:lineRule="auto"/>
      <w:jc w:val="center"/>
    </w:pPr>
    <w:rPr>
      <w:rFonts w:ascii="Times New Roman" w:hAnsi="Times New Roman"/>
      <w:sz w:val="24"/>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next w:val="22"/>
    <w:link w:val="614"/>
    <w:qFormat/>
    <w:uiPriority w:val="99"/>
    <w:pPr>
      <w:jc w:val="left"/>
    </w:pPr>
  </w:style>
  <w:style w:type="paragraph" w:styleId="22">
    <w:name w:val="Body Text Indent"/>
    <w:basedOn w:val="1"/>
    <w:link w:val="475"/>
    <w:qFormat/>
    <w:uiPriority w:val="0"/>
    <w:pPr>
      <w:spacing w:line="480" w:lineRule="exact"/>
      <w:ind w:firstLine="480" w:firstLineChars="200"/>
    </w:pPr>
    <w:rPr>
      <w:rFonts w:ascii="宋体" w:hAnsi="宋体"/>
      <w:sz w:val="24"/>
    </w:rPr>
  </w:style>
  <w:style w:type="paragraph" w:styleId="23">
    <w:name w:val="Salutation"/>
    <w:basedOn w:val="1"/>
    <w:next w:val="1"/>
    <w:link w:val="482"/>
    <w:qFormat/>
    <w:uiPriority w:val="0"/>
    <w:rPr>
      <w:rFonts w:ascii="仿宋_GB2312" w:eastAsia="仿宋_GB2312"/>
      <w:sz w:val="28"/>
      <w:szCs w:val="20"/>
    </w:rPr>
  </w:style>
  <w:style w:type="paragraph" w:styleId="24">
    <w:name w:val="Body Text 3"/>
    <w:basedOn w:val="1"/>
    <w:link w:val="581"/>
    <w:qFormat/>
    <w:uiPriority w:val="0"/>
    <w:pPr>
      <w:jc w:val="center"/>
    </w:pPr>
    <w:rPr>
      <w:szCs w:val="20"/>
    </w:rPr>
  </w:style>
  <w:style w:type="paragraph" w:styleId="25">
    <w:name w:val="Body Text"/>
    <w:basedOn w:val="1"/>
    <w:next w:val="26"/>
    <w:link w:val="512"/>
    <w:qFormat/>
    <w:uiPriority w:val="0"/>
    <w:pPr>
      <w:autoSpaceDE w:val="0"/>
      <w:autoSpaceDN w:val="0"/>
      <w:spacing w:line="360" w:lineRule="auto"/>
    </w:pPr>
    <w:rPr>
      <w:rFonts w:ascii="宋体"/>
      <w:sz w:val="24"/>
      <w:szCs w:val="21"/>
      <w:lang w:val="zh-CN"/>
    </w:rPr>
  </w:style>
  <w:style w:type="paragraph" w:styleId="26">
    <w:name w:val="Body Text First Indent"/>
    <w:basedOn w:val="25"/>
    <w:link w:val="545"/>
    <w:qFormat/>
    <w:uiPriority w:val="0"/>
    <w:pPr>
      <w:ind w:firstLine="420"/>
    </w:pPr>
    <w:rPr>
      <w:szCs w:val="20"/>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4"/>
    <w:link w:val="489"/>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8"/>
    <w:qFormat/>
    <w:uiPriority w:val="0"/>
    <w:pPr>
      <w:ind w:left="100" w:leftChars="2500"/>
    </w:pPr>
    <w:rPr>
      <w:rFonts w:ascii="宋体"/>
      <w:sz w:val="24"/>
      <w:szCs w:val="21"/>
      <w:lang w:val="zh-CN"/>
    </w:r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footer"/>
    <w:basedOn w:val="1"/>
    <w:qFormat/>
    <w:uiPriority w:val="0"/>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588"/>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qFormat/>
    <w:uiPriority w:val="0"/>
    <w:pPr>
      <w:spacing w:after="120" w:line="480" w:lineRule="auto"/>
    </w:pPr>
  </w:style>
  <w:style w:type="paragraph" w:styleId="57">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semiHidden/>
    <w:qFormat/>
    <w:uiPriority w:val="0"/>
    <w:rPr>
      <w:b/>
      <w:bCs/>
    </w:rPr>
  </w:style>
  <w:style w:type="paragraph" w:styleId="61">
    <w:name w:val="Body Text First Indent 2"/>
    <w:basedOn w:val="22"/>
    <w:next w:val="16"/>
    <w:link w:val="502"/>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next w:val="1"/>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2"/>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6"/>
    <w:qFormat/>
    <w:uiPriority w:val="0"/>
    <w:pPr>
      <w:snapToGrid w:val="0"/>
      <w:spacing w:line="360" w:lineRule="auto"/>
    </w:pPr>
    <w:rPr>
      <w:rFonts w:ascii="宋体"/>
      <w:b/>
      <w:sz w:val="24"/>
      <w:szCs w:val="20"/>
    </w:rPr>
  </w:style>
  <w:style w:type="paragraph" w:customStyle="1" w:styleId="230">
    <w:name w:val="模板普通正文"/>
    <w:basedOn w:val="22"/>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2"/>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0"/>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2"/>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22"/>
    <w:next w:val="25"/>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2"/>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50"/>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2"/>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3"/>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7"/>
    <w:qFormat/>
    <w:uiPriority w:val="0"/>
    <w:rPr>
      <w:rFonts w:ascii="Arial" w:hAnsi="Arial" w:eastAsia="隶书"/>
      <w:b/>
      <w:bCs/>
      <w:kern w:val="28"/>
      <w:sz w:val="44"/>
      <w:szCs w:val="32"/>
      <w:lang w:val="en-US" w:eastAsia="zh-CN" w:bidi="ar-SA"/>
    </w:rPr>
  </w:style>
  <w:style w:type="character" w:customStyle="1" w:styleId="489">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1"/>
    <w:qFormat/>
    <w:uiPriority w:val="0"/>
    <w:rPr>
      <w:rFonts w:ascii="宋体" w:hAnsi="宋体"/>
      <w:kern w:val="2"/>
      <w:sz w:val="21"/>
      <w:szCs w:val="24"/>
    </w:rPr>
  </w:style>
  <w:style w:type="character" w:customStyle="1" w:styleId="503">
    <w:name w:val="正文文本缩进 2 Char"/>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7"/>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6"/>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4"/>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3"/>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7"/>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6"/>
    <w:qFormat/>
    <w:uiPriority w:val="0"/>
    <w:rPr>
      <w:rFonts w:ascii="宋体" w:eastAsia="宋体"/>
      <w:snapToGrid w:val="0"/>
      <w:color w:val="000000"/>
      <w:kern w:val="28"/>
      <w:sz w:val="28"/>
      <w:lang w:val="en-US" w:eastAsia="zh-CN" w:bidi="ar-SA"/>
    </w:rPr>
  </w:style>
  <w:style w:type="character" w:customStyle="1" w:styleId="614">
    <w:name w:val="批注文字 Char1"/>
    <w:link w:val="21"/>
    <w:qFormat/>
    <w:uiPriority w:val="99"/>
    <w:rPr>
      <w:kern w:val="2"/>
      <w:sz w:val="21"/>
      <w:szCs w:val="24"/>
    </w:rPr>
  </w:style>
  <w:style w:type="character" w:customStyle="1" w:styleId="615">
    <w:name w:val="批注框文本 Char"/>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72</Pages>
  <Words>4908</Words>
  <Characters>5752</Characters>
  <Lines>380</Lines>
  <Paragraphs>107</Paragraphs>
  <TotalTime>157</TotalTime>
  <ScaleCrop>false</ScaleCrop>
  <LinksUpToDate>false</LinksUpToDate>
  <CharactersWithSpaces>5915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梅子</cp:lastModifiedBy>
  <cp:lastPrinted>2021-10-22T18:37:00Z</cp:lastPrinted>
  <dcterms:modified xsi:type="dcterms:W3CDTF">2026-04-14T08:55:57Z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484900CABD6F4F70A861EF0F6E0712A6_13</vt:lpwstr>
  </property>
  <property fmtid="{D5CDD505-2E9C-101B-9397-08002B2CF9AE}" pid="4" name="KSOTemplateDocerSaveRecord">
    <vt:lpwstr>eyJoZGlkIjoiYWIwZTY4ZTY2Mjk4MzgyNjk0NjQ0ODJlYWRhMmNiYWQiLCJ1c2VySWQiOiIxMTI0MzE4MzI3In0=</vt:lpwstr>
  </property>
</Properties>
</file>