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9B5BF1">
      <w:pPr>
        <w:spacing w:line="900" w:lineRule="exact"/>
        <w:jc w:val="center"/>
        <w:rPr>
          <w:rFonts w:ascii="宋体" w:hAnsi="宋体" w:cs="宋体"/>
          <w:b/>
          <w:bCs/>
          <w:spacing w:val="-6"/>
          <w:sz w:val="48"/>
          <w:szCs w:val="48"/>
        </w:rPr>
      </w:pPr>
      <w:bookmarkStart w:id="0" w:name="_Toc7014_WPSOffice_Level1"/>
      <w:bookmarkStart w:id="1" w:name="_Toc10319"/>
      <w:r>
        <w:rPr>
          <w:rFonts w:hint="eastAsia" w:ascii="宋体" w:hAnsi="宋体" w:cs="宋体"/>
          <w:b/>
          <w:bCs/>
          <w:spacing w:val="7"/>
          <w:w w:val="90"/>
          <w:sz w:val="48"/>
          <w:szCs w:val="48"/>
        </w:rPr>
        <w:t>广西达华工程造价咨询有限责任公司</w:t>
      </w:r>
    </w:p>
    <w:p w14:paraId="02127DC3">
      <w:pPr>
        <w:spacing w:line="900" w:lineRule="exact"/>
        <w:jc w:val="both"/>
        <w:rPr>
          <w:rFonts w:ascii="宋体" w:hAnsi="宋体" w:cs="宋体"/>
          <w:b/>
          <w:sz w:val="52"/>
        </w:rPr>
      </w:pPr>
    </w:p>
    <w:p w14:paraId="0F88A962">
      <w:pPr>
        <w:spacing w:line="900" w:lineRule="exact"/>
        <w:jc w:val="center"/>
        <w:rPr>
          <w:rFonts w:ascii="宋体" w:hAnsi="宋体" w:cs="宋体"/>
          <w:sz w:val="52"/>
          <w:szCs w:val="52"/>
        </w:rPr>
      </w:pPr>
    </w:p>
    <w:p w14:paraId="316C59C4">
      <w:pPr>
        <w:spacing w:line="900" w:lineRule="exact"/>
        <w:jc w:val="center"/>
        <w:rPr>
          <w:rFonts w:ascii="宋体" w:hAnsi="宋体" w:cs="宋体"/>
          <w:b/>
          <w:sz w:val="72"/>
        </w:rPr>
      </w:pPr>
      <w:r>
        <w:rPr>
          <w:rFonts w:hint="eastAsia" w:ascii="宋体" w:hAnsi="宋体" w:cs="宋体"/>
          <w:b/>
          <w:sz w:val="84"/>
          <w:szCs w:val="84"/>
        </w:rPr>
        <w:t>竞争性磋商文件</w:t>
      </w:r>
    </w:p>
    <w:p w14:paraId="67F14E2B">
      <w:pPr>
        <w:spacing w:line="900" w:lineRule="exact"/>
        <w:rPr>
          <w:rFonts w:hint="eastAsia" w:ascii="宋体" w:hAnsi="宋体" w:cs="宋体"/>
          <w:sz w:val="24"/>
          <w:lang w:val="en-US" w:eastAsia="zh-CN"/>
        </w:rPr>
      </w:pPr>
      <w:r>
        <w:rPr>
          <w:rFonts w:hint="eastAsia" w:ascii="宋体" w:hAnsi="宋体" w:cs="宋体"/>
          <w:sz w:val="24"/>
          <w:lang w:val="en-US" w:eastAsia="zh-CN"/>
        </w:rPr>
        <w:t xml:space="preserve"> </w:t>
      </w:r>
    </w:p>
    <w:p w14:paraId="280C3411">
      <w:pPr>
        <w:pStyle w:val="2"/>
        <w:rPr>
          <w:rFonts w:hint="eastAsia"/>
          <w:lang w:val="en-US" w:eastAsia="zh-CN"/>
        </w:rPr>
      </w:pPr>
    </w:p>
    <w:p w14:paraId="2BB37D95">
      <w:pPr>
        <w:tabs>
          <w:tab w:val="left" w:pos="2565"/>
        </w:tabs>
        <w:snapToGrid w:val="0"/>
        <w:spacing w:line="900" w:lineRule="exact"/>
        <w:jc w:val="center"/>
        <w:rPr>
          <w:rFonts w:hint="eastAsia" w:ascii="宋体" w:hAnsi="宋体" w:cs="宋体"/>
          <w:b/>
          <w:color w:val="000000"/>
          <w:sz w:val="32"/>
          <w:szCs w:val="32"/>
          <w:lang w:eastAsia="zh-CN"/>
        </w:rPr>
      </w:pPr>
      <w:r>
        <w:rPr>
          <w:rFonts w:hint="eastAsia" w:ascii="宋体" w:hAnsi="宋体" w:cs="宋体"/>
          <w:b/>
          <w:sz w:val="32"/>
          <w:szCs w:val="32"/>
        </w:rPr>
        <w:t>项目名称：</w:t>
      </w:r>
      <w:bookmarkStart w:id="2" w:name="OLE_LINK4"/>
      <w:r>
        <w:rPr>
          <w:rFonts w:hint="eastAsia" w:ascii="宋体" w:hAnsi="宋体" w:cs="宋体"/>
          <w:color w:val="000000"/>
          <w:sz w:val="32"/>
          <w:szCs w:val="32"/>
          <w:lang w:eastAsia="zh-CN"/>
        </w:rPr>
        <w:t>二塘镇谢家村月柿特色产业种植示范基地基础设施工程（分水坳至吕家洞）</w:t>
      </w:r>
    </w:p>
    <w:bookmarkEnd w:id="2"/>
    <w:p w14:paraId="1FD4A76C">
      <w:pPr>
        <w:tabs>
          <w:tab w:val="left" w:pos="2565"/>
        </w:tabs>
        <w:snapToGrid w:val="0"/>
        <w:spacing w:line="900" w:lineRule="exact"/>
        <w:ind w:firstLine="2560" w:firstLineChars="800"/>
        <w:rPr>
          <w:rFonts w:hint="eastAsia" w:ascii="宋体" w:hAnsi="宋体" w:cs="宋体"/>
          <w:b/>
          <w:sz w:val="32"/>
          <w:szCs w:val="32"/>
        </w:rPr>
      </w:pPr>
    </w:p>
    <w:p w14:paraId="3D15AF44">
      <w:pPr>
        <w:pStyle w:val="2"/>
        <w:rPr>
          <w:rFonts w:hint="eastAsia"/>
        </w:rPr>
      </w:pPr>
    </w:p>
    <w:p w14:paraId="1799C43D">
      <w:pPr>
        <w:tabs>
          <w:tab w:val="left" w:pos="2565"/>
        </w:tabs>
        <w:snapToGrid w:val="0"/>
        <w:spacing w:line="900" w:lineRule="exact"/>
        <w:ind w:firstLine="2560" w:firstLineChars="800"/>
        <w:rPr>
          <w:rFonts w:ascii="宋体" w:hAnsi="宋体" w:cs="宋体"/>
          <w:b/>
          <w:sz w:val="32"/>
          <w:szCs w:val="32"/>
        </w:rPr>
      </w:pPr>
      <w:r>
        <w:rPr>
          <w:rFonts w:hint="eastAsia" w:ascii="宋体" w:hAnsi="宋体" w:cs="宋体"/>
          <w:b/>
          <w:sz w:val="32"/>
          <w:szCs w:val="32"/>
        </w:rPr>
        <w:t>项目编号：</w:t>
      </w:r>
      <w:r>
        <w:rPr>
          <w:rFonts w:hint="eastAsia" w:ascii="宋体" w:hAnsi="宋体" w:cs="宋体"/>
          <w:b/>
          <w:bCs/>
          <w:color w:val="000000" w:themeColor="text1"/>
          <w:kern w:val="0"/>
          <w:sz w:val="32"/>
          <w14:textFill>
            <w14:solidFill>
              <w14:schemeClr w14:val="tx1"/>
            </w14:solidFill>
          </w14:textFill>
        </w:rPr>
        <w:t xml:space="preserve"> </w:t>
      </w:r>
      <w:r>
        <w:rPr>
          <w:rFonts w:hint="eastAsia" w:ascii="宋体" w:hAnsi="宋体" w:cs="宋体"/>
          <w:b/>
          <w:bCs/>
          <w:color w:val="000000" w:themeColor="text1"/>
          <w:kern w:val="0"/>
          <w:sz w:val="32"/>
          <w:lang w:eastAsia="zh-CN"/>
          <w14:textFill>
            <w14:solidFill>
              <w14:schemeClr w14:val="tx1"/>
            </w14:solidFill>
          </w14:textFill>
        </w:rPr>
        <w:t>GLZC2026-C2-300054-GXDH</w:t>
      </w:r>
    </w:p>
    <w:p w14:paraId="5E45FEFF">
      <w:pPr>
        <w:spacing w:line="900" w:lineRule="exact"/>
        <w:jc w:val="center"/>
        <w:rPr>
          <w:rFonts w:ascii="宋体" w:hAnsi="宋体" w:cs="宋体"/>
        </w:rPr>
      </w:pPr>
    </w:p>
    <w:p w14:paraId="0F47342F">
      <w:pPr>
        <w:spacing w:line="900" w:lineRule="exact"/>
        <w:jc w:val="center"/>
        <w:rPr>
          <w:rFonts w:ascii="宋体" w:hAnsi="宋体" w:cs="宋体"/>
        </w:rPr>
      </w:pPr>
    </w:p>
    <w:p w14:paraId="76427C16">
      <w:pPr>
        <w:pStyle w:val="2"/>
      </w:pPr>
    </w:p>
    <w:p w14:paraId="72848E8C">
      <w:pPr>
        <w:pStyle w:val="13"/>
        <w:spacing w:line="900" w:lineRule="exact"/>
      </w:pPr>
    </w:p>
    <w:p w14:paraId="3D7EC68D">
      <w:pPr>
        <w:spacing w:line="900" w:lineRule="exact"/>
        <w:jc w:val="center"/>
        <w:rPr>
          <w:rFonts w:ascii="宋体" w:hAnsi="宋体" w:cs="宋体"/>
          <w:b/>
          <w:bCs/>
          <w:spacing w:val="7"/>
          <w:sz w:val="32"/>
          <w:szCs w:val="32"/>
        </w:rPr>
      </w:pPr>
      <w:r>
        <w:rPr>
          <w:rFonts w:hint="eastAsia" w:ascii="宋体" w:hAnsi="宋体" w:cs="宋体"/>
          <w:b/>
          <w:bCs/>
          <w:spacing w:val="7"/>
          <w:sz w:val="32"/>
          <w:szCs w:val="32"/>
        </w:rPr>
        <w:t>采购代理机构：</w:t>
      </w:r>
      <w:r>
        <w:rPr>
          <w:rFonts w:hint="eastAsia" w:ascii="宋体" w:hAnsi="宋体" w:cs="宋体"/>
          <w:b/>
          <w:bCs/>
          <w:spacing w:val="7"/>
          <w:w w:val="90"/>
          <w:sz w:val="32"/>
          <w:szCs w:val="32"/>
        </w:rPr>
        <w:t>广西达华工程造价咨询有限责任公司</w:t>
      </w:r>
    </w:p>
    <w:p w14:paraId="7901B065">
      <w:pPr>
        <w:spacing w:line="900" w:lineRule="exact"/>
        <w:ind w:firstLine="3340" w:firstLineChars="1000"/>
        <w:rPr>
          <w:rFonts w:ascii="宋体" w:hAnsi="宋体" w:cs="宋体"/>
        </w:rPr>
      </w:pPr>
      <w:r>
        <w:rPr>
          <w:rFonts w:hint="eastAsia" w:ascii="宋体" w:hAnsi="宋体" w:cs="宋体"/>
          <w:b/>
          <w:bCs/>
          <w:spacing w:val="7"/>
          <w:sz w:val="32"/>
          <w:szCs w:val="32"/>
        </w:rPr>
        <w:t>日期：20</w:t>
      </w:r>
      <w:r>
        <w:rPr>
          <w:rFonts w:hint="eastAsia" w:ascii="宋体" w:hAnsi="宋体" w:cs="宋体"/>
          <w:b/>
          <w:bCs/>
          <w:spacing w:val="7"/>
          <w:sz w:val="32"/>
          <w:szCs w:val="32"/>
          <w:lang w:val="en-US" w:eastAsia="zh-CN"/>
        </w:rPr>
        <w:t>26</w:t>
      </w:r>
      <w:r>
        <w:rPr>
          <w:rFonts w:hint="eastAsia" w:ascii="宋体" w:hAnsi="宋体" w:cs="宋体"/>
          <w:b/>
          <w:bCs/>
          <w:spacing w:val="7"/>
          <w:sz w:val="32"/>
          <w:szCs w:val="32"/>
        </w:rPr>
        <w:t>年</w:t>
      </w:r>
      <w:r>
        <w:rPr>
          <w:rFonts w:hint="eastAsia" w:ascii="宋体" w:hAnsi="宋体" w:cs="宋体"/>
          <w:b/>
          <w:bCs/>
          <w:spacing w:val="7"/>
          <w:sz w:val="32"/>
          <w:szCs w:val="32"/>
          <w:lang w:val="en-US" w:eastAsia="zh-CN"/>
        </w:rPr>
        <w:t>9</w:t>
      </w:r>
      <w:r>
        <w:rPr>
          <w:rFonts w:hint="eastAsia" w:ascii="宋体" w:hAnsi="宋体" w:cs="宋体"/>
          <w:b/>
          <w:bCs/>
          <w:spacing w:val="7"/>
          <w:sz w:val="32"/>
          <w:szCs w:val="32"/>
        </w:rPr>
        <w:t>月</w:t>
      </w:r>
    </w:p>
    <w:p w14:paraId="400A88D6">
      <w:pPr>
        <w:spacing w:line="460" w:lineRule="exact"/>
        <w:rPr>
          <w:rFonts w:ascii="宋体" w:hAnsi="宋体" w:cs="宋体"/>
          <w:b/>
          <w:bCs/>
          <w:sz w:val="36"/>
          <w:szCs w:val="36"/>
          <w:lang w:val="zh-CN"/>
        </w:rPr>
      </w:pPr>
    </w:p>
    <w:p w14:paraId="23CA826A">
      <w:pPr>
        <w:spacing w:line="460" w:lineRule="exact"/>
        <w:jc w:val="center"/>
        <w:rPr>
          <w:rFonts w:ascii="宋体" w:hAnsi="宋体" w:cs="宋体"/>
          <w:b/>
          <w:bCs/>
          <w:sz w:val="36"/>
          <w:szCs w:val="36"/>
          <w:lang w:val="zh-CN"/>
        </w:rPr>
      </w:pPr>
    </w:p>
    <w:p w14:paraId="5D8C6414">
      <w:pPr>
        <w:spacing w:line="460" w:lineRule="exact"/>
        <w:jc w:val="center"/>
        <w:rPr>
          <w:rFonts w:ascii="宋体" w:hAnsi="宋体" w:cs="宋体"/>
          <w:b/>
          <w:bCs/>
          <w:sz w:val="36"/>
          <w:szCs w:val="36"/>
        </w:rPr>
      </w:pPr>
      <w:r>
        <w:rPr>
          <w:rFonts w:hint="eastAsia" w:ascii="宋体" w:hAnsi="宋体" w:cs="宋体"/>
          <w:b/>
          <w:bCs/>
          <w:sz w:val="36"/>
          <w:szCs w:val="36"/>
          <w:lang w:val="zh-CN"/>
        </w:rPr>
        <w:t>目</w:t>
      </w:r>
      <w:r>
        <w:rPr>
          <w:rFonts w:hint="eastAsia" w:ascii="宋体" w:hAnsi="宋体" w:cs="宋体"/>
          <w:b/>
          <w:bCs/>
          <w:sz w:val="36"/>
          <w:szCs w:val="36"/>
        </w:rPr>
        <w:t xml:space="preserve">  </w:t>
      </w:r>
      <w:r>
        <w:rPr>
          <w:rFonts w:hint="eastAsia" w:ascii="宋体" w:hAnsi="宋体" w:cs="宋体"/>
          <w:b/>
          <w:bCs/>
          <w:sz w:val="36"/>
          <w:szCs w:val="36"/>
          <w:lang w:val="zh-CN"/>
        </w:rPr>
        <w:t>录</w:t>
      </w:r>
    </w:p>
    <w:p w14:paraId="75B6F27F">
      <w:pPr>
        <w:numPr>
          <w:ilvl w:val="0"/>
          <w:numId w:val="1"/>
        </w:numPr>
        <w:spacing w:line="440" w:lineRule="exact"/>
        <w:rPr>
          <w:rFonts w:ascii="宋体" w:hAnsi="宋体" w:cs="宋体"/>
          <w:spacing w:val="1"/>
          <w:kern w:val="0"/>
          <w:position w:val="-2"/>
          <w:sz w:val="30"/>
          <w:szCs w:val="30"/>
        </w:rPr>
      </w:pPr>
      <w:r>
        <w:rPr>
          <w:rFonts w:hint="eastAsia" w:ascii="宋体" w:hAnsi="宋体" w:cs="宋体"/>
        </w:rPr>
        <w:fldChar w:fldCharType="begin"/>
      </w:r>
      <w:r>
        <w:rPr>
          <w:rFonts w:hint="eastAsia" w:ascii="宋体" w:hAnsi="宋体" w:cs="宋体"/>
        </w:rPr>
        <w:instrText xml:space="preserve"> TOC \o "1-3" \h \z \u </w:instrText>
      </w:r>
      <w:r>
        <w:rPr>
          <w:rFonts w:hint="eastAsia" w:ascii="宋体" w:hAnsi="宋体" w:cs="宋体"/>
        </w:rPr>
        <w:fldChar w:fldCharType="separate"/>
      </w:r>
      <w:r>
        <w:rPr>
          <w:rFonts w:hint="eastAsia" w:ascii="宋体" w:hAnsi="宋体" w:cs="宋体"/>
          <w:spacing w:val="1"/>
          <w:kern w:val="0"/>
          <w:position w:val="-2"/>
          <w:sz w:val="30"/>
          <w:szCs w:val="30"/>
        </w:rPr>
        <w:t>竞争性磋商公告...................................... 2</w:t>
      </w:r>
    </w:p>
    <w:p w14:paraId="2BE7ADA5">
      <w:pPr>
        <w:spacing w:line="440" w:lineRule="exact"/>
        <w:rPr>
          <w:rFonts w:ascii="宋体" w:hAnsi="宋体" w:cs="宋体"/>
          <w:spacing w:val="1"/>
          <w:kern w:val="0"/>
          <w:position w:val="-2"/>
          <w:sz w:val="30"/>
          <w:szCs w:val="30"/>
        </w:rPr>
      </w:pPr>
    </w:p>
    <w:p w14:paraId="53D66B17">
      <w:pPr>
        <w:spacing w:line="440" w:lineRule="exact"/>
        <w:rPr>
          <w:rFonts w:ascii="宋体" w:hAnsi="宋体" w:cs="宋体"/>
          <w:spacing w:val="1"/>
          <w:kern w:val="0"/>
          <w:position w:val="-2"/>
          <w:sz w:val="30"/>
          <w:szCs w:val="30"/>
        </w:rPr>
      </w:pPr>
      <w:r>
        <w:rPr>
          <w:rFonts w:hint="eastAsia" w:ascii="宋体" w:hAnsi="宋体" w:cs="宋体"/>
          <w:spacing w:val="1"/>
          <w:kern w:val="0"/>
          <w:position w:val="-2"/>
          <w:sz w:val="30"/>
          <w:szCs w:val="30"/>
        </w:rPr>
        <w:t>第二章 竞标人须知.......................................... 4</w:t>
      </w:r>
    </w:p>
    <w:p w14:paraId="3453846E">
      <w:pPr>
        <w:spacing w:line="440" w:lineRule="exact"/>
        <w:rPr>
          <w:rFonts w:ascii="宋体" w:hAnsi="宋体" w:cs="宋体"/>
          <w:spacing w:val="1"/>
          <w:kern w:val="0"/>
          <w:position w:val="-2"/>
          <w:sz w:val="30"/>
          <w:szCs w:val="30"/>
        </w:rPr>
      </w:pPr>
    </w:p>
    <w:p w14:paraId="3210870E">
      <w:pPr>
        <w:spacing w:line="440" w:lineRule="exact"/>
        <w:rPr>
          <w:rFonts w:ascii="宋体" w:hAnsi="宋体" w:cs="宋体"/>
          <w:spacing w:val="1"/>
          <w:kern w:val="0"/>
          <w:position w:val="-2"/>
          <w:sz w:val="30"/>
          <w:szCs w:val="30"/>
        </w:rPr>
      </w:pPr>
      <w:r>
        <w:rPr>
          <w:rFonts w:hint="eastAsia" w:ascii="宋体" w:hAnsi="宋体" w:cs="宋体"/>
          <w:spacing w:val="1"/>
          <w:kern w:val="0"/>
          <w:position w:val="-2"/>
          <w:sz w:val="30"/>
          <w:szCs w:val="30"/>
        </w:rPr>
        <w:t>第三章 评标办法............................................2</w:t>
      </w:r>
      <w:r>
        <w:rPr>
          <w:rFonts w:ascii="宋体" w:hAnsi="宋体" w:cs="宋体"/>
          <w:spacing w:val="1"/>
          <w:kern w:val="0"/>
          <w:position w:val="-2"/>
          <w:sz w:val="30"/>
          <w:szCs w:val="30"/>
        </w:rPr>
        <w:t>4</w:t>
      </w:r>
    </w:p>
    <w:p w14:paraId="45106AA3">
      <w:pPr>
        <w:spacing w:line="440" w:lineRule="exact"/>
        <w:rPr>
          <w:rFonts w:ascii="宋体" w:hAnsi="宋体" w:cs="宋体"/>
          <w:spacing w:val="1"/>
          <w:kern w:val="0"/>
          <w:position w:val="-2"/>
          <w:sz w:val="30"/>
          <w:szCs w:val="30"/>
        </w:rPr>
      </w:pPr>
    </w:p>
    <w:p w14:paraId="645B10CA">
      <w:pPr>
        <w:spacing w:line="440" w:lineRule="exact"/>
        <w:rPr>
          <w:rFonts w:ascii="宋体" w:hAnsi="宋体" w:cs="宋体"/>
          <w:spacing w:val="1"/>
          <w:kern w:val="0"/>
          <w:position w:val="-2"/>
          <w:sz w:val="30"/>
          <w:szCs w:val="30"/>
        </w:rPr>
      </w:pPr>
      <w:r>
        <w:rPr>
          <w:rFonts w:hint="eastAsia" w:ascii="宋体" w:hAnsi="宋体" w:cs="宋体"/>
          <w:spacing w:val="1"/>
          <w:kern w:val="0"/>
          <w:position w:val="-2"/>
          <w:sz w:val="30"/>
          <w:szCs w:val="30"/>
        </w:rPr>
        <w:t>第四章 合同条款及格式......................................3</w:t>
      </w:r>
      <w:r>
        <w:rPr>
          <w:rFonts w:ascii="宋体" w:hAnsi="宋体" w:cs="宋体"/>
          <w:spacing w:val="1"/>
          <w:kern w:val="0"/>
          <w:position w:val="-2"/>
          <w:sz w:val="30"/>
          <w:szCs w:val="30"/>
        </w:rPr>
        <w:t>2</w:t>
      </w:r>
    </w:p>
    <w:p w14:paraId="3F070A22">
      <w:pPr>
        <w:spacing w:line="440" w:lineRule="exact"/>
        <w:rPr>
          <w:rFonts w:ascii="宋体" w:hAnsi="宋体" w:cs="宋体"/>
          <w:spacing w:val="1"/>
          <w:kern w:val="0"/>
          <w:position w:val="-2"/>
          <w:sz w:val="30"/>
          <w:szCs w:val="30"/>
        </w:rPr>
      </w:pPr>
    </w:p>
    <w:p w14:paraId="6F42B532">
      <w:pPr>
        <w:numPr>
          <w:ilvl w:val="0"/>
          <w:numId w:val="2"/>
        </w:numPr>
        <w:spacing w:line="440" w:lineRule="exact"/>
        <w:rPr>
          <w:rFonts w:ascii="宋体" w:hAnsi="宋体" w:cs="宋体"/>
          <w:spacing w:val="1"/>
          <w:kern w:val="0"/>
          <w:position w:val="-2"/>
          <w:sz w:val="30"/>
          <w:szCs w:val="30"/>
        </w:rPr>
      </w:pPr>
      <w:r>
        <w:rPr>
          <w:rFonts w:hint="eastAsia" w:ascii="宋体" w:hAnsi="宋体" w:cs="宋体"/>
          <w:spacing w:val="1"/>
          <w:kern w:val="0"/>
          <w:position w:val="-2"/>
          <w:sz w:val="30"/>
          <w:szCs w:val="30"/>
        </w:rPr>
        <w:t>工程量清单..........................................</w:t>
      </w:r>
      <w:r>
        <w:rPr>
          <w:rFonts w:ascii="宋体" w:hAnsi="宋体" w:cs="宋体"/>
          <w:spacing w:val="1"/>
          <w:kern w:val="0"/>
          <w:position w:val="-2"/>
          <w:sz w:val="30"/>
          <w:szCs w:val="30"/>
        </w:rPr>
        <w:t>94</w:t>
      </w:r>
    </w:p>
    <w:p w14:paraId="2A6FEC40">
      <w:pPr>
        <w:spacing w:line="440" w:lineRule="exact"/>
        <w:rPr>
          <w:rFonts w:ascii="宋体" w:hAnsi="宋体" w:cs="宋体"/>
          <w:spacing w:val="1"/>
          <w:kern w:val="0"/>
          <w:position w:val="-2"/>
          <w:sz w:val="30"/>
          <w:szCs w:val="30"/>
        </w:rPr>
      </w:pPr>
    </w:p>
    <w:p w14:paraId="23EE9206">
      <w:pPr>
        <w:numPr>
          <w:ilvl w:val="0"/>
          <w:numId w:val="2"/>
        </w:numPr>
        <w:spacing w:line="440" w:lineRule="exact"/>
        <w:rPr>
          <w:rFonts w:ascii="宋体" w:hAnsi="宋体" w:cs="宋体"/>
          <w:spacing w:val="1"/>
          <w:kern w:val="0"/>
          <w:position w:val="-2"/>
          <w:sz w:val="30"/>
          <w:szCs w:val="30"/>
        </w:rPr>
      </w:pPr>
      <w:r>
        <w:rPr>
          <w:rFonts w:hint="eastAsia" w:ascii="宋体" w:hAnsi="宋体" w:cs="宋体"/>
          <w:spacing w:val="1"/>
          <w:kern w:val="0"/>
          <w:position w:val="-2"/>
          <w:sz w:val="30"/>
          <w:szCs w:val="30"/>
        </w:rPr>
        <w:t>技术标准............................................</w:t>
      </w:r>
      <w:r>
        <w:rPr>
          <w:rFonts w:ascii="宋体" w:hAnsi="宋体" w:cs="宋体"/>
          <w:spacing w:val="1"/>
          <w:kern w:val="0"/>
          <w:position w:val="-2"/>
          <w:sz w:val="30"/>
          <w:szCs w:val="30"/>
        </w:rPr>
        <w:t>95</w:t>
      </w:r>
    </w:p>
    <w:p w14:paraId="126506F5">
      <w:pPr>
        <w:spacing w:line="440" w:lineRule="exact"/>
        <w:rPr>
          <w:rFonts w:ascii="宋体" w:hAnsi="宋体" w:cs="宋体"/>
          <w:spacing w:val="1"/>
          <w:kern w:val="0"/>
          <w:position w:val="-2"/>
          <w:sz w:val="30"/>
          <w:szCs w:val="30"/>
        </w:rPr>
      </w:pPr>
    </w:p>
    <w:p w14:paraId="35EA0CE7">
      <w:pPr>
        <w:numPr>
          <w:ilvl w:val="0"/>
          <w:numId w:val="2"/>
        </w:numPr>
        <w:spacing w:line="440" w:lineRule="exact"/>
        <w:rPr>
          <w:rFonts w:ascii="宋体" w:hAnsi="宋体" w:cs="宋体"/>
          <w:spacing w:val="1"/>
          <w:kern w:val="0"/>
          <w:position w:val="-2"/>
          <w:sz w:val="30"/>
          <w:szCs w:val="30"/>
        </w:rPr>
      </w:pPr>
      <w:r>
        <w:rPr>
          <w:rFonts w:hint="eastAsia" w:ascii="宋体" w:hAnsi="宋体" w:cs="宋体"/>
          <w:spacing w:val="1"/>
          <w:kern w:val="0"/>
          <w:position w:val="-2"/>
          <w:sz w:val="30"/>
          <w:szCs w:val="30"/>
        </w:rPr>
        <w:t>图纸................................................</w:t>
      </w:r>
      <w:r>
        <w:rPr>
          <w:rFonts w:ascii="宋体" w:hAnsi="宋体" w:cs="宋体"/>
          <w:spacing w:val="1"/>
          <w:kern w:val="0"/>
          <w:position w:val="-2"/>
          <w:sz w:val="30"/>
          <w:szCs w:val="30"/>
        </w:rPr>
        <w:t>96</w:t>
      </w:r>
    </w:p>
    <w:p w14:paraId="1905062E">
      <w:pPr>
        <w:spacing w:line="440" w:lineRule="exact"/>
        <w:rPr>
          <w:rFonts w:ascii="宋体" w:hAnsi="宋体" w:cs="宋体"/>
          <w:spacing w:val="1"/>
          <w:kern w:val="0"/>
          <w:position w:val="-2"/>
          <w:sz w:val="30"/>
          <w:szCs w:val="30"/>
        </w:rPr>
      </w:pPr>
    </w:p>
    <w:p w14:paraId="692F2FF3">
      <w:pPr>
        <w:spacing w:line="440" w:lineRule="exact"/>
        <w:rPr>
          <w:rFonts w:ascii="宋体" w:hAnsi="宋体" w:cs="宋体"/>
          <w:spacing w:val="1"/>
          <w:kern w:val="0"/>
          <w:position w:val="-2"/>
          <w:sz w:val="30"/>
          <w:szCs w:val="30"/>
        </w:rPr>
      </w:pPr>
      <w:r>
        <w:rPr>
          <w:rFonts w:hint="eastAsia" w:ascii="宋体" w:hAnsi="宋体" w:cs="宋体"/>
          <w:spacing w:val="1"/>
          <w:kern w:val="0"/>
          <w:position w:val="-2"/>
          <w:sz w:val="30"/>
          <w:szCs w:val="30"/>
        </w:rPr>
        <w:t>第八章 响应文件格式........................................</w:t>
      </w:r>
      <w:r>
        <w:rPr>
          <w:rFonts w:ascii="宋体" w:hAnsi="宋体" w:cs="宋体"/>
          <w:spacing w:val="1"/>
          <w:kern w:val="0"/>
          <w:position w:val="-2"/>
          <w:sz w:val="30"/>
          <w:szCs w:val="30"/>
        </w:rPr>
        <w:t>97</w:t>
      </w:r>
    </w:p>
    <w:p w14:paraId="3886EF65">
      <w:pPr>
        <w:pStyle w:val="20"/>
        <w:tabs>
          <w:tab w:val="right" w:leader="dot" w:pos="9746"/>
        </w:tabs>
        <w:spacing w:line="460" w:lineRule="exact"/>
      </w:pPr>
    </w:p>
    <w:p w14:paraId="62FA877A">
      <w:pPr>
        <w:pStyle w:val="14"/>
        <w:tabs>
          <w:tab w:val="right" w:leader="dot" w:pos="9746"/>
        </w:tabs>
        <w:spacing w:line="460" w:lineRule="exact"/>
      </w:pPr>
    </w:p>
    <w:p w14:paraId="31DC14D4">
      <w:pPr>
        <w:spacing w:line="460" w:lineRule="exact"/>
        <w:jc w:val="center"/>
        <w:rPr>
          <w:rFonts w:ascii="宋体" w:hAnsi="宋体" w:cs="宋体"/>
          <w:b/>
          <w:bCs/>
          <w:sz w:val="32"/>
          <w:szCs w:val="32"/>
        </w:rPr>
      </w:pPr>
      <w:r>
        <w:rPr>
          <w:rFonts w:hint="eastAsia" w:ascii="宋体" w:hAnsi="宋体" w:cs="宋体"/>
          <w:bCs/>
          <w:lang w:val="zh-CN"/>
        </w:rPr>
        <w:fldChar w:fldCharType="end"/>
      </w:r>
    </w:p>
    <w:p w14:paraId="111DFECE">
      <w:pPr>
        <w:spacing w:line="460" w:lineRule="exact"/>
        <w:rPr>
          <w:rFonts w:ascii="宋体" w:hAnsi="宋体" w:cs="宋体"/>
          <w:b/>
          <w:bCs/>
          <w:sz w:val="32"/>
          <w:szCs w:val="32"/>
        </w:rPr>
        <w:sectPr>
          <w:footerReference r:id="rId3" w:type="default"/>
          <w:pgSz w:w="11906" w:h="16838"/>
          <w:pgMar w:top="1440" w:right="1080" w:bottom="1440" w:left="1080" w:header="851" w:footer="992" w:gutter="0"/>
          <w:pgNumType w:fmt="upperRoman" w:start="1"/>
          <w:cols w:space="720" w:num="1"/>
          <w:docGrid w:type="linesAndChars" w:linePitch="312" w:charSpace="0"/>
        </w:sectPr>
      </w:pPr>
    </w:p>
    <w:p w14:paraId="6895EC76">
      <w:pPr>
        <w:spacing w:line="460" w:lineRule="exact"/>
        <w:jc w:val="center"/>
        <w:outlineLvl w:val="0"/>
        <w:rPr>
          <w:rFonts w:asciiTheme="minorEastAsia" w:hAnsiTheme="minorEastAsia" w:eastAsiaTheme="minorEastAsia" w:cstheme="minorEastAsia"/>
          <w:b/>
          <w:bCs/>
          <w:sz w:val="32"/>
          <w:szCs w:val="32"/>
        </w:rPr>
      </w:pPr>
      <w:bookmarkStart w:id="3" w:name="_Toc1521"/>
      <w:bookmarkStart w:id="4" w:name="_Toc35393797"/>
      <w:bookmarkStart w:id="5" w:name="_Toc28359011"/>
      <w:bookmarkStart w:id="6" w:name="_Toc26809"/>
      <w:bookmarkStart w:id="7" w:name="_Toc30170"/>
      <w:r>
        <w:rPr>
          <w:rFonts w:hint="eastAsia" w:asciiTheme="minorEastAsia" w:hAnsiTheme="minorEastAsia" w:eastAsiaTheme="minorEastAsia" w:cstheme="minorEastAsia"/>
          <w:b/>
          <w:bCs/>
          <w:sz w:val="32"/>
          <w:szCs w:val="32"/>
        </w:rPr>
        <w:t>第一章  竞争性磋商公告</w:t>
      </w:r>
      <w:bookmarkEnd w:id="3"/>
      <w:bookmarkEnd w:id="4"/>
      <w:bookmarkEnd w:id="5"/>
      <w:bookmarkEnd w:id="6"/>
      <w:bookmarkEnd w:id="7"/>
    </w:p>
    <w:tbl>
      <w:tblPr>
        <w:tblStyle w:val="22"/>
        <w:tblpPr w:leftFromText="180" w:rightFromText="180" w:vertAnchor="text" w:tblpX="70" w:tblpY="134"/>
        <w:tblOverlap w:val="never"/>
        <w:tblW w:w="97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7"/>
      </w:tblGrid>
      <w:tr w14:paraId="09FEA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3" w:hRule="atLeast"/>
        </w:trPr>
        <w:tc>
          <w:tcPr>
            <w:tcW w:w="9767" w:type="dxa"/>
          </w:tcPr>
          <w:p w14:paraId="27E965BC">
            <w:pPr>
              <w:spacing w:line="460" w:lineRule="exact"/>
              <w:ind w:firstLine="422" w:firstLineChars="200"/>
              <w:rPr>
                <w:rFonts w:ascii="宋体" w:hAnsi="宋体" w:cs="宋体"/>
                <w:b/>
                <w:bCs/>
                <w:color w:val="000000"/>
                <w:szCs w:val="21"/>
              </w:rPr>
            </w:pPr>
            <w:r>
              <w:rPr>
                <w:rFonts w:hint="eastAsia" w:ascii="宋体" w:hAnsi="宋体" w:cs="宋体"/>
                <w:b/>
                <w:bCs/>
                <w:color w:val="000000"/>
                <w:szCs w:val="21"/>
              </w:rPr>
              <w:t>项目概况</w:t>
            </w:r>
          </w:p>
          <w:p w14:paraId="2D2EE9FC">
            <w:pPr>
              <w:spacing w:line="460" w:lineRule="exact"/>
              <w:ind w:firstLine="420" w:firstLineChars="200"/>
              <w:rPr>
                <w:rFonts w:ascii="宋体" w:hAnsi="宋体" w:cs="宋体"/>
                <w:color w:val="000000"/>
                <w:szCs w:val="21"/>
              </w:rPr>
            </w:pPr>
            <w:r>
              <w:rPr>
                <w:rFonts w:hint="eastAsia"/>
                <w:u w:val="single"/>
                <w:lang w:eastAsia="zh-CN"/>
              </w:rPr>
              <w:t>二塘镇谢家村月柿特色产业种植示范基地基础设施工程（分水坳至吕家洞）</w:t>
            </w:r>
            <w:r>
              <w:rPr>
                <w:rFonts w:hint="eastAsia"/>
              </w:rPr>
              <w:t>采购</w:t>
            </w:r>
            <w:r>
              <w:rPr>
                <w:rFonts w:hint="eastAsia" w:ascii="宋体" w:hAnsi="宋体" w:cs="宋体"/>
              </w:rPr>
              <w:t>项目的潜在供应商应在</w:t>
            </w:r>
            <w:r>
              <w:rPr>
                <w:rFonts w:hint="eastAsia" w:ascii="宋体" w:hAnsi="宋体" w:cs="宋体"/>
                <w:color w:val="000000"/>
                <w:szCs w:val="21"/>
              </w:rPr>
              <w:t>桂林市公共资源交易中心</w:t>
            </w:r>
            <w:r>
              <w:rPr>
                <w:rFonts w:hint="eastAsia" w:ascii="宋体" w:hAnsi="宋体"/>
                <w:szCs w:val="21"/>
              </w:rPr>
              <w:t>网</w:t>
            </w:r>
            <w:r>
              <w:rPr>
                <w:rFonts w:hint="eastAsia"/>
                <w:bCs/>
                <w:szCs w:val="21"/>
              </w:rPr>
              <w:t>（http://www.glggzy.org.cn）或桂林市政府采购网（http://zfcg.czj.guilin.gov.cn/）</w:t>
            </w:r>
            <w:r>
              <w:rPr>
                <w:rFonts w:hint="eastAsia" w:ascii="宋体" w:hAnsi="宋体" w:cs="宋体"/>
              </w:rPr>
              <w:t>获取采购文件，并于</w:t>
            </w:r>
            <w:r>
              <w:rPr>
                <w:rFonts w:hint="eastAsia" w:ascii="宋体" w:hAnsi="宋体" w:cs="宋体"/>
                <w:szCs w:val="21"/>
                <w:lang w:eastAsia="zh-CN"/>
              </w:rPr>
              <w:t>2026年09月23日</w:t>
            </w:r>
            <w:r>
              <w:rPr>
                <w:rFonts w:hint="eastAsia" w:ascii="宋体" w:hAnsi="宋体" w:cs="宋体"/>
                <w:szCs w:val="21"/>
                <w:lang w:val="en-US" w:eastAsia="zh-CN"/>
              </w:rPr>
              <w:t>09</w:t>
            </w:r>
            <w:r>
              <w:rPr>
                <w:rFonts w:hint="eastAsia" w:ascii="宋体" w:hAnsi="宋体" w:cs="宋体"/>
                <w:szCs w:val="21"/>
              </w:rPr>
              <w:t>时00分</w:t>
            </w:r>
            <w:r>
              <w:rPr>
                <w:rFonts w:hint="eastAsia" w:ascii="宋体" w:hAnsi="宋体" w:cs="宋体"/>
              </w:rPr>
              <w:t>（北京时间）前提交响应文件。</w:t>
            </w:r>
          </w:p>
        </w:tc>
      </w:tr>
    </w:tbl>
    <w:p w14:paraId="0F8AE523">
      <w:pPr>
        <w:spacing w:line="460" w:lineRule="exact"/>
        <w:outlineLvl w:val="1"/>
        <w:rPr>
          <w:rFonts w:ascii="宋体" w:hAnsi="宋体" w:cs="宋体"/>
          <w:b/>
          <w:bCs/>
          <w:color w:val="000000"/>
          <w:szCs w:val="21"/>
        </w:rPr>
      </w:pPr>
      <w:bookmarkStart w:id="8" w:name="_Toc35393629"/>
      <w:bookmarkStart w:id="9" w:name="_Toc28359089"/>
      <w:bookmarkStart w:id="10" w:name="_Toc35393798"/>
      <w:bookmarkStart w:id="11" w:name="_Toc16171"/>
      <w:bookmarkStart w:id="12" w:name="_Toc28359012"/>
    </w:p>
    <w:p w14:paraId="4C3009E9">
      <w:pPr>
        <w:spacing w:line="460" w:lineRule="exact"/>
        <w:outlineLvl w:val="1"/>
        <w:rPr>
          <w:rFonts w:ascii="宋体" w:hAnsi="宋体" w:cs="宋体"/>
          <w:b/>
          <w:bCs/>
          <w:color w:val="000000"/>
          <w:szCs w:val="21"/>
        </w:rPr>
      </w:pPr>
    </w:p>
    <w:p w14:paraId="2130AF35">
      <w:pPr>
        <w:spacing w:line="460" w:lineRule="exact"/>
        <w:outlineLvl w:val="1"/>
        <w:rPr>
          <w:rFonts w:ascii="宋体" w:hAnsi="宋体" w:cs="宋体"/>
          <w:b/>
          <w:bCs/>
          <w:color w:val="000000"/>
          <w:szCs w:val="21"/>
        </w:rPr>
      </w:pPr>
    </w:p>
    <w:p w14:paraId="3A19B2E8">
      <w:pPr>
        <w:spacing w:line="460" w:lineRule="exact"/>
        <w:jc w:val="left"/>
        <w:outlineLvl w:val="1"/>
        <w:rPr>
          <w:rFonts w:ascii="宋体" w:hAnsi="宋体" w:cs="宋体"/>
          <w:b/>
          <w:bCs/>
          <w:color w:val="000000"/>
          <w:szCs w:val="21"/>
        </w:rPr>
      </w:pPr>
    </w:p>
    <w:p w14:paraId="1C19C3D0">
      <w:pPr>
        <w:spacing w:line="460" w:lineRule="exact"/>
        <w:ind w:firstLine="422" w:firstLineChars="200"/>
        <w:jc w:val="left"/>
        <w:outlineLvl w:val="1"/>
        <w:rPr>
          <w:rFonts w:ascii="宋体" w:hAnsi="宋体" w:cs="宋体"/>
          <w:color w:val="000000"/>
          <w:szCs w:val="21"/>
        </w:rPr>
      </w:pPr>
      <w:r>
        <w:rPr>
          <w:rFonts w:hint="eastAsia" w:ascii="宋体" w:hAnsi="宋体" w:cs="宋体"/>
          <w:b/>
          <w:bCs/>
          <w:color w:val="000000"/>
          <w:szCs w:val="21"/>
        </w:rPr>
        <w:t>一、项目基本情况</w:t>
      </w:r>
      <w:bookmarkEnd w:id="8"/>
      <w:bookmarkEnd w:id="9"/>
      <w:bookmarkEnd w:id="10"/>
      <w:bookmarkEnd w:id="11"/>
      <w:bookmarkEnd w:id="12"/>
    </w:p>
    <w:p w14:paraId="62501CC8">
      <w:pPr>
        <w:spacing w:line="460" w:lineRule="exact"/>
        <w:ind w:firstLine="420" w:firstLineChars="200"/>
        <w:rPr>
          <w:rFonts w:ascii="宋体" w:hAnsi="宋体" w:cs="宋体"/>
          <w:color w:val="000000"/>
          <w:szCs w:val="21"/>
        </w:rPr>
      </w:pPr>
      <w:r>
        <w:rPr>
          <w:rFonts w:hint="eastAsia" w:ascii="宋体" w:hAnsi="宋体" w:cs="宋体"/>
          <w:color w:val="000000"/>
          <w:szCs w:val="21"/>
        </w:rPr>
        <w:t xml:space="preserve">1、项目编号： </w:t>
      </w:r>
      <w:r>
        <w:rPr>
          <w:rFonts w:hint="eastAsia" w:ascii="宋体" w:hAnsi="宋体" w:cs="宋体"/>
          <w:szCs w:val="21"/>
          <w:lang w:eastAsia="zh-CN"/>
        </w:rPr>
        <w:t>GLZC2026-C2-300054-GXDH</w:t>
      </w:r>
    </w:p>
    <w:p w14:paraId="1629A94B">
      <w:pPr>
        <w:spacing w:line="460" w:lineRule="exact"/>
        <w:ind w:firstLine="420" w:firstLineChars="200"/>
        <w:rPr>
          <w:rFonts w:ascii="宋体" w:hAnsi="宋体" w:cs="宋体"/>
          <w:color w:val="000000"/>
          <w:szCs w:val="21"/>
        </w:rPr>
      </w:pPr>
      <w:r>
        <w:rPr>
          <w:rFonts w:hint="eastAsia" w:ascii="宋体" w:hAnsi="宋体" w:cs="宋体"/>
          <w:color w:val="000000"/>
          <w:szCs w:val="21"/>
        </w:rPr>
        <w:t>2、项目名称：</w:t>
      </w:r>
      <w:r>
        <w:rPr>
          <w:rFonts w:hint="eastAsia" w:ascii="宋体" w:hAnsi="宋体" w:cs="宋体"/>
          <w:color w:val="000000"/>
          <w:szCs w:val="21"/>
          <w:lang w:eastAsia="zh-CN"/>
        </w:rPr>
        <w:t>二塘镇谢家村月柿特色产业种植示范基地基础设施工程（分水坳至吕家洞）</w:t>
      </w:r>
    </w:p>
    <w:p w14:paraId="5D26DB20">
      <w:pPr>
        <w:spacing w:line="460" w:lineRule="exact"/>
        <w:ind w:firstLine="420" w:firstLineChars="200"/>
        <w:rPr>
          <w:rFonts w:ascii="宋体" w:hAnsi="宋体" w:cs="宋体"/>
          <w:color w:val="000000"/>
          <w:szCs w:val="21"/>
        </w:rPr>
      </w:pPr>
      <w:r>
        <w:rPr>
          <w:rFonts w:hint="eastAsia" w:ascii="宋体" w:hAnsi="宋体" w:cs="宋体"/>
          <w:color w:val="000000"/>
          <w:szCs w:val="21"/>
        </w:rPr>
        <w:t>3、采购方式：</w:t>
      </w:r>
      <w:r>
        <w:rPr>
          <w:rFonts w:hint="eastAsia" w:ascii="宋体" w:hAnsi="宋体"/>
          <w:color w:val="000000"/>
          <w:szCs w:val="21"/>
        </w:rPr>
        <w:t>□ 竞争性谈判 ☑竞争性磋商 □询价</w:t>
      </w:r>
    </w:p>
    <w:p w14:paraId="2CD90B8C">
      <w:pPr>
        <w:spacing w:line="460" w:lineRule="exact"/>
        <w:ind w:firstLine="420" w:firstLineChars="200"/>
        <w:outlineLvl w:val="2"/>
        <w:rPr>
          <w:rFonts w:ascii="宋体" w:hAnsi="宋体" w:cs="宋体"/>
          <w:szCs w:val="21"/>
        </w:rPr>
      </w:pPr>
      <w:bookmarkStart w:id="13" w:name="_Toc2148"/>
      <w:bookmarkStart w:id="14" w:name="_Toc15911"/>
      <w:bookmarkStart w:id="15" w:name="_Toc26032"/>
      <w:bookmarkStart w:id="16" w:name="_Toc22142"/>
      <w:r>
        <w:rPr>
          <w:rFonts w:hint="eastAsia" w:ascii="宋体" w:hAnsi="宋体" w:cs="宋体"/>
          <w:szCs w:val="21"/>
        </w:rPr>
        <w:t>4、</w:t>
      </w:r>
      <w:r>
        <w:rPr>
          <w:rFonts w:hint="eastAsia" w:ascii="宋体" w:hAnsi="宋体" w:cs="宋体"/>
          <w:sz w:val="21"/>
          <w:szCs w:val="21"/>
        </w:rPr>
        <w:t>预算金额（人民币）：</w:t>
      </w:r>
      <w:bookmarkEnd w:id="13"/>
      <w:bookmarkEnd w:id="14"/>
      <w:bookmarkEnd w:id="15"/>
      <w:bookmarkEnd w:id="16"/>
      <w:bookmarkStart w:id="17" w:name="OLE_LINK1"/>
      <w:r>
        <w:rPr>
          <w:rFonts w:hint="eastAsia" w:ascii="宋体" w:hAnsi="宋体" w:cs="宋体"/>
          <w:sz w:val="21"/>
          <w:szCs w:val="21"/>
          <w:lang w:val="en-US" w:eastAsia="zh-CN"/>
        </w:rPr>
        <w:t>陆拾捌万叁仟伍佰壹拾玖元整</w:t>
      </w:r>
      <w:r>
        <w:rPr>
          <w:rFonts w:hint="eastAsia" w:ascii="宋体" w:hAnsi="宋体" w:cs="宋体"/>
          <w:sz w:val="21"/>
          <w:szCs w:val="21"/>
        </w:rPr>
        <w:t>（¥</w:t>
      </w:r>
      <w:r>
        <w:rPr>
          <w:rFonts w:hint="eastAsia" w:ascii="宋体" w:hAnsi="宋体" w:eastAsia="宋体" w:cs="Times New Roman"/>
          <w:kern w:val="1"/>
          <w:sz w:val="21"/>
          <w:szCs w:val="21"/>
          <w:lang w:val="en-US" w:eastAsia="zh-CN"/>
        </w:rPr>
        <w:t>683519.00</w:t>
      </w:r>
      <w:r>
        <w:rPr>
          <w:rFonts w:hint="eastAsia" w:ascii="宋体" w:hAnsi="宋体" w:eastAsia="宋体" w:cs="宋体"/>
          <w:color w:val="000000"/>
          <w:sz w:val="21"/>
          <w:szCs w:val="21"/>
        </w:rPr>
        <w:t>元</w:t>
      </w:r>
      <w:r>
        <w:rPr>
          <w:rFonts w:hint="eastAsia" w:ascii="宋体" w:hAnsi="宋体" w:cs="宋体"/>
          <w:sz w:val="21"/>
          <w:szCs w:val="21"/>
        </w:rPr>
        <w:t>）</w:t>
      </w:r>
      <w:bookmarkEnd w:id="17"/>
    </w:p>
    <w:p w14:paraId="5FB6F65F">
      <w:pPr>
        <w:spacing w:line="460" w:lineRule="exact"/>
        <w:ind w:firstLine="420" w:firstLineChars="200"/>
        <w:outlineLvl w:val="2"/>
        <w:rPr>
          <w:rFonts w:ascii="宋体" w:hAnsi="宋体" w:cs="宋体"/>
          <w:szCs w:val="21"/>
        </w:rPr>
      </w:pPr>
      <w:bookmarkStart w:id="18" w:name="_Toc11056"/>
      <w:bookmarkStart w:id="19" w:name="_Toc20981"/>
      <w:bookmarkStart w:id="20" w:name="_Toc6591"/>
      <w:bookmarkStart w:id="21" w:name="_Toc27882"/>
      <w:r>
        <w:rPr>
          <w:rFonts w:hint="eastAsia" w:ascii="宋体" w:hAnsi="宋体" w:cs="宋体"/>
          <w:szCs w:val="21"/>
        </w:rPr>
        <w:t>5、最高限价</w:t>
      </w:r>
      <w:bookmarkEnd w:id="18"/>
      <w:r>
        <w:rPr>
          <w:rFonts w:hint="eastAsia" w:ascii="宋体" w:hAnsi="宋体" w:cs="宋体"/>
          <w:szCs w:val="21"/>
        </w:rPr>
        <w:t>（人民币）：</w:t>
      </w:r>
      <w:bookmarkEnd w:id="19"/>
      <w:bookmarkEnd w:id="20"/>
      <w:bookmarkEnd w:id="21"/>
      <w:r>
        <w:rPr>
          <w:rFonts w:hint="eastAsia" w:ascii="宋体" w:hAnsi="宋体" w:cs="宋体"/>
          <w:szCs w:val="21"/>
          <w:lang w:eastAsia="zh-CN"/>
        </w:rPr>
        <w:t>陆拾捌万叁仟伍佰壹拾玖元整（¥683519.00元）</w:t>
      </w:r>
    </w:p>
    <w:p w14:paraId="7E99AC3D">
      <w:pPr>
        <w:spacing w:line="460" w:lineRule="exact"/>
        <w:ind w:firstLine="420" w:firstLineChars="200"/>
        <w:outlineLvl w:val="2"/>
        <w:rPr>
          <w:rFonts w:ascii="宋体" w:hAnsi="宋体" w:cs="宋体"/>
          <w:szCs w:val="21"/>
        </w:rPr>
      </w:pPr>
      <w:bookmarkStart w:id="22" w:name="_Toc27692"/>
      <w:bookmarkStart w:id="23" w:name="_Toc5166"/>
      <w:bookmarkStart w:id="24" w:name="_Toc4369"/>
      <w:bookmarkStart w:id="25" w:name="_Toc15341"/>
      <w:r>
        <w:rPr>
          <w:rFonts w:hint="eastAsia" w:ascii="宋体" w:hAnsi="宋体" w:cs="宋体"/>
          <w:szCs w:val="21"/>
        </w:rPr>
        <w:t>6、采购需求</w:t>
      </w:r>
      <w:r>
        <w:rPr>
          <w:rFonts w:hint="eastAsia" w:ascii="宋体" w:hAnsi="宋体" w:eastAsia="宋体" w:cs="宋体"/>
          <w:szCs w:val="21"/>
        </w:rPr>
        <w:t>：</w:t>
      </w:r>
      <w:bookmarkEnd w:id="22"/>
      <w:bookmarkEnd w:id="23"/>
      <w:bookmarkEnd w:id="24"/>
      <w:bookmarkEnd w:id="25"/>
      <w:bookmarkStart w:id="26" w:name="_Toc18138"/>
      <w:r>
        <w:rPr>
          <w:rFonts w:hint="eastAsia" w:ascii="宋体" w:hAnsi="宋体" w:eastAsia="宋体" w:cs="宋体"/>
          <w:i w:val="0"/>
          <w:iCs w:val="0"/>
          <w:caps w:val="0"/>
          <w:color w:val="000000"/>
          <w:spacing w:val="0"/>
          <w:sz w:val="21"/>
          <w:szCs w:val="21"/>
        </w:rPr>
        <w:t>分水坳至吕家洞硬化路面长1150米，宽3.5米，厚18厘米，合理设置护栏、涵洞、边沟、错车道及培路肩</w:t>
      </w:r>
      <w:r>
        <w:rPr>
          <w:rFonts w:hint="eastAsia" w:ascii="宋体" w:hAnsi="宋体" w:eastAsia="宋体" w:cs="宋体"/>
          <w:color w:val="auto"/>
          <w:sz w:val="21"/>
          <w:szCs w:val="21"/>
        </w:rPr>
        <w:t>，详见工程量清单</w:t>
      </w:r>
      <w:r>
        <w:rPr>
          <w:rFonts w:hint="eastAsia" w:ascii="宋体" w:hAnsi="宋体" w:eastAsia="宋体" w:cs="宋体"/>
          <w:color w:val="auto"/>
          <w:sz w:val="21"/>
          <w:szCs w:val="21"/>
          <w:lang w:eastAsia="zh-CN"/>
        </w:rPr>
        <w:t>。</w:t>
      </w:r>
    </w:p>
    <w:p w14:paraId="5028BA00">
      <w:pPr>
        <w:spacing w:line="460" w:lineRule="exact"/>
        <w:ind w:firstLine="420" w:firstLineChars="200"/>
        <w:outlineLvl w:val="2"/>
        <w:rPr>
          <w:rFonts w:ascii="宋体" w:hAnsi="宋体" w:cs="宋体"/>
          <w:szCs w:val="21"/>
        </w:rPr>
      </w:pPr>
      <w:r>
        <w:rPr>
          <w:rFonts w:hint="eastAsia" w:ascii="宋体" w:hAnsi="宋体" w:cs="宋体"/>
          <w:szCs w:val="21"/>
        </w:rPr>
        <w:t>7、</w:t>
      </w:r>
      <w:r>
        <w:rPr>
          <w:rFonts w:hint="eastAsia" w:ascii="宋体" w:hAnsi="宋体" w:cs="宋体"/>
        </w:rPr>
        <w:t>要求工期：</w:t>
      </w:r>
      <w:r>
        <w:rPr>
          <w:rFonts w:hint="eastAsia" w:ascii="宋体" w:hAnsi="宋体" w:cs="宋体"/>
          <w:lang w:val="en-US" w:eastAsia="zh-CN"/>
        </w:rPr>
        <w:t>50</w:t>
      </w:r>
      <w:r>
        <w:rPr>
          <w:rFonts w:hint="eastAsia" w:ascii="宋体" w:hAnsi="宋体" w:cs="宋体"/>
        </w:rPr>
        <w:t>日历天</w:t>
      </w:r>
      <w:r>
        <w:rPr>
          <w:rFonts w:hint="eastAsia" w:ascii="宋体" w:hAnsi="宋体" w:cs="宋体"/>
          <w:szCs w:val="21"/>
        </w:rPr>
        <w:t>。</w:t>
      </w:r>
      <w:bookmarkEnd w:id="26"/>
    </w:p>
    <w:p w14:paraId="2B3BFB2C">
      <w:pPr>
        <w:spacing w:line="460" w:lineRule="exact"/>
        <w:ind w:firstLine="420" w:firstLineChars="200"/>
        <w:rPr>
          <w:rFonts w:ascii="宋体" w:hAnsi="宋体" w:cs="宋体"/>
          <w:color w:val="FF0000"/>
          <w:szCs w:val="21"/>
        </w:rPr>
      </w:pPr>
      <w:bookmarkStart w:id="27" w:name="_Toc849"/>
      <w:bookmarkStart w:id="28" w:name="_Toc3678"/>
      <w:bookmarkStart w:id="29" w:name="_Toc17242"/>
      <w:r>
        <w:rPr>
          <w:rFonts w:hint="eastAsia" w:ascii="宋体" w:hAnsi="宋体" w:cs="宋体"/>
          <w:szCs w:val="21"/>
        </w:rPr>
        <w:t>8、本项目</w:t>
      </w:r>
      <w:r>
        <w:rPr>
          <w:rFonts w:hint="eastAsia" w:ascii="宋体" w:hAnsi="宋体" w:cs="宋体"/>
          <w:szCs w:val="21"/>
          <w:u w:val="single"/>
        </w:rPr>
        <w:t>不接受</w:t>
      </w:r>
      <w:r>
        <w:rPr>
          <w:rFonts w:hint="eastAsia" w:ascii="宋体" w:hAnsi="宋体" w:cs="宋体"/>
          <w:szCs w:val="21"/>
        </w:rPr>
        <w:t>联合体。</w:t>
      </w:r>
      <w:bookmarkEnd w:id="27"/>
      <w:bookmarkEnd w:id="28"/>
      <w:bookmarkEnd w:id="29"/>
    </w:p>
    <w:p w14:paraId="3ACEE6B4">
      <w:pPr>
        <w:spacing w:line="460" w:lineRule="exact"/>
        <w:ind w:firstLine="422" w:firstLineChars="200"/>
        <w:outlineLvl w:val="1"/>
        <w:rPr>
          <w:rFonts w:ascii="宋体" w:hAnsi="宋体" w:cs="宋体"/>
          <w:b/>
          <w:bCs/>
          <w:color w:val="000000"/>
          <w:szCs w:val="21"/>
        </w:rPr>
      </w:pPr>
      <w:bookmarkStart w:id="30" w:name="_Toc28359013"/>
      <w:bookmarkStart w:id="31" w:name="_Toc35393799"/>
      <w:bookmarkStart w:id="32" w:name="_Toc28359090"/>
      <w:bookmarkStart w:id="33" w:name="_Toc35393630"/>
      <w:bookmarkStart w:id="34" w:name="_Toc29128"/>
      <w:r>
        <w:rPr>
          <w:rFonts w:hint="eastAsia" w:ascii="宋体" w:hAnsi="宋体" w:cs="宋体"/>
          <w:b/>
          <w:bCs/>
          <w:color w:val="000000"/>
          <w:szCs w:val="21"/>
        </w:rPr>
        <w:t>二、申请人的资格要求：</w:t>
      </w:r>
      <w:bookmarkEnd w:id="30"/>
      <w:bookmarkEnd w:id="31"/>
      <w:bookmarkEnd w:id="32"/>
      <w:bookmarkEnd w:id="33"/>
      <w:bookmarkEnd w:id="34"/>
    </w:p>
    <w:p w14:paraId="50207CF5">
      <w:pPr>
        <w:spacing w:line="460" w:lineRule="exact"/>
        <w:ind w:firstLine="420" w:firstLineChars="200"/>
        <w:rPr>
          <w:rFonts w:ascii="宋体" w:hAnsi="宋体" w:cs="宋体"/>
          <w:color w:val="000000"/>
          <w:szCs w:val="21"/>
        </w:rPr>
      </w:pPr>
      <w:r>
        <w:rPr>
          <w:rFonts w:hint="eastAsia" w:ascii="宋体" w:hAnsi="宋体" w:cs="宋体"/>
          <w:color w:val="000000"/>
          <w:szCs w:val="21"/>
        </w:rPr>
        <w:t>1、满足《中华人民共和国政府采购法》第二十二条规定；</w:t>
      </w:r>
    </w:p>
    <w:p w14:paraId="2A519DD7">
      <w:pPr>
        <w:spacing w:line="460" w:lineRule="exact"/>
        <w:ind w:firstLine="420" w:firstLineChars="200"/>
        <w:rPr>
          <w:rFonts w:ascii="宋体" w:hAnsi="宋体" w:cs="宋体"/>
          <w:b/>
          <w:bCs/>
          <w:color w:val="000000"/>
          <w:szCs w:val="21"/>
        </w:rPr>
      </w:pPr>
      <w:bookmarkStart w:id="35" w:name="_Toc28359014"/>
      <w:bookmarkStart w:id="36" w:name="_Toc28359091"/>
      <w:r>
        <w:rPr>
          <w:rFonts w:hint="eastAsia" w:ascii="宋体" w:hAnsi="宋体" w:cs="宋体"/>
          <w:color w:val="000000"/>
          <w:szCs w:val="21"/>
        </w:rPr>
        <w:t>2、落实政府采购政策需满足的资格要求：</w:t>
      </w:r>
      <w:r>
        <w:rPr>
          <w:rFonts w:ascii="宋体" w:hAnsi="宋体" w:cs="宋体" w:eastAsiaTheme="minorEastAsia"/>
          <w:color w:val="000000"/>
          <w:sz w:val="21"/>
          <w:szCs w:val="22"/>
          <w:lang w:val="en-US" w:eastAsia="en-US" w:bidi="ar-SA"/>
        </w:rPr>
        <w:t>本项目专门面向中小微企业采购；</w:t>
      </w:r>
    </w:p>
    <w:p w14:paraId="63D233FC">
      <w:pPr>
        <w:spacing w:line="500" w:lineRule="exact"/>
        <w:ind w:firstLine="420" w:firstLineChars="200"/>
        <w:rPr>
          <w:rFonts w:ascii="宋体" w:hAnsi="宋体" w:cs="宋体"/>
          <w:color w:val="000000"/>
          <w:szCs w:val="21"/>
        </w:rPr>
      </w:pPr>
      <w:r>
        <w:rPr>
          <w:rFonts w:hint="eastAsia" w:ascii="宋体" w:hAnsi="宋体" w:cs="宋体"/>
          <w:color w:val="000000"/>
          <w:szCs w:val="21"/>
        </w:rPr>
        <w:t>3、本项目的特定资格要求：</w:t>
      </w:r>
      <w:bookmarkStart w:id="37" w:name="_Toc35393800"/>
      <w:bookmarkStart w:id="38" w:name="_Toc35393631"/>
      <w:r>
        <w:rPr>
          <w:rFonts w:hint="eastAsia" w:ascii="宋体" w:hAnsi="宋体" w:cs="宋体"/>
        </w:rPr>
        <w:t>竞标人须具备市政公用工程施工总承包叁级（含以上级）资质或公路工程施工总承包叁级（含以上级）资质，并在人员、设备、资金等方面具备相应的施工能力。其中，投标人拟派项目经理须具备 市政公用工程专业二级（含以上级）注册建造师或公路工程二级以上（含二级）注册建造师执业资格，具备有效的安全生产考核合格证书（B类）。</w:t>
      </w:r>
    </w:p>
    <w:bookmarkEnd w:id="35"/>
    <w:bookmarkEnd w:id="36"/>
    <w:bookmarkEnd w:id="37"/>
    <w:bookmarkEnd w:id="38"/>
    <w:p w14:paraId="3B4E23F3">
      <w:pPr>
        <w:spacing w:line="460" w:lineRule="exact"/>
        <w:ind w:firstLine="422" w:firstLineChars="200"/>
        <w:outlineLvl w:val="1"/>
        <w:rPr>
          <w:rFonts w:ascii="宋体" w:hAnsi="宋体" w:cs="宋体"/>
          <w:b/>
          <w:bCs/>
          <w:color w:val="000000"/>
          <w:szCs w:val="21"/>
        </w:rPr>
      </w:pPr>
      <w:bookmarkStart w:id="39" w:name="_Toc35393623"/>
      <w:bookmarkStart w:id="40" w:name="_Toc35393792"/>
      <w:bookmarkStart w:id="41" w:name="_Toc23376"/>
      <w:bookmarkStart w:id="42" w:name="_Toc28359095"/>
      <w:bookmarkStart w:id="43" w:name="_Toc35393805"/>
      <w:bookmarkStart w:id="44" w:name="_Toc35393636"/>
      <w:bookmarkStart w:id="45" w:name="_Toc28359018"/>
      <w:r>
        <w:rPr>
          <w:rFonts w:hint="eastAsia" w:ascii="宋体" w:hAnsi="宋体" w:cs="宋体"/>
          <w:b/>
          <w:bCs/>
          <w:color w:val="000000"/>
          <w:szCs w:val="21"/>
        </w:rPr>
        <w:t>三、获取采购文件</w:t>
      </w:r>
      <w:bookmarkEnd w:id="39"/>
      <w:bookmarkEnd w:id="40"/>
      <w:r>
        <w:rPr>
          <w:rFonts w:hint="eastAsia" w:ascii="宋体" w:hAnsi="宋体" w:cs="宋体"/>
          <w:b/>
          <w:bCs/>
          <w:color w:val="000000"/>
          <w:szCs w:val="21"/>
        </w:rPr>
        <w:t>：</w:t>
      </w:r>
      <w:bookmarkEnd w:id="41"/>
    </w:p>
    <w:p w14:paraId="6A29E372">
      <w:pPr>
        <w:spacing w:line="420" w:lineRule="exact"/>
        <w:ind w:firstLine="420" w:firstLineChars="200"/>
        <w:rPr>
          <w:rFonts w:ascii="宋体" w:hAnsi="宋体" w:cs="宋体"/>
          <w:color w:val="000000"/>
          <w:szCs w:val="21"/>
        </w:rPr>
      </w:pPr>
      <w:bookmarkStart w:id="46" w:name="_Toc28359005"/>
      <w:bookmarkStart w:id="47" w:name="_Toc28359082"/>
      <w:bookmarkStart w:id="48" w:name="_Toc14194"/>
      <w:bookmarkStart w:id="49" w:name="_Toc35393793"/>
      <w:bookmarkStart w:id="50" w:name="_Toc35393624"/>
      <w:r>
        <w:rPr>
          <w:rFonts w:ascii="宋体" w:hAnsi="宋体" w:cs="宋体"/>
          <w:color w:val="000000"/>
          <w:szCs w:val="21"/>
        </w:rPr>
        <w:t>时间：</w:t>
      </w:r>
      <w:r>
        <w:rPr>
          <w:rFonts w:hint="eastAsia" w:ascii="宋体" w:hAnsi="宋体" w:cs="宋体"/>
          <w:color w:val="000000"/>
          <w:szCs w:val="21"/>
        </w:rPr>
        <w:t>公告发布之日起</w:t>
      </w:r>
      <w:r>
        <w:rPr>
          <w:rFonts w:ascii="宋体" w:hAnsi="宋体" w:cs="宋体"/>
          <w:color w:val="000000"/>
          <w:szCs w:val="21"/>
        </w:rPr>
        <w:t>至</w:t>
      </w:r>
      <w:r>
        <w:rPr>
          <w:rFonts w:hint="eastAsia" w:ascii="宋体" w:hAnsi="宋体" w:cs="宋体"/>
          <w:color w:val="000000"/>
          <w:szCs w:val="21"/>
          <w:lang w:eastAsia="zh-CN"/>
        </w:rPr>
        <w:t>2026年09月23日09时00分</w:t>
      </w:r>
    </w:p>
    <w:p w14:paraId="24D08817">
      <w:pPr>
        <w:spacing w:line="420" w:lineRule="exact"/>
        <w:ind w:firstLine="420" w:firstLineChars="200"/>
        <w:rPr>
          <w:rFonts w:ascii="宋体" w:hAnsi="宋体" w:cs="宋体"/>
          <w:color w:val="000000"/>
          <w:szCs w:val="21"/>
        </w:rPr>
      </w:pPr>
      <w:r>
        <w:rPr>
          <w:rFonts w:ascii="宋体" w:hAnsi="宋体" w:cs="宋体"/>
          <w:color w:val="000000"/>
          <w:szCs w:val="21"/>
        </w:rPr>
        <w:t>地点（网址）：政采云平台线上获取 </w:t>
      </w:r>
    </w:p>
    <w:p w14:paraId="75EC72E0">
      <w:pPr>
        <w:spacing w:line="420" w:lineRule="exact"/>
        <w:ind w:firstLine="420" w:firstLineChars="200"/>
        <w:rPr>
          <w:rFonts w:ascii="宋体" w:hAnsi="宋体" w:cs="宋体"/>
          <w:color w:val="000000"/>
          <w:szCs w:val="21"/>
        </w:rPr>
      </w:pPr>
      <w:r>
        <w:rPr>
          <w:rFonts w:ascii="宋体" w:hAnsi="宋体" w:cs="宋体"/>
          <w:color w:val="000000"/>
          <w:szCs w:val="21"/>
        </w:rPr>
        <w:t>方式：供应商登录政采云平台https://www.zcygov.cn/在线申请获取采购文件（进入“项目采购”应用，在获取采购文件菜单中选择项目，申请获取采购文件） </w:t>
      </w:r>
    </w:p>
    <w:p w14:paraId="3B9584AF">
      <w:pPr>
        <w:spacing w:line="420" w:lineRule="exact"/>
        <w:ind w:firstLine="420" w:firstLineChars="200"/>
        <w:rPr>
          <w:rFonts w:ascii="宋体" w:hAnsi="宋体" w:cs="宋体"/>
          <w:color w:val="000000"/>
          <w:szCs w:val="21"/>
        </w:rPr>
      </w:pPr>
      <w:r>
        <w:rPr>
          <w:rFonts w:ascii="宋体" w:hAnsi="宋体" w:cs="宋体"/>
          <w:color w:val="000000"/>
          <w:szCs w:val="21"/>
        </w:rPr>
        <w:t>售价（元）：0 </w:t>
      </w:r>
      <w:r>
        <w:rPr>
          <w:rFonts w:hint="eastAsia" w:ascii="宋体" w:hAnsi="宋体" w:cs="宋体"/>
          <w:color w:val="000000"/>
          <w:szCs w:val="21"/>
        </w:rPr>
        <w:t> </w:t>
      </w:r>
    </w:p>
    <w:p w14:paraId="0607C182">
      <w:pPr>
        <w:spacing w:line="460" w:lineRule="exact"/>
        <w:ind w:firstLine="422" w:firstLineChars="200"/>
        <w:outlineLvl w:val="1"/>
        <w:rPr>
          <w:rFonts w:ascii="宋体" w:hAnsi="宋体" w:cs="宋体"/>
          <w:b/>
          <w:bCs/>
          <w:color w:val="000000"/>
          <w:szCs w:val="21"/>
        </w:rPr>
      </w:pPr>
      <w:r>
        <w:rPr>
          <w:rFonts w:hint="eastAsia" w:ascii="宋体" w:hAnsi="宋体" w:cs="宋体"/>
          <w:b/>
          <w:bCs/>
          <w:color w:val="000000"/>
          <w:szCs w:val="21"/>
        </w:rPr>
        <w:t>四、响应文件</w:t>
      </w:r>
      <w:bookmarkEnd w:id="46"/>
      <w:bookmarkEnd w:id="47"/>
      <w:r>
        <w:rPr>
          <w:rFonts w:hint="eastAsia" w:ascii="宋体" w:hAnsi="宋体" w:cs="宋体"/>
          <w:b/>
          <w:bCs/>
          <w:color w:val="000000"/>
          <w:szCs w:val="21"/>
        </w:rPr>
        <w:t>提交时间和地点</w:t>
      </w:r>
      <w:bookmarkEnd w:id="48"/>
      <w:bookmarkEnd w:id="49"/>
      <w:bookmarkEnd w:id="50"/>
    </w:p>
    <w:p w14:paraId="6CB58205">
      <w:pPr>
        <w:spacing w:line="460" w:lineRule="exact"/>
        <w:ind w:firstLine="420" w:firstLineChars="200"/>
        <w:rPr>
          <w:rFonts w:ascii="宋体" w:hAnsi="宋体" w:cs="宋体"/>
          <w:bCs/>
          <w:color w:val="000000"/>
          <w:szCs w:val="21"/>
        </w:rPr>
      </w:pPr>
      <w:r>
        <w:rPr>
          <w:rFonts w:hint="eastAsia" w:ascii="宋体" w:hAnsi="宋体" w:cs="宋体"/>
          <w:bCs/>
          <w:color w:val="000000"/>
          <w:szCs w:val="21"/>
        </w:rPr>
        <w:t>截止时间：</w:t>
      </w:r>
      <w:r>
        <w:rPr>
          <w:rFonts w:hint="eastAsia" w:ascii="宋体" w:hAnsi="宋体" w:cs="宋体"/>
          <w:szCs w:val="21"/>
          <w:lang w:eastAsia="zh-CN"/>
        </w:rPr>
        <w:t>2026年09月23日09时00分</w:t>
      </w:r>
      <w:r>
        <w:rPr>
          <w:rFonts w:hint="eastAsia" w:ascii="宋体" w:hAnsi="宋体" w:cs="宋体"/>
          <w:bCs/>
          <w:color w:val="000000"/>
          <w:szCs w:val="21"/>
        </w:rPr>
        <w:t>（北京时间）。</w:t>
      </w:r>
    </w:p>
    <w:p w14:paraId="485FBCF0">
      <w:pPr>
        <w:spacing w:line="460" w:lineRule="exact"/>
        <w:ind w:firstLine="420" w:firstLineChars="200"/>
        <w:rPr>
          <w:rFonts w:ascii="宋体" w:hAnsi="宋体" w:cs="宋体"/>
          <w:color w:val="000000"/>
          <w:szCs w:val="21"/>
        </w:rPr>
      </w:pPr>
      <w:r>
        <w:rPr>
          <w:rFonts w:hint="eastAsia" w:ascii="宋体" w:hAnsi="宋体" w:cs="宋体"/>
          <w:color w:val="000000"/>
          <w:szCs w:val="21"/>
        </w:rPr>
        <w:t>地    点：通过政采云平台实行在线响应。</w:t>
      </w:r>
    </w:p>
    <w:p w14:paraId="6266A8D7">
      <w:pPr>
        <w:spacing w:line="460" w:lineRule="exact"/>
        <w:ind w:firstLine="422" w:firstLineChars="200"/>
        <w:outlineLvl w:val="1"/>
        <w:rPr>
          <w:rFonts w:ascii="宋体" w:hAnsi="宋体" w:cs="宋体"/>
          <w:b/>
          <w:bCs/>
          <w:color w:val="000000"/>
          <w:szCs w:val="21"/>
        </w:rPr>
      </w:pPr>
      <w:bookmarkStart w:id="51" w:name="_Toc4557"/>
      <w:r>
        <w:rPr>
          <w:rFonts w:hint="eastAsia" w:ascii="宋体" w:hAnsi="宋体" w:cs="宋体"/>
          <w:b/>
          <w:bCs/>
          <w:color w:val="000000"/>
          <w:szCs w:val="21"/>
        </w:rPr>
        <w:t>五、开启</w:t>
      </w:r>
      <w:bookmarkEnd w:id="51"/>
    </w:p>
    <w:p w14:paraId="1B7AB4E8">
      <w:pPr>
        <w:spacing w:line="460" w:lineRule="exact"/>
        <w:ind w:firstLine="420" w:firstLineChars="200"/>
        <w:rPr>
          <w:rFonts w:ascii="宋体" w:hAnsi="宋体" w:cs="宋体"/>
          <w:color w:val="000000"/>
          <w:szCs w:val="21"/>
        </w:rPr>
      </w:pPr>
      <w:r>
        <w:rPr>
          <w:rFonts w:hint="eastAsia" w:ascii="宋体" w:hAnsi="宋体" w:cs="宋体"/>
          <w:bCs/>
          <w:color w:val="000000"/>
          <w:szCs w:val="21"/>
        </w:rPr>
        <w:t>时间</w:t>
      </w:r>
      <w:r>
        <w:rPr>
          <w:rFonts w:hint="eastAsia" w:ascii="宋体" w:hAnsi="宋体" w:cs="宋体"/>
          <w:color w:val="000000"/>
          <w:szCs w:val="21"/>
        </w:rPr>
        <w:t>：</w:t>
      </w:r>
      <w:r>
        <w:rPr>
          <w:rFonts w:hint="eastAsia" w:ascii="宋体" w:hAnsi="宋体" w:cs="宋体"/>
          <w:szCs w:val="21"/>
          <w:lang w:eastAsia="zh-CN"/>
        </w:rPr>
        <w:t>2026年09月23日09时00分</w:t>
      </w:r>
      <w:r>
        <w:rPr>
          <w:rFonts w:hint="eastAsia" w:ascii="宋体" w:hAnsi="宋体" w:cs="宋体"/>
          <w:color w:val="000000"/>
          <w:szCs w:val="21"/>
        </w:rPr>
        <w:t>（北京时间）截标后。</w:t>
      </w:r>
    </w:p>
    <w:p w14:paraId="0DA8539C">
      <w:pPr>
        <w:spacing w:line="460" w:lineRule="exact"/>
        <w:ind w:firstLine="420" w:firstLineChars="200"/>
        <w:rPr>
          <w:rFonts w:ascii="宋体" w:hAnsi="宋体" w:cs="宋体"/>
          <w:color w:val="000000"/>
          <w:szCs w:val="21"/>
        </w:rPr>
      </w:pPr>
      <w:r>
        <w:rPr>
          <w:rFonts w:hint="eastAsia" w:ascii="宋体" w:hAnsi="宋体" w:cs="宋体"/>
          <w:bCs/>
          <w:color w:val="000000"/>
          <w:szCs w:val="21"/>
        </w:rPr>
        <w:t>地点</w:t>
      </w:r>
      <w:r>
        <w:rPr>
          <w:rFonts w:hint="eastAsia" w:ascii="宋体" w:hAnsi="宋体" w:cs="宋体"/>
          <w:color w:val="000000"/>
          <w:szCs w:val="21"/>
        </w:rPr>
        <w:t>：通过政采云平台实行在线解密开启。</w:t>
      </w:r>
    </w:p>
    <w:p w14:paraId="0E40F21F">
      <w:pPr>
        <w:spacing w:line="460" w:lineRule="exact"/>
        <w:ind w:firstLine="422" w:firstLineChars="200"/>
        <w:outlineLvl w:val="1"/>
        <w:rPr>
          <w:rFonts w:ascii="宋体" w:hAnsi="宋体" w:cs="宋体"/>
          <w:b/>
          <w:bCs/>
          <w:color w:val="000000"/>
          <w:szCs w:val="21"/>
        </w:rPr>
      </w:pPr>
      <w:bookmarkStart w:id="52" w:name="_Toc28359007"/>
      <w:bookmarkStart w:id="53" w:name="_Toc28359084"/>
      <w:bookmarkStart w:id="54" w:name="_Toc35393794"/>
      <w:bookmarkStart w:id="55" w:name="_Toc19362"/>
      <w:bookmarkStart w:id="56" w:name="_Toc35393625"/>
      <w:r>
        <w:rPr>
          <w:rFonts w:hint="eastAsia" w:ascii="宋体" w:hAnsi="宋体" w:cs="宋体"/>
          <w:b/>
          <w:bCs/>
          <w:color w:val="000000"/>
          <w:szCs w:val="21"/>
        </w:rPr>
        <w:t>六、公告期限</w:t>
      </w:r>
      <w:bookmarkEnd w:id="52"/>
      <w:bookmarkEnd w:id="53"/>
      <w:bookmarkEnd w:id="54"/>
      <w:bookmarkEnd w:id="55"/>
      <w:bookmarkEnd w:id="56"/>
    </w:p>
    <w:p w14:paraId="6EC72799">
      <w:pPr>
        <w:spacing w:line="460" w:lineRule="exact"/>
        <w:ind w:firstLine="420" w:firstLineChars="200"/>
        <w:rPr>
          <w:rFonts w:ascii="宋体" w:hAnsi="宋体" w:cs="宋体"/>
          <w:color w:val="000000"/>
          <w:kern w:val="0"/>
          <w:szCs w:val="21"/>
        </w:rPr>
      </w:pPr>
      <w:r>
        <w:rPr>
          <w:rFonts w:hint="eastAsia" w:ascii="宋体" w:hAnsi="宋体" w:cs="宋体"/>
          <w:color w:val="000000"/>
          <w:kern w:val="0"/>
          <w:szCs w:val="21"/>
        </w:rPr>
        <w:t>自本公告发布之日起3个工作日。</w:t>
      </w:r>
    </w:p>
    <w:p w14:paraId="01117A1F">
      <w:pPr>
        <w:spacing w:line="460" w:lineRule="exact"/>
        <w:ind w:firstLine="422" w:firstLineChars="200"/>
        <w:outlineLvl w:val="1"/>
        <w:rPr>
          <w:rFonts w:ascii="宋体" w:hAnsi="宋体" w:cs="宋体"/>
          <w:b/>
          <w:bCs/>
          <w:color w:val="000000"/>
          <w:szCs w:val="21"/>
        </w:rPr>
      </w:pPr>
      <w:bookmarkStart w:id="57" w:name="_Toc35393795"/>
      <w:bookmarkStart w:id="58" w:name="_Toc17380"/>
      <w:bookmarkStart w:id="59" w:name="_Toc35393626"/>
      <w:r>
        <w:rPr>
          <w:rFonts w:hint="eastAsia" w:ascii="宋体" w:hAnsi="宋体" w:cs="宋体"/>
          <w:b/>
          <w:bCs/>
          <w:color w:val="000000"/>
          <w:szCs w:val="21"/>
        </w:rPr>
        <w:t>七、其他补充事宜</w:t>
      </w:r>
      <w:bookmarkEnd w:id="57"/>
      <w:bookmarkEnd w:id="58"/>
      <w:bookmarkEnd w:id="59"/>
    </w:p>
    <w:p w14:paraId="00FA304F">
      <w:pPr>
        <w:pStyle w:val="27"/>
        <w:spacing w:line="400" w:lineRule="exact"/>
        <w:ind w:firstLine="420" w:firstLineChars="200"/>
        <w:jc w:val="both"/>
        <w:rPr>
          <w:rFonts w:ascii="宋体" w:hAnsi="宋体" w:cs="宋体"/>
          <w:bCs/>
          <w:sz w:val="21"/>
          <w:szCs w:val="21"/>
        </w:rPr>
      </w:pPr>
      <w:r>
        <w:rPr>
          <w:rFonts w:hint="eastAsia" w:ascii="宋体" w:hAnsi="宋体" w:cs="宋体"/>
          <w:bCs/>
          <w:sz w:val="21"/>
          <w:szCs w:val="21"/>
        </w:rPr>
        <w:t>1、本项目无需缴纳磋商保证金。</w:t>
      </w:r>
    </w:p>
    <w:p w14:paraId="5A157EE1">
      <w:pPr>
        <w:pStyle w:val="27"/>
        <w:spacing w:line="400" w:lineRule="exact"/>
        <w:ind w:firstLine="420" w:firstLineChars="200"/>
        <w:jc w:val="both"/>
        <w:rPr>
          <w:rFonts w:ascii="宋体" w:hAnsi="宋体" w:cs="宋体"/>
          <w:bCs/>
          <w:sz w:val="21"/>
          <w:szCs w:val="21"/>
        </w:rPr>
      </w:pPr>
      <w:r>
        <w:rPr>
          <w:rFonts w:hint="eastAsia" w:ascii="宋体" w:hAnsi="宋体" w:cs="宋体"/>
          <w:bCs/>
          <w:sz w:val="21"/>
          <w:szCs w:val="21"/>
        </w:rPr>
        <w:t>2、对在“信用中国”网站(www.creditchina.gov.cn)、中国政府采购网(www.ccgp.gov.cn)等渠道列入失信被执行人、重大税收违法案件当事人名单、政府采购严重违法失信行为记录名单及其他不符合《中华人民共和国政府采购法》第二十二条规定条件的供应商，不得参与政府采购活动。</w:t>
      </w:r>
    </w:p>
    <w:p w14:paraId="54AAEEEE">
      <w:pPr>
        <w:pStyle w:val="27"/>
        <w:spacing w:line="400" w:lineRule="exact"/>
        <w:ind w:firstLine="420" w:firstLineChars="200"/>
        <w:jc w:val="both"/>
        <w:rPr>
          <w:rFonts w:ascii="宋体" w:hAnsi="宋体" w:cs="宋体"/>
          <w:bCs/>
          <w:sz w:val="21"/>
          <w:szCs w:val="21"/>
        </w:rPr>
      </w:pPr>
      <w:r>
        <w:rPr>
          <w:rFonts w:ascii="宋体" w:hAnsi="宋体" w:cs="宋体"/>
          <w:bCs/>
          <w:sz w:val="21"/>
          <w:szCs w:val="21"/>
        </w:rPr>
        <w:t>3</w:t>
      </w:r>
      <w:r>
        <w:rPr>
          <w:rFonts w:hint="eastAsia" w:ascii="宋体" w:hAnsi="宋体" w:cs="宋体"/>
          <w:bCs/>
          <w:sz w:val="21"/>
          <w:szCs w:val="21"/>
        </w:rPr>
        <w:t>、本项目信息发布媒体：本项目信息发布媒体：http://www.ccgp.gov.cn（中国政府采购网）、http://www.ccgp-guangxi.gov.cn/（广西壮族自治区政府采购网）、桂林市政府采购网（zfcg.czj.guilin.gov.cn）、http://glggzy.org.cn（桂林市公共资源交易中心网）。</w:t>
      </w:r>
    </w:p>
    <w:p w14:paraId="671D1B69">
      <w:pPr>
        <w:pStyle w:val="27"/>
        <w:spacing w:line="400" w:lineRule="exact"/>
        <w:ind w:firstLine="420" w:firstLineChars="200"/>
        <w:jc w:val="both"/>
        <w:rPr>
          <w:rFonts w:ascii="宋体" w:hAnsi="宋体" w:cs="宋体"/>
          <w:bCs/>
          <w:sz w:val="21"/>
          <w:szCs w:val="21"/>
        </w:rPr>
      </w:pPr>
      <w:r>
        <w:rPr>
          <w:rFonts w:ascii="宋体" w:hAnsi="宋体" w:cs="宋体"/>
          <w:bCs/>
          <w:sz w:val="21"/>
          <w:szCs w:val="21"/>
        </w:rPr>
        <w:t>4</w:t>
      </w:r>
      <w:r>
        <w:rPr>
          <w:rFonts w:hint="eastAsia" w:ascii="宋体" w:hAnsi="宋体" w:cs="宋体"/>
          <w:bCs/>
          <w:sz w:val="21"/>
          <w:szCs w:val="21"/>
        </w:rPr>
        <w:t>、磋商响应文件解密时间：截标时间后30分钟内（</w:t>
      </w:r>
      <w:r>
        <w:rPr>
          <w:rFonts w:hint="eastAsia" w:ascii="宋体" w:hAnsi="宋体" w:cs="宋体"/>
          <w:bCs/>
          <w:sz w:val="21"/>
          <w:szCs w:val="21"/>
          <w:lang w:eastAsia="zh-CN"/>
        </w:rPr>
        <w:t>2026年09月23日</w:t>
      </w:r>
      <w:r>
        <w:rPr>
          <w:rFonts w:hint="eastAsia" w:ascii="宋体" w:hAnsi="宋体" w:cs="宋体"/>
          <w:bCs/>
          <w:sz w:val="21"/>
          <w:szCs w:val="21"/>
        </w:rPr>
        <w:t>上午</w:t>
      </w:r>
      <w:r>
        <w:rPr>
          <w:rFonts w:hint="eastAsia" w:ascii="宋体" w:hAnsi="宋体" w:cs="宋体"/>
          <w:bCs/>
          <w:sz w:val="21"/>
          <w:szCs w:val="21"/>
          <w:lang w:val="en-US" w:eastAsia="zh-CN"/>
        </w:rPr>
        <w:t>09</w:t>
      </w:r>
      <w:r>
        <w:rPr>
          <w:rFonts w:hint="eastAsia" w:ascii="宋体" w:hAnsi="宋体" w:cs="宋体"/>
          <w:bCs/>
          <w:sz w:val="21"/>
          <w:szCs w:val="21"/>
        </w:rPr>
        <w:t>时</w:t>
      </w:r>
      <w:r>
        <w:rPr>
          <w:rFonts w:ascii="宋体" w:hAnsi="宋体" w:cs="宋体"/>
          <w:bCs/>
          <w:sz w:val="21"/>
          <w:szCs w:val="21"/>
        </w:rPr>
        <w:t>00</w:t>
      </w:r>
      <w:r>
        <w:rPr>
          <w:rFonts w:hint="eastAsia" w:ascii="宋体" w:hAnsi="宋体" w:cs="宋体"/>
          <w:bCs/>
          <w:sz w:val="21"/>
          <w:szCs w:val="21"/>
        </w:rPr>
        <w:t>至</w:t>
      </w:r>
      <w:r>
        <w:rPr>
          <w:rFonts w:hint="eastAsia" w:ascii="宋体" w:hAnsi="宋体" w:cs="宋体"/>
          <w:bCs/>
          <w:sz w:val="21"/>
          <w:szCs w:val="21"/>
          <w:lang w:val="en-US" w:eastAsia="zh-CN"/>
        </w:rPr>
        <w:t>09</w:t>
      </w:r>
      <w:r>
        <w:rPr>
          <w:rFonts w:hint="eastAsia" w:ascii="宋体" w:hAnsi="宋体" w:cs="宋体"/>
          <w:bCs/>
          <w:sz w:val="21"/>
          <w:szCs w:val="21"/>
        </w:rPr>
        <w:t>时</w:t>
      </w:r>
      <w:r>
        <w:rPr>
          <w:rFonts w:ascii="宋体" w:hAnsi="宋体" w:cs="宋体"/>
          <w:bCs/>
          <w:sz w:val="21"/>
          <w:szCs w:val="21"/>
        </w:rPr>
        <w:t>3</w:t>
      </w:r>
      <w:r>
        <w:rPr>
          <w:rFonts w:hint="eastAsia" w:ascii="宋体" w:hAnsi="宋体" w:cs="宋体"/>
          <w:bCs/>
          <w:sz w:val="21"/>
          <w:szCs w:val="21"/>
        </w:rPr>
        <w:t>0分)磋商供应商可以登录政采云平台，用“项目采购-开标评标”功能进行解密电子磋商响应文件。若磋商供应商在规定时间内无法解密或解密失败，可以以电子备份磋商响应文件作为依据【在接到无法解密或解密失败的通知后，供应商可根据自身实际情况按通知时要求的时间到荔浦市公共资源交易中心</w:t>
      </w:r>
      <w:r>
        <w:rPr>
          <w:rFonts w:hint="eastAsia" w:ascii="宋体" w:hAnsi="宋体" w:cs="宋体"/>
          <w:bCs/>
          <w:color w:val="FF0000"/>
          <w:sz w:val="21"/>
          <w:szCs w:val="21"/>
          <w:lang w:val="en-US" w:eastAsia="zh-CN"/>
        </w:rPr>
        <w:t>3</w:t>
      </w:r>
      <w:r>
        <w:rPr>
          <w:rFonts w:hint="eastAsia" w:ascii="宋体" w:hAnsi="宋体" w:cs="宋体"/>
          <w:bCs/>
          <w:sz w:val="21"/>
          <w:szCs w:val="21"/>
        </w:rPr>
        <w:t>号开标室现场提交或以电子邮件的形式（以通知时所告知的电子邮箱地址为准）提交电子备份磋商响应文件】，若磋商供应商在规定时间内无法解密或解密失败且未提供电子备份磋商响应文件的(包含提供的电子备份文件无效或无法解密的情况)，视为无效响应。</w:t>
      </w:r>
    </w:p>
    <w:p w14:paraId="66D7CB63">
      <w:pPr>
        <w:pStyle w:val="27"/>
        <w:spacing w:line="400" w:lineRule="exact"/>
        <w:ind w:firstLine="420" w:firstLineChars="200"/>
        <w:rPr>
          <w:rFonts w:ascii="宋体" w:hAnsi="宋体" w:cs="宋体"/>
          <w:bCs/>
          <w:sz w:val="21"/>
          <w:szCs w:val="21"/>
        </w:rPr>
      </w:pPr>
      <w:r>
        <w:rPr>
          <w:rFonts w:ascii="宋体" w:hAnsi="宋体" w:cs="宋体"/>
          <w:bCs/>
          <w:sz w:val="21"/>
          <w:szCs w:val="21"/>
        </w:rPr>
        <w:t>5</w:t>
      </w:r>
      <w:r>
        <w:rPr>
          <w:rFonts w:hint="eastAsia" w:ascii="宋体" w:hAnsi="宋体" w:cs="宋体"/>
          <w:bCs/>
          <w:sz w:val="21"/>
          <w:szCs w:val="21"/>
        </w:rPr>
        <w:t>、本项目需要落实的政府采购政策：</w:t>
      </w:r>
    </w:p>
    <w:p w14:paraId="77A9ADFB">
      <w:pPr>
        <w:pStyle w:val="27"/>
        <w:spacing w:line="400" w:lineRule="exact"/>
        <w:ind w:firstLine="420" w:firstLineChars="200"/>
        <w:rPr>
          <w:rFonts w:ascii="宋体" w:hAnsi="宋体" w:cs="宋体"/>
          <w:bCs/>
          <w:sz w:val="21"/>
          <w:szCs w:val="21"/>
        </w:rPr>
      </w:pPr>
      <w:r>
        <w:rPr>
          <w:rFonts w:hint="eastAsia" w:ascii="宋体" w:hAnsi="宋体" w:cs="宋体"/>
          <w:bCs/>
          <w:sz w:val="21"/>
          <w:szCs w:val="21"/>
        </w:rPr>
        <w:t>(1) 政府采购促进中小企业发展。</w:t>
      </w:r>
    </w:p>
    <w:p w14:paraId="7BCA075C">
      <w:pPr>
        <w:pStyle w:val="27"/>
        <w:spacing w:line="400" w:lineRule="exact"/>
        <w:ind w:firstLine="420" w:firstLineChars="200"/>
        <w:rPr>
          <w:rFonts w:ascii="宋体" w:hAnsi="宋体" w:cs="宋体"/>
          <w:bCs/>
          <w:sz w:val="21"/>
          <w:szCs w:val="21"/>
        </w:rPr>
      </w:pPr>
      <w:r>
        <w:rPr>
          <w:rFonts w:hint="eastAsia" w:ascii="宋体" w:hAnsi="宋体" w:cs="宋体"/>
          <w:bCs/>
          <w:sz w:val="21"/>
          <w:szCs w:val="21"/>
        </w:rPr>
        <w:t>(2) 政府采购促进残疾人就业政策。</w:t>
      </w:r>
    </w:p>
    <w:p w14:paraId="59BF0219">
      <w:pPr>
        <w:pStyle w:val="27"/>
        <w:spacing w:line="400" w:lineRule="exact"/>
        <w:ind w:firstLine="420" w:firstLineChars="200"/>
        <w:rPr>
          <w:rFonts w:ascii="宋体" w:hAnsi="宋体" w:cs="宋体"/>
          <w:bCs/>
          <w:sz w:val="21"/>
          <w:szCs w:val="21"/>
        </w:rPr>
      </w:pPr>
      <w:r>
        <w:rPr>
          <w:rFonts w:hint="eastAsia" w:ascii="宋体" w:hAnsi="宋体" w:cs="宋体"/>
          <w:bCs/>
          <w:sz w:val="21"/>
          <w:szCs w:val="21"/>
        </w:rPr>
        <w:t>(3) 政府采购支持监狱企业发展。</w:t>
      </w:r>
    </w:p>
    <w:p w14:paraId="10F7E38D">
      <w:pPr>
        <w:pStyle w:val="27"/>
        <w:spacing w:line="400" w:lineRule="exact"/>
        <w:ind w:firstLine="422" w:firstLineChars="200"/>
        <w:rPr>
          <w:rFonts w:ascii="宋体" w:hAnsi="宋体" w:cs="宋体"/>
          <w:b/>
          <w:bCs/>
          <w:sz w:val="21"/>
          <w:szCs w:val="21"/>
        </w:rPr>
      </w:pPr>
      <w:r>
        <w:rPr>
          <w:rFonts w:hint="eastAsia" w:ascii="宋体" w:hAnsi="宋体" w:cs="宋体"/>
          <w:b/>
          <w:bCs/>
          <w:sz w:val="21"/>
          <w:szCs w:val="21"/>
        </w:rPr>
        <w:t>在线响应（电子响应）说明</w:t>
      </w:r>
    </w:p>
    <w:p w14:paraId="10AA76CB">
      <w:pPr>
        <w:pStyle w:val="27"/>
        <w:spacing w:line="400" w:lineRule="exact"/>
        <w:ind w:firstLine="420" w:firstLineChars="200"/>
        <w:jc w:val="both"/>
        <w:rPr>
          <w:rFonts w:ascii="宋体" w:hAnsi="宋体" w:cs="宋体"/>
          <w:bCs/>
          <w:sz w:val="21"/>
          <w:szCs w:val="21"/>
        </w:rPr>
      </w:pPr>
      <w:r>
        <w:rPr>
          <w:rFonts w:hint="eastAsia" w:ascii="宋体" w:hAnsi="宋体" w:cs="宋体"/>
          <w:bCs/>
          <w:sz w:val="21"/>
          <w:szCs w:val="21"/>
        </w:rPr>
        <w:t>1、本项目通过政采云平台实行在线响应（电子响应），供应商需要先安装“政采云电子交易客户端”，并按照本磋商文件和政采云平台的要求，通过“政采云电子交易客户端”编制并加密响应文件。供应商未按规定编制并加密的响应文件，政采云平台将予以拒收。</w:t>
      </w:r>
    </w:p>
    <w:p w14:paraId="2F3E2801">
      <w:pPr>
        <w:pStyle w:val="27"/>
        <w:spacing w:line="400" w:lineRule="exact"/>
        <w:ind w:firstLine="420" w:firstLineChars="200"/>
        <w:jc w:val="both"/>
        <w:rPr>
          <w:rFonts w:ascii="宋体" w:hAnsi="宋体" w:cs="宋体"/>
          <w:bCs/>
          <w:sz w:val="21"/>
          <w:szCs w:val="21"/>
        </w:rPr>
      </w:pPr>
      <w:r>
        <w:rPr>
          <w:rFonts w:hint="eastAsia" w:ascii="宋体" w:hAnsi="宋体" w:cs="宋体"/>
          <w:bCs/>
          <w:sz w:val="21"/>
          <w:szCs w:val="21"/>
        </w:rPr>
        <w:t>“政采云电子交易客户端”请自行前往广西政府采购网下载并安装（http://zfcg.gxzf.gov.cn/OfficeService/DownloadArea/2455918.html?utm=sites_group_front.b8b6c91.0.0.c51f9820a48111eabb9bcbdf01af125e）；电子响应具体操作流程参考《政府采购项目电子交易管理操作指南-供应商》；在使用政采云投标客户端时，建议使用WIN7及以上操作系统，通过政采云平台参与在线响应时如遇平台技术问题详询95763。</w:t>
      </w:r>
    </w:p>
    <w:p w14:paraId="0AE55C67">
      <w:pPr>
        <w:pStyle w:val="27"/>
        <w:spacing w:line="400" w:lineRule="exact"/>
        <w:ind w:firstLine="420" w:firstLineChars="200"/>
        <w:jc w:val="both"/>
        <w:rPr>
          <w:rFonts w:ascii="宋体" w:hAnsi="宋体" w:cs="宋体"/>
          <w:bCs/>
          <w:sz w:val="21"/>
          <w:szCs w:val="21"/>
        </w:rPr>
      </w:pPr>
      <w:r>
        <w:rPr>
          <w:rFonts w:hint="eastAsia" w:ascii="宋体" w:hAnsi="宋体" w:cs="宋体"/>
          <w:bCs/>
          <w:sz w:val="21"/>
          <w:szCs w:val="21"/>
        </w:rPr>
        <w:t>2、为确保网上操作合法、有效和安全，磋商供应商应当在磋商截止时间前完成在“政府采购云平台”的身份认证，确保在电子响应过程中能够对相关数据电文进行加密和使用电子签章。使用“政采云电子交易客户端”需要提前申领CA数字证书，申领流程请自行前往政采云平台网站进行查阅；（完成CA数字证书办理预计一周左右，建议供应商获取磋商文件后立即办理。）如因未注册入库、未办理CA数字证书等原因造成无法磋商或磋商失败等后果由供应商自行承担。</w:t>
      </w:r>
    </w:p>
    <w:p w14:paraId="5A5FA4F0">
      <w:pPr>
        <w:pStyle w:val="27"/>
        <w:spacing w:line="400" w:lineRule="exact"/>
        <w:ind w:firstLine="420" w:firstLineChars="200"/>
        <w:jc w:val="both"/>
        <w:rPr>
          <w:rFonts w:ascii="宋体" w:hAnsi="宋体" w:cs="宋体"/>
          <w:bCs/>
          <w:sz w:val="21"/>
          <w:szCs w:val="21"/>
        </w:rPr>
      </w:pPr>
      <w:r>
        <w:rPr>
          <w:rFonts w:hint="eastAsia" w:ascii="宋体" w:hAnsi="宋体" w:cs="宋体"/>
          <w:bCs/>
          <w:sz w:val="21"/>
          <w:szCs w:val="21"/>
        </w:rPr>
        <w:t>3、磋商供应商应当在磋商截止时间前，将生成的“电子磋商响应文件”上传递交至政采云平台。响应文件递交截止时间前可以撤回电子磋商响应文件。补充或者修改电子磋商响应文件的，应当先行撤回原文件，补充、修改后重新传输递交，磋商响应文件递交截止时间前未完成传输的，视为撤回磋商响应文件。</w:t>
      </w:r>
    </w:p>
    <w:p w14:paraId="687EB70D">
      <w:pPr>
        <w:pStyle w:val="27"/>
        <w:spacing w:line="400" w:lineRule="exact"/>
        <w:ind w:firstLine="420" w:firstLineChars="200"/>
        <w:jc w:val="both"/>
        <w:rPr>
          <w:rFonts w:ascii="宋体" w:hAnsi="宋体" w:cs="宋体"/>
          <w:bCs/>
          <w:sz w:val="21"/>
          <w:szCs w:val="21"/>
        </w:rPr>
      </w:pPr>
      <w:r>
        <w:rPr>
          <w:rFonts w:hint="eastAsia" w:ascii="宋体" w:hAnsi="宋体" w:cs="宋体"/>
          <w:bCs/>
          <w:sz w:val="21"/>
          <w:szCs w:val="21"/>
        </w:rPr>
        <w:t>4、本项目需要磋商供应商代表在截标当天截标后，按磋商小组要求及时登陆政采云平台等候在线磋商及提交最后报价。</w:t>
      </w:r>
    </w:p>
    <w:p w14:paraId="159D497D">
      <w:pPr>
        <w:pStyle w:val="27"/>
        <w:spacing w:line="400" w:lineRule="exact"/>
        <w:ind w:firstLine="420" w:firstLineChars="200"/>
        <w:jc w:val="both"/>
        <w:rPr>
          <w:rFonts w:ascii="宋体" w:hAnsi="宋体" w:cs="宋体"/>
          <w:bCs/>
          <w:sz w:val="21"/>
          <w:szCs w:val="21"/>
        </w:rPr>
      </w:pPr>
      <w:r>
        <w:rPr>
          <w:rFonts w:hint="eastAsia" w:ascii="宋体" w:hAnsi="宋体" w:cs="宋体"/>
          <w:bCs/>
          <w:sz w:val="21"/>
          <w:szCs w:val="21"/>
        </w:rPr>
        <w:t>本采购项目为政采云全流程电子化操作，参与磋商的供应商需自备计算机和网络设备（设备需可视频通话和读取政采云CA数字证书），确保磋商过程顺利进行；因供应商自身设备或网络原因造成的一切后果，由供应商自行承担。</w:t>
      </w:r>
    </w:p>
    <w:p w14:paraId="190040BA">
      <w:pPr>
        <w:pStyle w:val="27"/>
        <w:spacing w:line="400" w:lineRule="exact"/>
        <w:ind w:firstLine="420" w:firstLineChars="200"/>
        <w:rPr>
          <w:rFonts w:ascii="宋体" w:hAnsi="宋体" w:cs="宋体"/>
          <w:bCs/>
          <w:sz w:val="21"/>
          <w:szCs w:val="21"/>
        </w:rPr>
      </w:pPr>
      <w:r>
        <w:rPr>
          <w:rFonts w:hint="eastAsia" w:ascii="宋体" w:hAnsi="宋体" w:cs="宋体"/>
          <w:bCs/>
          <w:sz w:val="21"/>
          <w:szCs w:val="21"/>
        </w:rPr>
        <w:t>政府采购监督管理机构：平乐县政府采购办公室      联系电话：0773-7882157</w:t>
      </w:r>
    </w:p>
    <w:p w14:paraId="64864861">
      <w:pPr>
        <w:spacing w:line="400" w:lineRule="exact"/>
        <w:ind w:firstLine="422" w:firstLineChars="200"/>
        <w:rPr>
          <w:rFonts w:ascii="宋体" w:hAnsi="宋体" w:cs="宋体"/>
          <w:b/>
          <w:bCs/>
          <w:color w:val="000000"/>
          <w:szCs w:val="21"/>
        </w:rPr>
      </w:pPr>
      <w:bookmarkStart w:id="60" w:name="_Toc5677"/>
      <w:r>
        <w:rPr>
          <w:rFonts w:hint="eastAsia"/>
          <w:b/>
          <w:bCs/>
        </w:rPr>
        <w:t>八</w:t>
      </w:r>
      <w:r>
        <w:rPr>
          <w:rFonts w:hint="eastAsia" w:ascii="宋体" w:hAnsi="宋体" w:cs="宋体"/>
          <w:b/>
          <w:bCs/>
          <w:color w:val="000000"/>
          <w:szCs w:val="21"/>
        </w:rPr>
        <w:t>、凡对本次采购提出询问，请按以下方式联系。</w:t>
      </w:r>
      <w:bookmarkEnd w:id="42"/>
      <w:bookmarkEnd w:id="43"/>
      <w:bookmarkEnd w:id="44"/>
      <w:bookmarkEnd w:id="45"/>
      <w:bookmarkEnd w:id="60"/>
    </w:p>
    <w:p w14:paraId="7F088828">
      <w:pPr>
        <w:pStyle w:val="30"/>
        <w:spacing w:line="400" w:lineRule="exact"/>
        <w:ind w:firstLine="422" w:firstLineChars="200"/>
        <w:outlineLvl w:val="2"/>
        <w:rPr>
          <w:b/>
          <w:bCs/>
          <w:sz w:val="21"/>
          <w:szCs w:val="21"/>
        </w:rPr>
      </w:pPr>
      <w:bookmarkStart w:id="61" w:name="_Toc13906"/>
      <w:bookmarkStart w:id="62" w:name="_Toc28750"/>
      <w:bookmarkStart w:id="63" w:name="_Toc14195"/>
      <w:bookmarkStart w:id="64" w:name="_Toc19796"/>
      <w:bookmarkStart w:id="65" w:name="_Toc11940"/>
      <w:r>
        <w:rPr>
          <w:b/>
          <w:bCs/>
          <w:sz w:val="21"/>
          <w:szCs w:val="21"/>
        </w:rPr>
        <w:t>1</w:t>
      </w:r>
      <w:r>
        <w:rPr>
          <w:rFonts w:hint="eastAsia"/>
          <w:b/>
          <w:bCs/>
          <w:sz w:val="21"/>
          <w:szCs w:val="21"/>
        </w:rPr>
        <w:t>、</w:t>
      </w:r>
      <w:r>
        <w:rPr>
          <w:b/>
          <w:bCs/>
          <w:sz w:val="21"/>
          <w:szCs w:val="21"/>
        </w:rPr>
        <w:t>采购人信息</w:t>
      </w:r>
      <w:bookmarkEnd w:id="61"/>
      <w:bookmarkEnd w:id="62"/>
      <w:bookmarkEnd w:id="63"/>
      <w:bookmarkEnd w:id="64"/>
      <w:bookmarkEnd w:id="65"/>
    </w:p>
    <w:p w14:paraId="005B4F85">
      <w:pPr>
        <w:pStyle w:val="30"/>
        <w:spacing w:line="400" w:lineRule="exact"/>
        <w:ind w:firstLine="420" w:firstLineChars="200"/>
        <w:rPr>
          <w:rFonts w:hint="eastAsia" w:ascii="宋体" w:hAnsi="宋体" w:eastAsia="宋体" w:cs="宋体"/>
          <w:sz w:val="21"/>
          <w:szCs w:val="21"/>
        </w:rPr>
      </w:pPr>
      <w:bookmarkStart w:id="66" w:name="_Toc23917"/>
      <w:bookmarkStart w:id="67" w:name="_Toc12451"/>
      <w:bookmarkStart w:id="68" w:name="_Toc12722"/>
      <w:bookmarkStart w:id="69" w:name="_Toc25786"/>
      <w:bookmarkStart w:id="70" w:name="_Toc2568"/>
      <w:bookmarkStart w:id="71" w:name="_Toc20363"/>
      <w:r>
        <w:rPr>
          <w:rFonts w:hint="eastAsia" w:ascii="宋体" w:hAnsi="宋体" w:eastAsia="宋体" w:cs="宋体"/>
          <w:sz w:val="21"/>
          <w:szCs w:val="21"/>
        </w:rPr>
        <w:t>名称：</w:t>
      </w:r>
      <w:r>
        <w:rPr>
          <w:rFonts w:hint="eastAsia" w:ascii="宋体" w:hAnsi="宋体" w:cs="宋体"/>
          <w:sz w:val="21"/>
          <w:szCs w:val="21"/>
          <w:u w:val="single"/>
          <w:lang w:eastAsia="zh-CN"/>
        </w:rPr>
        <w:t>平乐县二塘镇人民政府</w:t>
      </w:r>
      <w:r>
        <w:rPr>
          <w:rFonts w:hint="eastAsia" w:ascii="宋体" w:hAnsi="宋体" w:eastAsia="宋体" w:cs="宋体"/>
          <w:sz w:val="21"/>
          <w:szCs w:val="21"/>
          <w:u w:val="single"/>
        </w:rPr>
        <w:t xml:space="preserve">  </w:t>
      </w:r>
    </w:p>
    <w:p w14:paraId="194D331E">
      <w:pPr>
        <w:pStyle w:val="30"/>
        <w:spacing w:line="400" w:lineRule="exact"/>
        <w:ind w:firstLine="420" w:firstLineChars="200"/>
        <w:rPr>
          <w:rFonts w:hint="eastAsia" w:ascii="宋体" w:hAnsi="宋体" w:eastAsia="宋体" w:cs="宋体"/>
          <w:sz w:val="21"/>
          <w:szCs w:val="21"/>
          <w:u w:val="single"/>
        </w:rPr>
      </w:pPr>
      <w:r>
        <w:rPr>
          <w:rFonts w:hint="eastAsia" w:ascii="宋体" w:hAnsi="宋体" w:eastAsia="宋体" w:cs="宋体"/>
          <w:sz w:val="21"/>
          <w:szCs w:val="21"/>
        </w:rPr>
        <w:t>地址：</w:t>
      </w:r>
      <w:r>
        <w:rPr>
          <w:rFonts w:hint="eastAsia" w:ascii="宋体" w:hAnsi="宋体" w:cs="宋体"/>
          <w:sz w:val="21"/>
          <w:szCs w:val="21"/>
          <w:u w:val="single"/>
          <w:lang w:eastAsia="zh-CN"/>
        </w:rPr>
        <w:t>平乐县二塘镇人民政府</w:t>
      </w:r>
      <w:bookmarkStart w:id="740" w:name="_GoBack"/>
      <w:bookmarkEnd w:id="740"/>
    </w:p>
    <w:p w14:paraId="7B19D818">
      <w:pPr>
        <w:pStyle w:val="30"/>
        <w:spacing w:line="400" w:lineRule="exact"/>
        <w:ind w:firstLine="420" w:firstLineChars="200"/>
        <w:rPr>
          <w:rFonts w:hint="eastAsia" w:ascii="宋体" w:hAnsi="宋体" w:eastAsia="宋体" w:cs="宋体"/>
          <w:sz w:val="21"/>
          <w:szCs w:val="21"/>
          <w:u w:val="single"/>
        </w:rPr>
      </w:pPr>
      <w:r>
        <w:rPr>
          <w:rFonts w:hint="eastAsia" w:ascii="宋体" w:hAnsi="宋体" w:eastAsia="宋体" w:cs="宋体"/>
          <w:sz w:val="21"/>
          <w:szCs w:val="21"/>
        </w:rPr>
        <w:t>联系方式：</w:t>
      </w:r>
      <w:r>
        <w:rPr>
          <w:rFonts w:hint="eastAsia" w:ascii="宋体" w:hAnsi="宋体" w:eastAsia="宋体" w:cs="宋体"/>
          <w:sz w:val="21"/>
          <w:szCs w:val="21"/>
          <w:u w:val="single"/>
          <w:lang w:eastAsia="zh-CN"/>
        </w:rPr>
        <w:t>莫美航</w:t>
      </w:r>
      <w:r>
        <w:rPr>
          <w:rFonts w:hint="eastAsia" w:ascii="宋体" w:hAnsi="宋体" w:eastAsia="宋体" w:cs="宋体"/>
          <w:sz w:val="21"/>
          <w:szCs w:val="21"/>
          <w:u w:val="single"/>
          <w:lang w:val="en-US" w:eastAsia="zh-CN"/>
        </w:rPr>
        <w:t xml:space="preserve">  </w:t>
      </w:r>
      <w:r>
        <w:rPr>
          <w:rFonts w:hint="eastAsia" w:ascii="宋体" w:hAnsi="宋体" w:eastAsia="宋体" w:cs="宋体"/>
          <w:color w:val="000000" w:themeColor="text1"/>
          <w:sz w:val="21"/>
          <w:szCs w:val="21"/>
          <w:u w:val="single"/>
          <w14:textFill>
            <w14:solidFill>
              <w14:schemeClr w14:val="tx1"/>
            </w14:solidFill>
          </w14:textFill>
        </w:rPr>
        <w:t>0773-7622189</w:t>
      </w:r>
      <w:r>
        <w:rPr>
          <w:rFonts w:hint="eastAsia" w:ascii="宋体" w:hAnsi="宋体" w:eastAsia="宋体" w:cs="宋体"/>
          <w:color w:val="000000" w:themeColor="text1"/>
          <w:sz w:val="21"/>
          <w:szCs w:val="21"/>
          <w:u w:val="single"/>
          <w14:textFill>
            <w14:solidFill>
              <w14:schemeClr w14:val="tx1"/>
            </w14:solidFill>
          </w14:textFill>
        </w:rPr>
        <w:t xml:space="preserve"> </w:t>
      </w:r>
    </w:p>
    <w:p w14:paraId="55F82C39">
      <w:pPr>
        <w:pStyle w:val="30"/>
        <w:spacing w:line="400" w:lineRule="exact"/>
        <w:ind w:firstLine="422" w:firstLineChars="200"/>
        <w:outlineLvl w:val="2"/>
        <w:rPr>
          <w:b/>
          <w:bCs/>
          <w:sz w:val="21"/>
          <w:szCs w:val="21"/>
        </w:rPr>
      </w:pPr>
      <w:r>
        <w:rPr>
          <w:b/>
          <w:bCs/>
          <w:sz w:val="21"/>
          <w:szCs w:val="21"/>
        </w:rPr>
        <w:t>2</w:t>
      </w:r>
      <w:r>
        <w:rPr>
          <w:rFonts w:hint="eastAsia"/>
          <w:b/>
          <w:bCs/>
          <w:sz w:val="21"/>
          <w:szCs w:val="21"/>
        </w:rPr>
        <w:t>、</w:t>
      </w:r>
      <w:r>
        <w:rPr>
          <w:b/>
          <w:bCs/>
          <w:sz w:val="21"/>
          <w:szCs w:val="21"/>
        </w:rPr>
        <w:t>采购代理机构信息</w:t>
      </w:r>
      <w:bookmarkEnd w:id="66"/>
      <w:bookmarkEnd w:id="67"/>
      <w:bookmarkEnd w:id="68"/>
      <w:bookmarkEnd w:id="69"/>
      <w:bookmarkEnd w:id="70"/>
      <w:bookmarkEnd w:id="71"/>
    </w:p>
    <w:p w14:paraId="21F71CC2">
      <w:pPr>
        <w:pStyle w:val="30"/>
        <w:spacing w:line="400" w:lineRule="exact"/>
        <w:ind w:firstLine="420" w:firstLineChars="200"/>
        <w:rPr>
          <w:sz w:val="21"/>
          <w:szCs w:val="21"/>
        </w:rPr>
      </w:pPr>
      <w:r>
        <w:rPr>
          <w:sz w:val="21"/>
          <w:szCs w:val="21"/>
        </w:rPr>
        <w:t>名称：</w:t>
      </w:r>
      <w:r>
        <w:rPr>
          <w:rFonts w:hint="eastAsia" w:ascii="宋体" w:hAnsi="宋体" w:cs="宋体"/>
          <w:sz w:val="21"/>
          <w:szCs w:val="21"/>
          <w:u w:val="single"/>
        </w:rPr>
        <w:t xml:space="preserve">广西达华工程造价咨询有限责任公司 </w:t>
      </w:r>
    </w:p>
    <w:p w14:paraId="782B1A5D">
      <w:pPr>
        <w:pStyle w:val="30"/>
        <w:spacing w:line="400" w:lineRule="exact"/>
        <w:ind w:firstLine="420" w:firstLineChars="200"/>
        <w:rPr>
          <w:sz w:val="21"/>
          <w:szCs w:val="21"/>
          <w:u w:val="single"/>
        </w:rPr>
      </w:pPr>
      <w:r>
        <w:rPr>
          <w:rFonts w:hint="eastAsia"/>
          <w:sz w:val="21"/>
          <w:szCs w:val="21"/>
        </w:rPr>
        <w:t>地址：</w:t>
      </w:r>
      <w:r>
        <w:rPr>
          <w:rFonts w:hint="eastAsia" w:ascii="宋体" w:hAnsi="宋体" w:cs="宋体"/>
          <w:sz w:val="21"/>
          <w:szCs w:val="21"/>
          <w:u w:val="single"/>
          <w:lang w:eastAsia="zh-CN"/>
        </w:rPr>
        <w:t>广西平乐县平乐镇南洲村委中洲村3-35号</w:t>
      </w:r>
    </w:p>
    <w:p w14:paraId="05F78CEF">
      <w:pPr>
        <w:pStyle w:val="30"/>
        <w:spacing w:line="400" w:lineRule="exact"/>
        <w:ind w:firstLine="420" w:firstLineChars="200"/>
        <w:rPr>
          <w:sz w:val="21"/>
          <w:szCs w:val="21"/>
        </w:rPr>
      </w:pPr>
      <w:r>
        <w:rPr>
          <w:rFonts w:hint="eastAsia"/>
          <w:sz w:val="21"/>
          <w:szCs w:val="21"/>
        </w:rPr>
        <w:t>联系方式：</w:t>
      </w:r>
      <w:r>
        <w:rPr>
          <w:rFonts w:hint="eastAsia" w:asciiTheme="minorEastAsia" w:hAnsiTheme="minorEastAsia" w:eastAsiaTheme="minorEastAsia" w:cstheme="minorEastAsia"/>
          <w:sz w:val="21"/>
          <w:szCs w:val="21"/>
          <w:u w:val="single"/>
        </w:rPr>
        <w:t xml:space="preserve">陈工    </w:t>
      </w:r>
      <w:bookmarkStart w:id="72" w:name="OLE_LINK5"/>
      <w:r>
        <w:rPr>
          <w:rFonts w:hint="eastAsia" w:asciiTheme="minorEastAsia" w:hAnsiTheme="minorEastAsia" w:eastAsiaTheme="minorEastAsia" w:cstheme="minorEastAsia"/>
          <w:sz w:val="21"/>
          <w:szCs w:val="21"/>
          <w:u w:val="single"/>
        </w:rPr>
        <w:t>0773-7880100</w:t>
      </w:r>
      <w:bookmarkEnd w:id="72"/>
    </w:p>
    <w:p w14:paraId="048F0970">
      <w:pPr>
        <w:pStyle w:val="30"/>
        <w:spacing w:line="460" w:lineRule="exact"/>
        <w:ind w:firstLine="0"/>
        <w:jc w:val="right"/>
        <w:rPr>
          <w:sz w:val="21"/>
          <w:szCs w:val="21"/>
        </w:rPr>
      </w:pPr>
    </w:p>
    <w:p w14:paraId="21660646">
      <w:pPr>
        <w:pStyle w:val="30"/>
        <w:spacing w:line="460" w:lineRule="exact"/>
        <w:ind w:firstLine="480" w:firstLineChars="229"/>
        <w:jc w:val="right"/>
        <w:rPr>
          <w:rFonts w:asciiTheme="minorEastAsia" w:hAnsiTheme="minorEastAsia" w:eastAsiaTheme="minorEastAsia" w:cstheme="minorEastAsia"/>
          <w:sz w:val="21"/>
          <w:szCs w:val="21"/>
        </w:rPr>
      </w:pPr>
    </w:p>
    <w:p w14:paraId="069211FC">
      <w:pPr>
        <w:pStyle w:val="30"/>
        <w:spacing w:line="460" w:lineRule="exact"/>
        <w:ind w:firstLine="480" w:firstLineChars="229"/>
        <w:jc w:val="right"/>
        <w:rPr>
          <w:rFonts w:asciiTheme="minorEastAsia" w:hAnsiTheme="minorEastAsia" w:eastAsiaTheme="minorEastAsia" w:cstheme="minorEastAsia"/>
          <w:sz w:val="21"/>
          <w:szCs w:val="21"/>
        </w:rPr>
      </w:pPr>
    </w:p>
    <w:p w14:paraId="08B24CFA">
      <w:pPr>
        <w:pStyle w:val="30"/>
        <w:spacing w:line="460" w:lineRule="exact"/>
        <w:ind w:firstLine="480" w:firstLineChars="229"/>
        <w:jc w:val="right"/>
        <w:rPr>
          <w:rFonts w:asciiTheme="minorEastAsia" w:hAnsiTheme="minorEastAsia" w:eastAsiaTheme="minorEastAsia" w:cstheme="minorEastAsia"/>
          <w:sz w:val="21"/>
          <w:szCs w:val="21"/>
        </w:rPr>
      </w:pPr>
    </w:p>
    <w:p w14:paraId="3EFC2239">
      <w:pPr>
        <w:pStyle w:val="30"/>
        <w:spacing w:line="460" w:lineRule="exact"/>
        <w:ind w:firstLine="480" w:firstLineChars="229"/>
        <w:jc w:val="right"/>
        <w:rPr>
          <w:rFonts w:asciiTheme="minorEastAsia" w:hAnsiTheme="minorEastAsia" w:eastAsiaTheme="minorEastAsia" w:cstheme="minorEastAsia"/>
          <w:sz w:val="21"/>
          <w:szCs w:val="21"/>
        </w:rPr>
      </w:pPr>
    </w:p>
    <w:p w14:paraId="402DC807">
      <w:pPr>
        <w:pStyle w:val="30"/>
        <w:spacing w:line="460" w:lineRule="exact"/>
        <w:ind w:firstLine="480" w:firstLineChars="229"/>
        <w:jc w:val="right"/>
        <w:rPr>
          <w:rFonts w:asciiTheme="minorEastAsia" w:hAnsiTheme="minorEastAsia" w:eastAsiaTheme="minorEastAsia" w:cstheme="minorEastAsia"/>
          <w:sz w:val="21"/>
          <w:szCs w:val="21"/>
        </w:rPr>
      </w:pPr>
    </w:p>
    <w:p w14:paraId="71ADB421">
      <w:pPr>
        <w:pStyle w:val="30"/>
        <w:spacing w:line="460" w:lineRule="exact"/>
        <w:ind w:firstLine="480" w:firstLineChars="229"/>
        <w:jc w:val="right"/>
        <w:rPr>
          <w:rFonts w:asciiTheme="minorEastAsia" w:hAnsiTheme="minorEastAsia" w:eastAsiaTheme="minorEastAsia" w:cstheme="minorEastAsia"/>
          <w:sz w:val="21"/>
          <w:szCs w:val="21"/>
        </w:rPr>
      </w:pPr>
    </w:p>
    <w:p w14:paraId="3DD82B75">
      <w:pPr>
        <w:pStyle w:val="30"/>
        <w:spacing w:line="460" w:lineRule="exact"/>
        <w:ind w:firstLine="480" w:firstLineChars="229"/>
        <w:jc w:val="right"/>
        <w:rPr>
          <w:rFonts w:asciiTheme="minorEastAsia" w:hAnsiTheme="minorEastAsia" w:eastAsiaTheme="minorEastAsia" w:cstheme="minorEastAsia"/>
          <w:sz w:val="21"/>
          <w:szCs w:val="21"/>
        </w:rPr>
      </w:pPr>
    </w:p>
    <w:p w14:paraId="04A721CA">
      <w:pPr>
        <w:pStyle w:val="30"/>
        <w:spacing w:line="460" w:lineRule="exact"/>
        <w:ind w:firstLine="480" w:firstLineChars="229"/>
        <w:jc w:val="right"/>
        <w:rPr>
          <w:rFonts w:asciiTheme="minorEastAsia" w:hAnsiTheme="minorEastAsia" w:eastAsiaTheme="minorEastAsia" w:cstheme="minorEastAsia"/>
          <w:sz w:val="21"/>
          <w:szCs w:val="21"/>
        </w:rPr>
      </w:pPr>
    </w:p>
    <w:p w14:paraId="1E13BD44">
      <w:pPr>
        <w:pStyle w:val="30"/>
        <w:spacing w:line="460" w:lineRule="exact"/>
        <w:ind w:firstLine="480" w:firstLineChars="229"/>
        <w:jc w:val="right"/>
        <w:rPr>
          <w:rFonts w:asciiTheme="minorEastAsia" w:hAnsiTheme="minorEastAsia" w:eastAsiaTheme="minorEastAsia" w:cstheme="minorEastAsia"/>
          <w:sz w:val="21"/>
          <w:szCs w:val="21"/>
        </w:rPr>
      </w:pPr>
    </w:p>
    <w:p w14:paraId="30E8311F">
      <w:pPr>
        <w:pStyle w:val="30"/>
        <w:spacing w:line="460" w:lineRule="exact"/>
        <w:ind w:firstLine="480" w:firstLineChars="229"/>
        <w:jc w:val="right"/>
        <w:rPr>
          <w:rFonts w:asciiTheme="minorEastAsia" w:hAnsiTheme="minorEastAsia" w:eastAsiaTheme="minorEastAsia" w:cstheme="minorEastAsia"/>
          <w:sz w:val="21"/>
          <w:szCs w:val="21"/>
        </w:rPr>
      </w:pPr>
    </w:p>
    <w:p w14:paraId="0E6C47FA">
      <w:pPr>
        <w:pStyle w:val="30"/>
        <w:spacing w:line="460" w:lineRule="exact"/>
        <w:ind w:firstLine="480" w:firstLineChars="229"/>
        <w:jc w:val="right"/>
        <w:rPr>
          <w:rFonts w:asciiTheme="minorEastAsia" w:hAnsiTheme="minorEastAsia" w:eastAsiaTheme="minorEastAsia" w:cstheme="minorEastAsia"/>
          <w:sz w:val="21"/>
          <w:szCs w:val="21"/>
        </w:rPr>
      </w:pPr>
    </w:p>
    <w:p w14:paraId="0C5BF059">
      <w:pPr>
        <w:pStyle w:val="30"/>
        <w:spacing w:line="460" w:lineRule="exact"/>
        <w:ind w:firstLine="480" w:firstLineChars="229"/>
        <w:jc w:val="right"/>
        <w:rPr>
          <w:rFonts w:asciiTheme="minorEastAsia" w:hAnsiTheme="minorEastAsia" w:eastAsiaTheme="minorEastAsia" w:cstheme="minorEastAsia"/>
          <w:sz w:val="21"/>
          <w:szCs w:val="21"/>
        </w:rPr>
      </w:pPr>
    </w:p>
    <w:p w14:paraId="4294F801">
      <w:pPr>
        <w:pStyle w:val="30"/>
        <w:spacing w:line="460" w:lineRule="exact"/>
        <w:ind w:right="1680" w:firstLine="0"/>
        <w:rPr>
          <w:rFonts w:asciiTheme="minorEastAsia" w:hAnsiTheme="minorEastAsia" w:eastAsiaTheme="minorEastAsia" w:cstheme="minorEastAsia"/>
          <w:sz w:val="21"/>
          <w:szCs w:val="21"/>
        </w:rPr>
      </w:pPr>
    </w:p>
    <w:p w14:paraId="60827842">
      <w:pPr>
        <w:pStyle w:val="30"/>
        <w:spacing w:line="460" w:lineRule="exact"/>
        <w:ind w:firstLine="480" w:firstLineChars="229"/>
        <w:jc w:val="right"/>
        <w:rPr>
          <w:rFonts w:asciiTheme="minorEastAsia" w:hAnsiTheme="minorEastAsia" w:eastAsiaTheme="minorEastAsia" w:cstheme="minorEastAsia"/>
          <w:sz w:val="21"/>
          <w:szCs w:val="21"/>
        </w:rPr>
      </w:pPr>
    </w:p>
    <w:p w14:paraId="523A2845">
      <w:pPr>
        <w:spacing w:line="460" w:lineRule="exact"/>
        <w:jc w:val="center"/>
        <w:outlineLvl w:val="0"/>
        <w:rPr>
          <w:rFonts w:hint="eastAsia" w:asciiTheme="minorEastAsia" w:hAnsiTheme="minorEastAsia" w:eastAsiaTheme="minorEastAsia" w:cstheme="minorEastAsia"/>
          <w:b/>
          <w:bCs/>
          <w:sz w:val="32"/>
          <w:szCs w:val="32"/>
        </w:rPr>
      </w:pPr>
      <w:bookmarkStart w:id="73" w:name="_Toc13283"/>
    </w:p>
    <w:p w14:paraId="533CEB19">
      <w:pPr>
        <w:spacing w:line="460" w:lineRule="exact"/>
        <w:jc w:val="center"/>
        <w:outlineLvl w:val="0"/>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第二章  供应商须知</w:t>
      </w:r>
      <w:bookmarkEnd w:id="0"/>
      <w:bookmarkEnd w:id="1"/>
      <w:bookmarkEnd w:id="73"/>
    </w:p>
    <w:p w14:paraId="77E64DDC">
      <w:pPr>
        <w:pStyle w:val="5"/>
        <w:spacing w:line="460" w:lineRule="exact"/>
        <w:jc w:val="center"/>
        <w:rPr>
          <w:rFonts w:ascii="宋体" w:hAnsi="宋体" w:cs="宋体"/>
          <w:b/>
          <w:bCs w:val="0"/>
          <w:sz w:val="24"/>
          <w:szCs w:val="24"/>
        </w:rPr>
      </w:pPr>
      <w:bookmarkStart w:id="74" w:name="_Toc13547"/>
      <w:bookmarkStart w:id="75" w:name="_Toc15649"/>
      <w:bookmarkStart w:id="76" w:name="_Toc25063"/>
      <w:bookmarkStart w:id="77" w:name="_Toc9508"/>
      <w:r>
        <w:rPr>
          <w:rFonts w:hint="eastAsia" w:ascii="宋体" w:hAnsi="宋体" w:cs="宋体"/>
          <w:b/>
          <w:bCs w:val="0"/>
          <w:sz w:val="24"/>
          <w:szCs w:val="24"/>
        </w:rPr>
        <w:t>供应商须知前附表</w:t>
      </w:r>
      <w:bookmarkEnd w:id="74"/>
      <w:bookmarkEnd w:id="75"/>
      <w:bookmarkEnd w:id="76"/>
      <w:bookmarkEnd w:id="77"/>
    </w:p>
    <w:tbl>
      <w:tblPr>
        <w:tblStyle w:val="21"/>
        <w:tblW w:w="9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
        <w:gridCol w:w="942"/>
        <w:gridCol w:w="1775"/>
        <w:gridCol w:w="6405"/>
      </w:tblGrid>
      <w:tr w14:paraId="05AD2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blHeader/>
          <w:jc w:val="center"/>
        </w:trPr>
        <w:tc>
          <w:tcPr>
            <w:tcW w:w="662" w:type="dxa"/>
            <w:shd w:val="clear" w:color="auto" w:fill="8DB3E2" w:themeFill="text2" w:themeFillTint="66"/>
            <w:vAlign w:val="center"/>
          </w:tcPr>
          <w:p w14:paraId="726AF07B">
            <w:pPr>
              <w:spacing w:line="460" w:lineRule="exact"/>
              <w:jc w:val="center"/>
              <w:rPr>
                <w:rFonts w:ascii="宋体" w:hAnsi="宋体" w:cs="宋体"/>
                <w:b/>
                <w:bCs/>
                <w:color w:val="000000"/>
                <w:szCs w:val="21"/>
              </w:rPr>
            </w:pPr>
            <w:r>
              <w:rPr>
                <w:rFonts w:hint="eastAsia" w:ascii="宋体" w:hAnsi="宋体" w:cs="宋体"/>
                <w:b/>
                <w:bCs/>
                <w:color w:val="000000"/>
                <w:szCs w:val="21"/>
              </w:rPr>
              <w:t>序号</w:t>
            </w:r>
          </w:p>
        </w:tc>
        <w:tc>
          <w:tcPr>
            <w:tcW w:w="942" w:type="dxa"/>
            <w:shd w:val="clear" w:color="auto" w:fill="8DB3E2" w:themeFill="text2" w:themeFillTint="66"/>
            <w:vAlign w:val="center"/>
          </w:tcPr>
          <w:p w14:paraId="3168EFD3">
            <w:pPr>
              <w:spacing w:line="460" w:lineRule="exact"/>
              <w:jc w:val="center"/>
              <w:rPr>
                <w:rFonts w:ascii="宋体" w:hAnsi="宋体" w:cs="宋体"/>
                <w:b/>
                <w:bCs/>
                <w:color w:val="000000"/>
                <w:szCs w:val="21"/>
              </w:rPr>
            </w:pPr>
            <w:r>
              <w:rPr>
                <w:rFonts w:hint="eastAsia" w:ascii="宋体" w:hAnsi="宋体" w:cs="宋体"/>
                <w:b/>
                <w:bCs/>
                <w:color w:val="000000"/>
                <w:szCs w:val="21"/>
              </w:rPr>
              <w:t>条款号</w:t>
            </w:r>
          </w:p>
        </w:tc>
        <w:tc>
          <w:tcPr>
            <w:tcW w:w="1775" w:type="dxa"/>
            <w:shd w:val="clear" w:color="auto" w:fill="8DB3E2" w:themeFill="text2" w:themeFillTint="66"/>
            <w:vAlign w:val="center"/>
          </w:tcPr>
          <w:p w14:paraId="41D85AFE">
            <w:pPr>
              <w:spacing w:line="460" w:lineRule="exact"/>
              <w:jc w:val="center"/>
              <w:rPr>
                <w:rFonts w:ascii="宋体" w:hAnsi="宋体" w:cs="宋体"/>
                <w:b/>
                <w:bCs/>
                <w:color w:val="000000"/>
                <w:szCs w:val="21"/>
              </w:rPr>
            </w:pPr>
            <w:r>
              <w:rPr>
                <w:rFonts w:hint="eastAsia" w:ascii="宋体" w:hAnsi="宋体" w:cs="宋体"/>
                <w:b/>
                <w:bCs/>
                <w:color w:val="000000"/>
                <w:szCs w:val="21"/>
              </w:rPr>
              <w:t>条款名称</w:t>
            </w:r>
          </w:p>
        </w:tc>
        <w:tc>
          <w:tcPr>
            <w:tcW w:w="6405" w:type="dxa"/>
            <w:shd w:val="clear" w:color="auto" w:fill="8DB3E2" w:themeFill="text2" w:themeFillTint="66"/>
            <w:vAlign w:val="center"/>
          </w:tcPr>
          <w:p w14:paraId="2CE01942">
            <w:pPr>
              <w:spacing w:line="460" w:lineRule="exact"/>
              <w:jc w:val="center"/>
              <w:rPr>
                <w:rFonts w:ascii="宋体" w:hAnsi="宋体" w:cs="宋体"/>
                <w:b/>
                <w:bCs/>
                <w:color w:val="000000"/>
                <w:szCs w:val="21"/>
              </w:rPr>
            </w:pPr>
            <w:r>
              <w:rPr>
                <w:rFonts w:hint="eastAsia" w:ascii="宋体" w:hAnsi="宋体" w:cs="宋体"/>
                <w:b/>
                <w:bCs/>
                <w:color w:val="000000"/>
                <w:szCs w:val="21"/>
              </w:rPr>
              <w:t>内容、要求</w:t>
            </w:r>
          </w:p>
        </w:tc>
      </w:tr>
      <w:tr w14:paraId="5DEAE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2" w:type="dxa"/>
            <w:vAlign w:val="center"/>
          </w:tcPr>
          <w:p w14:paraId="3F827AE6">
            <w:pPr>
              <w:spacing w:line="460" w:lineRule="exact"/>
              <w:jc w:val="center"/>
              <w:rPr>
                <w:rFonts w:ascii="宋体" w:hAnsi="宋体" w:cs="宋体"/>
                <w:color w:val="000000"/>
                <w:szCs w:val="21"/>
              </w:rPr>
            </w:pPr>
            <w:r>
              <w:rPr>
                <w:rFonts w:hint="eastAsia" w:ascii="宋体" w:hAnsi="宋体" w:cs="宋体"/>
                <w:color w:val="000000"/>
                <w:szCs w:val="21"/>
              </w:rPr>
              <w:t>1</w:t>
            </w:r>
          </w:p>
        </w:tc>
        <w:tc>
          <w:tcPr>
            <w:tcW w:w="942" w:type="dxa"/>
            <w:vAlign w:val="center"/>
          </w:tcPr>
          <w:p w14:paraId="479A8197">
            <w:pPr>
              <w:spacing w:line="460" w:lineRule="exact"/>
              <w:jc w:val="center"/>
              <w:rPr>
                <w:rFonts w:ascii="宋体" w:hAnsi="宋体" w:cs="宋体"/>
                <w:color w:val="000000"/>
                <w:szCs w:val="21"/>
              </w:rPr>
            </w:pPr>
            <w:r>
              <w:rPr>
                <w:rFonts w:hint="eastAsia" w:ascii="宋体" w:hAnsi="宋体" w:cs="宋体"/>
                <w:color w:val="000000"/>
                <w:szCs w:val="21"/>
              </w:rPr>
              <w:t>1.1</w:t>
            </w:r>
          </w:p>
        </w:tc>
        <w:tc>
          <w:tcPr>
            <w:tcW w:w="1775" w:type="dxa"/>
            <w:vAlign w:val="center"/>
          </w:tcPr>
          <w:p w14:paraId="371063CB">
            <w:pPr>
              <w:spacing w:line="460" w:lineRule="exact"/>
              <w:jc w:val="center"/>
              <w:rPr>
                <w:rFonts w:ascii="宋体" w:hAnsi="宋体" w:cs="宋体"/>
                <w:color w:val="000000"/>
                <w:szCs w:val="21"/>
              </w:rPr>
            </w:pPr>
            <w:r>
              <w:rPr>
                <w:rFonts w:hint="eastAsia" w:ascii="宋体" w:hAnsi="宋体" w:cs="宋体"/>
                <w:color w:val="000000"/>
                <w:szCs w:val="21"/>
              </w:rPr>
              <w:t>项目名称及项目编号</w:t>
            </w:r>
          </w:p>
        </w:tc>
        <w:tc>
          <w:tcPr>
            <w:tcW w:w="6405" w:type="dxa"/>
            <w:vAlign w:val="center"/>
          </w:tcPr>
          <w:p w14:paraId="3E184F78">
            <w:pPr>
              <w:spacing w:line="460" w:lineRule="exact"/>
              <w:rPr>
                <w:rFonts w:ascii="宋体" w:hAnsi="宋体" w:cs="宋体"/>
                <w:szCs w:val="21"/>
              </w:rPr>
            </w:pPr>
            <w:r>
              <w:rPr>
                <w:rFonts w:hint="eastAsia" w:ascii="宋体" w:hAnsi="宋体" w:cs="宋体"/>
                <w:color w:val="000000"/>
                <w:szCs w:val="21"/>
              </w:rPr>
              <w:t>项目名称：</w:t>
            </w:r>
            <w:r>
              <w:rPr>
                <w:rFonts w:hint="eastAsia" w:ascii="宋体" w:hAnsi="宋体" w:cs="宋体"/>
                <w:color w:val="000000"/>
                <w:szCs w:val="21"/>
                <w:lang w:eastAsia="zh-CN"/>
              </w:rPr>
              <w:t>二塘镇谢家村月柿特色产业种植示范基地基础设施工程（分水坳至吕家洞）</w:t>
            </w:r>
          </w:p>
          <w:p w14:paraId="4B188C28">
            <w:pPr>
              <w:spacing w:line="460" w:lineRule="exact"/>
              <w:rPr>
                <w:rFonts w:ascii="宋体" w:hAnsi="宋体" w:cs="宋体"/>
                <w:color w:val="000000"/>
              </w:rPr>
            </w:pPr>
            <w:r>
              <w:rPr>
                <w:rFonts w:hint="eastAsia" w:ascii="宋体" w:hAnsi="宋体" w:cs="宋体"/>
                <w:szCs w:val="21"/>
              </w:rPr>
              <w:t xml:space="preserve">项目编号： </w:t>
            </w:r>
            <w:r>
              <w:rPr>
                <w:rFonts w:hint="eastAsia" w:ascii="宋体" w:hAnsi="宋体" w:cs="宋体"/>
                <w:szCs w:val="21"/>
                <w:lang w:eastAsia="zh-CN"/>
              </w:rPr>
              <w:t>GLZC2026-C2-300054-GXDH</w:t>
            </w:r>
          </w:p>
        </w:tc>
      </w:tr>
      <w:tr w14:paraId="37164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jc w:val="center"/>
        </w:trPr>
        <w:tc>
          <w:tcPr>
            <w:tcW w:w="662" w:type="dxa"/>
            <w:vAlign w:val="center"/>
          </w:tcPr>
          <w:p w14:paraId="64FF43AC">
            <w:pPr>
              <w:spacing w:line="460" w:lineRule="exact"/>
              <w:jc w:val="center"/>
              <w:rPr>
                <w:rFonts w:ascii="宋体" w:hAnsi="宋体" w:cs="宋体"/>
                <w:color w:val="000000"/>
                <w:szCs w:val="21"/>
              </w:rPr>
            </w:pPr>
            <w:r>
              <w:rPr>
                <w:rFonts w:hint="eastAsia" w:ascii="宋体" w:hAnsi="宋体" w:cs="宋体"/>
                <w:color w:val="000000"/>
                <w:szCs w:val="21"/>
              </w:rPr>
              <w:t>2</w:t>
            </w:r>
          </w:p>
        </w:tc>
        <w:tc>
          <w:tcPr>
            <w:tcW w:w="942" w:type="dxa"/>
            <w:vAlign w:val="center"/>
          </w:tcPr>
          <w:p w14:paraId="444A1FFA">
            <w:pPr>
              <w:spacing w:line="460" w:lineRule="exact"/>
              <w:jc w:val="center"/>
              <w:rPr>
                <w:rFonts w:ascii="宋体" w:hAnsi="宋体" w:cs="宋体"/>
                <w:color w:val="000000"/>
                <w:szCs w:val="21"/>
              </w:rPr>
            </w:pPr>
            <w:r>
              <w:rPr>
                <w:rFonts w:hint="eastAsia" w:ascii="宋体" w:hAnsi="宋体" w:cs="宋体"/>
                <w:color w:val="000000"/>
                <w:szCs w:val="21"/>
              </w:rPr>
              <w:t>3</w:t>
            </w:r>
          </w:p>
        </w:tc>
        <w:tc>
          <w:tcPr>
            <w:tcW w:w="1775" w:type="dxa"/>
            <w:vAlign w:val="center"/>
          </w:tcPr>
          <w:p w14:paraId="14EA4F46">
            <w:pPr>
              <w:spacing w:line="460" w:lineRule="exact"/>
              <w:jc w:val="center"/>
              <w:rPr>
                <w:rFonts w:ascii="宋体" w:hAnsi="宋体" w:cs="宋体"/>
                <w:color w:val="000000"/>
                <w:szCs w:val="21"/>
              </w:rPr>
            </w:pPr>
            <w:r>
              <w:rPr>
                <w:rFonts w:hint="eastAsia" w:ascii="宋体" w:hAnsi="宋体" w:cs="宋体"/>
                <w:color w:val="000000"/>
                <w:szCs w:val="21"/>
              </w:rPr>
              <w:t>供应商资格</w:t>
            </w:r>
          </w:p>
        </w:tc>
        <w:tc>
          <w:tcPr>
            <w:tcW w:w="6405" w:type="dxa"/>
            <w:vAlign w:val="center"/>
          </w:tcPr>
          <w:p w14:paraId="627D4832">
            <w:pPr>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3.1满足《中华人民共和国政府采购法》第二十二条规定；</w:t>
            </w:r>
          </w:p>
          <w:p w14:paraId="318F09B7">
            <w:pPr>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3.2落实政府采购政策需满足的资格要求：</w:t>
            </w:r>
            <w:r>
              <w:rPr>
                <w:rFonts w:ascii="宋体" w:hAnsi="宋体" w:cs="宋体" w:eastAsiaTheme="minorEastAsia"/>
                <w:color w:val="000000"/>
                <w:sz w:val="21"/>
                <w:szCs w:val="22"/>
                <w:lang w:val="en-US" w:eastAsia="en-US" w:bidi="ar-SA"/>
              </w:rPr>
              <w:t>本项目专门面向中小微企业采购；</w:t>
            </w:r>
          </w:p>
          <w:p w14:paraId="0008E4F7">
            <w:pPr>
              <w:spacing w:line="500" w:lineRule="exact"/>
              <w:rPr>
                <w:rFonts w:asciiTheme="minorEastAsia" w:hAnsiTheme="minorEastAsia" w:eastAsiaTheme="minorEastAsia" w:cstheme="minorEastAsia"/>
              </w:rPr>
            </w:pPr>
            <w:r>
              <w:rPr>
                <w:rFonts w:hint="eastAsia" w:asciiTheme="minorEastAsia" w:hAnsiTheme="minorEastAsia" w:eastAsiaTheme="minorEastAsia" w:cstheme="minorEastAsia"/>
              </w:rPr>
              <w:t>3.3本项目的特定资格要求：竞标人须具备</w:t>
            </w:r>
            <w:r>
              <w:rPr>
                <w:rFonts w:hint="eastAsia" w:asciiTheme="minorEastAsia" w:hAnsiTheme="minorEastAsia" w:eastAsiaTheme="minorEastAsia" w:cstheme="minorEastAsia"/>
                <w:b/>
                <w:bCs/>
                <w:u w:val="single"/>
              </w:rPr>
              <w:t>市政公用工程施工总承包叁级（含以上级）资质或公路工程施工总承包叁级（含以上级）资质</w:t>
            </w:r>
            <w:r>
              <w:rPr>
                <w:rFonts w:hint="eastAsia" w:asciiTheme="minorEastAsia" w:hAnsiTheme="minorEastAsia" w:eastAsiaTheme="minorEastAsia" w:cstheme="minorEastAsia"/>
              </w:rPr>
              <w:t>，并在人员、设备、资金等方面具备相应的施工能力。其中，投标人拟派项目经理须具备</w:t>
            </w:r>
            <w:r>
              <w:rPr>
                <w:rFonts w:hint="eastAsia" w:ascii="宋体" w:hAnsi="宋体" w:cs="宋体"/>
                <w:b/>
                <w:color w:val="000000"/>
              </w:rPr>
              <w:t>市政公用工程专业二级（含以上级）注册建造师或公路工程二级以上（含二级）注册建造师执业资格</w:t>
            </w:r>
            <w:r>
              <w:rPr>
                <w:rFonts w:hint="eastAsia" w:asciiTheme="minorEastAsia" w:hAnsiTheme="minorEastAsia" w:eastAsiaTheme="minorEastAsia" w:cstheme="minorEastAsia"/>
              </w:rPr>
              <w:t>，具备有效的安全生产考核合格证书（B类）。</w:t>
            </w:r>
          </w:p>
          <w:p w14:paraId="747AB4A6">
            <w:pPr>
              <w:spacing w:line="500" w:lineRule="exact"/>
              <w:rPr>
                <w:rFonts w:asciiTheme="minorEastAsia" w:hAnsiTheme="minorEastAsia" w:eastAsiaTheme="minorEastAsia" w:cstheme="minorEastAsia"/>
                <w:bCs/>
                <w:color w:val="000000"/>
              </w:rPr>
            </w:pPr>
            <w:r>
              <w:rPr>
                <w:rFonts w:hint="eastAsia" w:asciiTheme="minorEastAsia" w:hAnsiTheme="minorEastAsia" w:eastAsiaTheme="minorEastAsia" w:cstheme="minorEastAsia"/>
              </w:rPr>
              <w:t>3.4</w:t>
            </w:r>
            <w:r>
              <w:rPr>
                <w:rFonts w:hint="eastAsia" w:asciiTheme="minorEastAsia" w:hAnsiTheme="minorEastAsia" w:eastAsiaTheme="minorEastAsia" w:cstheme="minorEastAsia"/>
                <w:color w:val="000000"/>
              </w:rPr>
              <w:t>专职安全员要求：具备有效的安全生产考核合格证书（C类），人数符合住房和城乡建设部《建筑施工企业安全生产管理机构设置及专职安全生产管理人员配</w:t>
            </w:r>
            <w:r>
              <w:rPr>
                <w:rFonts w:hint="eastAsia" w:asciiTheme="minorEastAsia" w:hAnsiTheme="minorEastAsia" w:eastAsiaTheme="minorEastAsia" w:cstheme="minorEastAsia"/>
                <w:bCs/>
                <w:color w:val="000000"/>
              </w:rPr>
              <w:t>备办法》（建质〔2008〕91号）的规定不少</w:t>
            </w:r>
            <w:r>
              <w:rPr>
                <w:rFonts w:hint="eastAsia" w:asciiTheme="minorEastAsia" w:hAnsiTheme="minorEastAsia" w:eastAsiaTheme="minorEastAsia" w:cstheme="minorEastAsia"/>
                <w:bCs/>
                <w:color w:val="000000"/>
                <w:u w:val="single"/>
              </w:rPr>
              <w:t>1</w:t>
            </w:r>
            <w:r>
              <w:rPr>
                <w:rFonts w:hint="eastAsia" w:asciiTheme="minorEastAsia" w:hAnsiTheme="minorEastAsia" w:eastAsiaTheme="minorEastAsia" w:cstheme="minorEastAsia"/>
                <w:bCs/>
                <w:color w:val="000000"/>
              </w:rPr>
              <w:t>人；</w:t>
            </w:r>
          </w:p>
          <w:p w14:paraId="4053ACF8">
            <w:pPr>
              <w:pStyle w:val="13"/>
            </w:pPr>
            <w:r>
              <w:rPr>
                <w:rFonts w:hint="eastAsia" w:asciiTheme="minorEastAsia" w:hAnsiTheme="minorEastAsia" w:eastAsiaTheme="minorEastAsia" w:cstheme="minorEastAsia"/>
                <w:bCs/>
                <w:color w:val="000000"/>
              </w:rPr>
              <w:t>3.5其他要求：符合市建规(2006)270号文现场人员规定最低要求；</w:t>
            </w:r>
          </w:p>
        </w:tc>
      </w:tr>
      <w:tr w14:paraId="0562B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662" w:type="dxa"/>
            <w:vAlign w:val="center"/>
          </w:tcPr>
          <w:p w14:paraId="4D586EF8">
            <w:pPr>
              <w:spacing w:line="460" w:lineRule="exact"/>
              <w:jc w:val="center"/>
              <w:rPr>
                <w:rFonts w:ascii="宋体" w:hAnsi="宋体" w:cs="宋体"/>
                <w:color w:val="000000"/>
                <w:szCs w:val="21"/>
              </w:rPr>
            </w:pPr>
            <w:r>
              <w:rPr>
                <w:rFonts w:hint="eastAsia" w:ascii="宋体" w:hAnsi="宋体" w:cs="宋体"/>
                <w:color w:val="000000"/>
                <w:szCs w:val="21"/>
              </w:rPr>
              <w:t>3</w:t>
            </w:r>
          </w:p>
        </w:tc>
        <w:tc>
          <w:tcPr>
            <w:tcW w:w="942" w:type="dxa"/>
            <w:vAlign w:val="center"/>
          </w:tcPr>
          <w:p w14:paraId="7BF9B303">
            <w:pPr>
              <w:spacing w:line="460" w:lineRule="exact"/>
              <w:jc w:val="center"/>
              <w:rPr>
                <w:rFonts w:ascii="宋体" w:hAnsi="宋体" w:cs="宋体"/>
                <w:color w:val="000000"/>
                <w:szCs w:val="21"/>
              </w:rPr>
            </w:pPr>
            <w:r>
              <w:rPr>
                <w:rFonts w:hint="eastAsia" w:ascii="宋体" w:hAnsi="宋体" w:cs="宋体"/>
                <w:color w:val="000000"/>
                <w:szCs w:val="21"/>
              </w:rPr>
              <w:t>4</w:t>
            </w:r>
          </w:p>
        </w:tc>
        <w:tc>
          <w:tcPr>
            <w:tcW w:w="1775" w:type="dxa"/>
            <w:vAlign w:val="center"/>
          </w:tcPr>
          <w:p w14:paraId="6D3B7163">
            <w:pPr>
              <w:spacing w:line="460" w:lineRule="exact"/>
              <w:jc w:val="center"/>
              <w:rPr>
                <w:rFonts w:ascii="宋体" w:hAnsi="宋体" w:cs="宋体"/>
                <w:color w:val="000000"/>
                <w:szCs w:val="21"/>
              </w:rPr>
            </w:pPr>
            <w:r>
              <w:rPr>
                <w:rFonts w:hint="eastAsia" w:ascii="宋体" w:hAnsi="宋体" w:cs="宋体"/>
                <w:color w:val="000000"/>
                <w:szCs w:val="21"/>
              </w:rPr>
              <w:t>磋商费用</w:t>
            </w:r>
          </w:p>
        </w:tc>
        <w:tc>
          <w:tcPr>
            <w:tcW w:w="6405" w:type="dxa"/>
            <w:vAlign w:val="center"/>
          </w:tcPr>
          <w:p w14:paraId="58EA3157">
            <w:pPr>
              <w:spacing w:line="460" w:lineRule="exact"/>
              <w:rPr>
                <w:rFonts w:ascii="宋体" w:hAnsi="宋体" w:cs="宋体"/>
                <w:color w:val="000000"/>
                <w:szCs w:val="21"/>
              </w:rPr>
            </w:pPr>
            <w:r>
              <w:rPr>
                <w:rFonts w:hint="eastAsia" w:ascii="宋体" w:hAnsi="宋体" w:cs="宋体"/>
                <w:color w:val="000000"/>
                <w:szCs w:val="21"/>
              </w:rPr>
              <w:t xml:space="preserve">不论磋商结果如何，供应商均应自行承担所有与磋商有关的全部费用。 </w:t>
            </w:r>
          </w:p>
        </w:tc>
      </w:tr>
      <w:tr w14:paraId="3C4F8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jc w:val="center"/>
        </w:trPr>
        <w:tc>
          <w:tcPr>
            <w:tcW w:w="662" w:type="dxa"/>
            <w:vAlign w:val="center"/>
          </w:tcPr>
          <w:p w14:paraId="28BF99CF">
            <w:pPr>
              <w:spacing w:line="460" w:lineRule="exact"/>
              <w:jc w:val="center"/>
              <w:rPr>
                <w:rFonts w:ascii="宋体" w:hAnsi="宋体" w:cs="宋体"/>
                <w:color w:val="000000"/>
                <w:szCs w:val="21"/>
              </w:rPr>
            </w:pPr>
            <w:r>
              <w:rPr>
                <w:rFonts w:hint="eastAsia" w:ascii="宋体" w:hAnsi="宋体" w:cs="宋体"/>
                <w:color w:val="000000"/>
                <w:szCs w:val="21"/>
              </w:rPr>
              <w:t>4</w:t>
            </w:r>
          </w:p>
        </w:tc>
        <w:tc>
          <w:tcPr>
            <w:tcW w:w="942" w:type="dxa"/>
            <w:vAlign w:val="center"/>
          </w:tcPr>
          <w:p w14:paraId="050319C5">
            <w:pPr>
              <w:spacing w:line="460" w:lineRule="exact"/>
              <w:jc w:val="center"/>
              <w:rPr>
                <w:rFonts w:ascii="宋体" w:hAnsi="宋体" w:cs="宋体"/>
                <w:color w:val="000000"/>
                <w:position w:val="-2"/>
                <w:szCs w:val="21"/>
              </w:rPr>
            </w:pPr>
            <w:r>
              <w:rPr>
                <w:rFonts w:hint="eastAsia" w:ascii="宋体" w:hAnsi="宋体" w:cs="宋体"/>
                <w:color w:val="000000"/>
                <w:position w:val="-2"/>
                <w:szCs w:val="21"/>
              </w:rPr>
              <w:t>13</w:t>
            </w:r>
          </w:p>
        </w:tc>
        <w:tc>
          <w:tcPr>
            <w:tcW w:w="1775" w:type="dxa"/>
            <w:vAlign w:val="center"/>
          </w:tcPr>
          <w:p w14:paraId="2A705310">
            <w:pPr>
              <w:spacing w:line="460" w:lineRule="exact"/>
              <w:jc w:val="center"/>
              <w:rPr>
                <w:rFonts w:ascii="宋体" w:hAnsi="宋体" w:cs="宋体"/>
                <w:color w:val="000000"/>
                <w:position w:val="-2"/>
                <w:szCs w:val="21"/>
              </w:rPr>
            </w:pPr>
            <w:r>
              <w:rPr>
                <w:rFonts w:hint="eastAsia" w:ascii="宋体" w:hAnsi="宋体" w:cs="宋体"/>
                <w:color w:val="000000"/>
                <w:szCs w:val="21"/>
              </w:rPr>
              <w:t>磋商报价及采购预算金额</w:t>
            </w:r>
          </w:p>
        </w:tc>
        <w:tc>
          <w:tcPr>
            <w:tcW w:w="6405" w:type="dxa"/>
            <w:vAlign w:val="center"/>
          </w:tcPr>
          <w:p w14:paraId="5C5EC55C">
            <w:pPr>
              <w:spacing w:line="360" w:lineRule="auto"/>
              <w:outlineLvl w:val="2"/>
              <w:rPr>
                <w:rFonts w:ascii="宋体" w:hAnsi="宋体"/>
                <w:color w:val="000000" w:themeColor="text1"/>
                <w:kern w:val="0"/>
                <w:szCs w:val="21"/>
                <w14:textFill>
                  <w14:solidFill>
                    <w14:schemeClr w14:val="tx1"/>
                  </w14:solidFill>
                </w14:textFill>
              </w:rPr>
            </w:pPr>
            <w:r>
              <w:rPr>
                <w:rFonts w:hint="eastAsia" w:ascii="宋体" w:hAnsi="宋体" w:cs="宋体"/>
                <w:color w:val="000000"/>
                <w:szCs w:val="21"/>
              </w:rPr>
              <w:t>13.1 磋商报价应按磋商文件</w:t>
            </w:r>
            <w:r>
              <w:rPr>
                <w:rFonts w:hint="eastAsia" w:ascii="宋体" w:hAnsi="宋体" w:cs="宋体"/>
                <w:color w:val="000000" w:themeColor="text1"/>
                <w:szCs w:val="21"/>
                <w14:textFill>
                  <w14:solidFill>
                    <w14:schemeClr w14:val="tx1"/>
                  </w14:solidFill>
                </w14:textFill>
              </w:rPr>
              <w:t>中相关附表格式填写。磋商报价应按磋商文件中相关附表格式填写。</w:t>
            </w:r>
            <w:r>
              <w:rPr>
                <w:rFonts w:hint="eastAsia" w:ascii="宋体" w:hAnsi="宋体"/>
                <w:color w:val="000000" w:themeColor="text1"/>
                <w:kern w:val="0"/>
                <w:szCs w:val="21"/>
                <w14:textFill>
                  <w14:solidFill>
                    <w14:schemeClr w14:val="tx1"/>
                  </w14:solidFill>
                </w14:textFill>
              </w:rPr>
              <w:t>预算金额（人民币）：</w:t>
            </w:r>
            <w:r>
              <w:rPr>
                <w:rFonts w:hint="eastAsia" w:ascii="宋体" w:hAnsi="宋体" w:cs="宋体"/>
                <w:szCs w:val="21"/>
                <w:lang w:eastAsia="zh-CN"/>
              </w:rPr>
              <w:t>陆拾捌万叁仟伍佰壹拾玖元整（¥683519.00元）</w:t>
            </w:r>
            <w:r>
              <w:rPr>
                <w:rFonts w:hint="eastAsia" w:ascii="宋体" w:hAnsi="宋体"/>
                <w:color w:val="000000" w:themeColor="text1"/>
                <w:kern w:val="0"/>
                <w:szCs w:val="21"/>
                <w14:textFill>
                  <w14:solidFill>
                    <w14:schemeClr w14:val="tx1"/>
                  </w14:solidFill>
                </w14:textFill>
              </w:rPr>
              <w:t>；最高限价（人民币）：</w:t>
            </w:r>
            <w:r>
              <w:rPr>
                <w:rFonts w:hint="eastAsia" w:ascii="宋体" w:hAnsi="宋体"/>
                <w:color w:val="000000" w:themeColor="text1"/>
                <w:kern w:val="0"/>
                <w:szCs w:val="21"/>
                <w:lang w:eastAsia="zh-CN"/>
                <w14:textFill>
                  <w14:solidFill>
                    <w14:schemeClr w14:val="tx1"/>
                  </w14:solidFill>
                </w14:textFill>
              </w:rPr>
              <w:t>陆拾捌万叁仟伍佰壹拾玖元整（¥683519.00元）</w:t>
            </w:r>
            <w:r>
              <w:rPr>
                <w:rFonts w:hint="eastAsia" w:ascii="宋体" w:hAnsi="宋体"/>
                <w:color w:val="000000" w:themeColor="text1"/>
                <w:kern w:val="0"/>
                <w:szCs w:val="21"/>
                <w14:textFill>
                  <w14:solidFill>
                    <w14:schemeClr w14:val="tx1"/>
                  </w14:solidFill>
                </w14:textFill>
              </w:rPr>
              <w:t>。报价超过最高限价金额的，响应文件按无效处理。</w:t>
            </w:r>
            <w:r>
              <w:rPr>
                <w:rFonts w:ascii="宋体" w:hAnsi="宋体" w:cs="宋体"/>
                <w:color w:val="000000"/>
                <w:kern w:val="0"/>
                <w:szCs w:val="21"/>
              </w:rPr>
              <w:t> </w:t>
            </w:r>
          </w:p>
          <w:p w14:paraId="35A503F6">
            <w:pPr>
              <w:snapToGrid w:val="0"/>
              <w:spacing w:line="360" w:lineRule="auto"/>
              <w:jc w:val="left"/>
              <w:rPr>
                <w:rFonts w:ascii="宋体" w:hAnsi="宋体" w:cs="宋体"/>
                <w:color w:val="000000"/>
                <w:szCs w:val="21"/>
              </w:rPr>
            </w:pPr>
            <w:r>
              <w:rPr>
                <w:rFonts w:hint="eastAsia" w:ascii="宋体" w:hAnsi="宋体" w:cs="宋体"/>
                <w:color w:val="000000"/>
                <w:szCs w:val="21"/>
              </w:rPr>
              <w:t>13.2供应商必须就“工程量清单”中所有内容作完整唯一报价，否则，其响应文件无效；响应文件只允许有一个报价，有选择的或有条件的报价将不予接受。</w:t>
            </w:r>
          </w:p>
          <w:p w14:paraId="0312EB26">
            <w:pPr>
              <w:snapToGrid w:val="0"/>
              <w:spacing w:line="360" w:lineRule="auto"/>
              <w:jc w:val="left"/>
              <w:rPr>
                <w:rFonts w:ascii="宋体" w:hAnsi="宋体" w:cs="宋体"/>
                <w:color w:val="000000"/>
                <w:szCs w:val="21"/>
              </w:rPr>
            </w:pPr>
            <w:r>
              <w:rPr>
                <w:rFonts w:hint="eastAsia" w:ascii="宋体" w:hAnsi="宋体" w:cs="宋体"/>
                <w:color w:val="000000"/>
                <w:szCs w:val="21"/>
              </w:rPr>
              <w:t>13.4</w:t>
            </w:r>
            <w:r>
              <w:rPr>
                <w:rFonts w:hint="eastAsia" w:ascii="宋体" w:hAnsi="宋体" w:cs="宋体"/>
                <w:color w:val="000000"/>
                <w:kern w:val="0"/>
                <w:szCs w:val="21"/>
              </w:rPr>
              <w:t>供应商应在规定时间内在政采云系统上提交最后报价，超出磋商小组设定的最后报价时限或其最后报价超出采购预算导致已通过评审的响应文件无效的，按供应商在提交响应文件截止时间后撤回响应文件处理。</w:t>
            </w:r>
          </w:p>
        </w:tc>
      </w:tr>
      <w:tr w14:paraId="0B229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jc w:val="center"/>
        </w:trPr>
        <w:tc>
          <w:tcPr>
            <w:tcW w:w="662" w:type="dxa"/>
            <w:vAlign w:val="center"/>
          </w:tcPr>
          <w:p w14:paraId="6A87EA84">
            <w:pPr>
              <w:spacing w:line="460" w:lineRule="exact"/>
              <w:jc w:val="center"/>
              <w:rPr>
                <w:rFonts w:ascii="宋体" w:hAnsi="宋体" w:cs="宋体"/>
                <w:color w:val="000000"/>
                <w:szCs w:val="21"/>
              </w:rPr>
            </w:pPr>
            <w:r>
              <w:rPr>
                <w:rFonts w:hint="eastAsia" w:ascii="宋体" w:hAnsi="宋体" w:cs="宋体"/>
                <w:color w:val="000000"/>
                <w:szCs w:val="21"/>
              </w:rPr>
              <w:t>5</w:t>
            </w:r>
          </w:p>
        </w:tc>
        <w:tc>
          <w:tcPr>
            <w:tcW w:w="942" w:type="dxa"/>
            <w:vAlign w:val="center"/>
          </w:tcPr>
          <w:p w14:paraId="567CB28E">
            <w:pPr>
              <w:spacing w:line="460" w:lineRule="exact"/>
              <w:jc w:val="center"/>
              <w:rPr>
                <w:rFonts w:ascii="宋体" w:hAnsi="宋体" w:cs="宋体"/>
                <w:position w:val="-2"/>
                <w:szCs w:val="21"/>
              </w:rPr>
            </w:pPr>
            <w:r>
              <w:rPr>
                <w:rFonts w:hint="eastAsia" w:ascii="宋体" w:hAnsi="宋体" w:cs="宋体"/>
                <w:position w:val="-2"/>
                <w:szCs w:val="21"/>
              </w:rPr>
              <w:t>3</w:t>
            </w:r>
            <w:r>
              <w:rPr>
                <w:rFonts w:ascii="宋体" w:hAnsi="宋体" w:cs="宋体"/>
                <w:position w:val="-2"/>
                <w:szCs w:val="21"/>
              </w:rPr>
              <w:t>.4</w:t>
            </w:r>
          </w:p>
        </w:tc>
        <w:tc>
          <w:tcPr>
            <w:tcW w:w="1775" w:type="dxa"/>
            <w:vAlign w:val="center"/>
          </w:tcPr>
          <w:p w14:paraId="4127E216">
            <w:pPr>
              <w:spacing w:line="460" w:lineRule="exact"/>
              <w:jc w:val="center"/>
              <w:rPr>
                <w:rFonts w:ascii="宋体" w:hAnsi="宋体" w:cs="宋体"/>
                <w:szCs w:val="21"/>
              </w:rPr>
            </w:pPr>
            <w:r>
              <w:rPr>
                <w:rFonts w:hint="eastAsia" w:ascii="宋体" w:hAnsi="宋体" w:cs="宋体"/>
                <w:szCs w:val="21"/>
              </w:rPr>
              <w:t>要求工期</w:t>
            </w:r>
          </w:p>
        </w:tc>
        <w:tc>
          <w:tcPr>
            <w:tcW w:w="6405" w:type="dxa"/>
            <w:vAlign w:val="center"/>
          </w:tcPr>
          <w:p w14:paraId="4A5D8D91">
            <w:pPr>
              <w:spacing w:line="360" w:lineRule="auto"/>
              <w:outlineLvl w:val="2"/>
              <w:rPr>
                <w:rFonts w:ascii="宋体" w:hAnsi="宋体" w:cs="宋体"/>
                <w:szCs w:val="21"/>
              </w:rPr>
            </w:pPr>
            <w:r>
              <w:rPr>
                <w:rFonts w:ascii="宋体" w:hAnsi="宋体" w:cs="宋体"/>
                <w:u w:val="single"/>
              </w:rPr>
              <w:t>90</w:t>
            </w:r>
            <w:r>
              <w:rPr>
                <w:rFonts w:hint="eastAsia" w:ascii="宋体" w:hAnsi="宋体" w:cs="宋体"/>
              </w:rPr>
              <w:t>日历天。</w:t>
            </w:r>
          </w:p>
        </w:tc>
      </w:tr>
      <w:tr w14:paraId="47D36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jc w:val="center"/>
        </w:trPr>
        <w:tc>
          <w:tcPr>
            <w:tcW w:w="662" w:type="dxa"/>
            <w:vAlign w:val="center"/>
          </w:tcPr>
          <w:p w14:paraId="40CE02D2">
            <w:pPr>
              <w:spacing w:line="460" w:lineRule="exact"/>
              <w:jc w:val="center"/>
              <w:rPr>
                <w:rFonts w:ascii="宋体" w:hAnsi="宋体" w:cs="宋体"/>
                <w:color w:val="000000"/>
                <w:szCs w:val="21"/>
              </w:rPr>
            </w:pPr>
            <w:r>
              <w:rPr>
                <w:rFonts w:hint="eastAsia" w:ascii="宋体" w:hAnsi="宋体" w:cs="宋体"/>
                <w:color w:val="000000"/>
                <w:szCs w:val="21"/>
              </w:rPr>
              <w:t>6</w:t>
            </w:r>
          </w:p>
        </w:tc>
        <w:tc>
          <w:tcPr>
            <w:tcW w:w="942" w:type="dxa"/>
            <w:vAlign w:val="center"/>
          </w:tcPr>
          <w:p w14:paraId="5435B690">
            <w:pPr>
              <w:spacing w:line="460" w:lineRule="exact"/>
              <w:jc w:val="center"/>
              <w:rPr>
                <w:rFonts w:ascii="宋体" w:hAnsi="宋体" w:cs="宋体"/>
                <w:position w:val="-2"/>
                <w:szCs w:val="21"/>
              </w:rPr>
            </w:pPr>
            <w:r>
              <w:rPr>
                <w:rFonts w:hint="eastAsia" w:ascii="宋体" w:hAnsi="宋体" w:cs="宋体"/>
                <w:position w:val="-2"/>
                <w:szCs w:val="21"/>
              </w:rPr>
              <w:t>3</w:t>
            </w:r>
            <w:r>
              <w:rPr>
                <w:rFonts w:ascii="宋体" w:hAnsi="宋体" w:cs="宋体"/>
                <w:position w:val="-2"/>
                <w:szCs w:val="21"/>
              </w:rPr>
              <w:t>.5</w:t>
            </w:r>
          </w:p>
        </w:tc>
        <w:tc>
          <w:tcPr>
            <w:tcW w:w="1775" w:type="dxa"/>
            <w:vAlign w:val="center"/>
          </w:tcPr>
          <w:p w14:paraId="23C0FF91">
            <w:pPr>
              <w:spacing w:line="460" w:lineRule="exact"/>
              <w:jc w:val="center"/>
              <w:rPr>
                <w:rFonts w:ascii="宋体" w:hAnsi="宋体" w:cs="宋体"/>
                <w:szCs w:val="21"/>
              </w:rPr>
            </w:pPr>
            <w:r>
              <w:rPr>
                <w:rFonts w:hint="eastAsia" w:ascii="宋体" w:hAnsi="宋体" w:cs="宋体"/>
                <w:szCs w:val="21"/>
              </w:rPr>
              <w:t>工程质量要求</w:t>
            </w:r>
          </w:p>
        </w:tc>
        <w:tc>
          <w:tcPr>
            <w:tcW w:w="6405" w:type="dxa"/>
            <w:vAlign w:val="center"/>
          </w:tcPr>
          <w:p w14:paraId="0EAFC8F8">
            <w:pPr>
              <w:spacing w:line="360" w:lineRule="auto"/>
              <w:outlineLvl w:val="2"/>
              <w:rPr>
                <w:rFonts w:ascii="宋体" w:hAnsi="宋体" w:cs="宋体"/>
              </w:rPr>
            </w:pPr>
            <w:r>
              <w:rPr>
                <w:rFonts w:hint="eastAsia" w:ascii="宋体" w:hAnsi="宋体" w:cs="宋体"/>
              </w:rPr>
              <w:t>合格</w:t>
            </w:r>
          </w:p>
        </w:tc>
      </w:tr>
      <w:tr w14:paraId="2AA0D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jc w:val="center"/>
        </w:trPr>
        <w:tc>
          <w:tcPr>
            <w:tcW w:w="662" w:type="dxa"/>
            <w:vAlign w:val="center"/>
          </w:tcPr>
          <w:p w14:paraId="71411CC5">
            <w:pPr>
              <w:spacing w:line="460" w:lineRule="exact"/>
              <w:jc w:val="center"/>
              <w:rPr>
                <w:rFonts w:ascii="宋体" w:hAnsi="宋体" w:cs="宋体"/>
                <w:color w:val="000000"/>
                <w:szCs w:val="21"/>
              </w:rPr>
            </w:pPr>
            <w:r>
              <w:rPr>
                <w:rFonts w:ascii="宋体" w:hAnsi="宋体" w:cs="宋体"/>
                <w:color w:val="000000"/>
                <w:szCs w:val="21"/>
              </w:rPr>
              <w:t>7</w:t>
            </w:r>
          </w:p>
        </w:tc>
        <w:tc>
          <w:tcPr>
            <w:tcW w:w="942" w:type="dxa"/>
            <w:vAlign w:val="center"/>
          </w:tcPr>
          <w:p w14:paraId="092B0471">
            <w:pPr>
              <w:spacing w:line="460" w:lineRule="exact"/>
              <w:jc w:val="center"/>
              <w:rPr>
                <w:rFonts w:ascii="宋体" w:hAnsi="宋体" w:cs="宋体"/>
                <w:color w:val="000000"/>
                <w:position w:val="-2"/>
                <w:szCs w:val="21"/>
              </w:rPr>
            </w:pPr>
            <w:r>
              <w:rPr>
                <w:rFonts w:hint="eastAsia" w:ascii="宋体" w:hAnsi="宋体" w:cs="宋体"/>
                <w:color w:val="000000"/>
                <w:position w:val="-2"/>
                <w:szCs w:val="21"/>
              </w:rPr>
              <w:t>14.1</w:t>
            </w:r>
          </w:p>
        </w:tc>
        <w:tc>
          <w:tcPr>
            <w:tcW w:w="1775" w:type="dxa"/>
            <w:vAlign w:val="center"/>
          </w:tcPr>
          <w:p w14:paraId="1AC17570">
            <w:pPr>
              <w:spacing w:line="460" w:lineRule="exact"/>
              <w:jc w:val="center"/>
              <w:rPr>
                <w:rFonts w:ascii="宋体" w:hAnsi="宋体" w:cs="宋体"/>
                <w:color w:val="000000"/>
                <w:position w:val="-2"/>
                <w:szCs w:val="21"/>
              </w:rPr>
            </w:pPr>
            <w:r>
              <w:rPr>
                <w:rFonts w:hint="eastAsia" w:ascii="宋体" w:hAnsi="宋体" w:cs="宋体"/>
                <w:color w:val="000000"/>
                <w:position w:val="-2"/>
                <w:szCs w:val="21"/>
              </w:rPr>
              <w:t>响应文件有效期</w:t>
            </w:r>
          </w:p>
        </w:tc>
        <w:tc>
          <w:tcPr>
            <w:tcW w:w="6405" w:type="dxa"/>
          </w:tcPr>
          <w:p w14:paraId="2470F84D">
            <w:pPr>
              <w:tabs>
                <w:tab w:val="left" w:pos="1305"/>
              </w:tabs>
              <w:spacing w:line="460" w:lineRule="exact"/>
              <w:rPr>
                <w:rFonts w:ascii="宋体" w:hAnsi="宋体" w:cs="宋体"/>
                <w:color w:val="000000"/>
                <w:szCs w:val="21"/>
              </w:rPr>
            </w:pPr>
            <w:r>
              <w:rPr>
                <w:rFonts w:hint="eastAsia" w:ascii="宋体" w:hAnsi="宋体" w:cs="宋体"/>
                <w:color w:val="000000"/>
                <w:szCs w:val="21"/>
              </w:rPr>
              <w:t>响应文件递交截止时间之日起90天。</w:t>
            </w:r>
          </w:p>
        </w:tc>
      </w:tr>
      <w:tr w14:paraId="54FD4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jc w:val="center"/>
        </w:trPr>
        <w:tc>
          <w:tcPr>
            <w:tcW w:w="662" w:type="dxa"/>
            <w:vAlign w:val="center"/>
          </w:tcPr>
          <w:p w14:paraId="68E9E723">
            <w:pPr>
              <w:spacing w:line="460" w:lineRule="exact"/>
              <w:jc w:val="center"/>
              <w:rPr>
                <w:rFonts w:ascii="宋体" w:hAnsi="宋体" w:cs="宋体"/>
                <w:color w:val="000000"/>
                <w:szCs w:val="21"/>
              </w:rPr>
            </w:pPr>
            <w:r>
              <w:rPr>
                <w:rFonts w:ascii="宋体" w:hAnsi="宋体" w:cs="宋体"/>
                <w:color w:val="000000"/>
                <w:szCs w:val="21"/>
              </w:rPr>
              <w:t>8</w:t>
            </w:r>
          </w:p>
        </w:tc>
        <w:tc>
          <w:tcPr>
            <w:tcW w:w="942" w:type="dxa"/>
            <w:vAlign w:val="center"/>
          </w:tcPr>
          <w:p w14:paraId="74DF3807">
            <w:pPr>
              <w:spacing w:line="460" w:lineRule="exact"/>
              <w:jc w:val="center"/>
              <w:rPr>
                <w:rFonts w:ascii="宋体" w:hAnsi="宋体" w:cs="宋体"/>
                <w:color w:val="000000"/>
                <w:position w:val="-2"/>
                <w:szCs w:val="21"/>
              </w:rPr>
            </w:pPr>
            <w:r>
              <w:rPr>
                <w:rFonts w:hint="eastAsia" w:ascii="宋体" w:hAnsi="宋体" w:cs="宋体"/>
                <w:color w:val="000000"/>
                <w:position w:val="-2"/>
                <w:szCs w:val="21"/>
              </w:rPr>
              <w:t>15</w:t>
            </w:r>
          </w:p>
        </w:tc>
        <w:tc>
          <w:tcPr>
            <w:tcW w:w="1775" w:type="dxa"/>
            <w:vAlign w:val="center"/>
          </w:tcPr>
          <w:p w14:paraId="7FBA6E0F">
            <w:pPr>
              <w:spacing w:line="460" w:lineRule="exact"/>
              <w:jc w:val="center"/>
              <w:rPr>
                <w:rFonts w:ascii="宋体" w:hAnsi="宋体" w:cs="宋体"/>
                <w:color w:val="000000"/>
                <w:position w:val="-2"/>
                <w:szCs w:val="21"/>
              </w:rPr>
            </w:pPr>
            <w:r>
              <w:rPr>
                <w:rFonts w:hint="eastAsia" w:ascii="宋体" w:hAnsi="宋体" w:cs="宋体"/>
                <w:color w:val="000000"/>
                <w:position w:val="-2"/>
                <w:szCs w:val="21"/>
              </w:rPr>
              <w:t>保证金</w:t>
            </w:r>
          </w:p>
        </w:tc>
        <w:tc>
          <w:tcPr>
            <w:tcW w:w="6405" w:type="dxa"/>
          </w:tcPr>
          <w:p w14:paraId="7A93AEB3">
            <w:pPr>
              <w:tabs>
                <w:tab w:val="left" w:pos="1305"/>
              </w:tabs>
              <w:spacing w:line="460" w:lineRule="exact"/>
              <w:rPr>
                <w:rFonts w:ascii="宋体" w:hAnsi="宋体" w:cs="宋体"/>
                <w:color w:val="000000"/>
                <w:szCs w:val="21"/>
              </w:rPr>
            </w:pPr>
            <w:r>
              <w:rPr>
                <w:rFonts w:hint="eastAsia" w:ascii="宋体" w:hAnsi="宋体" w:cs="宋体"/>
                <w:color w:val="000000"/>
                <w:szCs w:val="21"/>
              </w:rPr>
              <w:t>本项目无需交纳磋商保证金。</w:t>
            </w:r>
          </w:p>
        </w:tc>
      </w:tr>
      <w:tr w14:paraId="2D286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jc w:val="center"/>
        </w:trPr>
        <w:tc>
          <w:tcPr>
            <w:tcW w:w="662" w:type="dxa"/>
            <w:vAlign w:val="center"/>
          </w:tcPr>
          <w:p w14:paraId="263842CF">
            <w:pPr>
              <w:spacing w:line="460" w:lineRule="exact"/>
              <w:jc w:val="center"/>
              <w:rPr>
                <w:rFonts w:ascii="宋体" w:hAnsi="宋体" w:cs="宋体"/>
                <w:color w:val="000000"/>
                <w:szCs w:val="21"/>
              </w:rPr>
            </w:pPr>
            <w:r>
              <w:rPr>
                <w:rFonts w:ascii="宋体" w:hAnsi="宋体" w:cs="宋体"/>
                <w:color w:val="000000"/>
                <w:szCs w:val="21"/>
              </w:rPr>
              <w:t>9</w:t>
            </w:r>
          </w:p>
        </w:tc>
        <w:tc>
          <w:tcPr>
            <w:tcW w:w="942" w:type="dxa"/>
            <w:vAlign w:val="center"/>
          </w:tcPr>
          <w:p w14:paraId="6C3C31E9">
            <w:pPr>
              <w:spacing w:line="460" w:lineRule="exact"/>
              <w:jc w:val="center"/>
              <w:rPr>
                <w:rFonts w:ascii="宋体" w:hAnsi="宋体" w:cs="宋体"/>
                <w:color w:val="000000"/>
                <w:szCs w:val="21"/>
              </w:rPr>
            </w:pPr>
            <w:r>
              <w:rPr>
                <w:rFonts w:hint="eastAsia" w:ascii="宋体" w:hAnsi="宋体" w:cs="宋体"/>
                <w:color w:val="000000"/>
                <w:szCs w:val="21"/>
              </w:rPr>
              <w:t>16</w:t>
            </w:r>
          </w:p>
        </w:tc>
        <w:tc>
          <w:tcPr>
            <w:tcW w:w="1775" w:type="dxa"/>
            <w:vAlign w:val="center"/>
          </w:tcPr>
          <w:p w14:paraId="6CB9F98C">
            <w:pPr>
              <w:keepNext/>
              <w:keepLines/>
              <w:spacing w:line="460" w:lineRule="exact"/>
              <w:jc w:val="center"/>
              <w:rPr>
                <w:rFonts w:ascii="宋体" w:hAnsi="宋体" w:cs="宋体"/>
                <w:color w:val="000000"/>
                <w:szCs w:val="21"/>
              </w:rPr>
            </w:pPr>
            <w:bookmarkStart w:id="78" w:name="_Toc19911"/>
            <w:bookmarkStart w:id="79" w:name="_Toc27452"/>
            <w:bookmarkStart w:id="80" w:name="_Toc20646"/>
            <w:r>
              <w:rPr>
                <w:rFonts w:hint="eastAsia" w:ascii="宋体" w:hAnsi="宋体" w:cs="宋体"/>
                <w:bCs/>
                <w:color w:val="000000"/>
                <w:szCs w:val="21"/>
              </w:rPr>
              <w:t>竞争性磋商响应文件的制作</w:t>
            </w:r>
            <w:bookmarkEnd w:id="78"/>
            <w:bookmarkEnd w:id="79"/>
            <w:bookmarkEnd w:id="80"/>
          </w:p>
        </w:tc>
        <w:tc>
          <w:tcPr>
            <w:tcW w:w="6405" w:type="dxa"/>
            <w:vAlign w:val="center"/>
          </w:tcPr>
          <w:p w14:paraId="0328231D">
            <w:pPr>
              <w:spacing w:line="460" w:lineRule="exact"/>
              <w:rPr>
                <w:rFonts w:ascii="宋体" w:hAnsi="宋体" w:cs="宋体"/>
                <w:color w:val="000000"/>
                <w:szCs w:val="21"/>
              </w:rPr>
            </w:pPr>
            <w:r>
              <w:rPr>
                <w:rFonts w:hint="eastAsia" w:ascii="宋体" w:hAnsi="宋体" w:cs="宋体"/>
                <w:color w:val="000000"/>
                <w:szCs w:val="21"/>
              </w:rPr>
              <w:t>16.1 电子磋商响应文件中须加盖供应商公章部分均采用 CA 签章，并根据“政府采购项目电子交易管理操作指南-供应商”及本磋商文件规定的格式和顺序编制电子磋商响应文件并进行关联定位，以便磋商小组在评审时，点击评分项可直接定位到该评分项内容。如对磋商文件的某项要求，供应商的电子磋商响应文件未能关联定位提供相应的内容与其对应，则磋商小组在评审时如做出对供应商不利的评审由供应商自行承担。电子磋商响应文件如内容不完整、编排混乱导致磋商响应文件被误读、 漏读，或者在按采购文件规定的部位查找不到相关内容的，由供应商自行承担。</w:t>
            </w:r>
          </w:p>
          <w:p w14:paraId="5C058BFC">
            <w:pPr>
              <w:spacing w:line="460" w:lineRule="exact"/>
              <w:rPr>
                <w:rFonts w:ascii="宋体" w:hAnsi="宋体" w:cs="宋体"/>
                <w:szCs w:val="21"/>
              </w:rPr>
            </w:pPr>
            <w:r>
              <w:rPr>
                <w:rFonts w:hint="eastAsia" w:ascii="宋体" w:hAnsi="宋体" w:cs="宋体"/>
                <w:szCs w:val="21"/>
              </w:rPr>
              <w:t>16.2供应商法人（负责人）或授权代表持有政采云个人CA签章的，应在响应文件中涉及到签字的位置使用个人CA签章，没有办理政采云个人CA签章的可在响应文件中涉及到签字的位置手写签字后扫描或者拍照做成 PDF 的格式上传即可。</w:t>
            </w:r>
          </w:p>
          <w:p w14:paraId="67DBF932">
            <w:pPr>
              <w:spacing w:line="460" w:lineRule="exact"/>
              <w:rPr>
                <w:rFonts w:ascii="宋体" w:hAnsi="宋体" w:cs="宋体"/>
                <w:color w:val="000000"/>
                <w:szCs w:val="21"/>
              </w:rPr>
            </w:pPr>
            <w:r>
              <w:rPr>
                <w:rFonts w:hint="eastAsia" w:ascii="宋体" w:hAnsi="宋体" w:cs="宋体"/>
                <w:color w:val="000000"/>
                <w:szCs w:val="21"/>
              </w:rPr>
              <w:t>16.3 磋商响应文件不得涂改，若有修改错漏处，须法定代表人（负责人）或授权委托人签字</w:t>
            </w:r>
            <w:r>
              <w:rPr>
                <w:rFonts w:hint="eastAsia" w:ascii="宋体" w:hAnsi="宋体" w:cs="宋体"/>
                <w:szCs w:val="21"/>
              </w:rPr>
              <w:t>（或个人CA签章）</w:t>
            </w:r>
            <w:r>
              <w:rPr>
                <w:rFonts w:hint="eastAsia" w:ascii="宋体" w:hAnsi="宋体" w:cs="宋体"/>
                <w:color w:val="000000"/>
                <w:szCs w:val="21"/>
              </w:rPr>
              <w:t>。磋商响应文件因字迹潦草或表达不清所引起的后果由供应商负责。</w:t>
            </w:r>
          </w:p>
          <w:p w14:paraId="06179996">
            <w:pPr>
              <w:spacing w:line="460" w:lineRule="exact"/>
              <w:rPr>
                <w:rFonts w:ascii="宋体" w:hAnsi="宋体" w:cs="宋体"/>
                <w:color w:val="000000"/>
                <w:szCs w:val="21"/>
              </w:rPr>
            </w:pPr>
            <w:r>
              <w:rPr>
                <w:rFonts w:hint="eastAsia" w:ascii="宋体" w:hAnsi="宋体" w:cs="宋体"/>
                <w:color w:val="000000"/>
                <w:szCs w:val="21"/>
              </w:rPr>
              <w:t xml:space="preserve">16.4磋商前准备 </w:t>
            </w:r>
          </w:p>
          <w:p w14:paraId="182E8CEC">
            <w:pPr>
              <w:spacing w:line="460" w:lineRule="exact"/>
              <w:rPr>
                <w:rFonts w:ascii="宋体" w:hAnsi="宋体" w:cs="宋体"/>
                <w:color w:val="000000"/>
                <w:szCs w:val="21"/>
              </w:rPr>
            </w:pPr>
            <w:r>
              <w:rPr>
                <w:rFonts w:hint="eastAsia" w:ascii="宋体" w:hAnsi="宋体" w:cs="宋体"/>
                <w:color w:val="000000"/>
                <w:szCs w:val="21"/>
              </w:rPr>
              <w:t xml:space="preserve">16.4.1本项目实行在线磋商，采用电子磋商响应文件。若供应商参与磋商，自行承担磋商一切费用。 </w:t>
            </w:r>
          </w:p>
          <w:p w14:paraId="33C21D98">
            <w:pPr>
              <w:spacing w:line="460" w:lineRule="exact"/>
              <w:rPr>
                <w:rFonts w:ascii="宋体" w:hAnsi="宋体" w:cs="宋体"/>
                <w:color w:val="000000"/>
                <w:szCs w:val="21"/>
              </w:rPr>
            </w:pPr>
            <w:r>
              <w:rPr>
                <w:rFonts w:hint="eastAsia" w:ascii="宋体" w:hAnsi="宋体" w:cs="宋体"/>
                <w:color w:val="000000"/>
                <w:szCs w:val="21"/>
              </w:rPr>
              <w:t xml:space="preserve">16.4.2各供应商应在截标前应确保成为政采云平台正式注册入库供应商，并完成 CA 数字证书申领。因未注册入库、未办理 CA 数字证书等原因造成无法磋商或磋商失败等后果由供应商自行承担。 </w:t>
            </w:r>
          </w:p>
          <w:p w14:paraId="5AEC7214">
            <w:pPr>
              <w:spacing w:line="460" w:lineRule="exact"/>
              <w:rPr>
                <w:rFonts w:ascii="宋体" w:hAnsi="宋体" w:cs="宋体"/>
                <w:color w:val="000000"/>
                <w:szCs w:val="21"/>
              </w:rPr>
            </w:pPr>
            <w:r>
              <w:rPr>
                <w:rFonts w:hint="eastAsia" w:ascii="宋体" w:hAnsi="宋体" w:cs="宋体"/>
                <w:color w:val="000000"/>
                <w:szCs w:val="21"/>
              </w:rPr>
              <w:t xml:space="preserve">16.4.3供应商将政采云电子交易客户端下载、安装完成后，可通过账号密码或 CA 登录客户端进行响应文件制作。客户端请至网站下载专区查看，如有问题可拨打政采云客户服务热线 </w:t>
            </w:r>
            <w:r>
              <w:rPr>
                <w:rFonts w:hint="eastAsia" w:ascii="宋体" w:hAnsi="宋体" w:cs="宋体"/>
                <w:color w:val="000000"/>
                <w:szCs w:val="21"/>
                <w:lang w:eastAsia="zh-CN"/>
              </w:rPr>
              <w:t>95763</w:t>
            </w:r>
            <w:r>
              <w:rPr>
                <w:rFonts w:hint="eastAsia" w:ascii="宋体" w:hAnsi="宋体" w:cs="宋体"/>
                <w:color w:val="000000"/>
                <w:szCs w:val="21"/>
              </w:rPr>
              <w:t xml:space="preserve"> 进行咨询。</w:t>
            </w:r>
          </w:p>
        </w:tc>
      </w:tr>
      <w:tr w14:paraId="264AB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jc w:val="center"/>
        </w:trPr>
        <w:tc>
          <w:tcPr>
            <w:tcW w:w="662" w:type="dxa"/>
            <w:vAlign w:val="center"/>
          </w:tcPr>
          <w:p w14:paraId="74CE839A">
            <w:pPr>
              <w:spacing w:line="460" w:lineRule="exact"/>
              <w:jc w:val="center"/>
              <w:rPr>
                <w:rFonts w:ascii="宋体" w:hAnsi="宋体" w:cs="宋体"/>
                <w:color w:val="000000"/>
                <w:szCs w:val="21"/>
              </w:rPr>
            </w:pPr>
            <w:r>
              <w:rPr>
                <w:rFonts w:ascii="宋体" w:hAnsi="宋体" w:cs="宋体"/>
                <w:color w:val="000000"/>
                <w:szCs w:val="21"/>
              </w:rPr>
              <w:t>10</w:t>
            </w:r>
          </w:p>
        </w:tc>
        <w:tc>
          <w:tcPr>
            <w:tcW w:w="942" w:type="dxa"/>
            <w:vAlign w:val="center"/>
          </w:tcPr>
          <w:p w14:paraId="5611906E">
            <w:pPr>
              <w:spacing w:line="460" w:lineRule="exact"/>
              <w:jc w:val="center"/>
              <w:rPr>
                <w:rFonts w:ascii="宋体" w:hAnsi="宋体" w:cs="宋体"/>
                <w:color w:val="000000"/>
                <w:szCs w:val="21"/>
              </w:rPr>
            </w:pPr>
            <w:r>
              <w:rPr>
                <w:rFonts w:hint="eastAsia" w:ascii="宋体" w:hAnsi="宋体" w:cs="宋体"/>
                <w:color w:val="000000"/>
                <w:szCs w:val="21"/>
              </w:rPr>
              <w:t>18.1</w:t>
            </w:r>
          </w:p>
        </w:tc>
        <w:tc>
          <w:tcPr>
            <w:tcW w:w="1775" w:type="dxa"/>
            <w:vAlign w:val="center"/>
          </w:tcPr>
          <w:p w14:paraId="1FD8E92B">
            <w:pPr>
              <w:spacing w:line="460" w:lineRule="exact"/>
              <w:jc w:val="center"/>
              <w:rPr>
                <w:rFonts w:ascii="宋体" w:hAnsi="宋体" w:cs="宋体"/>
                <w:color w:val="000000"/>
                <w:szCs w:val="21"/>
              </w:rPr>
            </w:pPr>
            <w:r>
              <w:rPr>
                <w:rFonts w:hint="eastAsia" w:ascii="宋体" w:hAnsi="宋体" w:cs="宋体"/>
                <w:color w:val="000000"/>
                <w:szCs w:val="21"/>
              </w:rPr>
              <w:t>响应文件递交截止时间</w:t>
            </w:r>
          </w:p>
        </w:tc>
        <w:tc>
          <w:tcPr>
            <w:tcW w:w="6405" w:type="dxa"/>
            <w:vAlign w:val="center"/>
          </w:tcPr>
          <w:p w14:paraId="5B68D1F8">
            <w:pPr>
              <w:spacing w:line="460" w:lineRule="exact"/>
              <w:rPr>
                <w:rFonts w:ascii="宋体" w:hAnsi="宋体" w:cs="宋体"/>
                <w:color w:val="000000"/>
                <w:szCs w:val="21"/>
              </w:rPr>
            </w:pPr>
            <w:r>
              <w:rPr>
                <w:rFonts w:hint="eastAsia" w:ascii="宋体" w:hAnsi="宋体" w:cs="宋体"/>
                <w:color w:val="000000"/>
                <w:szCs w:val="21"/>
                <w:u w:val="single"/>
              </w:rPr>
              <w:t>于</w:t>
            </w:r>
            <w:r>
              <w:rPr>
                <w:rFonts w:hint="eastAsia" w:ascii="宋体" w:hAnsi="宋体" w:cs="宋体"/>
                <w:szCs w:val="21"/>
                <w:u w:val="single"/>
                <w:lang w:eastAsia="zh-CN"/>
              </w:rPr>
              <w:t>2026年09月23日09时00分</w:t>
            </w:r>
            <w:r>
              <w:rPr>
                <w:rFonts w:hint="eastAsia" w:ascii="宋体" w:hAnsi="宋体" w:cs="宋体"/>
                <w:color w:val="000000"/>
                <w:szCs w:val="21"/>
              </w:rPr>
              <w:t>之前将电子磋商响应文件上传到政采云平台。应按照本项目磋商文件和政采云平台的要求编制、加密传输磋商响应文件。供应商在使用系统进行响应的过程中遇到涉及平台使用的任何问题，可致电政采云平台技术支持热线咨询，联系方式</w:t>
            </w:r>
            <w:r>
              <w:rPr>
                <w:rFonts w:hint="eastAsia" w:ascii="宋体" w:hAnsi="宋体" w:cs="宋体"/>
                <w:color w:val="000000"/>
                <w:szCs w:val="21"/>
                <w:lang w:eastAsia="zh-CN"/>
              </w:rPr>
              <w:t>：95763</w:t>
            </w:r>
            <w:r>
              <w:rPr>
                <w:rFonts w:hint="eastAsia" w:ascii="宋体" w:hAnsi="宋体" w:cs="宋体"/>
                <w:color w:val="000000"/>
                <w:szCs w:val="21"/>
              </w:rPr>
              <w:t>。</w:t>
            </w:r>
          </w:p>
        </w:tc>
      </w:tr>
      <w:tr w14:paraId="1CFE5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662" w:type="dxa"/>
            <w:vAlign w:val="center"/>
          </w:tcPr>
          <w:p w14:paraId="00D86C9E">
            <w:pPr>
              <w:spacing w:line="460" w:lineRule="exact"/>
              <w:jc w:val="center"/>
              <w:rPr>
                <w:rFonts w:ascii="宋体" w:hAnsi="宋体" w:cs="宋体"/>
                <w:color w:val="000000"/>
                <w:position w:val="-2"/>
                <w:szCs w:val="21"/>
              </w:rPr>
            </w:pPr>
            <w:r>
              <w:rPr>
                <w:rFonts w:ascii="宋体" w:hAnsi="宋体" w:cs="宋体"/>
                <w:color w:val="000000"/>
                <w:position w:val="-2"/>
                <w:szCs w:val="21"/>
              </w:rPr>
              <w:t>11</w:t>
            </w:r>
          </w:p>
        </w:tc>
        <w:tc>
          <w:tcPr>
            <w:tcW w:w="942" w:type="dxa"/>
            <w:vAlign w:val="center"/>
          </w:tcPr>
          <w:p w14:paraId="2855E3B7">
            <w:pPr>
              <w:spacing w:line="460" w:lineRule="exact"/>
              <w:jc w:val="center"/>
              <w:rPr>
                <w:rFonts w:ascii="宋体" w:hAnsi="宋体" w:cs="宋体"/>
                <w:color w:val="000000"/>
                <w:position w:val="-2"/>
                <w:szCs w:val="21"/>
              </w:rPr>
            </w:pPr>
            <w:r>
              <w:rPr>
                <w:rFonts w:hint="eastAsia" w:ascii="宋体" w:hAnsi="宋体" w:cs="宋体"/>
                <w:color w:val="000000"/>
                <w:position w:val="-2"/>
                <w:szCs w:val="21"/>
              </w:rPr>
              <w:t>18.2</w:t>
            </w:r>
          </w:p>
        </w:tc>
        <w:tc>
          <w:tcPr>
            <w:tcW w:w="1775" w:type="dxa"/>
            <w:vAlign w:val="center"/>
          </w:tcPr>
          <w:p w14:paraId="038B0F16">
            <w:pPr>
              <w:spacing w:line="460" w:lineRule="exact"/>
              <w:jc w:val="center"/>
              <w:rPr>
                <w:rFonts w:ascii="宋体" w:hAnsi="宋体" w:cs="宋体"/>
                <w:color w:val="000000"/>
                <w:position w:val="-2"/>
                <w:szCs w:val="21"/>
              </w:rPr>
            </w:pPr>
            <w:r>
              <w:rPr>
                <w:rFonts w:hint="eastAsia" w:ascii="宋体" w:hAnsi="宋体" w:cs="宋体"/>
                <w:color w:val="000000"/>
                <w:szCs w:val="21"/>
              </w:rPr>
              <w:t>磋商响应文件解密时间</w:t>
            </w:r>
          </w:p>
        </w:tc>
        <w:tc>
          <w:tcPr>
            <w:tcW w:w="6405" w:type="dxa"/>
            <w:vAlign w:val="center"/>
          </w:tcPr>
          <w:p w14:paraId="24BC88F1">
            <w:pPr>
              <w:pStyle w:val="11"/>
              <w:spacing w:line="460" w:lineRule="exact"/>
              <w:rPr>
                <w:rFonts w:ascii="宋体" w:hAnsi="宋体" w:cs="宋体"/>
                <w:color w:val="000000"/>
                <w:szCs w:val="21"/>
              </w:rPr>
            </w:pPr>
            <w:r>
              <w:rPr>
                <w:rFonts w:hint="eastAsia" w:ascii="宋体" w:hAnsi="宋体" w:cs="宋体"/>
                <w:color w:val="000000"/>
                <w:szCs w:val="21"/>
              </w:rPr>
              <w:t>磋商响应文件解密时间</w:t>
            </w:r>
            <w:r>
              <w:rPr>
                <w:rFonts w:hint="eastAsia" w:ascii="宋体" w:hAnsi="宋体" w:cs="宋体"/>
                <w:color w:val="000000"/>
              </w:rPr>
              <w:t>：截标时间后</w:t>
            </w:r>
            <w:r>
              <w:rPr>
                <w:rFonts w:hint="eastAsia" w:ascii="宋体" w:hAnsi="宋体" w:cs="宋体"/>
                <w:color w:val="000000"/>
                <w:u w:val="single"/>
              </w:rPr>
              <w:t>30</w:t>
            </w:r>
            <w:r>
              <w:rPr>
                <w:rFonts w:hint="eastAsia" w:ascii="宋体" w:hAnsi="宋体" w:cs="宋体"/>
                <w:color w:val="000000"/>
              </w:rPr>
              <w:t>分钟内（</w:t>
            </w:r>
            <w:r>
              <w:rPr>
                <w:rFonts w:hint="eastAsia" w:ascii="宋体" w:hAnsi="宋体" w:cs="宋体"/>
                <w:szCs w:val="21"/>
                <w:u w:val="single"/>
                <w:lang w:eastAsia="zh-CN"/>
              </w:rPr>
              <w:t>2026年09月23日09时</w:t>
            </w:r>
            <w:r>
              <w:rPr>
                <w:rFonts w:hint="eastAsia" w:ascii="宋体" w:hAnsi="宋体" w:cs="宋体"/>
                <w:szCs w:val="21"/>
                <w:u w:val="single"/>
                <w:lang w:val="en-US" w:eastAsia="zh-CN"/>
              </w:rPr>
              <w:t>00</w:t>
            </w:r>
            <w:r>
              <w:rPr>
                <w:rFonts w:hint="eastAsia" w:ascii="宋体" w:hAnsi="宋体" w:cs="宋体"/>
                <w:szCs w:val="21"/>
                <w:u w:val="single"/>
                <w:lang w:eastAsia="zh-CN"/>
              </w:rPr>
              <w:t>分</w:t>
            </w:r>
            <w:r>
              <w:rPr>
                <w:rFonts w:hint="eastAsia" w:ascii="宋体" w:hAnsi="宋体" w:cs="宋体"/>
                <w:color w:val="000000"/>
                <w:u w:val="single"/>
              </w:rPr>
              <w:t>至</w:t>
            </w:r>
            <w:r>
              <w:rPr>
                <w:rFonts w:hint="eastAsia" w:ascii="宋体" w:hAnsi="宋体" w:cs="宋体"/>
                <w:color w:val="000000"/>
                <w:u w:val="single"/>
                <w:lang w:val="en-US" w:eastAsia="zh-CN"/>
              </w:rPr>
              <w:t>09</w:t>
            </w:r>
            <w:r>
              <w:rPr>
                <w:rFonts w:hint="eastAsia" w:ascii="宋体" w:hAnsi="宋体" w:cs="宋体"/>
                <w:color w:val="000000"/>
                <w:u w:val="single"/>
              </w:rPr>
              <w:t>时</w:t>
            </w:r>
            <w:r>
              <w:rPr>
                <w:rFonts w:hint="eastAsia" w:ascii="宋体" w:hAnsi="宋体" w:cs="宋体"/>
                <w:color w:val="000000"/>
                <w:szCs w:val="21"/>
                <w:u w:val="single"/>
                <w:lang w:val="en-US" w:eastAsia="zh-CN"/>
              </w:rPr>
              <w:t>30</w:t>
            </w:r>
            <w:r>
              <w:rPr>
                <w:rFonts w:hint="eastAsia" w:ascii="宋体" w:hAnsi="宋体" w:cs="宋体"/>
                <w:color w:val="000000"/>
                <w:u w:val="single"/>
              </w:rPr>
              <w:t>分</w:t>
            </w:r>
            <w:r>
              <w:rPr>
                <w:rFonts w:hint="eastAsia" w:ascii="宋体" w:hAnsi="宋体" w:cs="宋体"/>
                <w:color w:val="000000"/>
              </w:rPr>
              <w:t>)磋商供应商可以登录政采云平台，用“项目采购-开标评标”功能进行解密</w:t>
            </w:r>
            <w:r>
              <w:rPr>
                <w:rFonts w:hint="eastAsia" w:ascii="宋体" w:hAnsi="宋体" w:cs="宋体"/>
              </w:rPr>
              <w:t>磋商响应文件</w:t>
            </w:r>
            <w:r>
              <w:rPr>
                <w:rFonts w:hint="eastAsia" w:ascii="宋体" w:hAnsi="宋体" w:cs="宋体"/>
                <w:color w:val="000000"/>
              </w:rPr>
              <w:t>。若</w:t>
            </w:r>
            <w:r>
              <w:rPr>
                <w:rFonts w:hint="eastAsia" w:ascii="宋体" w:hAnsi="宋体" w:cs="宋体"/>
              </w:rPr>
              <w:t>磋商供应商</w:t>
            </w:r>
            <w:r>
              <w:rPr>
                <w:rFonts w:hint="eastAsia" w:ascii="宋体" w:hAnsi="宋体" w:cs="宋体"/>
                <w:color w:val="000000"/>
              </w:rPr>
              <w:t>在规定时间内无法解密或解密失败，可以以电子备份</w:t>
            </w:r>
            <w:r>
              <w:rPr>
                <w:rFonts w:hint="eastAsia" w:ascii="宋体" w:hAnsi="宋体" w:cs="宋体"/>
              </w:rPr>
              <w:t>磋商响应文件</w:t>
            </w:r>
            <w:r>
              <w:rPr>
                <w:rFonts w:hint="eastAsia" w:ascii="宋体" w:hAnsi="宋体" w:cs="宋体"/>
                <w:color w:val="000000"/>
              </w:rPr>
              <w:t>作为依据</w:t>
            </w:r>
            <w:r>
              <w:rPr>
                <w:rFonts w:hint="eastAsia" w:ascii="宋体" w:hAnsi="宋体" w:cs="宋体"/>
                <w:b/>
                <w:bCs/>
                <w:color w:val="000000"/>
              </w:rPr>
              <w:t>【在接到无法解密或解密失败的通知后，</w:t>
            </w:r>
            <w:r>
              <w:rPr>
                <w:rFonts w:hint="eastAsia" w:ascii="宋体" w:hAnsi="宋体" w:cs="宋体"/>
                <w:b/>
                <w:bCs/>
              </w:rPr>
              <w:t>磋商供应商</w:t>
            </w:r>
            <w:r>
              <w:rPr>
                <w:rFonts w:hint="eastAsia" w:ascii="宋体" w:hAnsi="宋体" w:cs="宋体"/>
                <w:b/>
                <w:bCs/>
                <w:color w:val="000000"/>
              </w:rPr>
              <w:t>可根据自身实际情况按通知时要求的时间到荔浦市公共资源交易中</w:t>
            </w:r>
            <w:r>
              <w:rPr>
                <w:rFonts w:hint="eastAsia" w:ascii="宋体" w:hAnsi="宋体" w:cs="宋体"/>
                <w:b/>
                <w:bCs/>
                <w:color w:val="000000" w:themeColor="text1"/>
                <w14:textFill>
                  <w14:solidFill>
                    <w14:schemeClr w14:val="tx1"/>
                  </w14:solidFill>
                </w14:textFill>
              </w:rPr>
              <w:t>心</w:t>
            </w:r>
            <w:r>
              <w:rPr>
                <w:rFonts w:hint="eastAsia" w:ascii="宋体" w:hAnsi="宋体" w:cs="宋体"/>
                <w:b/>
                <w:bCs/>
                <w:color w:val="FF0000"/>
                <w:lang w:val="en-US" w:eastAsia="zh-CN"/>
              </w:rPr>
              <w:t>3</w:t>
            </w:r>
            <w:r>
              <w:rPr>
                <w:rFonts w:hint="eastAsia" w:ascii="宋体" w:hAnsi="宋体" w:cs="宋体"/>
                <w:b/>
                <w:bCs/>
              </w:rPr>
              <w:t>号</w:t>
            </w:r>
            <w:r>
              <w:rPr>
                <w:rFonts w:hint="eastAsia" w:ascii="宋体" w:hAnsi="宋体" w:cs="宋体"/>
                <w:b/>
                <w:bCs/>
                <w:color w:val="000000"/>
              </w:rPr>
              <w:t>开标室现场提交或以电子邮件的形式（以通知时所告知的电子邮箱地址为准）提交电子备份</w:t>
            </w:r>
            <w:r>
              <w:rPr>
                <w:rFonts w:hint="eastAsia" w:ascii="宋体" w:hAnsi="宋体" w:cs="宋体"/>
                <w:b/>
                <w:bCs/>
              </w:rPr>
              <w:t>磋商响应文件</w:t>
            </w:r>
            <w:r>
              <w:rPr>
                <w:rFonts w:hint="eastAsia" w:ascii="宋体" w:hAnsi="宋体" w:cs="宋体"/>
                <w:b/>
                <w:bCs/>
                <w:color w:val="000000"/>
              </w:rPr>
              <w:t>】</w:t>
            </w:r>
            <w:r>
              <w:rPr>
                <w:rFonts w:hint="eastAsia" w:ascii="宋体" w:hAnsi="宋体" w:cs="宋体"/>
                <w:color w:val="000000"/>
              </w:rPr>
              <w:t>，若磋商供应商在规定时间内无法解密或解密失败且未提供电子备份磋商响应文件的(包含提供的电子备份文件无效或无法解密的情况)，视为无效响应。</w:t>
            </w:r>
          </w:p>
        </w:tc>
      </w:tr>
      <w:tr w14:paraId="4973E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662" w:type="dxa"/>
            <w:vAlign w:val="center"/>
          </w:tcPr>
          <w:p w14:paraId="2F1991D3">
            <w:pPr>
              <w:spacing w:line="460" w:lineRule="exact"/>
              <w:jc w:val="center"/>
              <w:rPr>
                <w:rFonts w:ascii="宋体" w:hAnsi="宋体" w:cs="宋体"/>
                <w:color w:val="000000"/>
                <w:szCs w:val="21"/>
              </w:rPr>
            </w:pPr>
            <w:r>
              <w:rPr>
                <w:rFonts w:hint="eastAsia" w:ascii="宋体" w:hAnsi="宋体" w:cs="宋体"/>
                <w:color w:val="000000"/>
                <w:szCs w:val="21"/>
              </w:rPr>
              <w:t>1</w:t>
            </w:r>
            <w:r>
              <w:rPr>
                <w:rFonts w:ascii="宋体" w:hAnsi="宋体" w:cs="宋体"/>
                <w:color w:val="000000"/>
                <w:szCs w:val="21"/>
              </w:rPr>
              <w:t>2</w:t>
            </w:r>
          </w:p>
        </w:tc>
        <w:tc>
          <w:tcPr>
            <w:tcW w:w="942" w:type="dxa"/>
            <w:vAlign w:val="center"/>
          </w:tcPr>
          <w:p w14:paraId="2F3F12CD">
            <w:pPr>
              <w:spacing w:line="460" w:lineRule="exact"/>
              <w:ind w:firstLine="105" w:firstLineChars="50"/>
              <w:jc w:val="center"/>
              <w:rPr>
                <w:rFonts w:ascii="宋体" w:hAnsi="宋体" w:cs="宋体"/>
                <w:color w:val="000000"/>
                <w:position w:val="-2"/>
                <w:szCs w:val="21"/>
              </w:rPr>
            </w:pPr>
            <w:r>
              <w:rPr>
                <w:rFonts w:hint="eastAsia" w:ascii="宋体" w:hAnsi="宋体" w:cs="宋体"/>
                <w:color w:val="000000"/>
                <w:position w:val="-2"/>
                <w:szCs w:val="21"/>
              </w:rPr>
              <w:t>19.1</w:t>
            </w:r>
          </w:p>
        </w:tc>
        <w:tc>
          <w:tcPr>
            <w:tcW w:w="1775" w:type="dxa"/>
            <w:vAlign w:val="center"/>
          </w:tcPr>
          <w:p w14:paraId="16CDD0D8">
            <w:pPr>
              <w:spacing w:line="460" w:lineRule="exact"/>
              <w:jc w:val="center"/>
              <w:rPr>
                <w:rFonts w:ascii="宋体" w:hAnsi="宋体" w:cs="宋体"/>
                <w:color w:val="000000"/>
                <w:szCs w:val="21"/>
              </w:rPr>
            </w:pPr>
            <w:r>
              <w:rPr>
                <w:rFonts w:hint="eastAsia" w:ascii="宋体" w:hAnsi="宋体" w:cs="宋体"/>
                <w:color w:val="000000"/>
                <w:szCs w:val="21"/>
              </w:rPr>
              <w:t>磋商小组组成</w:t>
            </w:r>
          </w:p>
        </w:tc>
        <w:tc>
          <w:tcPr>
            <w:tcW w:w="6405" w:type="dxa"/>
            <w:vAlign w:val="center"/>
          </w:tcPr>
          <w:p w14:paraId="02D1AAA9">
            <w:pPr>
              <w:spacing w:line="460" w:lineRule="exact"/>
              <w:ind w:left="15" w:hanging="14" w:hangingChars="7"/>
              <w:rPr>
                <w:rFonts w:ascii="宋体" w:hAnsi="宋体" w:cs="宋体"/>
                <w:color w:val="000000"/>
                <w:szCs w:val="21"/>
              </w:rPr>
            </w:pPr>
            <w:r>
              <w:rPr>
                <w:rFonts w:hint="eastAsia" w:ascii="宋体" w:hAnsi="宋体" w:cs="宋体"/>
                <w:color w:val="000000"/>
                <w:szCs w:val="21"/>
              </w:rPr>
              <w:t>磋商及评审工作由采购代理机构负责组织，具体磋商、评审工作由依法组建的磋商小组负责，磋商小组由采购人代表和有关方面的专家组成。磋商小组的构成：</w:t>
            </w:r>
            <w:r>
              <w:rPr>
                <w:rFonts w:hint="eastAsia" w:ascii="宋体" w:hAnsi="宋体" w:cs="宋体"/>
                <w:color w:val="000000"/>
                <w:szCs w:val="21"/>
                <w:u w:val="single"/>
              </w:rPr>
              <w:t xml:space="preserve">3 </w:t>
            </w:r>
            <w:r>
              <w:rPr>
                <w:rFonts w:hint="eastAsia" w:ascii="宋体" w:hAnsi="宋体" w:cs="宋体"/>
                <w:color w:val="000000"/>
                <w:szCs w:val="21"/>
              </w:rPr>
              <w:t>人，其中采购人代表</w:t>
            </w:r>
            <w:r>
              <w:rPr>
                <w:rFonts w:hint="eastAsia" w:ascii="宋体" w:hAnsi="宋体" w:cs="宋体"/>
                <w:color w:val="000000"/>
                <w:szCs w:val="21"/>
                <w:u w:val="single"/>
              </w:rPr>
              <w:t xml:space="preserve"> 1 </w:t>
            </w:r>
            <w:r>
              <w:rPr>
                <w:rFonts w:hint="eastAsia" w:ascii="宋体" w:hAnsi="宋体" w:cs="宋体"/>
                <w:color w:val="000000"/>
                <w:szCs w:val="21"/>
              </w:rPr>
              <w:t>人，专家</w:t>
            </w:r>
            <w:r>
              <w:rPr>
                <w:rFonts w:hint="eastAsia" w:ascii="宋体" w:hAnsi="宋体" w:cs="宋体"/>
                <w:color w:val="000000"/>
                <w:szCs w:val="21"/>
                <w:u w:val="single"/>
              </w:rPr>
              <w:t xml:space="preserve"> 2 </w:t>
            </w:r>
            <w:r>
              <w:rPr>
                <w:rFonts w:hint="eastAsia" w:ascii="宋体" w:hAnsi="宋体" w:cs="宋体"/>
                <w:color w:val="000000"/>
                <w:szCs w:val="21"/>
              </w:rPr>
              <w:t>人。</w:t>
            </w:r>
          </w:p>
        </w:tc>
      </w:tr>
      <w:tr w14:paraId="02B0A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jc w:val="center"/>
        </w:trPr>
        <w:tc>
          <w:tcPr>
            <w:tcW w:w="662" w:type="dxa"/>
            <w:vAlign w:val="center"/>
          </w:tcPr>
          <w:p w14:paraId="5CF52B35">
            <w:pPr>
              <w:spacing w:line="460" w:lineRule="exact"/>
              <w:jc w:val="center"/>
              <w:rPr>
                <w:rFonts w:ascii="宋体" w:hAnsi="宋体" w:cs="宋体"/>
                <w:color w:val="000000"/>
                <w:szCs w:val="21"/>
              </w:rPr>
            </w:pPr>
            <w:r>
              <w:rPr>
                <w:rFonts w:hint="eastAsia" w:ascii="宋体" w:hAnsi="宋体" w:cs="宋体"/>
                <w:color w:val="000000"/>
                <w:szCs w:val="21"/>
              </w:rPr>
              <w:t>1</w:t>
            </w:r>
            <w:r>
              <w:rPr>
                <w:rFonts w:ascii="宋体" w:hAnsi="宋体" w:cs="宋体"/>
                <w:color w:val="000000"/>
                <w:szCs w:val="21"/>
              </w:rPr>
              <w:t>3</w:t>
            </w:r>
          </w:p>
        </w:tc>
        <w:tc>
          <w:tcPr>
            <w:tcW w:w="942" w:type="dxa"/>
            <w:vAlign w:val="center"/>
          </w:tcPr>
          <w:p w14:paraId="286A26F9">
            <w:pPr>
              <w:spacing w:line="460" w:lineRule="exact"/>
              <w:jc w:val="center"/>
              <w:rPr>
                <w:rFonts w:ascii="宋体" w:hAnsi="宋体" w:cs="宋体"/>
                <w:color w:val="000000"/>
                <w:szCs w:val="21"/>
              </w:rPr>
            </w:pPr>
            <w:r>
              <w:rPr>
                <w:rFonts w:hint="eastAsia" w:ascii="宋体" w:hAnsi="宋体" w:cs="宋体"/>
                <w:color w:val="000000"/>
                <w:szCs w:val="21"/>
              </w:rPr>
              <w:t>19.2</w:t>
            </w:r>
          </w:p>
        </w:tc>
        <w:tc>
          <w:tcPr>
            <w:tcW w:w="1775" w:type="dxa"/>
            <w:vAlign w:val="center"/>
          </w:tcPr>
          <w:p w14:paraId="6456DB13">
            <w:pPr>
              <w:spacing w:line="460" w:lineRule="exact"/>
              <w:jc w:val="center"/>
              <w:rPr>
                <w:rFonts w:ascii="宋体" w:hAnsi="宋体" w:cs="宋体"/>
                <w:color w:val="000000"/>
                <w:szCs w:val="21"/>
              </w:rPr>
            </w:pPr>
            <w:r>
              <w:rPr>
                <w:rFonts w:hint="eastAsia" w:ascii="宋体" w:hAnsi="宋体" w:cs="宋体"/>
                <w:color w:val="000000"/>
                <w:szCs w:val="21"/>
              </w:rPr>
              <w:t>磋商时间、地点、人员</w:t>
            </w:r>
          </w:p>
        </w:tc>
        <w:tc>
          <w:tcPr>
            <w:tcW w:w="6405" w:type="dxa"/>
          </w:tcPr>
          <w:p w14:paraId="4432EEB0">
            <w:pPr>
              <w:spacing w:line="460" w:lineRule="exact"/>
              <w:ind w:left="315" w:hanging="315" w:hangingChars="150"/>
              <w:jc w:val="left"/>
              <w:rPr>
                <w:rFonts w:ascii="宋体" w:hAnsi="宋体" w:cs="宋体"/>
                <w:color w:val="000000"/>
                <w:szCs w:val="21"/>
              </w:rPr>
            </w:pPr>
            <w:r>
              <w:rPr>
                <w:rFonts w:hint="eastAsia" w:ascii="宋体" w:hAnsi="宋体" w:cs="宋体"/>
                <w:color w:val="000000"/>
                <w:szCs w:val="21"/>
              </w:rPr>
              <w:t>19.2.1磋商时间：响应文件递交截止时间后。</w:t>
            </w:r>
          </w:p>
          <w:p w14:paraId="57E3DFDC">
            <w:pPr>
              <w:spacing w:line="460" w:lineRule="exact"/>
              <w:jc w:val="left"/>
              <w:rPr>
                <w:rFonts w:ascii="宋体" w:hAnsi="宋体" w:cs="宋体"/>
                <w:color w:val="000000"/>
                <w:szCs w:val="21"/>
              </w:rPr>
            </w:pPr>
            <w:r>
              <w:rPr>
                <w:rFonts w:hint="eastAsia" w:ascii="宋体" w:hAnsi="宋体" w:cs="宋体"/>
                <w:color w:val="000000"/>
                <w:szCs w:val="21"/>
              </w:rPr>
              <w:t>19.2.2磋商地点：本项目需要磋商供应商代表在截标当天截标后，按磋商小组要求及时登陆政采云平台等候在线磋商。</w:t>
            </w:r>
          </w:p>
          <w:p w14:paraId="5EBBE280">
            <w:pPr>
              <w:spacing w:line="460" w:lineRule="exact"/>
              <w:ind w:left="15" w:hanging="14" w:hangingChars="7"/>
              <w:jc w:val="left"/>
              <w:rPr>
                <w:rFonts w:ascii="宋体" w:hAnsi="宋体" w:cs="宋体"/>
                <w:color w:val="000000"/>
                <w:szCs w:val="21"/>
              </w:rPr>
            </w:pPr>
            <w:r>
              <w:rPr>
                <w:rFonts w:hint="eastAsia" w:ascii="宋体" w:hAnsi="宋体" w:cs="宋体"/>
                <w:color w:val="000000"/>
                <w:szCs w:val="21"/>
              </w:rPr>
              <w:t>19.2.3磋商参加人员：供应商法定代表人、负责人、自然人或相应的委托代理人持有效身份证原件和供应商政采云平台CA数字证书参加磋商。请供应商按时到达指定地点等候磋商。</w:t>
            </w:r>
          </w:p>
          <w:p w14:paraId="587F2B6C">
            <w:pPr>
              <w:tabs>
                <w:tab w:val="left" w:pos="1140"/>
              </w:tabs>
              <w:spacing w:line="460" w:lineRule="exact"/>
              <w:jc w:val="left"/>
              <w:rPr>
                <w:rFonts w:ascii="宋体" w:hAnsi="宋体" w:cs="宋体"/>
                <w:color w:val="000000"/>
                <w:szCs w:val="21"/>
              </w:rPr>
            </w:pPr>
            <w:r>
              <w:rPr>
                <w:rFonts w:hint="eastAsia" w:ascii="宋体" w:hAnsi="宋体" w:cs="宋体"/>
                <w:color w:val="000000"/>
                <w:szCs w:val="21"/>
              </w:rPr>
              <w:t>19.2.4响应文件递交截止时间后，由磋商小组在评标室内线上开启响应文件。</w:t>
            </w:r>
          </w:p>
        </w:tc>
      </w:tr>
      <w:tr w14:paraId="5F1A5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662" w:type="dxa"/>
            <w:vAlign w:val="center"/>
          </w:tcPr>
          <w:p w14:paraId="213D3B27">
            <w:pPr>
              <w:spacing w:line="460" w:lineRule="exact"/>
              <w:jc w:val="center"/>
              <w:rPr>
                <w:rFonts w:ascii="宋体" w:hAnsi="宋体" w:cs="宋体"/>
                <w:color w:val="000000"/>
                <w:szCs w:val="21"/>
              </w:rPr>
            </w:pPr>
            <w:r>
              <w:rPr>
                <w:rFonts w:hint="eastAsia" w:ascii="宋体" w:hAnsi="宋体" w:cs="宋体"/>
                <w:color w:val="000000"/>
                <w:kern w:val="0"/>
                <w:szCs w:val="21"/>
              </w:rPr>
              <w:t>1</w:t>
            </w:r>
            <w:r>
              <w:rPr>
                <w:rFonts w:ascii="宋体" w:hAnsi="宋体" w:cs="宋体"/>
                <w:color w:val="000000"/>
                <w:kern w:val="0"/>
                <w:szCs w:val="21"/>
              </w:rPr>
              <w:t>4</w:t>
            </w:r>
          </w:p>
        </w:tc>
        <w:tc>
          <w:tcPr>
            <w:tcW w:w="942" w:type="dxa"/>
            <w:vAlign w:val="center"/>
          </w:tcPr>
          <w:p w14:paraId="3A4687D0">
            <w:pPr>
              <w:spacing w:line="460" w:lineRule="exact"/>
              <w:jc w:val="center"/>
              <w:rPr>
                <w:rFonts w:ascii="宋体" w:hAnsi="宋体" w:cs="宋体"/>
                <w:color w:val="000000"/>
                <w:szCs w:val="21"/>
              </w:rPr>
            </w:pPr>
            <w:r>
              <w:rPr>
                <w:rFonts w:hint="eastAsia" w:ascii="宋体" w:hAnsi="宋体" w:cs="宋体"/>
                <w:color w:val="000000"/>
                <w:szCs w:val="21"/>
              </w:rPr>
              <w:t>20.2</w:t>
            </w:r>
          </w:p>
        </w:tc>
        <w:tc>
          <w:tcPr>
            <w:tcW w:w="1775" w:type="dxa"/>
            <w:vAlign w:val="center"/>
          </w:tcPr>
          <w:p w14:paraId="321FC01C">
            <w:pPr>
              <w:pStyle w:val="15"/>
              <w:spacing w:line="460" w:lineRule="exact"/>
              <w:jc w:val="center"/>
              <w:rPr>
                <w:rFonts w:hAnsi="宋体" w:cs="宋体"/>
                <w:color w:val="000000"/>
                <w:kern w:val="0"/>
                <w:szCs w:val="21"/>
              </w:rPr>
            </w:pPr>
            <w:r>
              <w:rPr>
                <w:rFonts w:hint="eastAsia" w:hAnsi="宋体" w:cs="宋体"/>
                <w:color w:val="000000"/>
                <w:kern w:val="0"/>
                <w:szCs w:val="21"/>
              </w:rPr>
              <w:t>评审办法</w:t>
            </w:r>
          </w:p>
        </w:tc>
        <w:tc>
          <w:tcPr>
            <w:tcW w:w="6405" w:type="dxa"/>
            <w:vAlign w:val="center"/>
          </w:tcPr>
          <w:p w14:paraId="3D082B6C">
            <w:pPr>
              <w:tabs>
                <w:tab w:val="left" w:pos="1140"/>
              </w:tabs>
              <w:spacing w:line="460" w:lineRule="exact"/>
              <w:rPr>
                <w:rFonts w:ascii="宋体" w:hAnsi="宋体" w:cs="宋体"/>
                <w:color w:val="000000"/>
                <w:szCs w:val="21"/>
              </w:rPr>
            </w:pPr>
            <w:r>
              <w:rPr>
                <w:rFonts w:hint="eastAsia" w:ascii="宋体" w:hAnsi="宋体" w:cs="宋体"/>
                <w:color w:val="000000"/>
                <w:szCs w:val="21"/>
              </w:rPr>
              <w:t>具体详见第四章评审办法。</w:t>
            </w:r>
          </w:p>
        </w:tc>
      </w:tr>
      <w:tr w14:paraId="7635A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662" w:type="dxa"/>
            <w:vAlign w:val="center"/>
          </w:tcPr>
          <w:p w14:paraId="7F7BE8B2">
            <w:pPr>
              <w:spacing w:line="460" w:lineRule="exact"/>
              <w:jc w:val="center"/>
              <w:rPr>
                <w:rFonts w:ascii="宋体" w:hAnsi="宋体" w:cs="宋体"/>
                <w:color w:val="000000"/>
                <w:szCs w:val="21"/>
              </w:rPr>
            </w:pPr>
            <w:r>
              <w:rPr>
                <w:rFonts w:hint="eastAsia" w:ascii="宋体" w:hAnsi="宋体" w:cs="宋体"/>
                <w:color w:val="000000"/>
                <w:szCs w:val="21"/>
              </w:rPr>
              <w:t>1</w:t>
            </w:r>
            <w:r>
              <w:rPr>
                <w:rFonts w:ascii="宋体" w:hAnsi="宋体" w:cs="宋体"/>
                <w:color w:val="000000"/>
                <w:szCs w:val="21"/>
              </w:rPr>
              <w:t>5</w:t>
            </w:r>
          </w:p>
        </w:tc>
        <w:tc>
          <w:tcPr>
            <w:tcW w:w="942" w:type="dxa"/>
            <w:vAlign w:val="center"/>
          </w:tcPr>
          <w:p w14:paraId="22AB4B6B">
            <w:pPr>
              <w:spacing w:line="460" w:lineRule="exact"/>
              <w:jc w:val="center"/>
              <w:rPr>
                <w:rFonts w:ascii="宋体" w:hAnsi="宋体" w:cs="宋体"/>
                <w:color w:val="000000"/>
                <w:szCs w:val="21"/>
              </w:rPr>
            </w:pPr>
            <w:r>
              <w:rPr>
                <w:rFonts w:hint="eastAsia" w:ascii="宋体" w:hAnsi="宋体" w:cs="宋体"/>
                <w:color w:val="000000"/>
                <w:szCs w:val="21"/>
              </w:rPr>
              <w:t>26</w:t>
            </w:r>
          </w:p>
        </w:tc>
        <w:tc>
          <w:tcPr>
            <w:tcW w:w="1775" w:type="dxa"/>
            <w:vAlign w:val="center"/>
          </w:tcPr>
          <w:p w14:paraId="59B19325">
            <w:pPr>
              <w:spacing w:line="460" w:lineRule="exact"/>
              <w:jc w:val="center"/>
              <w:rPr>
                <w:rFonts w:ascii="宋体" w:hAnsi="宋体" w:cs="宋体"/>
                <w:color w:val="000000"/>
                <w:szCs w:val="21"/>
              </w:rPr>
            </w:pPr>
            <w:r>
              <w:rPr>
                <w:rFonts w:hint="eastAsia" w:ascii="宋体" w:hAnsi="宋体" w:cs="宋体"/>
                <w:color w:val="000000"/>
                <w:szCs w:val="21"/>
              </w:rPr>
              <w:t>信用查询</w:t>
            </w:r>
          </w:p>
        </w:tc>
        <w:tc>
          <w:tcPr>
            <w:tcW w:w="6405" w:type="dxa"/>
            <w:vAlign w:val="center"/>
          </w:tcPr>
          <w:p w14:paraId="13B4FD60">
            <w:pPr>
              <w:spacing w:line="460" w:lineRule="exact"/>
              <w:ind w:left="15" w:hanging="14" w:hangingChars="7"/>
              <w:rPr>
                <w:rFonts w:ascii="宋体" w:hAnsi="宋体" w:cs="宋体"/>
                <w:color w:val="000000"/>
                <w:szCs w:val="21"/>
              </w:rPr>
            </w:pPr>
            <w:r>
              <w:rPr>
                <w:rFonts w:hint="eastAsia" w:ascii="宋体" w:hAnsi="宋体" w:cs="宋体"/>
                <w:color w:val="000000"/>
                <w:szCs w:val="21"/>
              </w:rPr>
              <w:t>根据《关于做好政府采购有关信用主体标识码登记及在政府采购活动中查询使用信用记录有关问题的通知》（桂财采〔2016〕37），由采购代理机构对第一成交候选人进行信用查询：</w:t>
            </w:r>
          </w:p>
          <w:p w14:paraId="4281FB7E">
            <w:pPr>
              <w:spacing w:line="460" w:lineRule="exact"/>
              <w:ind w:left="15" w:hanging="14" w:hangingChars="7"/>
              <w:rPr>
                <w:rFonts w:ascii="宋体" w:hAnsi="宋体" w:cs="宋体"/>
                <w:color w:val="000000"/>
                <w:szCs w:val="21"/>
              </w:rPr>
            </w:pPr>
            <w:r>
              <w:rPr>
                <w:rFonts w:hint="eastAsia" w:ascii="宋体" w:hAnsi="宋体" w:cs="宋体"/>
                <w:color w:val="000000"/>
                <w:szCs w:val="21"/>
              </w:rPr>
              <w:t>⑴查询渠道：“信用中国”网站(www.creditchina.gov.cn)、中国政府采购网(www.ccgp.gov.cn)等；</w:t>
            </w:r>
          </w:p>
          <w:p w14:paraId="6DB9BCE0">
            <w:pPr>
              <w:spacing w:line="460" w:lineRule="exact"/>
              <w:ind w:left="315" w:hanging="315" w:hangingChars="150"/>
              <w:rPr>
                <w:rFonts w:ascii="宋体" w:hAnsi="宋体" w:cs="宋体"/>
                <w:color w:val="000000"/>
                <w:szCs w:val="21"/>
              </w:rPr>
            </w:pPr>
            <w:r>
              <w:rPr>
                <w:rFonts w:hint="eastAsia" w:ascii="宋体" w:hAnsi="宋体" w:cs="宋体"/>
                <w:color w:val="000000"/>
                <w:szCs w:val="21"/>
              </w:rPr>
              <w:t>⑵查询时间：成交通知书发出前；</w:t>
            </w:r>
          </w:p>
          <w:p w14:paraId="074BAEE7">
            <w:pPr>
              <w:spacing w:line="460" w:lineRule="exact"/>
              <w:ind w:left="15" w:hanging="14" w:hangingChars="7"/>
              <w:rPr>
                <w:rFonts w:ascii="宋体" w:hAnsi="宋体" w:cs="宋体"/>
                <w:color w:val="000000"/>
                <w:szCs w:val="21"/>
              </w:rPr>
            </w:pPr>
            <w:r>
              <w:rPr>
                <w:rFonts w:hint="eastAsia" w:ascii="宋体" w:hAnsi="宋体" w:cs="宋体"/>
                <w:color w:val="000000"/>
                <w:szCs w:val="21"/>
              </w:rPr>
              <w:t>⑶信用信息查询记录和证据留存方式：在查询网站中直接打印查询记录，打印材料作为采购活动资料保存；</w:t>
            </w:r>
          </w:p>
          <w:p w14:paraId="2C7C4C2F">
            <w:pPr>
              <w:spacing w:line="460" w:lineRule="exact"/>
              <w:ind w:left="15" w:hanging="14" w:hangingChars="7"/>
              <w:rPr>
                <w:rFonts w:ascii="宋体" w:hAnsi="宋体" w:cs="宋体"/>
                <w:color w:val="000000"/>
                <w:szCs w:val="21"/>
              </w:rPr>
            </w:pPr>
            <w:r>
              <w:rPr>
                <w:rFonts w:hint="eastAsia" w:ascii="宋体" w:hAnsi="宋体" w:cs="宋体"/>
                <w:color w:val="000000"/>
                <w:szCs w:val="21"/>
              </w:rPr>
              <w:t>⑷信用信息使用规则：对在“信用中国”网站(www.creditchina.gov.cn)、中国政府采购网(www.ccgp.gov.cn)等渠道列入失信被执行人、重大税收违法案件当事人名单、政府采购严重违法失信行为记录名单及其他不符合《中华人民共和国政府采购法》第二十二条规定条件的供应商，取消其成交候选人资格。采购人依法按照评审报告中磋商小组推荐成交候选人排序表确定排名第二的成交候选人为成交供应商或者重新组织采购。</w:t>
            </w:r>
          </w:p>
        </w:tc>
      </w:tr>
      <w:tr w14:paraId="288B6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662" w:type="dxa"/>
            <w:vAlign w:val="center"/>
          </w:tcPr>
          <w:p w14:paraId="23187D9D">
            <w:pPr>
              <w:spacing w:line="460" w:lineRule="exact"/>
              <w:jc w:val="center"/>
              <w:rPr>
                <w:rFonts w:ascii="宋体" w:hAnsi="宋体" w:cs="宋体"/>
                <w:color w:val="000000"/>
                <w:szCs w:val="21"/>
              </w:rPr>
            </w:pPr>
            <w:r>
              <w:rPr>
                <w:rFonts w:hint="eastAsia" w:ascii="宋体" w:hAnsi="宋体" w:cs="宋体"/>
                <w:color w:val="000000"/>
                <w:szCs w:val="21"/>
              </w:rPr>
              <w:t>1</w:t>
            </w:r>
            <w:r>
              <w:rPr>
                <w:rFonts w:ascii="宋体" w:hAnsi="宋体" w:cs="宋体"/>
                <w:color w:val="000000"/>
                <w:szCs w:val="21"/>
              </w:rPr>
              <w:t>6</w:t>
            </w:r>
          </w:p>
        </w:tc>
        <w:tc>
          <w:tcPr>
            <w:tcW w:w="942" w:type="dxa"/>
            <w:vAlign w:val="center"/>
          </w:tcPr>
          <w:p w14:paraId="7641F6A2">
            <w:pPr>
              <w:spacing w:line="460" w:lineRule="exact"/>
              <w:jc w:val="center"/>
              <w:rPr>
                <w:rFonts w:ascii="宋体" w:hAnsi="宋体" w:cs="宋体"/>
                <w:color w:val="000000"/>
                <w:szCs w:val="21"/>
              </w:rPr>
            </w:pPr>
            <w:r>
              <w:rPr>
                <w:rFonts w:hint="eastAsia" w:ascii="宋体" w:hAnsi="宋体" w:cs="宋体"/>
                <w:color w:val="000000"/>
                <w:szCs w:val="21"/>
              </w:rPr>
              <w:t>27</w:t>
            </w:r>
          </w:p>
        </w:tc>
        <w:tc>
          <w:tcPr>
            <w:tcW w:w="1775" w:type="dxa"/>
            <w:vAlign w:val="center"/>
          </w:tcPr>
          <w:p w14:paraId="1C40F0BE">
            <w:pPr>
              <w:spacing w:line="460" w:lineRule="exact"/>
              <w:jc w:val="center"/>
              <w:rPr>
                <w:rFonts w:ascii="宋体" w:hAnsi="宋体" w:cs="宋体"/>
                <w:color w:val="000000"/>
                <w:szCs w:val="21"/>
              </w:rPr>
            </w:pPr>
            <w:r>
              <w:rPr>
                <w:rFonts w:hint="eastAsia" w:ascii="宋体" w:hAnsi="宋体" w:cs="宋体"/>
                <w:color w:val="000000"/>
                <w:szCs w:val="21"/>
              </w:rPr>
              <w:t>成交结果公告</w:t>
            </w:r>
          </w:p>
          <w:p w14:paraId="72415549">
            <w:pPr>
              <w:spacing w:line="460" w:lineRule="exact"/>
              <w:jc w:val="center"/>
              <w:rPr>
                <w:rFonts w:ascii="宋体" w:hAnsi="宋体" w:cs="宋体"/>
                <w:color w:val="000000"/>
                <w:szCs w:val="21"/>
              </w:rPr>
            </w:pPr>
            <w:r>
              <w:rPr>
                <w:rFonts w:hint="eastAsia" w:ascii="宋体" w:hAnsi="宋体" w:cs="宋体"/>
                <w:color w:val="000000"/>
                <w:szCs w:val="21"/>
              </w:rPr>
              <w:t>及成交通知书</w:t>
            </w:r>
          </w:p>
        </w:tc>
        <w:tc>
          <w:tcPr>
            <w:tcW w:w="6405" w:type="dxa"/>
          </w:tcPr>
          <w:p w14:paraId="6812144D">
            <w:pPr>
              <w:spacing w:line="460" w:lineRule="exact"/>
              <w:rPr>
                <w:rFonts w:ascii="宋体" w:hAnsi="宋体" w:cs="宋体"/>
                <w:color w:val="000000"/>
                <w:szCs w:val="21"/>
              </w:rPr>
            </w:pPr>
            <w:r>
              <w:rPr>
                <w:rFonts w:hint="eastAsia" w:ascii="宋体" w:hAnsi="宋体" w:cs="宋体"/>
                <w:color w:val="000000"/>
                <w:szCs w:val="21"/>
              </w:rPr>
              <w:t>27.1采购代理机构于磋商结束后两个工作日内将评审报告送交采购人，采购人应当自收到评审报告五个工作日内在评审报告推荐的成交候选人中按顺序确定成交供应商，采购代理机构在成交供应商确定之日起两个工作日内发出成交通知书，并在指定媒体上公告成交信息。</w:t>
            </w:r>
          </w:p>
          <w:p w14:paraId="17C10BFB">
            <w:pPr>
              <w:spacing w:line="460" w:lineRule="exact"/>
              <w:rPr>
                <w:rFonts w:ascii="宋体" w:hAnsi="宋体" w:cs="宋体"/>
                <w:color w:val="000000"/>
                <w:szCs w:val="21"/>
              </w:rPr>
            </w:pPr>
            <w:r>
              <w:rPr>
                <w:rFonts w:hint="eastAsia" w:ascii="宋体" w:hAnsi="宋体" w:cs="宋体"/>
                <w:color w:val="000000"/>
                <w:szCs w:val="21"/>
              </w:rPr>
              <w:t>27.2在发布成交公告的同时，采购代理机构向成交供应商发出成交通知书。成交供应商自接到通知之日起七个工作日内，办理成交通知书领取手续。</w:t>
            </w:r>
          </w:p>
        </w:tc>
      </w:tr>
      <w:tr w14:paraId="0B4AD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662" w:type="dxa"/>
            <w:vAlign w:val="center"/>
          </w:tcPr>
          <w:p w14:paraId="20D1ADA0">
            <w:pPr>
              <w:spacing w:line="460" w:lineRule="exact"/>
              <w:jc w:val="center"/>
              <w:rPr>
                <w:rFonts w:ascii="宋体" w:hAnsi="宋体" w:cs="宋体"/>
                <w:color w:val="000000"/>
                <w:szCs w:val="21"/>
              </w:rPr>
            </w:pPr>
            <w:r>
              <w:rPr>
                <w:rFonts w:hint="eastAsia" w:ascii="宋体" w:hAnsi="宋体" w:cs="宋体"/>
                <w:color w:val="000000"/>
                <w:szCs w:val="21"/>
              </w:rPr>
              <w:t>1</w:t>
            </w:r>
            <w:r>
              <w:rPr>
                <w:rFonts w:ascii="宋体" w:hAnsi="宋体" w:cs="宋体"/>
                <w:color w:val="000000"/>
                <w:szCs w:val="21"/>
              </w:rPr>
              <w:t>7</w:t>
            </w:r>
          </w:p>
        </w:tc>
        <w:tc>
          <w:tcPr>
            <w:tcW w:w="942" w:type="dxa"/>
            <w:vAlign w:val="center"/>
          </w:tcPr>
          <w:p w14:paraId="3C3022FC">
            <w:pPr>
              <w:spacing w:line="460" w:lineRule="exact"/>
              <w:jc w:val="center"/>
              <w:rPr>
                <w:rFonts w:ascii="宋体" w:hAnsi="宋体" w:cs="宋体"/>
                <w:color w:val="000000"/>
                <w:szCs w:val="21"/>
              </w:rPr>
            </w:pPr>
            <w:r>
              <w:rPr>
                <w:rFonts w:hint="eastAsia" w:ascii="宋体" w:hAnsi="宋体" w:cs="宋体"/>
                <w:color w:val="000000"/>
                <w:szCs w:val="21"/>
              </w:rPr>
              <w:t>28</w:t>
            </w:r>
          </w:p>
        </w:tc>
        <w:tc>
          <w:tcPr>
            <w:tcW w:w="1775" w:type="dxa"/>
            <w:vAlign w:val="center"/>
          </w:tcPr>
          <w:p w14:paraId="63300AF8">
            <w:pPr>
              <w:spacing w:line="460" w:lineRule="exact"/>
              <w:jc w:val="center"/>
              <w:rPr>
                <w:rFonts w:ascii="宋体" w:hAnsi="宋体" w:cs="宋体"/>
                <w:color w:val="000000"/>
                <w:szCs w:val="21"/>
              </w:rPr>
            </w:pPr>
            <w:r>
              <w:rPr>
                <w:rFonts w:hint="eastAsia" w:ascii="宋体" w:hAnsi="宋体" w:cs="宋体"/>
                <w:color w:val="000000"/>
                <w:szCs w:val="21"/>
              </w:rPr>
              <w:t>履约保证金</w:t>
            </w:r>
          </w:p>
        </w:tc>
        <w:tc>
          <w:tcPr>
            <w:tcW w:w="6405" w:type="dxa"/>
            <w:vAlign w:val="center"/>
          </w:tcPr>
          <w:p w14:paraId="48E013AB">
            <w:pPr>
              <w:spacing w:line="460" w:lineRule="exact"/>
              <w:rPr>
                <w:rFonts w:ascii="宋体" w:hAnsi="宋体" w:cs="宋体"/>
                <w:color w:val="000000"/>
                <w:szCs w:val="21"/>
              </w:rPr>
            </w:pPr>
            <w:r>
              <w:rPr>
                <w:rFonts w:hint="eastAsia" w:ascii="宋体" w:hAnsi="宋体" w:cs="宋体"/>
                <w:szCs w:val="21"/>
              </w:rPr>
              <w:t>本项目无需缴纳履约保证金。</w:t>
            </w:r>
          </w:p>
        </w:tc>
      </w:tr>
      <w:tr w14:paraId="26C0D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662" w:type="dxa"/>
            <w:vAlign w:val="center"/>
          </w:tcPr>
          <w:p w14:paraId="307691CC">
            <w:pPr>
              <w:spacing w:line="460" w:lineRule="exact"/>
              <w:jc w:val="center"/>
              <w:rPr>
                <w:rFonts w:ascii="宋体" w:hAnsi="宋体" w:cs="宋体"/>
                <w:color w:val="000000"/>
                <w:szCs w:val="21"/>
              </w:rPr>
            </w:pPr>
            <w:r>
              <w:rPr>
                <w:rFonts w:hint="eastAsia" w:ascii="宋体" w:hAnsi="宋体" w:cs="宋体"/>
                <w:color w:val="000000"/>
                <w:szCs w:val="21"/>
              </w:rPr>
              <w:t>1</w:t>
            </w:r>
            <w:r>
              <w:rPr>
                <w:rFonts w:ascii="宋体" w:hAnsi="宋体" w:cs="宋体"/>
                <w:color w:val="000000"/>
                <w:szCs w:val="21"/>
              </w:rPr>
              <w:t>8</w:t>
            </w:r>
          </w:p>
        </w:tc>
        <w:tc>
          <w:tcPr>
            <w:tcW w:w="942" w:type="dxa"/>
            <w:vAlign w:val="center"/>
          </w:tcPr>
          <w:p w14:paraId="449E5FFC">
            <w:pPr>
              <w:spacing w:line="460" w:lineRule="exact"/>
              <w:jc w:val="center"/>
              <w:rPr>
                <w:rFonts w:ascii="宋体" w:hAnsi="宋体" w:cs="宋体"/>
                <w:color w:val="000000"/>
                <w:szCs w:val="21"/>
              </w:rPr>
            </w:pPr>
            <w:r>
              <w:rPr>
                <w:rFonts w:hint="eastAsia" w:ascii="宋体" w:hAnsi="宋体" w:cs="宋体"/>
                <w:color w:val="000000"/>
                <w:szCs w:val="21"/>
              </w:rPr>
              <w:t>29.1</w:t>
            </w:r>
          </w:p>
        </w:tc>
        <w:tc>
          <w:tcPr>
            <w:tcW w:w="1775" w:type="dxa"/>
            <w:vAlign w:val="center"/>
          </w:tcPr>
          <w:p w14:paraId="2B1E36F8">
            <w:pPr>
              <w:spacing w:line="460" w:lineRule="exact"/>
              <w:jc w:val="center"/>
              <w:rPr>
                <w:rFonts w:ascii="宋体" w:hAnsi="宋体" w:cs="宋体"/>
                <w:color w:val="000000"/>
                <w:szCs w:val="21"/>
              </w:rPr>
            </w:pPr>
            <w:r>
              <w:rPr>
                <w:rFonts w:hint="eastAsia" w:ascii="宋体" w:hAnsi="宋体" w:cs="宋体"/>
                <w:color w:val="000000"/>
                <w:szCs w:val="21"/>
              </w:rPr>
              <w:t>签订合同时间</w:t>
            </w:r>
          </w:p>
        </w:tc>
        <w:tc>
          <w:tcPr>
            <w:tcW w:w="6405" w:type="dxa"/>
          </w:tcPr>
          <w:p w14:paraId="23794410">
            <w:pPr>
              <w:spacing w:line="460" w:lineRule="exact"/>
              <w:rPr>
                <w:rFonts w:ascii="宋体" w:hAnsi="宋体" w:cs="宋体"/>
                <w:color w:val="000000"/>
                <w:szCs w:val="21"/>
              </w:rPr>
            </w:pPr>
            <w:r>
              <w:rPr>
                <w:rFonts w:hint="eastAsia" w:ascii="宋体" w:hAnsi="宋体" w:cs="宋体"/>
                <w:bCs/>
                <w:color w:val="000000"/>
                <w:kern w:val="0"/>
                <w:szCs w:val="21"/>
              </w:rPr>
              <w:t>自成交通知书发出之日起8个工作日内。</w:t>
            </w:r>
            <w:r>
              <w:rPr>
                <w:rFonts w:hint="eastAsia" w:ascii="宋体" w:hAnsi="宋体" w:cs="宋体"/>
                <w:color w:val="000000"/>
                <w:szCs w:val="21"/>
              </w:rPr>
              <w:t>成交供应商领取成交通知书后，应按规定与采购人签订合同。</w:t>
            </w:r>
          </w:p>
        </w:tc>
      </w:tr>
      <w:tr w14:paraId="2185E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662" w:type="dxa"/>
            <w:vAlign w:val="center"/>
          </w:tcPr>
          <w:p w14:paraId="7C22CBBA">
            <w:pPr>
              <w:spacing w:line="460" w:lineRule="exact"/>
              <w:jc w:val="center"/>
              <w:rPr>
                <w:rFonts w:ascii="宋体" w:hAnsi="宋体" w:cs="宋体"/>
                <w:color w:val="000000"/>
                <w:szCs w:val="21"/>
              </w:rPr>
            </w:pPr>
            <w:r>
              <w:rPr>
                <w:rFonts w:hint="eastAsia" w:ascii="宋体" w:hAnsi="宋体" w:cs="宋体"/>
                <w:color w:val="000000"/>
                <w:szCs w:val="21"/>
              </w:rPr>
              <w:t>1</w:t>
            </w:r>
            <w:r>
              <w:rPr>
                <w:rFonts w:ascii="宋体" w:hAnsi="宋体" w:cs="宋体"/>
                <w:color w:val="000000"/>
                <w:szCs w:val="21"/>
              </w:rPr>
              <w:t>9</w:t>
            </w:r>
          </w:p>
        </w:tc>
        <w:tc>
          <w:tcPr>
            <w:tcW w:w="942" w:type="dxa"/>
            <w:vAlign w:val="center"/>
          </w:tcPr>
          <w:p w14:paraId="5E18D222">
            <w:pPr>
              <w:spacing w:line="460" w:lineRule="exact"/>
              <w:jc w:val="center"/>
              <w:rPr>
                <w:rFonts w:ascii="宋体" w:hAnsi="宋体" w:cs="宋体"/>
                <w:color w:val="000000"/>
                <w:szCs w:val="21"/>
              </w:rPr>
            </w:pPr>
            <w:r>
              <w:rPr>
                <w:rFonts w:hint="eastAsia" w:ascii="宋体" w:hAnsi="宋体" w:cs="宋体"/>
                <w:color w:val="000000"/>
                <w:szCs w:val="21"/>
              </w:rPr>
              <w:t>29.3</w:t>
            </w:r>
          </w:p>
        </w:tc>
        <w:tc>
          <w:tcPr>
            <w:tcW w:w="1775" w:type="dxa"/>
            <w:vAlign w:val="center"/>
          </w:tcPr>
          <w:p w14:paraId="574C84FE">
            <w:pPr>
              <w:spacing w:line="460" w:lineRule="exact"/>
              <w:jc w:val="center"/>
              <w:rPr>
                <w:rFonts w:ascii="宋体" w:hAnsi="宋体" w:cs="宋体"/>
                <w:color w:val="000000"/>
                <w:szCs w:val="21"/>
              </w:rPr>
            </w:pPr>
            <w:r>
              <w:rPr>
                <w:rFonts w:hint="eastAsia" w:ascii="宋体" w:hAnsi="宋体" w:cs="宋体"/>
                <w:color w:val="000000"/>
                <w:szCs w:val="21"/>
              </w:rPr>
              <w:t>合同备案存档</w:t>
            </w:r>
          </w:p>
        </w:tc>
        <w:tc>
          <w:tcPr>
            <w:tcW w:w="6405" w:type="dxa"/>
            <w:vAlign w:val="center"/>
          </w:tcPr>
          <w:p w14:paraId="120235B5">
            <w:pPr>
              <w:spacing w:line="460" w:lineRule="exact"/>
              <w:rPr>
                <w:rFonts w:ascii="宋体" w:hAnsi="宋体" w:cs="宋体"/>
                <w:color w:val="000000"/>
                <w:szCs w:val="21"/>
              </w:rPr>
            </w:pPr>
            <w:r>
              <w:rPr>
                <w:rFonts w:hint="eastAsia" w:ascii="宋体" w:hAnsi="宋体" w:cs="宋体"/>
                <w:bCs/>
                <w:color w:val="000000"/>
                <w:kern w:val="0"/>
                <w:szCs w:val="21"/>
              </w:rPr>
              <w:t>政府采购合同双方自签订之日起1个工作日内将合同原件两份交采购代理机构。采购代理机构将政府采购合同在省级以上人民政府财政部门指定媒体上公告并于合同签订之日起7个工作日内将一份合同原件送监督管理部门备案，一份由采购代理机构存档。</w:t>
            </w:r>
          </w:p>
        </w:tc>
      </w:tr>
      <w:tr w14:paraId="412C3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662" w:type="dxa"/>
            <w:vAlign w:val="center"/>
          </w:tcPr>
          <w:p w14:paraId="2DC5C8EB">
            <w:pPr>
              <w:spacing w:line="460" w:lineRule="exact"/>
              <w:jc w:val="center"/>
              <w:rPr>
                <w:rFonts w:ascii="宋体" w:hAnsi="宋体" w:cs="宋体"/>
                <w:color w:val="000000"/>
                <w:szCs w:val="21"/>
              </w:rPr>
            </w:pPr>
            <w:r>
              <w:rPr>
                <w:rFonts w:ascii="宋体" w:hAnsi="宋体" w:cs="宋体"/>
                <w:color w:val="000000"/>
                <w:szCs w:val="21"/>
              </w:rPr>
              <w:t>20</w:t>
            </w:r>
          </w:p>
        </w:tc>
        <w:tc>
          <w:tcPr>
            <w:tcW w:w="942" w:type="dxa"/>
            <w:vAlign w:val="center"/>
          </w:tcPr>
          <w:p w14:paraId="18EFB097">
            <w:pPr>
              <w:spacing w:line="460" w:lineRule="exact"/>
              <w:jc w:val="center"/>
              <w:rPr>
                <w:rFonts w:ascii="宋体" w:hAnsi="宋体" w:cs="宋体"/>
                <w:color w:val="000000"/>
                <w:szCs w:val="21"/>
              </w:rPr>
            </w:pPr>
            <w:r>
              <w:rPr>
                <w:rFonts w:hint="eastAsia" w:ascii="宋体" w:hAnsi="宋体" w:cs="宋体"/>
                <w:color w:val="000000"/>
                <w:szCs w:val="21"/>
              </w:rPr>
              <w:t>30</w:t>
            </w:r>
          </w:p>
        </w:tc>
        <w:tc>
          <w:tcPr>
            <w:tcW w:w="1775" w:type="dxa"/>
            <w:vAlign w:val="center"/>
          </w:tcPr>
          <w:p w14:paraId="56174D9D">
            <w:pPr>
              <w:spacing w:line="460" w:lineRule="exact"/>
              <w:jc w:val="center"/>
              <w:rPr>
                <w:rFonts w:ascii="宋体" w:hAnsi="宋体" w:cs="宋体"/>
                <w:color w:val="000000"/>
                <w:szCs w:val="21"/>
              </w:rPr>
            </w:pPr>
            <w:r>
              <w:rPr>
                <w:rFonts w:hint="eastAsia" w:ascii="宋体" w:hAnsi="宋体" w:cs="宋体"/>
                <w:color w:val="000000"/>
                <w:szCs w:val="21"/>
              </w:rPr>
              <w:t>采购代理服务费</w:t>
            </w:r>
          </w:p>
        </w:tc>
        <w:tc>
          <w:tcPr>
            <w:tcW w:w="6405" w:type="dxa"/>
          </w:tcPr>
          <w:p w14:paraId="4EE040EE">
            <w:pPr>
              <w:spacing w:line="460" w:lineRule="exact"/>
              <w:rPr>
                <w:rFonts w:ascii="宋体" w:hAnsi="宋体" w:cs="宋体"/>
                <w:color w:val="000000"/>
                <w:szCs w:val="21"/>
              </w:rPr>
            </w:pPr>
            <w:r>
              <w:rPr>
                <w:rFonts w:hint="eastAsia" w:ascii="宋体" w:hAnsi="宋体" w:cs="宋体"/>
                <w:szCs w:val="21"/>
              </w:rPr>
              <w:t>成交供应商在项目政府采购合同签订前，向采购代理机构一次性付清采购代理服务费，本项目采购代理服务收费标准参照计价格[2002]1980号《招标代理服务收费管理暂行办法》工程类收费标准向成交供应商收取。</w:t>
            </w:r>
          </w:p>
        </w:tc>
      </w:tr>
      <w:tr w14:paraId="6A991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662" w:type="dxa"/>
            <w:vAlign w:val="center"/>
          </w:tcPr>
          <w:p w14:paraId="0A8F2E65">
            <w:pPr>
              <w:spacing w:line="460" w:lineRule="exact"/>
              <w:jc w:val="center"/>
              <w:rPr>
                <w:rFonts w:ascii="宋体" w:hAnsi="宋体" w:cs="宋体"/>
                <w:color w:val="000000"/>
                <w:szCs w:val="21"/>
              </w:rPr>
            </w:pPr>
            <w:r>
              <w:rPr>
                <w:rFonts w:ascii="宋体" w:hAnsi="宋体" w:cs="宋体"/>
                <w:color w:val="000000"/>
                <w:szCs w:val="21"/>
              </w:rPr>
              <w:t>21</w:t>
            </w:r>
          </w:p>
        </w:tc>
        <w:tc>
          <w:tcPr>
            <w:tcW w:w="942" w:type="dxa"/>
            <w:vAlign w:val="center"/>
          </w:tcPr>
          <w:p w14:paraId="7D07C928">
            <w:pPr>
              <w:spacing w:line="460" w:lineRule="exact"/>
              <w:jc w:val="center"/>
              <w:rPr>
                <w:rFonts w:ascii="宋体" w:hAnsi="宋体" w:cs="宋体"/>
                <w:color w:val="000000"/>
                <w:szCs w:val="21"/>
              </w:rPr>
            </w:pPr>
            <w:r>
              <w:rPr>
                <w:rFonts w:hint="eastAsia" w:ascii="宋体" w:hAnsi="宋体" w:cs="宋体"/>
                <w:color w:val="000000"/>
                <w:szCs w:val="21"/>
              </w:rPr>
              <w:t>31</w:t>
            </w:r>
          </w:p>
        </w:tc>
        <w:tc>
          <w:tcPr>
            <w:tcW w:w="1775" w:type="dxa"/>
            <w:vAlign w:val="center"/>
          </w:tcPr>
          <w:p w14:paraId="584AE465">
            <w:pPr>
              <w:spacing w:line="460" w:lineRule="exact"/>
              <w:jc w:val="center"/>
              <w:rPr>
                <w:rFonts w:ascii="宋体" w:hAnsi="宋体" w:cs="宋体"/>
                <w:color w:val="000000"/>
                <w:szCs w:val="21"/>
              </w:rPr>
            </w:pPr>
            <w:r>
              <w:rPr>
                <w:rFonts w:hint="eastAsia" w:ascii="宋体" w:hAnsi="宋体" w:cs="宋体"/>
                <w:color w:val="000000"/>
                <w:szCs w:val="21"/>
              </w:rPr>
              <w:t>编制依据</w:t>
            </w:r>
          </w:p>
        </w:tc>
        <w:tc>
          <w:tcPr>
            <w:tcW w:w="6405" w:type="dxa"/>
          </w:tcPr>
          <w:p w14:paraId="04C446B1">
            <w:pPr>
              <w:spacing w:line="460" w:lineRule="exact"/>
              <w:rPr>
                <w:rFonts w:ascii="宋体" w:hAnsi="宋体" w:cs="宋体"/>
                <w:color w:val="000000"/>
                <w:szCs w:val="21"/>
              </w:rPr>
            </w:pPr>
            <w:r>
              <w:rPr>
                <w:rFonts w:hint="eastAsia" w:ascii="宋体" w:hAnsi="宋体" w:cs="宋体"/>
                <w:color w:val="000000"/>
              </w:rPr>
              <w:t>本竞争性磋商文件是根据《中华人民共和国政府采购法》《中华人民共和国政府采购法实施条例》《政府采购竞争性磋商采购方式管理暂行办法》和政府采购管理有关规定编制。</w:t>
            </w:r>
          </w:p>
        </w:tc>
      </w:tr>
      <w:tr w14:paraId="2C800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662" w:type="dxa"/>
            <w:vAlign w:val="center"/>
          </w:tcPr>
          <w:p w14:paraId="685D789F">
            <w:pPr>
              <w:spacing w:line="460" w:lineRule="exact"/>
              <w:jc w:val="center"/>
              <w:rPr>
                <w:rFonts w:ascii="宋体" w:hAnsi="宋体" w:cs="宋体"/>
                <w:color w:val="000000"/>
                <w:szCs w:val="21"/>
              </w:rPr>
            </w:pPr>
            <w:r>
              <w:rPr>
                <w:rFonts w:hint="eastAsia" w:ascii="宋体" w:hAnsi="宋体" w:cs="宋体"/>
                <w:color w:val="000000"/>
                <w:szCs w:val="21"/>
              </w:rPr>
              <w:t>2</w:t>
            </w:r>
            <w:r>
              <w:rPr>
                <w:rFonts w:ascii="宋体" w:hAnsi="宋体" w:cs="宋体"/>
                <w:color w:val="000000"/>
                <w:szCs w:val="21"/>
              </w:rPr>
              <w:t>2</w:t>
            </w:r>
          </w:p>
        </w:tc>
        <w:tc>
          <w:tcPr>
            <w:tcW w:w="942" w:type="dxa"/>
            <w:vAlign w:val="center"/>
          </w:tcPr>
          <w:p w14:paraId="033FF462">
            <w:pPr>
              <w:spacing w:line="460" w:lineRule="exact"/>
              <w:jc w:val="center"/>
              <w:rPr>
                <w:rFonts w:ascii="宋体" w:hAnsi="宋体" w:cs="宋体"/>
                <w:color w:val="000000"/>
                <w:szCs w:val="21"/>
              </w:rPr>
            </w:pPr>
            <w:r>
              <w:rPr>
                <w:rFonts w:hint="eastAsia" w:ascii="宋体" w:hAnsi="宋体" w:cs="宋体"/>
                <w:color w:val="000000"/>
                <w:szCs w:val="21"/>
              </w:rPr>
              <w:t>32</w:t>
            </w:r>
          </w:p>
        </w:tc>
        <w:tc>
          <w:tcPr>
            <w:tcW w:w="1775" w:type="dxa"/>
            <w:vAlign w:val="center"/>
          </w:tcPr>
          <w:p w14:paraId="7CDD52E3">
            <w:pPr>
              <w:spacing w:line="460" w:lineRule="exact"/>
              <w:jc w:val="center"/>
              <w:rPr>
                <w:rFonts w:ascii="宋体" w:hAnsi="宋体" w:cs="宋体"/>
                <w:color w:val="000000"/>
                <w:szCs w:val="21"/>
              </w:rPr>
            </w:pPr>
            <w:r>
              <w:rPr>
                <w:rFonts w:hint="eastAsia" w:ascii="宋体" w:hAnsi="宋体" w:cs="宋体"/>
                <w:color w:val="000000"/>
                <w:szCs w:val="21"/>
              </w:rPr>
              <w:t>监督管理机构</w:t>
            </w:r>
          </w:p>
        </w:tc>
        <w:tc>
          <w:tcPr>
            <w:tcW w:w="6405" w:type="dxa"/>
            <w:vAlign w:val="center"/>
          </w:tcPr>
          <w:p w14:paraId="259FF7B0">
            <w:pPr>
              <w:spacing w:line="460" w:lineRule="exact"/>
              <w:rPr>
                <w:rFonts w:ascii="宋体" w:hAnsi="宋体" w:cs="宋体"/>
                <w:color w:val="000000"/>
                <w:szCs w:val="21"/>
              </w:rPr>
            </w:pPr>
            <w:r>
              <w:rPr>
                <w:rStyle w:val="34"/>
                <w:rFonts w:hint="eastAsia" w:ascii="宋体" w:hAnsi="宋体"/>
                <w:szCs w:val="21"/>
              </w:rPr>
              <w:t>平乐县政</w:t>
            </w:r>
            <w:r>
              <w:rPr>
                <w:rStyle w:val="34"/>
                <w:rFonts w:hint="eastAsia" w:ascii="宋体" w:hAnsi="宋体"/>
                <w:color w:val="000000"/>
                <w:szCs w:val="21"/>
              </w:rPr>
              <w:t>府采购办公室</w:t>
            </w:r>
            <w:r>
              <w:rPr>
                <w:rStyle w:val="34"/>
                <w:rFonts w:ascii="宋体" w:hAnsi="宋体"/>
                <w:color w:val="000000"/>
                <w:szCs w:val="21"/>
              </w:rPr>
              <w:t xml:space="preserve">      </w:t>
            </w:r>
            <w:r>
              <w:rPr>
                <w:rStyle w:val="34"/>
                <w:rFonts w:hint="eastAsia" w:ascii="宋体" w:hAnsi="宋体"/>
                <w:color w:val="000000"/>
                <w:szCs w:val="21"/>
              </w:rPr>
              <w:t>联系电话：</w:t>
            </w:r>
            <w:r>
              <w:rPr>
                <w:rStyle w:val="34"/>
                <w:rFonts w:ascii="宋体" w:hAnsi="宋体"/>
                <w:color w:val="000000"/>
                <w:szCs w:val="21"/>
              </w:rPr>
              <w:t>0773-7882157</w:t>
            </w:r>
          </w:p>
        </w:tc>
      </w:tr>
    </w:tbl>
    <w:p w14:paraId="53EC7C37">
      <w:pPr>
        <w:spacing w:line="460" w:lineRule="exact"/>
        <w:outlineLvl w:val="1"/>
        <w:rPr>
          <w:b/>
          <w:bCs/>
          <w:sz w:val="28"/>
          <w:szCs w:val="28"/>
        </w:rPr>
      </w:pPr>
      <w:bookmarkStart w:id="81" w:name="_Toc9480"/>
      <w:bookmarkStart w:id="82" w:name="_Toc22792"/>
    </w:p>
    <w:p w14:paraId="246DD7F6">
      <w:pPr>
        <w:spacing w:line="460" w:lineRule="exact"/>
        <w:jc w:val="center"/>
        <w:outlineLvl w:val="1"/>
        <w:rPr>
          <w:b/>
          <w:bCs/>
          <w:sz w:val="28"/>
          <w:szCs w:val="28"/>
        </w:rPr>
      </w:pPr>
    </w:p>
    <w:p w14:paraId="4DBC781A">
      <w:pPr>
        <w:pStyle w:val="13"/>
      </w:pPr>
    </w:p>
    <w:p w14:paraId="79210F58"/>
    <w:p w14:paraId="36CEE2C8">
      <w:pPr>
        <w:pStyle w:val="13"/>
      </w:pPr>
    </w:p>
    <w:p w14:paraId="4ED78C30"/>
    <w:p w14:paraId="40A08B20">
      <w:pPr>
        <w:pStyle w:val="13"/>
      </w:pPr>
    </w:p>
    <w:p w14:paraId="34D49975"/>
    <w:p w14:paraId="13F2F11B">
      <w:pPr>
        <w:pStyle w:val="13"/>
      </w:pPr>
    </w:p>
    <w:p w14:paraId="344EC511"/>
    <w:p w14:paraId="32E6A908">
      <w:pPr>
        <w:pStyle w:val="13"/>
      </w:pPr>
    </w:p>
    <w:p w14:paraId="512914CD"/>
    <w:p w14:paraId="59EEAF3D">
      <w:pPr>
        <w:pStyle w:val="13"/>
      </w:pPr>
    </w:p>
    <w:p w14:paraId="42116C68"/>
    <w:p w14:paraId="7978F6D8">
      <w:pPr>
        <w:pStyle w:val="13"/>
      </w:pPr>
    </w:p>
    <w:p w14:paraId="7629BC7E"/>
    <w:p w14:paraId="596555B8">
      <w:pPr>
        <w:pStyle w:val="13"/>
      </w:pPr>
    </w:p>
    <w:p w14:paraId="40EAE2F0"/>
    <w:p w14:paraId="0DA8C3E7">
      <w:pPr>
        <w:pStyle w:val="13"/>
      </w:pPr>
    </w:p>
    <w:p w14:paraId="659DF244"/>
    <w:p w14:paraId="30D8EF80">
      <w:pPr>
        <w:pStyle w:val="13"/>
      </w:pPr>
    </w:p>
    <w:p w14:paraId="57B48C4F"/>
    <w:p w14:paraId="599720E3">
      <w:pPr>
        <w:pStyle w:val="13"/>
      </w:pPr>
    </w:p>
    <w:p w14:paraId="2662020F"/>
    <w:p w14:paraId="7BAF9219">
      <w:pPr>
        <w:pStyle w:val="13"/>
      </w:pPr>
    </w:p>
    <w:p w14:paraId="01FD64E4"/>
    <w:p w14:paraId="6A514FA6">
      <w:pPr>
        <w:pStyle w:val="13"/>
      </w:pPr>
    </w:p>
    <w:p w14:paraId="0EEA9DDE"/>
    <w:p w14:paraId="5F9F03B7">
      <w:pPr>
        <w:pStyle w:val="13"/>
      </w:pPr>
    </w:p>
    <w:p w14:paraId="68AECC7E"/>
    <w:p w14:paraId="60A56647">
      <w:pPr>
        <w:pStyle w:val="13"/>
      </w:pPr>
    </w:p>
    <w:p w14:paraId="5C5311C1"/>
    <w:p w14:paraId="23DCABD4"/>
    <w:p w14:paraId="3C8D9E3D"/>
    <w:p w14:paraId="59C85DCB">
      <w:pPr>
        <w:pStyle w:val="13"/>
      </w:pPr>
    </w:p>
    <w:p w14:paraId="254BE362"/>
    <w:p w14:paraId="3D011480">
      <w:pPr>
        <w:pStyle w:val="13"/>
      </w:pPr>
    </w:p>
    <w:p w14:paraId="2BC9885B"/>
    <w:p w14:paraId="2F9A6376">
      <w:pPr>
        <w:pStyle w:val="13"/>
      </w:pPr>
    </w:p>
    <w:p w14:paraId="3A7753EF"/>
    <w:p w14:paraId="4C398862">
      <w:pPr>
        <w:pStyle w:val="13"/>
      </w:pPr>
    </w:p>
    <w:p w14:paraId="42B11063"/>
    <w:p w14:paraId="5ECEF742">
      <w:pPr>
        <w:pStyle w:val="13"/>
      </w:pPr>
    </w:p>
    <w:p w14:paraId="07DAA3AC">
      <w:pPr>
        <w:pStyle w:val="13"/>
      </w:pPr>
    </w:p>
    <w:p w14:paraId="152FD98B">
      <w:pPr>
        <w:spacing w:line="460" w:lineRule="exact"/>
        <w:jc w:val="center"/>
        <w:outlineLvl w:val="1"/>
        <w:rPr>
          <w:b/>
          <w:bCs/>
          <w:sz w:val="28"/>
          <w:szCs w:val="28"/>
        </w:rPr>
      </w:pPr>
      <w:r>
        <w:rPr>
          <w:rFonts w:hint="eastAsia"/>
          <w:b/>
          <w:bCs/>
          <w:sz w:val="28"/>
          <w:szCs w:val="28"/>
        </w:rPr>
        <w:t>一、总则</w:t>
      </w:r>
      <w:bookmarkEnd w:id="81"/>
      <w:bookmarkEnd w:id="82"/>
    </w:p>
    <w:p w14:paraId="62BEC29F">
      <w:pPr>
        <w:pStyle w:val="6"/>
        <w:spacing w:line="400" w:lineRule="exact"/>
        <w:ind w:firstLine="422" w:firstLineChars="200"/>
        <w:rPr>
          <w:rFonts w:ascii="宋体" w:hAnsi="宋体" w:cs="宋体"/>
          <w:color w:val="000000"/>
          <w:sz w:val="21"/>
          <w:szCs w:val="21"/>
        </w:rPr>
      </w:pPr>
      <w:bookmarkStart w:id="83" w:name="_Toc25853"/>
      <w:bookmarkStart w:id="84" w:name="_Toc6626"/>
      <w:r>
        <w:rPr>
          <w:rFonts w:hint="eastAsia" w:ascii="宋体" w:hAnsi="宋体" w:cs="宋体"/>
          <w:color w:val="000000"/>
          <w:sz w:val="21"/>
          <w:szCs w:val="21"/>
        </w:rPr>
        <w:t>1. 适应范围</w:t>
      </w:r>
      <w:bookmarkEnd w:id="83"/>
      <w:bookmarkEnd w:id="84"/>
    </w:p>
    <w:p w14:paraId="0B57F95C">
      <w:pPr>
        <w:spacing w:line="400" w:lineRule="exact"/>
        <w:ind w:firstLine="435"/>
        <w:rPr>
          <w:rFonts w:ascii="宋体" w:hAnsi="宋体" w:cs="宋体"/>
          <w:color w:val="000000"/>
          <w:szCs w:val="21"/>
        </w:rPr>
      </w:pPr>
      <w:r>
        <w:rPr>
          <w:rFonts w:hint="eastAsia" w:ascii="宋体" w:hAnsi="宋体" w:cs="宋体"/>
          <w:color w:val="000000"/>
          <w:szCs w:val="21"/>
        </w:rPr>
        <w:t>1.1  项目名称及项目编号：</w:t>
      </w:r>
    </w:p>
    <w:p w14:paraId="35A9CAAE">
      <w:pPr>
        <w:spacing w:line="400" w:lineRule="exact"/>
        <w:ind w:firstLine="420" w:firstLineChars="200"/>
        <w:rPr>
          <w:rFonts w:hint="default" w:ascii="宋体" w:hAnsi="宋体" w:cs="宋体"/>
          <w:color w:val="000000"/>
          <w:szCs w:val="21"/>
          <w:lang w:val="en-US"/>
        </w:rPr>
      </w:pPr>
      <w:r>
        <w:rPr>
          <w:rFonts w:hint="eastAsia" w:ascii="宋体" w:hAnsi="宋体" w:cs="宋体"/>
          <w:color w:val="000000"/>
          <w:szCs w:val="21"/>
        </w:rPr>
        <w:t>项目名称：</w:t>
      </w:r>
      <w:r>
        <w:rPr>
          <w:rFonts w:hint="eastAsia" w:ascii="宋体" w:hAnsi="宋体" w:cs="宋体"/>
          <w:color w:val="000000"/>
          <w:szCs w:val="21"/>
          <w:lang w:val="en-US" w:eastAsia="zh-CN"/>
        </w:rPr>
        <w:t xml:space="preserve">  </w:t>
      </w:r>
    </w:p>
    <w:p w14:paraId="7534581E">
      <w:pPr>
        <w:spacing w:line="400" w:lineRule="exact"/>
        <w:ind w:firstLine="420" w:firstLineChars="200"/>
        <w:rPr>
          <w:rFonts w:ascii="宋体" w:hAnsi="宋体" w:cs="宋体"/>
          <w:color w:val="000000"/>
          <w:szCs w:val="21"/>
        </w:rPr>
      </w:pPr>
      <w:r>
        <w:rPr>
          <w:rFonts w:hint="eastAsia" w:ascii="宋体" w:hAnsi="宋体" w:cs="宋体"/>
          <w:color w:val="000000"/>
          <w:szCs w:val="21"/>
        </w:rPr>
        <w:t>项目编号：</w:t>
      </w:r>
      <w:r>
        <w:rPr>
          <w:rFonts w:hint="eastAsia" w:ascii="宋体" w:hAnsi="宋体" w:cs="宋体"/>
          <w:szCs w:val="21"/>
          <w:lang w:eastAsia="zh-CN"/>
        </w:rPr>
        <w:t>GLZC2026-C2-300054-GXDH</w:t>
      </w:r>
    </w:p>
    <w:p w14:paraId="46F5B7BA">
      <w:pPr>
        <w:spacing w:line="400" w:lineRule="exact"/>
        <w:ind w:firstLine="411" w:firstLineChars="196"/>
        <w:rPr>
          <w:rFonts w:ascii="宋体" w:hAnsi="宋体" w:cs="宋体"/>
          <w:color w:val="000000"/>
          <w:szCs w:val="21"/>
        </w:rPr>
      </w:pPr>
      <w:r>
        <w:rPr>
          <w:rFonts w:hint="eastAsia" w:ascii="宋体" w:hAnsi="宋体" w:cs="宋体"/>
          <w:color w:val="000000"/>
          <w:szCs w:val="21"/>
        </w:rPr>
        <w:t>1.2本竞争性磋商文件（以下简称磋商文件）适用于本磋商项目的磋商、评审、合同履约、验收、付款等行为（法律、法规另有规定的，从其规定）。</w:t>
      </w:r>
    </w:p>
    <w:p w14:paraId="66EB162A">
      <w:pPr>
        <w:pStyle w:val="6"/>
        <w:spacing w:line="400" w:lineRule="exact"/>
        <w:ind w:firstLine="422" w:firstLineChars="200"/>
        <w:rPr>
          <w:rFonts w:ascii="宋体" w:hAnsi="宋体" w:cs="宋体"/>
          <w:color w:val="000000"/>
          <w:sz w:val="21"/>
          <w:szCs w:val="21"/>
        </w:rPr>
      </w:pPr>
      <w:bookmarkStart w:id="85" w:name="_Toc28671"/>
      <w:bookmarkStart w:id="86" w:name="_Toc28336"/>
      <w:r>
        <w:rPr>
          <w:rFonts w:hint="eastAsia" w:ascii="宋体" w:hAnsi="宋体" w:cs="宋体"/>
          <w:color w:val="000000"/>
          <w:sz w:val="21"/>
          <w:szCs w:val="21"/>
        </w:rPr>
        <w:t>2. 定义</w:t>
      </w:r>
      <w:bookmarkEnd w:id="85"/>
      <w:bookmarkEnd w:id="86"/>
    </w:p>
    <w:p w14:paraId="1EEB46F6">
      <w:pPr>
        <w:spacing w:line="400" w:lineRule="exact"/>
        <w:ind w:firstLine="435"/>
        <w:rPr>
          <w:rFonts w:ascii="宋体" w:hAnsi="宋体" w:cs="宋体"/>
          <w:szCs w:val="21"/>
        </w:rPr>
      </w:pPr>
      <w:r>
        <w:rPr>
          <w:rFonts w:hint="eastAsia" w:ascii="宋体" w:hAnsi="宋体" w:cs="宋体"/>
          <w:szCs w:val="21"/>
        </w:rPr>
        <w:t xml:space="preserve">2.1“竞标人”是指符合本次采购项目的竞标人资格并提交响应文件、参加磋商的竞标人。如果该竞标人在本次磋商中中标，即成为“成交人”。 </w:t>
      </w:r>
    </w:p>
    <w:p w14:paraId="50A6D5D3">
      <w:pPr>
        <w:spacing w:line="400" w:lineRule="exact"/>
        <w:ind w:firstLine="435"/>
        <w:rPr>
          <w:rFonts w:ascii="宋体" w:hAnsi="宋体" w:cs="宋体"/>
          <w:szCs w:val="21"/>
        </w:rPr>
      </w:pPr>
      <w:r>
        <w:rPr>
          <w:rFonts w:hint="eastAsia" w:ascii="宋体" w:hAnsi="宋体" w:cs="宋体"/>
          <w:szCs w:val="21"/>
        </w:rPr>
        <w:t>2.2“书面形式”包括信函、传真、电报等。</w:t>
      </w:r>
    </w:p>
    <w:p w14:paraId="0E692B79">
      <w:pPr>
        <w:spacing w:line="400" w:lineRule="exact"/>
        <w:ind w:firstLine="435"/>
        <w:rPr>
          <w:rFonts w:ascii="宋体" w:hAnsi="宋体" w:cs="宋体"/>
          <w:color w:val="000000"/>
          <w:szCs w:val="21"/>
        </w:rPr>
      </w:pPr>
      <w:r>
        <w:rPr>
          <w:rFonts w:hint="eastAsia" w:ascii="宋体" w:hAnsi="宋体" w:cs="宋体"/>
          <w:color w:val="000000"/>
          <w:szCs w:val="21"/>
        </w:rPr>
        <w:t>2.3“项目”系指供应商按磋商文件规定向采购人提供</w:t>
      </w:r>
      <w:r>
        <w:rPr>
          <w:rFonts w:hint="eastAsia" w:ascii="宋体" w:hAnsi="宋体" w:cs="宋体"/>
        </w:rPr>
        <w:t>施工图纸及工程量清单等所包含的施工内容</w:t>
      </w:r>
      <w:r>
        <w:rPr>
          <w:rFonts w:hint="eastAsia" w:ascii="宋体" w:hAnsi="宋体" w:cs="宋体"/>
          <w:color w:val="000000"/>
          <w:szCs w:val="21"/>
        </w:rPr>
        <w:t>。</w:t>
      </w:r>
    </w:p>
    <w:p w14:paraId="4B691FEC">
      <w:pPr>
        <w:spacing w:line="400" w:lineRule="exact"/>
        <w:ind w:firstLine="435"/>
        <w:rPr>
          <w:rFonts w:ascii="宋体" w:hAnsi="宋体" w:cs="宋体"/>
          <w:color w:val="000000"/>
          <w:szCs w:val="21"/>
        </w:rPr>
      </w:pPr>
      <w:r>
        <w:rPr>
          <w:rFonts w:hint="eastAsia" w:ascii="宋体" w:hAnsi="宋体" w:cs="宋体"/>
          <w:color w:val="000000"/>
          <w:szCs w:val="21"/>
        </w:rPr>
        <w:t>2.4“书面形式”包括信函、传真、电报等。</w:t>
      </w:r>
    </w:p>
    <w:p w14:paraId="1D0CE0AC">
      <w:pPr>
        <w:pStyle w:val="6"/>
        <w:spacing w:line="400" w:lineRule="exact"/>
        <w:ind w:firstLine="422" w:firstLineChars="200"/>
        <w:rPr>
          <w:rFonts w:ascii="宋体" w:hAnsi="宋体" w:cs="宋体"/>
          <w:sz w:val="21"/>
          <w:szCs w:val="21"/>
        </w:rPr>
      </w:pPr>
      <w:bookmarkStart w:id="87" w:name="_Toc25441"/>
      <w:bookmarkStart w:id="88" w:name="_Toc10187"/>
      <w:r>
        <w:rPr>
          <w:rFonts w:hint="eastAsia" w:ascii="宋体" w:hAnsi="宋体" w:cs="宋体"/>
          <w:color w:val="000000"/>
          <w:sz w:val="21"/>
          <w:szCs w:val="21"/>
        </w:rPr>
        <w:t>3. 供应商</w:t>
      </w:r>
      <w:r>
        <w:rPr>
          <w:rFonts w:hint="eastAsia" w:ascii="宋体" w:hAnsi="宋体" w:cs="宋体"/>
          <w:sz w:val="21"/>
          <w:szCs w:val="21"/>
        </w:rPr>
        <w:t>资格</w:t>
      </w:r>
      <w:bookmarkEnd w:id="87"/>
      <w:bookmarkEnd w:id="88"/>
      <w:r>
        <w:rPr>
          <w:rFonts w:hint="eastAsia" w:ascii="宋体" w:hAnsi="宋体" w:cs="宋体"/>
          <w:sz w:val="21"/>
          <w:szCs w:val="21"/>
        </w:rPr>
        <w:t>及计划工期和质量要求</w:t>
      </w:r>
    </w:p>
    <w:p w14:paraId="49C6EDCD">
      <w:pPr>
        <w:spacing w:line="400" w:lineRule="exact"/>
        <w:ind w:firstLine="435"/>
        <w:rPr>
          <w:rFonts w:ascii="宋体" w:hAnsi="宋体" w:cs="宋体"/>
          <w:bCs/>
          <w:szCs w:val="21"/>
        </w:rPr>
      </w:pPr>
      <w:r>
        <w:rPr>
          <w:rFonts w:hint="eastAsia" w:ascii="宋体" w:hAnsi="宋体" w:cs="宋体"/>
          <w:bCs/>
          <w:szCs w:val="21"/>
        </w:rPr>
        <w:t>3.1满足《中华人民共和国政府采购法》第二十二条规定；</w:t>
      </w:r>
    </w:p>
    <w:p w14:paraId="2F963678">
      <w:pPr>
        <w:spacing w:line="400" w:lineRule="exact"/>
        <w:ind w:firstLine="420" w:firstLineChars="200"/>
        <w:rPr>
          <w:rFonts w:ascii="宋体" w:hAnsi="宋体" w:cs="宋体"/>
          <w:b/>
          <w:bCs/>
          <w:szCs w:val="21"/>
        </w:rPr>
      </w:pPr>
      <w:bookmarkStart w:id="89" w:name="_Toc16496"/>
      <w:r>
        <w:rPr>
          <w:rFonts w:hint="eastAsia" w:ascii="宋体" w:hAnsi="宋体" w:cs="宋体"/>
          <w:szCs w:val="21"/>
        </w:rPr>
        <w:t>3.2落实政府采购政策需满足的资</w:t>
      </w:r>
      <w:r>
        <w:rPr>
          <w:rFonts w:hint="eastAsia" w:ascii="宋体" w:hAnsi="宋体" w:eastAsia="宋体" w:cs="宋体"/>
          <w:szCs w:val="21"/>
        </w:rPr>
        <w:t>格要求：</w:t>
      </w:r>
      <w:r>
        <w:rPr>
          <w:rFonts w:hint="eastAsia" w:ascii="宋体" w:hAnsi="宋体" w:eastAsia="宋体" w:cs="宋体"/>
          <w:color w:val="000000"/>
          <w:sz w:val="21"/>
          <w:szCs w:val="22"/>
          <w:lang w:val="en-US" w:eastAsia="en-US" w:bidi="ar-SA"/>
        </w:rPr>
        <w:t>本项目专门面向中小微企业采购；</w:t>
      </w:r>
    </w:p>
    <w:p w14:paraId="15741C08">
      <w:pPr>
        <w:spacing w:line="400" w:lineRule="exact"/>
        <w:ind w:firstLine="420" w:firstLineChars="200"/>
        <w:rPr>
          <w:rFonts w:ascii="宋体" w:hAnsi="宋体" w:cs="宋体"/>
        </w:rPr>
      </w:pPr>
      <w:bookmarkStart w:id="90" w:name="_Toc2468"/>
      <w:bookmarkStart w:id="91" w:name="_Toc5736"/>
      <w:bookmarkStart w:id="92" w:name="_Toc4527"/>
      <w:r>
        <w:rPr>
          <w:rFonts w:hint="eastAsia" w:ascii="宋体" w:hAnsi="宋体" w:cs="宋体"/>
          <w:szCs w:val="21"/>
        </w:rPr>
        <w:t>3.3本项目的特定资格要求：</w:t>
      </w:r>
      <w:bookmarkEnd w:id="90"/>
      <w:bookmarkEnd w:id="91"/>
      <w:bookmarkEnd w:id="92"/>
      <w:r>
        <w:rPr>
          <w:rFonts w:hint="eastAsia" w:ascii="宋体" w:hAnsi="宋体" w:cs="宋体"/>
        </w:rPr>
        <w:t>竞标人具备</w:t>
      </w:r>
      <w:r>
        <w:rPr>
          <w:rFonts w:hint="eastAsia" w:ascii="宋体" w:hAnsi="宋体" w:cs="宋体"/>
          <w:b/>
          <w:bCs/>
          <w:u w:val="single"/>
        </w:rPr>
        <w:t xml:space="preserve"> 市政公用工程施工总承包叁级（含以上级）资质或公路工程施工总承包叁级（含以上级）资质</w:t>
      </w:r>
      <w:r>
        <w:rPr>
          <w:rFonts w:hint="eastAsia" w:ascii="宋体" w:hAnsi="宋体" w:cs="宋体"/>
        </w:rPr>
        <w:t>，并在人员、设备、资金等方面具备相应的施工能力。其中，投标人拟派项目经理须具备</w:t>
      </w:r>
      <w:r>
        <w:rPr>
          <w:rFonts w:hint="eastAsia" w:ascii="宋体" w:hAnsi="宋体" w:cs="宋体"/>
          <w:b/>
        </w:rPr>
        <w:t>市政公用工程专业二级（含以上级）注册建造师或公路工程二级以上（含二级）注册建造师执业资格</w:t>
      </w:r>
      <w:r>
        <w:rPr>
          <w:rFonts w:hint="eastAsia" w:ascii="宋体" w:hAnsi="宋体" w:cs="宋体"/>
        </w:rPr>
        <w:t>注册建造师执业资格，具备有效的安全生产考核合格证书（B类）。</w:t>
      </w:r>
    </w:p>
    <w:p w14:paraId="2A059A27">
      <w:pPr>
        <w:pStyle w:val="13"/>
        <w:spacing w:line="400" w:lineRule="exact"/>
        <w:ind w:firstLine="420" w:firstLineChars="200"/>
        <w:rPr>
          <w:rFonts w:cs="宋体" w:asciiTheme="minorEastAsia" w:hAnsiTheme="minorEastAsia" w:eastAsiaTheme="minorEastAsia"/>
          <w:szCs w:val="21"/>
        </w:rPr>
      </w:pPr>
      <w:r>
        <w:rPr>
          <w:rFonts w:hint="eastAsia" w:asciiTheme="minorEastAsia" w:hAnsiTheme="minorEastAsia" w:eastAsiaTheme="minorEastAsia"/>
        </w:rPr>
        <w:t>3</w:t>
      </w:r>
      <w:r>
        <w:rPr>
          <w:rFonts w:asciiTheme="minorEastAsia" w:hAnsiTheme="minorEastAsia" w:eastAsiaTheme="minorEastAsia"/>
        </w:rPr>
        <w:t>.4</w:t>
      </w:r>
      <w:r>
        <w:rPr>
          <w:rFonts w:hint="eastAsia" w:cs="宋体" w:asciiTheme="minorEastAsia" w:hAnsiTheme="minorEastAsia" w:eastAsiaTheme="minorEastAsia"/>
          <w:szCs w:val="21"/>
        </w:rPr>
        <w:t>计划工期：</w:t>
      </w:r>
      <w:r>
        <w:rPr>
          <w:rFonts w:hint="eastAsia" w:cs="宋体" w:asciiTheme="minorEastAsia" w:hAnsiTheme="minorEastAsia" w:eastAsiaTheme="minorEastAsia"/>
          <w:szCs w:val="21"/>
          <w:u w:val="single"/>
        </w:rPr>
        <w:t>9</w:t>
      </w:r>
      <w:r>
        <w:rPr>
          <w:rFonts w:cs="宋体" w:asciiTheme="minorEastAsia" w:hAnsiTheme="minorEastAsia" w:eastAsiaTheme="minorEastAsia"/>
          <w:szCs w:val="21"/>
          <w:u w:val="single"/>
        </w:rPr>
        <w:t>0</w:t>
      </w:r>
      <w:r>
        <w:rPr>
          <w:rFonts w:hint="eastAsia" w:cs="宋体" w:asciiTheme="minorEastAsia" w:hAnsiTheme="minorEastAsia" w:eastAsiaTheme="minorEastAsia"/>
          <w:szCs w:val="21"/>
        </w:rPr>
        <w:t>日历天。</w:t>
      </w:r>
    </w:p>
    <w:p w14:paraId="002549B7">
      <w:pPr>
        <w:spacing w:line="400" w:lineRule="exact"/>
        <w:ind w:firstLine="420" w:firstLineChars="200"/>
        <w:rPr>
          <w:rFonts w:asciiTheme="minorEastAsia" w:hAnsiTheme="minorEastAsia" w:eastAsiaTheme="minorEastAsia"/>
        </w:rPr>
      </w:pPr>
      <w:r>
        <w:rPr>
          <w:rFonts w:hint="eastAsia" w:asciiTheme="minorEastAsia" w:hAnsiTheme="minorEastAsia" w:eastAsiaTheme="minorEastAsia"/>
        </w:rPr>
        <w:t>3</w:t>
      </w:r>
      <w:r>
        <w:rPr>
          <w:rFonts w:asciiTheme="minorEastAsia" w:hAnsiTheme="minorEastAsia" w:eastAsiaTheme="minorEastAsia"/>
        </w:rPr>
        <w:t>.5</w:t>
      </w:r>
      <w:r>
        <w:rPr>
          <w:rFonts w:hint="eastAsia" w:asciiTheme="minorEastAsia" w:hAnsiTheme="minorEastAsia" w:eastAsiaTheme="minorEastAsia"/>
        </w:rPr>
        <w:t>工程</w:t>
      </w:r>
      <w:r>
        <w:rPr>
          <w:spacing w:val="-3"/>
        </w:rPr>
        <w:t>质量要求</w:t>
      </w:r>
      <w:r>
        <w:rPr>
          <w:rFonts w:hint="eastAsia"/>
          <w:spacing w:val="-3"/>
        </w:rPr>
        <w:t>：</w:t>
      </w:r>
      <w:r>
        <w:rPr>
          <w:rFonts w:hint="eastAsia"/>
          <w:spacing w:val="-3"/>
          <w:u w:val="single"/>
        </w:rPr>
        <w:t>合格</w:t>
      </w:r>
      <w:r>
        <w:rPr>
          <w:rFonts w:hint="eastAsia"/>
          <w:spacing w:val="-3"/>
        </w:rPr>
        <w:t>。</w:t>
      </w:r>
    </w:p>
    <w:p w14:paraId="39C9C266">
      <w:pPr>
        <w:pStyle w:val="6"/>
        <w:spacing w:line="400" w:lineRule="exact"/>
        <w:ind w:firstLine="422" w:firstLineChars="200"/>
        <w:rPr>
          <w:rFonts w:ascii="宋体" w:hAnsi="宋体" w:cs="宋体"/>
          <w:color w:val="000000"/>
          <w:sz w:val="21"/>
          <w:szCs w:val="21"/>
        </w:rPr>
      </w:pPr>
      <w:bookmarkStart w:id="93" w:name="_Toc19795"/>
      <w:r>
        <w:rPr>
          <w:rFonts w:hint="eastAsia" w:ascii="宋体" w:hAnsi="宋体" w:cs="宋体"/>
          <w:color w:val="000000"/>
          <w:sz w:val="21"/>
          <w:szCs w:val="21"/>
        </w:rPr>
        <w:t>4. 磋商费用</w:t>
      </w:r>
      <w:bookmarkEnd w:id="89"/>
      <w:bookmarkEnd w:id="93"/>
    </w:p>
    <w:p w14:paraId="02839A3F">
      <w:pPr>
        <w:tabs>
          <w:tab w:val="left" w:pos="1635"/>
        </w:tabs>
        <w:spacing w:line="400" w:lineRule="exact"/>
        <w:ind w:firstLine="435"/>
        <w:rPr>
          <w:rFonts w:ascii="宋体" w:hAnsi="宋体" w:cs="宋体"/>
          <w:color w:val="000000"/>
          <w:szCs w:val="21"/>
        </w:rPr>
      </w:pPr>
      <w:r>
        <w:rPr>
          <w:rFonts w:hint="eastAsia" w:ascii="宋体" w:hAnsi="宋体" w:cs="宋体"/>
          <w:color w:val="000000"/>
          <w:szCs w:val="21"/>
        </w:rPr>
        <w:t>不论磋商结果如何，供应商均应自行承担所有与磋商有关的全部费用。</w:t>
      </w:r>
    </w:p>
    <w:p w14:paraId="61353EEC">
      <w:pPr>
        <w:pStyle w:val="6"/>
        <w:spacing w:line="400" w:lineRule="exact"/>
        <w:ind w:firstLine="422" w:firstLineChars="200"/>
        <w:rPr>
          <w:rFonts w:ascii="宋体" w:hAnsi="宋体" w:cs="宋体"/>
          <w:color w:val="000000"/>
          <w:sz w:val="21"/>
          <w:szCs w:val="21"/>
        </w:rPr>
      </w:pPr>
      <w:bookmarkStart w:id="94" w:name="_Toc30661"/>
      <w:bookmarkStart w:id="95" w:name="_Toc31376"/>
      <w:r>
        <w:rPr>
          <w:rFonts w:hint="eastAsia" w:ascii="宋体" w:hAnsi="宋体" w:cs="宋体"/>
          <w:color w:val="000000"/>
          <w:sz w:val="21"/>
          <w:szCs w:val="21"/>
        </w:rPr>
        <w:t>5. 联合体要求</w:t>
      </w:r>
      <w:bookmarkEnd w:id="94"/>
      <w:bookmarkEnd w:id="95"/>
    </w:p>
    <w:p w14:paraId="30E3E23D">
      <w:pPr>
        <w:spacing w:line="400" w:lineRule="exact"/>
        <w:ind w:firstLine="420" w:firstLineChars="200"/>
        <w:rPr>
          <w:rFonts w:ascii="宋体" w:hAnsi="宋体" w:cs="宋体"/>
          <w:bCs/>
          <w:color w:val="000000"/>
          <w:szCs w:val="21"/>
        </w:rPr>
      </w:pPr>
      <w:r>
        <w:rPr>
          <w:rFonts w:hint="eastAsia" w:ascii="宋体" w:hAnsi="宋体" w:cs="宋体"/>
          <w:bCs/>
          <w:color w:val="000000"/>
          <w:szCs w:val="21"/>
        </w:rPr>
        <w:t>本项目不接受联合体参与磋商</w:t>
      </w:r>
    </w:p>
    <w:p w14:paraId="6CB0ECAA">
      <w:pPr>
        <w:pStyle w:val="6"/>
        <w:spacing w:line="400" w:lineRule="exact"/>
        <w:ind w:firstLine="422" w:firstLineChars="200"/>
        <w:rPr>
          <w:rFonts w:ascii="宋体" w:hAnsi="宋体" w:cs="宋体"/>
          <w:color w:val="000000"/>
          <w:sz w:val="21"/>
          <w:szCs w:val="21"/>
        </w:rPr>
      </w:pPr>
      <w:bookmarkStart w:id="96" w:name="_Toc4152"/>
      <w:bookmarkStart w:id="97" w:name="_Toc17501"/>
      <w:r>
        <w:rPr>
          <w:rFonts w:hint="eastAsia" w:ascii="宋体" w:hAnsi="宋体" w:cs="宋体"/>
          <w:color w:val="000000"/>
          <w:sz w:val="21"/>
          <w:szCs w:val="21"/>
        </w:rPr>
        <w:t>6. 质疑和投诉</w:t>
      </w:r>
      <w:bookmarkEnd w:id="96"/>
      <w:bookmarkEnd w:id="97"/>
    </w:p>
    <w:p w14:paraId="5A3CBF31">
      <w:pPr>
        <w:tabs>
          <w:tab w:val="left" w:pos="2190"/>
        </w:tabs>
        <w:spacing w:line="400" w:lineRule="exact"/>
        <w:ind w:firstLine="435"/>
        <w:rPr>
          <w:rFonts w:ascii="宋体" w:hAnsi="宋体" w:cs="宋体"/>
          <w:color w:val="000000"/>
          <w:szCs w:val="21"/>
        </w:rPr>
      </w:pPr>
      <w:bookmarkStart w:id="98" w:name="_Toc8195"/>
      <w:bookmarkStart w:id="99" w:name="_Toc26087"/>
      <w:r>
        <w:rPr>
          <w:rFonts w:hint="eastAsia" w:ascii="宋体" w:hAnsi="宋体" w:cs="宋体"/>
          <w:color w:val="000000"/>
          <w:szCs w:val="21"/>
        </w:rPr>
        <w:t>6.1供应对政府采购活动事项有疑问的，可以向采购人提出询问。</w:t>
      </w:r>
      <w:r>
        <w:rPr>
          <w:rFonts w:hint="eastAsia" w:ascii="宋体" w:hAnsi="宋体" w:cs="宋体"/>
          <w:szCs w:val="21"/>
        </w:rPr>
        <w:t>采购人应当及时作出答复，但答复的内容不得涉及商业秘密。</w:t>
      </w:r>
    </w:p>
    <w:p w14:paraId="4E490BCE">
      <w:pPr>
        <w:tabs>
          <w:tab w:val="left" w:pos="2190"/>
        </w:tabs>
        <w:spacing w:line="400" w:lineRule="exact"/>
        <w:ind w:firstLine="435"/>
        <w:rPr>
          <w:rFonts w:ascii="宋体" w:hAnsi="宋体" w:cs="宋体"/>
          <w:color w:val="000000"/>
          <w:szCs w:val="21"/>
        </w:rPr>
      </w:pPr>
      <w:r>
        <w:rPr>
          <w:rFonts w:hint="eastAsia" w:ascii="宋体" w:hAnsi="宋体" w:cs="宋体"/>
          <w:color w:val="000000"/>
          <w:szCs w:val="21"/>
        </w:rPr>
        <w:t>6.2供应商认为磋商文件使自己的合法权益受到损害的，应当在竞争性磋商公告期限届满之日起七个工作日内，以书面形式向采购代理机构提出质疑。供应商认为采购过程或成交结果使自己的合法权益受到损害的，应当在各采购程序环节结束之日起七个工作日内，以书面形式向采购代理机构提出质疑。</w:t>
      </w:r>
      <w:r>
        <w:rPr>
          <w:rFonts w:hint="eastAsia"/>
        </w:rPr>
        <w:t>供应商在法定的质疑期内一次性提出针对同一采购程序环节的质疑，</w:t>
      </w:r>
      <w:r>
        <w:rPr>
          <w:rFonts w:hint="eastAsia" w:ascii="宋体" w:hAnsi="宋体" w:cs="宋体"/>
          <w:color w:val="000000"/>
          <w:szCs w:val="21"/>
        </w:rPr>
        <w:t>采购代理机构应认真做好质疑处理工作。</w:t>
      </w:r>
    </w:p>
    <w:p w14:paraId="38C50E20">
      <w:pPr>
        <w:tabs>
          <w:tab w:val="left" w:pos="2190"/>
        </w:tabs>
        <w:spacing w:line="400" w:lineRule="exact"/>
        <w:ind w:firstLine="435"/>
        <w:rPr>
          <w:rFonts w:ascii="宋体" w:hAnsi="宋体" w:cs="宋体"/>
          <w:color w:val="000000"/>
          <w:szCs w:val="21"/>
        </w:rPr>
      </w:pPr>
      <w:r>
        <w:rPr>
          <w:rFonts w:hint="eastAsia" w:ascii="宋体" w:hAnsi="宋体" w:cs="宋体"/>
          <w:color w:val="000000"/>
          <w:szCs w:val="21"/>
        </w:rPr>
        <w:t>6.3供应商对采购代理机构的质疑答复不满意或者采购代理机构未在规定的时间内作出答复的，可以在答复期满后十五个工作日内向广西壮族自治区商务厅投诉。</w:t>
      </w:r>
    </w:p>
    <w:p w14:paraId="6B30C3CA">
      <w:pPr>
        <w:tabs>
          <w:tab w:val="left" w:pos="2190"/>
        </w:tabs>
        <w:spacing w:line="400" w:lineRule="exact"/>
        <w:ind w:firstLine="435"/>
        <w:rPr>
          <w:rFonts w:ascii="宋体" w:hAnsi="宋体" w:cs="宋体"/>
          <w:color w:val="000000"/>
          <w:szCs w:val="21"/>
        </w:rPr>
      </w:pPr>
      <w:r>
        <w:rPr>
          <w:rFonts w:hint="eastAsia" w:ascii="宋体" w:hAnsi="宋体" w:cs="宋体"/>
          <w:color w:val="000000"/>
          <w:szCs w:val="21"/>
        </w:rPr>
        <w:t>6.4质疑、投诉应当采用书面形式，质疑书、投诉书实行实名制，均应明确阐述磋商文件、采购过程或成交结果中使自己合法权益受到损害的实质性内容，提供相关事实、明确的请求，并提供必要的证明材料。质疑函和投诉书格式详见附件。</w:t>
      </w:r>
    </w:p>
    <w:p w14:paraId="21EB1721">
      <w:pPr>
        <w:tabs>
          <w:tab w:val="left" w:pos="2190"/>
        </w:tabs>
        <w:spacing w:line="400" w:lineRule="exact"/>
        <w:ind w:firstLine="420" w:firstLineChars="200"/>
      </w:pPr>
      <w:r>
        <w:rPr>
          <w:rFonts w:hint="eastAsia" w:ascii="宋体" w:hAnsi="宋体" w:cs="宋体"/>
          <w:color w:val="000000"/>
          <w:szCs w:val="21"/>
        </w:rPr>
        <w:t>6.5</w:t>
      </w:r>
      <w:r>
        <w:rPr>
          <w:rFonts w:hint="eastAsia"/>
        </w:rPr>
        <w:t>质疑联系部门及联系方式：</w:t>
      </w:r>
    </w:p>
    <w:p w14:paraId="4AB273E6">
      <w:pPr>
        <w:tabs>
          <w:tab w:val="left" w:pos="2190"/>
        </w:tabs>
        <w:spacing w:line="400" w:lineRule="exact"/>
        <w:ind w:firstLine="435"/>
        <w:rPr>
          <w:rFonts w:asciiTheme="minorEastAsia" w:hAnsiTheme="minorEastAsia" w:eastAsiaTheme="minorEastAsia" w:cstheme="minorEastAsia"/>
        </w:rPr>
      </w:pPr>
      <w:r>
        <w:rPr>
          <w:rFonts w:hint="eastAsia"/>
        </w:rPr>
        <w:t xml:space="preserve">质疑联系部门：广西达华工程造价咨询有限责任公司 </w:t>
      </w:r>
      <w:r>
        <w:t xml:space="preserve">  </w:t>
      </w:r>
      <w:r>
        <w:rPr>
          <w:rFonts w:hint="eastAsia"/>
        </w:rPr>
        <w:t xml:space="preserve"> </w:t>
      </w:r>
      <w:r>
        <w:t xml:space="preserve">   </w:t>
      </w:r>
      <w:r>
        <w:rPr>
          <w:rFonts w:hint="eastAsia"/>
        </w:rPr>
        <w:t xml:space="preserve">  联系电话：</w:t>
      </w:r>
      <w:r>
        <w:rPr>
          <w:rFonts w:hint="eastAsia" w:asciiTheme="minorEastAsia" w:hAnsiTheme="minorEastAsia" w:eastAsiaTheme="minorEastAsia" w:cstheme="minorEastAsia"/>
        </w:rPr>
        <w:t>0773-7880100</w:t>
      </w:r>
    </w:p>
    <w:p w14:paraId="2B5E9EF7">
      <w:pPr>
        <w:tabs>
          <w:tab w:val="left" w:pos="2190"/>
        </w:tabs>
        <w:spacing w:line="400" w:lineRule="exact"/>
        <w:ind w:firstLine="435"/>
        <w:rPr>
          <w:rFonts w:ascii="宋体" w:hAnsi="宋体" w:cs="宋体"/>
        </w:rPr>
      </w:pPr>
      <w:r>
        <w:rPr>
          <w:rFonts w:hint="eastAsia"/>
        </w:rPr>
        <w:t>通讯地址：</w:t>
      </w:r>
      <w:r>
        <w:rPr>
          <w:rFonts w:hint="eastAsia" w:ascii="宋体" w:hAnsi="宋体" w:cs="宋体"/>
          <w:sz w:val="21"/>
          <w:szCs w:val="21"/>
          <w:u w:val="none"/>
          <w:lang w:eastAsia="zh-CN"/>
        </w:rPr>
        <w:t>广西平乐县平乐镇南洲村委中洲村3-35号</w:t>
      </w:r>
      <w:r>
        <w:rPr>
          <w:rFonts w:hint="eastAsia" w:ascii="宋体" w:hAnsi="宋体" w:cs="宋体"/>
        </w:rPr>
        <w:t xml:space="preserve">  </w:t>
      </w:r>
    </w:p>
    <w:p w14:paraId="0C1ACDF8">
      <w:pPr>
        <w:tabs>
          <w:tab w:val="left" w:pos="2190"/>
        </w:tabs>
        <w:spacing w:line="400" w:lineRule="exact"/>
        <w:ind w:firstLine="435"/>
        <w:rPr>
          <w:rFonts w:ascii="宋体" w:hAnsi="宋体" w:cs="宋体"/>
        </w:rPr>
      </w:pPr>
      <w:r>
        <w:rPr>
          <w:rFonts w:hint="eastAsia" w:ascii="宋体" w:hAnsi="宋体" w:cs="宋体"/>
        </w:rPr>
        <w:t>现场提交质疑办理业务时间（北京时间）：每天9时00分到12时00分，1</w:t>
      </w:r>
      <w:r>
        <w:rPr>
          <w:rFonts w:ascii="宋体" w:hAnsi="宋体" w:cs="宋体"/>
        </w:rPr>
        <w:t>5</w:t>
      </w:r>
      <w:r>
        <w:rPr>
          <w:rFonts w:hint="eastAsia" w:ascii="宋体" w:hAnsi="宋体" w:cs="宋体"/>
        </w:rPr>
        <w:t>时00分到17时</w:t>
      </w:r>
      <w:r>
        <w:rPr>
          <w:rFonts w:ascii="宋体" w:hAnsi="宋体" w:cs="宋体"/>
        </w:rPr>
        <w:t>3</w:t>
      </w:r>
      <w:r>
        <w:rPr>
          <w:rFonts w:hint="eastAsia" w:ascii="宋体" w:hAnsi="宋体" w:cs="宋体"/>
        </w:rPr>
        <w:t>0分，业务时间以外、双休日和法定节假日不办理业务。</w:t>
      </w:r>
    </w:p>
    <w:bookmarkEnd w:id="98"/>
    <w:bookmarkEnd w:id="99"/>
    <w:p w14:paraId="510D2AB0">
      <w:pPr>
        <w:pStyle w:val="6"/>
        <w:spacing w:line="400" w:lineRule="exact"/>
        <w:ind w:firstLine="422" w:firstLineChars="200"/>
        <w:rPr>
          <w:rFonts w:ascii="宋体" w:hAnsi="宋体" w:cs="宋体"/>
          <w:color w:val="000000"/>
          <w:sz w:val="21"/>
          <w:szCs w:val="21"/>
        </w:rPr>
      </w:pPr>
      <w:bookmarkStart w:id="100" w:name="_Toc13690"/>
      <w:bookmarkStart w:id="101" w:name="_Toc6998"/>
      <w:r>
        <w:rPr>
          <w:rFonts w:hint="eastAsia" w:ascii="宋体" w:hAnsi="宋体" w:cs="宋体"/>
          <w:color w:val="000000"/>
          <w:sz w:val="21"/>
          <w:szCs w:val="21"/>
        </w:rPr>
        <w:t>7. 转包与分包</w:t>
      </w:r>
      <w:bookmarkEnd w:id="100"/>
      <w:bookmarkEnd w:id="101"/>
    </w:p>
    <w:p w14:paraId="03BFCBF7">
      <w:pPr>
        <w:tabs>
          <w:tab w:val="left" w:pos="2190"/>
        </w:tabs>
        <w:spacing w:line="400" w:lineRule="exact"/>
        <w:ind w:firstLine="435"/>
        <w:rPr>
          <w:rFonts w:ascii="宋体" w:hAnsi="宋体" w:cs="宋体"/>
          <w:color w:val="000000"/>
          <w:szCs w:val="21"/>
        </w:rPr>
      </w:pPr>
      <w:r>
        <w:rPr>
          <w:rFonts w:hint="eastAsia" w:ascii="宋体" w:hAnsi="宋体" w:cs="宋体"/>
          <w:color w:val="000000"/>
          <w:szCs w:val="21"/>
        </w:rPr>
        <w:t>7.1 本项目不允许转包。</w:t>
      </w:r>
    </w:p>
    <w:p w14:paraId="3DED68EC">
      <w:pPr>
        <w:tabs>
          <w:tab w:val="left" w:pos="2190"/>
        </w:tabs>
        <w:spacing w:line="400" w:lineRule="exact"/>
        <w:ind w:firstLine="435"/>
        <w:rPr>
          <w:rFonts w:ascii="宋体" w:hAnsi="宋体" w:cs="宋体"/>
          <w:color w:val="000000"/>
          <w:szCs w:val="21"/>
        </w:rPr>
      </w:pPr>
      <w:r>
        <w:rPr>
          <w:rFonts w:hint="eastAsia" w:ascii="宋体" w:hAnsi="宋体" w:cs="宋体"/>
          <w:color w:val="000000"/>
          <w:szCs w:val="21"/>
        </w:rPr>
        <w:t>7.2 本项目不可以分包。</w:t>
      </w:r>
    </w:p>
    <w:p w14:paraId="7695D88E">
      <w:pPr>
        <w:pStyle w:val="6"/>
        <w:spacing w:line="400" w:lineRule="exact"/>
        <w:ind w:firstLine="422" w:firstLineChars="200"/>
        <w:rPr>
          <w:rFonts w:ascii="宋体" w:hAnsi="宋体" w:cs="宋体"/>
          <w:color w:val="000000"/>
          <w:sz w:val="21"/>
          <w:szCs w:val="21"/>
        </w:rPr>
      </w:pPr>
      <w:bookmarkStart w:id="102" w:name="_Toc28010"/>
      <w:bookmarkStart w:id="103" w:name="_Toc3368"/>
      <w:r>
        <w:rPr>
          <w:rFonts w:hint="eastAsia" w:ascii="宋体" w:hAnsi="宋体" w:cs="宋体"/>
          <w:color w:val="000000"/>
          <w:sz w:val="21"/>
          <w:szCs w:val="21"/>
        </w:rPr>
        <w:t>8. 特别说明</w:t>
      </w:r>
      <w:bookmarkEnd w:id="102"/>
      <w:bookmarkEnd w:id="103"/>
    </w:p>
    <w:p w14:paraId="24851E96">
      <w:pPr>
        <w:tabs>
          <w:tab w:val="left" w:pos="1635"/>
        </w:tabs>
        <w:spacing w:line="400" w:lineRule="exact"/>
        <w:ind w:firstLine="422" w:firstLineChars="200"/>
        <w:rPr>
          <w:rFonts w:ascii="宋体" w:hAnsi="宋体" w:cs="宋体"/>
          <w:b/>
          <w:color w:val="000000"/>
          <w:szCs w:val="21"/>
        </w:rPr>
      </w:pPr>
      <w:r>
        <w:rPr>
          <w:rFonts w:hint="eastAsia" w:ascii="宋体" w:hAnsi="宋体" w:cs="宋体"/>
          <w:b/>
          <w:color w:val="000000"/>
          <w:szCs w:val="21"/>
        </w:rPr>
        <w:t>8.1关联供应商不得参加同一合同项下政府采购活动，否则响应文件将被视为无效：</w:t>
      </w:r>
    </w:p>
    <w:p w14:paraId="29FC2D32">
      <w:pPr>
        <w:tabs>
          <w:tab w:val="left" w:pos="1635"/>
        </w:tabs>
        <w:spacing w:line="400" w:lineRule="exact"/>
        <w:ind w:firstLine="420" w:firstLineChars="200"/>
        <w:rPr>
          <w:rFonts w:ascii="宋体" w:hAnsi="宋体" w:cs="宋体"/>
          <w:color w:val="000000"/>
          <w:szCs w:val="21"/>
        </w:rPr>
      </w:pPr>
      <w:r>
        <w:rPr>
          <w:rFonts w:hint="eastAsia" w:ascii="宋体" w:hAnsi="宋体" w:cs="宋体"/>
          <w:color w:val="000000"/>
          <w:szCs w:val="21"/>
        </w:rPr>
        <w:t>（1）单位负责人为同一人或者存在直接控股、管理关系的，不得参加同一合同项下的政府采购活动。</w:t>
      </w:r>
    </w:p>
    <w:p w14:paraId="0419F067">
      <w:pPr>
        <w:tabs>
          <w:tab w:val="left" w:pos="1635"/>
        </w:tabs>
        <w:spacing w:line="400" w:lineRule="exact"/>
        <w:ind w:firstLine="420" w:firstLineChars="200"/>
        <w:rPr>
          <w:rFonts w:ascii="宋体" w:hAnsi="宋体" w:cs="宋体"/>
          <w:color w:val="000000"/>
          <w:szCs w:val="21"/>
        </w:rPr>
      </w:pPr>
      <w:r>
        <w:rPr>
          <w:rFonts w:hint="eastAsia" w:ascii="宋体" w:hAnsi="宋体" w:cs="宋体"/>
          <w:color w:val="000000"/>
          <w:szCs w:val="21"/>
        </w:rPr>
        <w:t>（2）为本采购项目提供整体设计、规范编制或者项目管理、监理、检测等服务的供应商，不得再参加本次采购活动。</w:t>
      </w:r>
    </w:p>
    <w:p w14:paraId="0A6A645D">
      <w:pPr>
        <w:pStyle w:val="13"/>
        <w:spacing w:line="400" w:lineRule="exact"/>
        <w:rPr>
          <w:rFonts w:ascii="宋体" w:hAnsi="宋体" w:cs="宋体"/>
          <w:color w:val="000000"/>
        </w:rPr>
      </w:pPr>
    </w:p>
    <w:p w14:paraId="7609B9BC">
      <w:pPr>
        <w:spacing w:line="400" w:lineRule="exact"/>
        <w:jc w:val="center"/>
        <w:outlineLvl w:val="1"/>
        <w:rPr>
          <w:b/>
          <w:bCs/>
          <w:sz w:val="28"/>
          <w:szCs w:val="28"/>
        </w:rPr>
      </w:pPr>
      <w:bookmarkStart w:id="104" w:name="_Toc22498"/>
      <w:bookmarkStart w:id="105" w:name="_Toc13302"/>
      <w:r>
        <w:rPr>
          <w:rFonts w:hint="eastAsia"/>
          <w:b/>
          <w:bCs/>
          <w:sz w:val="28"/>
          <w:szCs w:val="28"/>
        </w:rPr>
        <w:t>二、磋商文件</w:t>
      </w:r>
      <w:bookmarkEnd w:id="104"/>
      <w:bookmarkEnd w:id="105"/>
    </w:p>
    <w:p w14:paraId="5230EA35">
      <w:pPr>
        <w:pStyle w:val="6"/>
        <w:spacing w:line="400" w:lineRule="exact"/>
        <w:ind w:firstLine="422" w:firstLineChars="200"/>
        <w:rPr>
          <w:rFonts w:ascii="宋体" w:hAnsi="宋体" w:cs="宋体"/>
          <w:color w:val="000000"/>
          <w:sz w:val="21"/>
          <w:szCs w:val="21"/>
          <w:lang w:val="pt-BR"/>
        </w:rPr>
      </w:pPr>
      <w:bookmarkStart w:id="106" w:name="_Toc18964"/>
      <w:bookmarkStart w:id="107" w:name="_Toc9387"/>
      <w:r>
        <w:rPr>
          <w:rFonts w:hint="eastAsia" w:ascii="宋体" w:hAnsi="宋体" w:cs="宋体"/>
          <w:color w:val="000000"/>
          <w:sz w:val="21"/>
          <w:szCs w:val="21"/>
          <w:lang w:val="pt-BR"/>
        </w:rPr>
        <w:t xml:space="preserve">9. </w:t>
      </w:r>
      <w:r>
        <w:rPr>
          <w:rFonts w:hint="eastAsia" w:ascii="宋体" w:hAnsi="宋体" w:cs="宋体"/>
          <w:color w:val="000000"/>
          <w:sz w:val="21"/>
          <w:szCs w:val="21"/>
        </w:rPr>
        <w:t>磋商文件的构成</w:t>
      </w:r>
      <w:bookmarkEnd w:id="106"/>
      <w:bookmarkEnd w:id="107"/>
    </w:p>
    <w:p w14:paraId="7520979A">
      <w:pPr>
        <w:tabs>
          <w:tab w:val="left" w:pos="2190"/>
        </w:tabs>
        <w:spacing w:line="400" w:lineRule="exact"/>
        <w:ind w:firstLine="437"/>
        <w:rPr>
          <w:rFonts w:ascii="宋体" w:hAnsi="宋体" w:cs="宋体"/>
          <w:szCs w:val="21"/>
        </w:rPr>
      </w:pPr>
      <w:r>
        <w:rPr>
          <w:rFonts w:hint="eastAsia" w:ascii="宋体" w:hAnsi="宋体" w:cs="宋体"/>
          <w:szCs w:val="21"/>
        </w:rPr>
        <w:t>（1）竞争性磋商公告；</w:t>
      </w:r>
    </w:p>
    <w:p w14:paraId="14CBF325">
      <w:pPr>
        <w:tabs>
          <w:tab w:val="left" w:pos="2190"/>
        </w:tabs>
        <w:spacing w:line="400" w:lineRule="exact"/>
        <w:ind w:firstLine="437"/>
        <w:rPr>
          <w:rFonts w:ascii="宋体" w:hAnsi="宋体" w:cs="宋体"/>
          <w:szCs w:val="21"/>
        </w:rPr>
      </w:pPr>
      <w:r>
        <w:rPr>
          <w:rFonts w:hint="eastAsia" w:ascii="宋体" w:hAnsi="宋体" w:cs="宋体"/>
          <w:szCs w:val="21"/>
        </w:rPr>
        <w:t>（2）竞标人须知；</w:t>
      </w:r>
    </w:p>
    <w:p w14:paraId="56F631E5">
      <w:pPr>
        <w:tabs>
          <w:tab w:val="left" w:pos="2190"/>
        </w:tabs>
        <w:spacing w:line="400" w:lineRule="exact"/>
        <w:ind w:firstLine="437"/>
        <w:rPr>
          <w:rFonts w:ascii="宋体" w:hAnsi="宋体" w:cs="宋体"/>
          <w:szCs w:val="21"/>
        </w:rPr>
      </w:pPr>
      <w:r>
        <w:rPr>
          <w:rFonts w:hint="eastAsia" w:ascii="宋体" w:hAnsi="宋体" w:cs="宋体"/>
          <w:szCs w:val="21"/>
        </w:rPr>
        <w:t>（3）评标办法；</w:t>
      </w:r>
    </w:p>
    <w:p w14:paraId="421BC8F5">
      <w:pPr>
        <w:tabs>
          <w:tab w:val="left" w:pos="2190"/>
        </w:tabs>
        <w:spacing w:line="400" w:lineRule="exact"/>
        <w:ind w:firstLine="437"/>
        <w:rPr>
          <w:rFonts w:ascii="宋体" w:hAnsi="宋体" w:cs="宋体"/>
          <w:szCs w:val="21"/>
        </w:rPr>
      </w:pPr>
      <w:r>
        <w:rPr>
          <w:rFonts w:hint="eastAsia" w:ascii="宋体" w:hAnsi="宋体" w:cs="宋体"/>
          <w:szCs w:val="21"/>
        </w:rPr>
        <w:t>（4）采购合同（合同主要条款及格式）；</w:t>
      </w:r>
    </w:p>
    <w:p w14:paraId="2DB4044C">
      <w:pPr>
        <w:tabs>
          <w:tab w:val="left" w:pos="2190"/>
        </w:tabs>
        <w:spacing w:line="400" w:lineRule="exact"/>
        <w:ind w:firstLine="437"/>
        <w:rPr>
          <w:rFonts w:ascii="宋体" w:hAnsi="宋体" w:cs="宋体"/>
          <w:szCs w:val="21"/>
        </w:rPr>
      </w:pPr>
      <w:r>
        <w:rPr>
          <w:rFonts w:hint="eastAsia" w:ascii="宋体" w:hAnsi="宋体" w:cs="宋体"/>
          <w:szCs w:val="21"/>
        </w:rPr>
        <w:t>（5）工程量清单；</w:t>
      </w:r>
    </w:p>
    <w:p w14:paraId="1D5972DB">
      <w:pPr>
        <w:tabs>
          <w:tab w:val="left" w:pos="2190"/>
        </w:tabs>
        <w:spacing w:line="400" w:lineRule="exact"/>
        <w:ind w:firstLine="437"/>
        <w:rPr>
          <w:rFonts w:ascii="宋体" w:hAnsi="宋体" w:cs="宋体"/>
          <w:szCs w:val="21"/>
        </w:rPr>
      </w:pPr>
      <w:r>
        <w:rPr>
          <w:rFonts w:hint="eastAsia" w:ascii="宋体" w:hAnsi="宋体" w:cs="宋体"/>
          <w:szCs w:val="21"/>
        </w:rPr>
        <w:t>（6）图纸（如有另附）；</w:t>
      </w:r>
    </w:p>
    <w:p w14:paraId="419FA887">
      <w:pPr>
        <w:tabs>
          <w:tab w:val="left" w:pos="2190"/>
        </w:tabs>
        <w:spacing w:line="400" w:lineRule="exact"/>
        <w:ind w:firstLine="437"/>
        <w:rPr>
          <w:rFonts w:ascii="宋体" w:hAnsi="宋体" w:cs="宋体"/>
          <w:szCs w:val="21"/>
        </w:rPr>
      </w:pPr>
      <w:r>
        <w:rPr>
          <w:rFonts w:hint="eastAsia" w:ascii="宋体" w:hAnsi="宋体" w:cs="宋体"/>
          <w:szCs w:val="21"/>
        </w:rPr>
        <w:t>（7）技术标准；</w:t>
      </w:r>
    </w:p>
    <w:p w14:paraId="79E3DE1A">
      <w:pPr>
        <w:tabs>
          <w:tab w:val="left" w:pos="2190"/>
        </w:tabs>
        <w:spacing w:line="400" w:lineRule="exact"/>
        <w:ind w:firstLine="437"/>
        <w:rPr>
          <w:rFonts w:ascii="宋体" w:hAnsi="宋体" w:cs="宋体"/>
          <w:color w:val="000000"/>
          <w:szCs w:val="21"/>
        </w:rPr>
      </w:pPr>
      <w:r>
        <w:rPr>
          <w:rFonts w:hint="eastAsia" w:ascii="宋体" w:hAnsi="宋体" w:cs="宋体"/>
          <w:szCs w:val="21"/>
        </w:rPr>
        <w:t>（8）响应文件（格式）。</w:t>
      </w:r>
    </w:p>
    <w:p w14:paraId="1C0C09D9">
      <w:pPr>
        <w:pStyle w:val="6"/>
        <w:spacing w:line="400" w:lineRule="exact"/>
        <w:ind w:firstLine="422" w:firstLineChars="200"/>
        <w:rPr>
          <w:rFonts w:ascii="宋体" w:hAnsi="宋体" w:cs="宋体"/>
          <w:color w:val="000000"/>
          <w:sz w:val="21"/>
          <w:szCs w:val="21"/>
        </w:rPr>
      </w:pPr>
      <w:bookmarkStart w:id="108" w:name="_Toc9103"/>
      <w:bookmarkStart w:id="109" w:name="_Toc5939"/>
      <w:r>
        <w:rPr>
          <w:rFonts w:hint="eastAsia" w:ascii="宋体" w:hAnsi="宋体" w:cs="宋体"/>
          <w:color w:val="000000"/>
          <w:sz w:val="21"/>
          <w:szCs w:val="21"/>
        </w:rPr>
        <w:t>10. 磋商文件的澄清与修改</w:t>
      </w:r>
      <w:bookmarkEnd w:id="108"/>
      <w:bookmarkEnd w:id="109"/>
    </w:p>
    <w:p w14:paraId="7E2272D6">
      <w:pPr>
        <w:spacing w:line="400" w:lineRule="exact"/>
        <w:ind w:left="420" w:leftChars="200"/>
        <w:rPr>
          <w:rFonts w:ascii="宋体" w:hAnsi="宋体" w:cs="宋体"/>
          <w:color w:val="000000"/>
          <w:szCs w:val="21"/>
        </w:rPr>
      </w:pPr>
      <w:r>
        <w:rPr>
          <w:rFonts w:hint="eastAsia" w:ascii="宋体" w:hAnsi="宋体" w:cs="宋体"/>
          <w:color w:val="000000"/>
          <w:szCs w:val="21"/>
        </w:rPr>
        <w:t>10.1 提交首次响应文件截止之日前，采购代理机构可以对已发出的磋商文件进行必要澄清、答复、</w:t>
      </w:r>
    </w:p>
    <w:p w14:paraId="695A2F57">
      <w:pPr>
        <w:spacing w:line="400" w:lineRule="exact"/>
        <w:rPr>
          <w:rFonts w:ascii="宋体" w:hAnsi="宋体" w:cs="宋体"/>
          <w:color w:val="000000"/>
          <w:szCs w:val="21"/>
        </w:rPr>
      </w:pPr>
      <w:r>
        <w:rPr>
          <w:rFonts w:hint="eastAsia" w:ascii="宋体" w:hAnsi="宋体" w:cs="宋体"/>
          <w:color w:val="000000"/>
          <w:szCs w:val="21"/>
        </w:rPr>
        <w:t>修改或补充，澄清或者修改的内容可能影响响应文件编制的，澄清或者修改的内容作为磋商文件的组成部分。采购代理机构应当在提交首次响应文件递交截止时间五日前在本项目竞争性磋商公告发布的同一媒体上发布更正公告，不足五日的，应当顺延首次响应文件递交截止时间。</w:t>
      </w:r>
    </w:p>
    <w:p w14:paraId="4DBFD1A1">
      <w:pPr>
        <w:spacing w:line="400" w:lineRule="exact"/>
        <w:ind w:left="420" w:leftChars="200"/>
        <w:jc w:val="left"/>
        <w:rPr>
          <w:rFonts w:ascii="宋体" w:hAnsi="宋体" w:cs="宋体"/>
          <w:b/>
          <w:bCs/>
          <w:color w:val="000000"/>
          <w:szCs w:val="21"/>
        </w:rPr>
      </w:pPr>
      <w:r>
        <w:rPr>
          <w:rFonts w:hint="eastAsia" w:ascii="宋体" w:hAnsi="宋体" w:cs="宋体"/>
          <w:color w:val="000000"/>
          <w:szCs w:val="21"/>
        </w:rPr>
        <w:t>10.2</w:t>
      </w:r>
      <w:r>
        <w:rPr>
          <w:rFonts w:hint="eastAsia" w:ascii="宋体" w:hAnsi="宋体" w:cs="宋体"/>
          <w:b/>
          <w:bCs/>
          <w:color w:val="000000"/>
          <w:szCs w:val="21"/>
        </w:rPr>
        <w:t>供应商应实时关注本项目信息公告发布媒体相关网站了解澄清、修改等与项目有关的内容，如因供应商未及时登录相关网站了解澄清、修改等与项目有关的内容，从而导致响应文件无效的，由供应商自行承担责任。</w:t>
      </w:r>
    </w:p>
    <w:p w14:paraId="31FC57ED">
      <w:pPr>
        <w:spacing w:line="400" w:lineRule="exact"/>
        <w:ind w:left="420" w:leftChars="200"/>
        <w:jc w:val="left"/>
        <w:rPr>
          <w:rFonts w:ascii="宋体" w:hAnsi="宋体" w:cs="宋体"/>
          <w:color w:val="000000"/>
          <w:szCs w:val="21"/>
        </w:rPr>
      </w:pPr>
      <w:r>
        <w:rPr>
          <w:rFonts w:hint="eastAsia" w:ascii="宋体" w:hAnsi="宋体" w:cs="宋体"/>
          <w:color w:val="000000"/>
          <w:szCs w:val="21"/>
        </w:rPr>
        <w:t>10.3澄清或者修改的内容为磋商文件的组成部分。当澄清或者修改通知就同一内容的表述不一致</w:t>
      </w:r>
    </w:p>
    <w:p w14:paraId="3E39B056">
      <w:pPr>
        <w:spacing w:line="400" w:lineRule="exact"/>
        <w:jc w:val="left"/>
        <w:rPr>
          <w:rFonts w:ascii="宋体" w:hAnsi="宋体" w:cs="宋体"/>
          <w:color w:val="000000"/>
          <w:szCs w:val="21"/>
        </w:rPr>
      </w:pPr>
      <w:r>
        <w:rPr>
          <w:rFonts w:hint="eastAsia" w:ascii="宋体" w:hAnsi="宋体" w:cs="宋体"/>
          <w:color w:val="000000"/>
          <w:szCs w:val="21"/>
        </w:rPr>
        <w:t>时，以最后发出的文件为准。</w:t>
      </w:r>
    </w:p>
    <w:p w14:paraId="4A385C2D">
      <w:pPr>
        <w:spacing w:line="400" w:lineRule="exact"/>
        <w:ind w:left="420" w:leftChars="200"/>
        <w:jc w:val="left"/>
        <w:rPr>
          <w:rFonts w:ascii="宋体" w:hAnsi="宋体" w:cs="宋体"/>
          <w:color w:val="000000"/>
          <w:szCs w:val="21"/>
        </w:rPr>
      </w:pPr>
      <w:r>
        <w:rPr>
          <w:rFonts w:hint="eastAsia" w:ascii="宋体" w:hAnsi="宋体" w:cs="宋体"/>
          <w:color w:val="000000"/>
          <w:szCs w:val="21"/>
        </w:rPr>
        <w:t>10.4 磋商文件的澄清或者修改都应该通过本项目采购代理机构以法定形式发布，采购人非通过本</w:t>
      </w:r>
    </w:p>
    <w:p w14:paraId="5E48A82C">
      <w:pPr>
        <w:spacing w:line="400" w:lineRule="exact"/>
        <w:jc w:val="left"/>
        <w:rPr>
          <w:rFonts w:ascii="宋体" w:hAnsi="宋体" w:cs="宋体"/>
          <w:color w:val="000000"/>
          <w:szCs w:val="21"/>
        </w:rPr>
      </w:pPr>
      <w:r>
        <w:rPr>
          <w:rFonts w:hint="eastAsia" w:ascii="宋体" w:hAnsi="宋体" w:cs="宋体"/>
          <w:color w:val="000000"/>
          <w:szCs w:val="21"/>
        </w:rPr>
        <w:t>机构，不得擅自澄清或者修改磋商文件。</w:t>
      </w:r>
    </w:p>
    <w:p w14:paraId="1A6556A8">
      <w:pPr>
        <w:spacing w:line="400" w:lineRule="exact"/>
        <w:ind w:left="420" w:leftChars="200"/>
        <w:jc w:val="left"/>
        <w:rPr>
          <w:rFonts w:ascii="宋体" w:hAnsi="宋体" w:cs="宋体"/>
          <w:color w:val="000000"/>
          <w:szCs w:val="21"/>
        </w:rPr>
      </w:pPr>
      <w:r>
        <w:rPr>
          <w:rFonts w:hint="eastAsia" w:ascii="宋体" w:hAnsi="宋体" w:cs="宋体"/>
          <w:color w:val="000000"/>
          <w:szCs w:val="21"/>
        </w:rPr>
        <w:t>10.5采购单位可以视采购具体情况，延长响应文件截止时间和磋商时间，在本项目竞争性磋商公</w:t>
      </w:r>
    </w:p>
    <w:p w14:paraId="64439E86">
      <w:pPr>
        <w:spacing w:line="400" w:lineRule="exact"/>
        <w:jc w:val="left"/>
        <w:rPr>
          <w:rFonts w:ascii="宋体" w:hAnsi="宋体" w:cs="宋体"/>
          <w:color w:val="000000"/>
          <w:szCs w:val="21"/>
        </w:rPr>
      </w:pPr>
      <w:r>
        <w:rPr>
          <w:rFonts w:hint="eastAsia" w:ascii="宋体" w:hAnsi="宋体" w:cs="宋体"/>
          <w:color w:val="000000"/>
          <w:szCs w:val="21"/>
        </w:rPr>
        <w:t>告发布的同一媒体上发布变更公告。</w:t>
      </w:r>
    </w:p>
    <w:p w14:paraId="19BB5B4E">
      <w:pPr>
        <w:spacing w:line="400" w:lineRule="exact"/>
        <w:jc w:val="center"/>
        <w:outlineLvl w:val="1"/>
        <w:rPr>
          <w:b/>
          <w:bCs/>
          <w:sz w:val="28"/>
          <w:szCs w:val="28"/>
        </w:rPr>
      </w:pPr>
      <w:bookmarkStart w:id="110" w:name="_Toc20830"/>
      <w:bookmarkStart w:id="111" w:name="_Toc31896"/>
    </w:p>
    <w:p w14:paraId="4C262EF6">
      <w:pPr>
        <w:spacing w:line="400" w:lineRule="exact"/>
        <w:jc w:val="center"/>
        <w:outlineLvl w:val="1"/>
        <w:rPr>
          <w:b/>
          <w:bCs/>
          <w:sz w:val="28"/>
          <w:szCs w:val="28"/>
        </w:rPr>
      </w:pPr>
      <w:r>
        <w:rPr>
          <w:rFonts w:hint="eastAsia"/>
          <w:b/>
          <w:bCs/>
          <w:sz w:val="28"/>
          <w:szCs w:val="28"/>
        </w:rPr>
        <w:t>三、竞争性磋商响应文件的编制</w:t>
      </w:r>
      <w:bookmarkEnd w:id="110"/>
      <w:bookmarkEnd w:id="111"/>
    </w:p>
    <w:p w14:paraId="085A651B">
      <w:pPr>
        <w:pStyle w:val="6"/>
        <w:spacing w:line="400" w:lineRule="exact"/>
        <w:ind w:firstLine="422" w:firstLineChars="200"/>
        <w:rPr>
          <w:rFonts w:ascii="宋体" w:hAnsi="宋体" w:cs="宋体"/>
          <w:color w:val="000000"/>
          <w:sz w:val="21"/>
          <w:szCs w:val="21"/>
        </w:rPr>
      </w:pPr>
      <w:bookmarkStart w:id="112" w:name="_Toc13470"/>
      <w:r>
        <w:rPr>
          <w:rFonts w:hint="eastAsia" w:ascii="宋体" w:hAnsi="宋体" w:cs="宋体"/>
          <w:color w:val="000000"/>
          <w:sz w:val="21"/>
          <w:szCs w:val="21"/>
        </w:rPr>
        <w:t>11.竞争性磋商响应文件编制基本要求</w:t>
      </w:r>
      <w:bookmarkEnd w:id="112"/>
    </w:p>
    <w:p w14:paraId="4D80219D">
      <w:pPr>
        <w:spacing w:line="400" w:lineRule="exact"/>
        <w:ind w:firstLine="422" w:firstLineChars="200"/>
        <w:rPr>
          <w:rFonts w:ascii="宋体" w:hAnsi="宋体" w:cs="宋体"/>
          <w:b/>
          <w:bCs/>
          <w:color w:val="000000"/>
          <w:szCs w:val="21"/>
        </w:rPr>
      </w:pPr>
      <w:r>
        <w:rPr>
          <w:rFonts w:hint="eastAsia" w:ascii="宋体" w:hAnsi="宋体" w:cs="宋体"/>
          <w:b/>
          <w:bCs/>
          <w:color w:val="000000"/>
          <w:szCs w:val="21"/>
        </w:rPr>
        <w:t>11.1 本项目实行电子响应，供应商应准备电子磋商响应文件：</w:t>
      </w:r>
    </w:p>
    <w:p w14:paraId="7981CD51">
      <w:pPr>
        <w:spacing w:line="400" w:lineRule="exact"/>
        <w:ind w:firstLine="422" w:firstLineChars="200"/>
        <w:rPr>
          <w:rFonts w:ascii="宋体" w:hAnsi="宋体" w:cs="宋体"/>
          <w:b/>
          <w:bCs/>
          <w:color w:val="000000"/>
          <w:szCs w:val="21"/>
        </w:rPr>
      </w:pPr>
      <w:r>
        <w:rPr>
          <w:rFonts w:hint="eastAsia" w:ascii="宋体" w:hAnsi="宋体" w:cs="宋体"/>
          <w:b/>
          <w:bCs/>
          <w:color w:val="000000"/>
          <w:szCs w:val="21"/>
        </w:rPr>
        <w:t>11.1.1 电子响应文件按政采云平台要求及本磋商文件要求制作、加密并递交。具体操作流程可参考《政府采购项目电子交易管理操作指南-供应商》，指南可在“http://www.ccgp-guangxi.gov.cn/PurchaseAdvisory/ImportantNotice/2866753.html”下载。</w:t>
      </w:r>
    </w:p>
    <w:p w14:paraId="0AFCBD0A">
      <w:pPr>
        <w:spacing w:line="400" w:lineRule="exact"/>
        <w:ind w:firstLine="422" w:firstLineChars="200"/>
        <w:rPr>
          <w:rFonts w:ascii="宋体" w:hAnsi="宋体" w:cs="宋体"/>
          <w:b/>
          <w:bCs/>
          <w:color w:val="000000"/>
          <w:szCs w:val="21"/>
        </w:rPr>
      </w:pPr>
      <w:r>
        <w:rPr>
          <w:rFonts w:hint="eastAsia" w:ascii="宋体" w:hAnsi="宋体" w:cs="宋体"/>
          <w:b/>
          <w:bCs/>
          <w:color w:val="000000"/>
          <w:szCs w:val="21"/>
        </w:rPr>
        <w:t>11.2竞争性磋商响应文件（以下简称响应文件）的组成及要求</w:t>
      </w:r>
    </w:p>
    <w:p w14:paraId="25BE48A9">
      <w:pPr>
        <w:spacing w:line="400" w:lineRule="exact"/>
        <w:ind w:firstLine="422" w:firstLineChars="200"/>
        <w:rPr>
          <w:rFonts w:ascii="宋体" w:hAnsi="宋体" w:cs="宋体"/>
          <w:b/>
          <w:bCs/>
          <w:color w:val="000000"/>
          <w:szCs w:val="21"/>
        </w:rPr>
      </w:pPr>
      <w:r>
        <w:rPr>
          <w:rFonts w:hint="eastAsia" w:ascii="宋体" w:hAnsi="宋体" w:cs="宋体"/>
          <w:b/>
          <w:bCs/>
          <w:color w:val="000000"/>
          <w:szCs w:val="21"/>
        </w:rPr>
        <w:t>11.2.1响应文件组成【格式见第六章“响应文件（格式）”】</w:t>
      </w:r>
    </w:p>
    <w:p w14:paraId="0B8B6D18">
      <w:pPr>
        <w:spacing w:line="400" w:lineRule="exact"/>
        <w:ind w:firstLine="422" w:firstLineChars="200"/>
        <w:rPr>
          <w:rFonts w:ascii="宋体" w:hAnsi="宋体" w:cs="宋体"/>
          <w:szCs w:val="21"/>
        </w:rPr>
      </w:pPr>
      <w:r>
        <w:rPr>
          <w:rFonts w:hint="eastAsia" w:ascii="宋体" w:hAnsi="宋体" w:cs="宋体"/>
          <w:b/>
          <w:bCs/>
          <w:szCs w:val="21"/>
        </w:rPr>
        <w:t>11.2.1.1资格性响应证明材料：</w:t>
      </w:r>
    </w:p>
    <w:p w14:paraId="5CDFDE5C">
      <w:pPr>
        <w:tabs>
          <w:tab w:val="left" w:pos="1305"/>
        </w:tabs>
        <w:spacing w:line="400" w:lineRule="exact"/>
        <w:ind w:firstLine="420" w:firstLineChars="200"/>
        <w:rPr>
          <w:rFonts w:ascii="宋体" w:hAnsi="宋体" w:cs="宋体"/>
          <w:szCs w:val="21"/>
        </w:rPr>
      </w:pPr>
      <w:r>
        <w:rPr>
          <w:rFonts w:hint="eastAsia" w:ascii="宋体" w:hAnsi="宋体" w:cs="宋体"/>
          <w:szCs w:val="21"/>
        </w:rPr>
        <w:t>（1）竞标人基本情况表</w:t>
      </w:r>
      <w:r>
        <w:rPr>
          <w:rFonts w:hint="eastAsia" w:ascii="宋体" w:hAnsi="宋体" w:cs="宋体"/>
          <w:b/>
          <w:szCs w:val="21"/>
        </w:rPr>
        <w:t>（必须提供）</w:t>
      </w:r>
      <w:r>
        <w:rPr>
          <w:rFonts w:hint="eastAsia" w:ascii="宋体" w:hAnsi="宋体" w:cs="宋体"/>
          <w:bCs/>
          <w:szCs w:val="21"/>
        </w:rPr>
        <w:t>；</w:t>
      </w:r>
    </w:p>
    <w:p w14:paraId="38E1EF68">
      <w:pPr>
        <w:spacing w:line="400" w:lineRule="exact"/>
        <w:ind w:firstLine="420" w:firstLineChars="200"/>
        <w:rPr>
          <w:rFonts w:ascii="宋体" w:hAnsi="宋体" w:cs="宋体"/>
          <w:szCs w:val="21"/>
        </w:rPr>
      </w:pPr>
      <w:r>
        <w:rPr>
          <w:rFonts w:hint="eastAsia" w:ascii="宋体" w:hAnsi="宋体" w:cs="宋体"/>
          <w:szCs w:val="21"/>
        </w:rPr>
        <w:t>（2）供应商相应的法定代表人、负责人、自然人身份证正反两面复印件</w:t>
      </w:r>
      <w:r>
        <w:rPr>
          <w:rFonts w:hint="eastAsia" w:ascii="宋体" w:hAnsi="宋体" w:cs="宋体"/>
          <w:b/>
          <w:bCs/>
          <w:szCs w:val="21"/>
        </w:rPr>
        <w:t>（必须提供）</w:t>
      </w:r>
      <w:r>
        <w:rPr>
          <w:rFonts w:hint="eastAsia" w:ascii="宋体" w:hAnsi="宋体" w:cs="宋体"/>
          <w:szCs w:val="21"/>
        </w:rPr>
        <w:t>；</w:t>
      </w:r>
    </w:p>
    <w:p w14:paraId="2B979088">
      <w:pPr>
        <w:spacing w:line="400" w:lineRule="exact"/>
        <w:ind w:firstLine="420" w:firstLineChars="200"/>
        <w:rPr>
          <w:rFonts w:ascii="宋体" w:hAnsi="宋体" w:cs="宋体"/>
          <w:szCs w:val="21"/>
        </w:rPr>
      </w:pPr>
      <w:r>
        <w:rPr>
          <w:rFonts w:hint="eastAsia" w:ascii="宋体" w:hAnsi="宋体" w:cs="宋体"/>
          <w:szCs w:val="21"/>
        </w:rPr>
        <w:t>（3）供应商的授权委托书原件、委托代理人身份证正反面复印件以及由县级以上（含县级）社会养老保险经办机构出具的供应商为委托代理人交纳的响应文件递交截止时间前半年内连续三个月社保证明复印件，除供应商为以下三种情形的：</w:t>
      </w:r>
    </w:p>
    <w:p w14:paraId="6DA6CDEA">
      <w:pPr>
        <w:spacing w:line="400" w:lineRule="exact"/>
        <w:ind w:firstLine="420" w:firstLineChars="200"/>
        <w:rPr>
          <w:rFonts w:ascii="宋体" w:hAnsi="宋体" w:cs="宋体"/>
          <w:szCs w:val="21"/>
        </w:rPr>
      </w:pPr>
      <w:r>
        <w:rPr>
          <w:rFonts w:hint="eastAsia" w:ascii="宋体" w:hAnsi="宋体" w:cs="宋体"/>
          <w:szCs w:val="21"/>
        </w:rPr>
        <w:t>①如供应商为响应文件提交截止时间前60日以内成立的公司，可以提供供应商与委托代理人签订的劳动合同复印件代替社保证明复印件；</w:t>
      </w:r>
    </w:p>
    <w:p w14:paraId="2C8C7838">
      <w:pPr>
        <w:spacing w:line="400" w:lineRule="exact"/>
        <w:ind w:firstLine="420" w:firstLineChars="200"/>
        <w:rPr>
          <w:rFonts w:ascii="宋体" w:hAnsi="宋体" w:cs="宋体"/>
          <w:szCs w:val="21"/>
        </w:rPr>
      </w:pPr>
      <w:r>
        <w:rPr>
          <w:rFonts w:hint="eastAsia" w:ascii="宋体" w:hAnsi="宋体" w:cs="宋体"/>
          <w:szCs w:val="21"/>
        </w:rPr>
        <w:t>②如供应商为事业单位，可以提供事业单位机构编制管理证复印件或事业单位机构为其发放工资的工资条复印件代替社保证明复印件；</w:t>
      </w:r>
    </w:p>
    <w:p w14:paraId="2D2A8654">
      <w:pPr>
        <w:spacing w:line="400" w:lineRule="exact"/>
        <w:ind w:firstLine="420" w:firstLineChars="200"/>
        <w:rPr>
          <w:rFonts w:ascii="宋体" w:hAnsi="宋体" w:cs="宋体"/>
          <w:szCs w:val="21"/>
        </w:rPr>
      </w:pPr>
      <w:r>
        <w:rPr>
          <w:rFonts w:hint="eastAsia" w:ascii="宋体" w:hAnsi="宋体" w:cs="宋体"/>
          <w:szCs w:val="21"/>
        </w:rPr>
        <w:t>③如委托代理人为免交纳明复印件。</w:t>
      </w:r>
    </w:p>
    <w:p w14:paraId="01FB0773">
      <w:pPr>
        <w:spacing w:line="400" w:lineRule="exact"/>
        <w:ind w:firstLine="422" w:firstLineChars="200"/>
        <w:rPr>
          <w:rFonts w:ascii="宋体" w:hAnsi="宋体" w:cs="宋体"/>
          <w:b/>
          <w:bCs/>
          <w:szCs w:val="21"/>
        </w:rPr>
      </w:pPr>
      <w:r>
        <w:rPr>
          <w:rFonts w:hint="eastAsia" w:ascii="宋体" w:hAnsi="宋体" w:cs="宋体"/>
          <w:b/>
          <w:bCs/>
          <w:szCs w:val="21"/>
        </w:rPr>
        <w:t>【属自然人的应提供由县级以上（含县级）社会养老保险经办机构出具的自然人本人及委托代理人所交纳的响应文件递交截止时间前半年内连续三个月社保证明复印件</w:t>
      </w:r>
      <w:r>
        <w:rPr>
          <w:rFonts w:hint="eastAsia" w:ascii="宋体" w:hAnsi="宋体" w:cs="宋体"/>
          <w:szCs w:val="21"/>
        </w:rPr>
        <w:t>】</w:t>
      </w:r>
      <w:r>
        <w:rPr>
          <w:rFonts w:hint="eastAsia" w:ascii="宋体" w:hAnsi="宋体" w:cs="宋体"/>
          <w:b/>
          <w:bCs/>
          <w:szCs w:val="21"/>
        </w:rPr>
        <w:t>（委托代理时必须提供；如为联合体的，授权委托书原件须由牵头人出具）</w:t>
      </w:r>
    </w:p>
    <w:p w14:paraId="014E3441">
      <w:pPr>
        <w:spacing w:line="400" w:lineRule="exact"/>
        <w:ind w:firstLine="420" w:firstLineChars="200"/>
        <w:rPr>
          <w:rFonts w:ascii="宋体" w:hAnsi="宋体" w:cs="宋体"/>
        </w:rPr>
      </w:pPr>
      <w:r>
        <w:rPr>
          <w:rFonts w:hint="eastAsia" w:ascii="宋体" w:hAnsi="宋体" w:cs="宋体"/>
          <w:szCs w:val="21"/>
        </w:rPr>
        <w:t>（4）供应商参加政府采购活动前3年内在经营活动中没有重大违法记录及有关信用信息的书面声明</w:t>
      </w:r>
      <w:r>
        <w:rPr>
          <w:rFonts w:hint="eastAsia" w:ascii="宋体" w:hAnsi="宋体" w:cs="宋体"/>
          <w:b/>
          <w:bCs/>
          <w:szCs w:val="21"/>
        </w:rPr>
        <w:t>（必须提供）；</w:t>
      </w:r>
    </w:p>
    <w:p w14:paraId="3EE123A6">
      <w:pPr>
        <w:spacing w:line="400" w:lineRule="exact"/>
        <w:ind w:firstLine="420" w:firstLineChars="200"/>
        <w:rPr>
          <w:rFonts w:ascii="宋体" w:hAnsi="宋体" w:cs="宋体"/>
          <w:szCs w:val="21"/>
        </w:rPr>
      </w:pPr>
      <w:r>
        <w:rPr>
          <w:rFonts w:hint="eastAsia" w:ascii="宋体" w:hAnsi="宋体" w:cs="宋体"/>
          <w:szCs w:val="21"/>
        </w:rPr>
        <w:t>（5）供应商的法人或者其他组织营业执照等证明文件复印件</w:t>
      </w:r>
      <w:r>
        <w:rPr>
          <w:rFonts w:hint="eastAsia" w:ascii="宋体" w:hAnsi="宋体" w:cs="宋体"/>
          <w:b/>
          <w:bCs/>
          <w:szCs w:val="21"/>
        </w:rPr>
        <w:t>（必须提供，自然人除外）；</w:t>
      </w:r>
    </w:p>
    <w:p w14:paraId="41FDD09B">
      <w:pPr>
        <w:spacing w:line="400" w:lineRule="exact"/>
        <w:ind w:firstLine="422" w:firstLineChars="200"/>
        <w:rPr>
          <w:rFonts w:ascii="宋体" w:hAnsi="宋体" w:cs="宋体"/>
          <w:b/>
          <w:bCs/>
          <w:szCs w:val="21"/>
        </w:rPr>
      </w:pPr>
      <w:r>
        <w:rPr>
          <w:rFonts w:hint="eastAsia" w:ascii="宋体" w:hAnsi="宋体" w:cs="宋体"/>
          <w:b/>
          <w:bCs/>
          <w:szCs w:val="21"/>
        </w:rPr>
        <w:t>注：①法人包括企业法人、机关法人、事业单位法人和社会团体法人；其他组织主要包括合伙企业、非企业专业服务机构、个体工商户、农村承包经营户。②如供应商为企业（包括合伙企业），应提供工商部门注册的有效“企业法人营业执照”或“营业执照”；供应商为事业单位，应提供有效的“事业单位法人证书”；供应商为非企业专业服务机构的，应提供执业许可证等证明文件；供应商为个体工商户，应提供有效的“个体工商户营业执照”。</w:t>
      </w:r>
    </w:p>
    <w:p w14:paraId="67C37DDF">
      <w:pPr>
        <w:tabs>
          <w:tab w:val="left" w:pos="1305"/>
        </w:tabs>
        <w:spacing w:line="400" w:lineRule="exact"/>
        <w:ind w:firstLine="420" w:firstLineChars="200"/>
        <w:rPr>
          <w:rFonts w:ascii="宋体" w:hAnsi="宋体" w:cs="宋体"/>
          <w:bCs/>
          <w:szCs w:val="21"/>
        </w:rPr>
      </w:pPr>
      <w:r>
        <w:rPr>
          <w:rFonts w:hint="eastAsia" w:ascii="宋体" w:hAnsi="宋体" w:cs="宋体"/>
          <w:szCs w:val="21"/>
        </w:rPr>
        <w:t>（6）竞标人的税务登记证复印件和有效的组织机构代码证复印件（或提供有统一社会信用代码的营业执照复印件）</w:t>
      </w:r>
      <w:r>
        <w:rPr>
          <w:rFonts w:hint="eastAsia" w:ascii="宋体" w:hAnsi="宋体" w:cs="宋体"/>
          <w:b/>
          <w:szCs w:val="21"/>
        </w:rPr>
        <w:t>（必须提供，取得“三证合一”的除外）</w:t>
      </w:r>
      <w:r>
        <w:rPr>
          <w:rFonts w:hint="eastAsia" w:ascii="宋体" w:hAnsi="宋体" w:cs="宋体"/>
          <w:bCs/>
          <w:szCs w:val="21"/>
        </w:rPr>
        <w:t>；</w:t>
      </w:r>
    </w:p>
    <w:p w14:paraId="2F1F5BCF">
      <w:pPr>
        <w:spacing w:line="400" w:lineRule="exact"/>
        <w:ind w:firstLine="420" w:firstLineChars="200"/>
        <w:rPr>
          <w:rFonts w:ascii="宋体" w:hAnsi="宋体" w:cs="宋体"/>
        </w:rPr>
      </w:pPr>
      <w:r>
        <w:rPr>
          <w:rFonts w:hint="eastAsia" w:ascii="宋体" w:hAnsi="宋体" w:cs="宋体"/>
          <w:szCs w:val="21"/>
        </w:rPr>
        <w:t>（7）竞标人有效的资质证书复印件和安全生产许可证副本复印件</w:t>
      </w:r>
      <w:r>
        <w:rPr>
          <w:rFonts w:hint="eastAsia" w:ascii="宋体" w:hAnsi="宋体" w:cs="宋体"/>
          <w:b/>
          <w:bCs/>
          <w:szCs w:val="21"/>
        </w:rPr>
        <w:t>（必须提供）；</w:t>
      </w:r>
    </w:p>
    <w:p w14:paraId="43A75C02">
      <w:pPr>
        <w:tabs>
          <w:tab w:val="left" w:pos="1305"/>
        </w:tabs>
        <w:spacing w:line="400" w:lineRule="exact"/>
        <w:ind w:firstLine="420" w:firstLineChars="200"/>
        <w:rPr>
          <w:rFonts w:ascii="宋体" w:hAnsi="宋体" w:cs="宋体"/>
          <w:bCs/>
          <w:szCs w:val="21"/>
        </w:rPr>
      </w:pPr>
      <w:r>
        <w:rPr>
          <w:rFonts w:hint="eastAsia" w:ascii="宋体" w:hAnsi="宋体" w:cs="宋体"/>
          <w:szCs w:val="21"/>
        </w:rPr>
        <w:t>（8）项目管理机构配备情况表</w:t>
      </w:r>
      <w:r>
        <w:rPr>
          <w:rFonts w:hint="eastAsia" w:ascii="宋体" w:hAnsi="宋体" w:cs="宋体"/>
          <w:b/>
          <w:bCs/>
          <w:szCs w:val="21"/>
        </w:rPr>
        <w:t>（必须提供）</w:t>
      </w:r>
    </w:p>
    <w:p w14:paraId="3E77E62C">
      <w:pPr>
        <w:tabs>
          <w:tab w:val="left" w:pos="1305"/>
        </w:tabs>
        <w:spacing w:line="400" w:lineRule="exact"/>
        <w:ind w:firstLine="420" w:firstLineChars="200"/>
        <w:rPr>
          <w:rFonts w:ascii="宋体" w:hAnsi="宋体" w:cs="宋体"/>
          <w:b/>
          <w:bCs/>
          <w:szCs w:val="21"/>
        </w:rPr>
      </w:pPr>
      <w:r>
        <w:rPr>
          <w:rFonts w:hint="eastAsia" w:ascii="宋体" w:hAnsi="宋体" w:cs="宋体"/>
          <w:bCs/>
          <w:szCs w:val="21"/>
        </w:rPr>
        <w:t>（9）主要人员简历表【</w:t>
      </w:r>
      <w:r>
        <w:rPr>
          <w:rFonts w:hint="eastAsia" w:ascii="宋体" w:hAnsi="宋体" w:cs="宋体"/>
          <w:bCs/>
        </w:rPr>
        <w:t>括：附</w:t>
      </w:r>
      <w:r>
        <w:rPr>
          <w:rFonts w:hint="eastAsia" w:ascii="宋体" w:hAnsi="宋体" w:cs="宋体"/>
        </w:rPr>
        <w:t>项目经理的注册建造师注册证书复印件、安全生产考核合格证书复印件（B类）</w:t>
      </w:r>
      <w:r>
        <w:rPr>
          <w:rFonts w:hint="eastAsia" w:ascii="宋体" w:hAnsi="宋体" w:cs="宋体"/>
          <w:b/>
          <w:spacing w:val="1"/>
        </w:rPr>
        <w:t>（注：首次取得B证的，发证当年不需提供）</w:t>
      </w:r>
      <w:r>
        <w:rPr>
          <w:rFonts w:hint="eastAsia" w:ascii="宋体" w:hAnsi="宋体" w:cs="宋体"/>
        </w:rPr>
        <w:t>、身份证复印件；技术负责人的身份证复印件、职称证复印件；安全员的安全生产考核合格证书复印件（C类）、岗位证书复印件及身份证复印件；施工员、质检员的身份证复印件、岗位证书复印件；并附</w:t>
      </w:r>
      <w:r>
        <w:rPr>
          <w:rFonts w:hint="eastAsia" w:ascii="宋体" w:hAnsi="宋体" w:cs="宋体"/>
          <w:szCs w:val="21"/>
        </w:rPr>
        <w:t>由县级以上（含县级）社会养老保险经办机构出具的竞标人为</w:t>
      </w:r>
      <w:r>
        <w:rPr>
          <w:rFonts w:hint="eastAsia" w:ascii="宋体" w:hAnsi="宋体" w:cs="宋体"/>
        </w:rPr>
        <w:t>项目经理、技术负责人、安全员、施工员、质检员</w:t>
      </w:r>
      <w:r>
        <w:rPr>
          <w:rFonts w:hint="eastAsia" w:ascii="宋体" w:hAnsi="宋体" w:cs="宋体"/>
          <w:szCs w:val="21"/>
        </w:rPr>
        <w:t>交纳的响应文件递交截止时间前半年内连续三个月社保证明复印件（若为近期新聘</w:t>
      </w:r>
      <w:r>
        <w:rPr>
          <w:rFonts w:hint="eastAsia" w:ascii="宋体" w:hAnsi="宋体" w:cs="宋体"/>
          <w:bCs/>
          <w:szCs w:val="21"/>
        </w:rPr>
        <w:t>员工的，以提供劳动合同证明材料为准）】</w:t>
      </w:r>
      <w:r>
        <w:rPr>
          <w:rFonts w:hint="eastAsia" w:ascii="宋体" w:hAnsi="宋体" w:cs="宋体"/>
          <w:b/>
          <w:szCs w:val="21"/>
        </w:rPr>
        <w:t>（必须提供）</w:t>
      </w:r>
      <w:r>
        <w:rPr>
          <w:rFonts w:hint="eastAsia" w:ascii="宋体" w:hAnsi="宋体" w:cs="宋体"/>
          <w:bCs/>
          <w:szCs w:val="21"/>
        </w:rPr>
        <w:t>；</w:t>
      </w:r>
    </w:p>
    <w:p w14:paraId="110970D7">
      <w:pPr>
        <w:pStyle w:val="2"/>
        <w:spacing w:after="0" w:line="400" w:lineRule="exact"/>
        <w:ind w:left="0" w:leftChars="0" w:firstLine="422"/>
        <w:rPr>
          <w:rFonts w:ascii="宋体" w:hAnsi="宋体" w:cs="宋体"/>
        </w:rPr>
      </w:pPr>
      <w:r>
        <w:rPr>
          <w:rFonts w:hint="eastAsia" w:ascii="宋体" w:hAnsi="宋体" w:cs="宋体"/>
          <w:b/>
          <w:bCs/>
          <w:szCs w:val="21"/>
        </w:rPr>
        <w:t>11.2.1.2符合性响应证明材料：</w:t>
      </w:r>
    </w:p>
    <w:p w14:paraId="4FA8BB30">
      <w:pPr>
        <w:tabs>
          <w:tab w:val="left" w:pos="1305"/>
        </w:tabs>
        <w:spacing w:line="400" w:lineRule="exact"/>
        <w:ind w:firstLine="420" w:firstLineChars="200"/>
        <w:rPr>
          <w:rFonts w:ascii="宋体" w:hAnsi="宋体" w:cs="宋体"/>
          <w:szCs w:val="21"/>
        </w:rPr>
      </w:pPr>
      <w:r>
        <w:rPr>
          <w:rFonts w:hint="eastAsia" w:ascii="宋体" w:hAnsi="宋体" w:cs="宋体"/>
          <w:bCs/>
          <w:szCs w:val="21"/>
        </w:rPr>
        <w:t>（10）响应函及响应函附录</w:t>
      </w:r>
      <w:r>
        <w:rPr>
          <w:rFonts w:hint="eastAsia" w:ascii="宋体" w:hAnsi="宋体" w:cs="宋体"/>
          <w:b/>
          <w:szCs w:val="21"/>
        </w:rPr>
        <w:t>（必须提供）</w:t>
      </w:r>
      <w:r>
        <w:rPr>
          <w:rFonts w:hint="eastAsia" w:ascii="宋体" w:hAnsi="宋体" w:cs="宋体"/>
          <w:bCs/>
          <w:szCs w:val="21"/>
        </w:rPr>
        <w:t>；</w:t>
      </w:r>
    </w:p>
    <w:p w14:paraId="7DE600A2">
      <w:pPr>
        <w:tabs>
          <w:tab w:val="left" w:pos="1305"/>
        </w:tabs>
        <w:spacing w:line="400" w:lineRule="exact"/>
        <w:ind w:firstLine="420" w:firstLineChars="200"/>
        <w:rPr>
          <w:rFonts w:ascii="宋体" w:hAnsi="宋体" w:cs="宋体"/>
          <w:szCs w:val="21"/>
        </w:rPr>
      </w:pPr>
      <w:r>
        <w:rPr>
          <w:rFonts w:hint="eastAsia" w:ascii="宋体" w:hAnsi="宋体" w:cs="宋体"/>
          <w:szCs w:val="21"/>
        </w:rPr>
        <w:t>（11）磋商报价汇总表</w:t>
      </w:r>
      <w:r>
        <w:rPr>
          <w:rFonts w:hint="eastAsia" w:ascii="宋体" w:hAnsi="宋体" w:cs="宋体"/>
          <w:b/>
          <w:bCs/>
          <w:szCs w:val="21"/>
        </w:rPr>
        <w:t>（必须提供）</w:t>
      </w:r>
      <w:r>
        <w:rPr>
          <w:rFonts w:hint="eastAsia" w:ascii="宋体" w:hAnsi="宋体" w:cs="宋体"/>
          <w:szCs w:val="21"/>
        </w:rPr>
        <w:t>；</w:t>
      </w:r>
    </w:p>
    <w:p w14:paraId="08303627">
      <w:pPr>
        <w:tabs>
          <w:tab w:val="left" w:pos="1305"/>
        </w:tabs>
        <w:spacing w:line="400" w:lineRule="exact"/>
        <w:ind w:firstLine="420" w:firstLineChars="200"/>
        <w:rPr>
          <w:rFonts w:ascii="宋体" w:hAnsi="宋体" w:cs="宋体"/>
          <w:b/>
          <w:bCs/>
          <w:szCs w:val="21"/>
        </w:rPr>
      </w:pPr>
      <w:r>
        <w:rPr>
          <w:rFonts w:hint="eastAsia" w:ascii="宋体" w:hAnsi="宋体" w:cs="宋体"/>
          <w:szCs w:val="21"/>
        </w:rPr>
        <w:t>（12）已标价工程量清单</w:t>
      </w:r>
      <w:r>
        <w:rPr>
          <w:rFonts w:hint="eastAsia" w:ascii="宋体" w:hAnsi="宋体" w:cs="宋体"/>
          <w:b/>
          <w:bCs/>
          <w:szCs w:val="21"/>
        </w:rPr>
        <w:t>（必须提供）</w:t>
      </w:r>
      <w:r>
        <w:rPr>
          <w:rFonts w:hint="eastAsia" w:ascii="宋体" w:hAnsi="宋体" w:cs="宋体"/>
          <w:szCs w:val="21"/>
        </w:rPr>
        <w:t>；</w:t>
      </w:r>
    </w:p>
    <w:p w14:paraId="2780B2DC">
      <w:pPr>
        <w:tabs>
          <w:tab w:val="left" w:pos="1305"/>
        </w:tabs>
        <w:spacing w:line="400" w:lineRule="exact"/>
        <w:ind w:firstLine="420" w:firstLineChars="200"/>
        <w:rPr>
          <w:rFonts w:ascii="宋体" w:hAnsi="宋体" w:cs="宋体"/>
          <w:b/>
          <w:bCs/>
          <w:szCs w:val="21"/>
        </w:rPr>
      </w:pPr>
      <w:r>
        <w:rPr>
          <w:rFonts w:hint="eastAsia" w:ascii="宋体" w:hAnsi="宋体" w:cs="宋体"/>
          <w:szCs w:val="21"/>
        </w:rPr>
        <w:t>（13）施工组织设计</w:t>
      </w:r>
      <w:r>
        <w:rPr>
          <w:rFonts w:hint="eastAsia" w:ascii="宋体" w:hAnsi="宋体" w:cs="宋体"/>
          <w:b/>
          <w:bCs/>
          <w:szCs w:val="21"/>
        </w:rPr>
        <w:t>（必须提供）</w:t>
      </w:r>
      <w:r>
        <w:rPr>
          <w:rFonts w:hint="eastAsia" w:ascii="宋体" w:hAnsi="宋体" w:cs="宋体"/>
          <w:szCs w:val="21"/>
        </w:rPr>
        <w:t>；</w:t>
      </w:r>
    </w:p>
    <w:p w14:paraId="2FF2969C">
      <w:pPr>
        <w:tabs>
          <w:tab w:val="left" w:pos="1305"/>
        </w:tabs>
        <w:spacing w:line="400" w:lineRule="exact"/>
        <w:ind w:firstLine="420" w:firstLineChars="200"/>
        <w:rPr>
          <w:rFonts w:ascii="宋体" w:hAnsi="宋体" w:cs="宋体"/>
          <w:b/>
          <w:bCs/>
          <w:szCs w:val="21"/>
        </w:rPr>
      </w:pPr>
      <w:r>
        <w:rPr>
          <w:rFonts w:hint="eastAsia" w:ascii="宋体" w:hAnsi="宋体" w:cs="宋体"/>
          <w:bCs/>
          <w:szCs w:val="21"/>
        </w:rPr>
        <w:t>（14）农民工工资保障金交纳与使用承诺书</w:t>
      </w:r>
      <w:r>
        <w:rPr>
          <w:rFonts w:hint="eastAsia" w:ascii="宋体" w:hAnsi="宋体" w:cs="宋体"/>
          <w:b/>
          <w:bCs/>
          <w:szCs w:val="21"/>
        </w:rPr>
        <w:t>（必须提供）；</w:t>
      </w:r>
    </w:p>
    <w:p w14:paraId="4A8D62CC">
      <w:pPr>
        <w:pStyle w:val="2"/>
        <w:spacing w:after="0" w:line="400" w:lineRule="exact"/>
        <w:ind w:left="0" w:leftChars="0" w:firstLine="422"/>
        <w:rPr>
          <w:rFonts w:ascii="宋体" w:hAnsi="宋体" w:cs="宋体"/>
          <w:b/>
          <w:bCs/>
          <w:szCs w:val="21"/>
        </w:rPr>
      </w:pPr>
      <w:r>
        <w:rPr>
          <w:rFonts w:hint="eastAsia" w:ascii="宋体" w:hAnsi="宋体" w:cs="宋体"/>
          <w:b/>
          <w:bCs/>
          <w:szCs w:val="21"/>
        </w:rPr>
        <w:t>11.2.1.3其他有效证明材料</w:t>
      </w:r>
    </w:p>
    <w:p w14:paraId="1E345FAB">
      <w:pPr>
        <w:tabs>
          <w:tab w:val="left" w:pos="1305"/>
        </w:tabs>
        <w:spacing w:line="400" w:lineRule="exact"/>
        <w:ind w:firstLine="420" w:firstLineChars="200"/>
      </w:pPr>
      <w:r>
        <w:rPr>
          <w:rFonts w:hint="eastAsia" w:ascii="宋体" w:hAnsi="宋体" w:cs="宋体"/>
          <w:bCs/>
          <w:szCs w:val="21"/>
        </w:rPr>
        <w:t>（15）20</w:t>
      </w:r>
      <w:r>
        <w:rPr>
          <w:rFonts w:ascii="宋体" w:hAnsi="宋体" w:cs="宋体"/>
          <w:bCs/>
          <w:szCs w:val="21"/>
        </w:rPr>
        <w:t>2</w:t>
      </w:r>
      <w:r>
        <w:rPr>
          <w:rFonts w:hint="eastAsia" w:ascii="宋体" w:hAnsi="宋体" w:cs="宋体"/>
          <w:bCs/>
          <w:szCs w:val="21"/>
          <w:lang w:val="en-US" w:eastAsia="zh-CN"/>
        </w:rPr>
        <w:t>3</w:t>
      </w:r>
      <w:r>
        <w:rPr>
          <w:rFonts w:hint="eastAsia" w:ascii="宋体" w:hAnsi="宋体" w:cs="宋体"/>
          <w:bCs/>
          <w:szCs w:val="21"/>
        </w:rPr>
        <w:t>年以来具有类似工程施工业绩（</w:t>
      </w:r>
      <w:r>
        <w:rPr>
          <w:rFonts w:hint="eastAsia" w:ascii="宋体" w:hAnsi="宋体" w:cs="宋体"/>
          <w:b/>
          <w:bCs/>
          <w:szCs w:val="21"/>
        </w:rPr>
        <w:t>如有，请提供合同协议书或中标通知书复印件）</w:t>
      </w:r>
      <w:r>
        <w:rPr>
          <w:rFonts w:hint="eastAsia" w:ascii="宋体" w:hAnsi="宋体" w:cs="宋体"/>
          <w:szCs w:val="21"/>
        </w:rPr>
        <w:t xml:space="preserve">； </w:t>
      </w:r>
    </w:p>
    <w:p w14:paraId="4A49576A">
      <w:pPr>
        <w:spacing w:line="400" w:lineRule="exact"/>
        <w:ind w:firstLine="420" w:firstLineChars="200"/>
        <w:rPr>
          <w:rFonts w:ascii="宋体" w:hAnsi="宋体" w:cs="宋体"/>
          <w:szCs w:val="21"/>
        </w:rPr>
      </w:pPr>
      <w:r>
        <w:rPr>
          <w:rFonts w:hint="eastAsia" w:ascii="宋体" w:hAnsi="宋体" w:cs="宋体"/>
          <w:bCs/>
          <w:szCs w:val="21"/>
        </w:rPr>
        <w:t>（16）</w:t>
      </w:r>
      <w:r>
        <w:rPr>
          <w:rFonts w:hint="eastAsia" w:ascii="宋体" w:hAnsi="宋体" w:cs="宋体"/>
          <w:szCs w:val="21"/>
        </w:rPr>
        <w:t>20</w:t>
      </w:r>
      <w:r>
        <w:rPr>
          <w:rFonts w:ascii="宋体" w:hAnsi="宋体" w:cs="宋体"/>
          <w:szCs w:val="21"/>
        </w:rPr>
        <w:t>2</w:t>
      </w:r>
      <w:r>
        <w:rPr>
          <w:rFonts w:hint="eastAsia" w:ascii="宋体" w:hAnsi="宋体" w:cs="宋体"/>
          <w:szCs w:val="21"/>
          <w:lang w:val="en-US" w:eastAsia="zh-CN"/>
        </w:rPr>
        <w:t>3</w:t>
      </w:r>
      <w:r>
        <w:rPr>
          <w:rFonts w:hint="eastAsia" w:ascii="宋体" w:hAnsi="宋体" w:cs="宋体"/>
          <w:szCs w:val="21"/>
        </w:rPr>
        <w:t>年～202</w:t>
      </w:r>
      <w:r>
        <w:rPr>
          <w:rFonts w:hint="eastAsia" w:ascii="宋体" w:hAnsi="宋体" w:cs="宋体"/>
          <w:szCs w:val="21"/>
          <w:lang w:val="en-US" w:eastAsia="zh-CN"/>
        </w:rPr>
        <w:t>5</w:t>
      </w:r>
      <w:r>
        <w:rPr>
          <w:rFonts w:hint="eastAsia" w:ascii="宋体" w:hAnsi="宋体" w:cs="宋体"/>
          <w:szCs w:val="21"/>
        </w:rPr>
        <w:t>年财务状况表（附经会计师事务所或审计机构审计的财务会计报表，包括资产负债表、损益表、现金流量表、利润表的复印件）</w:t>
      </w:r>
      <w:r>
        <w:rPr>
          <w:rFonts w:hint="eastAsia" w:ascii="宋体" w:hAnsi="宋体" w:cs="宋体"/>
          <w:b/>
          <w:bCs/>
          <w:szCs w:val="21"/>
        </w:rPr>
        <w:t>（如有，请提供）</w:t>
      </w:r>
      <w:r>
        <w:rPr>
          <w:rFonts w:hint="eastAsia" w:ascii="宋体" w:hAnsi="宋体" w:cs="宋体"/>
          <w:szCs w:val="21"/>
        </w:rPr>
        <w:t>；</w:t>
      </w:r>
    </w:p>
    <w:p w14:paraId="06DF0F56">
      <w:pPr>
        <w:spacing w:line="400" w:lineRule="exact"/>
        <w:ind w:firstLine="420" w:firstLineChars="200"/>
        <w:rPr>
          <w:rFonts w:ascii="宋体" w:hAnsi="宋体" w:cs="宋体"/>
          <w:bCs/>
          <w:szCs w:val="21"/>
        </w:rPr>
      </w:pPr>
      <w:r>
        <w:rPr>
          <w:rFonts w:hint="eastAsia" w:ascii="宋体" w:hAnsi="宋体" w:cs="宋体"/>
          <w:bCs/>
          <w:szCs w:val="21"/>
        </w:rPr>
        <w:t>（17）竞标人认为需要提供的其他证明文件。</w:t>
      </w:r>
    </w:p>
    <w:p w14:paraId="1BDE35C8">
      <w:pPr>
        <w:tabs>
          <w:tab w:val="left" w:pos="1305"/>
        </w:tabs>
        <w:spacing w:line="400" w:lineRule="exact"/>
        <w:ind w:firstLine="420" w:firstLineChars="200"/>
        <w:rPr>
          <w:rFonts w:ascii="宋体" w:hAnsi="宋体" w:cs="宋体"/>
        </w:rPr>
      </w:pPr>
      <w:r>
        <w:rPr>
          <w:rFonts w:hint="eastAsia" w:ascii="宋体" w:hAnsi="宋体" w:cs="宋体"/>
          <w:szCs w:val="21"/>
        </w:rPr>
        <w:t>（18）</w:t>
      </w:r>
      <w:r>
        <w:rPr>
          <w:rFonts w:hint="eastAsia" w:ascii="宋体" w:hAnsi="宋体" w:cs="宋体"/>
        </w:rPr>
        <w:t>如所提供施工企业属于小型、微型企业【中小微型企业划分标准按照《国家统计局关于印发《统计上大中小微型企业划分办法〔2017〕》的通知》（国统字〔2017〕213号）执行，具体划分标准见第四章评标办法中附表《统计上大中小微型企业划分标准》】，以提供的《中小企业声明函》（见附件）为准</w:t>
      </w:r>
      <w:r>
        <w:rPr>
          <w:rFonts w:hint="eastAsia" w:ascii="宋体" w:hAnsi="宋体" w:cs="宋体"/>
          <w:b/>
          <w:bCs/>
        </w:rPr>
        <w:t>（如有，请提供）</w:t>
      </w:r>
      <w:r>
        <w:rPr>
          <w:rFonts w:hint="eastAsia" w:ascii="宋体" w:hAnsi="宋体" w:cs="宋体"/>
        </w:rPr>
        <w:t>；</w:t>
      </w:r>
    </w:p>
    <w:p w14:paraId="4A3D5C9D">
      <w:pPr>
        <w:tabs>
          <w:tab w:val="left" w:pos="1305"/>
        </w:tabs>
        <w:spacing w:line="400" w:lineRule="exact"/>
        <w:ind w:firstLine="420" w:firstLineChars="200"/>
        <w:rPr>
          <w:rFonts w:ascii="宋体" w:hAnsi="宋体" w:cs="宋体"/>
          <w:szCs w:val="21"/>
        </w:rPr>
      </w:pPr>
      <w:r>
        <w:rPr>
          <w:rFonts w:hint="eastAsia" w:ascii="宋体" w:hAnsi="宋体" w:cs="宋体"/>
          <w:szCs w:val="21"/>
        </w:rPr>
        <w:t>（19）如提供服务的供应商属于监狱企业的，应当提供由省级以上监狱管理局、戒毒管理局等（含新疆生产建设兵团）出具的属于监狱企业的证明文件</w:t>
      </w:r>
      <w:r>
        <w:rPr>
          <w:rFonts w:hint="eastAsia" w:ascii="宋体" w:hAnsi="宋体" w:cs="宋体"/>
          <w:kern w:val="0"/>
          <w:sz w:val="24"/>
        </w:rPr>
        <w:t>（</w:t>
      </w:r>
      <w:r>
        <w:rPr>
          <w:rFonts w:hint="eastAsia" w:ascii="宋体" w:hAnsi="宋体" w:cs="宋体"/>
          <w:b/>
        </w:rPr>
        <w:t>如有，请提供</w:t>
      </w:r>
      <w:r>
        <w:rPr>
          <w:rFonts w:hint="eastAsia" w:ascii="宋体" w:hAnsi="宋体" w:cs="宋体"/>
          <w:kern w:val="0"/>
          <w:sz w:val="24"/>
        </w:rPr>
        <w:t>）；</w:t>
      </w:r>
    </w:p>
    <w:p w14:paraId="548416E8">
      <w:pPr>
        <w:pStyle w:val="27"/>
        <w:spacing w:line="400" w:lineRule="exact"/>
        <w:ind w:firstLine="420" w:firstLineChars="200"/>
        <w:rPr>
          <w:rFonts w:ascii="宋体" w:hAnsi="宋体" w:cs="宋体"/>
          <w:color w:val="auto"/>
          <w:szCs w:val="20"/>
        </w:rPr>
      </w:pPr>
      <w:r>
        <w:rPr>
          <w:rFonts w:hint="eastAsia" w:ascii="宋体" w:hAnsi="宋体" w:cs="宋体"/>
          <w:color w:val="auto"/>
          <w:sz w:val="21"/>
          <w:szCs w:val="21"/>
        </w:rPr>
        <w:t>（20）</w:t>
      </w:r>
      <w:r>
        <w:rPr>
          <w:rFonts w:hint="eastAsia" w:ascii="宋体" w:hAnsi="宋体" w:cs="宋体"/>
          <w:color w:val="auto"/>
          <w:kern w:val="2"/>
          <w:sz w:val="21"/>
          <w:szCs w:val="21"/>
        </w:rPr>
        <w:t>符合条件的残疾人福利性单位在参加政府采购活动时，应当提供《残疾人福利性单位声明函》，并对声明的真实性负责</w:t>
      </w:r>
      <w:r>
        <w:rPr>
          <w:rFonts w:hint="eastAsia" w:ascii="宋体" w:hAnsi="宋体" w:cs="宋体"/>
          <w:color w:val="auto"/>
          <w:kern w:val="2"/>
          <w:sz w:val="21"/>
        </w:rPr>
        <w:t>（见附件）</w:t>
      </w:r>
      <w:r>
        <w:rPr>
          <w:rFonts w:hint="eastAsia" w:ascii="宋体" w:hAnsi="宋体" w:cs="宋体"/>
          <w:b/>
          <w:bCs/>
          <w:color w:val="auto"/>
          <w:kern w:val="2"/>
          <w:sz w:val="21"/>
        </w:rPr>
        <w:t>（如有，请提供）；</w:t>
      </w:r>
    </w:p>
    <w:p w14:paraId="2D05E67B">
      <w:pPr>
        <w:spacing w:line="400" w:lineRule="exact"/>
        <w:ind w:firstLine="420" w:firstLineChars="200"/>
        <w:rPr>
          <w:rFonts w:ascii="宋体" w:hAnsi="宋体" w:cs="宋体"/>
          <w:szCs w:val="21"/>
        </w:rPr>
      </w:pPr>
      <w:r>
        <w:rPr>
          <w:rFonts w:hint="eastAsia" w:ascii="宋体" w:hAnsi="宋体" w:cs="宋体"/>
          <w:szCs w:val="21"/>
        </w:rPr>
        <w:t>（21）供应商可结合本项目的评审办法视自身情况自行提交其它相关证明材料。</w:t>
      </w:r>
    </w:p>
    <w:p w14:paraId="4E8AB872">
      <w:pPr>
        <w:spacing w:line="400" w:lineRule="exact"/>
        <w:ind w:firstLine="420"/>
        <w:rPr>
          <w:rFonts w:ascii="宋体" w:hAnsi="宋体" w:cs="宋体"/>
          <w:szCs w:val="21"/>
        </w:rPr>
      </w:pPr>
      <w:r>
        <w:rPr>
          <w:rFonts w:hint="eastAsia" w:ascii="宋体" w:hAnsi="宋体" w:cs="宋体"/>
          <w:b/>
          <w:bCs/>
          <w:szCs w:val="21"/>
        </w:rPr>
        <w:t>供应商</w:t>
      </w:r>
      <w:r>
        <w:rPr>
          <w:rFonts w:hint="eastAsia" w:ascii="宋体" w:hAnsi="宋体" w:cs="宋体"/>
          <w:b/>
          <w:bCs/>
        </w:rPr>
        <w:t>提供的以上相关证明材料属于“必须提供”的文件应加盖磋商供应商公章（CA签章）/自然人签字或个人CA签章，否则响应无效。</w:t>
      </w:r>
    </w:p>
    <w:p w14:paraId="624ADE16">
      <w:pPr>
        <w:spacing w:line="400" w:lineRule="exact"/>
        <w:ind w:firstLine="420" w:firstLineChars="200"/>
        <w:rPr>
          <w:rFonts w:ascii="宋体" w:hAnsi="宋体" w:cs="宋体"/>
          <w:szCs w:val="21"/>
        </w:rPr>
      </w:pPr>
      <w:r>
        <w:rPr>
          <w:rFonts w:hint="eastAsia" w:ascii="宋体" w:hAnsi="宋体" w:cs="宋体"/>
          <w:szCs w:val="21"/>
        </w:rPr>
        <w:t>11.3 供应商应按竞争性磋商文件第六章“响应文件（格式）”编制响应文件。</w:t>
      </w:r>
    </w:p>
    <w:p w14:paraId="7099F7D1">
      <w:pPr>
        <w:spacing w:line="400" w:lineRule="exact"/>
        <w:ind w:firstLine="422" w:firstLineChars="200"/>
        <w:rPr>
          <w:rFonts w:ascii="宋体" w:hAnsi="宋体" w:cs="宋体"/>
          <w:b/>
          <w:bCs/>
          <w:szCs w:val="21"/>
        </w:rPr>
      </w:pPr>
      <w:r>
        <w:rPr>
          <w:rFonts w:hint="eastAsia" w:ascii="宋体" w:hAnsi="宋体" w:cs="宋体"/>
          <w:b/>
          <w:bCs/>
          <w:szCs w:val="21"/>
        </w:rPr>
        <w:t>特别说明：</w:t>
      </w:r>
    </w:p>
    <w:p w14:paraId="751F10EE">
      <w:pPr>
        <w:spacing w:line="400" w:lineRule="exact"/>
        <w:ind w:firstLine="422" w:firstLineChars="200"/>
        <w:rPr>
          <w:rFonts w:ascii="宋体" w:hAnsi="宋体" w:cs="宋体"/>
          <w:b/>
          <w:szCs w:val="21"/>
        </w:rPr>
      </w:pPr>
      <w:r>
        <w:rPr>
          <w:rFonts w:hint="eastAsia" w:ascii="宋体" w:hAnsi="宋体" w:cs="宋体"/>
          <w:b/>
          <w:bCs/>
          <w:szCs w:val="21"/>
        </w:rPr>
        <w:t>（1）响</w:t>
      </w:r>
      <w:r>
        <w:rPr>
          <w:rFonts w:hint="eastAsia" w:ascii="宋体" w:hAnsi="宋体" w:cs="宋体"/>
          <w:b/>
          <w:szCs w:val="21"/>
        </w:rPr>
        <w:t>应文件（电子响应文件），其中电子响应文件中所须加盖公章部分均采用CA签章。若磋商文件中有专门标注的某关联点，并要求供应商在电子响应系统中作出磋商响应的，如供应商未对关联点进行响应或者在响应文件其它内容进行描述，造成电子评审不能查询的责任由供应商自行承担。</w:t>
      </w:r>
    </w:p>
    <w:p w14:paraId="62D097F6">
      <w:pPr>
        <w:numPr>
          <w:ilvl w:val="0"/>
          <w:numId w:val="3"/>
        </w:numPr>
        <w:spacing w:line="400" w:lineRule="exact"/>
        <w:ind w:firstLine="422" w:firstLineChars="200"/>
        <w:rPr>
          <w:rFonts w:ascii="宋体" w:hAnsi="宋体" w:cs="宋体"/>
          <w:b/>
          <w:szCs w:val="21"/>
        </w:rPr>
      </w:pPr>
      <w:r>
        <w:rPr>
          <w:rFonts w:hint="eastAsia" w:ascii="宋体" w:hAnsi="宋体" w:cs="宋体"/>
          <w:b/>
          <w:bCs/>
          <w:szCs w:val="21"/>
        </w:rPr>
        <w:t>磋商文件要求法定代表人（负责人）或委托代理人签字的部分必须签字然后扫描或者拍照做成.pdf格式上传（签字可以以加盖个人CA签章代替），无签字的视为响应无效。</w:t>
      </w:r>
    </w:p>
    <w:p w14:paraId="1C565D82">
      <w:pPr>
        <w:pStyle w:val="6"/>
        <w:spacing w:line="400" w:lineRule="exact"/>
        <w:ind w:firstLine="422" w:firstLineChars="200"/>
        <w:rPr>
          <w:rFonts w:ascii="宋体" w:hAnsi="宋体" w:cs="宋体"/>
          <w:sz w:val="21"/>
          <w:szCs w:val="21"/>
        </w:rPr>
      </w:pPr>
      <w:bookmarkStart w:id="113" w:name="_Toc13916"/>
      <w:bookmarkStart w:id="114" w:name="_Toc2180"/>
      <w:r>
        <w:rPr>
          <w:rFonts w:hint="eastAsia" w:ascii="宋体" w:hAnsi="宋体" w:cs="宋体"/>
          <w:sz w:val="21"/>
          <w:szCs w:val="21"/>
        </w:rPr>
        <w:t>12. 响应文件的语言及计量</w:t>
      </w:r>
      <w:bookmarkEnd w:id="113"/>
      <w:bookmarkEnd w:id="114"/>
    </w:p>
    <w:p w14:paraId="4C647F82">
      <w:pPr>
        <w:spacing w:line="400" w:lineRule="exact"/>
        <w:ind w:firstLine="420" w:firstLineChars="200"/>
        <w:rPr>
          <w:rFonts w:ascii="宋体" w:hAnsi="宋体" w:cs="宋体"/>
          <w:szCs w:val="21"/>
        </w:rPr>
      </w:pPr>
      <w:r>
        <w:rPr>
          <w:rFonts w:hint="eastAsia" w:ascii="宋体" w:hAnsi="宋体" w:cs="宋体"/>
          <w:szCs w:val="21"/>
        </w:rPr>
        <w:t>12.1 响应文件以及供应商与采购代理机构就有关磋商事宜的所有来往函电，均应以中文汉语书写。供应商提交的支持文件和印刷的文献可以使用别的语言，但其相应内容必须附有中文翻译文本，在解释响应文件时以中文翻译文本为主。</w:t>
      </w:r>
    </w:p>
    <w:p w14:paraId="158875B3">
      <w:pPr>
        <w:spacing w:line="400" w:lineRule="exact"/>
        <w:ind w:firstLine="420" w:firstLineChars="200"/>
        <w:rPr>
          <w:rFonts w:ascii="宋体" w:hAnsi="宋体" w:cs="宋体"/>
          <w:color w:val="0000FF"/>
          <w:szCs w:val="21"/>
        </w:rPr>
      </w:pPr>
      <w:r>
        <w:rPr>
          <w:rFonts w:hint="eastAsia" w:ascii="宋体" w:hAnsi="宋体" w:cs="宋体"/>
          <w:szCs w:val="21"/>
        </w:rPr>
        <w:t>12.2 磋商计量单位，磋商文件已有明确规定的，使用磋商文件规定的计量单位；磋商文件没有规定的，应采用中华人民共和国法定计量单位（货币单位：人民币元），否则视同未响应。</w:t>
      </w:r>
    </w:p>
    <w:p w14:paraId="09661437">
      <w:pPr>
        <w:pStyle w:val="6"/>
        <w:spacing w:line="400" w:lineRule="exact"/>
        <w:ind w:firstLine="422" w:firstLineChars="200"/>
        <w:rPr>
          <w:rFonts w:ascii="宋体" w:hAnsi="宋体" w:cs="宋体"/>
          <w:color w:val="000000"/>
          <w:sz w:val="21"/>
          <w:szCs w:val="21"/>
        </w:rPr>
      </w:pPr>
      <w:bookmarkStart w:id="115" w:name="_Toc19558"/>
      <w:bookmarkStart w:id="116" w:name="_Toc10838"/>
      <w:r>
        <w:rPr>
          <w:rFonts w:hint="eastAsia" w:ascii="宋体" w:hAnsi="宋体" w:cs="宋体"/>
          <w:color w:val="000000"/>
          <w:sz w:val="21"/>
          <w:szCs w:val="21"/>
        </w:rPr>
        <w:t>13. 磋商报价及采购预算金额</w:t>
      </w:r>
      <w:bookmarkEnd w:id="115"/>
      <w:bookmarkEnd w:id="116"/>
    </w:p>
    <w:p w14:paraId="6C3AC406">
      <w:pPr>
        <w:snapToGrid w:val="0"/>
        <w:spacing w:line="400" w:lineRule="exact"/>
        <w:ind w:firstLine="367" w:firstLineChars="175"/>
        <w:rPr>
          <w:rFonts w:ascii="宋体" w:hAnsi="宋体" w:cs="宋体"/>
          <w:b/>
          <w:szCs w:val="21"/>
        </w:rPr>
      </w:pPr>
      <w:r>
        <w:rPr>
          <w:rFonts w:hint="eastAsia" w:ascii="宋体" w:hAnsi="宋体" w:cs="宋体"/>
          <w:szCs w:val="21"/>
        </w:rPr>
        <w:t>13.1</w:t>
      </w:r>
      <w:r>
        <w:rPr>
          <w:rFonts w:hint="eastAsia" w:ascii="宋体" w:hAnsi="宋体" w:cs="宋体"/>
          <w:b/>
          <w:szCs w:val="21"/>
        </w:rPr>
        <w:t xml:space="preserve"> 磋商报价应按磋商文件中相关附表格式填写。</w:t>
      </w:r>
      <w:r>
        <w:rPr>
          <w:rFonts w:hint="eastAsia" w:ascii="宋体" w:hAnsi="宋体"/>
          <w:b/>
          <w:bCs/>
          <w:kern w:val="0"/>
          <w:szCs w:val="21"/>
        </w:rPr>
        <w:t>预算金额（人民币）：</w:t>
      </w:r>
      <w:r>
        <w:rPr>
          <w:rFonts w:hint="eastAsia" w:ascii="宋体" w:hAnsi="宋体"/>
          <w:b/>
          <w:bCs/>
          <w:kern w:val="0"/>
          <w:szCs w:val="21"/>
          <w:lang w:eastAsia="zh-CN"/>
        </w:rPr>
        <w:t>陆拾捌万叁仟伍佰壹拾玖元整（¥683519.00元）</w:t>
      </w:r>
      <w:r>
        <w:rPr>
          <w:rFonts w:hint="eastAsia" w:ascii="宋体" w:hAnsi="宋体"/>
          <w:b/>
          <w:bCs/>
          <w:kern w:val="0"/>
          <w:szCs w:val="21"/>
        </w:rPr>
        <w:t>；最高限价（人民币）：</w:t>
      </w:r>
      <w:r>
        <w:rPr>
          <w:rFonts w:hint="eastAsia" w:ascii="宋体" w:hAnsi="宋体"/>
          <w:b/>
          <w:bCs/>
          <w:kern w:val="0"/>
          <w:szCs w:val="21"/>
          <w:lang w:eastAsia="zh-CN"/>
        </w:rPr>
        <w:t>陆拾捌万叁仟伍佰壹拾玖元整（¥683519.00元）</w:t>
      </w:r>
      <w:r>
        <w:rPr>
          <w:rFonts w:hint="eastAsia" w:ascii="宋体" w:hAnsi="宋体"/>
          <w:b/>
          <w:bCs/>
          <w:kern w:val="0"/>
          <w:szCs w:val="21"/>
        </w:rPr>
        <w:t>。报价超过最高限价金额的，响应文件按无效处理。</w:t>
      </w:r>
    </w:p>
    <w:p w14:paraId="22514A8D">
      <w:pPr>
        <w:spacing w:line="400" w:lineRule="exact"/>
        <w:ind w:firstLine="420" w:firstLineChars="200"/>
        <w:rPr>
          <w:rFonts w:ascii="宋体" w:hAnsi="宋体" w:cs="宋体"/>
          <w:szCs w:val="21"/>
        </w:rPr>
      </w:pPr>
      <w:r>
        <w:rPr>
          <w:rFonts w:hint="eastAsia" w:ascii="宋体" w:hAnsi="宋体" w:cs="宋体"/>
          <w:szCs w:val="21"/>
        </w:rPr>
        <w:t>13.2竞标人必须就“工程量清单”中所有内容作完整唯一报价，否则，其响应文件无效。响应文件只允许有一个报价，有选择的或有条件的报价将不予接受。</w:t>
      </w:r>
    </w:p>
    <w:p w14:paraId="61655724">
      <w:pPr>
        <w:tabs>
          <w:tab w:val="left" w:pos="1305"/>
        </w:tabs>
        <w:spacing w:line="400" w:lineRule="exact"/>
        <w:ind w:firstLine="420" w:firstLineChars="200"/>
        <w:rPr>
          <w:rFonts w:ascii="宋体" w:hAnsi="宋体" w:cs="宋体"/>
          <w:szCs w:val="21"/>
        </w:rPr>
      </w:pPr>
      <w:r>
        <w:rPr>
          <w:rFonts w:hint="eastAsia" w:ascii="宋体" w:hAnsi="宋体" w:cs="宋体"/>
          <w:szCs w:val="21"/>
        </w:rPr>
        <w:t>13.3 竞标人磋商报价应综合考虑总价包干（包含提供本次工程范围的所有成本、税金、利润等），报价不得超出采购预算。</w:t>
      </w:r>
    </w:p>
    <w:p w14:paraId="7C1BC112">
      <w:pPr>
        <w:spacing w:line="400" w:lineRule="exact"/>
        <w:ind w:firstLine="420" w:firstLineChars="200"/>
        <w:rPr>
          <w:rFonts w:ascii="宋体" w:hAnsi="宋体" w:cs="宋体"/>
          <w:b/>
          <w:bCs/>
          <w:szCs w:val="21"/>
        </w:rPr>
      </w:pPr>
      <w:r>
        <w:rPr>
          <w:rFonts w:hint="eastAsia" w:ascii="宋体" w:hAnsi="宋体" w:cs="宋体"/>
          <w:szCs w:val="21"/>
        </w:rPr>
        <w:t>13.4竞标人应在规定时间内在政采云系统上提交最后报价，超出磋商小组设定的最后报价时限或其最后报价超出采购预算导致已通过评审的响应文件无效的，按供应商在提交响应文件截止时间后撤回响应文件处理。</w:t>
      </w:r>
    </w:p>
    <w:p w14:paraId="588CC2A7">
      <w:pPr>
        <w:pStyle w:val="6"/>
        <w:spacing w:line="400" w:lineRule="exact"/>
        <w:ind w:firstLine="422" w:firstLineChars="200"/>
        <w:rPr>
          <w:rFonts w:ascii="宋体" w:hAnsi="宋体" w:cs="宋体"/>
          <w:color w:val="000000"/>
          <w:sz w:val="21"/>
          <w:szCs w:val="21"/>
        </w:rPr>
      </w:pPr>
      <w:bookmarkStart w:id="117" w:name="_Toc11881"/>
      <w:bookmarkStart w:id="118" w:name="_Toc26881"/>
      <w:r>
        <w:rPr>
          <w:rFonts w:hint="eastAsia" w:ascii="宋体" w:hAnsi="宋体" w:cs="宋体"/>
          <w:color w:val="000000"/>
          <w:sz w:val="21"/>
          <w:szCs w:val="21"/>
        </w:rPr>
        <w:t>14. 响应文件有效期</w:t>
      </w:r>
      <w:bookmarkEnd w:id="117"/>
      <w:bookmarkEnd w:id="118"/>
    </w:p>
    <w:p w14:paraId="095DEA96">
      <w:pPr>
        <w:spacing w:line="400" w:lineRule="exact"/>
        <w:ind w:firstLine="420" w:firstLineChars="200"/>
        <w:rPr>
          <w:rFonts w:ascii="宋体" w:hAnsi="宋体" w:cs="宋体"/>
          <w:color w:val="000000"/>
          <w:szCs w:val="21"/>
        </w:rPr>
      </w:pPr>
      <w:r>
        <w:rPr>
          <w:rFonts w:hint="eastAsia" w:ascii="宋体" w:hAnsi="宋体" w:cs="宋体"/>
          <w:color w:val="000000"/>
          <w:szCs w:val="21"/>
        </w:rPr>
        <w:t>14.1 响应文件有效期：响应文件递交截止时间之日起90天，有效期不足的响应文件将被拒绝。</w:t>
      </w:r>
    </w:p>
    <w:p w14:paraId="133524CE">
      <w:pPr>
        <w:spacing w:line="400" w:lineRule="exact"/>
        <w:ind w:firstLine="420" w:firstLineChars="200"/>
        <w:rPr>
          <w:rFonts w:ascii="宋体" w:hAnsi="宋体" w:cs="宋体"/>
          <w:color w:val="000000"/>
          <w:szCs w:val="21"/>
        </w:rPr>
      </w:pPr>
      <w:r>
        <w:rPr>
          <w:rFonts w:hint="eastAsia" w:ascii="宋体" w:hAnsi="宋体" w:cs="宋体"/>
          <w:color w:val="000000"/>
          <w:szCs w:val="21"/>
        </w:rPr>
        <w:t>14.2 出现特殊情况下，需要延长响应文件有效期的，采购代理机构书面通知供应商延长响应文件有效期。供应商同意延长的，但不能修改响应文件。供应商拒绝延长的，其响应文件无效。</w:t>
      </w:r>
    </w:p>
    <w:p w14:paraId="098CC9BB">
      <w:pPr>
        <w:pStyle w:val="6"/>
        <w:spacing w:line="400" w:lineRule="exact"/>
        <w:ind w:firstLine="422" w:firstLineChars="200"/>
        <w:rPr>
          <w:rFonts w:ascii="宋体" w:hAnsi="宋体" w:cs="宋体"/>
          <w:color w:val="000000"/>
          <w:sz w:val="21"/>
          <w:szCs w:val="21"/>
        </w:rPr>
      </w:pPr>
      <w:bookmarkStart w:id="119" w:name="_Toc31274"/>
      <w:bookmarkStart w:id="120" w:name="_Toc22602"/>
      <w:r>
        <w:rPr>
          <w:rFonts w:hint="eastAsia" w:ascii="宋体" w:hAnsi="宋体" w:cs="宋体"/>
          <w:color w:val="000000"/>
          <w:sz w:val="21"/>
          <w:szCs w:val="21"/>
        </w:rPr>
        <w:t>15. 保证金</w:t>
      </w:r>
      <w:bookmarkEnd w:id="119"/>
      <w:bookmarkEnd w:id="120"/>
    </w:p>
    <w:p w14:paraId="777C8359">
      <w:pPr>
        <w:spacing w:line="400" w:lineRule="exact"/>
        <w:ind w:firstLine="420" w:firstLineChars="200"/>
        <w:rPr>
          <w:rFonts w:ascii="宋体" w:hAnsi="宋体" w:cs="宋体"/>
          <w:b/>
          <w:bCs/>
          <w:color w:val="000000"/>
          <w:szCs w:val="21"/>
        </w:rPr>
      </w:pPr>
      <w:r>
        <w:rPr>
          <w:rFonts w:hint="eastAsia" w:ascii="宋体" w:hAnsi="宋体" w:cs="宋体"/>
          <w:color w:val="000000"/>
          <w:szCs w:val="21"/>
        </w:rPr>
        <w:t>本项目无需交纳磋商保证金。</w:t>
      </w:r>
    </w:p>
    <w:p w14:paraId="2C864046">
      <w:pPr>
        <w:pStyle w:val="6"/>
        <w:spacing w:line="400" w:lineRule="exact"/>
        <w:ind w:firstLine="422" w:firstLineChars="200"/>
        <w:rPr>
          <w:rFonts w:ascii="宋体" w:hAnsi="宋体" w:cs="宋体"/>
          <w:color w:val="000000"/>
          <w:sz w:val="21"/>
          <w:szCs w:val="21"/>
        </w:rPr>
      </w:pPr>
      <w:bookmarkStart w:id="121" w:name="_Toc387"/>
      <w:bookmarkStart w:id="122" w:name="_Toc26360"/>
      <w:r>
        <w:rPr>
          <w:rFonts w:hint="eastAsia" w:ascii="宋体" w:hAnsi="宋体" w:cs="宋体"/>
          <w:color w:val="000000"/>
          <w:sz w:val="21"/>
          <w:szCs w:val="21"/>
        </w:rPr>
        <w:t>16. 竞争性磋商响应文件的</w:t>
      </w:r>
      <w:bookmarkEnd w:id="121"/>
      <w:r>
        <w:rPr>
          <w:rFonts w:hint="eastAsia" w:ascii="宋体" w:hAnsi="宋体" w:cs="宋体"/>
          <w:color w:val="000000"/>
          <w:sz w:val="21"/>
          <w:szCs w:val="21"/>
        </w:rPr>
        <w:t>制作</w:t>
      </w:r>
      <w:bookmarkEnd w:id="122"/>
    </w:p>
    <w:p w14:paraId="71F42833">
      <w:pPr>
        <w:spacing w:line="400" w:lineRule="exact"/>
        <w:ind w:firstLine="420" w:firstLineChars="200"/>
        <w:rPr>
          <w:rFonts w:ascii="宋体" w:hAnsi="宋体" w:cs="宋体"/>
          <w:color w:val="000000"/>
          <w:szCs w:val="21"/>
        </w:rPr>
      </w:pPr>
      <w:r>
        <w:rPr>
          <w:rFonts w:hint="eastAsia" w:ascii="宋体" w:hAnsi="宋体" w:cs="宋体"/>
          <w:color w:val="000000"/>
          <w:szCs w:val="21"/>
        </w:rPr>
        <w:t>16.1 电子磋商响应文件中须加盖供应商公章部分均采用 CA 签章，并根据“政府采购项目电子交易管理操作指南-供应商”及本磋商文件规定的格式和顺序编制电子磋商响应文件并进行关联定位，以便磋商小组在评审时，点击评分项可直接定位到该评分项内容。如对磋商文件的某项要求，供应商的电子磋商响应文件未能关联定位提供相应的内容与其对应，则磋商小组在评审时如做出对供应商不利的评审由供应商自行承担。电子磋商响应文件如内容不完整、编排混乱导致磋商响应文件被误读、漏读，或者在按采购文件规定的部位查找不到相关内容的，由供应商自行承担。</w:t>
      </w:r>
    </w:p>
    <w:p w14:paraId="0DD9D48D">
      <w:pPr>
        <w:spacing w:line="400" w:lineRule="exact"/>
        <w:ind w:firstLine="420" w:firstLineChars="200"/>
        <w:rPr>
          <w:rFonts w:ascii="宋体" w:hAnsi="宋体" w:cs="宋体"/>
          <w:szCs w:val="21"/>
        </w:rPr>
      </w:pPr>
      <w:r>
        <w:rPr>
          <w:rFonts w:hint="eastAsia" w:ascii="宋体" w:hAnsi="宋体" w:cs="宋体"/>
          <w:szCs w:val="21"/>
        </w:rPr>
        <w:t>16.2供应商法人（负责人）或授权代表持有政采云个人CA签章的，应在响应文件中涉及到签字的位置使用个人CA签章，没有办理政采云个人CA签章的可在响应文件中涉及到签字的位置手写签字后扫描或者拍照做成 PDF 的格式上传即可。</w:t>
      </w:r>
    </w:p>
    <w:p w14:paraId="337A36B8">
      <w:pPr>
        <w:spacing w:line="400" w:lineRule="exact"/>
        <w:ind w:firstLine="420" w:firstLineChars="200"/>
        <w:rPr>
          <w:rFonts w:ascii="宋体" w:hAnsi="宋体" w:cs="宋体"/>
          <w:color w:val="000000"/>
          <w:szCs w:val="21"/>
        </w:rPr>
      </w:pPr>
      <w:r>
        <w:rPr>
          <w:rFonts w:hint="eastAsia" w:ascii="宋体" w:hAnsi="宋体" w:cs="宋体"/>
          <w:color w:val="000000"/>
          <w:szCs w:val="21"/>
        </w:rPr>
        <w:t>16.3 磋商响应文件不得涂改，若有修改错漏处，须法定代表人（负责人）或授权委托人签字</w:t>
      </w:r>
      <w:r>
        <w:rPr>
          <w:rFonts w:hint="eastAsia" w:ascii="宋体" w:hAnsi="宋体" w:cs="宋体"/>
          <w:szCs w:val="21"/>
        </w:rPr>
        <w:t>（或个人CA签章）</w:t>
      </w:r>
      <w:r>
        <w:rPr>
          <w:rFonts w:hint="eastAsia" w:ascii="宋体" w:hAnsi="宋体" w:cs="宋体"/>
          <w:color w:val="000000"/>
          <w:szCs w:val="21"/>
        </w:rPr>
        <w:t>。磋商响应文件因字迹潦草或表达不清所引起的后果由供应商负责。</w:t>
      </w:r>
    </w:p>
    <w:p w14:paraId="7887105F">
      <w:pPr>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16.4磋商前准备 </w:t>
      </w:r>
    </w:p>
    <w:p w14:paraId="6389F302">
      <w:pPr>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16.4.1本项目实行在线磋商，采用电子磋商响应文件。若供应商参与磋商，自行承担磋商一切费用。 </w:t>
      </w:r>
    </w:p>
    <w:p w14:paraId="5D117A0C">
      <w:pPr>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16.4.2各供应商应在截标前应确保成为政采云平台正式注册入库供应商，并完成 CA 数字证书申领。因未注册入库、未办理 CA 数字证书等原因造成无法磋商或磋商失败等后果由供应商自行承担。 </w:t>
      </w:r>
    </w:p>
    <w:p w14:paraId="136A82FC">
      <w:pPr>
        <w:spacing w:line="400" w:lineRule="exact"/>
        <w:ind w:firstLine="420" w:firstLineChars="200"/>
        <w:rPr>
          <w:rFonts w:ascii="宋体" w:hAnsi="宋体" w:cs="宋体"/>
          <w:color w:val="000000"/>
          <w:szCs w:val="21"/>
        </w:rPr>
      </w:pPr>
      <w:r>
        <w:rPr>
          <w:rFonts w:hint="eastAsia" w:ascii="宋体" w:hAnsi="宋体" w:cs="宋体"/>
          <w:color w:val="000000"/>
          <w:szCs w:val="21"/>
        </w:rPr>
        <w:t>16.4.3供应商将政采云电子交易客户端下载、安装完成后，可通过账号密码或 CA 登录客户端进行响应文件制作。客户端请至网站下载专区查看，</w:t>
      </w:r>
      <w:r>
        <w:rPr>
          <w:rFonts w:hint="eastAsia" w:ascii="宋体" w:hAnsi="宋体"/>
          <w:szCs w:val="21"/>
        </w:rPr>
        <w:t>如有问题可拨打政采云客户服务热线 95763 进行咨询</w:t>
      </w:r>
      <w:r>
        <w:rPr>
          <w:rFonts w:hint="eastAsia" w:ascii="宋体" w:hAnsi="宋体" w:cs="宋体"/>
          <w:szCs w:val="21"/>
        </w:rPr>
        <w:t>。</w:t>
      </w:r>
    </w:p>
    <w:p w14:paraId="2CD97914">
      <w:pPr>
        <w:pStyle w:val="6"/>
        <w:spacing w:line="400" w:lineRule="exact"/>
        <w:ind w:firstLine="422" w:firstLineChars="200"/>
        <w:rPr>
          <w:rFonts w:ascii="宋体" w:hAnsi="宋体" w:cs="宋体"/>
          <w:color w:val="000000"/>
          <w:sz w:val="21"/>
          <w:szCs w:val="21"/>
        </w:rPr>
      </w:pPr>
      <w:bookmarkStart w:id="123" w:name="_Toc12"/>
      <w:r>
        <w:rPr>
          <w:rFonts w:hint="eastAsia" w:ascii="宋体" w:hAnsi="宋体" w:cs="宋体"/>
          <w:color w:val="000000"/>
          <w:sz w:val="21"/>
          <w:szCs w:val="21"/>
        </w:rPr>
        <w:t>17. 响应文件的修改和撤回</w:t>
      </w:r>
      <w:bookmarkEnd w:id="123"/>
    </w:p>
    <w:p w14:paraId="7BD9A094">
      <w:pPr>
        <w:spacing w:line="400" w:lineRule="exact"/>
        <w:ind w:firstLine="420" w:firstLineChars="200"/>
        <w:rPr>
          <w:rFonts w:ascii="宋体" w:hAnsi="宋体" w:cs="宋体"/>
          <w:color w:val="000000"/>
          <w:szCs w:val="21"/>
        </w:rPr>
      </w:pPr>
      <w:r>
        <w:rPr>
          <w:rFonts w:hint="eastAsia" w:ascii="宋体" w:hAnsi="宋体" w:cs="宋体"/>
          <w:color w:val="000000"/>
          <w:szCs w:val="21"/>
        </w:rPr>
        <w:t>17.1 响应文件递交截止时间前可以撤回电子磋商响应文件。补充或者修改电子磋商响应文件的，应当先行撤回原文件，补充、修改后重新传输递交，磋商响应文件递交截止时间前未完成传输的，视为撤回磋商响应文件。</w:t>
      </w:r>
    </w:p>
    <w:p w14:paraId="711276A6">
      <w:pPr>
        <w:spacing w:line="400" w:lineRule="exact"/>
        <w:ind w:firstLine="420" w:firstLineChars="200"/>
        <w:rPr>
          <w:rFonts w:ascii="宋体" w:hAnsi="宋体" w:cs="宋体"/>
          <w:color w:val="000000"/>
          <w:szCs w:val="21"/>
        </w:rPr>
      </w:pPr>
      <w:r>
        <w:rPr>
          <w:rFonts w:hint="eastAsia" w:ascii="宋体" w:hAnsi="宋体" w:cs="宋体"/>
          <w:color w:val="000000"/>
          <w:szCs w:val="21"/>
        </w:rPr>
        <w:t>17.2 在响应文件递交截止时间后的响应文件有效期内，供应商不得撤回其响应文件。</w:t>
      </w:r>
    </w:p>
    <w:p w14:paraId="640D83F5">
      <w:pPr>
        <w:pStyle w:val="6"/>
        <w:spacing w:line="400" w:lineRule="exact"/>
        <w:ind w:firstLine="422" w:firstLineChars="200"/>
        <w:rPr>
          <w:rFonts w:ascii="宋体" w:hAnsi="宋体" w:cs="宋体"/>
          <w:color w:val="000000"/>
          <w:sz w:val="21"/>
          <w:szCs w:val="21"/>
        </w:rPr>
      </w:pPr>
      <w:bookmarkStart w:id="124" w:name="_Toc26434"/>
      <w:bookmarkStart w:id="125" w:name="_Toc30156"/>
      <w:r>
        <w:rPr>
          <w:rFonts w:hint="eastAsia" w:ascii="宋体" w:hAnsi="宋体" w:cs="宋体"/>
          <w:color w:val="000000"/>
          <w:sz w:val="21"/>
          <w:szCs w:val="21"/>
        </w:rPr>
        <w:t>18. 响应文件的递交和解密</w:t>
      </w:r>
      <w:bookmarkEnd w:id="124"/>
      <w:bookmarkEnd w:id="125"/>
    </w:p>
    <w:p w14:paraId="761E7E23">
      <w:pPr>
        <w:tabs>
          <w:tab w:val="left" w:pos="1305"/>
        </w:tabs>
        <w:spacing w:line="360" w:lineRule="exact"/>
        <w:ind w:firstLine="420" w:firstLineChars="200"/>
        <w:rPr>
          <w:rFonts w:ascii="宋体" w:hAnsi="宋体"/>
          <w:szCs w:val="21"/>
        </w:rPr>
      </w:pPr>
      <w:bookmarkStart w:id="126" w:name="_Toc2433"/>
      <w:r>
        <w:rPr>
          <w:rFonts w:hint="eastAsia" w:ascii="宋体" w:hAnsi="宋体"/>
          <w:szCs w:val="21"/>
        </w:rPr>
        <w:t>18.1响应文件递交截止时间：供应商应于</w:t>
      </w:r>
      <w:r>
        <w:rPr>
          <w:rFonts w:hint="eastAsia" w:ascii="宋体" w:hAnsi="宋体"/>
          <w:szCs w:val="21"/>
          <w:u w:val="single"/>
          <w:lang w:eastAsia="zh-CN"/>
        </w:rPr>
        <w:t>2026年09月23日</w:t>
      </w:r>
      <w:r>
        <w:rPr>
          <w:rFonts w:hint="eastAsia" w:ascii="宋体" w:hAnsi="宋体"/>
          <w:szCs w:val="21"/>
          <w:u w:val="single"/>
        </w:rPr>
        <w:t>09时00分</w:t>
      </w:r>
      <w:r>
        <w:rPr>
          <w:rFonts w:hint="eastAsia" w:ascii="宋体" w:hAnsi="宋体"/>
          <w:szCs w:val="21"/>
        </w:rPr>
        <w:t>之前将电子响应文件上传到政采云平台。电子响应文件应按照本项目磋商文件和政采云平台的要求编制、加密传输响应文件。供应商在使用系统进行投标的过程中遇到涉及平台使用的任何问题，可致电政采云平台技术支持热线咨询，联系方式：95763。</w:t>
      </w:r>
    </w:p>
    <w:p w14:paraId="15CF5261">
      <w:pPr>
        <w:tabs>
          <w:tab w:val="left" w:pos="1305"/>
        </w:tabs>
        <w:spacing w:line="360" w:lineRule="exact"/>
        <w:ind w:firstLine="420" w:firstLineChars="200"/>
        <w:rPr>
          <w:rFonts w:ascii="宋体" w:hAnsi="宋体"/>
          <w:szCs w:val="21"/>
        </w:rPr>
      </w:pPr>
      <w:r>
        <w:rPr>
          <w:rFonts w:hint="eastAsia" w:ascii="宋体" w:hAnsi="宋体"/>
          <w:szCs w:val="21"/>
        </w:rPr>
        <w:t>18.2响应文件解密时间：截标时间后30分钟内供应商可以登录政采云平台，用“项目采购-开标评标”功能进行解密电子响应文件。</w:t>
      </w:r>
      <w:r>
        <w:rPr>
          <w:rFonts w:ascii="宋体" w:hAnsi="宋体"/>
          <w:szCs w:val="21"/>
        </w:rPr>
        <w:t>若供应商</w:t>
      </w:r>
      <w:r>
        <w:rPr>
          <w:rFonts w:hint="eastAsia" w:ascii="宋体" w:hAnsi="宋体"/>
          <w:szCs w:val="21"/>
        </w:rPr>
        <w:t>在规定时间内无法解密或解密失败，</w:t>
      </w:r>
      <w:r>
        <w:rPr>
          <w:rFonts w:ascii="宋体" w:hAnsi="宋体"/>
          <w:szCs w:val="21"/>
        </w:rPr>
        <w:t>可向</w:t>
      </w:r>
      <w:r>
        <w:rPr>
          <w:rFonts w:hint="eastAsia" w:ascii="宋体" w:hAnsi="宋体"/>
          <w:szCs w:val="21"/>
        </w:rPr>
        <w:t>采购</w:t>
      </w:r>
      <w:r>
        <w:rPr>
          <w:rFonts w:ascii="宋体" w:hAnsi="宋体"/>
          <w:szCs w:val="21"/>
        </w:rPr>
        <w:t>代理机构提供电子备份响应文件</w:t>
      </w:r>
      <w:r>
        <w:rPr>
          <w:rFonts w:hint="eastAsia" w:ascii="宋体" w:hAnsi="宋体"/>
          <w:szCs w:val="21"/>
        </w:rPr>
        <w:t>【</w:t>
      </w:r>
      <w:r>
        <w:rPr>
          <w:rFonts w:hint="eastAsia" w:ascii="宋体" w:hAnsi="宋体"/>
          <w:bCs/>
          <w:szCs w:val="21"/>
        </w:rPr>
        <w:t>在接到无法解密或解密失败的通知后，供应商可根据自身实际情况按通知时要求的时间到荔浦市公共资源交易中心开标室现场提交或以电子邮件的形式（以通知时告知的电子邮箱地址为准）提交电子备份响应文件</w:t>
      </w:r>
      <w:r>
        <w:rPr>
          <w:rFonts w:hint="eastAsia" w:ascii="宋体" w:hAnsi="宋体"/>
          <w:szCs w:val="21"/>
        </w:rPr>
        <w:t>】。若供应商在规定时间内无法解密或解密失败且未提供电子备份响应文件的(包含提供的电子备份响应文件无效或无法解密的情况)，视为无效响应。</w:t>
      </w:r>
    </w:p>
    <w:p w14:paraId="7F6E16F6">
      <w:pPr>
        <w:tabs>
          <w:tab w:val="left" w:pos="1305"/>
        </w:tabs>
        <w:spacing w:line="360" w:lineRule="exact"/>
        <w:ind w:firstLine="420" w:firstLineChars="200"/>
        <w:rPr>
          <w:rFonts w:ascii="宋体" w:hAnsi="宋体"/>
          <w:szCs w:val="21"/>
        </w:rPr>
      </w:pPr>
      <w:r>
        <w:rPr>
          <w:rFonts w:hint="eastAsia" w:ascii="宋体" w:hAnsi="宋体"/>
          <w:szCs w:val="21"/>
        </w:rPr>
        <w:t>18.3 除竞争性磋商文件另有规定外，供应商所递交的响应文件不予退还。</w:t>
      </w:r>
    </w:p>
    <w:p w14:paraId="05A180E0">
      <w:pPr>
        <w:tabs>
          <w:tab w:val="left" w:pos="1305"/>
        </w:tabs>
        <w:spacing w:line="360" w:lineRule="exact"/>
        <w:ind w:firstLine="420" w:firstLineChars="200"/>
        <w:rPr>
          <w:rFonts w:ascii="宋体" w:hAnsi="宋体"/>
          <w:szCs w:val="21"/>
        </w:rPr>
      </w:pPr>
      <w:r>
        <w:rPr>
          <w:rFonts w:hint="eastAsia" w:ascii="宋体" w:hAnsi="宋体"/>
          <w:szCs w:val="21"/>
        </w:rPr>
        <w:t>18.4电子响应文件的相关说明</w:t>
      </w:r>
    </w:p>
    <w:p w14:paraId="198B258B">
      <w:pPr>
        <w:tabs>
          <w:tab w:val="left" w:pos="1305"/>
        </w:tabs>
        <w:spacing w:line="360" w:lineRule="exact"/>
        <w:ind w:firstLine="420" w:firstLineChars="200"/>
        <w:rPr>
          <w:rFonts w:ascii="宋体" w:hAnsi="宋体"/>
          <w:szCs w:val="21"/>
        </w:rPr>
      </w:pPr>
      <w:r>
        <w:rPr>
          <w:rFonts w:hint="eastAsia" w:ascii="宋体" w:hAnsi="宋体"/>
          <w:szCs w:val="21"/>
        </w:rPr>
        <w:t>（1）供应商进行电子投标应安装客户端软件，并按照采购文件和电子交易平台的要求编制并加密响应文件。供应商未按规定加密的响应文件，电子交易平台将拒收。供应商应当在</w:t>
      </w:r>
      <w:r>
        <w:rPr>
          <w:rFonts w:ascii="宋体" w:hAnsi="宋体"/>
          <w:szCs w:val="21"/>
        </w:rPr>
        <w:t>响应文件递交截止时间前</w:t>
      </w:r>
      <w:r>
        <w:rPr>
          <w:rFonts w:hint="eastAsia" w:ascii="宋体" w:hAnsi="宋体"/>
          <w:szCs w:val="21"/>
        </w:rPr>
        <w:t>完成响应文件的传输递交，并</w:t>
      </w:r>
      <w:r>
        <w:rPr>
          <w:rFonts w:ascii="宋体" w:hAnsi="宋体"/>
          <w:szCs w:val="21"/>
        </w:rPr>
        <w:t>可以补充、修改或者撤回电子响应文件。补充或者修改电子响应文件的，应当先行撤回原文件，补充、修改后重新传输递交，</w:t>
      </w:r>
      <w:r>
        <w:rPr>
          <w:rFonts w:hint="eastAsia" w:ascii="宋体" w:hAnsi="宋体" w:cs="宋体"/>
          <w:szCs w:val="21"/>
        </w:rPr>
        <w:t>响应文件递交</w:t>
      </w:r>
      <w:r>
        <w:rPr>
          <w:rFonts w:ascii="宋体" w:hAnsi="宋体"/>
          <w:szCs w:val="21"/>
        </w:rPr>
        <w:t>截止时间前未完成传输的，视为撤回电子响应文件。响应文件递交截止时间</w:t>
      </w:r>
      <w:r>
        <w:rPr>
          <w:rFonts w:hint="eastAsia" w:ascii="宋体" w:hAnsi="宋体"/>
          <w:szCs w:val="21"/>
        </w:rPr>
        <w:t xml:space="preserve">后递交的响应文件，电子交易平台将拒收。 </w:t>
      </w:r>
    </w:p>
    <w:p w14:paraId="3735D6B4">
      <w:pPr>
        <w:tabs>
          <w:tab w:val="left" w:pos="1305"/>
        </w:tabs>
        <w:spacing w:line="360" w:lineRule="exact"/>
        <w:ind w:firstLine="420" w:firstLineChars="200"/>
        <w:rPr>
          <w:rFonts w:ascii="宋体" w:hAnsi="宋体"/>
          <w:szCs w:val="21"/>
        </w:rPr>
      </w:pPr>
      <w:r>
        <w:rPr>
          <w:rFonts w:hint="eastAsia" w:ascii="宋体" w:hAnsi="宋体"/>
          <w:szCs w:val="21"/>
        </w:rPr>
        <w:t>（2）如有特殊情况，采购代理机构延长截止时间和开标时间，采购代理机构和供应商的权利和义务将受到新的截止时间和开标时间的约束。</w:t>
      </w:r>
    </w:p>
    <w:p w14:paraId="415758E6">
      <w:pPr>
        <w:spacing w:line="400" w:lineRule="exact"/>
        <w:ind w:firstLine="422" w:firstLineChars="200"/>
        <w:rPr>
          <w:rFonts w:ascii="宋体" w:hAnsi="宋体" w:cs="宋体"/>
          <w:b/>
          <w:color w:val="FF0000"/>
          <w:szCs w:val="28"/>
        </w:rPr>
      </w:pPr>
    </w:p>
    <w:p w14:paraId="6FC8B643">
      <w:pPr>
        <w:spacing w:line="460" w:lineRule="exact"/>
        <w:jc w:val="center"/>
        <w:outlineLvl w:val="1"/>
        <w:rPr>
          <w:b/>
          <w:bCs/>
          <w:sz w:val="28"/>
          <w:szCs w:val="28"/>
        </w:rPr>
      </w:pPr>
      <w:bookmarkStart w:id="127" w:name="_Toc26492"/>
      <w:r>
        <w:rPr>
          <w:rFonts w:hint="eastAsia"/>
          <w:b/>
          <w:bCs/>
          <w:sz w:val="28"/>
          <w:szCs w:val="28"/>
        </w:rPr>
        <w:t>四、竞争性磋商（简称磋商）与评审</w:t>
      </w:r>
      <w:bookmarkEnd w:id="126"/>
      <w:bookmarkEnd w:id="127"/>
    </w:p>
    <w:p w14:paraId="777ED9C5">
      <w:pPr>
        <w:pStyle w:val="6"/>
        <w:spacing w:line="400" w:lineRule="exact"/>
        <w:ind w:firstLine="422" w:firstLineChars="200"/>
        <w:rPr>
          <w:rFonts w:ascii="宋体" w:hAnsi="宋体" w:cs="宋体"/>
          <w:color w:val="000000"/>
          <w:sz w:val="21"/>
          <w:szCs w:val="21"/>
        </w:rPr>
      </w:pPr>
      <w:bookmarkStart w:id="128" w:name="_Toc7595"/>
      <w:bookmarkStart w:id="129" w:name="_Toc31588"/>
      <w:r>
        <w:rPr>
          <w:rFonts w:hint="eastAsia" w:ascii="宋体" w:hAnsi="宋体" w:cs="宋体"/>
          <w:color w:val="000000"/>
          <w:sz w:val="21"/>
          <w:szCs w:val="21"/>
        </w:rPr>
        <w:t>19. 磋商小组组成及磋商时间、地点、人员</w:t>
      </w:r>
      <w:bookmarkEnd w:id="128"/>
      <w:bookmarkEnd w:id="129"/>
    </w:p>
    <w:p w14:paraId="08676EBB">
      <w:pPr>
        <w:spacing w:line="400" w:lineRule="exact"/>
        <w:ind w:firstLine="420" w:firstLineChars="200"/>
        <w:rPr>
          <w:rFonts w:ascii="宋体" w:hAnsi="宋体" w:cs="宋体"/>
          <w:color w:val="000000"/>
          <w:szCs w:val="21"/>
        </w:rPr>
      </w:pPr>
      <w:r>
        <w:rPr>
          <w:rFonts w:hint="eastAsia" w:ascii="宋体" w:hAnsi="宋体" w:cs="宋体"/>
          <w:color w:val="000000"/>
          <w:szCs w:val="21"/>
        </w:rPr>
        <w:t>19.1 磋商小组组成：</w:t>
      </w:r>
    </w:p>
    <w:p w14:paraId="0F27EAE5">
      <w:pPr>
        <w:spacing w:line="400" w:lineRule="exact"/>
        <w:ind w:firstLine="420" w:firstLineChars="200"/>
        <w:rPr>
          <w:rFonts w:ascii="宋体" w:hAnsi="宋体" w:cs="宋体"/>
          <w:color w:val="000000"/>
          <w:szCs w:val="21"/>
        </w:rPr>
      </w:pPr>
      <w:r>
        <w:rPr>
          <w:rFonts w:hint="eastAsia" w:ascii="宋体" w:hAnsi="宋体" w:cs="宋体"/>
          <w:color w:val="000000"/>
          <w:szCs w:val="21"/>
        </w:rPr>
        <w:t>磋商及评审工作由采购代理机构负责组织，具体磋商、评审工作由依法组建的磋商小组负责，磋商小组由采购人代表和有关方面的专家组成。磋商小组的构成：</w:t>
      </w:r>
      <w:r>
        <w:rPr>
          <w:rFonts w:hint="eastAsia" w:ascii="宋体" w:hAnsi="宋体" w:cs="宋体"/>
          <w:color w:val="000000"/>
          <w:szCs w:val="21"/>
          <w:u w:val="single"/>
        </w:rPr>
        <w:t xml:space="preserve"> 3 </w:t>
      </w:r>
      <w:r>
        <w:rPr>
          <w:rFonts w:hint="eastAsia" w:ascii="宋体" w:hAnsi="宋体" w:cs="宋体"/>
          <w:color w:val="000000"/>
          <w:szCs w:val="21"/>
        </w:rPr>
        <w:t>人，其中采购人代表</w:t>
      </w:r>
      <w:r>
        <w:rPr>
          <w:rFonts w:hint="eastAsia" w:ascii="宋体" w:hAnsi="宋体" w:cs="宋体"/>
          <w:color w:val="000000"/>
          <w:szCs w:val="21"/>
          <w:u w:val="single"/>
        </w:rPr>
        <w:t xml:space="preserve"> 1 </w:t>
      </w:r>
      <w:r>
        <w:rPr>
          <w:rFonts w:hint="eastAsia" w:ascii="宋体" w:hAnsi="宋体" w:cs="宋体"/>
          <w:color w:val="000000"/>
          <w:szCs w:val="21"/>
        </w:rPr>
        <w:t>人， 专家</w:t>
      </w:r>
      <w:r>
        <w:rPr>
          <w:rFonts w:hint="eastAsia" w:ascii="宋体" w:hAnsi="宋体" w:cs="宋体"/>
          <w:color w:val="000000"/>
          <w:szCs w:val="21"/>
          <w:u w:val="single"/>
        </w:rPr>
        <w:t xml:space="preserve"> 2 </w:t>
      </w:r>
      <w:r>
        <w:rPr>
          <w:rFonts w:hint="eastAsia" w:ascii="宋体" w:hAnsi="宋体" w:cs="宋体"/>
          <w:color w:val="000000"/>
          <w:szCs w:val="21"/>
        </w:rPr>
        <w:t>人。</w:t>
      </w:r>
    </w:p>
    <w:p w14:paraId="51C18253">
      <w:pPr>
        <w:tabs>
          <w:tab w:val="left" w:pos="1305"/>
        </w:tabs>
        <w:wordWrap w:val="0"/>
        <w:spacing w:line="360" w:lineRule="exact"/>
        <w:ind w:firstLine="420" w:firstLineChars="200"/>
        <w:rPr>
          <w:rFonts w:ascii="宋体" w:hAnsi="宋体"/>
          <w:szCs w:val="21"/>
        </w:rPr>
      </w:pPr>
      <w:r>
        <w:rPr>
          <w:rFonts w:hint="eastAsia" w:ascii="宋体" w:hAnsi="宋体"/>
          <w:szCs w:val="21"/>
        </w:rPr>
        <w:t>19.2 磋商时间、地点、人员：</w:t>
      </w:r>
    </w:p>
    <w:p w14:paraId="68D0DFC7">
      <w:pPr>
        <w:tabs>
          <w:tab w:val="left" w:pos="1140"/>
        </w:tabs>
        <w:wordWrap w:val="0"/>
        <w:spacing w:line="360" w:lineRule="exact"/>
        <w:ind w:firstLine="420" w:firstLineChars="200"/>
        <w:rPr>
          <w:rFonts w:ascii="宋体" w:hAnsi="宋体"/>
          <w:szCs w:val="21"/>
        </w:rPr>
      </w:pPr>
      <w:r>
        <w:rPr>
          <w:rFonts w:hint="eastAsia" w:ascii="宋体" w:hAnsi="宋体"/>
          <w:szCs w:val="21"/>
        </w:rPr>
        <w:t>19.2.1 磋商时间：首次响应文件提交截止时间后。</w:t>
      </w:r>
    </w:p>
    <w:p w14:paraId="12AD948B">
      <w:pPr>
        <w:tabs>
          <w:tab w:val="left" w:pos="1140"/>
        </w:tabs>
        <w:wordWrap w:val="0"/>
        <w:spacing w:line="360" w:lineRule="exact"/>
        <w:ind w:firstLine="420" w:firstLineChars="200"/>
        <w:rPr>
          <w:rFonts w:ascii="宋体" w:hAnsi="宋体"/>
          <w:szCs w:val="21"/>
        </w:rPr>
      </w:pPr>
      <w:r>
        <w:rPr>
          <w:rFonts w:hint="eastAsia" w:ascii="宋体" w:hAnsi="宋体"/>
          <w:szCs w:val="21"/>
        </w:rPr>
        <w:t>19.2.2 磋商地点：</w:t>
      </w:r>
      <w:r>
        <w:rPr>
          <w:rFonts w:hint="eastAsia" w:ascii="宋体" w:hAnsi="宋体"/>
          <w:bCs/>
          <w:szCs w:val="21"/>
        </w:rPr>
        <w:t>供应商代表在响应文件提交当天实时登录“政采云”平台，按磋商小组要求在线等候参与磋商及提交最后报价。因供应商未保持实时在线，导致磋商小组无法及时与其取得联系，从而造成供应商未按规定参与磋商或报价的，其不利后果由供应商自行承担。</w:t>
      </w:r>
    </w:p>
    <w:p w14:paraId="628563ED">
      <w:pPr>
        <w:tabs>
          <w:tab w:val="left" w:pos="1140"/>
        </w:tabs>
        <w:wordWrap w:val="0"/>
        <w:spacing w:line="360" w:lineRule="exact"/>
        <w:ind w:firstLine="420" w:firstLineChars="200"/>
        <w:rPr>
          <w:rFonts w:ascii="宋体" w:hAnsi="宋体"/>
          <w:szCs w:val="21"/>
        </w:rPr>
      </w:pPr>
      <w:r>
        <w:rPr>
          <w:rFonts w:hint="eastAsia" w:ascii="宋体" w:hAnsi="宋体"/>
          <w:szCs w:val="21"/>
        </w:rPr>
        <w:t>19.2.3 磋商参加人员：</w:t>
      </w:r>
      <w:r>
        <w:rPr>
          <w:rFonts w:hint="eastAsia" w:ascii="宋体" w:hAnsi="宋体"/>
          <w:bCs/>
          <w:szCs w:val="21"/>
        </w:rPr>
        <w:t>供应商法定代表人(负责人、自然人)或相应的委托代理人参加磋商。请供应商实时登录“政采云”平台等候在线磋商。</w:t>
      </w:r>
    </w:p>
    <w:p w14:paraId="1BCBDDEC">
      <w:pPr>
        <w:tabs>
          <w:tab w:val="left" w:pos="1140"/>
        </w:tabs>
        <w:wordWrap w:val="0"/>
        <w:spacing w:line="360" w:lineRule="exact"/>
        <w:ind w:firstLine="420" w:firstLineChars="200"/>
        <w:rPr>
          <w:rFonts w:ascii="宋体" w:hAnsi="宋体" w:cs="宋体"/>
          <w:bCs/>
          <w:szCs w:val="21"/>
        </w:rPr>
      </w:pPr>
      <w:r>
        <w:rPr>
          <w:rFonts w:hint="eastAsia" w:ascii="宋体" w:hAnsi="宋体"/>
          <w:szCs w:val="21"/>
        </w:rPr>
        <w:t>19.2.4</w:t>
      </w:r>
      <w:r>
        <w:rPr>
          <w:rFonts w:hint="eastAsia" w:ascii="宋体" w:hAnsi="宋体"/>
          <w:bCs/>
          <w:szCs w:val="21"/>
        </w:rPr>
        <w:t>首次响应文件提交截止时间后，登录“政采云”平台在线解密开启。</w:t>
      </w:r>
    </w:p>
    <w:p w14:paraId="18A050C3">
      <w:pPr>
        <w:pStyle w:val="6"/>
        <w:spacing w:line="400" w:lineRule="exact"/>
        <w:ind w:firstLine="422" w:firstLineChars="200"/>
        <w:rPr>
          <w:rFonts w:ascii="宋体" w:hAnsi="宋体" w:cs="宋体"/>
          <w:color w:val="000000"/>
          <w:sz w:val="21"/>
          <w:szCs w:val="21"/>
        </w:rPr>
      </w:pPr>
      <w:bookmarkStart w:id="130" w:name="_Toc3381"/>
      <w:bookmarkStart w:id="131" w:name="_Toc25258"/>
      <w:r>
        <w:rPr>
          <w:rFonts w:hint="eastAsia" w:ascii="宋体" w:hAnsi="宋体" w:cs="宋体"/>
          <w:color w:val="000000"/>
          <w:sz w:val="21"/>
          <w:szCs w:val="21"/>
        </w:rPr>
        <w:t>20. 评审原则</w:t>
      </w:r>
      <w:bookmarkEnd w:id="130"/>
      <w:bookmarkEnd w:id="131"/>
    </w:p>
    <w:p w14:paraId="6753CDA3">
      <w:pPr>
        <w:spacing w:line="400" w:lineRule="exact"/>
        <w:ind w:firstLine="420" w:firstLineChars="200"/>
        <w:rPr>
          <w:rFonts w:ascii="宋体" w:hAnsi="宋体" w:cs="宋体"/>
          <w:color w:val="000000"/>
          <w:szCs w:val="21"/>
        </w:rPr>
      </w:pPr>
      <w:r>
        <w:rPr>
          <w:rFonts w:hint="eastAsia" w:ascii="宋体" w:hAnsi="宋体" w:cs="宋体"/>
          <w:color w:val="000000"/>
          <w:szCs w:val="21"/>
        </w:rPr>
        <w:t>20.1 磋商小组必须坚持公平、公正、科学和择优的原则。</w:t>
      </w:r>
    </w:p>
    <w:p w14:paraId="734C3B3B">
      <w:pPr>
        <w:spacing w:line="400" w:lineRule="exact"/>
        <w:ind w:firstLine="420" w:firstLineChars="200"/>
        <w:rPr>
          <w:rFonts w:ascii="宋体" w:hAnsi="宋体" w:cs="宋体"/>
          <w:color w:val="000000"/>
          <w:szCs w:val="21"/>
        </w:rPr>
      </w:pPr>
      <w:r>
        <w:rPr>
          <w:rFonts w:hint="eastAsia" w:ascii="宋体" w:hAnsi="宋体" w:cs="宋体"/>
          <w:color w:val="000000"/>
          <w:szCs w:val="21"/>
        </w:rPr>
        <w:t>20.2 评审办法：综合评分法，具体详见第四章评审办法。</w:t>
      </w:r>
    </w:p>
    <w:p w14:paraId="2A93559D">
      <w:pPr>
        <w:spacing w:line="400" w:lineRule="exact"/>
        <w:ind w:firstLine="420" w:firstLineChars="200"/>
        <w:rPr>
          <w:rFonts w:ascii="宋体" w:hAnsi="宋体" w:cs="宋体"/>
          <w:color w:val="000000"/>
          <w:szCs w:val="21"/>
        </w:rPr>
      </w:pPr>
      <w:r>
        <w:rPr>
          <w:rFonts w:hint="eastAsia" w:ascii="宋体" w:hAnsi="宋体" w:cs="宋体"/>
          <w:color w:val="000000"/>
          <w:szCs w:val="21"/>
        </w:rPr>
        <w:t>20.3 磋商小组应按磋商文件进行评审，不得擅自更改评审办法。</w:t>
      </w:r>
    </w:p>
    <w:p w14:paraId="0E490A06">
      <w:pPr>
        <w:spacing w:line="400" w:lineRule="exact"/>
        <w:ind w:firstLine="420" w:firstLineChars="200"/>
        <w:rPr>
          <w:rFonts w:ascii="宋体" w:hAnsi="宋体" w:cs="宋体"/>
          <w:color w:val="000000"/>
          <w:szCs w:val="21"/>
        </w:rPr>
      </w:pPr>
      <w:r>
        <w:rPr>
          <w:rFonts w:hint="eastAsia" w:ascii="宋体" w:hAnsi="宋体" w:cs="宋体"/>
          <w:color w:val="000000"/>
          <w:szCs w:val="21"/>
        </w:rPr>
        <w:t>20.4 在评审过程中，磋商小组任何人不得对某个供应商发表任何倾向性意见，不得向其他磋商小组成员明示或者暗示自己的评审意见。</w:t>
      </w:r>
    </w:p>
    <w:p w14:paraId="5BAA19BC">
      <w:pPr>
        <w:spacing w:line="400" w:lineRule="exact"/>
        <w:ind w:firstLine="420" w:firstLineChars="200"/>
        <w:jc w:val="left"/>
        <w:rPr>
          <w:rFonts w:ascii="宋体" w:hAnsi="宋体" w:cs="宋体"/>
          <w:color w:val="000000"/>
          <w:szCs w:val="21"/>
        </w:rPr>
      </w:pPr>
      <w:r>
        <w:rPr>
          <w:rFonts w:hint="eastAsia" w:ascii="宋体" w:hAnsi="宋体" w:cs="宋体"/>
          <w:color w:val="000000"/>
          <w:szCs w:val="21"/>
        </w:rPr>
        <w:t>20.5 磋商小组成员对需要共同认定的事项存在争议的，按照少数服从多数的原则作出结论。持不同意见的磋商小组成员应当在评审报告上签署不同意见并说明理由，否则视为同意。</w:t>
      </w:r>
    </w:p>
    <w:p w14:paraId="6D11E7BF">
      <w:pPr>
        <w:spacing w:line="360" w:lineRule="exact"/>
        <w:ind w:firstLine="420" w:firstLineChars="200"/>
        <w:rPr>
          <w:rFonts w:ascii="宋体" w:hAnsi="宋体" w:cs="宋体"/>
          <w:color w:val="000000"/>
          <w:szCs w:val="21"/>
        </w:rPr>
      </w:pPr>
      <w:r>
        <w:rPr>
          <w:rFonts w:hint="eastAsia" w:ascii="宋体" w:hAnsi="宋体" w:cs="宋体"/>
          <w:color w:val="000000"/>
          <w:szCs w:val="21"/>
        </w:rPr>
        <w:t>20.6 响应文件最后报价出现前后不一致的，除竞争性磋商文件另有规定外，按照下列规定修正：</w:t>
      </w:r>
    </w:p>
    <w:p w14:paraId="58333682">
      <w:pPr>
        <w:pStyle w:val="28"/>
        <w:tabs>
          <w:tab w:val="left" w:pos="1099"/>
        </w:tabs>
        <w:spacing w:line="360" w:lineRule="exact"/>
        <w:ind w:left="420" w:leftChars="200" w:firstLine="0" w:firstLineChars="0"/>
        <w:jc w:val="left"/>
        <w:rPr>
          <w:rFonts w:ascii="宋体" w:hAnsi="宋体" w:cs="宋体"/>
          <w:color w:val="000000"/>
        </w:rPr>
      </w:pPr>
      <w:r>
        <w:rPr>
          <w:rFonts w:hint="eastAsia" w:ascii="宋体" w:hAnsi="宋体" w:cs="宋体"/>
          <w:color w:val="000000"/>
          <w:szCs w:val="21"/>
        </w:rPr>
        <w:t xml:space="preserve">(1) </w:t>
      </w:r>
      <w:r>
        <w:rPr>
          <w:rFonts w:hint="eastAsia" w:ascii="宋体" w:hAnsi="宋体" w:cs="宋体"/>
          <w:color w:val="000000"/>
        </w:rPr>
        <w:t>响应文件中磋商报价表内容与响应文件中相应内容不一致的，以最后磋商报价表为准；</w:t>
      </w:r>
    </w:p>
    <w:p w14:paraId="7F1915A9">
      <w:pPr>
        <w:pStyle w:val="28"/>
        <w:tabs>
          <w:tab w:val="left" w:pos="1099"/>
        </w:tabs>
        <w:spacing w:line="360" w:lineRule="exact"/>
        <w:ind w:left="420" w:leftChars="200" w:firstLine="0" w:firstLineChars="0"/>
        <w:jc w:val="left"/>
        <w:rPr>
          <w:rFonts w:ascii="宋体" w:hAnsi="宋体" w:cs="宋体"/>
          <w:color w:val="000000"/>
        </w:rPr>
      </w:pPr>
      <w:r>
        <w:rPr>
          <w:rFonts w:hint="eastAsia" w:ascii="宋体" w:hAnsi="宋体" w:cs="宋体"/>
          <w:color w:val="000000"/>
          <w:szCs w:val="21"/>
        </w:rPr>
        <w:t>(2)</w:t>
      </w:r>
      <w:r>
        <w:rPr>
          <w:rFonts w:hint="eastAsia" w:ascii="宋体" w:hAnsi="宋体" w:cs="宋体"/>
          <w:color w:val="000000"/>
        </w:rPr>
        <w:t xml:space="preserve"> 大写金额和小写金额不一致的，以大写金额为准；</w:t>
      </w:r>
    </w:p>
    <w:p w14:paraId="46A5172D">
      <w:pPr>
        <w:pStyle w:val="28"/>
        <w:tabs>
          <w:tab w:val="left" w:pos="1099"/>
        </w:tabs>
        <w:spacing w:line="360" w:lineRule="exact"/>
        <w:ind w:left="420" w:leftChars="200" w:firstLine="0" w:firstLineChars="0"/>
        <w:jc w:val="left"/>
        <w:rPr>
          <w:rFonts w:ascii="宋体" w:hAnsi="宋体" w:cs="宋体"/>
          <w:color w:val="000000"/>
        </w:rPr>
      </w:pPr>
      <w:r>
        <w:rPr>
          <w:rFonts w:hint="eastAsia" w:ascii="宋体" w:hAnsi="宋体" w:cs="宋体"/>
          <w:color w:val="000000"/>
          <w:szCs w:val="21"/>
        </w:rPr>
        <w:t>(3)</w:t>
      </w:r>
      <w:r>
        <w:rPr>
          <w:rFonts w:hint="eastAsia" w:ascii="宋体" w:hAnsi="宋体" w:cs="宋体"/>
          <w:color w:val="000000"/>
        </w:rPr>
        <w:t xml:space="preserve"> 单价金额小数点或者百分比有明显错位的，以报价表的总价为准，并修改单价；</w:t>
      </w:r>
    </w:p>
    <w:p w14:paraId="45C8C619">
      <w:pPr>
        <w:pStyle w:val="28"/>
        <w:tabs>
          <w:tab w:val="left" w:pos="1099"/>
        </w:tabs>
        <w:spacing w:line="360" w:lineRule="exact"/>
        <w:ind w:left="420" w:leftChars="200" w:firstLine="0" w:firstLineChars="0"/>
        <w:jc w:val="left"/>
        <w:rPr>
          <w:rFonts w:ascii="宋体" w:hAnsi="宋体" w:cs="宋体"/>
          <w:color w:val="000000"/>
        </w:rPr>
      </w:pPr>
      <w:r>
        <w:rPr>
          <w:rFonts w:hint="eastAsia" w:ascii="宋体" w:hAnsi="宋体" w:cs="宋体"/>
          <w:color w:val="000000"/>
          <w:szCs w:val="21"/>
        </w:rPr>
        <w:t xml:space="preserve">(4) </w:t>
      </w:r>
      <w:r>
        <w:rPr>
          <w:rFonts w:hint="eastAsia" w:ascii="宋体" w:hAnsi="宋体" w:cs="宋体"/>
          <w:color w:val="000000"/>
        </w:rPr>
        <w:t>总价金额与按单价汇总金额不一致的，以单价金额计算结果为准。</w:t>
      </w:r>
    </w:p>
    <w:p w14:paraId="6EE10858">
      <w:pPr>
        <w:spacing w:line="400" w:lineRule="exact"/>
        <w:ind w:firstLine="420" w:firstLineChars="200"/>
        <w:rPr>
          <w:rFonts w:ascii="宋体" w:hAnsi="宋体" w:cs="宋体"/>
          <w:color w:val="000000"/>
          <w:szCs w:val="21"/>
        </w:rPr>
      </w:pPr>
      <w:r>
        <w:rPr>
          <w:rFonts w:hint="eastAsia" w:ascii="宋体" w:hAnsi="宋体" w:cs="宋体"/>
          <w:color w:val="000000"/>
          <w:szCs w:val="21"/>
        </w:rPr>
        <w:t>同时出现两种以上不一致的，按照前款规定的顺序修正。修正后的报价（不得超出响应文件的范围或者改变响应文件的实质性内容）经磋商供应商确认后产生约束力，磋商供应商不确认的，作无效响应处理。</w:t>
      </w:r>
    </w:p>
    <w:p w14:paraId="122099B1">
      <w:pPr>
        <w:pStyle w:val="6"/>
        <w:spacing w:line="400" w:lineRule="exact"/>
        <w:ind w:firstLine="422" w:firstLineChars="200"/>
        <w:rPr>
          <w:rFonts w:ascii="宋体" w:hAnsi="宋体" w:cs="宋体"/>
          <w:color w:val="000000"/>
          <w:sz w:val="21"/>
          <w:szCs w:val="21"/>
        </w:rPr>
      </w:pPr>
      <w:bookmarkStart w:id="132" w:name="_Toc27193"/>
      <w:bookmarkStart w:id="133" w:name="_Toc9284"/>
      <w:r>
        <w:rPr>
          <w:rFonts w:hint="eastAsia" w:ascii="宋体" w:hAnsi="宋体" w:cs="宋体"/>
          <w:color w:val="000000"/>
          <w:sz w:val="21"/>
          <w:szCs w:val="21"/>
        </w:rPr>
        <w:t>21. 评审程序及磋商要求</w:t>
      </w:r>
      <w:bookmarkEnd w:id="132"/>
      <w:bookmarkEnd w:id="133"/>
    </w:p>
    <w:p w14:paraId="3192F950">
      <w:pPr>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21.1磋商小组成员的通讯工具或相关电子设备交由荔浦市公共资源交易中心统一保管后到达评标室，采购 </w:t>
      </w:r>
    </w:p>
    <w:p w14:paraId="316E813F">
      <w:pPr>
        <w:spacing w:line="400" w:lineRule="exact"/>
        <w:rPr>
          <w:rFonts w:ascii="宋体" w:hAnsi="宋体" w:cs="宋体"/>
          <w:color w:val="000000"/>
          <w:szCs w:val="21"/>
        </w:rPr>
      </w:pPr>
      <w:r>
        <w:rPr>
          <w:rFonts w:hint="eastAsia" w:ascii="宋体" w:hAnsi="宋体" w:cs="宋体"/>
          <w:color w:val="000000"/>
          <w:szCs w:val="21"/>
        </w:rPr>
        <w:t>代理机构核实磋商小组成员身份，告知回避要求，宣布评审工作纪律和程序，推选磋商小组组长。</w:t>
      </w:r>
    </w:p>
    <w:p w14:paraId="7F31A92D">
      <w:pPr>
        <w:spacing w:line="400" w:lineRule="exact"/>
        <w:ind w:firstLine="420" w:firstLineChars="200"/>
        <w:rPr>
          <w:rFonts w:ascii="宋体" w:hAnsi="宋体" w:cs="宋体"/>
          <w:color w:val="000000"/>
          <w:szCs w:val="21"/>
        </w:rPr>
      </w:pPr>
      <w:r>
        <w:rPr>
          <w:rFonts w:hint="eastAsia" w:ascii="宋体" w:hAnsi="宋体" w:cs="宋体"/>
          <w:color w:val="000000"/>
          <w:szCs w:val="21"/>
        </w:rPr>
        <w:t>21.2磋商小组应当对发布公告的竞争性磋商文件（简称磋商文件）进行确认，审查供应商的响应文件并作出评价；要求供应商解释或者澄清其响应文件；编写评审报告；告知采购人、采购代理机构在评审过程中发现的供应商的违法违规行为。</w:t>
      </w:r>
    </w:p>
    <w:p w14:paraId="0313568E">
      <w:pPr>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21.3磋商小组依据竞争性磋商文件的规定，首先对响应文件进行资格性审查，以确定供应商是否具备本项目供应商资格；再对通过资格性审查的供应商响应文件的有效性、完整性和对磋商文件的响应程度进行符合性 审查，以确定是否对磋商文件的实质性要求做出响应。 </w:t>
      </w:r>
    </w:p>
    <w:p w14:paraId="336304B7">
      <w:pPr>
        <w:spacing w:line="400" w:lineRule="exact"/>
        <w:ind w:firstLine="422" w:firstLineChars="200"/>
        <w:rPr>
          <w:rFonts w:ascii="宋体" w:hAnsi="宋体" w:cs="宋体"/>
          <w:b/>
          <w:bCs/>
          <w:color w:val="000000"/>
          <w:szCs w:val="21"/>
        </w:rPr>
      </w:pPr>
      <w:r>
        <w:rPr>
          <w:rFonts w:hint="eastAsia" w:ascii="宋体" w:hAnsi="宋体" w:cs="宋体"/>
          <w:b/>
          <w:bCs/>
          <w:color w:val="000000"/>
          <w:szCs w:val="21"/>
        </w:rPr>
        <w:t>21.4 磋商小组在对供应商进行资格性审查时，将对供应商企业股东及出资等信息进行查询。根据《中华人民共和国政府采购法实施条例》第十八条第一款规定，审查中如发现供应商存在单位负责人为同一人或者存在直接控股、管理关系的不同供应商参加同一合同项下的政府采购活动的，按响应文件无效处理。</w:t>
      </w:r>
    </w:p>
    <w:p w14:paraId="46AE639C">
      <w:pPr>
        <w:spacing w:line="400" w:lineRule="exact"/>
        <w:ind w:firstLine="420" w:firstLineChars="200"/>
        <w:rPr>
          <w:rFonts w:ascii="宋体" w:hAnsi="宋体" w:cs="宋体"/>
          <w:color w:val="000000"/>
          <w:szCs w:val="21"/>
        </w:rPr>
      </w:pPr>
      <w:r>
        <w:rPr>
          <w:rFonts w:hint="eastAsia" w:ascii="宋体" w:hAnsi="宋体" w:cs="宋体"/>
          <w:color w:val="000000"/>
          <w:szCs w:val="21"/>
        </w:rPr>
        <w:t>21.4.1 查询渠道：《国家企业信用信息公示系统》（网址：www.gsxt.gov.cn/index.html）</w:t>
      </w:r>
    </w:p>
    <w:p w14:paraId="1087A108">
      <w:pPr>
        <w:spacing w:line="400" w:lineRule="exact"/>
        <w:ind w:firstLine="420" w:firstLineChars="200"/>
        <w:rPr>
          <w:rFonts w:ascii="宋体" w:hAnsi="宋体" w:cs="宋体"/>
          <w:color w:val="000000"/>
          <w:szCs w:val="21"/>
        </w:rPr>
      </w:pPr>
      <w:r>
        <w:rPr>
          <w:rFonts w:hint="eastAsia" w:ascii="宋体" w:hAnsi="宋体" w:cs="宋体"/>
          <w:color w:val="000000"/>
          <w:szCs w:val="21"/>
        </w:rPr>
        <w:t>21.4.2 审查流程：</w:t>
      </w:r>
    </w:p>
    <w:p w14:paraId="553AB517">
      <w:pPr>
        <w:spacing w:line="400" w:lineRule="exact"/>
        <w:ind w:firstLine="420" w:firstLineChars="200"/>
        <w:rPr>
          <w:rFonts w:ascii="宋体" w:hAnsi="宋体" w:cs="宋体"/>
          <w:color w:val="000000"/>
          <w:szCs w:val="21"/>
        </w:rPr>
      </w:pPr>
      <w:r>
        <w:rPr>
          <w:rFonts w:hint="eastAsia" w:ascii="宋体" w:hAnsi="宋体" w:cs="宋体"/>
          <w:color w:val="000000"/>
          <w:szCs w:val="21"/>
        </w:rPr>
        <w:t>（1）进入《国家企业信用信息公示系统》（网址：www.gsxt.gov.cn/index.html），输入企业名称，进入企业信息主页面；</w:t>
      </w:r>
    </w:p>
    <w:p w14:paraId="67ACB130">
      <w:pPr>
        <w:spacing w:line="400" w:lineRule="exact"/>
        <w:ind w:firstLine="420" w:firstLineChars="200"/>
        <w:rPr>
          <w:rFonts w:ascii="宋体" w:hAnsi="宋体" w:cs="宋体"/>
          <w:color w:val="000000"/>
          <w:szCs w:val="21"/>
        </w:rPr>
      </w:pPr>
      <w:r>
        <w:rPr>
          <w:rFonts w:hint="eastAsia" w:ascii="宋体" w:hAnsi="宋体" w:cs="宋体"/>
          <w:color w:val="000000"/>
          <w:szCs w:val="21"/>
        </w:rPr>
        <w:t>（2）查看主页“股东及出资信息”栏，或年报中的“股东及出资信息”栏信息；</w:t>
      </w:r>
    </w:p>
    <w:p w14:paraId="3C2F1C32">
      <w:pPr>
        <w:spacing w:line="400" w:lineRule="exact"/>
        <w:ind w:firstLine="420" w:firstLineChars="200"/>
        <w:rPr>
          <w:rFonts w:ascii="宋体" w:hAnsi="宋体" w:cs="宋体"/>
          <w:color w:val="000000"/>
          <w:szCs w:val="21"/>
        </w:rPr>
      </w:pPr>
      <w:r>
        <w:rPr>
          <w:rFonts w:hint="eastAsia" w:ascii="宋体" w:hAnsi="宋体" w:cs="宋体"/>
          <w:color w:val="000000"/>
          <w:szCs w:val="21"/>
        </w:rPr>
        <w:t>（3）将各供应商的股东及出资信息进行比对，得出审查结论；</w:t>
      </w:r>
    </w:p>
    <w:p w14:paraId="105B90F6">
      <w:pPr>
        <w:spacing w:line="400" w:lineRule="exact"/>
        <w:ind w:firstLine="420" w:firstLineChars="200"/>
        <w:rPr>
          <w:rFonts w:ascii="宋体" w:hAnsi="宋体" w:cs="宋体"/>
          <w:color w:val="000000"/>
          <w:szCs w:val="21"/>
        </w:rPr>
      </w:pPr>
      <w:r>
        <w:rPr>
          <w:rFonts w:hint="eastAsia" w:ascii="宋体" w:hAnsi="宋体" w:cs="宋体"/>
          <w:color w:val="000000"/>
          <w:szCs w:val="21"/>
        </w:rPr>
        <w:t>（4）将相关资料作为评审资料打印存档。</w:t>
      </w:r>
    </w:p>
    <w:p w14:paraId="4948627D">
      <w:pPr>
        <w:spacing w:line="400" w:lineRule="exact"/>
        <w:ind w:firstLine="420" w:firstLineChars="200"/>
        <w:rPr>
          <w:rFonts w:ascii="宋体" w:hAnsi="宋体" w:cs="宋体"/>
          <w:color w:val="000000"/>
          <w:szCs w:val="21"/>
        </w:rPr>
      </w:pPr>
      <w:r>
        <w:rPr>
          <w:rFonts w:hint="eastAsia" w:ascii="宋体" w:hAnsi="宋体" w:cs="宋体"/>
          <w:color w:val="000000"/>
          <w:szCs w:val="21"/>
        </w:rPr>
        <w:t>21.5 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澄清、说明或者更正应由其法定代表人或相应的授权委托代表签字（</w:t>
      </w:r>
      <w:r>
        <w:rPr>
          <w:rFonts w:hint="eastAsia" w:ascii="宋体" w:hAnsi="宋体" w:cs="宋体"/>
        </w:rPr>
        <w:t>个人CA签章)</w:t>
      </w:r>
      <w:r>
        <w:rPr>
          <w:rFonts w:hint="eastAsia" w:ascii="宋体" w:hAnsi="宋体" w:cs="宋体"/>
          <w:color w:val="000000"/>
          <w:szCs w:val="21"/>
        </w:rPr>
        <w:t>或者加盖供应商公章(CA签章)。</w:t>
      </w:r>
    </w:p>
    <w:p w14:paraId="3BDE3FA6">
      <w:pPr>
        <w:spacing w:line="400" w:lineRule="exact"/>
        <w:ind w:firstLine="420" w:firstLineChars="200"/>
        <w:rPr>
          <w:rFonts w:ascii="宋体" w:hAnsi="宋体" w:cs="宋体"/>
          <w:color w:val="000000"/>
          <w:szCs w:val="21"/>
        </w:rPr>
      </w:pPr>
      <w:r>
        <w:rPr>
          <w:rFonts w:hint="eastAsia" w:ascii="宋体" w:hAnsi="宋体" w:cs="宋体"/>
          <w:color w:val="000000"/>
          <w:szCs w:val="21"/>
        </w:rPr>
        <w:t>根据磋商文件规定的程序、评定成交的标准等事项与实质性响应竞争性磋商文件要求的供应商进行磋商。</w:t>
      </w:r>
    </w:p>
    <w:p w14:paraId="196DE38B">
      <w:pPr>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未实质性响应磋商文件的响应文件按无效处理，磋商小组应当告知有关供应商。 </w:t>
      </w:r>
    </w:p>
    <w:p w14:paraId="0FF5CC2D">
      <w:pPr>
        <w:spacing w:line="400" w:lineRule="exact"/>
        <w:ind w:firstLine="420" w:firstLineChars="200"/>
        <w:rPr>
          <w:rFonts w:ascii="宋体" w:hAnsi="宋体" w:cs="宋体"/>
          <w:color w:val="000000"/>
          <w:szCs w:val="21"/>
        </w:rPr>
      </w:pPr>
      <w:r>
        <w:rPr>
          <w:rFonts w:hint="eastAsia" w:ascii="宋体" w:hAnsi="宋体" w:cs="宋体"/>
          <w:color w:val="000000"/>
          <w:szCs w:val="21"/>
        </w:rPr>
        <w:t>磋商小组所有成员应当按已确定的磋商顺序集中与单一供应商分别进行磋商，并给予所有实质性响应竞争性磋商文件要求的供应商平等的磋商机会。</w:t>
      </w:r>
    </w:p>
    <w:p w14:paraId="6F9840CA">
      <w:pPr>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磋商中，磋商小组不得透露与磋商有关的其他供应商的技术资料、价格和其他信息。 </w:t>
      </w:r>
    </w:p>
    <w:p w14:paraId="62ACED0C">
      <w:pPr>
        <w:spacing w:line="400" w:lineRule="exact"/>
        <w:ind w:firstLine="420" w:firstLineChars="200"/>
        <w:rPr>
          <w:rFonts w:ascii="宋体" w:hAnsi="宋体" w:cs="宋体"/>
          <w:color w:val="000000"/>
          <w:szCs w:val="21"/>
        </w:rPr>
      </w:pPr>
      <w:r>
        <w:rPr>
          <w:rFonts w:hint="eastAsia" w:ascii="宋体" w:hAnsi="宋体" w:cs="宋体"/>
          <w:color w:val="000000"/>
          <w:szCs w:val="21"/>
        </w:rPr>
        <w:t>磋商小组对磋商过程和重要磋商内容进行记录，磋商双方在记录上签字确认（</w:t>
      </w:r>
      <w:r>
        <w:rPr>
          <w:rFonts w:hint="eastAsia" w:ascii="宋体" w:hAnsi="宋体" w:cs="宋体"/>
        </w:rPr>
        <w:t>个人CA签章)</w:t>
      </w:r>
      <w:r>
        <w:rPr>
          <w:rFonts w:hint="eastAsia" w:ascii="宋体" w:hAnsi="宋体" w:cs="宋体"/>
          <w:color w:val="000000"/>
          <w:szCs w:val="21"/>
        </w:rPr>
        <w:t>或者加盖供应商公章(CA签章)。</w:t>
      </w:r>
    </w:p>
    <w:p w14:paraId="0780D01E">
      <w:pPr>
        <w:spacing w:line="400" w:lineRule="exact"/>
        <w:ind w:firstLine="420" w:firstLineChars="200"/>
        <w:rPr>
          <w:rFonts w:ascii="宋体" w:hAnsi="宋体" w:cs="宋体"/>
          <w:color w:val="FF0000"/>
        </w:rPr>
      </w:pPr>
      <w:r>
        <w:rPr>
          <w:rFonts w:hint="eastAsia" w:ascii="宋体" w:hAnsi="宋体" w:cs="宋体"/>
          <w:szCs w:val="21"/>
        </w:rPr>
        <w:t>21.6当磋商小组一致确定磋商供应商的竞争性磋商响应文件能够详细列明采购标的的技术、服务要求且符合竞争性磋商文件要求，无需再磋商的，磋商小组按竞争性磋商文件设定的21.11、21.16程序和综合评分法确定成交候选人。第一轮磋商后竞争性磋商文件有实质性变动或仍需磋商的，磋商小组对竞争性磋商文件变动或提出磋商意见后进行第二轮磋商。</w:t>
      </w:r>
    </w:p>
    <w:p w14:paraId="6BB1D0DD">
      <w:pPr>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21.7 在磋商过程中，磋商小组可以根据磋商文件和磋商情况实质性变动项目需求中的技术、服务要求以及合同草案条款，但不得变动磋商文件中的其他内容。实质性变动的内容，须经采购人代表确认。 </w:t>
      </w:r>
    </w:p>
    <w:p w14:paraId="0D1FE8E9">
      <w:pPr>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对磋商文件作出的实质性变动是磋商文件的有效组成部分，磋商小组应当及时通过政采云平台同时通知所有参加磋商的供应商。 </w:t>
      </w:r>
    </w:p>
    <w:p w14:paraId="445F50E3">
      <w:pPr>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供应商应当按照磋商文件的变动情况和磋商小组的要求重新提交响应文件，并由其法定代表人、负责人、自然人或相应的授权委托代表签字（个人CA签章）或者加盖供应商公章(CA签章)。逾时不交的，视同放弃磋商。 </w:t>
      </w:r>
    </w:p>
    <w:p w14:paraId="37ABF184">
      <w:pPr>
        <w:spacing w:line="400" w:lineRule="exact"/>
        <w:ind w:firstLine="420" w:firstLineChars="200"/>
        <w:rPr>
          <w:rFonts w:ascii="宋体" w:hAnsi="宋体" w:cs="宋体"/>
          <w:color w:val="000000"/>
          <w:szCs w:val="21"/>
        </w:rPr>
      </w:pPr>
      <w:r>
        <w:rPr>
          <w:rFonts w:hint="eastAsia" w:ascii="宋体" w:hAnsi="宋体" w:cs="宋体"/>
          <w:color w:val="000000"/>
          <w:szCs w:val="21"/>
        </w:rPr>
        <w:t>21.8 第二轮磋商</w:t>
      </w:r>
    </w:p>
    <w:p w14:paraId="55AD2B28">
      <w:pPr>
        <w:spacing w:line="400" w:lineRule="exact"/>
        <w:ind w:firstLine="420" w:firstLineChars="200"/>
        <w:rPr>
          <w:rFonts w:ascii="宋体" w:hAnsi="宋体" w:cs="宋体"/>
          <w:color w:val="000000"/>
          <w:szCs w:val="21"/>
        </w:rPr>
      </w:pPr>
      <w:r>
        <w:rPr>
          <w:rFonts w:hint="eastAsia" w:ascii="宋体" w:hAnsi="宋体" w:cs="宋体"/>
          <w:color w:val="000000"/>
          <w:szCs w:val="21"/>
        </w:rPr>
        <w:t>磋商小组集中就重新提交的响应文件或磋商小组提出的磋商意见与单一响应供应商分别进行磋商。磋商小组对磋商过程和重要磋商内容进行记录，磋商双方在记录上签字确认（CA签章确认）。</w:t>
      </w:r>
    </w:p>
    <w:p w14:paraId="5BA70898">
      <w:pPr>
        <w:spacing w:line="400" w:lineRule="exact"/>
        <w:ind w:firstLine="420" w:firstLineChars="200"/>
        <w:rPr>
          <w:rFonts w:ascii="宋体" w:hAnsi="宋体" w:cs="宋体"/>
          <w:color w:val="000000"/>
          <w:szCs w:val="21"/>
        </w:rPr>
      </w:pPr>
      <w:r>
        <w:rPr>
          <w:rFonts w:hint="eastAsia" w:ascii="宋体" w:hAnsi="宋体" w:cs="宋体"/>
          <w:color w:val="000000"/>
          <w:szCs w:val="21"/>
        </w:rPr>
        <w:t>磋商后，供应商根据磋商小组统一整理的书面磋商记录要求做出书面承诺，并由其法定代表人或授权代表签字或者加盖公章（CA签章）后按时线上提交。</w:t>
      </w:r>
    </w:p>
    <w:p w14:paraId="6F688F06">
      <w:pPr>
        <w:spacing w:line="400" w:lineRule="exact"/>
        <w:ind w:firstLine="420" w:firstLineChars="200"/>
        <w:rPr>
          <w:rFonts w:ascii="宋体" w:hAnsi="宋体" w:cs="宋体"/>
          <w:color w:val="000000"/>
        </w:rPr>
      </w:pPr>
      <w:r>
        <w:rPr>
          <w:rFonts w:hint="eastAsia" w:ascii="宋体" w:hAnsi="宋体" w:cs="宋体"/>
          <w:color w:val="000000"/>
          <w:szCs w:val="21"/>
        </w:rPr>
        <w:t>当磋商小组一致确定供应商的竞争性磋商响应文件符合竞争性磋商文件要求，无需再磋商的，磋商小组按竞争性磋商文件设定的21.11、21.16程序和评审方法确定成交候选人。第二轮磋商后竞争性磋商文件仍有实质性变动的或仍需磋商的，磋商小组对竞争性磋商文件变动或提出磋商意见后进行第三轮磋商。以此类推。</w:t>
      </w:r>
    </w:p>
    <w:p w14:paraId="15DCDBEF">
      <w:pPr>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21.9 在采购过程中符合竞争要求的供应商或者报价未超过采购预算的供应商不足3家的，采购人或者采购代理机构应当终止竞争性磋商采购活动。 </w:t>
      </w:r>
    </w:p>
    <w:p w14:paraId="25657BE3">
      <w:pPr>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21.10 最后报价 </w:t>
      </w:r>
    </w:p>
    <w:p w14:paraId="6A02359B">
      <w:pPr>
        <w:tabs>
          <w:tab w:val="left" w:pos="3990"/>
        </w:tabs>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21.11.1 磋商文件能够详细列明采购标的的技术、服务要求的，磋商结束后，磋商小组应当要求所有继续参加磋商的供应商在规定时间内线上提交最后报价，提交最后报价的供应商不得少于3家。 </w:t>
      </w:r>
    </w:p>
    <w:p w14:paraId="54DECAB9">
      <w:pPr>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21.11.2 磋商文件不能详细列明采购标的的技术、服务要求的，需由磋商供应商提供最终设计方案或解决方案的，磋商结束后，磋商小组应当按照少数服从多数的原则投票推荐3家以上（含3家）供应商的设计方案或者解决方案，并要求其在规定时间内线上提交最后报价。 </w:t>
      </w:r>
    </w:p>
    <w:p w14:paraId="48430A21">
      <w:pPr>
        <w:spacing w:line="400" w:lineRule="exact"/>
        <w:ind w:firstLine="420" w:firstLineChars="200"/>
        <w:rPr>
          <w:rFonts w:ascii="宋体" w:hAnsi="宋体" w:cs="宋体"/>
          <w:color w:val="000000"/>
        </w:rPr>
      </w:pPr>
      <w:r>
        <w:rPr>
          <w:rFonts w:hint="eastAsia" w:ascii="宋体" w:hAnsi="宋体" w:cs="宋体"/>
          <w:color w:val="000000"/>
          <w:szCs w:val="21"/>
        </w:rPr>
        <w:t>21.11.3 根据《财政部关于政府采购竞争性磋商采购方式管理暂行办法有关问题的补充通知》(财库〔2014〕214号)的规定，如采购项目为政府购买服务项目（含政府和社会资本合作项目），在采购过程中符合要求的供应商（社会资本）只有2家的，竞争性磋商采购活动可以继续进行，并要求其在规定时间内线上提交最后报价；采购过程中符合要求的供应商（社会资本）只有1家的，采购人或者采购代理机构应当终止竞争性磋商采购活动，发布项目终止公告并说明原因，重新开展采购活动。</w:t>
      </w:r>
    </w:p>
    <w:p w14:paraId="54857710">
      <w:pPr>
        <w:spacing w:line="400" w:lineRule="exact"/>
        <w:ind w:firstLine="420" w:firstLineChars="200"/>
        <w:rPr>
          <w:rFonts w:ascii="宋体" w:hAnsi="宋体" w:cs="宋体"/>
          <w:b/>
          <w:bCs/>
          <w:color w:val="000000"/>
          <w:szCs w:val="21"/>
        </w:rPr>
      </w:pPr>
      <w:r>
        <w:rPr>
          <w:rFonts w:hint="eastAsia" w:ascii="宋体" w:hAnsi="宋体" w:cs="宋体"/>
          <w:color w:val="000000"/>
          <w:szCs w:val="21"/>
        </w:rPr>
        <w:t>21.11.4 根据《政府采购竞争性磋商采购方式管理暂行办法》(财库〔2014〕214号)的规定：</w:t>
      </w:r>
      <w:r>
        <w:rPr>
          <w:rFonts w:hint="eastAsia" w:ascii="宋体" w:hAnsi="宋体" w:cs="宋体"/>
          <w:b/>
          <w:bCs/>
          <w:color w:val="000000"/>
          <w:szCs w:val="21"/>
        </w:rPr>
        <w:t>最后报价是供应商响应文件的有效组成部分。</w:t>
      </w:r>
      <w:r>
        <w:rPr>
          <w:rFonts w:hint="eastAsia" w:ascii="宋体" w:hAnsi="宋体" w:cs="宋体"/>
          <w:color w:val="000000"/>
          <w:szCs w:val="21"/>
        </w:rPr>
        <w:t>符合本办法(财库〔2014〕214号文)第三条第四项情形的，提交最后报价的供应商可以为2家。</w:t>
      </w:r>
      <w:r>
        <w:rPr>
          <w:rFonts w:hint="eastAsia" w:ascii="宋体" w:hAnsi="宋体" w:cs="宋体"/>
          <w:b/>
          <w:bCs/>
          <w:color w:val="000000"/>
          <w:szCs w:val="21"/>
        </w:rPr>
        <w:t>（财库〔2014〕214号文第三条第四项：市场竞争不充分的科研项目，以及需要扶持的科技成果转化项目。）</w:t>
      </w:r>
    </w:p>
    <w:p w14:paraId="0FD94D1B">
      <w:pPr>
        <w:spacing w:line="400" w:lineRule="exact"/>
        <w:ind w:firstLine="420" w:firstLineChars="200"/>
        <w:rPr>
          <w:rFonts w:ascii="宋体" w:hAnsi="宋体" w:cs="宋体"/>
          <w:color w:val="000000"/>
          <w:szCs w:val="21"/>
        </w:rPr>
      </w:pPr>
      <w:r>
        <w:rPr>
          <w:rFonts w:hint="eastAsia" w:ascii="宋体" w:hAnsi="宋体" w:cs="宋体"/>
          <w:color w:val="000000"/>
          <w:szCs w:val="21"/>
        </w:rPr>
        <w:t>21.12 已提交响应文件的供应商，在提交最后报价之前，可以根据磋商情况书面退出磋商。</w:t>
      </w:r>
    </w:p>
    <w:p w14:paraId="6589C85C">
      <w:pPr>
        <w:spacing w:line="400" w:lineRule="exact"/>
        <w:ind w:firstLine="420" w:firstLineChars="200"/>
        <w:rPr>
          <w:rFonts w:hint="eastAsia" w:ascii="宋体" w:hAnsi="宋体" w:cs="宋体"/>
          <w:color w:val="000000"/>
          <w:szCs w:val="21"/>
        </w:rPr>
      </w:pPr>
      <w:r>
        <w:rPr>
          <w:rFonts w:hint="eastAsia" w:ascii="宋体" w:hAnsi="宋体" w:cs="宋体"/>
          <w:color w:val="000000"/>
          <w:szCs w:val="21"/>
        </w:rPr>
        <w:t>未书面退出磋商的供应商在规定时间内线上提交最后报价，其最后报价超出采购预算导致已通过评审的响应文件无效的，按供应商在提交响应文件截止时间后撤回响应文件处理。</w:t>
      </w:r>
    </w:p>
    <w:p w14:paraId="7A86A136">
      <w:pPr>
        <w:spacing w:line="400" w:lineRule="exact"/>
        <w:ind w:firstLine="422"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21.13 根据《关于推动解决政府采购异常低价问题的通知》（财库〔2026〕2号）规定，政府采购评审中出现下列情形之一的，评审委员会应当启动异常低价投标（响应）审查程序：</w:t>
      </w:r>
      <w:r>
        <w:rPr>
          <w:rFonts w:hint="eastAsia" w:ascii="宋体" w:hAnsi="宋体" w:cs="宋体"/>
          <w:color w:val="000000" w:themeColor="text1"/>
          <w:szCs w:val="21"/>
          <w:highlight w:val="none"/>
          <w14:textFill>
            <w14:solidFill>
              <w14:schemeClr w14:val="tx1"/>
            </w14:solidFill>
          </w14:textFill>
        </w:rPr>
        <w:t> </w:t>
      </w:r>
    </w:p>
    <w:p w14:paraId="250CC2B9">
      <w:pPr>
        <w:spacing w:line="400" w:lineRule="exact"/>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（1）投标（响应）报价低于全部通过符合性审查供应商投标（响应）报价平均值50%的，即投标（响应）报价&lt;全部通过符合性审查供应商投标（响应）报价平均值×50%； </w:t>
      </w:r>
    </w:p>
    <w:p w14:paraId="25F335A1">
      <w:pPr>
        <w:spacing w:line="400" w:lineRule="exact"/>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（2）投标（响应）报价低于通过符合性审查的次低报价供应商投标（响应）报价50%的，即投标（响应）报价&lt;通过符合性审查的次低报价供应商投标（响应）报价×50%； </w:t>
      </w:r>
    </w:p>
    <w:p w14:paraId="6C19C411">
      <w:pPr>
        <w:spacing w:line="400" w:lineRule="exact"/>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（3）投标（响应）报价低于采购项目最高限价45%的，即投标（响应）报价&lt;采购项目最高限价×45%； </w:t>
      </w:r>
    </w:p>
    <w:p w14:paraId="09F09DEC">
      <w:pPr>
        <w:spacing w:line="400" w:lineRule="exact"/>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w:t>
      </w:r>
      <w:r>
        <w:rPr>
          <w:rFonts w:hint="eastAsia" w:ascii="宋体" w:hAnsi="宋体" w:cs="宋体"/>
          <w:color w:val="000000" w:themeColor="text1"/>
          <w:szCs w:val="21"/>
          <w:highlight w:val="none"/>
          <w:lang w:val="en-US" w:eastAsia="zh-C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（4）评审委员会基于专业判断，认为供应商报价过低，有可能影响产品质量或者不能诚信履约的其他情形。 </w:t>
      </w:r>
    </w:p>
    <w:p w14:paraId="714B3358">
      <w:pPr>
        <w:spacing w:line="400" w:lineRule="exact"/>
        <w:ind w:firstLine="422" w:firstLineChars="200"/>
        <w:rPr>
          <w:color w:val="000000" w:themeColor="text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评审委员会启动异常低价投标（响应）审查后，属于前述第1项至第4项情形的，应当要求相关供应商在评审委员会要求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能提供书面说明、证明材料，或者提供的书面说明、证明材料不能证明其报价合理性的，评审委员会应当将其作为无效投标（响应）处理。 异常低价投标（响应）审查的启动原因、审查意见和审查结果应当在评审报告中记录。</w:t>
      </w:r>
    </w:p>
    <w:p w14:paraId="24D4068B">
      <w:pPr>
        <w:spacing w:line="400" w:lineRule="exact"/>
        <w:ind w:firstLine="420" w:firstLineChars="200"/>
        <w:rPr>
          <w:rFonts w:ascii="宋体" w:hAnsi="宋体" w:cs="宋体"/>
          <w:color w:val="000000"/>
          <w:szCs w:val="21"/>
        </w:rPr>
      </w:pPr>
      <w:r>
        <w:rPr>
          <w:rFonts w:hint="eastAsia" w:ascii="宋体" w:hAnsi="宋体" w:cs="宋体"/>
          <w:color w:val="000000"/>
          <w:szCs w:val="21"/>
        </w:rPr>
        <w:t>21.1</w:t>
      </w:r>
      <w:r>
        <w:rPr>
          <w:rFonts w:hint="eastAsia" w:ascii="宋体" w:hAnsi="宋体" w:cs="宋体"/>
          <w:color w:val="000000"/>
          <w:szCs w:val="21"/>
          <w:lang w:val="en-US" w:eastAsia="zh-CN"/>
        </w:rPr>
        <w:t>4</w:t>
      </w:r>
      <w:r>
        <w:rPr>
          <w:rFonts w:hint="eastAsia" w:ascii="宋体" w:hAnsi="宋体" w:cs="宋体"/>
          <w:color w:val="000000"/>
          <w:szCs w:val="21"/>
        </w:rPr>
        <w:t xml:space="preserve"> 评审报告</w:t>
      </w:r>
    </w:p>
    <w:p w14:paraId="3E6A14E3">
      <w:pPr>
        <w:spacing w:line="400" w:lineRule="exact"/>
        <w:ind w:firstLine="420" w:firstLineChars="200"/>
        <w:rPr>
          <w:rFonts w:ascii="宋体" w:hAnsi="宋体" w:cs="宋体"/>
          <w:color w:val="000000"/>
          <w:szCs w:val="21"/>
        </w:rPr>
      </w:pPr>
      <w:r>
        <w:rPr>
          <w:rFonts w:hint="eastAsia" w:ascii="宋体" w:hAnsi="宋体" w:cs="宋体"/>
          <w:color w:val="000000"/>
          <w:szCs w:val="21"/>
        </w:rPr>
        <w:t>磋商小组应当从质量和服务均能满足磋商文件全部实质性响应要求的供应商中，按照最后综合得分由高到低的顺序提出3名以上（含3名）成交候选人，并编写评审报告。</w:t>
      </w:r>
    </w:p>
    <w:p w14:paraId="7F007C01">
      <w:pPr>
        <w:spacing w:line="400" w:lineRule="exact"/>
        <w:ind w:firstLine="420" w:firstLineChars="200"/>
        <w:rPr>
          <w:rFonts w:ascii="宋体" w:hAnsi="宋体" w:cs="宋体"/>
          <w:color w:val="000000"/>
          <w:szCs w:val="21"/>
        </w:rPr>
      </w:pPr>
      <w:r>
        <w:rPr>
          <w:rFonts w:hint="eastAsia" w:ascii="宋体" w:hAnsi="宋体" w:cs="宋体"/>
          <w:color w:val="000000"/>
          <w:szCs w:val="21"/>
        </w:rPr>
        <w:t>21.1</w:t>
      </w:r>
      <w:r>
        <w:rPr>
          <w:rFonts w:hint="eastAsia" w:ascii="宋体" w:hAnsi="宋体" w:cs="宋体"/>
          <w:color w:val="000000"/>
          <w:szCs w:val="21"/>
          <w:lang w:val="en-US" w:eastAsia="zh-CN"/>
        </w:rPr>
        <w:t>5</w:t>
      </w:r>
      <w:r>
        <w:rPr>
          <w:rFonts w:hint="eastAsia" w:ascii="宋体" w:hAnsi="宋体" w:cs="宋体"/>
          <w:color w:val="000000"/>
          <w:szCs w:val="21"/>
        </w:rPr>
        <w:t xml:space="preserve"> 在评审过程中出现法律法规和磋商文件均没有明确规定的情形时，由磋商小组现场协商解决，协商不一致的，由全体磋商小组投票表决，以得票率二分之一以上磋商小组成员的意见为准。</w:t>
      </w:r>
    </w:p>
    <w:p w14:paraId="439BBDE2">
      <w:pPr>
        <w:spacing w:line="400" w:lineRule="exact"/>
        <w:ind w:firstLine="420" w:firstLineChars="200"/>
        <w:rPr>
          <w:rFonts w:ascii="宋体" w:hAnsi="宋体" w:cs="宋体"/>
          <w:color w:val="000000"/>
          <w:szCs w:val="21"/>
        </w:rPr>
      </w:pPr>
      <w:r>
        <w:rPr>
          <w:rFonts w:hint="eastAsia" w:ascii="宋体" w:hAnsi="宋体" w:cs="宋体"/>
          <w:color w:val="000000"/>
          <w:szCs w:val="21"/>
        </w:rPr>
        <w:t>21.1</w:t>
      </w:r>
      <w:r>
        <w:rPr>
          <w:rFonts w:hint="eastAsia" w:ascii="宋体" w:hAnsi="宋体" w:cs="宋体"/>
          <w:color w:val="000000"/>
          <w:szCs w:val="21"/>
          <w:lang w:val="en-US" w:eastAsia="zh-CN"/>
        </w:rPr>
        <w:t>6</w:t>
      </w:r>
      <w:r>
        <w:rPr>
          <w:rFonts w:hint="eastAsia" w:ascii="宋体" w:hAnsi="宋体" w:cs="宋体"/>
          <w:color w:val="000000"/>
          <w:szCs w:val="21"/>
        </w:rPr>
        <w:t xml:space="preserve"> 采购代理机构发现磋商小组有明显的违规倾向或歧视现象，或不按评审办法进行，或其他不正常行为的，应当及时制止。如制止无效，应及时向桂林市政府采购监督管理机构报告。</w:t>
      </w:r>
    </w:p>
    <w:p w14:paraId="458E65E1">
      <w:pPr>
        <w:spacing w:line="400" w:lineRule="exact"/>
        <w:ind w:firstLine="420" w:firstLineChars="200"/>
        <w:rPr>
          <w:rFonts w:ascii="宋体" w:hAnsi="宋体" w:cs="宋体"/>
          <w:b/>
          <w:bCs/>
          <w:color w:val="000000"/>
        </w:rPr>
      </w:pPr>
      <w:r>
        <w:rPr>
          <w:rFonts w:hint="eastAsia" w:ascii="宋体" w:hAnsi="宋体" w:cs="宋体"/>
          <w:color w:val="000000"/>
          <w:szCs w:val="21"/>
        </w:rPr>
        <w:t>21.1</w:t>
      </w:r>
      <w:r>
        <w:rPr>
          <w:rFonts w:hint="eastAsia" w:ascii="宋体" w:hAnsi="宋体" w:cs="宋体"/>
          <w:color w:val="000000"/>
          <w:szCs w:val="21"/>
          <w:lang w:val="en-US" w:eastAsia="zh-CN"/>
        </w:rPr>
        <w:t>7</w:t>
      </w:r>
      <w:r>
        <w:rPr>
          <w:rFonts w:hint="eastAsia" w:ascii="宋体" w:hAnsi="宋体" w:cs="宋体"/>
          <w:color w:val="000000"/>
          <w:szCs w:val="21"/>
        </w:rPr>
        <w:t xml:space="preserve"> 本采购项目的评审依据为竞争性磋商文件和竞争性磋商响应文件，采用的评审方法为</w:t>
      </w:r>
      <w:r>
        <w:rPr>
          <w:rFonts w:hint="eastAsia" w:ascii="宋体" w:hAnsi="宋体" w:cs="宋体"/>
          <w:b/>
          <w:bCs/>
          <w:color w:val="000000"/>
          <w:szCs w:val="21"/>
        </w:rPr>
        <w:t>综合评分法。</w:t>
      </w:r>
    </w:p>
    <w:p w14:paraId="37D829BC">
      <w:pPr>
        <w:pStyle w:val="6"/>
        <w:spacing w:line="400" w:lineRule="exact"/>
        <w:ind w:firstLine="422" w:firstLineChars="200"/>
        <w:rPr>
          <w:rFonts w:ascii="宋体" w:hAnsi="宋体" w:cs="宋体"/>
          <w:color w:val="000000"/>
          <w:sz w:val="21"/>
          <w:szCs w:val="21"/>
        </w:rPr>
      </w:pPr>
      <w:bookmarkStart w:id="134" w:name="_Toc32470"/>
      <w:bookmarkStart w:id="135" w:name="_Toc6719"/>
      <w:r>
        <w:rPr>
          <w:rFonts w:hint="eastAsia" w:ascii="宋体" w:hAnsi="宋体" w:cs="宋体"/>
          <w:color w:val="000000"/>
          <w:sz w:val="21"/>
          <w:szCs w:val="21"/>
        </w:rPr>
        <w:t>22. 确定成交供应商</w:t>
      </w:r>
      <w:bookmarkEnd w:id="134"/>
      <w:bookmarkEnd w:id="135"/>
    </w:p>
    <w:p w14:paraId="78515983">
      <w:pPr>
        <w:spacing w:line="400" w:lineRule="exact"/>
        <w:ind w:firstLine="420" w:firstLineChars="200"/>
        <w:rPr>
          <w:rFonts w:ascii="宋体" w:hAnsi="宋体" w:cs="宋体"/>
          <w:color w:val="000000"/>
          <w:szCs w:val="21"/>
        </w:rPr>
      </w:pPr>
      <w:r>
        <w:rPr>
          <w:rFonts w:hint="eastAsia" w:ascii="宋体" w:hAnsi="宋体" w:cs="宋体"/>
          <w:color w:val="000000"/>
          <w:szCs w:val="21"/>
        </w:rPr>
        <w:t>22.1磋商小组应当根据综合得分情况，按照综合得分由高到低顺序推荐成交候选人，并编写评审报告。磋商小组根据综合得分由高到低排列次序，若得分相同时，以评审报价由低到高顺序排列；若得分相同且评审报价相同的，以最后报价由低到高顺序排列；若仍相同的，由磋商小组按照抽签的方式决定排列次序。</w:t>
      </w:r>
    </w:p>
    <w:p w14:paraId="2D9ED2CB">
      <w:pPr>
        <w:spacing w:line="400" w:lineRule="exact"/>
        <w:ind w:firstLine="420" w:firstLineChars="200"/>
        <w:rPr>
          <w:rFonts w:ascii="宋体" w:hAnsi="宋体" w:cs="宋体"/>
          <w:color w:val="000000"/>
        </w:rPr>
      </w:pPr>
      <w:r>
        <w:rPr>
          <w:rFonts w:hint="eastAsia" w:ascii="宋体" w:hAnsi="宋体" w:cs="宋体"/>
          <w:color w:val="000000"/>
          <w:szCs w:val="21"/>
        </w:rPr>
        <w:t>22.2采购单位应当确定磋商小组推荐排名第一的成交候选人为成交供应商。</w:t>
      </w:r>
    </w:p>
    <w:p w14:paraId="00963736">
      <w:pPr>
        <w:spacing w:line="400" w:lineRule="exact"/>
        <w:ind w:firstLine="420" w:firstLineChars="200"/>
        <w:rPr>
          <w:rFonts w:ascii="宋体" w:hAnsi="宋体" w:cs="宋体"/>
          <w:color w:val="000000"/>
          <w:szCs w:val="21"/>
        </w:rPr>
      </w:pPr>
      <w:r>
        <w:rPr>
          <w:rFonts w:hint="eastAsia" w:ascii="宋体" w:hAnsi="宋体" w:cs="宋体"/>
          <w:color w:val="000000"/>
          <w:szCs w:val="21"/>
        </w:rPr>
        <w:t>22.3排名第一的成交候选人放弃成交、因不可抗力提出不能履行合同，或信用信息记录不符合相关规定的，或者磋商文件规定应当提交履约保证金而在规定的期限内未能提交的，采购单位可以依法确定排名第二的成交候选人为成交供应商。</w:t>
      </w:r>
    </w:p>
    <w:p w14:paraId="014E0F97">
      <w:pPr>
        <w:spacing w:line="400" w:lineRule="exact"/>
        <w:ind w:firstLine="420" w:firstLineChars="200"/>
        <w:rPr>
          <w:rFonts w:ascii="宋体" w:hAnsi="宋体" w:cs="宋体"/>
          <w:color w:val="000000"/>
          <w:szCs w:val="21"/>
        </w:rPr>
      </w:pPr>
      <w:r>
        <w:rPr>
          <w:rFonts w:hint="eastAsia" w:ascii="宋体" w:hAnsi="宋体" w:cs="宋体"/>
          <w:color w:val="000000"/>
          <w:szCs w:val="21"/>
        </w:rPr>
        <w:t>22.4排名第二的成交候选人因前款规定的同样原因不能签订合同的，采购单位可以依法确定排名第三的成交候选人为成交供应商。</w:t>
      </w:r>
    </w:p>
    <w:p w14:paraId="78B8AD4C">
      <w:pPr>
        <w:pStyle w:val="6"/>
        <w:spacing w:line="400" w:lineRule="exact"/>
        <w:ind w:firstLine="422" w:firstLineChars="200"/>
        <w:rPr>
          <w:rFonts w:ascii="宋体" w:hAnsi="宋体" w:cs="宋体"/>
          <w:color w:val="000000"/>
          <w:sz w:val="21"/>
          <w:szCs w:val="21"/>
        </w:rPr>
      </w:pPr>
      <w:bookmarkStart w:id="136" w:name="_Toc21715"/>
      <w:bookmarkStart w:id="137" w:name="_Toc582"/>
      <w:r>
        <w:rPr>
          <w:rFonts w:hint="eastAsia" w:ascii="宋体" w:hAnsi="宋体" w:cs="宋体"/>
          <w:color w:val="000000"/>
          <w:sz w:val="21"/>
          <w:szCs w:val="21"/>
        </w:rPr>
        <w:t>23. 属于下列情况之一者，响应文件无效</w:t>
      </w:r>
      <w:bookmarkEnd w:id="136"/>
      <w:bookmarkEnd w:id="137"/>
    </w:p>
    <w:p w14:paraId="554FBE8F">
      <w:pPr>
        <w:spacing w:line="400" w:lineRule="exact"/>
        <w:ind w:firstLine="420" w:firstLineChars="200"/>
        <w:rPr>
          <w:rFonts w:ascii="宋体" w:hAnsi="宋体" w:cs="宋体"/>
          <w:color w:val="000000"/>
          <w:szCs w:val="21"/>
        </w:rPr>
      </w:pPr>
      <w:r>
        <w:rPr>
          <w:rFonts w:hint="eastAsia" w:ascii="宋体" w:hAnsi="宋体" w:cs="宋体"/>
          <w:color w:val="000000"/>
          <w:szCs w:val="21"/>
        </w:rPr>
        <w:t>（1）未按磋商文件规定完整线上提交响应文件或未按规定要求线上签字、签章的；</w:t>
      </w:r>
    </w:p>
    <w:p w14:paraId="75FD0189">
      <w:pPr>
        <w:spacing w:line="400" w:lineRule="exact"/>
        <w:ind w:firstLine="420" w:firstLineChars="200"/>
        <w:rPr>
          <w:rFonts w:ascii="宋体" w:hAnsi="宋体" w:cs="宋体"/>
          <w:color w:val="000000"/>
          <w:szCs w:val="21"/>
        </w:rPr>
      </w:pPr>
      <w:r>
        <w:rPr>
          <w:rFonts w:hint="eastAsia" w:ascii="宋体" w:hAnsi="宋体" w:cs="宋体"/>
          <w:color w:val="000000"/>
          <w:szCs w:val="21"/>
        </w:rPr>
        <w:t>（2）不具备磋商文件规定的资格要求的；</w:t>
      </w:r>
    </w:p>
    <w:p w14:paraId="08D48529">
      <w:pPr>
        <w:spacing w:line="400" w:lineRule="exact"/>
        <w:ind w:firstLine="420" w:firstLineChars="200"/>
        <w:rPr>
          <w:rFonts w:ascii="宋体" w:hAnsi="宋体" w:cs="宋体"/>
          <w:color w:val="000000"/>
          <w:szCs w:val="21"/>
        </w:rPr>
      </w:pPr>
      <w:r>
        <w:rPr>
          <w:rFonts w:hint="eastAsia" w:ascii="宋体" w:hAnsi="宋体" w:cs="宋体"/>
          <w:color w:val="000000"/>
          <w:szCs w:val="21"/>
        </w:rPr>
        <w:t>（3）响应文件未按磋商文件的内容和要求编制，或提供虚假材料的；</w:t>
      </w:r>
    </w:p>
    <w:p w14:paraId="0AC62DE1">
      <w:pPr>
        <w:spacing w:line="400" w:lineRule="exact"/>
        <w:ind w:firstLine="420" w:firstLineChars="200"/>
        <w:rPr>
          <w:rFonts w:ascii="宋体" w:hAnsi="宋体" w:cs="宋体"/>
          <w:color w:val="000000"/>
          <w:szCs w:val="21"/>
        </w:rPr>
      </w:pPr>
      <w:r>
        <w:rPr>
          <w:rFonts w:hint="eastAsia" w:ascii="宋体" w:hAnsi="宋体" w:cs="宋体"/>
          <w:color w:val="000000"/>
          <w:szCs w:val="21"/>
        </w:rPr>
        <w:t>（4）响应文件有效期、交货时间、免费保修期（升级、维护）期/维护期、售后服务不能满足磋商文件要求的；</w:t>
      </w:r>
    </w:p>
    <w:p w14:paraId="5CD9586A">
      <w:pPr>
        <w:spacing w:line="400" w:lineRule="exact"/>
        <w:ind w:firstLine="420" w:firstLineChars="200"/>
        <w:rPr>
          <w:rFonts w:ascii="宋体" w:hAnsi="宋体" w:cs="宋体"/>
          <w:color w:val="000000"/>
          <w:szCs w:val="21"/>
        </w:rPr>
      </w:pPr>
      <w:r>
        <w:rPr>
          <w:rFonts w:hint="eastAsia" w:ascii="宋体" w:hAnsi="宋体" w:cs="宋体"/>
          <w:color w:val="000000"/>
          <w:szCs w:val="21"/>
        </w:rPr>
        <w:t>（5）供应商未就“采购需求”中的所有内容作完整唯一报价的，或报价超出采购预算总金额的；</w:t>
      </w:r>
    </w:p>
    <w:p w14:paraId="52C69A6E">
      <w:pPr>
        <w:spacing w:line="400" w:lineRule="exact"/>
        <w:ind w:firstLine="420" w:firstLineChars="200"/>
        <w:rPr>
          <w:rFonts w:ascii="宋体" w:hAnsi="宋体" w:cs="宋体"/>
          <w:color w:val="000000"/>
          <w:szCs w:val="21"/>
        </w:rPr>
      </w:pPr>
      <w:r>
        <w:rPr>
          <w:rFonts w:hint="eastAsia" w:ascii="宋体" w:hAnsi="宋体" w:cs="宋体"/>
          <w:color w:val="000000"/>
          <w:szCs w:val="21"/>
        </w:rPr>
        <w:t>（6）未在磋商小组规定的时间内提交响应文件(包括最后报价)的；</w:t>
      </w:r>
    </w:p>
    <w:p w14:paraId="5CD9E1C2">
      <w:pPr>
        <w:spacing w:line="400" w:lineRule="exact"/>
        <w:ind w:firstLine="420" w:firstLineChars="200"/>
        <w:rPr>
          <w:rFonts w:ascii="宋体" w:hAnsi="宋体" w:cs="宋体"/>
          <w:color w:val="000000"/>
          <w:szCs w:val="21"/>
        </w:rPr>
      </w:pPr>
      <w:r>
        <w:rPr>
          <w:rFonts w:hint="eastAsia" w:ascii="宋体" w:hAnsi="宋体" w:cs="宋体"/>
          <w:color w:val="000000"/>
          <w:szCs w:val="21"/>
        </w:rPr>
        <w:t>（7）超越了按照法律法规规定必须获得行政许可或者行政审批的经营范围的；</w:t>
      </w:r>
    </w:p>
    <w:p w14:paraId="0F9110B1">
      <w:pPr>
        <w:spacing w:line="400" w:lineRule="exact"/>
        <w:ind w:firstLine="420" w:firstLineChars="200"/>
        <w:rPr>
          <w:rFonts w:ascii="宋体" w:hAnsi="宋体" w:cs="宋体"/>
          <w:color w:val="000000"/>
          <w:szCs w:val="21"/>
        </w:rPr>
      </w:pPr>
      <w:r>
        <w:rPr>
          <w:rFonts w:hint="eastAsia" w:ascii="宋体" w:hAnsi="宋体" w:cs="宋体"/>
          <w:color w:val="000000"/>
          <w:szCs w:val="21"/>
        </w:rPr>
        <w:t>（8）未满足磋商文件实质性要求的或者响应文件有采购人不能接受的附加条件的；</w:t>
      </w:r>
    </w:p>
    <w:p w14:paraId="7C3C9387">
      <w:pPr>
        <w:spacing w:line="400" w:lineRule="exact"/>
        <w:ind w:firstLine="420" w:firstLineChars="200"/>
        <w:rPr>
          <w:rFonts w:ascii="宋体" w:hAnsi="宋体" w:cs="宋体"/>
          <w:color w:val="000000"/>
        </w:rPr>
      </w:pPr>
      <w:r>
        <w:rPr>
          <w:rFonts w:hint="eastAsia" w:ascii="宋体" w:hAnsi="宋体" w:cs="宋体"/>
          <w:color w:val="000000"/>
          <w:szCs w:val="21"/>
        </w:rPr>
        <w:t>（9）响应文件实质性要求未做变动，供应商最后报价高于第一次报价的；</w:t>
      </w:r>
    </w:p>
    <w:p w14:paraId="536E5EBA">
      <w:pPr>
        <w:spacing w:line="400" w:lineRule="exact"/>
        <w:ind w:firstLine="420" w:firstLineChars="200"/>
        <w:rPr>
          <w:rFonts w:ascii="宋体" w:hAnsi="宋体" w:cs="宋体"/>
          <w:color w:val="000000"/>
          <w:szCs w:val="21"/>
        </w:rPr>
      </w:pPr>
      <w:r>
        <w:rPr>
          <w:rFonts w:hint="eastAsia" w:ascii="宋体" w:hAnsi="宋体" w:cs="宋体"/>
          <w:color w:val="000000"/>
          <w:szCs w:val="21"/>
        </w:rPr>
        <w:t>（10）不符合法律、法规和磋商文件规定的其他实质性要求和条件的。</w:t>
      </w:r>
    </w:p>
    <w:p w14:paraId="5CFB99D0">
      <w:pPr>
        <w:spacing w:line="400" w:lineRule="exact"/>
        <w:ind w:firstLine="422" w:firstLineChars="200"/>
        <w:rPr>
          <w:rFonts w:ascii="宋体" w:hAnsi="宋体" w:cs="宋体"/>
          <w:b/>
          <w:bCs/>
          <w:color w:val="000000"/>
          <w:szCs w:val="21"/>
        </w:rPr>
      </w:pPr>
      <w:r>
        <w:rPr>
          <w:rFonts w:hint="eastAsia" w:ascii="宋体" w:hAnsi="宋体" w:cs="宋体"/>
          <w:b/>
          <w:bCs/>
          <w:color w:val="000000"/>
          <w:szCs w:val="21"/>
        </w:rPr>
        <w:t>供应商有下列情形之一的视为供应商相互串通磋商，响应文件将被视为无效</w:t>
      </w:r>
    </w:p>
    <w:p w14:paraId="6E7EFABF">
      <w:pPr>
        <w:spacing w:line="400" w:lineRule="exact"/>
        <w:ind w:firstLine="420" w:firstLineChars="200"/>
        <w:rPr>
          <w:rFonts w:ascii="宋体" w:hAnsi="宋体" w:cs="宋体"/>
          <w:color w:val="000000"/>
          <w:szCs w:val="21"/>
        </w:rPr>
      </w:pPr>
      <w:r>
        <w:rPr>
          <w:rFonts w:hint="eastAsia" w:ascii="宋体" w:hAnsi="宋体" w:cs="宋体"/>
          <w:color w:val="000000"/>
          <w:szCs w:val="21"/>
        </w:rPr>
        <w:t>（1）不同供应商的响应文件由同一单位或者个人编制；或不同供应商报名的IP地址一致的；</w:t>
      </w:r>
    </w:p>
    <w:p w14:paraId="123126B8">
      <w:pPr>
        <w:spacing w:line="400" w:lineRule="exact"/>
        <w:ind w:firstLine="420" w:firstLineChars="200"/>
        <w:rPr>
          <w:rFonts w:ascii="宋体" w:hAnsi="宋体" w:cs="宋体"/>
          <w:color w:val="000000"/>
          <w:szCs w:val="21"/>
        </w:rPr>
      </w:pPr>
      <w:r>
        <w:rPr>
          <w:rFonts w:hint="eastAsia" w:ascii="宋体" w:hAnsi="宋体" w:cs="宋体"/>
          <w:color w:val="000000"/>
          <w:szCs w:val="21"/>
        </w:rPr>
        <w:t>（2）不同供应商委托同一单位或者个人办理磋商事宜；</w:t>
      </w:r>
    </w:p>
    <w:p w14:paraId="3E9FA2F7">
      <w:pPr>
        <w:spacing w:line="400" w:lineRule="exact"/>
        <w:ind w:firstLine="420" w:firstLineChars="200"/>
        <w:rPr>
          <w:rFonts w:ascii="宋体" w:hAnsi="宋体" w:cs="宋体"/>
          <w:color w:val="000000"/>
          <w:szCs w:val="21"/>
        </w:rPr>
      </w:pPr>
      <w:r>
        <w:rPr>
          <w:rFonts w:hint="eastAsia" w:ascii="宋体" w:hAnsi="宋体" w:cs="宋体"/>
          <w:color w:val="000000"/>
          <w:szCs w:val="21"/>
        </w:rPr>
        <w:t>（3）不同的供应商的响应文件载明的项目管理员为同一个人；</w:t>
      </w:r>
    </w:p>
    <w:p w14:paraId="79186508">
      <w:pPr>
        <w:spacing w:line="400" w:lineRule="exact"/>
        <w:ind w:firstLine="420" w:firstLineChars="200"/>
        <w:rPr>
          <w:rFonts w:ascii="宋体" w:hAnsi="宋体" w:cs="宋体"/>
          <w:color w:val="000000"/>
          <w:szCs w:val="21"/>
        </w:rPr>
      </w:pPr>
      <w:r>
        <w:rPr>
          <w:rFonts w:hint="eastAsia" w:ascii="宋体" w:hAnsi="宋体" w:cs="宋体"/>
          <w:color w:val="000000"/>
          <w:szCs w:val="21"/>
        </w:rPr>
        <w:t>（4）不同供应商的响应文件异常一致或竞标报价呈规律性差异；</w:t>
      </w:r>
    </w:p>
    <w:p w14:paraId="47BAE7A7">
      <w:pPr>
        <w:spacing w:line="400" w:lineRule="exact"/>
        <w:ind w:firstLine="420" w:firstLineChars="200"/>
        <w:rPr>
          <w:rFonts w:ascii="宋体" w:hAnsi="宋体" w:cs="宋体"/>
          <w:color w:val="000000"/>
          <w:szCs w:val="21"/>
        </w:rPr>
      </w:pPr>
      <w:r>
        <w:rPr>
          <w:rFonts w:hint="eastAsia" w:ascii="宋体" w:hAnsi="宋体" w:cs="宋体"/>
          <w:color w:val="000000"/>
          <w:szCs w:val="21"/>
        </w:rPr>
        <w:t>（5）不同供应商的响应文件相互混编。</w:t>
      </w:r>
    </w:p>
    <w:p w14:paraId="44A01062">
      <w:pPr>
        <w:pStyle w:val="6"/>
        <w:spacing w:line="400" w:lineRule="exact"/>
        <w:ind w:firstLine="422" w:firstLineChars="200"/>
        <w:rPr>
          <w:rFonts w:ascii="宋体" w:hAnsi="宋体" w:cs="宋体"/>
          <w:color w:val="000000"/>
          <w:sz w:val="21"/>
          <w:szCs w:val="21"/>
        </w:rPr>
      </w:pPr>
      <w:bookmarkStart w:id="138" w:name="_Toc5714"/>
      <w:bookmarkStart w:id="139" w:name="_Toc14842"/>
      <w:r>
        <w:rPr>
          <w:rFonts w:hint="eastAsia" w:ascii="宋体" w:hAnsi="宋体" w:cs="宋体"/>
          <w:color w:val="000000"/>
          <w:sz w:val="21"/>
          <w:szCs w:val="21"/>
        </w:rPr>
        <w:t>24. 出现下列情形之一的，采购人或者采购代理机构应当终止竞争性磋商采购活动，发布项目终止公告并说明原因，重新开展采购活动</w:t>
      </w:r>
      <w:bookmarkEnd w:id="138"/>
      <w:bookmarkEnd w:id="139"/>
    </w:p>
    <w:p w14:paraId="30CC826A">
      <w:pPr>
        <w:spacing w:line="400" w:lineRule="exact"/>
        <w:ind w:firstLine="420" w:firstLineChars="200"/>
        <w:rPr>
          <w:rFonts w:ascii="宋体" w:hAnsi="宋体" w:cs="宋体"/>
          <w:color w:val="000000"/>
          <w:szCs w:val="21"/>
        </w:rPr>
      </w:pPr>
      <w:r>
        <w:rPr>
          <w:rFonts w:hint="eastAsia" w:ascii="宋体" w:hAnsi="宋体" w:cs="宋体"/>
          <w:color w:val="000000"/>
          <w:szCs w:val="21"/>
        </w:rPr>
        <w:t>（1）因情况变化，不再符合规定的竞争性磋商采购方式适用情形的；</w:t>
      </w:r>
    </w:p>
    <w:p w14:paraId="7E92D67A">
      <w:pPr>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（2）出现影响采购公正的违法、违规行为的； </w:t>
      </w:r>
    </w:p>
    <w:p w14:paraId="59C76272">
      <w:pPr>
        <w:spacing w:line="400" w:lineRule="exact"/>
        <w:ind w:firstLine="420" w:firstLineChars="200"/>
        <w:rPr>
          <w:rFonts w:ascii="宋体" w:hAnsi="宋体" w:cs="宋体"/>
          <w:b/>
          <w:bCs/>
          <w:color w:val="000000"/>
          <w:szCs w:val="21"/>
        </w:rPr>
      </w:pPr>
      <w:r>
        <w:rPr>
          <w:rFonts w:hint="eastAsia" w:ascii="宋体" w:hAnsi="宋体" w:cs="宋体"/>
          <w:color w:val="000000"/>
          <w:szCs w:val="21"/>
        </w:rPr>
        <w:t>（3）在采购过程中符合竞争要求的供应商或者报价未超过采购预算的供应商不足3家的。</w:t>
      </w:r>
      <w:r>
        <w:rPr>
          <w:rFonts w:hint="eastAsia" w:ascii="宋体" w:hAnsi="宋体" w:cs="宋体"/>
          <w:b/>
          <w:bCs/>
          <w:color w:val="000000"/>
          <w:szCs w:val="21"/>
        </w:rPr>
        <w:t xml:space="preserve">（除财库〔2014〕214 号《政府采购竞争性磋商采购方式管理暂行办法》第二十一条第三款规定的情形外） </w:t>
      </w:r>
    </w:p>
    <w:p w14:paraId="7C436841">
      <w:pPr>
        <w:pStyle w:val="6"/>
        <w:spacing w:line="400" w:lineRule="exact"/>
        <w:ind w:firstLine="422" w:firstLineChars="200"/>
        <w:rPr>
          <w:rFonts w:ascii="宋体" w:hAnsi="宋体" w:cs="宋体"/>
          <w:color w:val="000000"/>
          <w:sz w:val="21"/>
          <w:szCs w:val="21"/>
        </w:rPr>
      </w:pPr>
      <w:bookmarkStart w:id="140" w:name="_Toc6771"/>
      <w:bookmarkStart w:id="141" w:name="_Toc19105"/>
      <w:r>
        <w:rPr>
          <w:rFonts w:hint="eastAsia" w:ascii="宋体" w:hAnsi="宋体" w:cs="宋体"/>
          <w:color w:val="000000"/>
          <w:sz w:val="21"/>
          <w:szCs w:val="21"/>
        </w:rPr>
        <w:t>25. 磋商过程的监控</w:t>
      </w:r>
      <w:bookmarkEnd w:id="140"/>
      <w:bookmarkEnd w:id="141"/>
    </w:p>
    <w:p w14:paraId="43FDEC9F">
      <w:pPr>
        <w:spacing w:line="400" w:lineRule="exact"/>
        <w:ind w:firstLine="420" w:firstLineChars="200"/>
        <w:rPr>
          <w:rFonts w:ascii="宋体" w:hAnsi="宋体" w:cs="宋体"/>
          <w:color w:val="000000"/>
          <w:szCs w:val="21"/>
        </w:rPr>
      </w:pPr>
      <w:r>
        <w:rPr>
          <w:rFonts w:hint="eastAsia" w:ascii="宋体" w:hAnsi="宋体" w:cs="宋体"/>
          <w:color w:val="000000"/>
          <w:szCs w:val="21"/>
        </w:rPr>
        <w:t>本项目磋商过程实行全程录音、录像监控，供应商在磋商过程中所进行的试图影响磋商结果的不公正活动，可能导致其磋商被拒绝。</w:t>
      </w:r>
    </w:p>
    <w:p w14:paraId="4F701EF2">
      <w:pPr>
        <w:pStyle w:val="6"/>
        <w:spacing w:line="400" w:lineRule="exact"/>
        <w:ind w:firstLine="422" w:firstLineChars="200"/>
        <w:rPr>
          <w:rFonts w:ascii="宋体" w:hAnsi="宋体" w:cs="宋体"/>
          <w:color w:val="000000"/>
          <w:sz w:val="21"/>
          <w:szCs w:val="21"/>
        </w:rPr>
      </w:pPr>
      <w:bookmarkStart w:id="142" w:name="_Toc14787"/>
      <w:bookmarkStart w:id="143" w:name="_Toc7544"/>
      <w:r>
        <w:rPr>
          <w:rFonts w:hint="eastAsia" w:ascii="宋体" w:hAnsi="宋体" w:cs="宋体"/>
          <w:color w:val="000000"/>
          <w:sz w:val="21"/>
          <w:szCs w:val="21"/>
        </w:rPr>
        <w:t>26. 信用查询</w:t>
      </w:r>
      <w:bookmarkEnd w:id="142"/>
      <w:bookmarkEnd w:id="143"/>
    </w:p>
    <w:p w14:paraId="5C1CDDBB">
      <w:pPr>
        <w:spacing w:line="400" w:lineRule="exact"/>
        <w:ind w:firstLine="420" w:firstLineChars="200"/>
        <w:rPr>
          <w:rFonts w:ascii="宋体" w:hAnsi="宋体" w:cs="宋体"/>
          <w:color w:val="000000"/>
          <w:szCs w:val="21"/>
        </w:rPr>
      </w:pPr>
      <w:r>
        <w:rPr>
          <w:rFonts w:hint="eastAsia" w:ascii="宋体" w:hAnsi="宋体" w:cs="宋体"/>
          <w:color w:val="000000"/>
          <w:szCs w:val="21"/>
        </w:rPr>
        <w:t>根据《关于做好政府采购有关信用主体标识码登记及在政府采购活动中查询使用信用记录有关问题的通知》桂财采〔2016〕37号的通知，采购代理机构对成交供应商的成交资格进行信用查询：</w:t>
      </w:r>
    </w:p>
    <w:p w14:paraId="3E912B7C">
      <w:pPr>
        <w:spacing w:line="400" w:lineRule="exact"/>
        <w:ind w:firstLine="210" w:firstLineChars="100"/>
        <w:rPr>
          <w:rFonts w:ascii="宋体" w:hAnsi="宋体" w:cs="宋体"/>
          <w:color w:val="000000"/>
          <w:szCs w:val="21"/>
        </w:rPr>
      </w:pPr>
      <w:r>
        <w:rPr>
          <w:rFonts w:hint="eastAsia" w:ascii="宋体" w:hAnsi="宋体" w:cs="宋体"/>
          <w:color w:val="000000"/>
          <w:szCs w:val="21"/>
        </w:rPr>
        <w:t>（1）查询渠道：“信用中国”网站(www.creditchina.gov.cn)、中国政府采购网(www.ccgp.gov.cn)等；</w:t>
      </w:r>
    </w:p>
    <w:p w14:paraId="21174EC7">
      <w:pPr>
        <w:spacing w:line="400" w:lineRule="exact"/>
        <w:ind w:firstLine="210" w:firstLineChars="100"/>
        <w:rPr>
          <w:rFonts w:ascii="宋体" w:hAnsi="宋体" w:cs="宋体"/>
          <w:color w:val="000000"/>
          <w:szCs w:val="21"/>
        </w:rPr>
      </w:pPr>
      <w:r>
        <w:rPr>
          <w:rFonts w:hint="eastAsia" w:ascii="宋体" w:hAnsi="宋体" w:cs="宋体"/>
          <w:color w:val="000000"/>
          <w:szCs w:val="21"/>
        </w:rPr>
        <w:t>（2）查询时间：成交通知书发出前；</w:t>
      </w:r>
    </w:p>
    <w:p w14:paraId="200BB7D6">
      <w:pPr>
        <w:spacing w:line="400" w:lineRule="exact"/>
        <w:ind w:firstLine="210" w:firstLineChars="100"/>
        <w:rPr>
          <w:rFonts w:ascii="宋体" w:hAnsi="宋体" w:cs="宋体"/>
          <w:color w:val="000000"/>
          <w:szCs w:val="21"/>
        </w:rPr>
      </w:pPr>
      <w:r>
        <w:rPr>
          <w:rFonts w:hint="eastAsia" w:ascii="宋体" w:hAnsi="宋体" w:cs="宋体"/>
          <w:color w:val="000000"/>
          <w:szCs w:val="21"/>
        </w:rPr>
        <w:t>（3）信用信息查询记录和证据留存方式：在查询网站中直接打印查询记录，打印材料作为采购活动资料保存。</w:t>
      </w:r>
    </w:p>
    <w:p w14:paraId="17635E22">
      <w:pPr>
        <w:spacing w:line="400" w:lineRule="exact"/>
        <w:ind w:firstLine="210" w:firstLineChars="100"/>
        <w:rPr>
          <w:rFonts w:ascii="宋体" w:hAnsi="宋体" w:cs="宋体"/>
          <w:color w:val="000000"/>
          <w:szCs w:val="21"/>
        </w:rPr>
      </w:pPr>
      <w:r>
        <w:rPr>
          <w:rFonts w:hint="eastAsia" w:ascii="宋体" w:hAnsi="宋体" w:cs="宋体"/>
          <w:color w:val="000000"/>
          <w:szCs w:val="21"/>
        </w:rPr>
        <w:t>（4）信用信息使用规则：对在“信用中国”网站(www.creditchina.gov.cn)、中国政府采购网(www.ccgp.gov.cn)等渠道列入失信被执行人、重大税收违法案件当事人名单、政府采购严重违法失信行为记录名单及其他不符合《中华人民共和国政府采购法》第二十二条规定条件的供应商，不得参与政府采购活动，取消其成交候选人资格。采购人依法按照评审报告中磋商小组推荐成交候选人排序表依法确定排名第二的成交候选人为成交供应商或者重新组织采购。</w:t>
      </w:r>
    </w:p>
    <w:p w14:paraId="3E5F7592">
      <w:pPr>
        <w:pStyle w:val="6"/>
        <w:spacing w:line="400" w:lineRule="exact"/>
        <w:ind w:firstLine="422" w:firstLineChars="200"/>
        <w:rPr>
          <w:rFonts w:ascii="宋体" w:hAnsi="宋体" w:cs="宋体"/>
          <w:color w:val="000000"/>
          <w:sz w:val="21"/>
          <w:szCs w:val="21"/>
        </w:rPr>
      </w:pPr>
      <w:bookmarkStart w:id="144" w:name="_Toc9438"/>
      <w:bookmarkStart w:id="145" w:name="_Toc13703"/>
      <w:r>
        <w:rPr>
          <w:rFonts w:hint="eastAsia" w:ascii="宋体" w:hAnsi="宋体" w:cs="宋体"/>
          <w:color w:val="000000"/>
          <w:sz w:val="21"/>
          <w:szCs w:val="21"/>
        </w:rPr>
        <w:t>27. 成交结果公告及成交通知书</w:t>
      </w:r>
      <w:bookmarkEnd w:id="144"/>
      <w:bookmarkEnd w:id="145"/>
    </w:p>
    <w:p w14:paraId="2454CFBF">
      <w:pPr>
        <w:spacing w:line="400" w:lineRule="exact"/>
        <w:ind w:firstLine="420" w:firstLineChars="200"/>
        <w:rPr>
          <w:rFonts w:ascii="宋体" w:hAnsi="宋体" w:cs="宋体"/>
          <w:color w:val="000000"/>
          <w:szCs w:val="21"/>
        </w:rPr>
      </w:pPr>
      <w:r>
        <w:rPr>
          <w:rFonts w:hint="eastAsia" w:ascii="宋体" w:hAnsi="宋体" w:cs="宋体"/>
          <w:color w:val="000000"/>
          <w:szCs w:val="21"/>
        </w:rPr>
        <w:t>27.1 采购代理机构于磋商结束后两个工作日内将评审报告送交采购人，采购人应当自收到评审报告五个工作日内在评审报告推荐的成交候选人中按顺序确定成交供应商，采购代理机构在成交供应商确定之日起两个工作日内发出成交通知书，并在指定媒体上公告成交信息。</w:t>
      </w:r>
    </w:p>
    <w:p w14:paraId="2605002A">
      <w:pPr>
        <w:spacing w:line="400" w:lineRule="exact"/>
        <w:ind w:firstLine="420" w:firstLineChars="200"/>
        <w:rPr>
          <w:rFonts w:ascii="宋体" w:hAnsi="宋体" w:cs="宋体"/>
          <w:color w:val="000000"/>
          <w:szCs w:val="21"/>
        </w:rPr>
      </w:pPr>
      <w:r>
        <w:rPr>
          <w:rFonts w:hint="eastAsia" w:ascii="宋体" w:hAnsi="宋体" w:cs="宋体"/>
          <w:color w:val="000000"/>
          <w:szCs w:val="21"/>
        </w:rPr>
        <w:t>27.2 在发布成交公告的同时，采购代理机构向成交供应商发出成交通知书。成交供应商自接到通知之日起七个工作日内，办理成交通知书领取手续。</w:t>
      </w:r>
    </w:p>
    <w:p w14:paraId="5F9E4F20">
      <w:pPr>
        <w:spacing w:line="400" w:lineRule="exact"/>
        <w:ind w:firstLine="420" w:firstLineChars="200"/>
        <w:rPr>
          <w:rFonts w:ascii="宋体" w:hAnsi="宋体" w:cs="宋体"/>
          <w:color w:val="000000"/>
          <w:szCs w:val="21"/>
        </w:rPr>
      </w:pPr>
      <w:r>
        <w:rPr>
          <w:rFonts w:hint="eastAsia" w:ascii="宋体" w:hAnsi="宋体" w:cs="宋体"/>
          <w:color w:val="000000"/>
          <w:szCs w:val="21"/>
        </w:rPr>
        <w:t>27.3 采购代理机构无义务向未成交的供应商解释未成交原因和退还响应文件。</w:t>
      </w:r>
    </w:p>
    <w:p w14:paraId="38F118F7">
      <w:pPr>
        <w:spacing w:line="400" w:lineRule="exact"/>
        <w:ind w:firstLine="422" w:firstLineChars="200"/>
        <w:rPr>
          <w:rFonts w:ascii="宋体" w:hAnsi="宋体" w:cs="宋体"/>
          <w:b/>
          <w:color w:val="000000"/>
          <w:szCs w:val="28"/>
        </w:rPr>
      </w:pPr>
      <w:bookmarkStart w:id="146" w:name="_Toc25593"/>
    </w:p>
    <w:p w14:paraId="39997EF0">
      <w:pPr>
        <w:spacing w:line="400" w:lineRule="exact"/>
        <w:jc w:val="center"/>
        <w:outlineLvl w:val="1"/>
        <w:rPr>
          <w:b/>
          <w:bCs/>
          <w:sz w:val="28"/>
          <w:szCs w:val="28"/>
        </w:rPr>
      </w:pPr>
      <w:bookmarkStart w:id="147" w:name="_Toc7859"/>
      <w:r>
        <w:rPr>
          <w:rFonts w:hint="eastAsia"/>
          <w:b/>
          <w:bCs/>
          <w:sz w:val="28"/>
          <w:szCs w:val="28"/>
        </w:rPr>
        <w:t>五、签订合同</w:t>
      </w:r>
      <w:bookmarkEnd w:id="146"/>
      <w:bookmarkEnd w:id="147"/>
    </w:p>
    <w:p w14:paraId="12EA6289">
      <w:pPr>
        <w:pStyle w:val="6"/>
        <w:spacing w:line="400" w:lineRule="exact"/>
        <w:ind w:firstLine="422" w:firstLineChars="200"/>
        <w:rPr>
          <w:rFonts w:ascii="宋体" w:hAnsi="宋体" w:cs="宋体"/>
          <w:color w:val="000000"/>
          <w:szCs w:val="21"/>
        </w:rPr>
      </w:pPr>
      <w:bookmarkStart w:id="148" w:name="_Toc26520"/>
      <w:bookmarkStart w:id="149" w:name="_Toc20760"/>
      <w:r>
        <w:rPr>
          <w:rFonts w:hint="eastAsia" w:ascii="宋体" w:hAnsi="宋体" w:cs="宋体"/>
          <w:color w:val="000000"/>
          <w:sz w:val="21"/>
          <w:szCs w:val="21"/>
        </w:rPr>
        <w:t>28. 履约保证金</w:t>
      </w:r>
      <w:bookmarkEnd w:id="148"/>
      <w:bookmarkEnd w:id="149"/>
    </w:p>
    <w:p w14:paraId="01FB9114">
      <w:pPr>
        <w:pStyle w:val="6"/>
        <w:spacing w:line="400" w:lineRule="exact"/>
        <w:ind w:firstLine="420" w:firstLineChars="200"/>
        <w:rPr>
          <w:rFonts w:ascii="宋体" w:hAnsi="宋体"/>
          <w:b w:val="0"/>
          <w:sz w:val="21"/>
          <w:szCs w:val="21"/>
        </w:rPr>
      </w:pPr>
      <w:bookmarkStart w:id="150" w:name="_Toc10846"/>
      <w:bookmarkStart w:id="151" w:name="_Toc4956"/>
      <w:r>
        <w:rPr>
          <w:rFonts w:hint="eastAsia" w:ascii="宋体" w:hAnsi="宋体"/>
          <w:b w:val="0"/>
          <w:sz w:val="21"/>
          <w:szCs w:val="21"/>
        </w:rPr>
        <w:t>根据《桂林市财政局关于贯彻落实政府采购优化营商环境百日攻坚行动方案的通知》（市财采〔2020〕24号）第四条的规定，本项目免收履约保证金。</w:t>
      </w:r>
    </w:p>
    <w:p w14:paraId="12893843">
      <w:pPr>
        <w:pStyle w:val="6"/>
        <w:spacing w:line="400" w:lineRule="exact"/>
        <w:ind w:firstLine="422" w:firstLineChars="200"/>
        <w:rPr>
          <w:rFonts w:ascii="宋体" w:hAnsi="宋体" w:cs="宋体"/>
          <w:color w:val="000000"/>
          <w:sz w:val="21"/>
          <w:szCs w:val="21"/>
        </w:rPr>
      </w:pPr>
      <w:r>
        <w:rPr>
          <w:rFonts w:hint="eastAsia" w:ascii="宋体" w:hAnsi="宋体" w:cs="宋体"/>
          <w:color w:val="000000"/>
          <w:sz w:val="21"/>
          <w:szCs w:val="21"/>
        </w:rPr>
        <w:t>29. 签订合同</w:t>
      </w:r>
      <w:bookmarkEnd w:id="150"/>
      <w:bookmarkEnd w:id="151"/>
    </w:p>
    <w:p w14:paraId="423C5E04">
      <w:pPr>
        <w:spacing w:line="400" w:lineRule="exact"/>
        <w:ind w:firstLine="422" w:firstLineChars="200"/>
        <w:rPr>
          <w:rFonts w:ascii="宋体" w:hAnsi="宋体" w:cs="宋体"/>
          <w:b/>
          <w:bCs/>
          <w:color w:val="000000"/>
          <w:szCs w:val="21"/>
        </w:rPr>
      </w:pPr>
      <w:r>
        <w:rPr>
          <w:rFonts w:hint="eastAsia" w:ascii="宋体" w:hAnsi="宋体" w:cs="宋体"/>
          <w:b/>
          <w:bCs/>
          <w:color w:val="000000"/>
          <w:szCs w:val="21"/>
        </w:rPr>
        <w:t>29.1 签订合同时间：自成交通知书发出之日起8个工作日内。成交供应商领取成交通知书后，应按规定与采购人签订合同。</w:t>
      </w:r>
    </w:p>
    <w:p w14:paraId="3BB78033">
      <w:pPr>
        <w:spacing w:line="400" w:lineRule="exact"/>
        <w:ind w:firstLine="420" w:firstLineChars="200"/>
        <w:rPr>
          <w:rFonts w:ascii="宋体" w:hAnsi="宋体" w:cs="宋体"/>
          <w:color w:val="000000"/>
          <w:szCs w:val="21"/>
        </w:rPr>
      </w:pPr>
      <w:r>
        <w:rPr>
          <w:rFonts w:hint="eastAsia" w:ascii="宋体" w:hAnsi="宋体" w:cs="宋体"/>
          <w:color w:val="000000"/>
          <w:szCs w:val="21"/>
        </w:rPr>
        <w:t>29.2 如成交供应商有下列情形之一的，情节严重的，由财政部门将其列入不良行为记录名单，在一至三年内禁止参加政府采购活动，并予以通报。采购代理机构可从磋商小组推荐的成交候选人中按顺序重新确定成交供应商或重新组织采购。拒绝签订政府采购合同的成交供应商不得参加对该项目重新开展的采购活动。</w:t>
      </w:r>
    </w:p>
    <w:p w14:paraId="08C2EF70">
      <w:pPr>
        <w:spacing w:line="400" w:lineRule="exact"/>
        <w:ind w:firstLine="420" w:firstLineChars="200"/>
        <w:rPr>
          <w:rFonts w:ascii="宋体" w:hAnsi="宋体" w:cs="宋体"/>
          <w:color w:val="000000"/>
          <w:szCs w:val="21"/>
        </w:rPr>
      </w:pPr>
      <w:r>
        <w:rPr>
          <w:rFonts w:hint="eastAsia" w:ascii="宋体" w:hAnsi="宋体" w:cs="宋体"/>
          <w:color w:val="000000"/>
          <w:szCs w:val="21"/>
        </w:rPr>
        <w:t>（1）成交后不与采购人签订合同的（不可抗力除外）；</w:t>
      </w:r>
    </w:p>
    <w:p w14:paraId="5F22F851">
      <w:pPr>
        <w:spacing w:line="400" w:lineRule="exact"/>
        <w:ind w:firstLine="420" w:firstLineChars="200"/>
        <w:rPr>
          <w:rFonts w:ascii="宋体" w:hAnsi="宋体" w:cs="宋体"/>
          <w:color w:val="000000"/>
          <w:szCs w:val="21"/>
        </w:rPr>
      </w:pPr>
      <w:r>
        <w:rPr>
          <w:rFonts w:hint="eastAsia" w:ascii="宋体" w:hAnsi="宋体" w:cs="宋体"/>
          <w:color w:val="000000"/>
          <w:szCs w:val="21"/>
        </w:rPr>
        <w:t>（2）将成交项目转让给他人，或者在响应文件中未说明，且未经采购人同意，将成交项目分包给他人的；</w:t>
      </w:r>
    </w:p>
    <w:p w14:paraId="4A6790C8">
      <w:pPr>
        <w:spacing w:line="400" w:lineRule="exact"/>
        <w:ind w:firstLine="420" w:firstLineChars="200"/>
        <w:rPr>
          <w:rFonts w:ascii="宋体" w:hAnsi="宋体" w:cs="宋体"/>
          <w:color w:val="000000"/>
          <w:szCs w:val="21"/>
        </w:rPr>
      </w:pPr>
      <w:r>
        <w:rPr>
          <w:rFonts w:hint="eastAsia" w:ascii="宋体" w:hAnsi="宋体" w:cs="宋体"/>
          <w:color w:val="000000"/>
          <w:szCs w:val="21"/>
        </w:rPr>
        <w:t>（3）拒绝履行合同义务的。</w:t>
      </w:r>
    </w:p>
    <w:p w14:paraId="6E21CB47">
      <w:pPr>
        <w:spacing w:line="400" w:lineRule="exact"/>
        <w:ind w:firstLine="420" w:firstLineChars="200"/>
        <w:rPr>
          <w:rFonts w:ascii="宋体" w:hAnsi="宋体" w:cs="宋体"/>
          <w:color w:val="FF0000"/>
          <w:sz w:val="36"/>
          <w:szCs w:val="36"/>
        </w:rPr>
      </w:pPr>
      <w:r>
        <w:rPr>
          <w:rFonts w:hint="eastAsia" w:ascii="宋体" w:hAnsi="宋体" w:cs="宋体"/>
          <w:color w:val="000000"/>
          <w:szCs w:val="21"/>
        </w:rPr>
        <w:t>29.3 合同备案存档：</w:t>
      </w:r>
      <w:r>
        <w:rPr>
          <w:rFonts w:hint="eastAsia" w:ascii="宋体" w:hAnsi="宋体" w:cs="宋体"/>
          <w:bCs/>
          <w:color w:val="000000"/>
          <w:kern w:val="0"/>
          <w:szCs w:val="21"/>
        </w:rPr>
        <w:t>政府采购合同双方自签订之日起1个工作日内将合同原件两份交采购代理机构。采购代理机构将政府采购合同在省级以上人民政府财政部门指定媒体上公告并于合同签订之日起7个工作日内将一份合同原件送监督管理部门备案，一份由采购代理机构存档。</w:t>
      </w:r>
    </w:p>
    <w:p w14:paraId="0685A158">
      <w:pPr>
        <w:spacing w:line="400" w:lineRule="exact"/>
        <w:ind w:firstLine="422" w:firstLineChars="200"/>
        <w:rPr>
          <w:rFonts w:ascii="宋体" w:hAnsi="宋体" w:cs="宋体"/>
          <w:b/>
          <w:color w:val="000000"/>
          <w:szCs w:val="28"/>
        </w:rPr>
      </w:pPr>
      <w:bookmarkStart w:id="152" w:name="_Toc16348"/>
    </w:p>
    <w:p w14:paraId="4B455C1C">
      <w:pPr>
        <w:spacing w:line="400" w:lineRule="exact"/>
        <w:jc w:val="center"/>
        <w:outlineLvl w:val="1"/>
        <w:rPr>
          <w:b/>
          <w:bCs/>
          <w:sz w:val="28"/>
          <w:szCs w:val="28"/>
        </w:rPr>
      </w:pPr>
      <w:bookmarkStart w:id="153" w:name="_Toc24218"/>
      <w:r>
        <w:rPr>
          <w:rFonts w:hint="eastAsia"/>
          <w:b/>
          <w:bCs/>
          <w:sz w:val="28"/>
          <w:szCs w:val="28"/>
        </w:rPr>
        <w:t>六、其他事项</w:t>
      </w:r>
      <w:bookmarkEnd w:id="152"/>
      <w:bookmarkEnd w:id="153"/>
    </w:p>
    <w:p w14:paraId="644FAB79">
      <w:pPr>
        <w:pStyle w:val="6"/>
        <w:spacing w:line="400" w:lineRule="exact"/>
        <w:ind w:firstLine="422" w:firstLineChars="200"/>
        <w:rPr>
          <w:rFonts w:ascii="宋体" w:hAnsi="宋体" w:cs="宋体"/>
          <w:color w:val="000000"/>
          <w:sz w:val="21"/>
          <w:szCs w:val="21"/>
        </w:rPr>
      </w:pPr>
      <w:bookmarkStart w:id="154" w:name="_Toc28647"/>
      <w:bookmarkStart w:id="155" w:name="_Toc3434"/>
      <w:r>
        <w:rPr>
          <w:rFonts w:hint="eastAsia" w:ascii="宋体" w:hAnsi="宋体" w:cs="宋体"/>
          <w:color w:val="000000"/>
          <w:sz w:val="21"/>
          <w:szCs w:val="21"/>
        </w:rPr>
        <w:t>30. 采购代理服务费</w:t>
      </w:r>
      <w:bookmarkEnd w:id="154"/>
      <w:bookmarkEnd w:id="155"/>
    </w:p>
    <w:p w14:paraId="262D7C8B">
      <w:pPr>
        <w:spacing w:line="400" w:lineRule="exact"/>
        <w:ind w:firstLine="420"/>
        <w:rPr>
          <w:rFonts w:ascii="宋体" w:hAnsi="宋体" w:cs="宋体"/>
          <w:szCs w:val="21"/>
        </w:rPr>
      </w:pPr>
      <w:bookmarkStart w:id="156" w:name="_Toc12374"/>
      <w:r>
        <w:rPr>
          <w:rFonts w:hint="eastAsia" w:ascii="宋体" w:hAnsi="宋体" w:cs="宋体"/>
        </w:rPr>
        <w:t>30.1</w:t>
      </w:r>
      <w:r>
        <w:rPr>
          <w:rFonts w:hint="eastAsia" w:ascii="宋体" w:hAnsi="宋体" w:cs="宋体"/>
          <w:szCs w:val="21"/>
        </w:rPr>
        <w:t>成交供应商在项目政府采购合同签订前，向采购代理机构一次性付清采购代理服务费，本项目采购代理服务收费标准参照计价格[2002]1980号《招标代理服务收费管理暂行办法》工程类收费标准向成交供应商收取</w:t>
      </w:r>
      <w:r>
        <w:rPr>
          <w:rFonts w:hint="eastAsia" w:hAnsi="宋体" w:cs="宋体"/>
          <w:szCs w:val="21"/>
        </w:rPr>
        <w:t>。</w:t>
      </w:r>
    </w:p>
    <w:tbl>
      <w:tblPr>
        <w:tblStyle w:val="21"/>
        <w:tblW w:w="9555"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80"/>
        <w:gridCol w:w="2225"/>
        <w:gridCol w:w="2225"/>
        <w:gridCol w:w="2225"/>
      </w:tblGrid>
      <w:tr w14:paraId="7DC94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2880" w:type="dxa"/>
            <w:shd w:val="clear" w:color="auto" w:fill="8DB3E2" w:themeFill="text2" w:themeFillTint="66"/>
          </w:tcPr>
          <w:p w14:paraId="5CE7C032">
            <w:pPr>
              <w:spacing w:line="460" w:lineRule="exact"/>
              <w:ind w:left="23"/>
              <w:rPr>
                <w:rFonts w:ascii="宋体" w:hAnsi="宋体" w:cs="宋体"/>
                <w:b/>
                <w:bCs/>
                <w:szCs w:val="21"/>
              </w:rPr>
            </w:pPr>
            <w:r>
              <w:rPr>
                <w:rFonts w:ascii="宋体" w:hAnsi="宋体" w:cs="宋体"/>
                <w:b/>
                <w:bCs/>
                <w:szCs w:val="21"/>
              </w:rPr>
              <mc:AlternateContent>
                <mc:Choice Requires="wps">
                  <w:drawing>
                    <wp:anchor distT="0" distB="0" distL="114300" distR="114300" simplePos="0" relativeHeight="251660288" behindDoc="0" locked="0" layoutInCell="1" allowOverlap="1">
                      <wp:simplePos x="0" y="0"/>
                      <wp:positionH relativeFrom="column">
                        <wp:posOffset>296545</wp:posOffset>
                      </wp:positionH>
                      <wp:positionV relativeFrom="paragraph">
                        <wp:posOffset>10795</wp:posOffset>
                      </wp:positionV>
                      <wp:extent cx="1463675" cy="653415"/>
                      <wp:effectExtent l="0" t="0" r="3175" b="13335"/>
                      <wp:wrapNone/>
                      <wp:docPr id="8" name="直接连接符 6"/>
                      <wp:cNvGraphicFramePr/>
                      <a:graphic xmlns:a="http://schemas.openxmlformats.org/drawingml/2006/main">
                        <a:graphicData uri="http://schemas.microsoft.com/office/word/2010/wordprocessingShape">
                          <wps:wsp>
                            <wps:cNvCnPr/>
                            <wps:spPr>
                              <a:xfrm>
                                <a:off x="0" y="0"/>
                                <a:ext cx="1463675" cy="653415"/>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直接连接符 6" o:spid="_x0000_s1026" o:spt="20" style="position:absolute;left:0pt;margin-left:23.35pt;margin-top:0.85pt;height:51.45pt;width:115.25pt;z-index:251660288;mso-width-relative:page;mso-height-relative:page;" filled="f" stroked="t" coordsize="21600,21600" o:gfxdata="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FIBUzTWAAAACAEAAA8AAAAAAAAAAQAgAAAAIgAAAGRycy9kb3ducmV2LnhtbFBLAQIUABQAAAAI&#10;AIdO4kBNtcpm7wEAAN0DAAAOAAAAAAAAAAEAIAAAACUBAABkcnMvZTJvRG9jLnhtbFBLBQYAAAAA&#10;BgAGAFkBAACGBQAAAAA=&#10;">
                      <v:fill on="f" focussize="0,0"/>
                      <v:stroke color="#000000" joinstyle="round"/>
                      <v:imagedata o:title=""/>
                      <o:lock v:ext="edit" aspectratio="f"/>
                    </v:line>
                  </w:pict>
                </mc:Fallback>
              </mc:AlternateContent>
            </w:r>
            <w:r>
              <w:rPr>
                <w:rFonts w:hint="eastAsia" w:ascii="宋体" w:hAnsi="宋体" w:cs="宋体"/>
                <w:b/>
                <w:bCs/>
                <w:szCs w:val="21"/>
              </w:rPr>
              <w:t>费率           服务类型</w:t>
            </w:r>
          </w:p>
          <w:p w14:paraId="43133DFE">
            <w:pPr>
              <w:spacing w:line="460" w:lineRule="exact"/>
              <w:ind w:left="23"/>
              <w:rPr>
                <w:rFonts w:ascii="宋体" w:hAnsi="宋体" w:cs="宋体"/>
                <w:b/>
                <w:bCs/>
                <w:szCs w:val="21"/>
              </w:rPr>
            </w:pPr>
            <w:r>
              <w:rPr>
                <w:rFonts w:ascii="宋体" w:hAnsi="宋体" w:cs="宋体"/>
                <w:b/>
                <w:bCs/>
                <w:szCs w:val="21"/>
              </w:rPr>
              <mc:AlternateContent>
                <mc:Choice Requires="wps">
                  <w:drawing>
                    <wp:anchor distT="0" distB="0" distL="114300" distR="114300" simplePos="0" relativeHeight="251661312" behindDoc="0" locked="0" layoutInCell="1" allowOverlap="1">
                      <wp:simplePos x="0" y="0"/>
                      <wp:positionH relativeFrom="column">
                        <wp:posOffset>-68580</wp:posOffset>
                      </wp:positionH>
                      <wp:positionV relativeFrom="paragraph">
                        <wp:posOffset>39370</wp:posOffset>
                      </wp:positionV>
                      <wp:extent cx="1828800" cy="396240"/>
                      <wp:effectExtent l="0" t="0" r="0" b="3810"/>
                      <wp:wrapNone/>
                      <wp:docPr id="7" name="直接连接符 7"/>
                      <wp:cNvGraphicFramePr/>
                      <a:graphic xmlns:a="http://schemas.openxmlformats.org/drawingml/2006/main">
                        <a:graphicData uri="http://schemas.microsoft.com/office/word/2010/wordprocessingShape">
                          <wps:wsp>
                            <wps:cNvCnPr/>
                            <wps:spPr>
                              <a:xfrm>
                                <a:off x="0" y="0"/>
                                <a:ext cx="1828800" cy="39624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5.4pt;margin-top:3.1pt;height:31.2pt;width:144pt;z-index:251661312;mso-width-relative:page;mso-height-relative:page;" filled="f" stroked="t" coordsize="21600,21600" o:gfxdata="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BADq9E1gAAAAgBAAAPAAAAAAAAAAEAIAAAACIAAABkcnMvZG93bnJldi54bWxQSwECFAAU&#10;AAAACACHTuJAnKBCqfMBAADdAwAADgAAAAAAAAABACAAAAAlAQAAZHJzL2Uyb0RvYy54bWxQSwUG&#10;AAAAAAYABgBZAQAAigUAAAAA&#10;">
                      <v:fill on="f" focussize="0,0"/>
                      <v:stroke color="#000000" joinstyle="round"/>
                      <v:imagedata o:title=""/>
                      <o:lock v:ext="edit" aspectratio="f"/>
                    </v:line>
                  </w:pict>
                </mc:Fallback>
              </mc:AlternateContent>
            </w:r>
          </w:p>
          <w:p w14:paraId="57B2783E">
            <w:pPr>
              <w:spacing w:line="460" w:lineRule="exact"/>
              <w:ind w:left="23"/>
              <w:rPr>
                <w:rFonts w:ascii="宋体" w:hAnsi="宋体" w:cs="宋体"/>
                <w:b/>
                <w:bCs/>
                <w:szCs w:val="21"/>
              </w:rPr>
            </w:pPr>
            <w:r>
              <w:rPr>
                <w:rFonts w:hint="eastAsia" w:ascii="宋体" w:hAnsi="宋体" w:cs="宋体"/>
                <w:b/>
                <w:bCs/>
                <w:szCs w:val="21"/>
              </w:rPr>
              <w:t>中标金额（万元）</w:t>
            </w:r>
          </w:p>
        </w:tc>
        <w:tc>
          <w:tcPr>
            <w:tcW w:w="2225" w:type="dxa"/>
            <w:shd w:val="clear" w:color="auto" w:fill="8DB3E2" w:themeFill="text2" w:themeFillTint="66"/>
            <w:vAlign w:val="center"/>
          </w:tcPr>
          <w:p w14:paraId="0444539F">
            <w:pPr>
              <w:spacing w:line="460" w:lineRule="exact"/>
              <w:ind w:left="23"/>
              <w:jc w:val="center"/>
              <w:rPr>
                <w:rFonts w:ascii="宋体" w:hAnsi="宋体" w:cs="宋体"/>
                <w:b/>
                <w:bCs/>
                <w:szCs w:val="21"/>
              </w:rPr>
            </w:pPr>
            <w:r>
              <w:rPr>
                <w:rFonts w:hint="eastAsia" w:ascii="宋体" w:hAnsi="宋体" w:cs="宋体"/>
                <w:b/>
                <w:bCs/>
                <w:szCs w:val="21"/>
              </w:rPr>
              <w:t>货物招标</w:t>
            </w:r>
          </w:p>
        </w:tc>
        <w:tc>
          <w:tcPr>
            <w:tcW w:w="2225" w:type="dxa"/>
            <w:shd w:val="clear" w:color="auto" w:fill="8DB3E2" w:themeFill="text2" w:themeFillTint="66"/>
            <w:vAlign w:val="center"/>
          </w:tcPr>
          <w:p w14:paraId="1A02C09F">
            <w:pPr>
              <w:spacing w:line="460" w:lineRule="exact"/>
              <w:ind w:left="23"/>
              <w:jc w:val="center"/>
              <w:rPr>
                <w:rFonts w:ascii="宋体" w:hAnsi="宋体" w:cs="宋体"/>
                <w:b/>
                <w:bCs/>
                <w:szCs w:val="21"/>
              </w:rPr>
            </w:pPr>
            <w:r>
              <w:rPr>
                <w:rFonts w:hint="eastAsia" w:ascii="宋体" w:hAnsi="宋体" w:cs="宋体"/>
                <w:b/>
                <w:bCs/>
                <w:szCs w:val="21"/>
              </w:rPr>
              <w:t>服务招标</w:t>
            </w:r>
          </w:p>
        </w:tc>
        <w:tc>
          <w:tcPr>
            <w:tcW w:w="2225" w:type="dxa"/>
            <w:shd w:val="clear" w:color="auto" w:fill="8DB3E2" w:themeFill="text2" w:themeFillTint="66"/>
            <w:vAlign w:val="center"/>
          </w:tcPr>
          <w:p w14:paraId="59F288E1">
            <w:pPr>
              <w:spacing w:line="460" w:lineRule="exact"/>
              <w:ind w:left="23"/>
              <w:jc w:val="center"/>
              <w:rPr>
                <w:rFonts w:ascii="宋体" w:hAnsi="宋体" w:cs="宋体"/>
                <w:b/>
                <w:bCs/>
                <w:szCs w:val="21"/>
              </w:rPr>
            </w:pPr>
            <w:r>
              <w:rPr>
                <w:rFonts w:hint="eastAsia" w:ascii="宋体" w:hAnsi="宋体" w:cs="宋体"/>
                <w:b/>
                <w:bCs/>
                <w:szCs w:val="21"/>
              </w:rPr>
              <w:t>工程招标</w:t>
            </w:r>
          </w:p>
        </w:tc>
      </w:tr>
      <w:tr w14:paraId="166B9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trPr>
        <w:tc>
          <w:tcPr>
            <w:tcW w:w="2880" w:type="dxa"/>
          </w:tcPr>
          <w:p w14:paraId="28D0F824">
            <w:pPr>
              <w:spacing w:line="460" w:lineRule="exact"/>
              <w:ind w:left="23"/>
              <w:rPr>
                <w:rFonts w:ascii="宋体" w:hAnsi="宋体" w:cs="宋体"/>
                <w:szCs w:val="21"/>
              </w:rPr>
            </w:pPr>
            <w:r>
              <w:rPr>
                <w:rFonts w:hint="eastAsia" w:ascii="宋体" w:hAnsi="宋体" w:cs="宋体"/>
                <w:szCs w:val="21"/>
              </w:rPr>
              <w:t>100以下</w:t>
            </w:r>
          </w:p>
        </w:tc>
        <w:tc>
          <w:tcPr>
            <w:tcW w:w="2225" w:type="dxa"/>
          </w:tcPr>
          <w:p w14:paraId="4E20BCA0">
            <w:pPr>
              <w:spacing w:line="460" w:lineRule="exact"/>
              <w:ind w:left="23"/>
              <w:jc w:val="center"/>
              <w:rPr>
                <w:rFonts w:ascii="宋体" w:hAnsi="宋体" w:cs="宋体"/>
                <w:szCs w:val="21"/>
              </w:rPr>
            </w:pPr>
            <w:r>
              <w:rPr>
                <w:rFonts w:hint="eastAsia" w:ascii="宋体" w:hAnsi="宋体" w:cs="宋体"/>
                <w:szCs w:val="21"/>
              </w:rPr>
              <w:t>1.5%</w:t>
            </w:r>
          </w:p>
        </w:tc>
        <w:tc>
          <w:tcPr>
            <w:tcW w:w="2225" w:type="dxa"/>
          </w:tcPr>
          <w:p w14:paraId="1A39C8C8">
            <w:pPr>
              <w:spacing w:line="460" w:lineRule="exact"/>
              <w:ind w:left="23"/>
              <w:jc w:val="center"/>
              <w:rPr>
                <w:rFonts w:ascii="宋体" w:hAnsi="宋体" w:cs="宋体"/>
                <w:szCs w:val="21"/>
              </w:rPr>
            </w:pPr>
            <w:r>
              <w:rPr>
                <w:rFonts w:hint="eastAsia" w:ascii="宋体" w:hAnsi="宋体" w:cs="宋体"/>
                <w:szCs w:val="21"/>
              </w:rPr>
              <w:t>1.5%</w:t>
            </w:r>
          </w:p>
        </w:tc>
        <w:tc>
          <w:tcPr>
            <w:tcW w:w="2225" w:type="dxa"/>
          </w:tcPr>
          <w:p w14:paraId="761881A7">
            <w:pPr>
              <w:spacing w:line="460" w:lineRule="exact"/>
              <w:ind w:left="23"/>
              <w:jc w:val="center"/>
              <w:rPr>
                <w:rFonts w:ascii="宋体" w:hAnsi="宋体" w:cs="宋体"/>
                <w:szCs w:val="21"/>
              </w:rPr>
            </w:pPr>
            <w:r>
              <w:rPr>
                <w:rFonts w:hint="eastAsia" w:ascii="宋体" w:hAnsi="宋体" w:cs="宋体"/>
                <w:szCs w:val="21"/>
              </w:rPr>
              <w:t>1.0%</w:t>
            </w:r>
          </w:p>
        </w:tc>
      </w:tr>
      <w:tr w14:paraId="4A727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 w:hRule="atLeast"/>
        </w:trPr>
        <w:tc>
          <w:tcPr>
            <w:tcW w:w="2880" w:type="dxa"/>
          </w:tcPr>
          <w:p w14:paraId="392B0F2A">
            <w:pPr>
              <w:spacing w:line="460" w:lineRule="exact"/>
              <w:ind w:left="23"/>
              <w:rPr>
                <w:rFonts w:ascii="宋体" w:hAnsi="宋体" w:cs="宋体"/>
                <w:szCs w:val="21"/>
              </w:rPr>
            </w:pPr>
            <w:r>
              <w:rPr>
                <w:rFonts w:hint="eastAsia" w:ascii="宋体" w:hAnsi="宋体" w:cs="宋体"/>
                <w:szCs w:val="21"/>
              </w:rPr>
              <w:t>100-500</w:t>
            </w:r>
          </w:p>
        </w:tc>
        <w:tc>
          <w:tcPr>
            <w:tcW w:w="2225" w:type="dxa"/>
          </w:tcPr>
          <w:p w14:paraId="437903ED">
            <w:pPr>
              <w:spacing w:line="460" w:lineRule="exact"/>
              <w:ind w:left="23"/>
              <w:jc w:val="center"/>
              <w:rPr>
                <w:rFonts w:ascii="宋体" w:hAnsi="宋体" w:cs="宋体"/>
                <w:szCs w:val="21"/>
              </w:rPr>
            </w:pPr>
            <w:r>
              <w:rPr>
                <w:rFonts w:hint="eastAsia" w:ascii="宋体" w:hAnsi="宋体" w:cs="宋体"/>
                <w:szCs w:val="21"/>
              </w:rPr>
              <w:t>1.1%</w:t>
            </w:r>
          </w:p>
        </w:tc>
        <w:tc>
          <w:tcPr>
            <w:tcW w:w="2225" w:type="dxa"/>
          </w:tcPr>
          <w:p w14:paraId="5B593B17">
            <w:pPr>
              <w:spacing w:line="460" w:lineRule="exact"/>
              <w:ind w:left="23"/>
              <w:jc w:val="center"/>
              <w:rPr>
                <w:rFonts w:ascii="宋体" w:hAnsi="宋体" w:cs="宋体"/>
                <w:szCs w:val="21"/>
              </w:rPr>
            </w:pPr>
            <w:r>
              <w:rPr>
                <w:rFonts w:hint="eastAsia" w:ascii="宋体" w:hAnsi="宋体" w:cs="宋体"/>
                <w:szCs w:val="21"/>
              </w:rPr>
              <w:t>0.8%</w:t>
            </w:r>
          </w:p>
        </w:tc>
        <w:tc>
          <w:tcPr>
            <w:tcW w:w="2225" w:type="dxa"/>
          </w:tcPr>
          <w:p w14:paraId="6EC2EC7F">
            <w:pPr>
              <w:spacing w:line="460" w:lineRule="exact"/>
              <w:ind w:left="23"/>
              <w:jc w:val="center"/>
              <w:rPr>
                <w:rFonts w:ascii="宋体" w:hAnsi="宋体" w:cs="宋体"/>
                <w:szCs w:val="21"/>
              </w:rPr>
            </w:pPr>
            <w:r>
              <w:rPr>
                <w:rFonts w:hint="eastAsia" w:ascii="宋体" w:hAnsi="宋体" w:cs="宋体"/>
                <w:szCs w:val="21"/>
              </w:rPr>
              <w:t>0.7%</w:t>
            </w:r>
          </w:p>
        </w:tc>
      </w:tr>
      <w:tr w14:paraId="1BDC3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trPr>
        <w:tc>
          <w:tcPr>
            <w:tcW w:w="2880" w:type="dxa"/>
          </w:tcPr>
          <w:p w14:paraId="7ABEF266">
            <w:pPr>
              <w:spacing w:line="460" w:lineRule="exact"/>
              <w:ind w:left="23"/>
              <w:rPr>
                <w:rFonts w:ascii="宋体" w:hAnsi="宋体" w:cs="宋体"/>
                <w:szCs w:val="21"/>
              </w:rPr>
            </w:pPr>
            <w:r>
              <w:rPr>
                <w:rFonts w:hint="eastAsia" w:ascii="宋体" w:hAnsi="宋体" w:cs="宋体"/>
                <w:szCs w:val="21"/>
              </w:rPr>
              <w:t>500-1000</w:t>
            </w:r>
          </w:p>
        </w:tc>
        <w:tc>
          <w:tcPr>
            <w:tcW w:w="2225" w:type="dxa"/>
          </w:tcPr>
          <w:p w14:paraId="650985FA">
            <w:pPr>
              <w:spacing w:line="460" w:lineRule="exact"/>
              <w:ind w:left="23"/>
              <w:jc w:val="center"/>
              <w:rPr>
                <w:rFonts w:ascii="宋体" w:hAnsi="宋体" w:cs="宋体"/>
                <w:szCs w:val="21"/>
              </w:rPr>
            </w:pPr>
            <w:r>
              <w:rPr>
                <w:rFonts w:hint="eastAsia" w:ascii="宋体" w:hAnsi="宋体" w:cs="宋体"/>
                <w:szCs w:val="21"/>
              </w:rPr>
              <w:t>0.8%</w:t>
            </w:r>
          </w:p>
        </w:tc>
        <w:tc>
          <w:tcPr>
            <w:tcW w:w="2225" w:type="dxa"/>
          </w:tcPr>
          <w:p w14:paraId="5E0FBD61">
            <w:pPr>
              <w:spacing w:line="460" w:lineRule="exact"/>
              <w:ind w:left="23"/>
              <w:jc w:val="center"/>
              <w:rPr>
                <w:rFonts w:ascii="宋体" w:hAnsi="宋体" w:cs="宋体"/>
                <w:szCs w:val="21"/>
              </w:rPr>
            </w:pPr>
            <w:r>
              <w:rPr>
                <w:rFonts w:hint="eastAsia" w:ascii="宋体" w:hAnsi="宋体" w:cs="宋体"/>
                <w:szCs w:val="21"/>
              </w:rPr>
              <w:t>0.45%</w:t>
            </w:r>
          </w:p>
        </w:tc>
        <w:tc>
          <w:tcPr>
            <w:tcW w:w="2225" w:type="dxa"/>
          </w:tcPr>
          <w:p w14:paraId="37238CBA">
            <w:pPr>
              <w:spacing w:line="460" w:lineRule="exact"/>
              <w:ind w:left="23"/>
              <w:jc w:val="center"/>
              <w:rPr>
                <w:rFonts w:ascii="宋体" w:hAnsi="宋体" w:cs="宋体"/>
                <w:szCs w:val="21"/>
              </w:rPr>
            </w:pPr>
            <w:r>
              <w:rPr>
                <w:rFonts w:hint="eastAsia" w:ascii="宋体" w:hAnsi="宋体" w:cs="宋体"/>
                <w:szCs w:val="21"/>
              </w:rPr>
              <w:t>0.55%</w:t>
            </w:r>
          </w:p>
        </w:tc>
      </w:tr>
      <w:tr w14:paraId="1ED9C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trPr>
        <w:tc>
          <w:tcPr>
            <w:tcW w:w="2880" w:type="dxa"/>
          </w:tcPr>
          <w:p w14:paraId="7165F92A">
            <w:pPr>
              <w:spacing w:line="460" w:lineRule="exact"/>
              <w:ind w:left="23"/>
              <w:rPr>
                <w:rFonts w:ascii="宋体" w:hAnsi="宋体" w:cs="宋体"/>
                <w:szCs w:val="21"/>
              </w:rPr>
            </w:pPr>
            <w:r>
              <w:rPr>
                <w:rFonts w:hint="eastAsia" w:ascii="宋体" w:hAnsi="宋体" w:cs="宋体"/>
                <w:szCs w:val="21"/>
              </w:rPr>
              <w:t>1000-5000</w:t>
            </w:r>
          </w:p>
        </w:tc>
        <w:tc>
          <w:tcPr>
            <w:tcW w:w="2225" w:type="dxa"/>
          </w:tcPr>
          <w:p w14:paraId="29D5C8DA">
            <w:pPr>
              <w:spacing w:line="460" w:lineRule="exact"/>
              <w:ind w:left="23"/>
              <w:jc w:val="center"/>
              <w:rPr>
                <w:rFonts w:ascii="宋体" w:hAnsi="宋体" w:cs="宋体"/>
                <w:szCs w:val="21"/>
              </w:rPr>
            </w:pPr>
            <w:r>
              <w:rPr>
                <w:rFonts w:hint="eastAsia" w:ascii="宋体" w:hAnsi="宋体" w:cs="宋体"/>
                <w:szCs w:val="21"/>
              </w:rPr>
              <w:t>0.5%</w:t>
            </w:r>
          </w:p>
        </w:tc>
        <w:tc>
          <w:tcPr>
            <w:tcW w:w="2225" w:type="dxa"/>
          </w:tcPr>
          <w:p w14:paraId="7A9F60E0">
            <w:pPr>
              <w:spacing w:line="460" w:lineRule="exact"/>
              <w:ind w:left="23"/>
              <w:jc w:val="center"/>
              <w:rPr>
                <w:rFonts w:ascii="宋体" w:hAnsi="宋体" w:cs="宋体"/>
                <w:szCs w:val="21"/>
              </w:rPr>
            </w:pPr>
            <w:r>
              <w:rPr>
                <w:rFonts w:hint="eastAsia" w:ascii="宋体" w:hAnsi="宋体" w:cs="宋体"/>
                <w:szCs w:val="21"/>
              </w:rPr>
              <w:t>0.25%</w:t>
            </w:r>
          </w:p>
        </w:tc>
        <w:tc>
          <w:tcPr>
            <w:tcW w:w="2225" w:type="dxa"/>
          </w:tcPr>
          <w:p w14:paraId="61D61C73">
            <w:pPr>
              <w:spacing w:line="460" w:lineRule="exact"/>
              <w:ind w:left="23"/>
              <w:jc w:val="center"/>
              <w:rPr>
                <w:rFonts w:ascii="宋体" w:hAnsi="宋体" w:cs="宋体"/>
                <w:szCs w:val="21"/>
              </w:rPr>
            </w:pPr>
            <w:r>
              <w:rPr>
                <w:rFonts w:hint="eastAsia" w:ascii="宋体" w:hAnsi="宋体" w:cs="宋体"/>
                <w:szCs w:val="21"/>
              </w:rPr>
              <w:t>0.35%</w:t>
            </w:r>
          </w:p>
        </w:tc>
      </w:tr>
      <w:tr w14:paraId="0988D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trPr>
        <w:tc>
          <w:tcPr>
            <w:tcW w:w="2880" w:type="dxa"/>
          </w:tcPr>
          <w:p w14:paraId="0C67D9CF">
            <w:pPr>
              <w:spacing w:line="460" w:lineRule="exact"/>
              <w:ind w:left="23"/>
              <w:rPr>
                <w:rFonts w:ascii="宋体" w:hAnsi="宋体" w:cs="宋体"/>
                <w:szCs w:val="21"/>
              </w:rPr>
            </w:pPr>
            <w:r>
              <w:rPr>
                <w:rFonts w:hint="eastAsia" w:ascii="宋体" w:hAnsi="宋体" w:cs="宋体"/>
                <w:szCs w:val="21"/>
              </w:rPr>
              <w:t>5000-10000</w:t>
            </w:r>
          </w:p>
        </w:tc>
        <w:tc>
          <w:tcPr>
            <w:tcW w:w="2225" w:type="dxa"/>
          </w:tcPr>
          <w:p w14:paraId="640BB027">
            <w:pPr>
              <w:spacing w:line="460" w:lineRule="exact"/>
              <w:ind w:left="23"/>
              <w:jc w:val="center"/>
              <w:rPr>
                <w:rFonts w:ascii="宋体" w:hAnsi="宋体" w:cs="宋体"/>
                <w:szCs w:val="21"/>
              </w:rPr>
            </w:pPr>
            <w:r>
              <w:rPr>
                <w:rFonts w:hint="eastAsia" w:ascii="宋体" w:hAnsi="宋体" w:cs="宋体"/>
                <w:szCs w:val="21"/>
              </w:rPr>
              <w:t>0.25%</w:t>
            </w:r>
          </w:p>
        </w:tc>
        <w:tc>
          <w:tcPr>
            <w:tcW w:w="2225" w:type="dxa"/>
          </w:tcPr>
          <w:p w14:paraId="60FA6150">
            <w:pPr>
              <w:spacing w:line="460" w:lineRule="exact"/>
              <w:ind w:left="23"/>
              <w:jc w:val="center"/>
              <w:rPr>
                <w:rFonts w:ascii="宋体" w:hAnsi="宋体" w:cs="宋体"/>
                <w:szCs w:val="21"/>
              </w:rPr>
            </w:pPr>
            <w:r>
              <w:rPr>
                <w:rFonts w:hint="eastAsia" w:ascii="宋体" w:hAnsi="宋体" w:cs="宋体"/>
                <w:szCs w:val="21"/>
              </w:rPr>
              <w:t>0.1%</w:t>
            </w:r>
          </w:p>
        </w:tc>
        <w:tc>
          <w:tcPr>
            <w:tcW w:w="2225" w:type="dxa"/>
          </w:tcPr>
          <w:p w14:paraId="70C24BB0">
            <w:pPr>
              <w:spacing w:line="460" w:lineRule="exact"/>
              <w:ind w:left="23"/>
              <w:jc w:val="center"/>
              <w:rPr>
                <w:rFonts w:ascii="宋体" w:hAnsi="宋体" w:cs="宋体"/>
                <w:szCs w:val="21"/>
              </w:rPr>
            </w:pPr>
            <w:r>
              <w:rPr>
                <w:rFonts w:hint="eastAsia" w:ascii="宋体" w:hAnsi="宋体" w:cs="宋体"/>
                <w:szCs w:val="21"/>
              </w:rPr>
              <w:t>0.2%</w:t>
            </w:r>
          </w:p>
        </w:tc>
      </w:tr>
    </w:tbl>
    <w:p w14:paraId="39E74AB0">
      <w:pPr>
        <w:spacing w:line="460" w:lineRule="exact"/>
        <w:ind w:left="25"/>
        <w:rPr>
          <w:rFonts w:ascii="宋体" w:hAnsi="宋体" w:cs="宋体"/>
          <w:szCs w:val="20"/>
        </w:rPr>
      </w:pPr>
      <w:r>
        <w:rPr>
          <w:rFonts w:hint="eastAsia" w:ascii="宋体" w:hAnsi="宋体" w:cs="宋体"/>
          <w:szCs w:val="20"/>
        </w:rPr>
        <w:t>注：采购代理服务收费按差额定率累进法计算。</w:t>
      </w:r>
    </w:p>
    <w:p w14:paraId="4BB9B9BB">
      <w:pPr>
        <w:spacing w:line="460" w:lineRule="exact"/>
        <w:ind w:firstLine="422"/>
        <w:rPr>
          <w:rFonts w:ascii="宋体" w:hAnsi="宋体" w:cs="宋体"/>
          <w:bCs/>
        </w:rPr>
      </w:pPr>
      <w:r>
        <w:rPr>
          <w:rFonts w:hint="eastAsia" w:ascii="宋体" w:hAnsi="宋体" w:cs="宋体"/>
          <w:bCs/>
        </w:rPr>
        <w:t>30.2采购代理服务费交纳账户：</w:t>
      </w:r>
    </w:p>
    <w:p w14:paraId="55669844">
      <w:pPr>
        <w:pStyle w:val="15"/>
        <w:snapToGrid w:val="0"/>
        <w:spacing w:line="500" w:lineRule="exact"/>
        <w:ind w:firstLine="420" w:firstLineChars="200"/>
        <w:rPr>
          <w:rFonts w:hAnsi="宋体" w:cs="宋体"/>
        </w:rPr>
      </w:pPr>
      <w:r>
        <w:rPr>
          <w:rFonts w:hint="eastAsia" w:hAnsi="宋体" w:cs="宋体"/>
        </w:rPr>
        <w:t>开户名称：广西达华工程造价咨询有限责任公司平乐分公司</w:t>
      </w:r>
    </w:p>
    <w:p w14:paraId="1459C3B5">
      <w:pPr>
        <w:pStyle w:val="15"/>
        <w:snapToGrid w:val="0"/>
        <w:spacing w:line="500" w:lineRule="exact"/>
        <w:ind w:firstLine="420" w:firstLineChars="200"/>
        <w:rPr>
          <w:rFonts w:hAnsi="宋体" w:cs="宋体"/>
        </w:rPr>
      </w:pPr>
      <w:r>
        <w:rPr>
          <w:rFonts w:hint="eastAsia" w:hAnsi="宋体" w:cs="宋体"/>
        </w:rPr>
        <w:t>开户银行：中国农业银行股份有限公司平乐县支行</w:t>
      </w:r>
    </w:p>
    <w:p w14:paraId="273B513F">
      <w:pPr>
        <w:spacing w:line="460" w:lineRule="exact"/>
        <w:ind w:firstLine="420"/>
        <w:rPr>
          <w:rFonts w:ascii="宋体" w:hAnsi="宋体" w:cs="宋体"/>
        </w:rPr>
      </w:pPr>
      <w:r>
        <w:rPr>
          <w:rFonts w:hint="eastAsia" w:ascii="宋体" w:hAnsi="宋体" w:cs="宋体"/>
        </w:rPr>
        <w:t>账    号：</w:t>
      </w:r>
      <w:r>
        <w:rPr>
          <w:rFonts w:ascii="宋体" w:hAnsi="宋体" w:cs="宋体"/>
        </w:rPr>
        <w:t>20250101040011846</w:t>
      </w:r>
      <w:r>
        <w:rPr>
          <w:rFonts w:hint="eastAsia" w:ascii="宋体" w:hAnsi="宋体" w:cs="宋体"/>
        </w:rPr>
        <w:t xml:space="preserve"> </w:t>
      </w:r>
    </w:p>
    <w:p w14:paraId="29D1B91F">
      <w:pPr>
        <w:spacing w:line="460" w:lineRule="exact"/>
        <w:ind w:firstLine="422" w:firstLineChars="200"/>
        <w:rPr>
          <w:rFonts w:ascii="宋体" w:hAnsi="宋体" w:cs="宋体"/>
          <w:color w:val="000000"/>
          <w:szCs w:val="21"/>
        </w:rPr>
      </w:pPr>
      <w:bookmarkStart w:id="157" w:name="_Toc15204"/>
      <w:r>
        <w:rPr>
          <w:rStyle w:val="29"/>
          <w:rFonts w:hint="eastAsia" w:ascii="宋体" w:hAnsi="宋体" w:cs="宋体"/>
          <w:color w:val="000000"/>
          <w:sz w:val="21"/>
          <w:szCs w:val="21"/>
        </w:rPr>
        <w:t xml:space="preserve">31. </w:t>
      </w:r>
      <w:bookmarkEnd w:id="156"/>
      <w:r>
        <w:rPr>
          <w:rStyle w:val="29"/>
          <w:rFonts w:hint="eastAsia" w:ascii="宋体" w:hAnsi="宋体" w:cs="宋体"/>
          <w:color w:val="000000"/>
          <w:sz w:val="21"/>
          <w:szCs w:val="21"/>
        </w:rPr>
        <w:t>编制依据</w:t>
      </w:r>
      <w:bookmarkEnd w:id="157"/>
      <w:r>
        <w:rPr>
          <w:rFonts w:hint="eastAsia" w:ascii="宋体" w:hAnsi="宋体" w:cs="宋体"/>
          <w:color w:val="000000"/>
          <w:szCs w:val="21"/>
        </w:rPr>
        <w:t>：本竞争性磋商文件是根据《中华人民共和国政府采购法》、《中华人民共和国政府采购法实施条例》、《政府采购竞争性磋商采购方式管理暂行办法》和政府采购管理有关规定编制。</w:t>
      </w:r>
    </w:p>
    <w:p w14:paraId="0C4A637C">
      <w:pPr>
        <w:snapToGrid w:val="0"/>
        <w:spacing w:line="460" w:lineRule="exact"/>
        <w:ind w:firstLine="422" w:firstLineChars="200"/>
        <w:rPr>
          <w:rFonts w:ascii="宋体" w:hAnsi="宋体" w:cs="宋体"/>
          <w:color w:val="000000"/>
          <w:szCs w:val="21"/>
        </w:rPr>
      </w:pPr>
      <w:bookmarkStart w:id="158" w:name="_Toc27500"/>
      <w:r>
        <w:rPr>
          <w:rStyle w:val="29"/>
          <w:rFonts w:hint="eastAsia" w:ascii="宋体" w:hAnsi="宋体" w:cs="宋体"/>
          <w:color w:val="000000"/>
          <w:sz w:val="21"/>
          <w:szCs w:val="21"/>
        </w:rPr>
        <w:t>32. 监督管理机构</w:t>
      </w:r>
      <w:bookmarkEnd w:id="158"/>
      <w:r>
        <w:rPr>
          <w:rFonts w:hint="eastAsia" w:ascii="宋体" w:hAnsi="宋体" w:cs="宋体"/>
          <w:color w:val="000000"/>
          <w:szCs w:val="21"/>
        </w:rPr>
        <w:t>：</w:t>
      </w:r>
      <w:r>
        <w:rPr>
          <w:rFonts w:hint="eastAsia" w:ascii="宋体" w:hAnsi="宋体"/>
          <w:szCs w:val="21"/>
        </w:rPr>
        <w:t>平乐县政府采购管理办公室   电话：0773-7882157</w:t>
      </w:r>
    </w:p>
    <w:p w14:paraId="6A576B1E">
      <w:pPr>
        <w:spacing w:line="460" w:lineRule="exact"/>
        <w:rPr>
          <w:rFonts w:ascii="宋体" w:hAnsi="宋体" w:cs="宋体"/>
          <w:b/>
          <w:bCs/>
          <w:sz w:val="32"/>
          <w:szCs w:val="32"/>
        </w:rPr>
      </w:pPr>
      <w:bookmarkStart w:id="159" w:name="_Toc30995"/>
      <w:r>
        <w:rPr>
          <w:rFonts w:hint="eastAsia" w:ascii="宋体" w:hAnsi="宋体" w:cs="宋体"/>
          <w:b/>
          <w:bCs/>
          <w:sz w:val="32"/>
          <w:szCs w:val="32"/>
        </w:rPr>
        <w:br w:type="page"/>
      </w:r>
    </w:p>
    <w:p w14:paraId="36989F12">
      <w:pPr>
        <w:spacing w:line="460" w:lineRule="exact"/>
        <w:outlineLvl w:val="2"/>
        <w:rPr>
          <w:rFonts w:ascii="宋体" w:hAnsi="宋体" w:cs="宋体"/>
          <w:b/>
          <w:bCs/>
          <w:sz w:val="32"/>
          <w:szCs w:val="32"/>
        </w:rPr>
      </w:pPr>
      <w:bookmarkStart w:id="160" w:name="_Toc12767"/>
      <w:r>
        <w:rPr>
          <w:rFonts w:hint="eastAsia" w:ascii="宋体" w:hAnsi="宋体" w:cs="宋体"/>
          <w:b/>
          <w:bCs/>
          <w:sz w:val="32"/>
          <w:szCs w:val="32"/>
        </w:rPr>
        <w:t>附件：</w:t>
      </w:r>
      <w:bookmarkEnd w:id="160"/>
    </w:p>
    <w:p w14:paraId="09C81461">
      <w:pPr>
        <w:spacing w:line="360" w:lineRule="exact"/>
        <w:jc w:val="center"/>
        <w:outlineLvl w:val="2"/>
        <w:rPr>
          <w:rFonts w:ascii="宋体" w:hAnsi="宋体" w:cs="宋体"/>
          <w:b/>
          <w:bCs/>
          <w:sz w:val="32"/>
          <w:szCs w:val="32"/>
        </w:rPr>
      </w:pPr>
      <w:bookmarkStart w:id="161" w:name="_Toc3471"/>
      <w:r>
        <w:rPr>
          <w:rFonts w:hint="eastAsia" w:ascii="宋体" w:hAnsi="宋体" w:cs="宋体"/>
          <w:b/>
          <w:bCs/>
          <w:sz w:val="32"/>
          <w:szCs w:val="32"/>
        </w:rPr>
        <w:t>质疑函（格式）</w:t>
      </w:r>
      <w:bookmarkEnd w:id="159"/>
      <w:bookmarkEnd w:id="161"/>
    </w:p>
    <w:p w14:paraId="5AA1B906">
      <w:pPr>
        <w:pStyle w:val="15"/>
        <w:snapToGrid w:val="0"/>
        <w:spacing w:line="360" w:lineRule="exact"/>
        <w:ind w:firstLine="422" w:firstLineChars="200"/>
        <w:rPr>
          <w:rFonts w:hAnsi="宋体" w:cs="宋体"/>
          <w:b/>
          <w:bCs/>
        </w:rPr>
      </w:pPr>
      <w:r>
        <w:rPr>
          <w:rFonts w:hint="eastAsia" w:hAnsi="宋体" w:cs="宋体"/>
          <w:b/>
          <w:bCs/>
        </w:rPr>
        <w:t>一、质疑供应商基本信息：</w:t>
      </w:r>
    </w:p>
    <w:p w14:paraId="1101001B">
      <w:pPr>
        <w:pStyle w:val="15"/>
        <w:snapToGrid w:val="0"/>
        <w:spacing w:line="360" w:lineRule="exact"/>
        <w:ind w:firstLine="420" w:firstLineChars="200"/>
        <w:rPr>
          <w:rFonts w:hAnsi="宋体" w:cs="宋体"/>
          <w:bCs/>
          <w:u w:val="single"/>
        </w:rPr>
      </w:pPr>
      <w:r>
        <w:rPr>
          <w:rFonts w:hint="eastAsia" w:hAnsi="宋体" w:cs="宋体"/>
          <w:bCs/>
        </w:rPr>
        <w:t>质疑供应商：</w:t>
      </w:r>
      <w:r>
        <w:rPr>
          <w:rFonts w:hint="eastAsia" w:hAnsi="宋体" w:cs="宋体"/>
          <w:bCs/>
          <w:u w:val="single"/>
        </w:rPr>
        <w:t xml:space="preserve">                                                           </w:t>
      </w:r>
    </w:p>
    <w:p w14:paraId="0EA655CA">
      <w:pPr>
        <w:pStyle w:val="15"/>
        <w:snapToGrid w:val="0"/>
        <w:spacing w:line="360" w:lineRule="exact"/>
        <w:ind w:firstLine="420" w:firstLineChars="200"/>
        <w:rPr>
          <w:rFonts w:hAnsi="宋体" w:cs="宋体"/>
          <w:bCs/>
        </w:rPr>
      </w:pPr>
      <w:r>
        <w:rPr>
          <w:rFonts w:hint="eastAsia" w:hAnsi="宋体" w:cs="宋体"/>
          <w:bCs/>
        </w:rPr>
        <w:t>地址：</w:t>
      </w:r>
      <w:r>
        <w:rPr>
          <w:rFonts w:hint="eastAsia" w:hAnsi="宋体" w:cs="宋体"/>
          <w:bCs/>
          <w:u w:val="single"/>
        </w:rPr>
        <w:t xml:space="preserve">                                          </w:t>
      </w:r>
      <w:r>
        <w:rPr>
          <w:rFonts w:hint="eastAsia" w:hAnsi="宋体" w:cs="宋体"/>
          <w:bCs/>
        </w:rPr>
        <w:t>邮编：</w:t>
      </w:r>
      <w:r>
        <w:rPr>
          <w:rFonts w:hint="eastAsia" w:hAnsi="宋体" w:cs="宋体"/>
          <w:bCs/>
          <w:u w:val="single"/>
        </w:rPr>
        <w:t xml:space="preserve">                 </w:t>
      </w:r>
    </w:p>
    <w:p w14:paraId="124DED14">
      <w:pPr>
        <w:pStyle w:val="15"/>
        <w:snapToGrid w:val="0"/>
        <w:spacing w:line="360" w:lineRule="exact"/>
        <w:ind w:firstLine="420" w:firstLineChars="200"/>
        <w:rPr>
          <w:rFonts w:hAnsi="宋体" w:cs="宋体"/>
          <w:bCs/>
        </w:rPr>
      </w:pPr>
      <w:r>
        <w:rPr>
          <w:rFonts w:hint="eastAsia" w:hAnsi="宋体" w:cs="宋体"/>
          <w:bCs/>
        </w:rPr>
        <w:t>联系人：</w:t>
      </w:r>
      <w:r>
        <w:rPr>
          <w:rFonts w:hint="eastAsia" w:hAnsi="宋体" w:cs="宋体"/>
          <w:bCs/>
          <w:u w:val="single"/>
        </w:rPr>
        <w:t xml:space="preserve">                     </w:t>
      </w:r>
      <w:r>
        <w:rPr>
          <w:rFonts w:hint="eastAsia" w:hAnsi="宋体" w:cs="宋体"/>
          <w:bCs/>
        </w:rPr>
        <w:t>联系电话：</w:t>
      </w:r>
      <w:r>
        <w:rPr>
          <w:rFonts w:hint="eastAsia" w:hAnsi="宋体" w:cs="宋体"/>
          <w:bCs/>
          <w:u w:val="single"/>
        </w:rPr>
        <w:t xml:space="preserve">                 </w:t>
      </w:r>
    </w:p>
    <w:p w14:paraId="28A8FE5C">
      <w:pPr>
        <w:pStyle w:val="15"/>
        <w:snapToGrid w:val="0"/>
        <w:spacing w:line="360" w:lineRule="exact"/>
        <w:ind w:firstLine="420" w:firstLineChars="200"/>
        <w:rPr>
          <w:rFonts w:hAnsi="宋体" w:cs="宋体"/>
          <w:bCs/>
        </w:rPr>
      </w:pPr>
      <w:r>
        <w:rPr>
          <w:rFonts w:hint="eastAsia" w:hAnsi="宋体" w:cs="宋体"/>
          <w:bCs/>
        </w:rPr>
        <w:t>授权代表：</w:t>
      </w:r>
      <w:r>
        <w:rPr>
          <w:rFonts w:hint="eastAsia" w:hAnsi="宋体" w:cs="宋体"/>
          <w:bCs/>
          <w:u w:val="single"/>
        </w:rPr>
        <w:t xml:space="preserve">                      </w:t>
      </w:r>
    </w:p>
    <w:p w14:paraId="715DD3A0">
      <w:pPr>
        <w:pStyle w:val="15"/>
        <w:snapToGrid w:val="0"/>
        <w:spacing w:line="360" w:lineRule="exact"/>
        <w:ind w:firstLine="420" w:firstLineChars="200"/>
        <w:rPr>
          <w:rFonts w:hAnsi="宋体" w:cs="宋体"/>
          <w:bCs/>
          <w:u w:val="single"/>
        </w:rPr>
      </w:pPr>
      <w:r>
        <w:rPr>
          <w:rFonts w:hint="eastAsia" w:hAnsi="宋体" w:cs="宋体"/>
          <w:bCs/>
        </w:rPr>
        <w:t>联系电话：</w:t>
      </w:r>
      <w:r>
        <w:rPr>
          <w:rFonts w:hint="eastAsia" w:hAnsi="宋体" w:cs="宋体"/>
          <w:bCs/>
          <w:u w:val="single"/>
        </w:rPr>
        <w:t xml:space="preserve">                      </w:t>
      </w:r>
    </w:p>
    <w:p w14:paraId="1ED511F4">
      <w:pPr>
        <w:pStyle w:val="15"/>
        <w:snapToGrid w:val="0"/>
        <w:spacing w:line="360" w:lineRule="exact"/>
        <w:ind w:firstLine="420" w:firstLineChars="200"/>
        <w:rPr>
          <w:rFonts w:hAnsi="宋体" w:cs="宋体"/>
          <w:bCs/>
        </w:rPr>
      </w:pPr>
      <w:r>
        <w:rPr>
          <w:rFonts w:hint="eastAsia" w:hAnsi="宋体" w:cs="宋体"/>
          <w:bCs/>
        </w:rPr>
        <w:t>地址：</w:t>
      </w:r>
      <w:r>
        <w:rPr>
          <w:rFonts w:hint="eastAsia" w:hAnsi="宋体" w:cs="宋体"/>
          <w:bCs/>
          <w:u w:val="single"/>
        </w:rPr>
        <w:t xml:space="preserve">                 </w:t>
      </w:r>
      <w:r>
        <w:rPr>
          <w:rFonts w:hint="eastAsia" w:hAnsi="宋体" w:cs="宋体"/>
          <w:bCs/>
        </w:rPr>
        <w:t>邮编：</w:t>
      </w:r>
      <w:r>
        <w:rPr>
          <w:rFonts w:hint="eastAsia" w:hAnsi="宋体" w:cs="宋体"/>
          <w:bCs/>
          <w:u w:val="single"/>
        </w:rPr>
        <w:t xml:space="preserve">                  </w:t>
      </w:r>
      <w:r>
        <w:rPr>
          <w:rFonts w:hint="eastAsia" w:hAnsi="宋体" w:cs="宋体"/>
          <w:bCs/>
        </w:rPr>
        <w:t xml:space="preserve">     </w:t>
      </w:r>
    </w:p>
    <w:p w14:paraId="7B73F967">
      <w:pPr>
        <w:pStyle w:val="15"/>
        <w:snapToGrid w:val="0"/>
        <w:spacing w:line="360" w:lineRule="exact"/>
        <w:ind w:firstLine="422" w:firstLineChars="200"/>
        <w:rPr>
          <w:rFonts w:hAnsi="宋体" w:cs="宋体"/>
          <w:b/>
          <w:bCs/>
        </w:rPr>
      </w:pPr>
      <w:r>
        <w:rPr>
          <w:rFonts w:hint="eastAsia" w:hAnsi="宋体" w:cs="宋体"/>
          <w:b/>
          <w:bCs/>
        </w:rPr>
        <w:t>二、质疑项目基本情况：</w:t>
      </w:r>
    </w:p>
    <w:p w14:paraId="0EBFF07B">
      <w:pPr>
        <w:pStyle w:val="15"/>
        <w:spacing w:line="360" w:lineRule="exact"/>
        <w:ind w:left="25" w:leftChars="12" w:firstLine="413" w:firstLineChars="197"/>
        <w:rPr>
          <w:rFonts w:hAnsi="宋体" w:cs="宋体"/>
        </w:rPr>
      </w:pPr>
      <w:r>
        <w:rPr>
          <w:rFonts w:hint="eastAsia" w:hAnsi="宋体" w:cs="宋体"/>
          <w:bCs/>
        </w:rPr>
        <w:t>质疑</w:t>
      </w:r>
      <w:r>
        <w:rPr>
          <w:rFonts w:hint="eastAsia" w:hAnsi="宋体" w:cs="宋体"/>
        </w:rPr>
        <w:t>项目的名称：</w:t>
      </w:r>
      <w:r>
        <w:rPr>
          <w:rFonts w:hint="eastAsia" w:hAnsi="宋体" w:cs="宋体"/>
          <w:bCs/>
          <w:u w:val="single"/>
        </w:rPr>
        <w:t xml:space="preserve">                                     </w:t>
      </w:r>
    </w:p>
    <w:p w14:paraId="2ED9A27C">
      <w:pPr>
        <w:pStyle w:val="15"/>
        <w:spacing w:line="360" w:lineRule="exact"/>
        <w:ind w:left="25" w:leftChars="12" w:firstLine="413" w:firstLineChars="197"/>
        <w:rPr>
          <w:rFonts w:hAnsi="宋体" w:cs="宋体"/>
        </w:rPr>
      </w:pPr>
      <w:r>
        <w:rPr>
          <w:rFonts w:hint="eastAsia" w:hAnsi="宋体" w:cs="宋体"/>
          <w:bCs/>
        </w:rPr>
        <w:t>质疑</w:t>
      </w:r>
      <w:r>
        <w:rPr>
          <w:rFonts w:hint="eastAsia" w:hAnsi="宋体" w:cs="宋体"/>
        </w:rPr>
        <w:t>项目的编号：</w:t>
      </w:r>
      <w:r>
        <w:rPr>
          <w:rFonts w:hint="eastAsia" w:hAnsi="宋体" w:cs="宋体"/>
          <w:bCs/>
          <w:u w:val="single"/>
        </w:rPr>
        <w:t xml:space="preserve">                                     </w:t>
      </w:r>
    </w:p>
    <w:p w14:paraId="7487C4D4">
      <w:pPr>
        <w:pStyle w:val="15"/>
        <w:spacing w:line="360" w:lineRule="exact"/>
        <w:ind w:left="25" w:leftChars="12" w:firstLine="413" w:firstLineChars="197"/>
        <w:rPr>
          <w:rFonts w:hAnsi="宋体" w:cs="宋体"/>
        </w:rPr>
      </w:pPr>
      <w:r>
        <w:rPr>
          <w:rFonts w:hint="eastAsia" w:hAnsi="宋体" w:cs="宋体"/>
        </w:rPr>
        <w:t>采购人名称：</w:t>
      </w:r>
      <w:r>
        <w:rPr>
          <w:rFonts w:hint="eastAsia" w:hAnsi="宋体" w:cs="宋体"/>
          <w:bCs/>
          <w:u w:val="single"/>
        </w:rPr>
        <w:t xml:space="preserve">                                         </w:t>
      </w:r>
    </w:p>
    <w:p w14:paraId="4AB6A477">
      <w:pPr>
        <w:pStyle w:val="15"/>
        <w:spacing w:line="360" w:lineRule="exact"/>
        <w:ind w:left="25" w:leftChars="12" w:firstLine="413" w:firstLineChars="197"/>
        <w:rPr>
          <w:rFonts w:hAnsi="宋体" w:cs="宋体"/>
        </w:rPr>
      </w:pPr>
      <w:r>
        <w:rPr>
          <w:rFonts w:hint="eastAsia" w:hAnsi="宋体" w:cs="宋体"/>
        </w:rPr>
        <w:t>质疑事项：</w:t>
      </w:r>
    </w:p>
    <w:p w14:paraId="4B7F44A1">
      <w:pPr>
        <w:pStyle w:val="15"/>
        <w:spacing w:line="360" w:lineRule="exact"/>
        <w:ind w:left="25" w:leftChars="12" w:firstLine="413" w:firstLineChars="197"/>
        <w:rPr>
          <w:rFonts w:hAnsi="宋体" w:cs="宋体"/>
        </w:rPr>
      </w:pPr>
      <w:r>
        <w:rPr>
          <w:rFonts w:hint="eastAsia" w:hAnsi="宋体" w:cs="宋体"/>
        </w:rPr>
        <w:t>□采购</w:t>
      </w:r>
      <w:r>
        <w:rPr>
          <w:rFonts w:hint="eastAsia" w:hAnsi="宋体" w:cs="宋体"/>
          <w:bCs/>
        </w:rPr>
        <w:t>文件</w:t>
      </w:r>
      <w:r>
        <w:rPr>
          <w:rFonts w:hint="eastAsia" w:hAnsi="宋体" w:cs="宋体"/>
        </w:rPr>
        <w:t xml:space="preserve">   采购文件获取日期：</w:t>
      </w:r>
      <w:r>
        <w:rPr>
          <w:rFonts w:hint="eastAsia" w:hAnsi="宋体" w:cs="宋体"/>
          <w:bCs/>
          <w:u w:val="single"/>
        </w:rPr>
        <w:t xml:space="preserve">                                   </w:t>
      </w:r>
    </w:p>
    <w:p w14:paraId="7D376730">
      <w:pPr>
        <w:pStyle w:val="15"/>
        <w:spacing w:line="360" w:lineRule="exact"/>
        <w:ind w:left="25" w:leftChars="12" w:firstLine="413" w:firstLineChars="197"/>
        <w:rPr>
          <w:rFonts w:hAnsi="宋体" w:cs="宋体"/>
        </w:rPr>
      </w:pPr>
      <w:r>
        <w:rPr>
          <w:rFonts w:hint="eastAsia" w:hAnsi="宋体" w:cs="宋体"/>
        </w:rPr>
        <w:t xml:space="preserve">□采购过程   </w:t>
      </w:r>
    </w:p>
    <w:p w14:paraId="1E5E4841">
      <w:pPr>
        <w:pStyle w:val="15"/>
        <w:spacing w:line="360" w:lineRule="exact"/>
        <w:ind w:left="25" w:leftChars="12" w:firstLine="413" w:firstLineChars="197"/>
        <w:rPr>
          <w:rFonts w:hAnsi="宋体" w:cs="宋体"/>
          <w:bCs/>
          <w:u w:val="single"/>
        </w:rPr>
      </w:pPr>
      <w:r>
        <w:rPr>
          <w:rFonts w:hint="eastAsia" w:hAnsi="宋体" w:cs="宋体"/>
        </w:rPr>
        <w:t xml:space="preserve">□中标（成交）结果   </w:t>
      </w:r>
    </w:p>
    <w:p w14:paraId="7861A7D2">
      <w:pPr>
        <w:pStyle w:val="15"/>
        <w:spacing w:line="360" w:lineRule="exact"/>
        <w:ind w:left="25" w:leftChars="12" w:firstLine="413" w:firstLineChars="196"/>
        <w:rPr>
          <w:rFonts w:hAnsi="宋体" w:cs="宋体"/>
          <w:b/>
        </w:rPr>
      </w:pPr>
      <w:r>
        <w:rPr>
          <w:rFonts w:hint="eastAsia" w:hAnsi="宋体" w:cs="宋体"/>
          <w:b/>
        </w:rPr>
        <w:t>三、质疑事项具体内容</w:t>
      </w:r>
    </w:p>
    <w:p w14:paraId="1FD1A944">
      <w:pPr>
        <w:pStyle w:val="15"/>
        <w:spacing w:line="360" w:lineRule="exact"/>
        <w:ind w:left="25" w:leftChars="12" w:firstLine="413" w:firstLineChars="197"/>
        <w:rPr>
          <w:rFonts w:hAnsi="宋体" w:cs="宋体"/>
        </w:rPr>
      </w:pPr>
      <w:r>
        <w:rPr>
          <w:rFonts w:hint="eastAsia" w:hAnsi="宋体" w:cs="宋体"/>
        </w:rPr>
        <w:t>质疑事项1：</w:t>
      </w:r>
      <w:r>
        <w:rPr>
          <w:rFonts w:hint="eastAsia" w:hAnsi="宋体" w:cs="宋体"/>
          <w:bCs/>
          <w:u w:val="single"/>
        </w:rPr>
        <w:t xml:space="preserve">                                                                </w:t>
      </w:r>
    </w:p>
    <w:p w14:paraId="70F20DC2">
      <w:pPr>
        <w:pStyle w:val="15"/>
        <w:spacing w:line="360" w:lineRule="exact"/>
        <w:ind w:left="25" w:leftChars="12" w:firstLine="413" w:firstLineChars="197"/>
        <w:rPr>
          <w:rFonts w:hAnsi="宋体" w:cs="宋体"/>
        </w:rPr>
      </w:pPr>
      <w:r>
        <w:rPr>
          <w:rFonts w:hint="eastAsia" w:hAnsi="宋体" w:cs="宋体"/>
        </w:rPr>
        <w:t>事实依据：</w:t>
      </w:r>
      <w:r>
        <w:rPr>
          <w:rFonts w:hint="eastAsia" w:hAnsi="宋体" w:cs="宋体"/>
          <w:bCs/>
          <w:u w:val="single"/>
        </w:rPr>
        <w:t xml:space="preserve">                                                                 </w:t>
      </w:r>
    </w:p>
    <w:p w14:paraId="073340CD">
      <w:pPr>
        <w:pStyle w:val="15"/>
        <w:spacing w:line="360" w:lineRule="exact"/>
        <w:ind w:left="25" w:leftChars="12" w:firstLine="413" w:firstLineChars="197"/>
        <w:rPr>
          <w:rFonts w:hAnsi="宋体" w:cs="宋体"/>
        </w:rPr>
      </w:pPr>
      <w:r>
        <w:rPr>
          <w:rFonts w:hint="eastAsia" w:hAnsi="宋体" w:cs="宋体"/>
        </w:rPr>
        <w:t>法律依据：</w:t>
      </w:r>
      <w:r>
        <w:rPr>
          <w:rFonts w:hint="eastAsia" w:hAnsi="宋体" w:cs="宋体"/>
          <w:u w:val="single"/>
        </w:rPr>
        <w:t xml:space="preserve">                                                        </w:t>
      </w:r>
      <w:r>
        <w:rPr>
          <w:rFonts w:hint="eastAsia" w:hAnsi="宋体" w:cs="宋体"/>
          <w:bCs/>
          <w:u w:val="single"/>
        </w:rPr>
        <w:t xml:space="preserve">         </w:t>
      </w:r>
    </w:p>
    <w:p w14:paraId="1B6C589A">
      <w:pPr>
        <w:pStyle w:val="15"/>
        <w:spacing w:line="360" w:lineRule="exact"/>
        <w:ind w:left="25" w:leftChars="12" w:firstLine="413" w:firstLineChars="197"/>
        <w:rPr>
          <w:rFonts w:hAnsi="宋体" w:cs="宋体"/>
        </w:rPr>
      </w:pPr>
      <w:r>
        <w:rPr>
          <w:rFonts w:hint="eastAsia" w:hAnsi="宋体" w:cs="宋体"/>
        </w:rPr>
        <w:t>质疑事项2</w:t>
      </w:r>
    </w:p>
    <w:p w14:paraId="239F55A3">
      <w:pPr>
        <w:pStyle w:val="15"/>
        <w:spacing w:line="360" w:lineRule="exact"/>
        <w:ind w:left="25" w:leftChars="12" w:firstLine="413" w:firstLineChars="197"/>
        <w:rPr>
          <w:rFonts w:hAnsi="宋体" w:cs="宋体"/>
        </w:rPr>
      </w:pPr>
      <w:r>
        <w:rPr>
          <w:rFonts w:hint="eastAsia" w:hAnsi="宋体" w:cs="宋体"/>
        </w:rPr>
        <w:t>……</w:t>
      </w:r>
    </w:p>
    <w:p w14:paraId="1C097AA7">
      <w:pPr>
        <w:pStyle w:val="15"/>
        <w:spacing w:line="360" w:lineRule="exact"/>
        <w:ind w:left="25" w:leftChars="12" w:firstLine="413" w:firstLineChars="197"/>
        <w:rPr>
          <w:rFonts w:hAnsi="宋体" w:cs="宋体"/>
        </w:rPr>
      </w:pPr>
      <w:r>
        <w:rPr>
          <w:rFonts w:hint="eastAsia" w:hAnsi="宋体" w:cs="宋体"/>
        </w:rPr>
        <w:t>四、与质疑事项相关的质疑请求：</w:t>
      </w:r>
    </w:p>
    <w:p w14:paraId="4908C61C">
      <w:pPr>
        <w:pStyle w:val="15"/>
        <w:spacing w:line="360" w:lineRule="exact"/>
        <w:ind w:left="25" w:leftChars="12" w:firstLine="413" w:firstLineChars="197"/>
        <w:rPr>
          <w:rFonts w:hAnsi="宋体" w:cs="宋体"/>
        </w:rPr>
      </w:pPr>
      <w:r>
        <w:rPr>
          <w:rFonts w:hint="eastAsia" w:hAnsi="宋体" w:cs="宋体"/>
        </w:rPr>
        <w:t>请求：</w:t>
      </w:r>
      <w:r>
        <w:rPr>
          <w:rFonts w:hint="eastAsia" w:hAnsi="宋体" w:cs="宋体"/>
          <w:bCs/>
          <w:u w:val="single"/>
        </w:rPr>
        <w:t xml:space="preserve">                                                                </w:t>
      </w:r>
    </w:p>
    <w:p w14:paraId="26C9B041">
      <w:pPr>
        <w:pStyle w:val="15"/>
        <w:spacing w:line="360" w:lineRule="exact"/>
        <w:ind w:left="25" w:leftChars="12" w:firstLine="308" w:firstLineChars="147"/>
        <w:rPr>
          <w:rFonts w:hAnsi="宋体" w:cs="宋体"/>
        </w:rPr>
      </w:pPr>
    </w:p>
    <w:p w14:paraId="17CB3316">
      <w:pPr>
        <w:pStyle w:val="15"/>
        <w:spacing w:line="360" w:lineRule="exact"/>
        <w:ind w:left="25" w:leftChars="12" w:firstLine="413" w:firstLineChars="197"/>
        <w:rPr>
          <w:rFonts w:hAnsi="宋体" w:cs="宋体"/>
        </w:rPr>
      </w:pPr>
      <w:r>
        <w:rPr>
          <w:rFonts w:hint="eastAsia" w:hAnsi="宋体" w:cs="宋体"/>
        </w:rPr>
        <w:t>签字（签章）：                                       公章：</w:t>
      </w:r>
    </w:p>
    <w:p w14:paraId="5B7E6A9E">
      <w:pPr>
        <w:pStyle w:val="15"/>
        <w:spacing w:line="360" w:lineRule="exact"/>
        <w:ind w:left="25" w:leftChars="12" w:firstLine="308" w:firstLineChars="147"/>
        <w:rPr>
          <w:rFonts w:hAnsi="宋体" w:cs="宋体"/>
        </w:rPr>
      </w:pPr>
    </w:p>
    <w:p w14:paraId="3BAC0C5C">
      <w:pPr>
        <w:pStyle w:val="15"/>
        <w:spacing w:line="360" w:lineRule="exact"/>
        <w:ind w:left="25" w:leftChars="12" w:firstLine="413" w:firstLineChars="197"/>
        <w:rPr>
          <w:rFonts w:hAnsi="宋体" w:cs="宋体"/>
        </w:rPr>
      </w:pPr>
      <w:r>
        <w:rPr>
          <w:rFonts w:hint="eastAsia" w:hAnsi="宋体" w:cs="宋体"/>
        </w:rPr>
        <w:t>日期：</w:t>
      </w:r>
    </w:p>
    <w:p w14:paraId="6CF20C23">
      <w:pPr>
        <w:pStyle w:val="15"/>
        <w:snapToGrid w:val="0"/>
        <w:spacing w:line="360" w:lineRule="exact"/>
        <w:rPr>
          <w:rFonts w:hAnsi="宋体" w:cs="宋体"/>
          <w:b/>
        </w:rPr>
      </w:pPr>
    </w:p>
    <w:p w14:paraId="04E1F96E">
      <w:pPr>
        <w:pStyle w:val="15"/>
        <w:snapToGrid w:val="0"/>
        <w:spacing w:line="360" w:lineRule="exact"/>
        <w:rPr>
          <w:rFonts w:hAnsi="宋体" w:cs="宋体"/>
          <w:b/>
        </w:rPr>
      </w:pPr>
      <w:r>
        <w:rPr>
          <w:rFonts w:hint="eastAsia" w:hAnsi="宋体" w:cs="宋体"/>
          <w:b/>
        </w:rPr>
        <w:t>说明：</w:t>
      </w:r>
    </w:p>
    <w:p w14:paraId="1E3CC4F9">
      <w:pPr>
        <w:pStyle w:val="15"/>
        <w:spacing w:line="360" w:lineRule="exact"/>
        <w:ind w:left="25" w:leftChars="12" w:firstLine="310" w:firstLineChars="147"/>
        <w:rPr>
          <w:rFonts w:hAnsi="宋体" w:cs="宋体"/>
          <w:b/>
          <w:bCs/>
        </w:rPr>
      </w:pPr>
      <w:r>
        <w:rPr>
          <w:rFonts w:hint="eastAsia" w:hAnsi="宋体" w:cs="宋体"/>
          <w:b/>
        </w:rPr>
        <w:t>1.供应商提出质疑时，应提交质疑函和必要的证明材料</w:t>
      </w:r>
      <w:r>
        <w:rPr>
          <w:rFonts w:hint="eastAsia" w:hAnsi="宋体" w:cs="宋体"/>
          <w:b/>
          <w:bCs/>
        </w:rPr>
        <w:t>。</w:t>
      </w:r>
    </w:p>
    <w:p w14:paraId="77E7E1CD">
      <w:pPr>
        <w:pStyle w:val="15"/>
        <w:spacing w:line="360" w:lineRule="exact"/>
        <w:ind w:left="25" w:leftChars="12" w:firstLine="310" w:firstLineChars="147"/>
        <w:rPr>
          <w:rFonts w:hAnsi="宋体" w:cs="宋体"/>
          <w:b/>
        </w:rPr>
      </w:pPr>
      <w:r>
        <w:rPr>
          <w:rFonts w:hint="eastAsia" w:hAnsi="宋体" w:cs="宋体"/>
          <w:b/>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58AF00B">
      <w:pPr>
        <w:pStyle w:val="15"/>
        <w:spacing w:line="360" w:lineRule="exact"/>
        <w:ind w:left="25" w:leftChars="12" w:firstLine="310" w:firstLineChars="147"/>
        <w:rPr>
          <w:rFonts w:hAnsi="宋体" w:cs="宋体"/>
          <w:b/>
        </w:rPr>
      </w:pPr>
      <w:r>
        <w:rPr>
          <w:rFonts w:hint="eastAsia" w:hAnsi="宋体" w:cs="宋体"/>
          <w:b/>
        </w:rPr>
        <w:t>3.质疑函的质疑事项应具体、明确，并有必要的事实依据和法律依据。</w:t>
      </w:r>
    </w:p>
    <w:p w14:paraId="695BEF1F">
      <w:pPr>
        <w:pStyle w:val="15"/>
        <w:spacing w:line="360" w:lineRule="exact"/>
        <w:ind w:left="25" w:leftChars="12" w:firstLine="310" w:firstLineChars="147"/>
        <w:rPr>
          <w:rFonts w:hAnsi="宋体" w:cs="宋体"/>
          <w:b/>
        </w:rPr>
      </w:pPr>
      <w:r>
        <w:rPr>
          <w:rFonts w:hint="eastAsia" w:hAnsi="宋体" w:cs="宋体"/>
          <w:b/>
        </w:rPr>
        <w:t>4.质疑函的质疑请求应与质疑事项相关。</w:t>
      </w:r>
    </w:p>
    <w:p w14:paraId="38497C7A">
      <w:pPr>
        <w:pStyle w:val="15"/>
        <w:spacing w:line="360" w:lineRule="exact"/>
        <w:ind w:left="25" w:leftChars="12" w:firstLine="310" w:firstLineChars="147"/>
        <w:rPr>
          <w:rFonts w:hAnsi="宋体" w:cs="宋体"/>
          <w:b/>
        </w:rPr>
      </w:pPr>
      <w:r>
        <w:rPr>
          <w:rFonts w:hint="eastAsia" w:hAnsi="宋体" w:cs="宋体"/>
          <w:b/>
        </w:rPr>
        <w:t>5.质疑供应商为法人或者其他组织的，质疑函应由法定代表人、主要负责人，或者其授权代表签字或者盖章，并加盖公章。</w:t>
      </w:r>
    </w:p>
    <w:p w14:paraId="4743017A">
      <w:pPr>
        <w:pStyle w:val="15"/>
        <w:spacing w:line="360" w:lineRule="exact"/>
        <w:ind w:left="25" w:leftChars="12" w:firstLine="646" w:firstLineChars="147"/>
        <w:rPr>
          <w:rFonts w:hAnsi="宋体" w:cs="宋体"/>
          <w:b/>
        </w:rPr>
      </w:pPr>
      <w:r>
        <w:rPr>
          <w:rFonts w:hint="eastAsia" w:hAnsi="宋体" w:cs="宋体"/>
          <w:sz w:val="44"/>
        </w:rPr>
        <w:br w:type="page"/>
      </w:r>
    </w:p>
    <w:p w14:paraId="5A1AA8E7">
      <w:pPr>
        <w:spacing w:line="460" w:lineRule="exact"/>
        <w:jc w:val="center"/>
        <w:outlineLvl w:val="2"/>
        <w:rPr>
          <w:rFonts w:ascii="宋体" w:hAnsi="宋体" w:cs="宋体"/>
          <w:b/>
          <w:bCs/>
          <w:sz w:val="32"/>
          <w:szCs w:val="32"/>
        </w:rPr>
      </w:pPr>
      <w:bookmarkStart w:id="162" w:name="_Toc23100"/>
      <w:bookmarkStart w:id="163" w:name="_Toc5461"/>
      <w:r>
        <w:rPr>
          <w:rFonts w:hint="eastAsia" w:ascii="宋体" w:hAnsi="宋体" w:cs="宋体"/>
          <w:b/>
          <w:bCs/>
          <w:sz w:val="32"/>
          <w:szCs w:val="32"/>
        </w:rPr>
        <w:t>投诉书（格式）</w:t>
      </w:r>
      <w:bookmarkEnd w:id="162"/>
      <w:bookmarkEnd w:id="163"/>
    </w:p>
    <w:p w14:paraId="57B81F4A">
      <w:pPr>
        <w:pStyle w:val="15"/>
        <w:snapToGrid w:val="0"/>
        <w:spacing w:line="460" w:lineRule="exact"/>
        <w:ind w:firstLine="422" w:firstLineChars="200"/>
        <w:rPr>
          <w:rFonts w:hAnsi="宋体" w:cs="宋体"/>
          <w:b/>
          <w:bCs/>
        </w:rPr>
      </w:pPr>
      <w:r>
        <w:rPr>
          <w:rFonts w:hint="eastAsia" w:hAnsi="宋体" w:cs="宋体"/>
          <w:b/>
          <w:bCs/>
        </w:rPr>
        <w:t>一、投诉相关主体基本情况：</w:t>
      </w:r>
    </w:p>
    <w:p w14:paraId="37D8A96E">
      <w:pPr>
        <w:pStyle w:val="15"/>
        <w:snapToGrid w:val="0"/>
        <w:spacing w:line="460" w:lineRule="exact"/>
        <w:ind w:firstLine="420" w:firstLineChars="200"/>
        <w:rPr>
          <w:rFonts w:hAnsi="宋体" w:cs="宋体"/>
          <w:bCs/>
          <w:u w:val="single"/>
        </w:rPr>
      </w:pPr>
      <w:r>
        <w:rPr>
          <w:rFonts w:hint="eastAsia" w:hAnsi="宋体" w:cs="宋体"/>
          <w:bCs/>
        </w:rPr>
        <w:t>供应商：</w:t>
      </w:r>
      <w:r>
        <w:rPr>
          <w:rFonts w:hint="eastAsia" w:hAnsi="宋体" w:cs="宋体"/>
          <w:bCs/>
          <w:u w:val="single"/>
        </w:rPr>
        <w:t xml:space="preserve">                                                                     </w:t>
      </w:r>
    </w:p>
    <w:p w14:paraId="3E0B3CE6">
      <w:pPr>
        <w:pStyle w:val="15"/>
        <w:snapToGrid w:val="0"/>
        <w:spacing w:line="460" w:lineRule="exact"/>
        <w:ind w:firstLine="420" w:firstLineChars="200"/>
        <w:rPr>
          <w:rFonts w:hAnsi="宋体" w:cs="宋体"/>
          <w:bCs/>
          <w:u w:val="single"/>
        </w:rPr>
      </w:pPr>
      <w:r>
        <w:rPr>
          <w:rFonts w:hint="eastAsia" w:hAnsi="宋体" w:cs="宋体"/>
          <w:bCs/>
        </w:rPr>
        <w:t>地址：</w:t>
      </w:r>
      <w:r>
        <w:rPr>
          <w:rFonts w:hint="eastAsia" w:hAnsi="宋体" w:cs="宋体"/>
          <w:bCs/>
          <w:u w:val="single"/>
        </w:rPr>
        <w:t xml:space="preserve">                                          </w:t>
      </w:r>
      <w:r>
        <w:rPr>
          <w:rFonts w:hint="eastAsia" w:hAnsi="宋体" w:cs="宋体"/>
          <w:bCs/>
        </w:rPr>
        <w:t>邮编：</w:t>
      </w:r>
      <w:r>
        <w:rPr>
          <w:rFonts w:hint="eastAsia" w:hAnsi="宋体" w:cs="宋体"/>
          <w:bCs/>
          <w:u w:val="single"/>
        </w:rPr>
        <w:t xml:space="preserve">                       </w:t>
      </w:r>
    </w:p>
    <w:p w14:paraId="318DD4B3">
      <w:pPr>
        <w:pStyle w:val="15"/>
        <w:snapToGrid w:val="0"/>
        <w:spacing w:line="460" w:lineRule="exact"/>
        <w:ind w:firstLine="420" w:firstLineChars="200"/>
        <w:rPr>
          <w:rFonts w:hAnsi="宋体" w:cs="宋体"/>
          <w:bCs/>
          <w:u w:val="single"/>
        </w:rPr>
      </w:pPr>
      <w:r>
        <w:rPr>
          <w:rFonts w:hint="eastAsia" w:hAnsi="宋体" w:cs="宋体"/>
          <w:bCs/>
        </w:rPr>
        <w:t>法定代表人/主要负责人：</w:t>
      </w:r>
      <w:r>
        <w:rPr>
          <w:rFonts w:hint="eastAsia" w:hAnsi="宋体" w:cs="宋体"/>
          <w:bCs/>
          <w:u w:val="single"/>
        </w:rPr>
        <w:t xml:space="preserve">                         </w:t>
      </w:r>
      <w:r>
        <w:rPr>
          <w:rFonts w:hint="eastAsia" w:hAnsi="宋体" w:cs="宋体"/>
          <w:bCs/>
        </w:rPr>
        <w:t>联系电话：</w:t>
      </w:r>
      <w:r>
        <w:rPr>
          <w:rFonts w:hint="eastAsia" w:hAnsi="宋体" w:cs="宋体"/>
          <w:bCs/>
          <w:u w:val="single"/>
        </w:rPr>
        <w:t xml:space="preserve">                   </w:t>
      </w:r>
    </w:p>
    <w:p w14:paraId="45C2FE14">
      <w:pPr>
        <w:pStyle w:val="15"/>
        <w:snapToGrid w:val="0"/>
        <w:spacing w:line="460" w:lineRule="exact"/>
        <w:ind w:firstLine="420" w:firstLineChars="200"/>
        <w:rPr>
          <w:rFonts w:hAnsi="宋体" w:cs="宋体"/>
          <w:bCs/>
          <w:u w:val="single"/>
        </w:rPr>
      </w:pPr>
      <w:r>
        <w:rPr>
          <w:rFonts w:hint="eastAsia" w:hAnsi="宋体" w:cs="宋体"/>
          <w:bCs/>
        </w:rPr>
        <w:t>授权代表：</w:t>
      </w:r>
      <w:r>
        <w:rPr>
          <w:rFonts w:hint="eastAsia" w:hAnsi="宋体" w:cs="宋体"/>
          <w:bCs/>
          <w:u w:val="single"/>
        </w:rPr>
        <w:t xml:space="preserve">                                      </w:t>
      </w:r>
      <w:r>
        <w:rPr>
          <w:rFonts w:hint="eastAsia" w:hAnsi="宋体" w:cs="宋体"/>
          <w:bCs/>
        </w:rPr>
        <w:t>联系电话：</w:t>
      </w:r>
      <w:r>
        <w:rPr>
          <w:rFonts w:hint="eastAsia" w:hAnsi="宋体" w:cs="宋体"/>
          <w:bCs/>
          <w:u w:val="single"/>
        </w:rPr>
        <w:t xml:space="preserve">                   </w:t>
      </w:r>
    </w:p>
    <w:p w14:paraId="769500CB">
      <w:pPr>
        <w:pStyle w:val="15"/>
        <w:snapToGrid w:val="0"/>
        <w:spacing w:line="460" w:lineRule="exact"/>
        <w:ind w:firstLine="367" w:firstLineChars="175"/>
        <w:rPr>
          <w:rFonts w:hAnsi="宋体" w:cs="宋体"/>
          <w:bCs/>
        </w:rPr>
      </w:pPr>
      <w:r>
        <w:rPr>
          <w:rFonts w:hint="eastAsia" w:hAnsi="宋体" w:cs="宋体"/>
          <w:bCs/>
        </w:rPr>
        <w:t>地址：</w:t>
      </w:r>
      <w:r>
        <w:rPr>
          <w:rFonts w:hint="eastAsia" w:hAnsi="宋体" w:cs="宋体"/>
          <w:bCs/>
          <w:u w:val="single"/>
        </w:rPr>
        <w:t xml:space="preserve">                                           </w:t>
      </w:r>
      <w:r>
        <w:rPr>
          <w:rFonts w:hint="eastAsia" w:hAnsi="宋体" w:cs="宋体"/>
          <w:bCs/>
        </w:rPr>
        <w:t>邮编：</w:t>
      </w:r>
      <w:r>
        <w:rPr>
          <w:rFonts w:hint="eastAsia" w:hAnsi="宋体" w:cs="宋体"/>
          <w:bCs/>
          <w:u w:val="single"/>
        </w:rPr>
        <w:t xml:space="preserve">              </w:t>
      </w:r>
    </w:p>
    <w:p w14:paraId="255FF5EB">
      <w:pPr>
        <w:pStyle w:val="15"/>
        <w:snapToGrid w:val="0"/>
        <w:spacing w:line="460" w:lineRule="exact"/>
        <w:ind w:firstLine="420" w:firstLineChars="200"/>
        <w:rPr>
          <w:rFonts w:hAnsi="宋体" w:cs="宋体"/>
          <w:bCs/>
        </w:rPr>
      </w:pPr>
      <w:r>
        <w:rPr>
          <w:rFonts w:hint="eastAsia" w:hAnsi="宋体" w:cs="宋体"/>
          <w:bCs/>
        </w:rPr>
        <w:t>被投诉人1：</w:t>
      </w:r>
      <w:r>
        <w:rPr>
          <w:rFonts w:hint="eastAsia" w:hAnsi="宋体" w:cs="宋体"/>
          <w:bCs/>
          <w:u w:val="single"/>
        </w:rPr>
        <w:t xml:space="preserve">                                        </w:t>
      </w:r>
    </w:p>
    <w:p w14:paraId="5316D212">
      <w:pPr>
        <w:pStyle w:val="15"/>
        <w:snapToGrid w:val="0"/>
        <w:spacing w:line="460" w:lineRule="exact"/>
        <w:ind w:firstLine="420" w:firstLineChars="200"/>
        <w:rPr>
          <w:rFonts w:hAnsi="宋体" w:cs="宋体"/>
          <w:bCs/>
        </w:rPr>
      </w:pPr>
      <w:r>
        <w:rPr>
          <w:rFonts w:hint="eastAsia" w:hAnsi="宋体" w:cs="宋体"/>
          <w:bCs/>
        </w:rPr>
        <w:t>地址：</w:t>
      </w:r>
      <w:r>
        <w:rPr>
          <w:rFonts w:hint="eastAsia" w:hAnsi="宋体" w:cs="宋体"/>
          <w:bCs/>
          <w:u w:val="single"/>
        </w:rPr>
        <w:t xml:space="preserve">                                           </w:t>
      </w:r>
      <w:r>
        <w:rPr>
          <w:rFonts w:hint="eastAsia" w:hAnsi="宋体" w:cs="宋体"/>
          <w:bCs/>
        </w:rPr>
        <w:t>邮编：</w:t>
      </w:r>
      <w:r>
        <w:rPr>
          <w:rFonts w:hint="eastAsia" w:hAnsi="宋体" w:cs="宋体"/>
          <w:bCs/>
          <w:u w:val="single"/>
        </w:rPr>
        <w:t xml:space="preserve">             </w:t>
      </w:r>
    </w:p>
    <w:p w14:paraId="6378F6C8">
      <w:pPr>
        <w:pStyle w:val="15"/>
        <w:snapToGrid w:val="0"/>
        <w:spacing w:line="460" w:lineRule="exact"/>
        <w:ind w:firstLine="420" w:firstLineChars="200"/>
        <w:rPr>
          <w:rFonts w:hAnsi="宋体" w:cs="宋体"/>
          <w:bCs/>
          <w:u w:val="single"/>
        </w:rPr>
      </w:pPr>
      <w:r>
        <w:rPr>
          <w:rFonts w:hint="eastAsia" w:hAnsi="宋体" w:cs="宋体"/>
          <w:bCs/>
        </w:rPr>
        <w:t>联系人：</w:t>
      </w:r>
      <w:r>
        <w:rPr>
          <w:rFonts w:hint="eastAsia" w:hAnsi="宋体" w:cs="宋体"/>
          <w:bCs/>
          <w:u w:val="single"/>
        </w:rPr>
        <w:t xml:space="preserve">                                         </w:t>
      </w:r>
      <w:r>
        <w:rPr>
          <w:rFonts w:hint="eastAsia" w:hAnsi="宋体" w:cs="宋体"/>
          <w:bCs/>
        </w:rPr>
        <w:t>联系电话：</w:t>
      </w:r>
      <w:r>
        <w:rPr>
          <w:rFonts w:hint="eastAsia" w:hAnsi="宋体" w:cs="宋体"/>
          <w:bCs/>
          <w:u w:val="single"/>
        </w:rPr>
        <w:t xml:space="preserve">                  </w:t>
      </w:r>
    </w:p>
    <w:p w14:paraId="2EA626C8">
      <w:pPr>
        <w:pStyle w:val="15"/>
        <w:snapToGrid w:val="0"/>
        <w:spacing w:line="460" w:lineRule="exact"/>
        <w:ind w:firstLine="420" w:firstLineChars="200"/>
        <w:rPr>
          <w:rFonts w:hAnsi="宋体" w:cs="宋体"/>
          <w:bCs/>
        </w:rPr>
      </w:pPr>
      <w:r>
        <w:rPr>
          <w:rFonts w:hint="eastAsia" w:hAnsi="宋体" w:cs="宋体"/>
          <w:bCs/>
        </w:rPr>
        <w:t>被投诉人2：</w:t>
      </w:r>
    </w:p>
    <w:p w14:paraId="0BAAC64F">
      <w:pPr>
        <w:pStyle w:val="15"/>
        <w:snapToGrid w:val="0"/>
        <w:spacing w:line="460" w:lineRule="exact"/>
        <w:ind w:firstLine="420" w:firstLineChars="200"/>
        <w:rPr>
          <w:rFonts w:hAnsi="宋体" w:cs="宋体"/>
          <w:bCs/>
        </w:rPr>
      </w:pPr>
      <w:r>
        <w:rPr>
          <w:rFonts w:hint="eastAsia" w:hAnsi="宋体" w:cs="宋体"/>
          <w:bCs/>
        </w:rPr>
        <w:t>……</w:t>
      </w:r>
    </w:p>
    <w:p w14:paraId="0DD87342">
      <w:pPr>
        <w:pStyle w:val="15"/>
        <w:snapToGrid w:val="0"/>
        <w:spacing w:line="460" w:lineRule="exact"/>
        <w:ind w:firstLine="420" w:firstLineChars="200"/>
        <w:rPr>
          <w:rFonts w:hAnsi="宋体" w:cs="宋体"/>
          <w:bCs/>
          <w:u w:val="single"/>
        </w:rPr>
      </w:pPr>
      <w:r>
        <w:rPr>
          <w:rFonts w:hint="eastAsia" w:hAnsi="宋体" w:cs="宋体"/>
          <w:bCs/>
        </w:rPr>
        <w:t>相关供应商：</w:t>
      </w:r>
      <w:r>
        <w:rPr>
          <w:rFonts w:hint="eastAsia" w:hAnsi="宋体" w:cs="宋体"/>
          <w:bCs/>
          <w:u w:val="single"/>
        </w:rPr>
        <w:t xml:space="preserve">                                                                 </w:t>
      </w:r>
    </w:p>
    <w:p w14:paraId="59F7571E">
      <w:pPr>
        <w:pStyle w:val="15"/>
        <w:snapToGrid w:val="0"/>
        <w:spacing w:line="460" w:lineRule="exact"/>
        <w:ind w:firstLine="420" w:firstLineChars="200"/>
        <w:rPr>
          <w:rFonts w:hAnsi="宋体" w:cs="宋体"/>
          <w:bCs/>
          <w:u w:val="single"/>
        </w:rPr>
      </w:pPr>
      <w:r>
        <w:rPr>
          <w:rFonts w:hint="eastAsia" w:hAnsi="宋体" w:cs="宋体"/>
          <w:bCs/>
        </w:rPr>
        <w:t>地址：</w:t>
      </w:r>
      <w:r>
        <w:rPr>
          <w:rFonts w:hint="eastAsia" w:hAnsi="宋体" w:cs="宋体"/>
          <w:bCs/>
          <w:u w:val="single"/>
        </w:rPr>
        <w:t xml:space="preserve">                                            </w:t>
      </w:r>
      <w:r>
        <w:rPr>
          <w:rFonts w:hint="eastAsia" w:hAnsi="宋体" w:cs="宋体"/>
          <w:bCs/>
        </w:rPr>
        <w:t>邮编：</w:t>
      </w:r>
      <w:r>
        <w:rPr>
          <w:rFonts w:hint="eastAsia" w:hAnsi="宋体" w:cs="宋体"/>
          <w:bCs/>
          <w:u w:val="single"/>
        </w:rPr>
        <w:t xml:space="preserve">                     </w:t>
      </w:r>
    </w:p>
    <w:p w14:paraId="1F4B2B90">
      <w:pPr>
        <w:pStyle w:val="15"/>
        <w:snapToGrid w:val="0"/>
        <w:spacing w:line="460" w:lineRule="exact"/>
        <w:ind w:firstLine="420" w:firstLineChars="200"/>
        <w:rPr>
          <w:rFonts w:hAnsi="宋体" w:cs="宋体"/>
          <w:bCs/>
          <w:u w:val="single"/>
        </w:rPr>
      </w:pPr>
      <w:r>
        <w:rPr>
          <w:rFonts w:hint="eastAsia" w:hAnsi="宋体" w:cs="宋体"/>
          <w:bCs/>
        </w:rPr>
        <w:t>联系人：</w:t>
      </w:r>
      <w:r>
        <w:rPr>
          <w:rFonts w:hint="eastAsia" w:hAnsi="宋体" w:cs="宋体"/>
          <w:bCs/>
          <w:u w:val="single"/>
        </w:rPr>
        <w:t xml:space="preserve">                                          </w:t>
      </w:r>
      <w:r>
        <w:rPr>
          <w:rFonts w:hint="eastAsia" w:hAnsi="宋体" w:cs="宋体"/>
          <w:bCs/>
        </w:rPr>
        <w:t>联系电话：</w:t>
      </w:r>
      <w:r>
        <w:rPr>
          <w:rFonts w:hint="eastAsia" w:hAnsi="宋体" w:cs="宋体"/>
          <w:bCs/>
          <w:u w:val="single"/>
        </w:rPr>
        <w:t xml:space="preserve">                 </w:t>
      </w:r>
    </w:p>
    <w:p w14:paraId="0DFE27C5">
      <w:pPr>
        <w:pStyle w:val="15"/>
        <w:snapToGrid w:val="0"/>
        <w:spacing w:line="460" w:lineRule="exact"/>
        <w:ind w:firstLine="422" w:firstLineChars="200"/>
        <w:rPr>
          <w:rFonts w:hAnsi="宋体" w:cs="宋体"/>
          <w:b/>
          <w:bCs/>
        </w:rPr>
      </w:pPr>
      <w:r>
        <w:rPr>
          <w:rFonts w:hint="eastAsia" w:hAnsi="宋体" w:cs="宋体"/>
          <w:b/>
          <w:bCs/>
        </w:rPr>
        <w:t>二、投诉项目基本情况：</w:t>
      </w:r>
    </w:p>
    <w:p w14:paraId="12AB3DD4">
      <w:pPr>
        <w:pStyle w:val="15"/>
        <w:spacing w:line="460" w:lineRule="exact"/>
        <w:ind w:left="25" w:leftChars="12" w:firstLine="413" w:firstLineChars="197"/>
        <w:rPr>
          <w:rFonts w:hAnsi="宋体" w:cs="宋体"/>
          <w:bCs/>
          <w:u w:val="single"/>
        </w:rPr>
      </w:pPr>
      <w:r>
        <w:rPr>
          <w:rFonts w:hint="eastAsia" w:hAnsi="宋体" w:cs="宋体"/>
          <w:bCs/>
        </w:rPr>
        <w:t>采购</w:t>
      </w:r>
      <w:r>
        <w:rPr>
          <w:rFonts w:hint="eastAsia" w:hAnsi="宋体" w:cs="宋体"/>
        </w:rPr>
        <w:t>项目的名称：</w:t>
      </w:r>
      <w:r>
        <w:rPr>
          <w:rFonts w:hint="eastAsia" w:hAnsi="宋体" w:cs="宋体"/>
          <w:bCs/>
          <w:u w:val="single"/>
        </w:rPr>
        <w:t xml:space="preserve">                                                             </w:t>
      </w:r>
    </w:p>
    <w:p w14:paraId="0D322CC9">
      <w:pPr>
        <w:pStyle w:val="15"/>
        <w:spacing w:line="460" w:lineRule="exact"/>
        <w:ind w:left="25" w:leftChars="12" w:firstLine="413" w:firstLineChars="197"/>
        <w:rPr>
          <w:rFonts w:hAnsi="宋体" w:cs="宋体"/>
        </w:rPr>
      </w:pPr>
      <w:r>
        <w:rPr>
          <w:rFonts w:hint="eastAsia" w:hAnsi="宋体" w:cs="宋体"/>
          <w:bCs/>
        </w:rPr>
        <w:t>采购</w:t>
      </w:r>
      <w:r>
        <w:rPr>
          <w:rFonts w:hint="eastAsia" w:hAnsi="宋体" w:cs="宋体"/>
        </w:rPr>
        <w:t>项目的编号：</w:t>
      </w:r>
      <w:r>
        <w:rPr>
          <w:rFonts w:hint="eastAsia" w:hAnsi="宋体" w:cs="宋体"/>
          <w:bCs/>
          <w:u w:val="single"/>
        </w:rPr>
        <w:t xml:space="preserve">                                          </w:t>
      </w:r>
    </w:p>
    <w:p w14:paraId="60EFE347">
      <w:pPr>
        <w:pStyle w:val="15"/>
        <w:spacing w:line="460" w:lineRule="exact"/>
        <w:ind w:left="25" w:leftChars="12" w:firstLine="413" w:firstLineChars="197"/>
        <w:rPr>
          <w:rFonts w:hAnsi="宋体" w:cs="宋体"/>
          <w:bCs/>
          <w:u w:val="single"/>
        </w:rPr>
      </w:pPr>
      <w:r>
        <w:rPr>
          <w:rFonts w:hint="eastAsia" w:hAnsi="宋体" w:cs="宋体"/>
        </w:rPr>
        <w:t>采购人名称：</w:t>
      </w:r>
      <w:r>
        <w:rPr>
          <w:rFonts w:hint="eastAsia" w:hAnsi="宋体" w:cs="宋体"/>
          <w:bCs/>
          <w:u w:val="single"/>
        </w:rPr>
        <w:t xml:space="preserve">                                                                 </w:t>
      </w:r>
    </w:p>
    <w:p w14:paraId="5CC19279">
      <w:pPr>
        <w:pStyle w:val="15"/>
        <w:spacing w:line="460" w:lineRule="exact"/>
        <w:ind w:left="25" w:leftChars="12" w:firstLine="413" w:firstLineChars="197"/>
        <w:rPr>
          <w:rFonts w:hAnsi="宋体" w:cs="宋体"/>
          <w:bCs/>
          <w:u w:val="single"/>
        </w:rPr>
      </w:pPr>
      <w:r>
        <w:rPr>
          <w:rFonts w:hint="eastAsia" w:hAnsi="宋体" w:cs="宋体"/>
        </w:rPr>
        <w:t>代理机构名称：</w:t>
      </w:r>
      <w:r>
        <w:rPr>
          <w:rFonts w:hint="eastAsia" w:hAnsi="宋体" w:cs="宋体"/>
          <w:bCs/>
          <w:u w:val="single"/>
        </w:rPr>
        <w:t xml:space="preserve">                                                               </w:t>
      </w:r>
    </w:p>
    <w:p w14:paraId="66299014">
      <w:pPr>
        <w:pStyle w:val="15"/>
        <w:spacing w:line="460" w:lineRule="exact"/>
        <w:ind w:left="25" w:leftChars="12" w:firstLine="413" w:firstLineChars="197"/>
        <w:rPr>
          <w:rFonts w:hAnsi="宋体" w:cs="宋体"/>
          <w:bCs/>
          <w:u w:val="single"/>
        </w:rPr>
      </w:pPr>
      <w:r>
        <w:rPr>
          <w:rFonts w:hint="eastAsia" w:hAnsi="宋体" w:cs="宋体"/>
          <w:bCs/>
        </w:rPr>
        <w:t>采购文件公告：</w:t>
      </w:r>
      <w:r>
        <w:rPr>
          <w:rFonts w:hint="eastAsia" w:hAnsi="宋体" w:cs="宋体"/>
          <w:bCs/>
          <w:u w:val="single"/>
        </w:rPr>
        <w:t>是/否</w:t>
      </w:r>
      <w:r>
        <w:rPr>
          <w:rFonts w:hint="eastAsia" w:hAnsi="宋体" w:cs="宋体"/>
          <w:bCs/>
        </w:rPr>
        <w:t>公告期限：</w:t>
      </w:r>
      <w:r>
        <w:rPr>
          <w:rFonts w:hint="eastAsia" w:hAnsi="宋体" w:cs="宋体"/>
          <w:bCs/>
          <w:u w:val="single"/>
        </w:rPr>
        <w:t xml:space="preserve">                                                </w:t>
      </w:r>
    </w:p>
    <w:p w14:paraId="4E7D5E87">
      <w:pPr>
        <w:pStyle w:val="15"/>
        <w:spacing w:line="460" w:lineRule="exact"/>
        <w:ind w:left="25" w:leftChars="12" w:firstLine="413" w:firstLineChars="197"/>
        <w:rPr>
          <w:rFonts w:hAnsi="宋体" w:cs="宋体"/>
          <w:bCs/>
          <w:u w:val="single"/>
        </w:rPr>
      </w:pPr>
      <w:r>
        <w:rPr>
          <w:rFonts w:hint="eastAsia" w:hAnsi="宋体" w:cs="宋体"/>
          <w:bCs/>
        </w:rPr>
        <w:t>采购结果公告：</w:t>
      </w:r>
      <w:r>
        <w:rPr>
          <w:rFonts w:hint="eastAsia" w:hAnsi="宋体" w:cs="宋体"/>
          <w:bCs/>
          <w:u w:val="single"/>
        </w:rPr>
        <w:t>是/否</w:t>
      </w:r>
      <w:r>
        <w:rPr>
          <w:rFonts w:hint="eastAsia" w:hAnsi="宋体" w:cs="宋体"/>
          <w:bCs/>
        </w:rPr>
        <w:t>公告期限：</w:t>
      </w:r>
      <w:r>
        <w:rPr>
          <w:rFonts w:hint="eastAsia" w:hAnsi="宋体" w:cs="宋体"/>
          <w:bCs/>
          <w:u w:val="single"/>
        </w:rPr>
        <w:t xml:space="preserve">                                                </w:t>
      </w:r>
    </w:p>
    <w:p w14:paraId="79EB2FAC">
      <w:pPr>
        <w:pStyle w:val="15"/>
        <w:spacing w:line="460" w:lineRule="exact"/>
        <w:ind w:left="25" w:leftChars="12" w:firstLine="413" w:firstLineChars="196"/>
        <w:rPr>
          <w:rFonts w:hAnsi="宋体" w:cs="宋体"/>
          <w:b/>
        </w:rPr>
      </w:pPr>
      <w:r>
        <w:rPr>
          <w:rFonts w:hint="eastAsia" w:hAnsi="宋体" w:cs="宋体"/>
          <w:b/>
        </w:rPr>
        <w:t>三、质疑基本情况</w:t>
      </w:r>
    </w:p>
    <w:p w14:paraId="2F6E2AFD">
      <w:pPr>
        <w:pStyle w:val="15"/>
        <w:spacing w:line="460" w:lineRule="exact"/>
        <w:ind w:left="25" w:leftChars="12" w:firstLine="413" w:firstLineChars="197"/>
        <w:rPr>
          <w:rFonts w:hAnsi="宋体" w:cs="宋体"/>
        </w:rPr>
      </w:pPr>
      <w:r>
        <w:rPr>
          <w:rFonts w:hint="eastAsia" w:hAnsi="宋体" w:cs="宋体"/>
        </w:rPr>
        <w:t>投诉人于</w:t>
      </w:r>
      <w:r>
        <w:rPr>
          <w:rFonts w:hint="eastAsia" w:hAnsi="宋体" w:cs="宋体"/>
          <w:u w:val="single"/>
        </w:rPr>
        <w:t xml:space="preserve">      </w:t>
      </w:r>
      <w:r>
        <w:rPr>
          <w:rFonts w:hint="eastAsia" w:hAnsi="宋体" w:cs="宋体"/>
        </w:rPr>
        <w:t>年</w:t>
      </w:r>
      <w:r>
        <w:rPr>
          <w:rFonts w:hint="eastAsia" w:hAnsi="宋体" w:cs="宋体"/>
          <w:u w:val="single"/>
        </w:rPr>
        <w:t xml:space="preserve">   </w:t>
      </w:r>
      <w:r>
        <w:rPr>
          <w:rFonts w:hint="eastAsia" w:hAnsi="宋体" w:cs="宋体"/>
        </w:rPr>
        <w:t>月</w:t>
      </w:r>
      <w:r>
        <w:rPr>
          <w:rFonts w:hint="eastAsia" w:hAnsi="宋体" w:cs="宋体"/>
          <w:u w:val="single"/>
        </w:rPr>
        <w:t xml:space="preserve">   </w:t>
      </w:r>
      <w:r>
        <w:rPr>
          <w:rFonts w:hint="eastAsia" w:hAnsi="宋体" w:cs="宋体"/>
        </w:rPr>
        <w:t>日，向</w:t>
      </w:r>
      <w:r>
        <w:rPr>
          <w:rFonts w:hint="eastAsia" w:hAnsi="宋体" w:cs="宋体"/>
          <w:u w:val="single"/>
        </w:rPr>
        <w:t xml:space="preserve">                                </w:t>
      </w:r>
      <w:r>
        <w:rPr>
          <w:rFonts w:hint="eastAsia" w:hAnsi="宋体" w:cs="宋体"/>
        </w:rPr>
        <w:t>提出质疑，质疑事项为：</w:t>
      </w:r>
    </w:p>
    <w:p w14:paraId="5F5B1B30">
      <w:pPr>
        <w:pStyle w:val="15"/>
        <w:spacing w:line="460" w:lineRule="exact"/>
        <w:ind w:firstLine="241"/>
        <w:rPr>
          <w:rFonts w:hAnsi="宋体" w:cs="宋体"/>
          <w:bCs/>
          <w:u w:val="single"/>
        </w:rPr>
      </w:pPr>
      <w:r>
        <w:rPr>
          <w:rFonts w:hint="eastAsia" w:hAnsi="宋体" w:cs="宋体"/>
        </w:rPr>
        <w:t xml:space="preserve">    </w:t>
      </w:r>
      <w:r>
        <w:rPr>
          <w:rFonts w:hint="eastAsia" w:hAnsi="宋体" w:cs="宋体"/>
          <w:bCs/>
          <w:u w:val="single"/>
        </w:rPr>
        <w:t xml:space="preserve">                                                                           </w:t>
      </w:r>
    </w:p>
    <w:p w14:paraId="779A3E30">
      <w:pPr>
        <w:pStyle w:val="15"/>
        <w:spacing w:line="460" w:lineRule="exact"/>
        <w:ind w:firstLine="241"/>
        <w:rPr>
          <w:rFonts w:hAnsi="宋体" w:cs="宋体"/>
          <w:bCs/>
          <w:u w:val="single"/>
        </w:rPr>
      </w:pPr>
      <w:r>
        <w:rPr>
          <w:rFonts w:hint="eastAsia" w:hAnsi="宋体" w:cs="宋体"/>
          <w:bCs/>
        </w:rPr>
        <w:t xml:space="preserve">    </w:t>
      </w:r>
      <w:r>
        <w:rPr>
          <w:rFonts w:hint="eastAsia" w:hAnsi="宋体" w:cs="宋体"/>
          <w:bCs/>
          <w:u w:val="single"/>
        </w:rPr>
        <w:t xml:space="preserve">                                                                           </w:t>
      </w:r>
    </w:p>
    <w:p w14:paraId="349723BD">
      <w:pPr>
        <w:pStyle w:val="15"/>
        <w:spacing w:line="460" w:lineRule="exact"/>
        <w:ind w:left="1" w:leftChars="-95" w:hanging="200"/>
        <w:rPr>
          <w:rFonts w:hAnsi="宋体" w:cs="宋体"/>
          <w:bCs/>
        </w:rPr>
      </w:pPr>
      <w:r>
        <w:rPr>
          <w:rFonts w:hint="eastAsia" w:hAnsi="宋体" w:cs="宋体"/>
          <w:bCs/>
        </w:rPr>
        <w:t xml:space="preserve">      </w:t>
      </w:r>
      <w:r>
        <w:rPr>
          <w:rFonts w:hint="eastAsia" w:hAnsi="宋体" w:cs="宋体"/>
          <w:bCs/>
          <w:u w:val="single"/>
        </w:rPr>
        <w:t>采购人/采购代理机构</w:t>
      </w:r>
      <w:r>
        <w:rPr>
          <w:rFonts w:hint="eastAsia" w:hAnsi="宋体" w:cs="宋体"/>
          <w:bCs/>
        </w:rPr>
        <w:t>于</w:t>
      </w:r>
      <w:r>
        <w:rPr>
          <w:rFonts w:hint="eastAsia" w:hAnsi="宋体" w:cs="宋体"/>
          <w:u w:val="single"/>
        </w:rPr>
        <w:t xml:space="preserve">      </w:t>
      </w:r>
      <w:r>
        <w:rPr>
          <w:rFonts w:hint="eastAsia" w:hAnsi="宋体" w:cs="宋体"/>
        </w:rPr>
        <w:t>年</w:t>
      </w:r>
      <w:r>
        <w:rPr>
          <w:rFonts w:hint="eastAsia" w:hAnsi="宋体" w:cs="宋体"/>
          <w:u w:val="single"/>
        </w:rPr>
        <w:t xml:space="preserve">   </w:t>
      </w:r>
      <w:r>
        <w:rPr>
          <w:rFonts w:hint="eastAsia" w:hAnsi="宋体" w:cs="宋体"/>
        </w:rPr>
        <w:t>月</w:t>
      </w:r>
      <w:r>
        <w:rPr>
          <w:rFonts w:hint="eastAsia" w:hAnsi="宋体" w:cs="宋体"/>
          <w:u w:val="single"/>
        </w:rPr>
        <w:t xml:space="preserve">   </w:t>
      </w:r>
      <w:r>
        <w:rPr>
          <w:rFonts w:hint="eastAsia" w:hAnsi="宋体" w:cs="宋体"/>
        </w:rPr>
        <w:t>日，</w:t>
      </w:r>
      <w:r>
        <w:rPr>
          <w:rFonts w:hint="eastAsia" w:hAnsi="宋体" w:cs="宋体"/>
          <w:bCs/>
        </w:rPr>
        <w:t>就质疑事项作出了答复/没有在法定期限内作出答复。</w:t>
      </w:r>
    </w:p>
    <w:p w14:paraId="1DE80DFC">
      <w:pPr>
        <w:pStyle w:val="15"/>
        <w:spacing w:line="460" w:lineRule="exact"/>
        <w:ind w:left="25" w:leftChars="12" w:firstLine="413" w:firstLineChars="196"/>
        <w:rPr>
          <w:rFonts w:hAnsi="宋体" w:cs="宋体"/>
          <w:b/>
        </w:rPr>
      </w:pPr>
      <w:r>
        <w:rPr>
          <w:rFonts w:hint="eastAsia" w:hAnsi="宋体" w:cs="宋体"/>
          <w:b/>
        </w:rPr>
        <w:t>四、投诉事项具体内容</w:t>
      </w:r>
    </w:p>
    <w:p w14:paraId="0FD52BEC">
      <w:pPr>
        <w:pStyle w:val="15"/>
        <w:spacing w:line="460" w:lineRule="exact"/>
        <w:ind w:left="25" w:leftChars="12" w:firstLine="413" w:firstLineChars="197"/>
        <w:rPr>
          <w:rFonts w:hAnsi="宋体" w:cs="宋体"/>
          <w:bCs/>
          <w:u w:val="single"/>
        </w:rPr>
      </w:pPr>
      <w:r>
        <w:rPr>
          <w:rFonts w:hint="eastAsia" w:hAnsi="宋体" w:cs="宋体"/>
        </w:rPr>
        <w:t>投诉事项1：</w:t>
      </w:r>
      <w:r>
        <w:rPr>
          <w:rFonts w:hint="eastAsia" w:hAnsi="宋体" w:cs="宋体"/>
          <w:bCs/>
          <w:u w:val="single"/>
        </w:rPr>
        <w:t xml:space="preserve">                                                                 </w:t>
      </w:r>
    </w:p>
    <w:p w14:paraId="3C50EC69">
      <w:pPr>
        <w:pStyle w:val="15"/>
        <w:spacing w:line="460" w:lineRule="exact"/>
        <w:ind w:firstLine="420" w:firstLineChars="200"/>
        <w:rPr>
          <w:rFonts w:hAnsi="宋体" w:cs="宋体"/>
          <w:bCs/>
          <w:u w:val="single"/>
        </w:rPr>
      </w:pPr>
      <w:r>
        <w:rPr>
          <w:rFonts w:hint="eastAsia" w:hAnsi="宋体" w:cs="宋体"/>
          <w:bCs/>
        </w:rPr>
        <w:t>事实依据：</w:t>
      </w:r>
      <w:r>
        <w:rPr>
          <w:rFonts w:hint="eastAsia" w:hAnsi="宋体" w:cs="宋体"/>
        </w:rPr>
        <w:t xml:space="preserve"> </w:t>
      </w:r>
      <w:r>
        <w:rPr>
          <w:rFonts w:hint="eastAsia" w:hAnsi="宋体" w:cs="宋体"/>
          <w:bCs/>
          <w:u w:val="single"/>
        </w:rPr>
        <w:t xml:space="preserve">                                                                  </w:t>
      </w:r>
    </w:p>
    <w:p w14:paraId="5D93B671">
      <w:pPr>
        <w:pStyle w:val="15"/>
        <w:spacing w:line="460" w:lineRule="exact"/>
        <w:ind w:left="25" w:leftChars="12" w:firstLine="413" w:firstLineChars="197"/>
        <w:rPr>
          <w:rFonts w:hAnsi="宋体" w:cs="宋体"/>
          <w:bCs/>
          <w:u w:val="single"/>
        </w:rPr>
      </w:pPr>
      <w:r>
        <w:rPr>
          <w:rFonts w:hint="eastAsia" w:hAnsi="宋体" w:cs="宋体"/>
          <w:bCs/>
          <w:u w:val="single"/>
        </w:rPr>
        <w:t xml:space="preserve">                                                                             </w:t>
      </w:r>
    </w:p>
    <w:p w14:paraId="71D0137E">
      <w:pPr>
        <w:pStyle w:val="15"/>
        <w:spacing w:line="460" w:lineRule="exact"/>
        <w:ind w:firstLine="420" w:firstLineChars="200"/>
        <w:rPr>
          <w:rFonts w:hAnsi="宋体" w:cs="宋体"/>
          <w:bCs/>
          <w:u w:val="single"/>
        </w:rPr>
      </w:pPr>
      <w:r>
        <w:rPr>
          <w:rFonts w:hint="eastAsia" w:hAnsi="宋体" w:cs="宋体"/>
          <w:bCs/>
        </w:rPr>
        <w:t>法律依据：</w:t>
      </w:r>
      <w:r>
        <w:rPr>
          <w:rFonts w:hint="eastAsia" w:hAnsi="宋体" w:cs="宋体"/>
        </w:rPr>
        <w:t xml:space="preserve"> </w:t>
      </w:r>
      <w:r>
        <w:rPr>
          <w:rFonts w:hint="eastAsia" w:hAnsi="宋体" w:cs="宋体"/>
          <w:bCs/>
          <w:u w:val="single"/>
        </w:rPr>
        <w:t xml:space="preserve">                                                                  </w:t>
      </w:r>
    </w:p>
    <w:p w14:paraId="7A1C6560">
      <w:pPr>
        <w:pStyle w:val="15"/>
        <w:spacing w:line="460" w:lineRule="exact"/>
        <w:ind w:left="25" w:leftChars="12" w:firstLine="308" w:firstLineChars="147"/>
        <w:rPr>
          <w:rFonts w:hAnsi="宋体" w:cs="宋体"/>
          <w:bCs/>
          <w:u w:val="single"/>
        </w:rPr>
      </w:pPr>
      <w:r>
        <w:rPr>
          <w:rFonts w:hint="eastAsia" w:hAnsi="宋体" w:cs="宋体"/>
          <w:bCs/>
        </w:rPr>
        <w:t xml:space="preserve"> </w:t>
      </w:r>
      <w:r>
        <w:rPr>
          <w:rFonts w:hint="eastAsia" w:hAnsi="宋体" w:cs="宋体"/>
          <w:bCs/>
          <w:u w:val="single"/>
        </w:rPr>
        <w:t xml:space="preserve">                                                                             </w:t>
      </w:r>
    </w:p>
    <w:p w14:paraId="09396942">
      <w:pPr>
        <w:pStyle w:val="15"/>
        <w:spacing w:line="460" w:lineRule="exact"/>
        <w:ind w:left="25" w:leftChars="12" w:firstLine="413" w:firstLineChars="197"/>
        <w:rPr>
          <w:rFonts w:hAnsi="宋体" w:cs="宋体"/>
          <w:bCs/>
        </w:rPr>
      </w:pPr>
      <w:r>
        <w:rPr>
          <w:rFonts w:hint="eastAsia" w:hAnsi="宋体" w:cs="宋体"/>
        </w:rPr>
        <w:t xml:space="preserve">投诉事项2  </w:t>
      </w:r>
      <w:r>
        <w:rPr>
          <w:rFonts w:hint="eastAsia" w:hAnsi="宋体" w:cs="宋体"/>
          <w:bCs/>
        </w:rPr>
        <w:t xml:space="preserve">   </w:t>
      </w:r>
    </w:p>
    <w:p w14:paraId="71B0E8E1">
      <w:pPr>
        <w:pStyle w:val="15"/>
        <w:spacing w:line="460" w:lineRule="exact"/>
        <w:ind w:left="25" w:leftChars="12" w:firstLine="413" w:firstLineChars="197"/>
        <w:rPr>
          <w:rFonts w:hAnsi="宋体" w:cs="宋体"/>
          <w:bCs/>
        </w:rPr>
      </w:pPr>
      <w:r>
        <w:rPr>
          <w:rFonts w:hint="eastAsia" w:hAnsi="宋体" w:cs="宋体"/>
          <w:bCs/>
        </w:rPr>
        <w:t>……</w:t>
      </w:r>
    </w:p>
    <w:p w14:paraId="6F79FD3D">
      <w:pPr>
        <w:pStyle w:val="15"/>
        <w:spacing w:line="460" w:lineRule="exact"/>
        <w:ind w:left="25" w:leftChars="12" w:firstLine="413" w:firstLineChars="196"/>
        <w:rPr>
          <w:rFonts w:hAnsi="宋体" w:cs="宋体"/>
          <w:b/>
        </w:rPr>
      </w:pPr>
      <w:r>
        <w:rPr>
          <w:rFonts w:hint="eastAsia" w:hAnsi="宋体" w:cs="宋体"/>
          <w:b/>
        </w:rPr>
        <w:t>五、与投诉事项相关的投诉请求：</w:t>
      </w:r>
    </w:p>
    <w:p w14:paraId="00C01D33">
      <w:pPr>
        <w:pStyle w:val="15"/>
        <w:spacing w:line="460" w:lineRule="exact"/>
        <w:ind w:left="25" w:leftChars="12" w:firstLine="413" w:firstLineChars="197"/>
        <w:rPr>
          <w:rFonts w:hAnsi="宋体" w:cs="宋体"/>
          <w:bCs/>
          <w:u w:val="single"/>
        </w:rPr>
      </w:pPr>
      <w:r>
        <w:rPr>
          <w:rFonts w:hint="eastAsia" w:hAnsi="宋体" w:cs="宋体"/>
        </w:rPr>
        <w:t>请求：</w:t>
      </w:r>
      <w:r>
        <w:rPr>
          <w:rFonts w:hint="eastAsia" w:hAnsi="宋体" w:cs="宋体"/>
          <w:bCs/>
          <w:u w:val="single"/>
        </w:rPr>
        <w:t xml:space="preserve">                                                                       </w:t>
      </w:r>
    </w:p>
    <w:p w14:paraId="11F65DEC">
      <w:pPr>
        <w:pStyle w:val="15"/>
        <w:spacing w:line="460" w:lineRule="exact"/>
        <w:ind w:left="25" w:leftChars="12" w:firstLine="308" w:firstLineChars="147"/>
        <w:rPr>
          <w:rFonts w:hAnsi="宋体" w:cs="宋体"/>
        </w:rPr>
      </w:pPr>
    </w:p>
    <w:p w14:paraId="0D6A0F20">
      <w:pPr>
        <w:pStyle w:val="15"/>
        <w:spacing w:line="460" w:lineRule="exact"/>
        <w:ind w:left="25" w:leftChars="12" w:firstLine="413" w:firstLineChars="197"/>
        <w:rPr>
          <w:rFonts w:hAnsi="宋体" w:cs="宋体"/>
        </w:rPr>
      </w:pPr>
      <w:r>
        <w:rPr>
          <w:rFonts w:hint="eastAsia" w:hAnsi="宋体" w:cs="宋体"/>
        </w:rPr>
        <w:t>签字（签章）：                                       公章：</w:t>
      </w:r>
    </w:p>
    <w:p w14:paraId="6FF783A3">
      <w:pPr>
        <w:pStyle w:val="15"/>
        <w:spacing w:line="460" w:lineRule="exact"/>
        <w:ind w:left="25" w:leftChars="12" w:firstLine="308" w:firstLineChars="147"/>
        <w:rPr>
          <w:rFonts w:hAnsi="宋体" w:cs="宋体"/>
        </w:rPr>
      </w:pPr>
    </w:p>
    <w:p w14:paraId="0FBC016A">
      <w:pPr>
        <w:pStyle w:val="15"/>
        <w:spacing w:line="460" w:lineRule="exact"/>
        <w:ind w:left="25" w:leftChars="12" w:firstLine="413" w:firstLineChars="197"/>
        <w:rPr>
          <w:rFonts w:hAnsi="宋体" w:cs="宋体"/>
        </w:rPr>
      </w:pPr>
      <w:r>
        <w:rPr>
          <w:rFonts w:hint="eastAsia" w:hAnsi="宋体" w:cs="宋体"/>
        </w:rPr>
        <w:t>日期：</w:t>
      </w:r>
    </w:p>
    <w:p w14:paraId="3682FA29">
      <w:pPr>
        <w:pStyle w:val="15"/>
        <w:snapToGrid w:val="0"/>
        <w:spacing w:line="460" w:lineRule="exact"/>
        <w:rPr>
          <w:rFonts w:hAnsi="宋体" w:cs="宋体"/>
          <w:b/>
          <w:sz w:val="24"/>
          <w:szCs w:val="24"/>
        </w:rPr>
      </w:pPr>
    </w:p>
    <w:p w14:paraId="6368AA97">
      <w:r>
        <w:rPr>
          <w:rFonts w:hint="eastAsia"/>
        </w:rPr>
        <w:t>说明：</w:t>
      </w:r>
    </w:p>
    <w:p w14:paraId="263BE1FA">
      <w:r>
        <w:rPr>
          <w:rFonts w:hint="eastAsia"/>
        </w:rPr>
        <w:t>1.投诉人提起投诉时，应当提交投诉书和必要的证明材料，并按照被投诉人和与投诉事项有关的供应商数量提供投诉书副本。</w:t>
      </w:r>
    </w:p>
    <w:p w14:paraId="7090FCE0">
      <w:r>
        <w:rPr>
          <w:rFonts w:hint="eastAsia"/>
        </w:rPr>
        <w:t>2.投诉人若委托代理人进行投诉的，投诉书应按要求列明“授权代表”的有关内容，并在附件中提交由投诉人签署的授权委托书。授权委托书应当载明代理人的姓名或者名称、代理事项、具体权限、期限和相关事项。</w:t>
      </w:r>
    </w:p>
    <w:p w14:paraId="70D9A3B8">
      <w:r>
        <w:rPr>
          <w:rFonts w:hint="eastAsia"/>
        </w:rPr>
        <w:t>3.投诉书应简要列明质疑事项，质疑函、质疑答复等作为附件材料提供。</w:t>
      </w:r>
    </w:p>
    <w:p w14:paraId="68CFC46C">
      <w:r>
        <w:rPr>
          <w:rFonts w:hint="eastAsia"/>
        </w:rPr>
        <w:t>4.投诉书的投诉事项应具体、明确，并有必要的事实依据和法律依据。</w:t>
      </w:r>
    </w:p>
    <w:p w14:paraId="307561A8">
      <w:r>
        <w:rPr>
          <w:rFonts w:hint="eastAsia"/>
        </w:rPr>
        <w:t>5.投诉书的投诉请求应与投诉事项相关。</w:t>
      </w:r>
    </w:p>
    <w:p w14:paraId="07EA9093">
      <w:r>
        <w:rPr>
          <w:rFonts w:hint="eastAsia"/>
        </w:rPr>
        <w:t>6.投诉人为法人或者其他组织的，投诉书应由法定代表人、主要负责人，或者其授权代表签字或者盖章，并加盖公章。</w:t>
      </w:r>
    </w:p>
    <w:p w14:paraId="6C09225D">
      <w:pPr>
        <w:spacing w:line="460" w:lineRule="exact"/>
      </w:pPr>
    </w:p>
    <w:p w14:paraId="12EEDA7D">
      <w:pPr>
        <w:spacing w:line="460" w:lineRule="exact"/>
        <w:jc w:val="center"/>
        <w:rPr>
          <w:rFonts w:asciiTheme="minorEastAsia" w:hAnsiTheme="minorEastAsia" w:eastAsiaTheme="minorEastAsia" w:cstheme="minorEastAsia"/>
          <w:b/>
          <w:bCs/>
          <w:sz w:val="32"/>
          <w:szCs w:val="32"/>
        </w:rPr>
      </w:pPr>
      <w:r>
        <w:rPr>
          <w:rFonts w:hint="eastAsia" w:ascii="宋体" w:hAnsi="宋体" w:cs="宋体"/>
          <w:sz w:val="32"/>
          <w:szCs w:val="32"/>
        </w:rPr>
        <w:br w:type="page"/>
      </w:r>
      <w:bookmarkStart w:id="164" w:name="_Toc21742"/>
      <w:bookmarkStart w:id="165" w:name="_Toc2989"/>
      <w:r>
        <w:rPr>
          <w:rFonts w:hint="eastAsia" w:asciiTheme="minorEastAsia" w:hAnsiTheme="minorEastAsia" w:eastAsiaTheme="minorEastAsia" w:cstheme="minorEastAsia"/>
          <w:b/>
          <w:bCs/>
          <w:sz w:val="32"/>
          <w:szCs w:val="32"/>
        </w:rPr>
        <w:t>第三章  评审办法</w:t>
      </w:r>
      <w:bookmarkEnd w:id="164"/>
      <w:bookmarkEnd w:id="165"/>
    </w:p>
    <w:p w14:paraId="70F9F9BC">
      <w:pPr>
        <w:spacing w:line="460" w:lineRule="exact"/>
        <w:ind w:firstLine="422" w:firstLineChars="200"/>
        <w:outlineLvl w:val="1"/>
        <w:rPr>
          <w:rFonts w:ascii="宋体" w:hAnsi="宋体" w:cs="宋体"/>
          <w:b/>
          <w:bCs/>
          <w:color w:val="000000" w:themeColor="text1"/>
          <w:szCs w:val="21"/>
          <w14:textFill>
            <w14:solidFill>
              <w14:schemeClr w14:val="tx1"/>
            </w14:solidFill>
          </w14:textFill>
        </w:rPr>
      </w:pPr>
      <w:bookmarkStart w:id="166" w:name="_Toc16364"/>
      <w:r>
        <w:rPr>
          <w:rFonts w:hint="eastAsia" w:ascii="宋体" w:hAnsi="宋体" w:cs="宋体"/>
          <w:b/>
          <w:bCs/>
          <w:color w:val="000000" w:themeColor="text1"/>
          <w:szCs w:val="21"/>
          <w14:textFill>
            <w14:solidFill>
              <w14:schemeClr w14:val="tx1"/>
            </w14:solidFill>
          </w14:textFill>
        </w:rPr>
        <w:t>一、评审依据</w:t>
      </w:r>
      <w:bookmarkEnd w:id="166"/>
    </w:p>
    <w:p w14:paraId="53E23417">
      <w:pPr>
        <w:spacing w:line="46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（一）评审依据：磋商小组以</w:t>
      </w:r>
      <w:r>
        <w:rPr>
          <w:rFonts w:hint="eastAsia"/>
        </w:rPr>
        <w:t>竞争性</w:t>
      </w:r>
      <w:r>
        <w:rPr>
          <w:rFonts w:hint="eastAsia" w:ascii="宋体" w:hAnsi="宋体" w:cs="宋体"/>
          <w:color w:val="000000" w:themeColor="text1"/>
          <w:szCs w:val="21"/>
          <w14:textFill>
            <w14:solidFill>
              <w14:schemeClr w14:val="tx1"/>
            </w14:solidFill>
          </w14:textFill>
        </w:rPr>
        <w:t>磋商文件和响应文件为评审依据，对供应商的响应文件进行评审。</w:t>
      </w:r>
    </w:p>
    <w:p w14:paraId="17557021">
      <w:pPr>
        <w:spacing w:line="46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（二）评审方式：以封闭方式进行评审。</w:t>
      </w:r>
    </w:p>
    <w:p w14:paraId="4E93DC84">
      <w:pPr>
        <w:spacing w:line="46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（三）采购人和采购代理机构、竞争性磋商小组成员要严格遵守政府采购相关法律制度，依法履行各自职责，公正、客观、审慎地组织和参与评审工作。</w:t>
      </w:r>
    </w:p>
    <w:p w14:paraId="02D68F68">
      <w:pPr>
        <w:spacing w:line="460" w:lineRule="exact"/>
        <w:ind w:firstLine="422" w:firstLineChars="200"/>
        <w:outlineLvl w:val="1"/>
        <w:rPr>
          <w:rFonts w:ascii="宋体" w:hAnsi="宋体" w:cs="宋体"/>
          <w:b/>
          <w:bCs/>
          <w:color w:val="000000" w:themeColor="text1"/>
          <w:szCs w:val="21"/>
          <w14:textFill>
            <w14:solidFill>
              <w14:schemeClr w14:val="tx1"/>
            </w14:solidFill>
          </w14:textFill>
        </w:rPr>
      </w:pPr>
      <w:bookmarkStart w:id="167" w:name="_Toc2014"/>
      <w:r>
        <w:rPr>
          <w:rFonts w:hint="eastAsia" w:ascii="宋体" w:hAnsi="宋体" w:cs="宋体"/>
          <w:b/>
          <w:bCs/>
          <w:color w:val="000000" w:themeColor="text1"/>
          <w:szCs w:val="21"/>
          <w14:textFill>
            <w14:solidFill>
              <w14:schemeClr w14:val="tx1"/>
            </w14:solidFill>
          </w14:textFill>
        </w:rPr>
        <w:t>二、评审办法</w:t>
      </w:r>
      <w:bookmarkEnd w:id="167"/>
    </w:p>
    <w:p w14:paraId="45ABBCF3">
      <w:pPr>
        <w:spacing w:line="46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（一）对进入详评的，采用</w:t>
      </w:r>
      <w:r>
        <w:rPr>
          <w:rFonts w:hint="eastAsia" w:ascii="宋体" w:hAnsi="宋体" w:cs="宋体"/>
          <w:b/>
          <w:bCs/>
          <w:color w:val="000000" w:themeColor="text1"/>
          <w:szCs w:val="21"/>
          <w14:textFill>
            <w14:solidFill>
              <w14:schemeClr w14:val="tx1"/>
            </w14:solidFill>
          </w14:textFill>
        </w:rPr>
        <w:t>综合评分法</w:t>
      </w:r>
      <w:r>
        <w:rPr>
          <w:rFonts w:hint="eastAsia" w:ascii="宋体" w:hAnsi="宋体" w:cs="宋体"/>
          <w:color w:val="000000" w:themeColor="text1"/>
          <w:szCs w:val="21"/>
          <w14:textFill>
            <w14:solidFill>
              <w14:schemeClr w14:val="tx1"/>
            </w14:solidFill>
          </w14:textFill>
        </w:rPr>
        <w:t>。</w:t>
      </w:r>
    </w:p>
    <w:p w14:paraId="39136B9C">
      <w:pPr>
        <w:spacing w:line="46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（二）计分办法（按四舍五入取至小数点后二位）</w:t>
      </w:r>
    </w:p>
    <w:tbl>
      <w:tblPr>
        <w:tblStyle w:val="21"/>
        <w:tblW w:w="9948" w:type="dxa"/>
        <w:jc w:val="center"/>
        <w:tblLayout w:type="fixed"/>
        <w:tblCellMar>
          <w:top w:w="0" w:type="dxa"/>
          <w:left w:w="108" w:type="dxa"/>
          <w:bottom w:w="0" w:type="dxa"/>
          <w:right w:w="108" w:type="dxa"/>
        </w:tblCellMar>
      </w:tblPr>
      <w:tblGrid>
        <w:gridCol w:w="944"/>
        <w:gridCol w:w="1625"/>
        <w:gridCol w:w="2179"/>
        <w:gridCol w:w="5200"/>
      </w:tblGrid>
      <w:tr w14:paraId="542481BB">
        <w:tblPrEx>
          <w:tblCellMar>
            <w:top w:w="0" w:type="dxa"/>
            <w:left w:w="108" w:type="dxa"/>
            <w:bottom w:w="0" w:type="dxa"/>
            <w:right w:w="108" w:type="dxa"/>
          </w:tblCellMar>
        </w:tblPrEx>
        <w:trPr>
          <w:trHeight w:val="609" w:hRule="atLeast"/>
          <w:jc w:val="center"/>
        </w:trPr>
        <w:tc>
          <w:tcPr>
            <w:tcW w:w="944" w:type="dxa"/>
            <w:tcBorders>
              <w:top w:val="single" w:color="auto" w:sz="4" w:space="0"/>
              <w:left w:val="single" w:color="auto" w:sz="4" w:space="0"/>
              <w:bottom w:val="single" w:color="auto" w:sz="4" w:space="0"/>
              <w:right w:val="single" w:color="000000" w:sz="4" w:space="0"/>
            </w:tcBorders>
            <w:vAlign w:val="center"/>
          </w:tcPr>
          <w:p w14:paraId="764430A8">
            <w:pPr>
              <w:pStyle w:val="32"/>
              <w:snapToGrid w:val="0"/>
              <w:spacing w:line="500" w:lineRule="exact"/>
              <w:jc w:val="center"/>
              <w:rPr>
                <w:rFonts w:ascii="宋体" w:hAnsi="宋体"/>
              </w:rPr>
            </w:pPr>
            <w:bookmarkStart w:id="168" w:name="_Toc27766"/>
            <w:r>
              <w:rPr>
                <w:rFonts w:hint="eastAsia" w:ascii="宋体" w:hAnsi="宋体"/>
              </w:rPr>
              <w:t>条款号</w:t>
            </w:r>
          </w:p>
        </w:tc>
        <w:tc>
          <w:tcPr>
            <w:tcW w:w="9004" w:type="dxa"/>
            <w:gridSpan w:val="3"/>
            <w:tcBorders>
              <w:top w:val="single" w:color="auto" w:sz="4" w:space="0"/>
              <w:left w:val="nil"/>
              <w:bottom w:val="single" w:color="auto" w:sz="4" w:space="0"/>
              <w:right w:val="single" w:color="auto" w:sz="4" w:space="0"/>
            </w:tcBorders>
            <w:vAlign w:val="center"/>
          </w:tcPr>
          <w:p w14:paraId="1CE483CD">
            <w:pPr>
              <w:pStyle w:val="32"/>
              <w:snapToGrid w:val="0"/>
              <w:spacing w:line="500" w:lineRule="exact"/>
              <w:jc w:val="center"/>
              <w:rPr>
                <w:rFonts w:ascii="宋体" w:hAnsi="宋体"/>
              </w:rPr>
            </w:pPr>
            <w:r>
              <w:rPr>
                <w:rFonts w:hint="eastAsia" w:ascii="宋体" w:hAnsi="宋体"/>
              </w:rPr>
              <w:t>评审标准</w:t>
            </w:r>
          </w:p>
        </w:tc>
      </w:tr>
      <w:tr w14:paraId="7208143E">
        <w:tblPrEx>
          <w:tblCellMar>
            <w:top w:w="0" w:type="dxa"/>
            <w:left w:w="108" w:type="dxa"/>
            <w:bottom w:w="0" w:type="dxa"/>
            <w:right w:w="108" w:type="dxa"/>
          </w:tblCellMar>
        </w:tblPrEx>
        <w:trPr>
          <w:trHeight w:val="453" w:hRule="atLeast"/>
          <w:jc w:val="center"/>
        </w:trPr>
        <w:tc>
          <w:tcPr>
            <w:tcW w:w="944" w:type="dxa"/>
            <w:vMerge w:val="restart"/>
            <w:tcBorders>
              <w:top w:val="single" w:color="auto" w:sz="4" w:space="0"/>
              <w:left w:val="single" w:color="auto" w:sz="4" w:space="0"/>
              <w:right w:val="single" w:color="auto" w:sz="4" w:space="0"/>
            </w:tcBorders>
            <w:vAlign w:val="center"/>
          </w:tcPr>
          <w:p w14:paraId="001C641B">
            <w:pPr>
              <w:widowControl/>
              <w:spacing w:line="500" w:lineRule="exact"/>
              <w:jc w:val="center"/>
              <w:rPr>
                <w:rFonts w:ascii="宋体" w:hAnsi="宋体" w:cs="宋体"/>
              </w:rPr>
            </w:pPr>
            <w:r>
              <w:rPr>
                <w:rFonts w:hint="eastAsia" w:ascii="宋体" w:hAnsi="宋体" w:cs="宋体"/>
              </w:rPr>
              <w:t>2.1.1</w:t>
            </w:r>
          </w:p>
        </w:tc>
        <w:tc>
          <w:tcPr>
            <w:tcW w:w="1625" w:type="dxa"/>
            <w:vMerge w:val="restart"/>
            <w:tcBorders>
              <w:top w:val="single" w:color="auto" w:sz="4" w:space="0"/>
              <w:left w:val="single" w:color="auto" w:sz="4" w:space="0"/>
              <w:right w:val="single" w:color="auto" w:sz="4" w:space="0"/>
            </w:tcBorders>
            <w:vAlign w:val="center"/>
          </w:tcPr>
          <w:p w14:paraId="36DC6D61">
            <w:pPr>
              <w:pStyle w:val="32"/>
              <w:snapToGrid w:val="0"/>
              <w:spacing w:line="500" w:lineRule="exact"/>
              <w:jc w:val="center"/>
              <w:rPr>
                <w:rFonts w:ascii="宋体" w:hAnsi="宋体"/>
                <w:spacing w:val="-6"/>
              </w:rPr>
            </w:pPr>
            <w:r>
              <w:rPr>
                <w:rFonts w:hint="eastAsia" w:ascii="宋体" w:hAnsi="宋体"/>
              </w:rPr>
              <w:t>资格评审</w:t>
            </w:r>
          </w:p>
          <w:p w14:paraId="2526F352">
            <w:pPr>
              <w:pStyle w:val="19"/>
              <w:snapToGrid w:val="0"/>
              <w:spacing w:line="500" w:lineRule="exact"/>
              <w:jc w:val="center"/>
              <w:rPr>
                <w:rFonts w:ascii="宋体" w:hAnsi="宋体" w:cs="宋体"/>
                <w:spacing w:val="-6"/>
              </w:rPr>
            </w:pPr>
          </w:p>
        </w:tc>
        <w:tc>
          <w:tcPr>
            <w:tcW w:w="2179" w:type="dxa"/>
            <w:tcBorders>
              <w:top w:val="single" w:color="auto" w:sz="4" w:space="0"/>
              <w:left w:val="single" w:color="auto" w:sz="4" w:space="0"/>
              <w:bottom w:val="single" w:color="auto" w:sz="4" w:space="0"/>
              <w:right w:val="single" w:color="auto" w:sz="4" w:space="0"/>
            </w:tcBorders>
            <w:vAlign w:val="center"/>
          </w:tcPr>
          <w:p w14:paraId="11A2E7A8">
            <w:pPr>
              <w:pStyle w:val="32"/>
              <w:snapToGrid w:val="0"/>
              <w:spacing w:line="500" w:lineRule="exact"/>
              <w:jc w:val="center"/>
              <w:rPr>
                <w:rFonts w:ascii="宋体" w:hAnsi="宋体"/>
                <w:b/>
                <w:color w:val="FF0000"/>
              </w:rPr>
            </w:pPr>
            <w:r>
              <w:rPr>
                <w:rFonts w:hint="eastAsia" w:ascii="宋体" w:hAnsi="宋体"/>
                <w:b/>
              </w:rPr>
              <w:t>评审因素</w:t>
            </w:r>
          </w:p>
        </w:tc>
        <w:tc>
          <w:tcPr>
            <w:tcW w:w="5200" w:type="dxa"/>
            <w:tcBorders>
              <w:top w:val="single" w:color="auto" w:sz="4" w:space="0"/>
              <w:left w:val="single" w:color="auto" w:sz="4" w:space="0"/>
              <w:bottom w:val="single" w:color="auto" w:sz="4" w:space="0"/>
              <w:right w:val="single" w:color="auto" w:sz="4" w:space="0"/>
            </w:tcBorders>
            <w:vAlign w:val="center"/>
          </w:tcPr>
          <w:p w14:paraId="140B1162">
            <w:pPr>
              <w:pStyle w:val="32"/>
              <w:snapToGrid w:val="0"/>
              <w:spacing w:line="500" w:lineRule="exact"/>
              <w:jc w:val="left"/>
              <w:rPr>
                <w:rFonts w:ascii="宋体" w:hAnsi="宋体"/>
                <w:b/>
                <w:color w:val="FF0000"/>
              </w:rPr>
            </w:pPr>
            <w:r>
              <w:rPr>
                <w:rFonts w:hint="eastAsia" w:ascii="宋体" w:hAnsi="宋体"/>
                <w:b/>
              </w:rPr>
              <w:t>评审标准</w:t>
            </w:r>
            <w:r>
              <w:rPr>
                <w:rFonts w:hint="eastAsia" w:ascii="宋体" w:hAnsi="宋体"/>
                <w:b/>
                <w:bCs/>
              </w:rPr>
              <w:t>（合格标准：缺少任何一项或有任何一项不合格者，其资格评审视为不合格）</w:t>
            </w:r>
          </w:p>
        </w:tc>
      </w:tr>
      <w:tr w14:paraId="672304C4">
        <w:tblPrEx>
          <w:tblCellMar>
            <w:top w:w="0" w:type="dxa"/>
            <w:left w:w="108" w:type="dxa"/>
            <w:bottom w:w="0" w:type="dxa"/>
            <w:right w:w="108" w:type="dxa"/>
          </w:tblCellMar>
        </w:tblPrEx>
        <w:trPr>
          <w:trHeight w:val="537" w:hRule="atLeast"/>
          <w:jc w:val="center"/>
        </w:trPr>
        <w:tc>
          <w:tcPr>
            <w:tcW w:w="944" w:type="dxa"/>
            <w:vMerge w:val="continue"/>
            <w:tcBorders>
              <w:left w:val="single" w:color="auto" w:sz="4" w:space="0"/>
              <w:right w:val="single" w:color="auto" w:sz="4" w:space="0"/>
            </w:tcBorders>
            <w:vAlign w:val="center"/>
          </w:tcPr>
          <w:p w14:paraId="7610E29E">
            <w:pPr>
              <w:widowControl/>
              <w:spacing w:line="500" w:lineRule="exact"/>
              <w:jc w:val="left"/>
              <w:rPr>
                <w:rFonts w:ascii="宋体" w:hAnsi="宋体" w:cs="宋体"/>
              </w:rPr>
            </w:pPr>
          </w:p>
        </w:tc>
        <w:tc>
          <w:tcPr>
            <w:tcW w:w="1625" w:type="dxa"/>
            <w:vMerge w:val="continue"/>
            <w:tcBorders>
              <w:left w:val="single" w:color="auto" w:sz="4" w:space="0"/>
              <w:right w:val="single" w:color="auto" w:sz="4" w:space="0"/>
            </w:tcBorders>
            <w:vAlign w:val="center"/>
          </w:tcPr>
          <w:p w14:paraId="1719C3DF">
            <w:pPr>
              <w:widowControl/>
              <w:spacing w:line="500" w:lineRule="exact"/>
              <w:jc w:val="left"/>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14:paraId="18282605">
            <w:pPr>
              <w:pStyle w:val="32"/>
              <w:snapToGrid w:val="0"/>
              <w:spacing w:line="500" w:lineRule="exact"/>
              <w:ind w:left="720" w:hanging="720"/>
              <w:jc w:val="left"/>
              <w:rPr>
                <w:rFonts w:ascii="宋体" w:hAnsi="宋体"/>
              </w:rPr>
            </w:pPr>
            <w:r>
              <w:rPr>
                <w:rFonts w:hint="eastAsia" w:ascii="宋体" w:hAnsi="宋体"/>
              </w:rPr>
              <w:t>法定代表人身份证明</w:t>
            </w:r>
          </w:p>
        </w:tc>
        <w:tc>
          <w:tcPr>
            <w:tcW w:w="5200" w:type="dxa"/>
            <w:tcBorders>
              <w:top w:val="single" w:color="auto" w:sz="4" w:space="0"/>
              <w:left w:val="single" w:color="auto" w:sz="4" w:space="0"/>
              <w:bottom w:val="single" w:color="auto" w:sz="4" w:space="0"/>
              <w:right w:val="single" w:color="auto" w:sz="4" w:space="0"/>
            </w:tcBorders>
            <w:vAlign w:val="center"/>
          </w:tcPr>
          <w:p w14:paraId="1A1F0988">
            <w:pPr>
              <w:pStyle w:val="32"/>
              <w:snapToGrid w:val="0"/>
              <w:spacing w:line="500" w:lineRule="exact"/>
              <w:rPr>
                <w:rFonts w:ascii="宋体" w:hAnsi="宋体"/>
              </w:rPr>
            </w:pPr>
            <w:r>
              <w:rPr>
                <w:rFonts w:hint="eastAsia" w:ascii="宋体" w:hAnsi="宋体"/>
                <w:color w:val="000000"/>
              </w:rPr>
              <w:t>有效的法定代表人身份证明（附身份证复印件）或法人授权委托书（附身份证复印件，社会保险交纳证明材料授权代理时提供）</w:t>
            </w:r>
          </w:p>
        </w:tc>
      </w:tr>
      <w:tr w14:paraId="091816C3">
        <w:tblPrEx>
          <w:tblCellMar>
            <w:top w:w="0" w:type="dxa"/>
            <w:left w:w="108" w:type="dxa"/>
            <w:bottom w:w="0" w:type="dxa"/>
            <w:right w:w="108" w:type="dxa"/>
          </w:tblCellMar>
        </w:tblPrEx>
        <w:trPr>
          <w:trHeight w:val="622" w:hRule="atLeast"/>
          <w:jc w:val="center"/>
        </w:trPr>
        <w:tc>
          <w:tcPr>
            <w:tcW w:w="944" w:type="dxa"/>
            <w:vMerge w:val="continue"/>
            <w:tcBorders>
              <w:left w:val="single" w:color="auto" w:sz="4" w:space="0"/>
              <w:right w:val="single" w:color="auto" w:sz="4" w:space="0"/>
            </w:tcBorders>
            <w:vAlign w:val="center"/>
          </w:tcPr>
          <w:p w14:paraId="505DC91A">
            <w:pPr>
              <w:widowControl/>
              <w:spacing w:line="500" w:lineRule="exact"/>
              <w:jc w:val="left"/>
              <w:rPr>
                <w:rFonts w:ascii="宋体" w:hAnsi="宋体" w:cs="宋体"/>
              </w:rPr>
            </w:pPr>
          </w:p>
        </w:tc>
        <w:tc>
          <w:tcPr>
            <w:tcW w:w="1625" w:type="dxa"/>
            <w:vMerge w:val="continue"/>
            <w:tcBorders>
              <w:left w:val="single" w:color="auto" w:sz="4" w:space="0"/>
              <w:right w:val="single" w:color="auto" w:sz="4" w:space="0"/>
            </w:tcBorders>
            <w:vAlign w:val="center"/>
          </w:tcPr>
          <w:p w14:paraId="04106E4F">
            <w:pPr>
              <w:widowControl/>
              <w:spacing w:line="500" w:lineRule="exact"/>
              <w:jc w:val="left"/>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14:paraId="12203E8D">
            <w:pPr>
              <w:pStyle w:val="32"/>
              <w:snapToGrid w:val="0"/>
              <w:spacing w:line="500" w:lineRule="exact"/>
              <w:jc w:val="left"/>
              <w:rPr>
                <w:rFonts w:ascii="宋体" w:hAnsi="宋体"/>
                <w:color w:val="FF0000"/>
              </w:rPr>
            </w:pPr>
            <w:r>
              <w:rPr>
                <w:rFonts w:hint="eastAsia" w:ascii="宋体" w:hAnsi="宋体"/>
                <w:color w:val="000000"/>
              </w:rPr>
              <w:t>营业执照</w:t>
            </w:r>
          </w:p>
        </w:tc>
        <w:tc>
          <w:tcPr>
            <w:tcW w:w="5200" w:type="dxa"/>
            <w:tcBorders>
              <w:top w:val="single" w:color="auto" w:sz="4" w:space="0"/>
              <w:left w:val="single" w:color="auto" w:sz="4" w:space="0"/>
              <w:bottom w:val="single" w:color="auto" w:sz="4" w:space="0"/>
              <w:right w:val="single" w:color="auto" w:sz="4" w:space="0"/>
            </w:tcBorders>
            <w:vAlign w:val="center"/>
          </w:tcPr>
          <w:p w14:paraId="51A007CA">
            <w:pPr>
              <w:pStyle w:val="32"/>
              <w:snapToGrid w:val="0"/>
              <w:spacing w:line="500" w:lineRule="exact"/>
              <w:rPr>
                <w:rFonts w:ascii="宋体" w:hAnsi="宋体"/>
                <w:bCs/>
                <w:color w:val="FF0000"/>
              </w:rPr>
            </w:pPr>
            <w:r>
              <w:rPr>
                <w:rFonts w:hint="eastAsia" w:ascii="宋体" w:hAnsi="宋体"/>
                <w:color w:val="000000"/>
              </w:rPr>
              <w:t>提供有效的营业执照复印件</w:t>
            </w:r>
          </w:p>
        </w:tc>
      </w:tr>
      <w:tr w14:paraId="465A9A51">
        <w:tblPrEx>
          <w:tblCellMar>
            <w:top w:w="0" w:type="dxa"/>
            <w:left w:w="108" w:type="dxa"/>
            <w:bottom w:w="0" w:type="dxa"/>
            <w:right w:w="108" w:type="dxa"/>
          </w:tblCellMar>
        </w:tblPrEx>
        <w:trPr>
          <w:trHeight w:val="497" w:hRule="atLeast"/>
          <w:jc w:val="center"/>
        </w:trPr>
        <w:tc>
          <w:tcPr>
            <w:tcW w:w="944" w:type="dxa"/>
            <w:vMerge w:val="continue"/>
            <w:tcBorders>
              <w:left w:val="single" w:color="auto" w:sz="4" w:space="0"/>
              <w:right w:val="single" w:color="auto" w:sz="4" w:space="0"/>
            </w:tcBorders>
            <w:vAlign w:val="center"/>
          </w:tcPr>
          <w:p w14:paraId="72E3FF4A">
            <w:pPr>
              <w:widowControl/>
              <w:spacing w:line="500" w:lineRule="exact"/>
              <w:jc w:val="left"/>
              <w:rPr>
                <w:rFonts w:ascii="宋体" w:hAnsi="宋体" w:cs="宋体"/>
              </w:rPr>
            </w:pPr>
          </w:p>
        </w:tc>
        <w:tc>
          <w:tcPr>
            <w:tcW w:w="1625" w:type="dxa"/>
            <w:vMerge w:val="continue"/>
            <w:tcBorders>
              <w:left w:val="single" w:color="auto" w:sz="4" w:space="0"/>
              <w:right w:val="single" w:color="auto" w:sz="4" w:space="0"/>
            </w:tcBorders>
            <w:vAlign w:val="center"/>
          </w:tcPr>
          <w:p w14:paraId="0463A969">
            <w:pPr>
              <w:widowControl/>
              <w:spacing w:line="500" w:lineRule="exact"/>
              <w:jc w:val="left"/>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14:paraId="701CDB7B">
            <w:pPr>
              <w:pStyle w:val="32"/>
              <w:snapToGrid w:val="0"/>
              <w:spacing w:line="500" w:lineRule="exact"/>
              <w:jc w:val="left"/>
              <w:rPr>
                <w:rFonts w:ascii="宋体" w:hAnsi="宋体"/>
                <w:color w:val="000000"/>
              </w:rPr>
            </w:pPr>
            <w:r>
              <w:rPr>
                <w:rFonts w:hint="eastAsia" w:ascii="宋体" w:hAnsi="宋体"/>
                <w:color w:val="000000"/>
              </w:rPr>
              <w:t>安全生产许可证</w:t>
            </w:r>
          </w:p>
        </w:tc>
        <w:tc>
          <w:tcPr>
            <w:tcW w:w="5200" w:type="dxa"/>
            <w:tcBorders>
              <w:top w:val="single" w:color="auto" w:sz="4" w:space="0"/>
              <w:left w:val="single" w:color="auto" w:sz="4" w:space="0"/>
              <w:bottom w:val="single" w:color="auto" w:sz="4" w:space="0"/>
              <w:right w:val="single" w:color="auto" w:sz="4" w:space="0"/>
            </w:tcBorders>
            <w:vAlign w:val="center"/>
          </w:tcPr>
          <w:p w14:paraId="18752225">
            <w:pPr>
              <w:pStyle w:val="32"/>
              <w:snapToGrid w:val="0"/>
              <w:spacing w:line="500" w:lineRule="exact"/>
              <w:rPr>
                <w:rFonts w:ascii="宋体" w:hAnsi="宋体"/>
                <w:color w:val="000000"/>
              </w:rPr>
            </w:pPr>
            <w:r>
              <w:rPr>
                <w:rFonts w:hint="eastAsia" w:ascii="宋体" w:hAnsi="宋体"/>
                <w:color w:val="000000"/>
              </w:rPr>
              <w:t>提供有效的安全生产许可证复印件取得“三证合一”的除外。</w:t>
            </w:r>
          </w:p>
        </w:tc>
      </w:tr>
      <w:tr w14:paraId="2782469C">
        <w:tblPrEx>
          <w:tblCellMar>
            <w:top w:w="0" w:type="dxa"/>
            <w:left w:w="108" w:type="dxa"/>
            <w:bottom w:w="0" w:type="dxa"/>
            <w:right w:w="108" w:type="dxa"/>
          </w:tblCellMar>
        </w:tblPrEx>
        <w:trPr>
          <w:trHeight w:val="560" w:hRule="atLeast"/>
          <w:jc w:val="center"/>
        </w:trPr>
        <w:tc>
          <w:tcPr>
            <w:tcW w:w="944" w:type="dxa"/>
            <w:vMerge w:val="continue"/>
            <w:tcBorders>
              <w:left w:val="single" w:color="auto" w:sz="4" w:space="0"/>
              <w:right w:val="single" w:color="auto" w:sz="4" w:space="0"/>
            </w:tcBorders>
            <w:vAlign w:val="center"/>
          </w:tcPr>
          <w:p w14:paraId="5265B6DA">
            <w:pPr>
              <w:widowControl/>
              <w:spacing w:line="500" w:lineRule="exact"/>
              <w:jc w:val="left"/>
              <w:rPr>
                <w:rFonts w:ascii="宋体" w:hAnsi="宋体" w:cs="宋体"/>
              </w:rPr>
            </w:pPr>
          </w:p>
        </w:tc>
        <w:tc>
          <w:tcPr>
            <w:tcW w:w="1625" w:type="dxa"/>
            <w:vMerge w:val="continue"/>
            <w:tcBorders>
              <w:left w:val="single" w:color="auto" w:sz="4" w:space="0"/>
              <w:right w:val="single" w:color="auto" w:sz="4" w:space="0"/>
            </w:tcBorders>
            <w:vAlign w:val="center"/>
          </w:tcPr>
          <w:p w14:paraId="521E7EE2">
            <w:pPr>
              <w:widowControl/>
              <w:spacing w:line="500" w:lineRule="exact"/>
              <w:jc w:val="left"/>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14:paraId="4F713284">
            <w:pPr>
              <w:pStyle w:val="32"/>
              <w:snapToGrid w:val="0"/>
              <w:spacing w:line="500" w:lineRule="exact"/>
              <w:jc w:val="left"/>
              <w:rPr>
                <w:rFonts w:ascii="宋体" w:hAnsi="宋体"/>
                <w:color w:val="000000"/>
              </w:rPr>
            </w:pPr>
            <w:r>
              <w:rPr>
                <w:rFonts w:hint="eastAsia" w:ascii="宋体" w:hAnsi="宋体"/>
              </w:rPr>
              <w:t>税务登记证</w:t>
            </w:r>
          </w:p>
        </w:tc>
        <w:tc>
          <w:tcPr>
            <w:tcW w:w="5200" w:type="dxa"/>
            <w:tcBorders>
              <w:top w:val="single" w:color="auto" w:sz="4" w:space="0"/>
              <w:left w:val="single" w:color="auto" w:sz="4" w:space="0"/>
              <w:bottom w:val="single" w:color="auto" w:sz="4" w:space="0"/>
              <w:right w:val="single" w:color="auto" w:sz="4" w:space="0"/>
            </w:tcBorders>
            <w:vAlign w:val="center"/>
          </w:tcPr>
          <w:p w14:paraId="5EE59C0C">
            <w:pPr>
              <w:pStyle w:val="32"/>
              <w:snapToGrid w:val="0"/>
              <w:spacing w:line="500" w:lineRule="exact"/>
              <w:rPr>
                <w:rFonts w:ascii="宋体" w:hAnsi="宋体"/>
                <w:color w:val="000000"/>
              </w:rPr>
            </w:pPr>
            <w:r>
              <w:rPr>
                <w:rFonts w:hint="eastAsia" w:ascii="宋体" w:hAnsi="宋体"/>
                <w:color w:val="000000"/>
              </w:rPr>
              <w:t>提供有效的税务登记证复印件取得“三证合一”的除外。</w:t>
            </w:r>
          </w:p>
        </w:tc>
      </w:tr>
      <w:tr w14:paraId="448EBE07">
        <w:tblPrEx>
          <w:tblCellMar>
            <w:top w:w="0" w:type="dxa"/>
            <w:left w:w="108" w:type="dxa"/>
            <w:bottom w:w="0" w:type="dxa"/>
            <w:right w:w="108" w:type="dxa"/>
          </w:tblCellMar>
        </w:tblPrEx>
        <w:trPr>
          <w:trHeight w:val="610" w:hRule="atLeast"/>
          <w:jc w:val="center"/>
        </w:trPr>
        <w:tc>
          <w:tcPr>
            <w:tcW w:w="944" w:type="dxa"/>
            <w:vMerge w:val="continue"/>
            <w:tcBorders>
              <w:left w:val="single" w:color="auto" w:sz="4" w:space="0"/>
              <w:right w:val="single" w:color="auto" w:sz="4" w:space="0"/>
            </w:tcBorders>
            <w:vAlign w:val="center"/>
          </w:tcPr>
          <w:p w14:paraId="29D5C49F">
            <w:pPr>
              <w:widowControl/>
              <w:spacing w:line="500" w:lineRule="exact"/>
              <w:jc w:val="left"/>
              <w:rPr>
                <w:rFonts w:ascii="宋体" w:hAnsi="宋体" w:cs="宋体"/>
              </w:rPr>
            </w:pPr>
          </w:p>
        </w:tc>
        <w:tc>
          <w:tcPr>
            <w:tcW w:w="1625" w:type="dxa"/>
            <w:vMerge w:val="continue"/>
            <w:tcBorders>
              <w:left w:val="single" w:color="auto" w:sz="4" w:space="0"/>
              <w:right w:val="single" w:color="auto" w:sz="4" w:space="0"/>
            </w:tcBorders>
            <w:vAlign w:val="center"/>
          </w:tcPr>
          <w:p w14:paraId="211E871D">
            <w:pPr>
              <w:widowControl/>
              <w:spacing w:line="500" w:lineRule="exact"/>
              <w:jc w:val="left"/>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14:paraId="258F58FA">
            <w:pPr>
              <w:pStyle w:val="32"/>
              <w:snapToGrid w:val="0"/>
              <w:spacing w:line="500" w:lineRule="exact"/>
              <w:jc w:val="left"/>
              <w:rPr>
                <w:rFonts w:ascii="宋体" w:hAnsi="宋体"/>
              </w:rPr>
            </w:pPr>
            <w:r>
              <w:rPr>
                <w:rFonts w:hint="eastAsia" w:ascii="宋体" w:hAnsi="宋体"/>
              </w:rPr>
              <w:t>资质证书</w:t>
            </w:r>
          </w:p>
        </w:tc>
        <w:tc>
          <w:tcPr>
            <w:tcW w:w="5200" w:type="dxa"/>
            <w:tcBorders>
              <w:top w:val="single" w:color="auto" w:sz="4" w:space="0"/>
              <w:left w:val="single" w:color="auto" w:sz="4" w:space="0"/>
              <w:bottom w:val="single" w:color="auto" w:sz="4" w:space="0"/>
              <w:right w:val="single" w:color="auto" w:sz="4" w:space="0"/>
            </w:tcBorders>
            <w:vAlign w:val="center"/>
          </w:tcPr>
          <w:p w14:paraId="44F5649D">
            <w:pPr>
              <w:pStyle w:val="32"/>
              <w:snapToGrid w:val="0"/>
              <w:spacing w:line="500" w:lineRule="exact"/>
              <w:rPr>
                <w:rFonts w:ascii="宋体" w:hAnsi="宋体"/>
              </w:rPr>
            </w:pPr>
            <w:r>
              <w:rPr>
                <w:rFonts w:hint="eastAsia" w:ascii="宋体" w:hAnsi="宋体"/>
                <w:color w:val="000000"/>
              </w:rPr>
              <w:t>符合第二章“投标人须知”第3项规定</w:t>
            </w:r>
          </w:p>
        </w:tc>
      </w:tr>
      <w:tr w14:paraId="69C2B615">
        <w:tblPrEx>
          <w:tblCellMar>
            <w:top w:w="0" w:type="dxa"/>
            <w:left w:w="108" w:type="dxa"/>
            <w:bottom w:w="0" w:type="dxa"/>
            <w:right w:w="108" w:type="dxa"/>
          </w:tblCellMar>
        </w:tblPrEx>
        <w:trPr>
          <w:trHeight w:val="885" w:hRule="atLeast"/>
          <w:jc w:val="center"/>
        </w:trPr>
        <w:tc>
          <w:tcPr>
            <w:tcW w:w="944" w:type="dxa"/>
            <w:vMerge w:val="continue"/>
            <w:tcBorders>
              <w:left w:val="single" w:color="auto" w:sz="4" w:space="0"/>
              <w:right w:val="single" w:color="auto" w:sz="4" w:space="0"/>
            </w:tcBorders>
            <w:vAlign w:val="center"/>
          </w:tcPr>
          <w:p w14:paraId="6C2DFFFB">
            <w:pPr>
              <w:widowControl/>
              <w:spacing w:line="500" w:lineRule="exact"/>
              <w:jc w:val="left"/>
              <w:rPr>
                <w:rFonts w:ascii="宋体" w:hAnsi="宋体" w:cs="宋体"/>
              </w:rPr>
            </w:pPr>
          </w:p>
        </w:tc>
        <w:tc>
          <w:tcPr>
            <w:tcW w:w="1625" w:type="dxa"/>
            <w:vMerge w:val="continue"/>
            <w:tcBorders>
              <w:left w:val="single" w:color="auto" w:sz="4" w:space="0"/>
              <w:right w:val="single" w:color="auto" w:sz="4" w:space="0"/>
            </w:tcBorders>
            <w:vAlign w:val="center"/>
          </w:tcPr>
          <w:p w14:paraId="1F78FA36">
            <w:pPr>
              <w:widowControl/>
              <w:spacing w:line="500" w:lineRule="exact"/>
              <w:jc w:val="left"/>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14:paraId="378AD900">
            <w:pPr>
              <w:pStyle w:val="32"/>
              <w:snapToGrid w:val="0"/>
              <w:spacing w:line="500" w:lineRule="exact"/>
              <w:jc w:val="left"/>
              <w:rPr>
                <w:rFonts w:ascii="宋体" w:hAnsi="宋体"/>
              </w:rPr>
            </w:pPr>
            <w:r>
              <w:rPr>
                <w:rFonts w:hint="eastAsia" w:ascii="宋体" w:hAnsi="宋体"/>
              </w:rPr>
              <w:t>项目经理</w:t>
            </w:r>
          </w:p>
        </w:tc>
        <w:tc>
          <w:tcPr>
            <w:tcW w:w="5200" w:type="dxa"/>
            <w:tcBorders>
              <w:top w:val="single" w:color="auto" w:sz="4" w:space="0"/>
              <w:left w:val="single" w:color="auto" w:sz="4" w:space="0"/>
              <w:bottom w:val="single" w:color="auto" w:sz="4" w:space="0"/>
              <w:right w:val="single" w:color="auto" w:sz="4" w:space="0"/>
            </w:tcBorders>
            <w:vAlign w:val="center"/>
          </w:tcPr>
          <w:p w14:paraId="25F73059">
            <w:pPr>
              <w:pStyle w:val="32"/>
              <w:snapToGrid w:val="0"/>
              <w:spacing w:line="500" w:lineRule="exact"/>
              <w:rPr>
                <w:rFonts w:ascii="宋体" w:hAnsi="宋体"/>
                <w:color w:val="000000"/>
              </w:rPr>
            </w:pPr>
            <w:r>
              <w:rPr>
                <w:rFonts w:hint="eastAsia" w:ascii="宋体" w:hAnsi="宋体"/>
                <w:color w:val="000000"/>
              </w:rPr>
              <w:t>符合第二章“投标人须知”第3项规定（附身份证、岗位证书复印件、社会保险交纳证明材料）</w:t>
            </w:r>
          </w:p>
        </w:tc>
      </w:tr>
      <w:tr w14:paraId="0A6EBAFD">
        <w:tblPrEx>
          <w:tblCellMar>
            <w:top w:w="0" w:type="dxa"/>
            <w:left w:w="108" w:type="dxa"/>
            <w:bottom w:w="0" w:type="dxa"/>
            <w:right w:w="108" w:type="dxa"/>
          </w:tblCellMar>
        </w:tblPrEx>
        <w:trPr>
          <w:trHeight w:val="525" w:hRule="atLeast"/>
          <w:jc w:val="center"/>
        </w:trPr>
        <w:tc>
          <w:tcPr>
            <w:tcW w:w="944" w:type="dxa"/>
            <w:vMerge w:val="continue"/>
            <w:tcBorders>
              <w:left w:val="single" w:color="auto" w:sz="4" w:space="0"/>
              <w:right w:val="single" w:color="auto" w:sz="4" w:space="0"/>
            </w:tcBorders>
            <w:vAlign w:val="center"/>
          </w:tcPr>
          <w:p w14:paraId="13583D0C">
            <w:pPr>
              <w:widowControl/>
              <w:spacing w:line="500" w:lineRule="exact"/>
              <w:jc w:val="left"/>
              <w:rPr>
                <w:rFonts w:ascii="宋体" w:hAnsi="宋体" w:cs="宋体"/>
              </w:rPr>
            </w:pPr>
          </w:p>
        </w:tc>
        <w:tc>
          <w:tcPr>
            <w:tcW w:w="1625" w:type="dxa"/>
            <w:vMerge w:val="continue"/>
            <w:tcBorders>
              <w:left w:val="single" w:color="auto" w:sz="4" w:space="0"/>
              <w:right w:val="single" w:color="auto" w:sz="4" w:space="0"/>
            </w:tcBorders>
            <w:vAlign w:val="center"/>
          </w:tcPr>
          <w:p w14:paraId="5E345145">
            <w:pPr>
              <w:widowControl/>
              <w:spacing w:line="500" w:lineRule="exact"/>
              <w:jc w:val="left"/>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14:paraId="5E7B8BC2">
            <w:pPr>
              <w:pStyle w:val="32"/>
              <w:snapToGrid w:val="0"/>
              <w:spacing w:line="500" w:lineRule="exact"/>
              <w:jc w:val="left"/>
              <w:rPr>
                <w:rFonts w:ascii="宋体" w:hAnsi="宋体"/>
              </w:rPr>
            </w:pPr>
            <w:r>
              <w:rPr>
                <w:rFonts w:hint="eastAsia" w:ascii="宋体" w:hAnsi="宋体"/>
                <w:color w:val="000000"/>
              </w:rPr>
              <w:t>项目管理机构情况</w:t>
            </w:r>
          </w:p>
        </w:tc>
        <w:tc>
          <w:tcPr>
            <w:tcW w:w="5200" w:type="dxa"/>
            <w:tcBorders>
              <w:top w:val="single" w:color="auto" w:sz="4" w:space="0"/>
              <w:left w:val="single" w:color="auto" w:sz="4" w:space="0"/>
              <w:bottom w:val="single" w:color="auto" w:sz="4" w:space="0"/>
              <w:right w:val="single" w:color="auto" w:sz="4" w:space="0"/>
            </w:tcBorders>
            <w:vAlign w:val="center"/>
          </w:tcPr>
          <w:p w14:paraId="37BE1543">
            <w:pPr>
              <w:pStyle w:val="32"/>
              <w:snapToGrid w:val="0"/>
              <w:spacing w:line="500" w:lineRule="exact"/>
              <w:rPr>
                <w:rFonts w:ascii="宋体" w:hAnsi="宋体"/>
              </w:rPr>
            </w:pPr>
            <w:r>
              <w:rPr>
                <w:rFonts w:hint="eastAsia" w:ascii="宋体" w:hAnsi="宋体"/>
                <w:bCs/>
                <w:color w:val="000000"/>
              </w:rPr>
              <w:t>符合市建规(2006)270号文现场人员规定最低要求</w:t>
            </w:r>
            <w:r>
              <w:rPr>
                <w:rFonts w:hint="eastAsia" w:ascii="宋体" w:hAnsi="宋体"/>
                <w:color w:val="000000"/>
              </w:rPr>
              <w:t>（附身份证、岗位证书复印件、社会保险交纳证明材料）</w:t>
            </w:r>
          </w:p>
        </w:tc>
      </w:tr>
      <w:tr w14:paraId="0CD397C7">
        <w:tblPrEx>
          <w:tblCellMar>
            <w:top w:w="0" w:type="dxa"/>
            <w:left w:w="108" w:type="dxa"/>
            <w:bottom w:w="0" w:type="dxa"/>
            <w:right w:w="108" w:type="dxa"/>
          </w:tblCellMar>
        </w:tblPrEx>
        <w:trPr>
          <w:trHeight w:val="525" w:hRule="atLeast"/>
          <w:jc w:val="center"/>
        </w:trPr>
        <w:tc>
          <w:tcPr>
            <w:tcW w:w="944" w:type="dxa"/>
            <w:vMerge w:val="continue"/>
            <w:tcBorders>
              <w:left w:val="single" w:color="auto" w:sz="4" w:space="0"/>
              <w:right w:val="single" w:color="auto" w:sz="4" w:space="0"/>
            </w:tcBorders>
            <w:vAlign w:val="center"/>
          </w:tcPr>
          <w:p w14:paraId="31BF55AD">
            <w:pPr>
              <w:widowControl/>
              <w:spacing w:line="500" w:lineRule="exact"/>
              <w:jc w:val="left"/>
              <w:rPr>
                <w:rFonts w:ascii="宋体" w:hAnsi="宋体" w:cs="宋体"/>
              </w:rPr>
            </w:pPr>
          </w:p>
        </w:tc>
        <w:tc>
          <w:tcPr>
            <w:tcW w:w="1625" w:type="dxa"/>
            <w:vMerge w:val="continue"/>
            <w:tcBorders>
              <w:left w:val="single" w:color="auto" w:sz="4" w:space="0"/>
              <w:right w:val="single" w:color="auto" w:sz="4" w:space="0"/>
            </w:tcBorders>
            <w:vAlign w:val="center"/>
          </w:tcPr>
          <w:p w14:paraId="52A31DBB">
            <w:pPr>
              <w:widowControl/>
              <w:spacing w:line="500" w:lineRule="exact"/>
              <w:jc w:val="left"/>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14:paraId="3A7F9024">
            <w:pPr>
              <w:pStyle w:val="32"/>
              <w:snapToGrid w:val="0"/>
              <w:spacing w:line="500" w:lineRule="exact"/>
              <w:jc w:val="left"/>
              <w:rPr>
                <w:rFonts w:ascii="宋体" w:hAnsi="宋体"/>
                <w:color w:val="000000"/>
              </w:rPr>
            </w:pPr>
            <w:r>
              <w:rPr>
                <w:rFonts w:hint="eastAsia" w:ascii="宋体" w:hAnsi="宋体"/>
              </w:rPr>
              <w:t>无重大违法记录的书面声明</w:t>
            </w:r>
          </w:p>
        </w:tc>
        <w:tc>
          <w:tcPr>
            <w:tcW w:w="5200" w:type="dxa"/>
            <w:tcBorders>
              <w:top w:val="single" w:color="auto" w:sz="4" w:space="0"/>
              <w:left w:val="single" w:color="auto" w:sz="4" w:space="0"/>
              <w:bottom w:val="single" w:color="auto" w:sz="4" w:space="0"/>
              <w:right w:val="single" w:color="auto" w:sz="4" w:space="0"/>
            </w:tcBorders>
            <w:vAlign w:val="center"/>
          </w:tcPr>
          <w:p w14:paraId="5EA74773">
            <w:pPr>
              <w:pStyle w:val="32"/>
              <w:snapToGrid w:val="0"/>
              <w:spacing w:line="500" w:lineRule="exact"/>
              <w:rPr>
                <w:rFonts w:ascii="宋体" w:hAnsi="宋体"/>
                <w:bCs/>
                <w:color w:val="000000"/>
              </w:rPr>
            </w:pPr>
            <w:r>
              <w:rPr>
                <w:rFonts w:hint="eastAsia" w:ascii="宋体" w:hAnsi="宋体"/>
              </w:rPr>
              <w:t>竞标人参加政府采购活动前3年内在经营活动中没有重大违法记录的书面声明</w:t>
            </w:r>
          </w:p>
        </w:tc>
      </w:tr>
      <w:tr w14:paraId="45AB6372">
        <w:tblPrEx>
          <w:tblCellMar>
            <w:top w:w="0" w:type="dxa"/>
            <w:left w:w="108" w:type="dxa"/>
            <w:bottom w:w="0" w:type="dxa"/>
            <w:right w:w="108" w:type="dxa"/>
          </w:tblCellMar>
        </w:tblPrEx>
        <w:trPr>
          <w:trHeight w:val="525" w:hRule="atLeast"/>
          <w:jc w:val="center"/>
        </w:trPr>
        <w:tc>
          <w:tcPr>
            <w:tcW w:w="944" w:type="dxa"/>
            <w:vMerge w:val="continue"/>
            <w:tcBorders>
              <w:left w:val="single" w:color="auto" w:sz="4" w:space="0"/>
              <w:right w:val="single" w:color="auto" w:sz="4" w:space="0"/>
            </w:tcBorders>
            <w:vAlign w:val="center"/>
          </w:tcPr>
          <w:p w14:paraId="14BA9488">
            <w:pPr>
              <w:widowControl/>
              <w:spacing w:line="500" w:lineRule="exact"/>
              <w:jc w:val="left"/>
              <w:rPr>
                <w:rFonts w:ascii="宋体" w:hAnsi="宋体" w:cs="宋体"/>
              </w:rPr>
            </w:pPr>
          </w:p>
        </w:tc>
        <w:tc>
          <w:tcPr>
            <w:tcW w:w="1625" w:type="dxa"/>
            <w:vMerge w:val="continue"/>
            <w:tcBorders>
              <w:left w:val="single" w:color="auto" w:sz="4" w:space="0"/>
              <w:right w:val="single" w:color="auto" w:sz="4" w:space="0"/>
            </w:tcBorders>
            <w:vAlign w:val="center"/>
          </w:tcPr>
          <w:p w14:paraId="3405D768">
            <w:pPr>
              <w:widowControl/>
              <w:spacing w:line="500" w:lineRule="exact"/>
              <w:jc w:val="left"/>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14:paraId="00A9A496">
            <w:pPr>
              <w:pStyle w:val="32"/>
              <w:snapToGrid w:val="0"/>
              <w:spacing w:line="500" w:lineRule="exact"/>
              <w:jc w:val="left"/>
              <w:rPr>
                <w:rFonts w:ascii="宋体" w:hAnsi="宋体"/>
              </w:rPr>
            </w:pPr>
            <w:r>
              <w:rPr>
                <w:rFonts w:hint="eastAsia" w:ascii="宋体" w:hAnsi="宋体"/>
              </w:rPr>
              <w:t>农民工工资保障</w:t>
            </w:r>
          </w:p>
        </w:tc>
        <w:tc>
          <w:tcPr>
            <w:tcW w:w="5200" w:type="dxa"/>
            <w:tcBorders>
              <w:top w:val="single" w:color="auto" w:sz="4" w:space="0"/>
              <w:left w:val="single" w:color="auto" w:sz="4" w:space="0"/>
              <w:bottom w:val="single" w:color="auto" w:sz="4" w:space="0"/>
              <w:right w:val="single" w:color="auto" w:sz="4" w:space="0"/>
            </w:tcBorders>
            <w:vAlign w:val="center"/>
          </w:tcPr>
          <w:p w14:paraId="6C29FF24">
            <w:pPr>
              <w:pStyle w:val="32"/>
              <w:snapToGrid w:val="0"/>
              <w:spacing w:line="500" w:lineRule="exact"/>
              <w:rPr>
                <w:rFonts w:ascii="宋体" w:hAnsi="宋体"/>
              </w:rPr>
            </w:pPr>
            <w:r>
              <w:rPr>
                <w:rFonts w:hint="eastAsia" w:ascii="宋体" w:hAnsi="宋体"/>
                <w:bCs/>
              </w:rPr>
              <w:t>农民工工资保障金交纳与使用承诺书</w:t>
            </w:r>
          </w:p>
        </w:tc>
      </w:tr>
      <w:tr w14:paraId="278AFF05">
        <w:tblPrEx>
          <w:tblCellMar>
            <w:top w:w="0" w:type="dxa"/>
            <w:left w:w="108" w:type="dxa"/>
            <w:bottom w:w="0" w:type="dxa"/>
            <w:right w:w="108" w:type="dxa"/>
          </w:tblCellMar>
        </w:tblPrEx>
        <w:trPr>
          <w:trHeight w:val="487" w:hRule="atLeast"/>
          <w:jc w:val="center"/>
        </w:trPr>
        <w:tc>
          <w:tcPr>
            <w:tcW w:w="944" w:type="dxa"/>
            <w:vMerge w:val="restart"/>
            <w:tcBorders>
              <w:top w:val="single" w:color="auto" w:sz="4" w:space="0"/>
              <w:left w:val="single" w:color="000000" w:sz="4" w:space="0"/>
              <w:bottom w:val="single" w:color="auto" w:sz="4" w:space="0"/>
              <w:right w:val="single" w:color="000000" w:sz="4" w:space="0"/>
            </w:tcBorders>
            <w:vAlign w:val="center"/>
          </w:tcPr>
          <w:p w14:paraId="6C9AB925">
            <w:pPr>
              <w:spacing w:line="500" w:lineRule="exact"/>
              <w:jc w:val="center"/>
              <w:rPr>
                <w:rFonts w:ascii="宋体" w:hAnsi="宋体" w:cs="宋体"/>
                <w:b/>
              </w:rPr>
            </w:pPr>
            <w:r>
              <w:rPr>
                <w:rFonts w:hint="eastAsia" w:ascii="宋体" w:hAnsi="宋体" w:cs="宋体"/>
                <w:bCs/>
              </w:rPr>
              <w:t>2.1.2</w:t>
            </w:r>
          </w:p>
        </w:tc>
        <w:tc>
          <w:tcPr>
            <w:tcW w:w="1625" w:type="dxa"/>
            <w:vMerge w:val="restart"/>
            <w:tcBorders>
              <w:top w:val="single" w:color="auto" w:sz="4" w:space="0"/>
              <w:left w:val="single" w:color="000000" w:sz="4" w:space="0"/>
              <w:bottom w:val="single" w:color="auto" w:sz="4" w:space="0"/>
              <w:right w:val="single" w:color="000000" w:sz="4" w:space="0"/>
            </w:tcBorders>
            <w:vAlign w:val="center"/>
          </w:tcPr>
          <w:p w14:paraId="096DA95A">
            <w:pPr>
              <w:spacing w:line="500" w:lineRule="exact"/>
              <w:jc w:val="center"/>
              <w:rPr>
                <w:rFonts w:ascii="宋体" w:hAnsi="宋体" w:cs="宋体"/>
              </w:rPr>
            </w:pPr>
            <w:r>
              <w:rPr>
                <w:rFonts w:hint="eastAsia" w:ascii="宋体" w:hAnsi="宋体" w:cs="宋体"/>
              </w:rPr>
              <w:t>符合性评审</w:t>
            </w:r>
          </w:p>
        </w:tc>
        <w:tc>
          <w:tcPr>
            <w:tcW w:w="2179" w:type="dxa"/>
            <w:tcBorders>
              <w:top w:val="single" w:color="auto" w:sz="4" w:space="0"/>
              <w:left w:val="single" w:color="000000" w:sz="4" w:space="0"/>
              <w:bottom w:val="single" w:color="000000" w:sz="4" w:space="0"/>
              <w:right w:val="single" w:color="000000" w:sz="4" w:space="0"/>
            </w:tcBorders>
            <w:vAlign w:val="center"/>
          </w:tcPr>
          <w:p w14:paraId="11F2395C">
            <w:pPr>
              <w:spacing w:line="500" w:lineRule="exact"/>
              <w:rPr>
                <w:rFonts w:ascii="宋体" w:hAnsi="宋体" w:cs="宋体"/>
                <w:b/>
                <w:bCs/>
              </w:rPr>
            </w:pPr>
            <w:r>
              <w:rPr>
                <w:rFonts w:hint="eastAsia" w:ascii="宋体" w:hAnsi="宋体" w:cs="宋体"/>
                <w:b/>
                <w:bCs/>
              </w:rPr>
              <w:t>评审因素</w:t>
            </w:r>
          </w:p>
        </w:tc>
        <w:tc>
          <w:tcPr>
            <w:tcW w:w="5200" w:type="dxa"/>
            <w:tcBorders>
              <w:top w:val="single" w:color="auto" w:sz="4" w:space="0"/>
              <w:left w:val="single" w:color="000000" w:sz="4" w:space="0"/>
              <w:bottom w:val="single" w:color="000000" w:sz="4" w:space="0"/>
              <w:right w:val="single" w:color="000000" w:sz="4" w:space="0"/>
            </w:tcBorders>
            <w:vAlign w:val="center"/>
          </w:tcPr>
          <w:p w14:paraId="44FFECA2">
            <w:pPr>
              <w:spacing w:line="500" w:lineRule="exact"/>
              <w:rPr>
                <w:rFonts w:ascii="宋体" w:hAnsi="宋体" w:cs="宋体"/>
                <w:b/>
                <w:bCs/>
              </w:rPr>
            </w:pPr>
            <w:r>
              <w:rPr>
                <w:rFonts w:hint="eastAsia" w:ascii="宋体" w:hAnsi="宋体" w:cs="宋体"/>
                <w:b/>
                <w:bCs/>
              </w:rPr>
              <w:t>评审标准（合格标准：缺少任何一项或有任何一项不合格者，其符合性评审视为不合格）</w:t>
            </w:r>
          </w:p>
        </w:tc>
      </w:tr>
      <w:tr w14:paraId="3E0F7BF5">
        <w:tblPrEx>
          <w:tblCellMar>
            <w:top w:w="0" w:type="dxa"/>
            <w:left w:w="108" w:type="dxa"/>
            <w:bottom w:w="0" w:type="dxa"/>
            <w:right w:w="108" w:type="dxa"/>
          </w:tblCellMar>
        </w:tblPrEx>
        <w:trPr>
          <w:trHeight w:val="538" w:hRule="atLeast"/>
          <w:jc w:val="center"/>
        </w:trPr>
        <w:tc>
          <w:tcPr>
            <w:tcW w:w="944" w:type="dxa"/>
            <w:vMerge w:val="continue"/>
            <w:tcBorders>
              <w:top w:val="single" w:color="auto" w:sz="4" w:space="0"/>
              <w:left w:val="single" w:color="000000" w:sz="4" w:space="0"/>
              <w:bottom w:val="single" w:color="auto" w:sz="4" w:space="0"/>
              <w:right w:val="single" w:color="000000" w:sz="4" w:space="0"/>
            </w:tcBorders>
            <w:vAlign w:val="center"/>
          </w:tcPr>
          <w:p w14:paraId="7248B16D">
            <w:pPr>
              <w:spacing w:line="500" w:lineRule="exact"/>
              <w:rPr>
                <w:rFonts w:ascii="宋体" w:hAnsi="宋体" w:cs="宋体"/>
              </w:rPr>
            </w:pPr>
          </w:p>
        </w:tc>
        <w:tc>
          <w:tcPr>
            <w:tcW w:w="1625" w:type="dxa"/>
            <w:vMerge w:val="continue"/>
            <w:tcBorders>
              <w:top w:val="single" w:color="auto" w:sz="4" w:space="0"/>
              <w:left w:val="single" w:color="000000" w:sz="4" w:space="0"/>
              <w:bottom w:val="single" w:color="auto" w:sz="4" w:space="0"/>
              <w:right w:val="single" w:color="000000" w:sz="4" w:space="0"/>
            </w:tcBorders>
            <w:vAlign w:val="center"/>
          </w:tcPr>
          <w:p w14:paraId="2478405D">
            <w:pPr>
              <w:spacing w:line="500" w:lineRule="exact"/>
              <w:rPr>
                <w:rFonts w:ascii="宋体" w:hAnsi="宋体" w:cs="宋体"/>
              </w:rPr>
            </w:pPr>
          </w:p>
        </w:tc>
        <w:tc>
          <w:tcPr>
            <w:tcW w:w="2179" w:type="dxa"/>
            <w:tcBorders>
              <w:top w:val="single" w:color="000000" w:sz="4" w:space="0"/>
              <w:left w:val="single" w:color="000000" w:sz="4" w:space="0"/>
              <w:bottom w:val="single" w:color="000000" w:sz="4" w:space="0"/>
              <w:right w:val="single" w:color="000000" w:sz="4" w:space="0"/>
            </w:tcBorders>
            <w:vAlign w:val="center"/>
          </w:tcPr>
          <w:p w14:paraId="3DACE784">
            <w:pPr>
              <w:spacing w:line="500" w:lineRule="exact"/>
              <w:rPr>
                <w:rFonts w:ascii="宋体" w:hAnsi="宋体" w:cs="宋体"/>
              </w:rPr>
            </w:pPr>
            <w:r>
              <w:rPr>
                <w:rFonts w:hint="eastAsia" w:ascii="宋体" w:hAnsi="宋体" w:cs="宋体"/>
                <w:kern w:val="0"/>
              </w:rPr>
              <w:t>竞标人名称</w:t>
            </w:r>
          </w:p>
        </w:tc>
        <w:tc>
          <w:tcPr>
            <w:tcW w:w="5200" w:type="dxa"/>
            <w:tcBorders>
              <w:top w:val="single" w:color="000000" w:sz="4" w:space="0"/>
              <w:left w:val="single" w:color="000000" w:sz="4" w:space="0"/>
              <w:bottom w:val="single" w:color="000000" w:sz="4" w:space="0"/>
              <w:right w:val="single" w:color="000000" w:sz="4" w:space="0"/>
            </w:tcBorders>
            <w:vAlign w:val="center"/>
          </w:tcPr>
          <w:p w14:paraId="2B066A55">
            <w:pPr>
              <w:spacing w:line="500" w:lineRule="exact"/>
              <w:rPr>
                <w:rFonts w:ascii="宋体" w:hAnsi="宋体" w:cs="宋体"/>
              </w:rPr>
            </w:pPr>
            <w:r>
              <w:rPr>
                <w:rFonts w:hint="eastAsia" w:ascii="宋体" w:hAnsi="宋体" w:cs="宋体"/>
                <w:kern w:val="0"/>
              </w:rPr>
              <w:t>与营业执照、资质证书、安全生产许可证一致</w:t>
            </w:r>
          </w:p>
        </w:tc>
      </w:tr>
      <w:tr w14:paraId="057BBFA7">
        <w:tblPrEx>
          <w:tblCellMar>
            <w:top w:w="0" w:type="dxa"/>
            <w:left w:w="108" w:type="dxa"/>
            <w:bottom w:w="0" w:type="dxa"/>
            <w:right w:w="108" w:type="dxa"/>
          </w:tblCellMar>
        </w:tblPrEx>
        <w:trPr>
          <w:trHeight w:val="90" w:hRule="atLeast"/>
          <w:jc w:val="center"/>
        </w:trPr>
        <w:tc>
          <w:tcPr>
            <w:tcW w:w="944" w:type="dxa"/>
            <w:vMerge w:val="continue"/>
            <w:tcBorders>
              <w:top w:val="single" w:color="auto" w:sz="4" w:space="0"/>
              <w:left w:val="single" w:color="000000" w:sz="4" w:space="0"/>
              <w:bottom w:val="single" w:color="auto" w:sz="4" w:space="0"/>
              <w:right w:val="single" w:color="000000" w:sz="4" w:space="0"/>
            </w:tcBorders>
            <w:vAlign w:val="center"/>
          </w:tcPr>
          <w:p w14:paraId="08FE31F0">
            <w:pPr>
              <w:widowControl/>
              <w:spacing w:line="500" w:lineRule="exact"/>
              <w:jc w:val="left"/>
              <w:rPr>
                <w:rFonts w:ascii="宋体" w:hAnsi="宋体" w:cs="宋体"/>
              </w:rPr>
            </w:pPr>
          </w:p>
        </w:tc>
        <w:tc>
          <w:tcPr>
            <w:tcW w:w="1625" w:type="dxa"/>
            <w:vMerge w:val="continue"/>
            <w:tcBorders>
              <w:top w:val="single" w:color="auto" w:sz="4" w:space="0"/>
              <w:left w:val="single" w:color="000000" w:sz="4" w:space="0"/>
              <w:bottom w:val="single" w:color="auto" w:sz="4" w:space="0"/>
              <w:right w:val="single" w:color="000000" w:sz="4" w:space="0"/>
            </w:tcBorders>
            <w:vAlign w:val="center"/>
          </w:tcPr>
          <w:p w14:paraId="6163B69B">
            <w:pPr>
              <w:widowControl/>
              <w:spacing w:line="500" w:lineRule="exact"/>
              <w:jc w:val="left"/>
              <w:rPr>
                <w:rFonts w:ascii="宋体" w:hAnsi="宋体" w:cs="宋体"/>
              </w:rPr>
            </w:pPr>
          </w:p>
        </w:tc>
        <w:tc>
          <w:tcPr>
            <w:tcW w:w="2179" w:type="dxa"/>
            <w:tcBorders>
              <w:top w:val="single" w:color="000000" w:sz="4" w:space="0"/>
              <w:left w:val="single" w:color="000000" w:sz="4" w:space="0"/>
              <w:bottom w:val="single" w:color="000000" w:sz="4" w:space="0"/>
              <w:right w:val="single" w:color="000000" w:sz="4" w:space="0"/>
            </w:tcBorders>
            <w:vAlign w:val="center"/>
          </w:tcPr>
          <w:p w14:paraId="03C6D3A3">
            <w:pPr>
              <w:spacing w:line="500" w:lineRule="exact"/>
              <w:rPr>
                <w:rFonts w:ascii="宋体" w:hAnsi="宋体" w:cs="宋体"/>
              </w:rPr>
            </w:pPr>
            <w:r>
              <w:rPr>
                <w:rFonts w:hint="eastAsia" w:ascii="宋体" w:hAnsi="宋体" w:cs="宋体"/>
                <w:kern w:val="0"/>
              </w:rPr>
              <w:t>投标函签字盖章</w:t>
            </w:r>
          </w:p>
        </w:tc>
        <w:tc>
          <w:tcPr>
            <w:tcW w:w="5200" w:type="dxa"/>
            <w:tcBorders>
              <w:top w:val="single" w:color="000000" w:sz="4" w:space="0"/>
              <w:left w:val="single" w:color="000000" w:sz="4" w:space="0"/>
              <w:bottom w:val="single" w:color="000000" w:sz="4" w:space="0"/>
              <w:right w:val="single" w:color="000000" w:sz="4" w:space="0"/>
            </w:tcBorders>
            <w:vAlign w:val="center"/>
          </w:tcPr>
          <w:p w14:paraId="7DB28EB5">
            <w:pPr>
              <w:spacing w:line="500" w:lineRule="exact"/>
              <w:rPr>
                <w:rFonts w:ascii="宋体" w:hAnsi="宋体" w:cs="宋体"/>
              </w:rPr>
            </w:pPr>
            <w:r>
              <w:rPr>
                <w:rFonts w:hint="eastAsia" w:ascii="宋体" w:hAnsi="宋体" w:cs="宋体"/>
                <w:kern w:val="0"/>
              </w:rPr>
              <w:t>有法定代表人或其委托代理人签字并加盖单位法人公章</w:t>
            </w:r>
          </w:p>
        </w:tc>
      </w:tr>
      <w:tr w14:paraId="2FBD1DF0">
        <w:tblPrEx>
          <w:tblCellMar>
            <w:top w:w="0" w:type="dxa"/>
            <w:left w:w="108" w:type="dxa"/>
            <w:bottom w:w="0" w:type="dxa"/>
            <w:right w:w="108" w:type="dxa"/>
          </w:tblCellMar>
        </w:tblPrEx>
        <w:trPr>
          <w:trHeight w:val="525" w:hRule="atLeast"/>
          <w:jc w:val="center"/>
        </w:trPr>
        <w:tc>
          <w:tcPr>
            <w:tcW w:w="944" w:type="dxa"/>
            <w:vMerge w:val="continue"/>
            <w:tcBorders>
              <w:top w:val="single" w:color="auto" w:sz="4" w:space="0"/>
              <w:left w:val="single" w:color="000000" w:sz="4" w:space="0"/>
              <w:bottom w:val="single" w:color="auto" w:sz="4" w:space="0"/>
              <w:right w:val="single" w:color="000000" w:sz="4" w:space="0"/>
            </w:tcBorders>
            <w:vAlign w:val="center"/>
          </w:tcPr>
          <w:p w14:paraId="7DDFDF60">
            <w:pPr>
              <w:widowControl/>
              <w:spacing w:line="500" w:lineRule="exact"/>
              <w:jc w:val="left"/>
              <w:rPr>
                <w:rFonts w:ascii="宋体" w:hAnsi="宋体" w:cs="宋体"/>
              </w:rPr>
            </w:pPr>
          </w:p>
        </w:tc>
        <w:tc>
          <w:tcPr>
            <w:tcW w:w="1625" w:type="dxa"/>
            <w:vMerge w:val="continue"/>
            <w:tcBorders>
              <w:top w:val="single" w:color="auto" w:sz="4" w:space="0"/>
              <w:left w:val="single" w:color="000000" w:sz="4" w:space="0"/>
              <w:bottom w:val="single" w:color="auto" w:sz="4" w:space="0"/>
              <w:right w:val="single" w:color="000000" w:sz="4" w:space="0"/>
            </w:tcBorders>
            <w:vAlign w:val="center"/>
          </w:tcPr>
          <w:p w14:paraId="27D3D9D2">
            <w:pPr>
              <w:widowControl/>
              <w:spacing w:line="500" w:lineRule="exact"/>
              <w:jc w:val="left"/>
              <w:rPr>
                <w:rFonts w:ascii="宋体" w:hAnsi="宋体" w:cs="宋体"/>
              </w:rPr>
            </w:pPr>
          </w:p>
        </w:tc>
        <w:tc>
          <w:tcPr>
            <w:tcW w:w="2179" w:type="dxa"/>
            <w:tcBorders>
              <w:top w:val="single" w:color="000000" w:sz="4" w:space="0"/>
              <w:left w:val="single" w:color="000000" w:sz="4" w:space="0"/>
              <w:bottom w:val="single" w:color="auto" w:sz="4" w:space="0"/>
              <w:right w:val="single" w:color="000000" w:sz="4" w:space="0"/>
            </w:tcBorders>
            <w:vAlign w:val="center"/>
          </w:tcPr>
          <w:p w14:paraId="5767A2C1">
            <w:pPr>
              <w:spacing w:line="500" w:lineRule="exact"/>
              <w:rPr>
                <w:rFonts w:ascii="宋体" w:hAnsi="宋体" w:cs="宋体"/>
              </w:rPr>
            </w:pPr>
            <w:r>
              <w:rPr>
                <w:rFonts w:hint="eastAsia" w:ascii="宋体" w:hAnsi="宋体" w:cs="宋体"/>
                <w:kern w:val="0"/>
              </w:rPr>
              <w:t>投标文件格式</w:t>
            </w:r>
          </w:p>
        </w:tc>
        <w:tc>
          <w:tcPr>
            <w:tcW w:w="5200" w:type="dxa"/>
            <w:tcBorders>
              <w:top w:val="single" w:color="000000" w:sz="4" w:space="0"/>
              <w:left w:val="single" w:color="000000" w:sz="4" w:space="0"/>
              <w:bottom w:val="single" w:color="000000" w:sz="4" w:space="0"/>
              <w:right w:val="single" w:color="000000" w:sz="4" w:space="0"/>
            </w:tcBorders>
            <w:vAlign w:val="center"/>
          </w:tcPr>
          <w:p w14:paraId="1717BF01">
            <w:pPr>
              <w:spacing w:line="500" w:lineRule="exact"/>
              <w:rPr>
                <w:rFonts w:ascii="宋体" w:hAnsi="宋体" w:cs="宋体"/>
              </w:rPr>
            </w:pPr>
            <w:r>
              <w:rPr>
                <w:rFonts w:hint="eastAsia" w:ascii="宋体" w:hAnsi="宋体" w:cs="宋体"/>
                <w:kern w:val="0"/>
              </w:rPr>
              <w:t>符合第八章“响应文件格式”的要求</w:t>
            </w:r>
          </w:p>
        </w:tc>
      </w:tr>
      <w:tr w14:paraId="63CF42A2">
        <w:tblPrEx>
          <w:tblCellMar>
            <w:top w:w="0" w:type="dxa"/>
            <w:left w:w="108" w:type="dxa"/>
            <w:bottom w:w="0" w:type="dxa"/>
            <w:right w:w="108" w:type="dxa"/>
          </w:tblCellMar>
        </w:tblPrEx>
        <w:trPr>
          <w:trHeight w:val="491" w:hRule="atLeast"/>
          <w:jc w:val="center"/>
        </w:trPr>
        <w:tc>
          <w:tcPr>
            <w:tcW w:w="944" w:type="dxa"/>
            <w:vMerge w:val="continue"/>
            <w:tcBorders>
              <w:top w:val="single" w:color="auto" w:sz="4" w:space="0"/>
              <w:left w:val="single" w:color="000000" w:sz="4" w:space="0"/>
              <w:bottom w:val="single" w:color="auto" w:sz="4" w:space="0"/>
              <w:right w:val="single" w:color="000000" w:sz="4" w:space="0"/>
            </w:tcBorders>
            <w:vAlign w:val="center"/>
          </w:tcPr>
          <w:p w14:paraId="66A1B30A">
            <w:pPr>
              <w:widowControl/>
              <w:spacing w:line="500" w:lineRule="exact"/>
              <w:jc w:val="left"/>
              <w:rPr>
                <w:rFonts w:ascii="宋体" w:hAnsi="宋体" w:cs="宋体"/>
              </w:rPr>
            </w:pPr>
          </w:p>
        </w:tc>
        <w:tc>
          <w:tcPr>
            <w:tcW w:w="1625" w:type="dxa"/>
            <w:vMerge w:val="continue"/>
            <w:tcBorders>
              <w:top w:val="single" w:color="auto" w:sz="4" w:space="0"/>
              <w:left w:val="single" w:color="000000" w:sz="4" w:space="0"/>
              <w:bottom w:val="single" w:color="auto" w:sz="4" w:space="0"/>
              <w:right w:val="single" w:color="000000" w:sz="4" w:space="0"/>
            </w:tcBorders>
            <w:vAlign w:val="center"/>
          </w:tcPr>
          <w:p w14:paraId="03C1134F">
            <w:pPr>
              <w:widowControl/>
              <w:spacing w:line="500" w:lineRule="exact"/>
              <w:jc w:val="left"/>
              <w:rPr>
                <w:rFonts w:ascii="宋体" w:hAnsi="宋体" w:cs="宋体"/>
              </w:rPr>
            </w:pPr>
          </w:p>
        </w:tc>
        <w:tc>
          <w:tcPr>
            <w:tcW w:w="2179" w:type="dxa"/>
            <w:tcBorders>
              <w:top w:val="single" w:color="auto" w:sz="4" w:space="0"/>
              <w:left w:val="single" w:color="000000" w:sz="4" w:space="0"/>
              <w:bottom w:val="single" w:color="auto" w:sz="4" w:space="0"/>
              <w:right w:val="single" w:color="000000" w:sz="4" w:space="0"/>
            </w:tcBorders>
            <w:vAlign w:val="center"/>
          </w:tcPr>
          <w:p w14:paraId="3A255A3C">
            <w:pPr>
              <w:spacing w:line="500" w:lineRule="exact"/>
              <w:rPr>
                <w:rFonts w:ascii="宋体" w:hAnsi="宋体" w:cs="宋体"/>
              </w:rPr>
            </w:pPr>
            <w:r>
              <w:rPr>
                <w:rFonts w:hint="eastAsia" w:ascii="宋体" w:hAnsi="宋体" w:cs="宋体"/>
                <w:kern w:val="0"/>
              </w:rPr>
              <w:t>报价</w:t>
            </w:r>
          </w:p>
        </w:tc>
        <w:tc>
          <w:tcPr>
            <w:tcW w:w="5200" w:type="dxa"/>
            <w:tcBorders>
              <w:top w:val="single" w:color="000000" w:sz="4" w:space="0"/>
              <w:left w:val="single" w:color="000000" w:sz="4" w:space="0"/>
              <w:bottom w:val="single" w:color="auto" w:sz="4" w:space="0"/>
              <w:right w:val="single" w:color="000000" w:sz="4" w:space="0"/>
            </w:tcBorders>
            <w:vAlign w:val="center"/>
          </w:tcPr>
          <w:p w14:paraId="5C40036A">
            <w:pPr>
              <w:spacing w:line="500" w:lineRule="exact"/>
              <w:rPr>
                <w:rFonts w:ascii="宋体" w:hAnsi="宋体" w:cs="宋体"/>
              </w:rPr>
            </w:pPr>
            <w:r>
              <w:rPr>
                <w:rFonts w:hint="eastAsia" w:ascii="宋体" w:hAnsi="宋体" w:cs="宋体"/>
                <w:kern w:val="0"/>
              </w:rPr>
              <w:t>只能有一个有效报价，且</w:t>
            </w:r>
            <w:r>
              <w:rPr>
                <w:rFonts w:hint="eastAsia" w:ascii="宋体" w:hAnsi="宋体" w:cs="宋体"/>
              </w:rPr>
              <w:t>磋商报价低于或等于采购人预算价</w:t>
            </w:r>
          </w:p>
        </w:tc>
      </w:tr>
      <w:tr w14:paraId="2EA5A623">
        <w:tblPrEx>
          <w:tblCellMar>
            <w:top w:w="0" w:type="dxa"/>
            <w:left w:w="108" w:type="dxa"/>
            <w:bottom w:w="0" w:type="dxa"/>
            <w:right w:w="108" w:type="dxa"/>
          </w:tblCellMar>
        </w:tblPrEx>
        <w:trPr>
          <w:trHeight w:val="429" w:hRule="atLeast"/>
          <w:jc w:val="center"/>
        </w:trPr>
        <w:tc>
          <w:tcPr>
            <w:tcW w:w="944" w:type="dxa"/>
            <w:vMerge w:val="continue"/>
            <w:tcBorders>
              <w:top w:val="single" w:color="auto" w:sz="4" w:space="0"/>
              <w:left w:val="single" w:color="000000" w:sz="4" w:space="0"/>
              <w:bottom w:val="single" w:color="auto" w:sz="4" w:space="0"/>
              <w:right w:val="single" w:color="000000" w:sz="4" w:space="0"/>
            </w:tcBorders>
            <w:vAlign w:val="center"/>
          </w:tcPr>
          <w:p w14:paraId="36561B91">
            <w:pPr>
              <w:widowControl/>
              <w:spacing w:line="500" w:lineRule="exact"/>
              <w:jc w:val="left"/>
              <w:rPr>
                <w:rFonts w:ascii="宋体" w:hAnsi="宋体" w:cs="宋体"/>
              </w:rPr>
            </w:pPr>
          </w:p>
        </w:tc>
        <w:tc>
          <w:tcPr>
            <w:tcW w:w="1625" w:type="dxa"/>
            <w:vMerge w:val="continue"/>
            <w:tcBorders>
              <w:top w:val="single" w:color="auto" w:sz="4" w:space="0"/>
              <w:left w:val="single" w:color="000000" w:sz="4" w:space="0"/>
              <w:bottom w:val="single" w:color="auto" w:sz="4" w:space="0"/>
              <w:right w:val="single" w:color="000000" w:sz="4" w:space="0"/>
            </w:tcBorders>
            <w:vAlign w:val="center"/>
          </w:tcPr>
          <w:p w14:paraId="4BE17509">
            <w:pPr>
              <w:widowControl/>
              <w:spacing w:line="500" w:lineRule="exact"/>
              <w:jc w:val="left"/>
              <w:rPr>
                <w:rFonts w:ascii="宋体" w:hAnsi="宋体" w:cs="宋体"/>
              </w:rPr>
            </w:pPr>
          </w:p>
        </w:tc>
        <w:tc>
          <w:tcPr>
            <w:tcW w:w="2179" w:type="dxa"/>
            <w:tcBorders>
              <w:top w:val="single" w:color="000000" w:sz="4" w:space="0"/>
              <w:left w:val="single" w:color="000000" w:sz="4" w:space="0"/>
              <w:bottom w:val="single" w:color="000000" w:sz="4" w:space="0"/>
              <w:right w:val="single" w:color="000000" w:sz="4" w:space="0"/>
            </w:tcBorders>
            <w:vAlign w:val="center"/>
          </w:tcPr>
          <w:p w14:paraId="5412D8CE">
            <w:pPr>
              <w:spacing w:line="500" w:lineRule="exact"/>
              <w:rPr>
                <w:rFonts w:ascii="宋体" w:hAnsi="宋体" w:cs="宋体"/>
              </w:rPr>
            </w:pPr>
            <w:r>
              <w:rPr>
                <w:rFonts w:hint="eastAsia" w:ascii="宋体" w:hAnsi="宋体" w:cs="宋体"/>
                <w:kern w:val="0"/>
              </w:rPr>
              <w:t>工期</w:t>
            </w:r>
          </w:p>
        </w:tc>
        <w:tc>
          <w:tcPr>
            <w:tcW w:w="5200" w:type="dxa"/>
            <w:tcBorders>
              <w:top w:val="single" w:color="000000" w:sz="4" w:space="0"/>
              <w:left w:val="single" w:color="000000" w:sz="4" w:space="0"/>
              <w:bottom w:val="single" w:color="000000" w:sz="4" w:space="0"/>
              <w:right w:val="single" w:color="auto" w:sz="4" w:space="0"/>
            </w:tcBorders>
            <w:vAlign w:val="center"/>
          </w:tcPr>
          <w:p w14:paraId="2579D707">
            <w:pPr>
              <w:spacing w:line="500" w:lineRule="exact"/>
              <w:rPr>
                <w:rFonts w:ascii="宋体" w:hAnsi="宋体" w:cs="宋体"/>
              </w:rPr>
            </w:pPr>
            <w:r>
              <w:rPr>
                <w:rFonts w:hint="eastAsia" w:ascii="宋体" w:hAnsi="宋体" w:cs="宋体"/>
                <w:kern w:val="0"/>
              </w:rPr>
              <w:t>符合第二章“投标人须知”第</w:t>
            </w:r>
            <w:r>
              <w:rPr>
                <w:rFonts w:ascii="宋体" w:hAnsi="宋体" w:cs="宋体"/>
                <w:kern w:val="0"/>
              </w:rPr>
              <w:t>3.4</w:t>
            </w:r>
            <w:r>
              <w:rPr>
                <w:rFonts w:hint="eastAsia" w:ascii="宋体" w:hAnsi="宋体" w:cs="宋体"/>
                <w:kern w:val="0"/>
              </w:rPr>
              <w:t>条款号</w:t>
            </w:r>
            <w:r>
              <w:rPr>
                <w:rFonts w:hint="eastAsia" w:ascii="宋体" w:hAnsi="宋体" w:cs="宋体"/>
                <w:spacing w:val="-1"/>
                <w:kern w:val="0"/>
              </w:rPr>
              <w:t>规</w:t>
            </w:r>
            <w:r>
              <w:rPr>
                <w:rFonts w:hint="eastAsia" w:ascii="宋体" w:hAnsi="宋体" w:cs="宋体"/>
                <w:kern w:val="0"/>
              </w:rPr>
              <w:t>定</w:t>
            </w:r>
          </w:p>
        </w:tc>
      </w:tr>
      <w:tr w14:paraId="377DB61C">
        <w:tblPrEx>
          <w:tblCellMar>
            <w:top w:w="0" w:type="dxa"/>
            <w:left w:w="108" w:type="dxa"/>
            <w:bottom w:w="0" w:type="dxa"/>
            <w:right w:w="108" w:type="dxa"/>
          </w:tblCellMar>
        </w:tblPrEx>
        <w:trPr>
          <w:trHeight w:val="470" w:hRule="atLeast"/>
          <w:jc w:val="center"/>
        </w:trPr>
        <w:tc>
          <w:tcPr>
            <w:tcW w:w="944" w:type="dxa"/>
            <w:vMerge w:val="continue"/>
            <w:tcBorders>
              <w:top w:val="single" w:color="auto" w:sz="4" w:space="0"/>
              <w:left w:val="single" w:color="000000" w:sz="4" w:space="0"/>
              <w:bottom w:val="single" w:color="auto" w:sz="4" w:space="0"/>
              <w:right w:val="single" w:color="000000" w:sz="4" w:space="0"/>
            </w:tcBorders>
            <w:vAlign w:val="center"/>
          </w:tcPr>
          <w:p w14:paraId="67744F34">
            <w:pPr>
              <w:widowControl/>
              <w:spacing w:line="500" w:lineRule="exact"/>
              <w:jc w:val="left"/>
              <w:rPr>
                <w:rFonts w:ascii="宋体" w:hAnsi="宋体" w:cs="宋体"/>
              </w:rPr>
            </w:pPr>
          </w:p>
        </w:tc>
        <w:tc>
          <w:tcPr>
            <w:tcW w:w="1625" w:type="dxa"/>
            <w:vMerge w:val="continue"/>
            <w:tcBorders>
              <w:top w:val="single" w:color="auto" w:sz="4" w:space="0"/>
              <w:left w:val="single" w:color="000000" w:sz="4" w:space="0"/>
              <w:bottom w:val="single" w:color="auto" w:sz="4" w:space="0"/>
              <w:right w:val="single" w:color="000000" w:sz="4" w:space="0"/>
            </w:tcBorders>
            <w:vAlign w:val="center"/>
          </w:tcPr>
          <w:p w14:paraId="2239EDEA">
            <w:pPr>
              <w:widowControl/>
              <w:spacing w:line="500" w:lineRule="exact"/>
              <w:jc w:val="left"/>
              <w:rPr>
                <w:rFonts w:ascii="宋体" w:hAnsi="宋体" w:cs="宋体"/>
              </w:rPr>
            </w:pPr>
          </w:p>
        </w:tc>
        <w:tc>
          <w:tcPr>
            <w:tcW w:w="2179" w:type="dxa"/>
            <w:tcBorders>
              <w:top w:val="single" w:color="000000" w:sz="4" w:space="0"/>
              <w:left w:val="single" w:color="000000" w:sz="4" w:space="0"/>
              <w:bottom w:val="single" w:color="000000" w:sz="4" w:space="0"/>
              <w:right w:val="single" w:color="000000" w:sz="4" w:space="0"/>
            </w:tcBorders>
            <w:vAlign w:val="center"/>
          </w:tcPr>
          <w:p w14:paraId="7876D21E">
            <w:pPr>
              <w:spacing w:line="500" w:lineRule="exact"/>
              <w:rPr>
                <w:rFonts w:ascii="宋体" w:hAnsi="宋体" w:cs="宋体"/>
              </w:rPr>
            </w:pPr>
            <w:r>
              <w:rPr>
                <w:rFonts w:hint="eastAsia" w:ascii="宋体" w:hAnsi="宋体" w:cs="宋体"/>
                <w:kern w:val="0"/>
              </w:rPr>
              <w:t>工程质量</w:t>
            </w:r>
          </w:p>
        </w:tc>
        <w:tc>
          <w:tcPr>
            <w:tcW w:w="5200" w:type="dxa"/>
            <w:tcBorders>
              <w:top w:val="single" w:color="000000" w:sz="4" w:space="0"/>
              <w:left w:val="single" w:color="000000" w:sz="4" w:space="0"/>
              <w:bottom w:val="single" w:color="000000" w:sz="4" w:space="0"/>
              <w:right w:val="single" w:color="auto" w:sz="4" w:space="0"/>
            </w:tcBorders>
            <w:vAlign w:val="center"/>
          </w:tcPr>
          <w:p w14:paraId="7B929708">
            <w:pPr>
              <w:spacing w:line="500" w:lineRule="exact"/>
              <w:rPr>
                <w:rFonts w:ascii="宋体" w:hAnsi="宋体" w:cs="宋体"/>
              </w:rPr>
            </w:pPr>
            <w:r>
              <w:rPr>
                <w:rFonts w:hint="eastAsia" w:ascii="宋体" w:hAnsi="宋体" w:cs="宋体"/>
                <w:kern w:val="0"/>
              </w:rPr>
              <w:t>符合第二章“投标人须知”第</w:t>
            </w:r>
            <w:r>
              <w:rPr>
                <w:rFonts w:ascii="宋体" w:hAnsi="宋体" w:cs="宋体"/>
                <w:spacing w:val="1"/>
                <w:kern w:val="0"/>
              </w:rPr>
              <w:t>3.5</w:t>
            </w:r>
            <w:r>
              <w:rPr>
                <w:rFonts w:hint="eastAsia" w:ascii="宋体" w:hAnsi="宋体" w:cs="宋体"/>
                <w:kern w:val="0"/>
              </w:rPr>
              <w:t>条款号</w:t>
            </w:r>
            <w:r>
              <w:rPr>
                <w:rFonts w:hint="eastAsia" w:ascii="宋体" w:hAnsi="宋体" w:cs="宋体"/>
                <w:spacing w:val="-1"/>
                <w:kern w:val="0"/>
              </w:rPr>
              <w:t>规</w:t>
            </w:r>
            <w:r>
              <w:rPr>
                <w:rFonts w:hint="eastAsia" w:ascii="宋体" w:hAnsi="宋体" w:cs="宋体"/>
                <w:kern w:val="0"/>
              </w:rPr>
              <w:t>定</w:t>
            </w:r>
          </w:p>
        </w:tc>
      </w:tr>
      <w:tr w14:paraId="6E6DC4FF">
        <w:tblPrEx>
          <w:tblCellMar>
            <w:top w:w="0" w:type="dxa"/>
            <w:left w:w="108" w:type="dxa"/>
            <w:bottom w:w="0" w:type="dxa"/>
            <w:right w:w="108" w:type="dxa"/>
          </w:tblCellMar>
        </w:tblPrEx>
        <w:trPr>
          <w:trHeight w:val="523" w:hRule="atLeast"/>
          <w:jc w:val="center"/>
        </w:trPr>
        <w:tc>
          <w:tcPr>
            <w:tcW w:w="944" w:type="dxa"/>
            <w:vMerge w:val="continue"/>
            <w:tcBorders>
              <w:top w:val="single" w:color="auto" w:sz="4" w:space="0"/>
              <w:left w:val="single" w:color="000000" w:sz="4" w:space="0"/>
              <w:bottom w:val="single" w:color="auto" w:sz="4" w:space="0"/>
              <w:right w:val="single" w:color="000000" w:sz="4" w:space="0"/>
            </w:tcBorders>
            <w:vAlign w:val="center"/>
          </w:tcPr>
          <w:p w14:paraId="13428FEE">
            <w:pPr>
              <w:widowControl/>
              <w:spacing w:line="500" w:lineRule="exact"/>
              <w:jc w:val="left"/>
              <w:rPr>
                <w:rFonts w:ascii="宋体" w:hAnsi="宋体" w:cs="宋体"/>
              </w:rPr>
            </w:pPr>
          </w:p>
        </w:tc>
        <w:tc>
          <w:tcPr>
            <w:tcW w:w="1625" w:type="dxa"/>
            <w:vMerge w:val="continue"/>
            <w:tcBorders>
              <w:top w:val="single" w:color="auto" w:sz="4" w:space="0"/>
              <w:left w:val="single" w:color="000000" w:sz="4" w:space="0"/>
              <w:bottom w:val="single" w:color="auto" w:sz="4" w:space="0"/>
              <w:right w:val="single" w:color="000000" w:sz="4" w:space="0"/>
            </w:tcBorders>
            <w:vAlign w:val="center"/>
          </w:tcPr>
          <w:p w14:paraId="3A2EDACC">
            <w:pPr>
              <w:widowControl/>
              <w:spacing w:line="500" w:lineRule="exact"/>
              <w:jc w:val="left"/>
              <w:rPr>
                <w:rFonts w:ascii="宋体" w:hAnsi="宋体" w:cs="宋体"/>
              </w:rPr>
            </w:pPr>
          </w:p>
        </w:tc>
        <w:tc>
          <w:tcPr>
            <w:tcW w:w="2179" w:type="dxa"/>
            <w:tcBorders>
              <w:top w:val="single" w:color="000000" w:sz="4" w:space="0"/>
              <w:left w:val="single" w:color="000000" w:sz="4" w:space="0"/>
              <w:bottom w:val="single" w:color="000000" w:sz="4" w:space="0"/>
              <w:right w:val="single" w:color="000000" w:sz="4" w:space="0"/>
            </w:tcBorders>
            <w:vAlign w:val="center"/>
          </w:tcPr>
          <w:p w14:paraId="1A4F35B0">
            <w:pPr>
              <w:spacing w:line="500" w:lineRule="exact"/>
              <w:rPr>
                <w:rFonts w:ascii="宋体" w:hAnsi="宋体" w:cs="宋体"/>
              </w:rPr>
            </w:pPr>
            <w:r>
              <w:rPr>
                <w:rFonts w:hint="eastAsia" w:ascii="宋体" w:hAnsi="宋体" w:cs="宋体"/>
                <w:kern w:val="0"/>
              </w:rPr>
              <w:t>投标有效期</w:t>
            </w:r>
          </w:p>
        </w:tc>
        <w:tc>
          <w:tcPr>
            <w:tcW w:w="5200" w:type="dxa"/>
            <w:tcBorders>
              <w:top w:val="single" w:color="000000" w:sz="4" w:space="0"/>
              <w:left w:val="single" w:color="000000" w:sz="4" w:space="0"/>
              <w:bottom w:val="single" w:color="000000" w:sz="4" w:space="0"/>
              <w:right w:val="single" w:color="auto" w:sz="4" w:space="0"/>
            </w:tcBorders>
            <w:vAlign w:val="center"/>
          </w:tcPr>
          <w:p w14:paraId="60D3DFA0">
            <w:pPr>
              <w:spacing w:line="500" w:lineRule="exact"/>
              <w:rPr>
                <w:rFonts w:ascii="宋体" w:hAnsi="宋体" w:cs="宋体"/>
              </w:rPr>
            </w:pPr>
            <w:r>
              <w:rPr>
                <w:rFonts w:hint="eastAsia" w:ascii="宋体" w:hAnsi="宋体" w:cs="宋体"/>
                <w:kern w:val="0"/>
              </w:rPr>
              <w:t>符合第二章“投标人须知”第</w:t>
            </w:r>
            <w:r>
              <w:rPr>
                <w:rFonts w:hint="eastAsia" w:ascii="宋体" w:hAnsi="宋体" w:cs="宋体"/>
                <w:spacing w:val="1"/>
                <w:kern w:val="0"/>
              </w:rPr>
              <w:t>1</w:t>
            </w:r>
            <w:r>
              <w:rPr>
                <w:rFonts w:ascii="宋体" w:hAnsi="宋体" w:cs="宋体"/>
                <w:spacing w:val="1"/>
                <w:kern w:val="0"/>
              </w:rPr>
              <w:t>4.1</w:t>
            </w:r>
            <w:r>
              <w:rPr>
                <w:rFonts w:hint="eastAsia" w:ascii="宋体" w:hAnsi="宋体" w:cs="宋体"/>
                <w:kern w:val="0"/>
              </w:rPr>
              <w:t>条款号</w:t>
            </w:r>
            <w:r>
              <w:rPr>
                <w:rFonts w:hint="eastAsia" w:ascii="宋体" w:hAnsi="宋体" w:cs="宋体"/>
                <w:spacing w:val="-1"/>
                <w:kern w:val="0"/>
              </w:rPr>
              <w:t>规</w:t>
            </w:r>
            <w:r>
              <w:rPr>
                <w:rFonts w:hint="eastAsia" w:ascii="宋体" w:hAnsi="宋体" w:cs="宋体"/>
                <w:kern w:val="0"/>
              </w:rPr>
              <w:t>定</w:t>
            </w:r>
          </w:p>
        </w:tc>
      </w:tr>
      <w:tr w14:paraId="29015E9D">
        <w:tblPrEx>
          <w:tblCellMar>
            <w:top w:w="0" w:type="dxa"/>
            <w:left w:w="108" w:type="dxa"/>
            <w:bottom w:w="0" w:type="dxa"/>
            <w:right w:w="108" w:type="dxa"/>
          </w:tblCellMar>
        </w:tblPrEx>
        <w:trPr>
          <w:trHeight w:val="577" w:hRule="atLeast"/>
          <w:jc w:val="center"/>
        </w:trPr>
        <w:tc>
          <w:tcPr>
            <w:tcW w:w="944" w:type="dxa"/>
            <w:vMerge w:val="continue"/>
            <w:tcBorders>
              <w:top w:val="single" w:color="auto" w:sz="4" w:space="0"/>
              <w:left w:val="single" w:color="000000" w:sz="4" w:space="0"/>
              <w:bottom w:val="single" w:color="auto" w:sz="4" w:space="0"/>
              <w:right w:val="single" w:color="000000" w:sz="4" w:space="0"/>
            </w:tcBorders>
            <w:vAlign w:val="center"/>
          </w:tcPr>
          <w:p w14:paraId="6E0DC9BE">
            <w:pPr>
              <w:widowControl/>
              <w:spacing w:line="500" w:lineRule="exact"/>
              <w:jc w:val="left"/>
              <w:rPr>
                <w:rFonts w:ascii="宋体" w:hAnsi="宋体" w:cs="宋体"/>
              </w:rPr>
            </w:pPr>
          </w:p>
        </w:tc>
        <w:tc>
          <w:tcPr>
            <w:tcW w:w="1625" w:type="dxa"/>
            <w:vMerge w:val="continue"/>
            <w:tcBorders>
              <w:top w:val="single" w:color="auto" w:sz="4" w:space="0"/>
              <w:left w:val="single" w:color="000000" w:sz="4" w:space="0"/>
              <w:bottom w:val="single" w:color="auto" w:sz="4" w:space="0"/>
              <w:right w:val="single" w:color="000000" w:sz="4" w:space="0"/>
            </w:tcBorders>
            <w:vAlign w:val="center"/>
          </w:tcPr>
          <w:p w14:paraId="55879BF1">
            <w:pPr>
              <w:widowControl/>
              <w:spacing w:line="500" w:lineRule="exact"/>
              <w:jc w:val="left"/>
              <w:rPr>
                <w:rFonts w:ascii="宋体" w:hAnsi="宋体" w:cs="宋体"/>
              </w:rPr>
            </w:pPr>
          </w:p>
        </w:tc>
        <w:tc>
          <w:tcPr>
            <w:tcW w:w="2179" w:type="dxa"/>
            <w:tcBorders>
              <w:top w:val="single" w:color="000000" w:sz="4" w:space="0"/>
              <w:left w:val="single" w:color="000000" w:sz="4" w:space="0"/>
              <w:bottom w:val="single" w:color="000000" w:sz="4" w:space="0"/>
              <w:right w:val="single" w:color="000000" w:sz="4" w:space="0"/>
            </w:tcBorders>
            <w:vAlign w:val="center"/>
          </w:tcPr>
          <w:p w14:paraId="2629AF44">
            <w:pPr>
              <w:spacing w:line="500" w:lineRule="exact"/>
              <w:rPr>
                <w:rFonts w:ascii="宋体" w:hAnsi="宋体" w:cs="宋体"/>
                <w:bCs/>
              </w:rPr>
            </w:pPr>
            <w:r>
              <w:rPr>
                <w:rFonts w:hint="eastAsia" w:ascii="宋体" w:hAnsi="宋体" w:cs="宋体"/>
                <w:kern w:val="0"/>
              </w:rPr>
              <w:t>权利义务</w:t>
            </w:r>
          </w:p>
        </w:tc>
        <w:tc>
          <w:tcPr>
            <w:tcW w:w="5200" w:type="dxa"/>
            <w:tcBorders>
              <w:top w:val="single" w:color="000000" w:sz="4" w:space="0"/>
              <w:left w:val="single" w:color="000000" w:sz="4" w:space="0"/>
              <w:bottom w:val="single" w:color="000000" w:sz="4" w:space="0"/>
              <w:right w:val="single" w:color="auto" w:sz="4" w:space="0"/>
            </w:tcBorders>
            <w:vAlign w:val="center"/>
          </w:tcPr>
          <w:p w14:paraId="2F02193F">
            <w:pPr>
              <w:spacing w:line="500" w:lineRule="exact"/>
              <w:rPr>
                <w:rFonts w:ascii="宋体" w:hAnsi="宋体" w:cs="宋体"/>
                <w:bCs/>
              </w:rPr>
            </w:pPr>
            <w:r>
              <w:rPr>
                <w:rFonts w:hint="eastAsia" w:ascii="宋体" w:hAnsi="宋体" w:cs="宋体"/>
                <w:kern w:val="0"/>
              </w:rPr>
              <w:t>符合第四章“合同条款及格式”规定</w:t>
            </w:r>
          </w:p>
        </w:tc>
      </w:tr>
      <w:tr w14:paraId="0C90B14A">
        <w:tblPrEx>
          <w:tblCellMar>
            <w:top w:w="0" w:type="dxa"/>
            <w:left w:w="108" w:type="dxa"/>
            <w:bottom w:w="0" w:type="dxa"/>
            <w:right w:w="108" w:type="dxa"/>
          </w:tblCellMar>
        </w:tblPrEx>
        <w:trPr>
          <w:trHeight w:val="566" w:hRule="exact"/>
          <w:jc w:val="center"/>
        </w:trPr>
        <w:tc>
          <w:tcPr>
            <w:tcW w:w="944" w:type="dxa"/>
            <w:vMerge w:val="continue"/>
            <w:tcBorders>
              <w:top w:val="single" w:color="auto" w:sz="4" w:space="0"/>
              <w:left w:val="single" w:color="000000" w:sz="4" w:space="0"/>
              <w:bottom w:val="single" w:color="auto" w:sz="4" w:space="0"/>
              <w:right w:val="single" w:color="000000" w:sz="4" w:space="0"/>
            </w:tcBorders>
            <w:vAlign w:val="center"/>
          </w:tcPr>
          <w:p w14:paraId="5B5F2C53">
            <w:pPr>
              <w:widowControl/>
              <w:spacing w:line="500" w:lineRule="exact"/>
              <w:jc w:val="left"/>
              <w:rPr>
                <w:rFonts w:ascii="宋体" w:hAnsi="宋体" w:cs="宋体"/>
              </w:rPr>
            </w:pPr>
          </w:p>
        </w:tc>
        <w:tc>
          <w:tcPr>
            <w:tcW w:w="1625" w:type="dxa"/>
            <w:vMerge w:val="continue"/>
            <w:tcBorders>
              <w:top w:val="single" w:color="auto" w:sz="4" w:space="0"/>
              <w:left w:val="single" w:color="000000" w:sz="4" w:space="0"/>
              <w:bottom w:val="single" w:color="auto" w:sz="4" w:space="0"/>
              <w:right w:val="single" w:color="000000" w:sz="4" w:space="0"/>
            </w:tcBorders>
            <w:vAlign w:val="center"/>
          </w:tcPr>
          <w:p w14:paraId="56A3D2C1">
            <w:pPr>
              <w:widowControl/>
              <w:spacing w:line="500" w:lineRule="exact"/>
              <w:jc w:val="left"/>
              <w:rPr>
                <w:rFonts w:ascii="宋体" w:hAnsi="宋体" w:cs="宋体"/>
              </w:rPr>
            </w:pPr>
          </w:p>
        </w:tc>
        <w:tc>
          <w:tcPr>
            <w:tcW w:w="2179" w:type="dxa"/>
            <w:tcBorders>
              <w:top w:val="single" w:color="000000" w:sz="4" w:space="0"/>
              <w:left w:val="single" w:color="000000" w:sz="4" w:space="0"/>
              <w:bottom w:val="single" w:color="auto" w:sz="4" w:space="0"/>
              <w:right w:val="single" w:color="000000" w:sz="4" w:space="0"/>
            </w:tcBorders>
            <w:vAlign w:val="center"/>
          </w:tcPr>
          <w:p w14:paraId="601DE438">
            <w:pPr>
              <w:spacing w:line="500" w:lineRule="exact"/>
              <w:rPr>
                <w:rFonts w:ascii="宋体" w:hAnsi="宋体" w:cs="宋体"/>
                <w:kern w:val="0"/>
              </w:rPr>
            </w:pPr>
            <w:r>
              <w:rPr>
                <w:rFonts w:hint="eastAsia" w:ascii="宋体" w:hAnsi="宋体" w:cs="宋体"/>
                <w:kern w:val="0"/>
              </w:rPr>
              <w:t>技术标准和要求</w:t>
            </w:r>
          </w:p>
        </w:tc>
        <w:tc>
          <w:tcPr>
            <w:tcW w:w="5200" w:type="dxa"/>
            <w:tcBorders>
              <w:top w:val="single" w:color="000000" w:sz="4" w:space="0"/>
              <w:left w:val="single" w:color="000000" w:sz="4" w:space="0"/>
              <w:bottom w:val="single" w:color="auto" w:sz="4" w:space="0"/>
              <w:right w:val="single" w:color="auto" w:sz="4" w:space="0"/>
            </w:tcBorders>
            <w:vAlign w:val="center"/>
          </w:tcPr>
          <w:p w14:paraId="6571116D">
            <w:pPr>
              <w:snapToGrid w:val="0"/>
              <w:spacing w:line="500" w:lineRule="exact"/>
              <w:rPr>
                <w:rFonts w:ascii="宋体" w:hAnsi="宋体" w:cs="宋体"/>
                <w:kern w:val="0"/>
              </w:rPr>
            </w:pPr>
            <w:r>
              <w:rPr>
                <w:rFonts w:hint="eastAsia" w:ascii="宋体" w:hAnsi="宋体" w:cs="宋体"/>
                <w:kern w:val="0"/>
              </w:rPr>
              <w:t>符合第七章“技术标准和要求”规定</w:t>
            </w:r>
          </w:p>
        </w:tc>
      </w:tr>
      <w:tr w14:paraId="1AEAFA1F">
        <w:tblPrEx>
          <w:tblCellMar>
            <w:top w:w="0" w:type="dxa"/>
            <w:left w:w="108" w:type="dxa"/>
            <w:bottom w:w="0" w:type="dxa"/>
            <w:right w:w="108" w:type="dxa"/>
          </w:tblCellMar>
        </w:tblPrEx>
        <w:trPr>
          <w:trHeight w:val="974" w:hRule="exact"/>
          <w:jc w:val="center"/>
        </w:trPr>
        <w:tc>
          <w:tcPr>
            <w:tcW w:w="944" w:type="dxa"/>
            <w:vMerge w:val="continue"/>
            <w:tcBorders>
              <w:top w:val="single" w:color="auto" w:sz="4" w:space="0"/>
              <w:left w:val="single" w:color="000000" w:sz="4" w:space="0"/>
              <w:bottom w:val="single" w:color="auto" w:sz="4" w:space="0"/>
              <w:right w:val="single" w:color="000000" w:sz="4" w:space="0"/>
            </w:tcBorders>
            <w:vAlign w:val="center"/>
          </w:tcPr>
          <w:p w14:paraId="762BCB93">
            <w:pPr>
              <w:widowControl/>
              <w:spacing w:line="500" w:lineRule="exact"/>
              <w:jc w:val="left"/>
              <w:rPr>
                <w:rFonts w:ascii="宋体" w:hAnsi="宋体" w:cs="宋体"/>
              </w:rPr>
            </w:pPr>
          </w:p>
        </w:tc>
        <w:tc>
          <w:tcPr>
            <w:tcW w:w="1625" w:type="dxa"/>
            <w:vMerge w:val="continue"/>
            <w:tcBorders>
              <w:top w:val="single" w:color="auto" w:sz="4" w:space="0"/>
              <w:left w:val="single" w:color="000000" w:sz="4" w:space="0"/>
              <w:bottom w:val="single" w:color="auto" w:sz="4" w:space="0"/>
              <w:right w:val="single" w:color="000000" w:sz="4" w:space="0"/>
            </w:tcBorders>
            <w:vAlign w:val="center"/>
          </w:tcPr>
          <w:p w14:paraId="371D117C">
            <w:pPr>
              <w:widowControl/>
              <w:spacing w:line="500" w:lineRule="exact"/>
              <w:jc w:val="left"/>
              <w:rPr>
                <w:rFonts w:ascii="宋体" w:hAnsi="宋体" w:cs="宋体"/>
              </w:rPr>
            </w:pPr>
          </w:p>
        </w:tc>
        <w:tc>
          <w:tcPr>
            <w:tcW w:w="2179" w:type="dxa"/>
            <w:tcBorders>
              <w:top w:val="single" w:color="auto" w:sz="4" w:space="0"/>
              <w:left w:val="single" w:color="000000" w:sz="4" w:space="0"/>
              <w:bottom w:val="single" w:color="000000" w:sz="4" w:space="0"/>
              <w:right w:val="single" w:color="000000" w:sz="4" w:space="0"/>
            </w:tcBorders>
            <w:vAlign w:val="center"/>
          </w:tcPr>
          <w:p w14:paraId="22A0747A">
            <w:pPr>
              <w:spacing w:line="500" w:lineRule="exact"/>
              <w:rPr>
                <w:rFonts w:ascii="宋体" w:hAnsi="宋体" w:cs="宋体"/>
                <w:bCs/>
              </w:rPr>
            </w:pPr>
            <w:r>
              <w:rPr>
                <w:rFonts w:hint="eastAsia" w:ascii="宋体" w:hAnsi="宋体" w:cs="宋体"/>
                <w:kern w:val="0"/>
              </w:rPr>
              <w:t>已标价工程量清单</w:t>
            </w:r>
          </w:p>
        </w:tc>
        <w:tc>
          <w:tcPr>
            <w:tcW w:w="5200" w:type="dxa"/>
            <w:tcBorders>
              <w:top w:val="single" w:color="auto" w:sz="4" w:space="0"/>
              <w:left w:val="single" w:color="000000" w:sz="4" w:space="0"/>
              <w:bottom w:val="single" w:color="000000" w:sz="4" w:space="0"/>
              <w:right w:val="single" w:color="000000" w:sz="4" w:space="0"/>
            </w:tcBorders>
            <w:vAlign w:val="center"/>
          </w:tcPr>
          <w:p w14:paraId="0CBE797D">
            <w:pPr>
              <w:snapToGrid w:val="0"/>
              <w:spacing w:line="500" w:lineRule="exact"/>
              <w:rPr>
                <w:rFonts w:ascii="宋体" w:hAnsi="宋体" w:cs="宋体"/>
                <w:bCs/>
              </w:rPr>
            </w:pPr>
            <w:r>
              <w:rPr>
                <w:rFonts w:hint="eastAsia" w:ascii="宋体" w:hAnsi="宋体" w:cs="宋体"/>
                <w:kern w:val="0"/>
              </w:rPr>
              <w:t>符合第五章“工程量清单”给出的范围及数量，</w:t>
            </w:r>
            <w:r>
              <w:rPr>
                <w:rFonts w:hint="eastAsia" w:ascii="宋体" w:hAnsi="宋体" w:cs="宋体"/>
                <w:bCs/>
              </w:rPr>
              <w:t>应按照采购人提供的工程量清单进行报价。</w:t>
            </w:r>
          </w:p>
        </w:tc>
      </w:tr>
      <w:tr w14:paraId="1580E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2569" w:type="dxa"/>
            <w:gridSpan w:val="2"/>
            <w:tcBorders>
              <w:top w:val="single" w:color="auto" w:sz="4" w:space="0"/>
              <w:left w:val="single" w:color="auto" w:sz="4" w:space="0"/>
              <w:right w:val="single" w:color="auto" w:sz="4" w:space="0"/>
            </w:tcBorders>
            <w:vAlign w:val="center"/>
          </w:tcPr>
          <w:p w14:paraId="764CA847">
            <w:pPr>
              <w:spacing w:line="500" w:lineRule="exact"/>
              <w:jc w:val="center"/>
              <w:rPr>
                <w:rFonts w:ascii="宋体" w:hAnsi="宋体" w:cs="宋体"/>
                <w:b/>
                <w:bCs/>
              </w:rPr>
            </w:pPr>
            <w:r>
              <w:rPr>
                <w:rFonts w:hint="eastAsia" w:ascii="宋体" w:hAnsi="宋体" w:cs="宋体"/>
                <w:b/>
                <w:bCs/>
                <w:kern w:val="0"/>
              </w:rPr>
              <w:t>条款号</w:t>
            </w:r>
          </w:p>
        </w:tc>
        <w:tc>
          <w:tcPr>
            <w:tcW w:w="2179" w:type="dxa"/>
            <w:tcBorders>
              <w:top w:val="single" w:color="auto" w:sz="4" w:space="0"/>
              <w:left w:val="single" w:color="auto" w:sz="4" w:space="0"/>
              <w:bottom w:val="single" w:color="auto" w:sz="4" w:space="0"/>
              <w:right w:val="single" w:color="auto" w:sz="4" w:space="0"/>
            </w:tcBorders>
            <w:vAlign w:val="center"/>
          </w:tcPr>
          <w:p w14:paraId="7E5B725A">
            <w:pPr>
              <w:spacing w:line="500" w:lineRule="exact"/>
              <w:jc w:val="center"/>
              <w:rPr>
                <w:rFonts w:ascii="宋体" w:hAnsi="宋体" w:cs="宋体"/>
                <w:b/>
                <w:bCs/>
              </w:rPr>
            </w:pPr>
            <w:r>
              <w:rPr>
                <w:rFonts w:hint="eastAsia" w:ascii="宋体" w:hAnsi="宋体" w:cs="宋体"/>
                <w:b/>
                <w:bCs/>
                <w:kern w:val="0"/>
              </w:rPr>
              <w:t>条款内容</w:t>
            </w:r>
          </w:p>
        </w:tc>
        <w:tc>
          <w:tcPr>
            <w:tcW w:w="5200" w:type="dxa"/>
            <w:tcBorders>
              <w:top w:val="single" w:color="auto" w:sz="4" w:space="0"/>
              <w:left w:val="single" w:color="auto" w:sz="4" w:space="0"/>
              <w:right w:val="single" w:color="auto" w:sz="4" w:space="0"/>
            </w:tcBorders>
            <w:vAlign w:val="center"/>
          </w:tcPr>
          <w:p w14:paraId="5238D56D">
            <w:pPr>
              <w:spacing w:line="500" w:lineRule="exact"/>
              <w:jc w:val="center"/>
              <w:rPr>
                <w:rFonts w:ascii="宋体" w:hAnsi="宋体" w:cs="宋体"/>
                <w:b/>
                <w:bCs/>
              </w:rPr>
            </w:pPr>
            <w:r>
              <w:rPr>
                <w:rFonts w:hint="eastAsia" w:ascii="宋体" w:hAnsi="宋体" w:cs="宋体"/>
                <w:b/>
                <w:bCs/>
                <w:kern w:val="0"/>
              </w:rPr>
              <w:t>编列内容</w:t>
            </w:r>
          </w:p>
        </w:tc>
      </w:tr>
      <w:tr w14:paraId="6C310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0" w:hRule="atLeast"/>
          <w:jc w:val="center"/>
        </w:trPr>
        <w:tc>
          <w:tcPr>
            <w:tcW w:w="944" w:type="dxa"/>
            <w:tcBorders>
              <w:top w:val="single" w:color="auto" w:sz="4" w:space="0"/>
              <w:left w:val="single" w:color="auto" w:sz="4" w:space="0"/>
              <w:right w:val="single" w:color="auto" w:sz="4" w:space="0"/>
            </w:tcBorders>
            <w:vAlign w:val="center"/>
          </w:tcPr>
          <w:p w14:paraId="3786DB22">
            <w:pPr>
              <w:spacing w:line="500" w:lineRule="exact"/>
              <w:jc w:val="center"/>
              <w:rPr>
                <w:rFonts w:ascii="宋体" w:hAnsi="宋体" w:cs="宋体"/>
                <w:kern w:val="0"/>
              </w:rPr>
            </w:pPr>
            <w:r>
              <w:rPr>
                <w:rFonts w:hint="eastAsia" w:ascii="宋体" w:hAnsi="宋体" w:cs="宋体"/>
                <w:kern w:val="0"/>
              </w:rPr>
              <w:t>2.2.1</w:t>
            </w:r>
          </w:p>
        </w:tc>
        <w:tc>
          <w:tcPr>
            <w:tcW w:w="1625" w:type="dxa"/>
            <w:tcBorders>
              <w:top w:val="single" w:color="auto" w:sz="4" w:space="0"/>
              <w:left w:val="single" w:color="auto" w:sz="4" w:space="0"/>
              <w:right w:val="single" w:color="auto" w:sz="4" w:space="0"/>
            </w:tcBorders>
            <w:vAlign w:val="center"/>
          </w:tcPr>
          <w:p w14:paraId="0FD09057">
            <w:pPr>
              <w:spacing w:line="500" w:lineRule="exact"/>
              <w:jc w:val="center"/>
              <w:rPr>
                <w:rFonts w:ascii="宋体" w:hAnsi="宋体" w:cs="宋体"/>
                <w:kern w:val="0"/>
              </w:rPr>
            </w:pPr>
            <w:r>
              <w:rPr>
                <w:rFonts w:hint="eastAsia" w:ascii="宋体" w:hAnsi="宋体" w:cs="宋体"/>
                <w:kern w:val="0"/>
              </w:rPr>
              <w:t>分值构成</w:t>
            </w:r>
          </w:p>
        </w:tc>
        <w:tc>
          <w:tcPr>
            <w:tcW w:w="2179" w:type="dxa"/>
            <w:tcBorders>
              <w:top w:val="single" w:color="auto" w:sz="4" w:space="0"/>
              <w:left w:val="single" w:color="auto" w:sz="4" w:space="0"/>
              <w:bottom w:val="single" w:color="auto" w:sz="4" w:space="0"/>
              <w:right w:val="single" w:color="auto" w:sz="4" w:space="0"/>
            </w:tcBorders>
            <w:vAlign w:val="center"/>
          </w:tcPr>
          <w:p w14:paraId="5887CB20">
            <w:pPr>
              <w:spacing w:line="500" w:lineRule="exact"/>
              <w:ind w:firstLine="210" w:firstLineChars="100"/>
              <w:jc w:val="center"/>
              <w:rPr>
                <w:rFonts w:ascii="宋体" w:hAnsi="宋体" w:cs="宋体"/>
                <w:kern w:val="0"/>
              </w:rPr>
            </w:pPr>
            <w:r>
              <w:rPr>
                <w:rFonts w:hint="eastAsia" w:ascii="宋体" w:hAnsi="宋体" w:cs="宋体"/>
                <w:kern w:val="0"/>
              </w:rPr>
              <w:t>分值构成</w:t>
            </w:r>
          </w:p>
          <w:p w14:paraId="359BBCCC">
            <w:pPr>
              <w:spacing w:line="500" w:lineRule="exact"/>
              <w:jc w:val="center"/>
              <w:rPr>
                <w:rFonts w:ascii="宋体" w:hAnsi="宋体" w:cs="宋体"/>
                <w:kern w:val="0"/>
              </w:rPr>
            </w:pPr>
            <w:r>
              <w:rPr>
                <w:rFonts w:hint="eastAsia" w:ascii="宋体" w:hAnsi="宋体" w:cs="宋体"/>
                <w:kern w:val="0"/>
              </w:rPr>
              <w:t>（总分100分）</w:t>
            </w:r>
          </w:p>
        </w:tc>
        <w:tc>
          <w:tcPr>
            <w:tcW w:w="5200" w:type="dxa"/>
            <w:tcBorders>
              <w:top w:val="single" w:color="auto" w:sz="4" w:space="0"/>
              <w:left w:val="single" w:color="auto" w:sz="4" w:space="0"/>
              <w:right w:val="single" w:color="auto" w:sz="4" w:space="0"/>
            </w:tcBorders>
          </w:tcPr>
          <w:p w14:paraId="268EE63F">
            <w:pPr>
              <w:spacing w:line="500" w:lineRule="exact"/>
              <w:rPr>
                <w:rFonts w:ascii="宋体" w:hAnsi="宋体" w:cs="宋体"/>
                <w:u w:val="single"/>
              </w:rPr>
            </w:pPr>
            <w:r>
              <w:rPr>
                <w:rFonts w:hint="eastAsia" w:ascii="宋体" w:hAnsi="宋体" w:cs="宋体"/>
                <w:b/>
                <w:bCs/>
              </w:rPr>
              <w:t>技术部分评审：</w:t>
            </w:r>
            <w:r>
              <w:rPr>
                <w:rFonts w:hint="eastAsia" w:ascii="宋体" w:hAnsi="宋体" w:cs="宋体"/>
                <w:b/>
                <w:bCs/>
                <w:u w:val="single"/>
              </w:rPr>
              <w:t>70分</w:t>
            </w:r>
          </w:p>
          <w:p w14:paraId="0EF1E638">
            <w:pPr>
              <w:spacing w:line="500" w:lineRule="exact"/>
              <w:rPr>
                <w:rFonts w:ascii="宋体" w:hAnsi="宋体" w:cs="宋体"/>
              </w:rPr>
            </w:pPr>
            <w:r>
              <w:rPr>
                <w:rFonts w:hint="eastAsia" w:ascii="宋体" w:hAnsi="宋体" w:cs="宋体"/>
              </w:rPr>
              <w:t>（1）施工组织设计：</w:t>
            </w:r>
            <w:r>
              <w:rPr>
                <w:rFonts w:hint="eastAsia" w:ascii="宋体" w:hAnsi="宋体" w:cs="宋体"/>
                <w:kern w:val="0"/>
                <w:u w:val="single"/>
              </w:rPr>
              <w:t xml:space="preserve"> 6</w:t>
            </w:r>
            <w:r>
              <w:rPr>
                <w:rFonts w:ascii="宋体" w:hAnsi="宋体" w:cs="宋体"/>
                <w:kern w:val="0"/>
                <w:u w:val="single"/>
              </w:rPr>
              <w:t>0</w:t>
            </w:r>
            <w:r>
              <w:rPr>
                <w:rFonts w:hint="eastAsia" w:ascii="宋体" w:hAnsi="宋体" w:cs="宋体"/>
                <w:kern w:val="0"/>
                <w:u w:val="single"/>
              </w:rPr>
              <w:t xml:space="preserve"> </w:t>
            </w:r>
            <w:r>
              <w:rPr>
                <w:rFonts w:hint="eastAsia" w:ascii="宋体" w:hAnsi="宋体" w:cs="宋体"/>
                <w:kern w:val="0"/>
              </w:rPr>
              <w:t>分</w:t>
            </w:r>
            <w:r>
              <w:rPr>
                <w:rFonts w:hint="eastAsia" w:ascii="宋体" w:hAnsi="宋体" w:cs="宋体"/>
              </w:rPr>
              <w:t xml:space="preserve">        </w:t>
            </w:r>
          </w:p>
          <w:p w14:paraId="6A9846E9">
            <w:pPr>
              <w:spacing w:line="500" w:lineRule="exact"/>
              <w:rPr>
                <w:rFonts w:ascii="宋体" w:hAnsi="宋体" w:cs="宋体"/>
                <w:kern w:val="0"/>
              </w:rPr>
            </w:pPr>
            <w:r>
              <w:rPr>
                <w:rFonts w:hint="eastAsia" w:ascii="宋体" w:hAnsi="宋体" w:cs="宋体"/>
              </w:rPr>
              <w:t>（2）企业信誉</w:t>
            </w:r>
            <w:r>
              <w:rPr>
                <w:rFonts w:hint="eastAsia" w:ascii="宋体" w:hAnsi="宋体" w:cs="宋体"/>
                <w:kern w:val="0"/>
              </w:rPr>
              <w:t>：</w:t>
            </w:r>
            <w:r>
              <w:rPr>
                <w:rFonts w:hint="eastAsia" w:ascii="宋体" w:hAnsi="宋体" w:cs="宋体"/>
                <w:kern w:val="0"/>
                <w:u w:val="single"/>
              </w:rPr>
              <w:t xml:space="preserve"> 4</w:t>
            </w:r>
            <w:r>
              <w:rPr>
                <w:rFonts w:ascii="宋体" w:hAnsi="宋体" w:cs="宋体"/>
                <w:kern w:val="0"/>
                <w:u w:val="single"/>
              </w:rPr>
              <w:t xml:space="preserve"> </w:t>
            </w:r>
            <w:r>
              <w:rPr>
                <w:rFonts w:hint="eastAsia" w:ascii="宋体" w:hAnsi="宋体" w:cs="宋体"/>
                <w:kern w:val="0"/>
              </w:rPr>
              <w:t>分</w:t>
            </w:r>
          </w:p>
          <w:p w14:paraId="68B454C4">
            <w:pPr>
              <w:spacing w:line="500" w:lineRule="exact"/>
              <w:rPr>
                <w:rFonts w:ascii="宋体" w:hAnsi="宋体" w:cs="宋体"/>
                <w:kern w:val="0"/>
              </w:rPr>
            </w:pPr>
            <w:r>
              <w:rPr>
                <w:rFonts w:hint="eastAsia" w:ascii="宋体" w:hAnsi="宋体" w:cs="宋体"/>
                <w:kern w:val="0"/>
              </w:rPr>
              <w:t>（3）项目管理机构：</w:t>
            </w:r>
            <w:r>
              <w:rPr>
                <w:rFonts w:hint="eastAsia" w:ascii="宋体" w:hAnsi="宋体" w:cs="宋体"/>
                <w:kern w:val="0"/>
                <w:u w:val="single"/>
              </w:rPr>
              <w:t xml:space="preserve"> 6</w:t>
            </w:r>
            <w:r>
              <w:rPr>
                <w:rFonts w:hint="eastAsia" w:ascii="宋体" w:hAnsi="宋体" w:cs="宋体"/>
                <w:kern w:val="0"/>
              </w:rPr>
              <w:t>分</w:t>
            </w:r>
          </w:p>
          <w:p w14:paraId="6EB61ED1">
            <w:pPr>
              <w:spacing w:line="500" w:lineRule="exact"/>
              <w:rPr>
                <w:rFonts w:ascii="宋体" w:hAnsi="宋体" w:cs="宋体"/>
                <w:kern w:val="0"/>
              </w:rPr>
            </w:pPr>
            <w:r>
              <w:rPr>
                <w:rFonts w:hint="eastAsia" w:ascii="宋体" w:hAnsi="宋体" w:cs="宋体"/>
                <w:b/>
                <w:bCs/>
                <w:kern w:val="0"/>
              </w:rPr>
              <w:t>商务部分评审：</w:t>
            </w:r>
            <w:r>
              <w:rPr>
                <w:rFonts w:hint="eastAsia" w:ascii="宋体" w:hAnsi="宋体" w:cs="宋体"/>
                <w:b/>
                <w:bCs/>
                <w:kern w:val="0"/>
                <w:u w:val="single"/>
              </w:rPr>
              <w:t>30</w:t>
            </w:r>
            <w:r>
              <w:rPr>
                <w:rFonts w:hint="eastAsia" w:ascii="宋体" w:hAnsi="宋体" w:cs="宋体"/>
                <w:b/>
                <w:bCs/>
                <w:kern w:val="0"/>
              </w:rPr>
              <w:t>分</w:t>
            </w:r>
          </w:p>
        </w:tc>
      </w:tr>
      <w:tr w14:paraId="2A17F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944" w:type="dxa"/>
            <w:vMerge w:val="restart"/>
            <w:tcBorders>
              <w:top w:val="single" w:color="auto" w:sz="4" w:space="0"/>
              <w:left w:val="single" w:color="auto" w:sz="4" w:space="0"/>
              <w:right w:val="single" w:color="auto" w:sz="4" w:space="0"/>
            </w:tcBorders>
            <w:vAlign w:val="center"/>
          </w:tcPr>
          <w:p w14:paraId="5F20F45E">
            <w:pPr>
              <w:spacing w:line="500" w:lineRule="exact"/>
              <w:jc w:val="center"/>
              <w:rPr>
                <w:rFonts w:ascii="宋体" w:hAnsi="宋体" w:cs="宋体"/>
                <w:kern w:val="0"/>
              </w:rPr>
            </w:pPr>
            <w:r>
              <w:rPr>
                <w:rFonts w:hint="eastAsia" w:ascii="宋体" w:hAnsi="宋体" w:cs="宋体"/>
                <w:kern w:val="0"/>
              </w:rPr>
              <w:t>2.2.2技术部分评分标准</w:t>
            </w:r>
          </w:p>
          <w:p w14:paraId="5F12BBDE">
            <w:pPr>
              <w:spacing w:line="500" w:lineRule="exact"/>
              <w:jc w:val="center"/>
              <w:rPr>
                <w:rFonts w:ascii="宋体" w:hAnsi="宋体" w:cs="宋体"/>
                <w:kern w:val="0"/>
              </w:rPr>
            </w:pPr>
          </w:p>
        </w:tc>
        <w:tc>
          <w:tcPr>
            <w:tcW w:w="1625" w:type="dxa"/>
            <w:vMerge w:val="restart"/>
            <w:tcBorders>
              <w:top w:val="single" w:color="auto" w:sz="4" w:space="0"/>
              <w:left w:val="single" w:color="auto" w:sz="4" w:space="0"/>
              <w:right w:val="single" w:color="auto" w:sz="4" w:space="0"/>
            </w:tcBorders>
            <w:vAlign w:val="center"/>
          </w:tcPr>
          <w:p w14:paraId="58593C20">
            <w:pPr>
              <w:widowControl/>
              <w:spacing w:line="500" w:lineRule="exact"/>
              <w:jc w:val="center"/>
              <w:rPr>
                <w:rFonts w:ascii="宋体" w:hAnsi="宋体" w:cs="宋体"/>
                <w:kern w:val="0"/>
              </w:rPr>
            </w:pPr>
            <w:r>
              <w:rPr>
                <w:rFonts w:hint="eastAsia" w:ascii="宋体" w:hAnsi="宋体" w:cs="宋体"/>
                <w:kern w:val="0"/>
              </w:rPr>
              <w:t>（1）施工组织设计（满分</w:t>
            </w:r>
            <w:r>
              <w:rPr>
                <w:rFonts w:ascii="宋体" w:hAnsi="宋体" w:cs="宋体"/>
                <w:kern w:val="0"/>
              </w:rPr>
              <w:t>60</w:t>
            </w:r>
            <w:r>
              <w:rPr>
                <w:rFonts w:hint="eastAsia" w:ascii="宋体" w:hAnsi="宋体" w:cs="宋体"/>
                <w:kern w:val="0"/>
              </w:rPr>
              <w:t>分）</w:t>
            </w:r>
          </w:p>
          <w:p w14:paraId="472DC97E">
            <w:pPr>
              <w:widowControl/>
              <w:spacing w:line="500" w:lineRule="exact"/>
              <w:ind w:left="27" w:leftChars="13" w:firstLine="27" w:firstLineChars="13"/>
              <w:jc w:val="center"/>
              <w:rPr>
                <w:rFonts w:ascii="宋体" w:hAnsi="宋体" w:cs="宋体"/>
                <w:b/>
                <w:bCs/>
                <w:kern w:val="0"/>
              </w:rPr>
            </w:pPr>
          </w:p>
          <w:p w14:paraId="78C0B758">
            <w:pPr>
              <w:widowControl/>
              <w:spacing w:line="500" w:lineRule="exact"/>
              <w:ind w:left="27" w:leftChars="13" w:firstLine="27" w:firstLineChars="13"/>
              <w:jc w:val="center"/>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14:paraId="63CB083E">
            <w:pPr>
              <w:widowControl/>
              <w:spacing w:line="500" w:lineRule="exact"/>
              <w:jc w:val="center"/>
              <w:rPr>
                <w:rFonts w:ascii="宋体" w:hAnsi="宋体" w:cs="宋体"/>
                <w:b/>
                <w:bCs/>
                <w:kern w:val="0"/>
              </w:rPr>
            </w:pPr>
            <w:r>
              <w:rPr>
                <w:rFonts w:hint="eastAsia" w:ascii="宋体" w:hAnsi="宋体" w:cs="宋体"/>
                <w:b/>
                <w:bCs/>
                <w:kern w:val="0"/>
              </w:rPr>
              <w:t>总体概述（4分）</w:t>
            </w:r>
          </w:p>
          <w:p w14:paraId="32544232">
            <w:pPr>
              <w:widowControl/>
              <w:spacing w:line="500" w:lineRule="exact"/>
              <w:ind w:firstLine="420"/>
              <w:rPr>
                <w:rFonts w:ascii="宋体" w:hAnsi="宋体" w:cs="宋体"/>
              </w:rPr>
            </w:pPr>
          </w:p>
        </w:tc>
        <w:tc>
          <w:tcPr>
            <w:tcW w:w="5200" w:type="dxa"/>
            <w:tcBorders>
              <w:top w:val="single" w:color="auto" w:sz="4" w:space="0"/>
              <w:left w:val="single" w:color="auto" w:sz="4" w:space="0"/>
              <w:bottom w:val="single" w:color="auto" w:sz="4" w:space="0"/>
              <w:right w:val="single" w:color="auto" w:sz="4" w:space="0"/>
            </w:tcBorders>
            <w:vAlign w:val="center"/>
          </w:tcPr>
          <w:p w14:paraId="31F6D3AE">
            <w:pPr>
              <w:widowControl/>
              <w:spacing w:line="500" w:lineRule="exact"/>
              <w:ind w:firstLine="420"/>
              <w:rPr>
                <w:rFonts w:ascii="宋体" w:hAnsi="宋体" w:cs="宋体"/>
                <w:kern w:val="0"/>
              </w:rPr>
            </w:pPr>
            <w:r>
              <w:rPr>
                <w:rFonts w:hint="eastAsia" w:ascii="宋体" w:hAnsi="宋体" w:cs="宋体"/>
                <w:b/>
                <w:bCs/>
                <w:kern w:val="0"/>
              </w:rPr>
              <w:t>优（4分）</w:t>
            </w:r>
            <w:r>
              <w:rPr>
                <w:rFonts w:hint="eastAsia" w:ascii="宋体" w:hAnsi="宋体" w:cs="宋体"/>
                <w:kern w:val="0"/>
              </w:rPr>
              <w:t>：对项目总体 有深刻认识，表达清晰、完整、严谨、合理，措施先进、具体、有效、成熟；施工段划分清晰、合理，符合规范要求。</w:t>
            </w:r>
          </w:p>
          <w:p w14:paraId="5CCBDC02">
            <w:pPr>
              <w:widowControl/>
              <w:spacing w:line="500" w:lineRule="exact"/>
              <w:ind w:firstLine="420"/>
              <w:rPr>
                <w:rFonts w:ascii="宋体" w:hAnsi="宋体" w:cs="宋体"/>
                <w:kern w:val="0"/>
              </w:rPr>
            </w:pPr>
            <w:r>
              <w:rPr>
                <w:rFonts w:hint="eastAsia" w:ascii="宋体" w:hAnsi="宋体" w:cs="宋体"/>
                <w:b/>
                <w:bCs/>
                <w:kern w:val="0"/>
              </w:rPr>
              <w:t>良（3分）</w:t>
            </w:r>
            <w:r>
              <w:rPr>
                <w:rFonts w:hint="eastAsia" w:ascii="宋体" w:hAnsi="宋体" w:cs="宋体"/>
                <w:kern w:val="0"/>
              </w:rPr>
              <w:t>：对项目总体有一定认识，表达清晰、完整，措施具体有效；施工段划分清晰，符合规范要求。</w:t>
            </w:r>
          </w:p>
          <w:p w14:paraId="37158354">
            <w:pPr>
              <w:widowControl/>
              <w:spacing w:line="500" w:lineRule="exact"/>
              <w:ind w:firstLine="420"/>
              <w:rPr>
                <w:rFonts w:ascii="宋体" w:hAnsi="宋体" w:cs="宋体"/>
                <w:kern w:val="0"/>
              </w:rPr>
            </w:pPr>
            <w:r>
              <w:rPr>
                <w:rFonts w:hint="eastAsia" w:ascii="宋体" w:hAnsi="宋体" w:cs="宋体"/>
                <w:b/>
                <w:bCs/>
                <w:kern w:val="0"/>
              </w:rPr>
              <w:t>中（1分）</w:t>
            </w:r>
            <w:r>
              <w:rPr>
                <w:rFonts w:hint="eastAsia" w:ascii="宋体" w:hAnsi="宋体" w:cs="宋体"/>
                <w:kern w:val="0"/>
              </w:rPr>
              <w:t>：对项目总体有认识，有一定的措施但部分不具体；施工段划分较合理，符合规范要求。</w:t>
            </w:r>
          </w:p>
          <w:p w14:paraId="3DEFA5E5">
            <w:pPr>
              <w:widowControl/>
              <w:spacing w:line="500" w:lineRule="exact"/>
              <w:ind w:firstLine="420"/>
              <w:rPr>
                <w:rFonts w:ascii="宋体" w:hAnsi="宋体" w:cs="宋体"/>
                <w:kern w:val="0"/>
              </w:rPr>
            </w:pPr>
            <w:r>
              <w:rPr>
                <w:rFonts w:hint="eastAsia" w:ascii="宋体" w:hAnsi="宋体" w:cs="宋体"/>
                <w:b/>
                <w:bCs/>
                <w:kern w:val="0"/>
              </w:rPr>
              <w:t>差（0分）</w:t>
            </w:r>
            <w:r>
              <w:rPr>
                <w:rFonts w:hint="eastAsia" w:ascii="宋体" w:hAnsi="宋体" w:cs="宋体"/>
                <w:kern w:val="0"/>
              </w:rPr>
              <w:t>：对项目认识不足，表达不清晰，措施不具体；施工段划分不合理。</w:t>
            </w:r>
          </w:p>
        </w:tc>
      </w:tr>
      <w:tr w14:paraId="1B5CE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5" w:hRule="atLeast"/>
          <w:jc w:val="center"/>
        </w:trPr>
        <w:tc>
          <w:tcPr>
            <w:tcW w:w="944" w:type="dxa"/>
            <w:vMerge w:val="continue"/>
            <w:tcBorders>
              <w:left w:val="single" w:color="auto" w:sz="4" w:space="0"/>
              <w:right w:val="single" w:color="auto" w:sz="4" w:space="0"/>
            </w:tcBorders>
            <w:vAlign w:val="center"/>
          </w:tcPr>
          <w:p w14:paraId="4BEB2DBC">
            <w:pPr>
              <w:spacing w:line="500" w:lineRule="exact"/>
              <w:jc w:val="center"/>
              <w:rPr>
                <w:rFonts w:ascii="宋体" w:hAnsi="宋体" w:cs="宋体"/>
                <w:kern w:val="0"/>
              </w:rPr>
            </w:pPr>
          </w:p>
        </w:tc>
        <w:tc>
          <w:tcPr>
            <w:tcW w:w="1625" w:type="dxa"/>
            <w:vMerge w:val="continue"/>
            <w:tcBorders>
              <w:left w:val="single" w:color="auto" w:sz="4" w:space="0"/>
              <w:right w:val="single" w:color="auto" w:sz="4" w:space="0"/>
            </w:tcBorders>
            <w:vAlign w:val="center"/>
          </w:tcPr>
          <w:p w14:paraId="11C78888">
            <w:pPr>
              <w:spacing w:line="500" w:lineRule="exact"/>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14:paraId="3AA026FC">
            <w:pPr>
              <w:spacing w:line="500" w:lineRule="exact"/>
              <w:jc w:val="center"/>
              <w:rPr>
                <w:rFonts w:ascii="宋体" w:hAnsi="宋体" w:cs="宋体"/>
                <w:b/>
                <w:bCs/>
                <w:kern w:val="0"/>
              </w:rPr>
            </w:pPr>
            <w:r>
              <w:rPr>
                <w:rFonts w:hint="eastAsia" w:ascii="宋体" w:hAnsi="宋体" w:cs="宋体"/>
                <w:b/>
                <w:bCs/>
                <w:kern w:val="0"/>
              </w:rPr>
              <w:t>主要施工方法</w:t>
            </w:r>
          </w:p>
          <w:p w14:paraId="658843A5">
            <w:pPr>
              <w:spacing w:line="500" w:lineRule="exact"/>
              <w:jc w:val="center"/>
              <w:rPr>
                <w:rFonts w:ascii="宋体" w:hAnsi="宋体" w:cs="宋体"/>
                <w:b/>
                <w:bCs/>
                <w:kern w:val="0"/>
              </w:rPr>
            </w:pPr>
            <w:r>
              <w:rPr>
                <w:rFonts w:hint="eastAsia" w:ascii="宋体" w:hAnsi="宋体" w:cs="宋体"/>
                <w:b/>
                <w:bCs/>
                <w:kern w:val="0"/>
              </w:rPr>
              <w:t>（10分）</w:t>
            </w:r>
          </w:p>
          <w:p w14:paraId="010712C7">
            <w:pPr>
              <w:widowControl/>
              <w:spacing w:line="500" w:lineRule="exact"/>
              <w:ind w:firstLine="420"/>
              <w:jc w:val="center"/>
              <w:rPr>
                <w:rFonts w:ascii="宋体" w:hAnsi="宋体" w:cs="宋体"/>
              </w:rPr>
            </w:pPr>
          </w:p>
        </w:tc>
        <w:tc>
          <w:tcPr>
            <w:tcW w:w="5200" w:type="dxa"/>
            <w:tcBorders>
              <w:top w:val="single" w:color="auto" w:sz="4" w:space="0"/>
              <w:left w:val="single" w:color="auto" w:sz="4" w:space="0"/>
              <w:bottom w:val="single" w:color="auto" w:sz="4" w:space="0"/>
              <w:right w:val="single" w:color="auto" w:sz="4" w:space="0"/>
            </w:tcBorders>
            <w:vAlign w:val="center"/>
          </w:tcPr>
          <w:p w14:paraId="3E3ABE11">
            <w:pPr>
              <w:widowControl/>
              <w:spacing w:line="500" w:lineRule="exact"/>
              <w:ind w:firstLine="420"/>
              <w:rPr>
                <w:rFonts w:ascii="宋体" w:hAnsi="宋体" w:cs="宋体"/>
                <w:kern w:val="0"/>
              </w:rPr>
            </w:pPr>
            <w:r>
              <w:rPr>
                <w:rFonts w:hint="eastAsia" w:ascii="宋体" w:hAnsi="宋体" w:cs="宋体"/>
                <w:b/>
                <w:bCs/>
                <w:kern w:val="0"/>
              </w:rPr>
              <w:t>优（10分）</w:t>
            </w:r>
            <w:r>
              <w:rPr>
                <w:rFonts w:hint="eastAsia" w:ascii="宋体" w:hAnsi="宋体" w:cs="宋体"/>
                <w:kern w:val="0"/>
              </w:rPr>
              <w:t>：各主要分部施工方法符合项目实际，有详尽的施工技术方案，工艺先进、方法科学合理、可行，能指导具体施工并确保安全；</w:t>
            </w:r>
          </w:p>
          <w:p w14:paraId="7CCB9E83">
            <w:pPr>
              <w:widowControl/>
              <w:spacing w:line="500" w:lineRule="exact"/>
              <w:ind w:firstLine="420"/>
              <w:rPr>
                <w:rFonts w:ascii="宋体" w:hAnsi="宋体" w:cs="宋体"/>
                <w:kern w:val="0"/>
              </w:rPr>
            </w:pPr>
            <w:r>
              <w:rPr>
                <w:rFonts w:hint="eastAsia" w:ascii="宋体" w:hAnsi="宋体" w:cs="宋体"/>
                <w:b/>
                <w:bCs/>
                <w:kern w:val="0"/>
              </w:rPr>
              <w:t>良（4.0</w:t>
            </w:r>
            <w:r>
              <w:rPr>
                <w:rFonts w:hint="eastAsia" w:ascii="宋体" w:hAnsi="宋体" w:cs="宋体"/>
                <w:b/>
                <w:bCs/>
                <w:kern w:val="0"/>
                <w:sz w:val="20"/>
                <w:szCs w:val="20"/>
              </w:rPr>
              <w:t>～9</w:t>
            </w:r>
            <w:r>
              <w:rPr>
                <w:rFonts w:hint="eastAsia" w:ascii="宋体" w:hAnsi="宋体" w:cs="宋体"/>
                <w:b/>
                <w:bCs/>
                <w:kern w:val="0"/>
              </w:rPr>
              <w:t>.9分）</w:t>
            </w:r>
            <w:r>
              <w:rPr>
                <w:rFonts w:hint="eastAsia" w:ascii="宋体" w:hAnsi="宋体" w:cs="宋体"/>
                <w:kern w:val="0"/>
              </w:rPr>
              <w:t>：各主要分部施工方法符合项目实际，有较详尽的施工技术方案，工艺较好、方法科学合理、可行，能指导具体施工并确保安全；</w:t>
            </w:r>
          </w:p>
          <w:p w14:paraId="71BA7E5D">
            <w:pPr>
              <w:widowControl/>
              <w:spacing w:line="500" w:lineRule="exact"/>
              <w:ind w:firstLine="420"/>
              <w:rPr>
                <w:rFonts w:ascii="宋体" w:hAnsi="宋体" w:cs="宋体"/>
                <w:kern w:val="0"/>
              </w:rPr>
            </w:pPr>
            <w:r>
              <w:rPr>
                <w:rFonts w:hint="eastAsia" w:ascii="宋体" w:hAnsi="宋体" w:cs="宋体"/>
                <w:b/>
                <w:bCs/>
                <w:kern w:val="0"/>
              </w:rPr>
              <w:t>中（2</w:t>
            </w:r>
            <w:r>
              <w:rPr>
                <w:rFonts w:hint="eastAsia" w:ascii="宋体" w:hAnsi="宋体" w:cs="宋体"/>
                <w:b/>
                <w:bCs/>
                <w:kern w:val="0"/>
                <w:sz w:val="20"/>
                <w:szCs w:val="20"/>
              </w:rPr>
              <w:t>～3</w:t>
            </w:r>
            <w:r>
              <w:rPr>
                <w:rFonts w:hint="eastAsia" w:ascii="宋体" w:hAnsi="宋体" w:cs="宋体"/>
                <w:b/>
                <w:bCs/>
                <w:kern w:val="0"/>
              </w:rPr>
              <w:t>.9分）</w:t>
            </w:r>
            <w:r>
              <w:rPr>
                <w:rFonts w:hint="eastAsia" w:ascii="宋体" w:hAnsi="宋体" w:cs="宋体"/>
                <w:kern w:val="0"/>
              </w:rPr>
              <w:t>：各主要分部施工方法能满足项目需求，有施工技术方案，能指导具体施工并确保安全；</w:t>
            </w:r>
          </w:p>
          <w:p w14:paraId="5AB57AC0">
            <w:pPr>
              <w:widowControl/>
              <w:spacing w:line="500" w:lineRule="exact"/>
              <w:ind w:firstLine="420"/>
              <w:rPr>
                <w:rFonts w:ascii="宋体" w:hAnsi="宋体" w:cs="宋体"/>
                <w:kern w:val="0"/>
              </w:rPr>
            </w:pPr>
            <w:r>
              <w:rPr>
                <w:rFonts w:hint="eastAsia" w:ascii="宋体" w:hAnsi="宋体" w:cs="宋体"/>
                <w:b/>
                <w:bCs/>
                <w:kern w:val="0"/>
              </w:rPr>
              <w:t>差（0</w:t>
            </w:r>
            <w:r>
              <w:rPr>
                <w:rFonts w:hint="eastAsia" w:ascii="宋体" w:hAnsi="宋体" w:cs="宋体"/>
                <w:b/>
                <w:bCs/>
                <w:kern w:val="0"/>
                <w:sz w:val="20"/>
                <w:szCs w:val="20"/>
              </w:rPr>
              <w:t>～1.9</w:t>
            </w:r>
            <w:r>
              <w:rPr>
                <w:rFonts w:hint="eastAsia" w:ascii="宋体" w:hAnsi="宋体" w:cs="宋体"/>
                <w:b/>
                <w:bCs/>
                <w:kern w:val="0"/>
              </w:rPr>
              <w:t>分）</w:t>
            </w:r>
            <w:r>
              <w:rPr>
                <w:rFonts w:hint="eastAsia" w:ascii="宋体" w:hAnsi="宋体" w:cs="宋体"/>
                <w:kern w:val="0"/>
              </w:rPr>
              <w:t>：各主要分部施工方法不能满足项目需求，没有施工技术方案，不能指导具体施工并确保安全；</w:t>
            </w:r>
          </w:p>
        </w:tc>
      </w:tr>
      <w:tr w14:paraId="51889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jc w:val="center"/>
        </w:trPr>
        <w:tc>
          <w:tcPr>
            <w:tcW w:w="944" w:type="dxa"/>
            <w:vMerge w:val="continue"/>
            <w:tcBorders>
              <w:left w:val="single" w:color="auto" w:sz="4" w:space="0"/>
              <w:right w:val="single" w:color="auto" w:sz="4" w:space="0"/>
            </w:tcBorders>
            <w:vAlign w:val="center"/>
          </w:tcPr>
          <w:p w14:paraId="539FD032">
            <w:pPr>
              <w:spacing w:line="500" w:lineRule="exact"/>
              <w:jc w:val="center"/>
              <w:rPr>
                <w:rFonts w:ascii="宋体" w:hAnsi="宋体" w:cs="宋体"/>
                <w:kern w:val="0"/>
              </w:rPr>
            </w:pPr>
          </w:p>
        </w:tc>
        <w:tc>
          <w:tcPr>
            <w:tcW w:w="1625" w:type="dxa"/>
            <w:vMerge w:val="continue"/>
            <w:tcBorders>
              <w:left w:val="single" w:color="auto" w:sz="4" w:space="0"/>
              <w:right w:val="single" w:color="auto" w:sz="4" w:space="0"/>
            </w:tcBorders>
            <w:vAlign w:val="center"/>
          </w:tcPr>
          <w:p w14:paraId="1C662022">
            <w:pPr>
              <w:widowControl/>
              <w:spacing w:line="500" w:lineRule="exact"/>
              <w:ind w:firstLine="210"/>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14:paraId="1F7151A1">
            <w:pPr>
              <w:widowControl/>
              <w:spacing w:line="500" w:lineRule="exact"/>
              <w:ind w:left="29" w:hanging="29"/>
              <w:jc w:val="center"/>
              <w:rPr>
                <w:rFonts w:ascii="宋体" w:hAnsi="宋体" w:cs="宋体"/>
                <w:kern w:val="0"/>
                <w:sz w:val="20"/>
                <w:szCs w:val="20"/>
              </w:rPr>
            </w:pPr>
            <w:r>
              <w:rPr>
                <w:rFonts w:hint="eastAsia" w:ascii="宋体" w:hAnsi="宋体" w:cs="宋体"/>
                <w:b/>
                <w:bCs/>
                <w:kern w:val="0"/>
              </w:rPr>
              <w:t>施工进度、施工进度计划和各阶段进度的保证措施</w:t>
            </w:r>
            <w:r>
              <w:rPr>
                <w:rFonts w:hint="eastAsia" w:ascii="宋体" w:hAnsi="宋体" w:cs="宋体"/>
                <w:b/>
                <w:bCs/>
                <w:kern w:val="0"/>
                <w:sz w:val="20"/>
                <w:szCs w:val="20"/>
              </w:rPr>
              <w:t>（6分）</w:t>
            </w:r>
          </w:p>
          <w:p w14:paraId="7244832F">
            <w:pPr>
              <w:widowControl/>
              <w:spacing w:line="500" w:lineRule="exact"/>
              <w:ind w:left="29" w:hanging="29"/>
              <w:jc w:val="center"/>
              <w:rPr>
                <w:rFonts w:ascii="宋体" w:hAnsi="宋体" w:cs="宋体"/>
              </w:rPr>
            </w:pPr>
          </w:p>
        </w:tc>
        <w:tc>
          <w:tcPr>
            <w:tcW w:w="5200" w:type="dxa"/>
            <w:tcBorders>
              <w:top w:val="single" w:color="auto" w:sz="4" w:space="0"/>
              <w:left w:val="single" w:color="auto" w:sz="4" w:space="0"/>
              <w:bottom w:val="single" w:color="auto" w:sz="4" w:space="0"/>
              <w:right w:val="single" w:color="auto" w:sz="4" w:space="0"/>
            </w:tcBorders>
            <w:vAlign w:val="center"/>
          </w:tcPr>
          <w:p w14:paraId="4DC3BAE3">
            <w:pPr>
              <w:widowControl/>
              <w:spacing w:line="500" w:lineRule="exact"/>
              <w:ind w:firstLine="420"/>
              <w:rPr>
                <w:rFonts w:ascii="宋体" w:hAnsi="宋体" w:cs="宋体"/>
                <w:kern w:val="0"/>
              </w:rPr>
            </w:pPr>
            <w:r>
              <w:rPr>
                <w:rFonts w:hint="eastAsia" w:ascii="宋体" w:hAnsi="宋体" w:cs="宋体"/>
                <w:b/>
                <w:bCs/>
                <w:kern w:val="0"/>
              </w:rPr>
              <w:t>优（6分）</w:t>
            </w:r>
            <w:r>
              <w:rPr>
                <w:rFonts w:hint="eastAsia" w:ascii="宋体" w:hAnsi="宋体" w:cs="宋体"/>
                <w:kern w:val="0"/>
              </w:rPr>
              <w:t>：关键线路清晰、准确、完整，计划编制合理、可行，关键节点的控制措施有力、合理、可行。</w:t>
            </w:r>
          </w:p>
          <w:p w14:paraId="5C6011B1">
            <w:pPr>
              <w:widowControl/>
              <w:spacing w:line="500" w:lineRule="exact"/>
              <w:ind w:firstLine="420"/>
              <w:rPr>
                <w:rFonts w:ascii="宋体" w:hAnsi="宋体" w:cs="宋体"/>
                <w:kern w:val="0"/>
              </w:rPr>
            </w:pPr>
            <w:r>
              <w:rPr>
                <w:rFonts w:hint="eastAsia" w:ascii="宋体" w:hAnsi="宋体" w:cs="宋体"/>
                <w:b/>
                <w:bCs/>
                <w:kern w:val="0"/>
              </w:rPr>
              <w:t>良（4.0</w:t>
            </w:r>
            <w:r>
              <w:rPr>
                <w:rFonts w:hint="eastAsia" w:ascii="宋体" w:hAnsi="宋体" w:cs="宋体"/>
                <w:b/>
                <w:bCs/>
                <w:kern w:val="0"/>
                <w:sz w:val="20"/>
                <w:szCs w:val="20"/>
              </w:rPr>
              <w:t>～5</w:t>
            </w:r>
            <w:r>
              <w:rPr>
                <w:rFonts w:hint="eastAsia" w:ascii="宋体" w:hAnsi="宋体" w:cs="宋体"/>
                <w:b/>
                <w:bCs/>
                <w:kern w:val="0"/>
              </w:rPr>
              <w:t>.9分）</w:t>
            </w:r>
            <w:r>
              <w:rPr>
                <w:rFonts w:hint="eastAsia" w:ascii="宋体" w:hAnsi="宋体" w:cs="宋体"/>
                <w:kern w:val="0"/>
              </w:rPr>
              <w:t>：关键线路清晰、准确、完整，计划编制可行，关键节点的控制措施合理、可行。</w:t>
            </w:r>
          </w:p>
          <w:p w14:paraId="17CFFDD3">
            <w:pPr>
              <w:widowControl/>
              <w:spacing w:line="500" w:lineRule="exact"/>
              <w:ind w:firstLine="420"/>
              <w:rPr>
                <w:rFonts w:ascii="宋体" w:hAnsi="宋体" w:cs="宋体"/>
                <w:kern w:val="0"/>
              </w:rPr>
            </w:pPr>
            <w:r>
              <w:rPr>
                <w:rFonts w:hint="eastAsia" w:ascii="宋体" w:hAnsi="宋体" w:cs="宋体"/>
                <w:b/>
                <w:bCs/>
                <w:kern w:val="0"/>
              </w:rPr>
              <w:t>中（1.0</w:t>
            </w:r>
            <w:r>
              <w:rPr>
                <w:rFonts w:hint="eastAsia" w:ascii="宋体" w:hAnsi="宋体" w:cs="宋体"/>
                <w:b/>
                <w:bCs/>
                <w:kern w:val="0"/>
                <w:sz w:val="20"/>
                <w:szCs w:val="20"/>
              </w:rPr>
              <w:t>～3</w:t>
            </w:r>
            <w:r>
              <w:rPr>
                <w:rFonts w:hint="eastAsia" w:ascii="宋体" w:hAnsi="宋体" w:cs="宋体"/>
                <w:b/>
                <w:bCs/>
                <w:kern w:val="0"/>
              </w:rPr>
              <w:t>.9分）</w:t>
            </w:r>
            <w:r>
              <w:rPr>
                <w:rFonts w:hint="eastAsia" w:ascii="宋体" w:hAnsi="宋体" w:cs="宋体"/>
                <w:kern w:val="0"/>
              </w:rPr>
              <w:t>：关键线路基本准确，计划编制合理，关键节点的控制措施基本可行。</w:t>
            </w:r>
          </w:p>
          <w:p w14:paraId="51425140">
            <w:pPr>
              <w:widowControl/>
              <w:spacing w:line="500" w:lineRule="exact"/>
              <w:ind w:firstLine="420"/>
              <w:rPr>
                <w:rFonts w:ascii="宋体" w:hAnsi="宋体" w:cs="宋体"/>
                <w:kern w:val="0"/>
              </w:rPr>
            </w:pPr>
            <w:r>
              <w:rPr>
                <w:rFonts w:hint="eastAsia" w:ascii="宋体" w:hAnsi="宋体" w:cs="宋体"/>
                <w:b/>
                <w:bCs/>
                <w:kern w:val="0"/>
              </w:rPr>
              <w:t>差（0</w:t>
            </w:r>
            <w:r>
              <w:rPr>
                <w:rFonts w:hint="eastAsia" w:ascii="宋体" w:hAnsi="宋体" w:cs="宋体"/>
                <w:b/>
                <w:bCs/>
                <w:kern w:val="0"/>
                <w:sz w:val="20"/>
                <w:szCs w:val="20"/>
              </w:rPr>
              <w:t>～0.9</w:t>
            </w:r>
            <w:r>
              <w:rPr>
                <w:rFonts w:hint="eastAsia" w:ascii="宋体" w:hAnsi="宋体" w:cs="宋体"/>
                <w:b/>
                <w:bCs/>
                <w:kern w:val="0"/>
              </w:rPr>
              <w:t>分）</w:t>
            </w:r>
            <w:r>
              <w:rPr>
                <w:rFonts w:hint="eastAsia" w:ascii="宋体" w:hAnsi="宋体" w:cs="宋体"/>
                <w:kern w:val="0"/>
              </w:rPr>
              <w:t>：关键线路不准确，计划编制不合理，关键节点的控制不可行。</w:t>
            </w:r>
          </w:p>
        </w:tc>
      </w:tr>
      <w:tr w14:paraId="56E14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944" w:type="dxa"/>
            <w:vMerge w:val="continue"/>
            <w:tcBorders>
              <w:left w:val="single" w:color="auto" w:sz="4" w:space="0"/>
              <w:right w:val="single" w:color="auto" w:sz="4" w:space="0"/>
            </w:tcBorders>
            <w:vAlign w:val="center"/>
          </w:tcPr>
          <w:p w14:paraId="6F90C37A">
            <w:pPr>
              <w:spacing w:line="500" w:lineRule="exact"/>
              <w:jc w:val="center"/>
              <w:rPr>
                <w:rFonts w:ascii="宋体" w:hAnsi="宋体" w:cs="宋体"/>
                <w:kern w:val="0"/>
              </w:rPr>
            </w:pPr>
          </w:p>
        </w:tc>
        <w:tc>
          <w:tcPr>
            <w:tcW w:w="1625" w:type="dxa"/>
            <w:vMerge w:val="continue"/>
            <w:tcBorders>
              <w:left w:val="single" w:color="auto" w:sz="4" w:space="0"/>
              <w:right w:val="single" w:color="auto" w:sz="4" w:space="0"/>
            </w:tcBorders>
            <w:vAlign w:val="center"/>
          </w:tcPr>
          <w:p w14:paraId="3BBDC144">
            <w:pPr>
              <w:widowControl/>
              <w:spacing w:line="500" w:lineRule="exact"/>
              <w:ind w:left="27" w:leftChars="13" w:firstLine="27" w:firstLineChars="13"/>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14:paraId="74D4B720">
            <w:pPr>
              <w:widowControl/>
              <w:spacing w:line="500" w:lineRule="exact"/>
              <w:ind w:left="27" w:leftChars="13" w:firstLine="27" w:firstLineChars="13"/>
              <w:jc w:val="center"/>
              <w:rPr>
                <w:rFonts w:ascii="宋体" w:hAnsi="宋体" w:cs="宋体"/>
              </w:rPr>
            </w:pPr>
            <w:r>
              <w:rPr>
                <w:rFonts w:hint="eastAsia" w:ascii="宋体" w:hAnsi="宋体" w:cs="宋体"/>
                <w:b/>
                <w:bCs/>
                <w:kern w:val="0"/>
              </w:rPr>
              <w:t xml:space="preserve">劳动力和材料投入计划及其保证措施   </w:t>
            </w:r>
            <w:r>
              <w:rPr>
                <w:rFonts w:hint="eastAsia" w:ascii="宋体" w:hAnsi="宋体" w:cs="宋体"/>
                <w:b/>
                <w:bCs/>
                <w:kern w:val="0"/>
                <w:sz w:val="20"/>
                <w:szCs w:val="20"/>
              </w:rPr>
              <w:t>（3分）</w:t>
            </w:r>
          </w:p>
        </w:tc>
        <w:tc>
          <w:tcPr>
            <w:tcW w:w="5200" w:type="dxa"/>
            <w:tcBorders>
              <w:top w:val="single" w:color="auto" w:sz="4" w:space="0"/>
              <w:left w:val="single" w:color="auto" w:sz="4" w:space="0"/>
              <w:bottom w:val="single" w:color="auto" w:sz="4" w:space="0"/>
              <w:right w:val="single" w:color="auto" w:sz="4" w:space="0"/>
            </w:tcBorders>
            <w:vAlign w:val="center"/>
          </w:tcPr>
          <w:p w14:paraId="1301E434">
            <w:pPr>
              <w:widowControl/>
              <w:spacing w:line="500" w:lineRule="exact"/>
              <w:ind w:firstLine="420"/>
              <w:rPr>
                <w:rFonts w:ascii="宋体" w:hAnsi="宋体" w:cs="宋体"/>
                <w:kern w:val="0"/>
              </w:rPr>
            </w:pPr>
            <w:r>
              <w:rPr>
                <w:rFonts w:hint="eastAsia" w:ascii="宋体" w:hAnsi="宋体" w:cs="宋体"/>
                <w:b/>
                <w:bCs/>
                <w:kern w:val="0"/>
              </w:rPr>
              <w:t>优（3分）</w:t>
            </w:r>
            <w:r>
              <w:rPr>
                <w:rFonts w:hint="eastAsia" w:ascii="宋体" w:hAnsi="宋体" w:cs="宋体"/>
                <w:kern w:val="0"/>
              </w:rPr>
              <w:t>：投入计划与进度计划呼应，较好满足施工需要，调配投入计划合理、准确。</w:t>
            </w:r>
          </w:p>
          <w:p w14:paraId="78B8CD77">
            <w:pPr>
              <w:widowControl/>
              <w:spacing w:line="500" w:lineRule="exact"/>
              <w:ind w:firstLine="420"/>
              <w:rPr>
                <w:rFonts w:ascii="宋体" w:hAnsi="宋体" w:cs="宋体"/>
                <w:kern w:val="0"/>
              </w:rPr>
            </w:pPr>
            <w:r>
              <w:rPr>
                <w:rFonts w:hint="eastAsia" w:ascii="宋体" w:hAnsi="宋体" w:cs="宋体"/>
                <w:b/>
                <w:bCs/>
                <w:kern w:val="0"/>
              </w:rPr>
              <w:t>良（2.0</w:t>
            </w:r>
            <w:r>
              <w:rPr>
                <w:rFonts w:hint="eastAsia" w:ascii="宋体" w:hAnsi="宋体" w:cs="宋体"/>
                <w:b/>
                <w:bCs/>
                <w:kern w:val="0"/>
                <w:sz w:val="20"/>
                <w:szCs w:val="20"/>
              </w:rPr>
              <w:t>～</w:t>
            </w:r>
            <w:r>
              <w:rPr>
                <w:rFonts w:hint="eastAsia" w:ascii="宋体" w:hAnsi="宋体" w:cs="宋体"/>
                <w:b/>
                <w:bCs/>
                <w:kern w:val="0"/>
              </w:rPr>
              <w:t>2.9分）</w:t>
            </w:r>
            <w:r>
              <w:rPr>
                <w:rFonts w:hint="eastAsia" w:ascii="宋体" w:hAnsi="宋体" w:cs="宋体"/>
                <w:kern w:val="0"/>
              </w:rPr>
              <w:t>：投入计划与进度计划呼应，基本满足施工需要，调配投入计划基本合理、准确。</w:t>
            </w:r>
          </w:p>
          <w:p w14:paraId="58D29B15">
            <w:pPr>
              <w:widowControl/>
              <w:spacing w:line="500" w:lineRule="exact"/>
              <w:ind w:firstLine="420"/>
              <w:rPr>
                <w:rFonts w:ascii="宋体" w:hAnsi="宋体" w:cs="宋体"/>
                <w:kern w:val="0"/>
              </w:rPr>
            </w:pPr>
            <w:r>
              <w:rPr>
                <w:rFonts w:hint="eastAsia" w:ascii="宋体" w:hAnsi="宋体" w:cs="宋体"/>
                <w:b/>
                <w:bCs/>
                <w:kern w:val="0"/>
              </w:rPr>
              <w:t>中（1.0</w:t>
            </w:r>
            <w:r>
              <w:rPr>
                <w:rFonts w:hint="eastAsia" w:ascii="宋体" w:hAnsi="宋体" w:cs="宋体"/>
                <w:b/>
                <w:bCs/>
                <w:kern w:val="0"/>
                <w:sz w:val="20"/>
                <w:szCs w:val="20"/>
              </w:rPr>
              <w:t>～</w:t>
            </w:r>
            <w:r>
              <w:rPr>
                <w:rFonts w:hint="eastAsia" w:ascii="宋体" w:hAnsi="宋体" w:cs="宋体"/>
                <w:b/>
                <w:bCs/>
                <w:kern w:val="0"/>
              </w:rPr>
              <w:t>1.9分）</w:t>
            </w:r>
            <w:r>
              <w:rPr>
                <w:rFonts w:hint="eastAsia" w:ascii="宋体" w:hAnsi="宋体" w:cs="宋体"/>
                <w:kern w:val="0"/>
              </w:rPr>
              <w:t>：投入计划与进度计划呼应，基本满足施工需要，调配投入计划基本合理。</w:t>
            </w:r>
          </w:p>
          <w:p w14:paraId="6288E356">
            <w:pPr>
              <w:widowControl/>
              <w:spacing w:line="500" w:lineRule="exact"/>
              <w:ind w:firstLine="420"/>
              <w:rPr>
                <w:rFonts w:ascii="宋体" w:hAnsi="宋体" w:cs="宋体"/>
              </w:rPr>
            </w:pPr>
            <w:r>
              <w:rPr>
                <w:rFonts w:hint="eastAsia" w:ascii="宋体" w:hAnsi="宋体" w:cs="宋体"/>
                <w:b/>
                <w:bCs/>
                <w:kern w:val="0"/>
              </w:rPr>
              <w:t>差（0</w:t>
            </w:r>
            <w:r>
              <w:rPr>
                <w:rFonts w:hint="eastAsia" w:ascii="宋体" w:hAnsi="宋体" w:cs="宋体"/>
                <w:b/>
                <w:bCs/>
                <w:kern w:val="0"/>
                <w:sz w:val="20"/>
                <w:szCs w:val="20"/>
              </w:rPr>
              <w:t>～0.9</w:t>
            </w:r>
            <w:r>
              <w:rPr>
                <w:rFonts w:hint="eastAsia" w:ascii="宋体" w:hAnsi="宋体" w:cs="宋体"/>
                <w:b/>
                <w:bCs/>
                <w:kern w:val="0"/>
              </w:rPr>
              <w:t>分）</w:t>
            </w:r>
            <w:r>
              <w:rPr>
                <w:rFonts w:hint="eastAsia" w:ascii="宋体" w:hAnsi="宋体" w:cs="宋体"/>
                <w:kern w:val="0"/>
              </w:rPr>
              <w:t>：投入计划与进度计划不呼应，不能满足施工需要。</w:t>
            </w:r>
          </w:p>
        </w:tc>
      </w:tr>
      <w:tr w14:paraId="65DCE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jc w:val="center"/>
        </w:trPr>
        <w:tc>
          <w:tcPr>
            <w:tcW w:w="944" w:type="dxa"/>
            <w:vMerge w:val="continue"/>
            <w:tcBorders>
              <w:left w:val="single" w:color="auto" w:sz="4" w:space="0"/>
              <w:right w:val="single" w:color="auto" w:sz="4" w:space="0"/>
            </w:tcBorders>
            <w:vAlign w:val="center"/>
          </w:tcPr>
          <w:p w14:paraId="5B5A40A1">
            <w:pPr>
              <w:spacing w:line="500" w:lineRule="exact"/>
              <w:jc w:val="center"/>
              <w:rPr>
                <w:rFonts w:ascii="宋体" w:hAnsi="宋体" w:cs="宋体"/>
                <w:kern w:val="0"/>
              </w:rPr>
            </w:pPr>
          </w:p>
        </w:tc>
        <w:tc>
          <w:tcPr>
            <w:tcW w:w="1625" w:type="dxa"/>
            <w:vMerge w:val="continue"/>
            <w:tcBorders>
              <w:left w:val="single" w:color="auto" w:sz="4" w:space="0"/>
              <w:right w:val="single" w:color="auto" w:sz="4" w:space="0"/>
            </w:tcBorders>
            <w:vAlign w:val="center"/>
          </w:tcPr>
          <w:p w14:paraId="7CC36A91">
            <w:pPr>
              <w:widowControl/>
              <w:spacing w:line="500" w:lineRule="exact"/>
              <w:ind w:firstLine="27" w:firstLineChars="13"/>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14:paraId="4E16BBB0">
            <w:pPr>
              <w:widowControl/>
              <w:spacing w:line="500" w:lineRule="exact"/>
              <w:ind w:firstLine="27" w:firstLineChars="13"/>
              <w:jc w:val="center"/>
              <w:rPr>
                <w:rFonts w:ascii="宋体" w:hAnsi="宋体" w:cs="宋体"/>
                <w:b/>
                <w:bCs/>
                <w:kern w:val="0"/>
              </w:rPr>
            </w:pPr>
            <w:r>
              <w:rPr>
                <w:rFonts w:hint="eastAsia" w:ascii="宋体" w:hAnsi="宋体" w:cs="宋体"/>
                <w:b/>
                <w:bCs/>
                <w:kern w:val="0"/>
              </w:rPr>
              <w:t>施工平面布置和临时设施布置</w:t>
            </w:r>
          </w:p>
          <w:p w14:paraId="3FB0A411">
            <w:pPr>
              <w:widowControl/>
              <w:spacing w:line="500" w:lineRule="exact"/>
              <w:ind w:firstLine="26" w:firstLineChars="13"/>
              <w:jc w:val="center"/>
              <w:rPr>
                <w:rFonts w:ascii="宋体" w:hAnsi="宋体" w:cs="宋体"/>
                <w:kern w:val="0"/>
                <w:sz w:val="20"/>
                <w:szCs w:val="20"/>
              </w:rPr>
            </w:pPr>
            <w:r>
              <w:rPr>
                <w:rFonts w:hint="eastAsia" w:ascii="宋体" w:hAnsi="宋体" w:cs="宋体"/>
                <w:b/>
                <w:bCs/>
                <w:kern w:val="0"/>
                <w:sz w:val="20"/>
                <w:szCs w:val="20"/>
              </w:rPr>
              <w:t>（3分）</w:t>
            </w:r>
          </w:p>
          <w:p w14:paraId="6B934982">
            <w:pPr>
              <w:widowControl/>
              <w:spacing w:line="500" w:lineRule="exact"/>
              <w:jc w:val="center"/>
              <w:rPr>
                <w:rFonts w:ascii="宋体" w:hAnsi="宋体" w:cs="宋体"/>
              </w:rPr>
            </w:pPr>
          </w:p>
        </w:tc>
        <w:tc>
          <w:tcPr>
            <w:tcW w:w="5200" w:type="dxa"/>
            <w:tcBorders>
              <w:top w:val="single" w:color="auto" w:sz="4" w:space="0"/>
              <w:left w:val="single" w:color="auto" w:sz="4" w:space="0"/>
              <w:bottom w:val="single" w:color="auto" w:sz="4" w:space="0"/>
              <w:right w:val="single" w:color="auto" w:sz="4" w:space="0"/>
            </w:tcBorders>
            <w:vAlign w:val="center"/>
          </w:tcPr>
          <w:p w14:paraId="5655F646">
            <w:pPr>
              <w:widowControl/>
              <w:spacing w:line="500" w:lineRule="exact"/>
              <w:ind w:firstLine="420"/>
              <w:rPr>
                <w:rFonts w:ascii="宋体" w:hAnsi="宋体" w:cs="宋体"/>
                <w:kern w:val="0"/>
              </w:rPr>
            </w:pPr>
            <w:r>
              <w:rPr>
                <w:rFonts w:hint="eastAsia" w:ascii="宋体" w:hAnsi="宋体" w:cs="宋体"/>
                <w:b/>
                <w:bCs/>
                <w:kern w:val="0"/>
              </w:rPr>
              <w:t>优（3分）</w:t>
            </w:r>
            <w:r>
              <w:rPr>
                <w:rFonts w:hint="eastAsia" w:ascii="宋体" w:hAnsi="宋体" w:cs="宋体"/>
                <w:kern w:val="0"/>
              </w:rPr>
              <w:t>：总体布置有针对性、合理，较好满足施工需要，符合安全、文明生产要求。</w:t>
            </w:r>
          </w:p>
          <w:p w14:paraId="7E121521">
            <w:pPr>
              <w:widowControl/>
              <w:spacing w:line="500" w:lineRule="exact"/>
              <w:ind w:firstLine="420"/>
              <w:rPr>
                <w:rFonts w:ascii="宋体" w:hAnsi="宋体" w:cs="宋体"/>
                <w:kern w:val="0"/>
              </w:rPr>
            </w:pPr>
            <w:r>
              <w:rPr>
                <w:rFonts w:hint="eastAsia" w:ascii="宋体" w:hAnsi="宋体" w:cs="宋体"/>
                <w:b/>
                <w:bCs/>
                <w:kern w:val="0"/>
              </w:rPr>
              <w:t>良（2.0</w:t>
            </w:r>
            <w:r>
              <w:rPr>
                <w:rFonts w:hint="eastAsia" w:ascii="宋体" w:hAnsi="宋体" w:cs="宋体"/>
                <w:b/>
                <w:bCs/>
                <w:kern w:val="0"/>
                <w:sz w:val="20"/>
                <w:szCs w:val="20"/>
              </w:rPr>
              <w:t>～2</w:t>
            </w:r>
            <w:r>
              <w:rPr>
                <w:rFonts w:hint="eastAsia" w:ascii="宋体" w:hAnsi="宋体" w:cs="宋体"/>
                <w:b/>
                <w:bCs/>
                <w:kern w:val="0"/>
              </w:rPr>
              <w:t>.9分）</w:t>
            </w:r>
            <w:r>
              <w:rPr>
                <w:rFonts w:hint="eastAsia" w:ascii="宋体" w:hAnsi="宋体" w:cs="宋体"/>
                <w:kern w:val="0"/>
              </w:rPr>
              <w:t>：总体布置合理，能满足施工需要，基本符合安全、文明生产要求。</w:t>
            </w:r>
          </w:p>
          <w:p w14:paraId="1833AB94">
            <w:pPr>
              <w:widowControl/>
              <w:spacing w:line="500" w:lineRule="exact"/>
              <w:ind w:firstLine="420"/>
              <w:rPr>
                <w:rFonts w:ascii="宋体" w:hAnsi="宋体" w:cs="宋体"/>
                <w:kern w:val="0"/>
              </w:rPr>
            </w:pPr>
            <w:r>
              <w:rPr>
                <w:rFonts w:hint="eastAsia" w:ascii="宋体" w:hAnsi="宋体" w:cs="宋体"/>
                <w:b/>
                <w:bCs/>
                <w:kern w:val="0"/>
              </w:rPr>
              <w:t>中（1.0</w:t>
            </w:r>
            <w:r>
              <w:rPr>
                <w:rFonts w:hint="eastAsia" w:ascii="宋体" w:hAnsi="宋体" w:cs="宋体"/>
                <w:b/>
                <w:bCs/>
                <w:kern w:val="0"/>
                <w:sz w:val="20"/>
                <w:szCs w:val="20"/>
              </w:rPr>
              <w:t>～</w:t>
            </w:r>
            <w:r>
              <w:rPr>
                <w:rFonts w:hint="eastAsia" w:ascii="宋体" w:hAnsi="宋体" w:cs="宋体"/>
                <w:b/>
                <w:bCs/>
                <w:kern w:val="0"/>
              </w:rPr>
              <w:t>1.9分）</w:t>
            </w:r>
            <w:r>
              <w:rPr>
                <w:rFonts w:hint="eastAsia" w:ascii="宋体" w:hAnsi="宋体" w:cs="宋体"/>
                <w:kern w:val="0"/>
              </w:rPr>
              <w:t>：总体布置基本合理，基本满足施工需要。</w:t>
            </w:r>
          </w:p>
          <w:p w14:paraId="3E0E4A96">
            <w:pPr>
              <w:widowControl/>
              <w:spacing w:line="500" w:lineRule="exact"/>
              <w:ind w:firstLine="420"/>
              <w:rPr>
                <w:rFonts w:ascii="宋体" w:hAnsi="宋体" w:cs="宋体"/>
              </w:rPr>
            </w:pPr>
            <w:r>
              <w:rPr>
                <w:rFonts w:hint="eastAsia" w:ascii="宋体" w:hAnsi="宋体" w:cs="宋体"/>
                <w:b/>
                <w:bCs/>
                <w:kern w:val="0"/>
              </w:rPr>
              <w:t>差（0</w:t>
            </w:r>
            <w:r>
              <w:rPr>
                <w:rFonts w:hint="eastAsia" w:ascii="宋体" w:hAnsi="宋体" w:cs="宋体"/>
                <w:b/>
                <w:bCs/>
                <w:kern w:val="0"/>
                <w:sz w:val="20"/>
                <w:szCs w:val="20"/>
              </w:rPr>
              <w:t>～0.9</w:t>
            </w:r>
            <w:r>
              <w:rPr>
                <w:rFonts w:hint="eastAsia" w:ascii="宋体" w:hAnsi="宋体" w:cs="宋体"/>
                <w:b/>
                <w:bCs/>
                <w:kern w:val="0"/>
              </w:rPr>
              <w:t>分）</w:t>
            </w:r>
            <w:r>
              <w:rPr>
                <w:rFonts w:hint="eastAsia" w:ascii="宋体" w:hAnsi="宋体" w:cs="宋体"/>
                <w:kern w:val="0"/>
              </w:rPr>
              <w:t>：总体布置不合理，不符合安全、文明生产要求。</w:t>
            </w:r>
          </w:p>
        </w:tc>
      </w:tr>
      <w:tr w14:paraId="07105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jc w:val="center"/>
        </w:trPr>
        <w:tc>
          <w:tcPr>
            <w:tcW w:w="944" w:type="dxa"/>
            <w:vMerge w:val="continue"/>
            <w:tcBorders>
              <w:left w:val="single" w:color="auto" w:sz="4" w:space="0"/>
              <w:right w:val="single" w:color="auto" w:sz="4" w:space="0"/>
            </w:tcBorders>
            <w:vAlign w:val="center"/>
          </w:tcPr>
          <w:p w14:paraId="5245D2B6">
            <w:pPr>
              <w:spacing w:line="500" w:lineRule="exact"/>
              <w:jc w:val="center"/>
              <w:rPr>
                <w:rFonts w:ascii="宋体" w:hAnsi="宋体" w:cs="宋体"/>
                <w:kern w:val="0"/>
              </w:rPr>
            </w:pPr>
          </w:p>
        </w:tc>
        <w:tc>
          <w:tcPr>
            <w:tcW w:w="1625" w:type="dxa"/>
            <w:vMerge w:val="continue"/>
            <w:tcBorders>
              <w:left w:val="single" w:color="auto" w:sz="4" w:space="0"/>
              <w:right w:val="single" w:color="auto" w:sz="4" w:space="0"/>
            </w:tcBorders>
            <w:vAlign w:val="center"/>
          </w:tcPr>
          <w:p w14:paraId="5B0A2483">
            <w:pPr>
              <w:widowControl/>
              <w:spacing w:line="500" w:lineRule="exact"/>
              <w:ind w:left="27" w:leftChars="13" w:firstLine="27" w:firstLineChars="13"/>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14:paraId="5D6777E4">
            <w:pPr>
              <w:widowControl/>
              <w:spacing w:line="500" w:lineRule="exact"/>
              <w:ind w:left="27" w:leftChars="13" w:firstLine="27" w:firstLineChars="13"/>
              <w:jc w:val="center"/>
              <w:rPr>
                <w:rFonts w:ascii="宋体" w:hAnsi="宋体" w:cs="宋体"/>
                <w:kern w:val="0"/>
                <w:sz w:val="20"/>
                <w:szCs w:val="20"/>
              </w:rPr>
            </w:pPr>
            <w:r>
              <w:rPr>
                <w:rFonts w:hint="eastAsia" w:ascii="宋体" w:hAnsi="宋体" w:cs="宋体"/>
                <w:b/>
                <w:bCs/>
                <w:kern w:val="0"/>
              </w:rPr>
              <w:t xml:space="preserve">关键施工技术、工艺及工程实施的重点、难点和解决方案   </w:t>
            </w:r>
            <w:r>
              <w:rPr>
                <w:rFonts w:hint="eastAsia" w:ascii="宋体" w:hAnsi="宋体" w:cs="宋体"/>
                <w:b/>
                <w:bCs/>
                <w:kern w:val="0"/>
                <w:sz w:val="20"/>
                <w:szCs w:val="20"/>
              </w:rPr>
              <w:t>（12分）</w:t>
            </w:r>
          </w:p>
          <w:p w14:paraId="6AB66D1F">
            <w:pPr>
              <w:widowControl/>
              <w:spacing w:line="500" w:lineRule="exact"/>
              <w:ind w:firstLine="315"/>
              <w:jc w:val="center"/>
              <w:rPr>
                <w:rFonts w:ascii="宋体" w:hAnsi="宋体" w:cs="宋体"/>
              </w:rPr>
            </w:pPr>
          </w:p>
        </w:tc>
        <w:tc>
          <w:tcPr>
            <w:tcW w:w="5200" w:type="dxa"/>
            <w:tcBorders>
              <w:top w:val="single" w:color="auto" w:sz="4" w:space="0"/>
              <w:left w:val="single" w:color="auto" w:sz="4" w:space="0"/>
              <w:bottom w:val="single" w:color="auto" w:sz="4" w:space="0"/>
              <w:right w:val="single" w:color="auto" w:sz="4" w:space="0"/>
            </w:tcBorders>
            <w:vAlign w:val="center"/>
          </w:tcPr>
          <w:p w14:paraId="52E87057">
            <w:pPr>
              <w:widowControl/>
              <w:spacing w:line="500" w:lineRule="exact"/>
              <w:ind w:firstLine="420"/>
              <w:rPr>
                <w:rFonts w:ascii="宋体" w:hAnsi="宋体" w:cs="宋体"/>
                <w:kern w:val="0"/>
              </w:rPr>
            </w:pPr>
            <w:r>
              <w:rPr>
                <w:rFonts w:hint="eastAsia" w:ascii="宋体" w:hAnsi="宋体" w:cs="宋体"/>
                <w:kern w:val="0"/>
              </w:rPr>
              <w:t>优</w:t>
            </w:r>
            <w:r>
              <w:rPr>
                <w:rFonts w:hint="eastAsia" w:ascii="宋体" w:hAnsi="宋体" w:cs="宋体"/>
                <w:b/>
                <w:bCs/>
                <w:kern w:val="0"/>
              </w:rPr>
              <w:t>（12分）</w:t>
            </w:r>
            <w:r>
              <w:rPr>
                <w:rFonts w:hint="eastAsia" w:ascii="宋体" w:hAnsi="宋体" w:cs="宋体"/>
                <w:kern w:val="0"/>
              </w:rPr>
              <w:t>：对项目关键技术、工艺有深入的表达，对重点、难点有先进合理的施工措施并有可行的安全措施，解决方案完整、经济、安全、切实可行，措施得力。</w:t>
            </w:r>
          </w:p>
          <w:p w14:paraId="4DE86049">
            <w:pPr>
              <w:widowControl/>
              <w:spacing w:line="500" w:lineRule="exact"/>
              <w:ind w:firstLine="420"/>
              <w:rPr>
                <w:rFonts w:ascii="宋体" w:hAnsi="宋体" w:cs="宋体"/>
                <w:kern w:val="0"/>
              </w:rPr>
            </w:pPr>
            <w:r>
              <w:rPr>
                <w:rFonts w:hint="eastAsia" w:ascii="宋体" w:hAnsi="宋体" w:cs="宋体"/>
                <w:kern w:val="0"/>
              </w:rPr>
              <w:t>良</w:t>
            </w:r>
            <w:r>
              <w:rPr>
                <w:rFonts w:hint="eastAsia" w:ascii="宋体" w:hAnsi="宋体" w:cs="宋体"/>
                <w:b/>
                <w:bCs/>
                <w:kern w:val="0"/>
              </w:rPr>
              <w:t>（4.0</w:t>
            </w:r>
            <w:r>
              <w:rPr>
                <w:rFonts w:hint="eastAsia" w:ascii="宋体" w:hAnsi="宋体" w:cs="宋体"/>
                <w:b/>
                <w:bCs/>
                <w:kern w:val="0"/>
                <w:sz w:val="20"/>
                <w:szCs w:val="20"/>
              </w:rPr>
              <w:t>～11</w:t>
            </w:r>
            <w:r>
              <w:rPr>
                <w:rFonts w:hint="eastAsia" w:ascii="宋体" w:hAnsi="宋体" w:cs="宋体"/>
                <w:b/>
                <w:bCs/>
                <w:kern w:val="0"/>
              </w:rPr>
              <w:t>.9分）</w:t>
            </w:r>
            <w:r>
              <w:rPr>
                <w:rFonts w:hint="eastAsia" w:ascii="宋体" w:hAnsi="宋体" w:cs="宋体"/>
                <w:kern w:val="0"/>
              </w:rPr>
              <w:t>：对项目关键技术、工艺有深入的表达，对重点、难点有合理的建议，解决方案经济、安全、基本可行。</w:t>
            </w:r>
          </w:p>
          <w:p w14:paraId="0C94C2D1">
            <w:pPr>
              <w:widowControl/>
              <w:spacing w:line="500" w:lineRule="exact"/>
              <w:ind w:firstLine="420"/>
              <w:rPr>
                <w:rFonts w:ascii="宋体" w:hAnsi="宋体" w:cs="宋体"/>
                <w:kern w:val="0"/>
              </w:rPr>
            </w:pPr>
            <w:r>
              <w:rPr>
                <w:rFonts w:hint="eastAsia" w:ascii="宋体" w:hAnsi="宋体" w:cs="宋体"/>
                <w:kern w:val="0"/>
              </w:rPr>
              <w:t>中</w:t>
            </w:r>
            <w:r>
              <w:rPr>
                <w:rFonts w:hint="eastAsia" w:ascii="宋体" w:hAnsi="宋体" w:cs="宋体"/>
                <w:b/>
                <w:bCs/>
                <w:kern w:val="0"/>
              </w:rPr>
              <w:t>（2.0</w:t>
            </w:r>
            <w:r>
              <w:rPr>
                <w:rFonts w:hint="eastAsia" w:ascii="宋体" w:hAnsi="宋体" w:cs="宋体"/>
                <w:b/>
                <w:bCs/>
                <w:kern w:val="0"/>
                <w:sz w:val="20"/>
                <w:szCs w:val="20"/>
              </w:rPr>
              <w:t>～3.9</w:t>
            </w:r>
            <w:r>
              <w:rPr>
                <w:rFonts w:hint="eastAsia" w:ascii="宋体" w:hAnsi="宋体" w:cs="宋体"/>
                <w:b/>
                <w:bCs/>
                <w:kern w:val="0"/>
              </w:rPr>
              <w:t>分）</w:t>
            </w:r>
            <w:r>
              <w:rPr>
                <w:rFonts w:hint="eastAsia" w:ascii="宋体" w:hAnsi="宋体" w:cs="宋体"/>
                <w:kern w:val="0"/>
              </w:rPr>
              <w:t>：对项目关键技术有一定了解，对重点、难点有建议，解决方案基本可行。</w:t>
            </w:r>
          </w:p>
          <w:p w14:paraId="4C0BA678">
            <w:pPr>
              <w:widowControl/>
              <w:spacing w:line="500" w:lineRule="exact"/>
              <w:ind w:firstLine="315"/>
              <w:rPr>
                <w:rFonts w:ascii="宋体" w:hAnsi="宋体" w:cs="宋体"/>
                <w:kern w:val="0"/>
              </w:rPr>
            </w:pPr>
            <w:r>
              <w:rPr>
                <w:rFonts w:hint="eastAsia" w:ascii="宋体" w:hAnsi="宋体" w:cs="宋体"/>
                <w:kern w:val="0"/>
              </w:rPr>
              <w:t>差</w:t>
            </w:r>
            <w:r>
              <w:rPr>
                <w:rFonts w:hint="eastAsia" w:ascii="宋体" w:hAnsi="宋体" w:cs="宋体"/>
                <w:b/>
                <w:bCs/>
                <w:kern w:val="0"/>
              </w:rPr>
              <w:t>（0</w:t>
            </w:r>
            <w:r>
              <w:rPr>
                <w:rFonts w:hint="eastAsia" w:ascii="宋体" w:hAnsi="宋体" w:cs="宋体"/>
                <w:b/>
                <w:bCs/>
                <w:kern w:val="0"/>
                <w:sz w:val="20"/>
                <w:szCs w:val="20"/>
              </w:rPr>
              <w:t>～1.9</w:t>
            </w:r>
            <w:r>
              <w:rPr>
                <w:rFonts w:hint="eastAsia" w:ascii="宋体" w:hAnsi="宋体" w:cs="宋体"/>
                <w:b/>
                <w:bCs/>
                <w:kern w:val="0"/>
              </w:rPr>
              <w:t>分）</w:t>
            </w:r>
            <w:r>
              <w:rPr>
                <w:rFonts w:hint="eastAsia" w:ascii="宋体" w:hAnsi="宋体" w:cs="宋体"/>
                <w:kern w:val="0"/>
              </w:rPr>
              <w:t>：对项目关键技术有表述，对重点、难点有建议，解决方案不可行。</w:t>
            </w:r>
          </w:p>
        </w:tc>
      </w:tr>
      <w:tr w14:paraId="3F0C7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jc w:val="center"/>
        </w:trPr>
        <w:tc>
          <w:tcPr>
            <w:tcW w:w="944" w:type="dxa"/>
            <w:vMerge w:val="continue"/>
            <w:tcBorders>
              <w:left w:val="single" w:color="auto" w:sz="4" w:space="0"/>
              <w:right w:val="single" w:color="auto" w:sz="4" w:space="0"/>
            </w:tcBorders>
            <w:vAlign w:val="center"/>
          </w:tcPr>
          <w:p w14:paraId="3EFCB8B0">
            <w:pPr>
              <w:spacing w:line="500" w:lineRule="exact"/>
              <w:jc w:val="center"/>
              <w:rPr>
                <w:rFonts w:ascii="宋体" w:hAnsi="宋体" w:cs="宋体"/>
                <w:kern w:val="0"/>
              </w:rPr>
            </w:pPr>
          </w:p>
        </w:tc>
        <w:tc>
          <w:tcPr>
            <w:tcW w:w="1625" w:type="dxa"/>
            <w:vMerge w:val="continue"/>
            <w:tcBorders>
              <w:left w:val="single" w:color="auto" w:sz="4" w:space="0"/>
              <w:right w:val="single" w:color="auto" w:sz="4" w:space="0"/>
            </w:tcBorders>
            <w:vAlign w:val="center"/>
          </w:tcPr>
          <w:p w14:paraId="20FE3A3A">
            <w:pPr>
              <w:widowControl/>
              <w:spacing w:line="500" w:lineRule="exact"/>
              <w:ind w:left="27" w:leftChars="13" w:firstLine="27" w:firstLineChars="13"/>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14:paraId="2AC02AB5">
            <w:pPr>
              <w:widowControl/>
              <w:spacing w:line="500" w:lineRule="exact"/>
              <w:ind w:left="27" w:leftChars="13" w:firstLine="27" w:firstLineChars="13"/>
              <w:jc w:val="center"/>
              <w:rPr>
                <w:rFonts w:ascii="宋体" w:hAnsi="宋体" w:cs="宋体"/>
                <w:kern w:val="0"/>
                <w:sz w:val="20"/>
                <w:szCs w:val="20"/>
              </w:rPr>
            </w:pPr>
            <w:r>
              <w:rPr>
                <w:rFonts w:hint="eastAsia" w:ascii="宋体" w:hAnsi="宋体" w:cs="宋体"/>
                <w:b/>
                <w:bCs/>
                <w:kern w:val="0"/>
              </w:rPr>
              <w:t xml:space="preserve">安全文明施工措施  </w:t>
            </w:r>
            <w:r>
              <w:rPr>
                <w:rFonts w:hint="eastAsia" w:ascii="宋体" w:hAnsi="宋体" w:cs="宋体"/>
                <w:b/>
                <w:bCs/>
                <w:kern w:val="0"/>
                <w:sz w:val="20"/>
                <w:szCs w:val="20"/>
              </w:rPr>
              <w:t>（14分）</w:t>
            </w:r>
          </w:p>
          <w:p w14:paraId="13EA0133">
            <w:pPr>
              <w:widowControl/>
              <w:spacing w:line="500" w:lineRule="exact"/>
              <w:ind w:left="27" w:leftChars="13" w:firstLine="27" w:firstLineChars="13"/>
              <w:jc w:val="center"/>
              <w:rPr>
                <w:rFonts w:ascii="宋体" w:hAnsi="宋体" w:cs="宋体"/>
              </w:rPr>
            </w:pPr>
          </w:p>
        </w:tc>
        <w:tc>
          <w:tcPr>
            <w:tcW w:w="5200" w:type="dxa"/>
            <w:tcBorders>
              <w:top w:val="single" w:color="auto" w:sz="4" w:space="0"/>
              <w:left w:val="single" w:color="auto" w:sz="4" w:space="0"/>
              <w:bottom w:val="single" w:color="auto" w:sz="4" w:space="0"/>
              <w:right w:val="single" w:color="auto" w:sz="4" w:space="0"/>
            </w:tcBorders>
            <w:vAlign w:val="center"/>
          </w:tcPr>
          <w:p w14:paraId="2C89E5E8">
            <w:pPr>
              <w:widowControl/>
              <w:spacing w:line="500" w:lineRule="exact"/>
              <w:ind w:firstLine="420"/>
              <w:rPr>
                <w:rFonts w:ascii="宋体" w:hAnsi="宋体" w:cs="宋体"/>
                <w:b/>
                <w:bCs/>
                <w:kern w:val="0"/>
              </w:rPr>
            </w:pPr>
            <w:r>
              <w:rPr>
                <w:rFonts w:hint="eastAsia" w:ascii="宋体" w:hAnsi="宋体" w:cs="宋体"/>
                <w:b/>
                <w:bCs/>
                <w:kern w:val="0"/>
              </w:rPr>
              <w:t>优（12.1～14分）：针对项目实际情况，有先进、具体、完整、可行的实施措施，采用规范正确、清晰。</w:t>
            </w:r>
          </w:p>
          <w:p w14:paraId="18F92986">
            <w:pPr>
              <w:widowControl/>
              <w:spacing w:line="500" w:lineRule="exact"/>
              <w:ind w:firstLine="420"/>
              <w:rPr>
                <w:rFonts w:ascii="宋体" w:hAnsi="宋体" w:cs="宋体"/>
                <w:b/>
                <w:bCs/>
                <w:kern w:val="0"/>
              </w:rPr>
            </w:pPr>
            <w:r>
              <w:rPr>
                <w:rFonts w:hint="eastAsia" w:ascii="宋体" w:hAnsi="宋体" w:cs="宋体"/>
                <w:b/>
                <w:bCs/>
                <w:kern w:val="0"/>
              </w:rPr>
              <w:t>良（8.1～12分）：针对项目实际情况，有合理的措施且具体、完整，采用规范正确。</w:t>
            </w:r>
          </w:p>
          <w:p w14:paraId="346F1804">
            <w:pPr>
              <w:widowControl/>
              <w:spacing w:line="500" w:lineRule="exact"/>
              <w:ind w:firstLine="420"/>
              <w:rPr>
                <w:rFonts w:ascii="宋体" w:hAnsi="宋体" w:cs="宋体"/>
                <w:b/>
                <w:bCs/>
                <w:kern w:val="0"/>
              </w:rPr>
            </w:pPr>
            <w:r>
              <w:rPr>
                <w:rFonts w:hint="eastAsia" w:ascii="宋体" w:hAnsi="宋体" w:cs="宋体"/>
                <w:b/>
                <w:bCs/>
                <w:kern w:val="0"/>
              </w:rPr>
              <w:t>中（4.1～8分）：有基本合理的措施，采用规范正确。</w:t>
            </w:r>
          </w:p>
          <w:p w14:paraId="1A74A0D2">
            <w:pPr>
              <w:widowControl/>
              <w:spacing w:line="500" w:lineRule="exact"/>
              <w:ind w:firstLine="420"/>
              <w:rPr>
                <w:rFonts w:ascii="宋体" w:hAnsi="宋体" w:cs="宋体"/>
                <w:kern w:val="0"/>
              </w:rPr>
            </w:pPr>
            <w:r>
              <w:rPr>
                <w:rFonts w:hint="eastAsia" w:ascii="宋体" w:hAnsi="宋体" w:cs="宋体"/>
                <w:b/>
                <w:bCs/>
                <w:kern w:val="0"/>
              </w:rPr>
              <w:t>差（0～4分）：安全文明措施不得力，采用规范不正确。</w:t>
            </w:r>
          </w:p>
        </w:tc>
      </w:tr>
      <w:tr w14:paraId="1CFB2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0" w:hRule="atLeast"/>
          <w:jc w:val="center"/>
        </w:trPr>
        <w:tc>
          <w:tcPr>
            <w:tcW w:w="944" w:type="dxa"/>
            <w:vMerge w:val="continue"/>
            <w:tcBorders>
              <w:left w:val="single" w:color="auto" w:sz="4" w:space="0"/>
              <w:right w:val="single" w:color="auto" w:sz="4" w:space="0"/>
            </w:tcBorders>
            <w:vAlign w:val="center"/>
          </w:tcPr>
          <w:p w14:paraId="488DECEB">
            <w:pPr>
              <w:spacing w:line="500" w:lineRule="exact"/>
              <w:jc w:val="center"/>
              <w:rPr>
                <w:rFonts w:ascii="宋体" w:hAnsi="宋体" w:cs="宋体"/>
                <w:kern w:val="0"/>
              </w:rPr>
            </w:pPr>
          </w:p>
        </w:tc>
        <w:tc>
          <w:tcPr>
            <w:tcW w:w="1625" w:type="dxa"/>
            <w:vMerge w:val="continue"/>
            <w:tcBorders>
              <w:left w:val="single" w:color="auto" w:sz="4" w:space="0"/>
              <w:right w:val="single" w:color="auto" w:sz="4" w:space="0"/>
            </w:tcBorders>
            <w:vAlign w:val="center"/>
          </w:tcPr>
          <w:p w14:paraId="10722DB4">
            <w:pPr>
              <w:widowControl/>
              <w:spacing w:line="500" w:lineRule="exact"/>
              <w:ind w:left="27" w:leftChars="13" w:firstLine="27" w:firstLineChars="13"/>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14:paraId="49CCB1AF">
            <w:pPr>
              <w:widowControl/>
              <w:spacing w:line="500" w:lineRule="exact"/>
              <w:ind w:left="27" w:leftChars="13" w:firstLine="27" w:firstLineChars="13"/>
              <w:jc w:val="center"/>
              <w:rPr>
                <w:rFonts w:ascii="宋体" w:hAnsi="宋体" w:cs="宋体"/>
                <w:b/>
                <w:bCs/>
                <w:kern w:val="0"/>
              </w:rPr>
            </w:pPr>
            <w:r>
              <w:rPr>
                <w:rFonts w:hint="eastAsia" w:ascii="宋体" w:hAnsi="宋体" w:cs="宋体"/>
                <w:b/>
                <w:bCs/>
                <w:kern w:val="0"/>
              </w:rPr>
              <w:t xml:space="preserve">质量保证与承诺   </w:t>
            </w:r>
            <w:r>
              <w:rPr>
                <w:rFonts w:hint="eastAsia" w:ascii="宋体" w:hAnsi="宋体" w:cs="宋体"/>
                <w:b/>
                <w:bCs/>
                <w:kern w:val="0"/>
                <w:sz w:val="20"/>
                <w:szCs w:val="20"/>
              </w:rPr>
              <w:t>（6分）</w:t>
            </w:r>
          </w:p>
          <w:p w14:paraId="436598AF">
            <w:pPr>
              <w:widowControl/>
              <w:spacing w:line="500" w:lineRule="exact"/>
              <w:ind w:firstLine="420"/>
              <w:jc w:val="center"/>
              <w:rPr>
                <w:rFonts w:ascii="宋体" w:hAnsi="宋体" w:cs="宋体"/>
              </w:rPr>
            </w:pPr>
          </w:p>
        </w:tc>
        <w:tc>
          <w:tcPr>
            <w:tcW w:w="5200" w:type="dxa"/>
            <w:tcBorders>
              <w:top w:val="single" w:color="auto" w:sz="4" w:space="0"/>
              <w:left w:val="single" w:color="auto" w:sz="4" w:space="0"/>
              <w:bottom w:val="single" w:color="auto" w:sz="4" w:space="0"/>
              <w:right w:val="single" w:color="auto" w:sz="4" w:space="0"/>
            </w:tcBorders>
            <w:vAlign w:val="center"/>
          </w:tcPr>
          <w:p w14:paraId="3A208499">
            <w:pPr>
              <w:widowControl/>
              <w:spacing w:line="500" w:lineRule="exact"/>
              <w:ind w:firstLine="420"/>
              <w:rPr>
                <w:rFonts w:ascii="宋体" w:hAnsi="宋体" w:cs="宋体"/>
                <w:kern w:val="0"/>
              </w:rPr>
            </w:pPr>
            <w:r>
              <w:rPr>
                <w:rFonts w:hint="eastAsia" w:ascii="宋体" w:hAnsi="宋体" w:cs="宋体"/>
                <w:b/>
                <w:bCs/>
                <w:kern w:val="0"/>
              </w:rPr>
              <w:t>优（6分）</w:t>
            </w:r>
            <w:r>
              <w:rPr>
                <w:rFonts w:hint="eastAsia" w:ascii="宋体" w:hAnsi="宋体" w:cs="宋体"/>
                <w:kern w:val="0"/>
              </w:rPr>
              <w:t>：针对项目实际提出先进、可行、具体的保证措施，超过招标文件的质量要求及施工验收规范要求。</w:t>
            </w:r>
          </w:p>
          <w:p w14:paraId="6F6A39CD">
            <w:pPr>
              <w:widowControl/>
              <w:spacing w:line="500" w:lineRule="exact"/>
              <w:ind w:firstLine="420"/>
              <w:rPr>
                <w:rFonts w:ascii="宋体" w:hAnsi="宋体" w:cs="宋体"/>
                <w:kern w:val="0"/>
              </w:rPr>
            </w:pPr>
            <w:r>
              <w:rPr>
                <w:rFonts w:hint="eastAsia" w:ascii="宋体" w:hAnsi="宋体" w:cs="宋体"/>
                <w:b/>
                <w:bCs/>
                <w:kern w:val="0"/>
              </w:rPr>
              <w:t>良（3.0</w:t>
            </w:r>
            <w:r>
              <w:rPr>
                <w:rFonts w:hint="eastAsia" w:ascii="宋体" w:hAnsi="宋体" w:cs="宋体"/>
                <w:b/>
                <w:bCs/>
                <w:kern w:val="0"/>
                <w:sz w:val="20"/>
                <w:szCs w:val="20"/>
              </w:rPr>
              <w:t>～5</w:t>
            </w:r>
            <w:r>
              <w:rPr>
                <w:rFonts w:hint="eastAsia" w:ascii="宋体" w:hAnsi="宋体" w:cs="宋体"/>
                <w:b/>
                <w:bCs/>
                <w:kern w:val="0"/>
              </w:rPr>
              <w:t>.9分）</w:t>
            </w:r>
            <w:r>
              <w:rPr>
                <w:rFonts w:hint="eastAsia" w:ascii="宋体" w:hAnsi="宋体" w:cs="宋体"/>
                <w:kern w:val="0"/>
              </w:rPr>
              <w:t>：针对项目实际提出先进、可行、具体的保证措施，满足招标文件的质量要求。</w:t>
            </w:r>
          </w:p>
          <w:p w14:paraId="18FA65E2">
            <w:pPr>
              <w:widowControl/>
              <w:spacing w:line="500" w:lineRule="exact"/>
              <w:ind w:firstLine="420"/>
              <w:rPr>
                <w:rFonts w:ascii="宋体" w:hAnsi="宋体" w:cs="宋体"/>
                <w:kern w:val="0"/>
              </w:rPr>
            </w:pPr>
            <w:r>
              <w:rPr>
                <w:rFonts w:hint="eastAsia" w:ascii="宋体" w:hAnsi="宋体" w:cs="宋体"/>
                <w:b/>
                <w:bCs/>
                <w:kern w:val="0"/>
              </w:rPr>
              <w:t>中（1.0</w:t>
            </w:r>
            <w:r>
              <w:rPr>
                <w:rFonts w:hint="eastAsia" w:ascii="宋体" w:hAnsi="宋体" w:cs="宋体"/>
                <w:b/>
                <w:bCs/>
                <w:kern w:val="0"/>
                <w:sz w:val="20"/>
                <w:szCs w:val="20"/>
              </w:rPr>
              <w:t>～2</w:t>
            </w:r>
            <w:r>
              <w:rPr>
                <w:rFonts w:hint="eastAsia" w:ascii="宋体" w:hAnsi="宋体" w:cs="宋体"/>
                <w:b/>
                <w:bCs/>
                <w:kern w:val="0"/>
              </w:rPr>
              <w:t>.9分）</w:t>
            </w:r>
            <w:r>
              <w:rPr>
                <w:rFonts w:hint="eastAsia" w:ascii="宋体" w:hAnsi="宋体" w:cs="宋体"/>
                <w:kern w:val="0"/>
              </w:rPr>
              <w:t>：具体措施可行，满足招标文件的质量要求。</w:t>
            </w:r>
          </w:p>
          <w:p w14:paraId="5FF06FA2">
            <w:pPr>
              <w:widowControl/>
              <w:spacing w:line="500" w:lineRule="exact"/>
              <w:ind w:firstLine="420"/>
              <w:rPr>
                <w:rFonts w:ascii="宋体" w:hAnsi="宋体" w:cs="宋体"/>
                <w:kern w:val="0"/>
              </w:rPr>
            </w:pPr>
            <w:r>
              <w:rPr>
                <w:rFonts w:hint="eastAsia" w:ascii="宋体" w:hAnsi="宋体" w:cs="宋体"/>
                <w:b/>
                <w:bCs/>
                <w:kern w:val="0"/>
              </w:rPr>
              <w:t>差（0</w:t>
            </w:r>
            <w:r>
              <w:rPr>
                <w:rFonts w:hint="eastAsia" w:ascii="宋体" w:hAnsi="宋体" w:cs="宋体"/>
                <w:b/>
                <w:bCs/>
                <w:kern w:val="0"/>
                <w:sz w:val="20"/>
                <w:szCs w:val="20"/>
              </w:rPr>
              <w:t>～0.9</w:t>
            </w:r>
            <w:r>
              <w:rPr>
                <w:rFonts w:hint="eastAsia" w:ascii="宋体" w:hAnsi="宋体" w:cs="宋体"/>
                <w:b/>
                <w:bCs/>
                <w:kern w:val="0"/>
              </w:rPr>
              <w:t>分）</w:t>
            </w:r>
            <w:r>
              <w:rPr>
                <w:rFonts w:hint="eastAsia" w:ascii="宋体" w:hAnsi="宋体" w:cs="宋体"/>
                <w:kern w:val="0"/>
              </w:rPr>
              <w:t>：措施不可行。</w:t>
            </w:r>
          </w:p>
        </w:tc>
      </w:tr>
      <w:tr w14:paraId="3486B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jc w:val="center"/>
        </w:trPr>
        <w:tc>
          <w:tcPr>
            <w:tcW w:w="944" w:type="dxa"/>
            <w:vMerge w:val="continue"/>
            <w:tcBorders>
              <w:left w:val="single" w:color="auto" w:sz="4" w:space="0"/>
              <w:right w:val="single" w:color="auto" w:sz="4" w:space="0"/>
            </w:tcBorders>
            <w:vAlign w:val="center"/>
          </w:tcPr>
          <w:p w14:paraId="4C7C630E">
            <w:pPr>
              <w:spacing w:line="500" w:lineRule="exact"/>
              <w:jc w:val="center"/>
              <w:rPr>
                <w:rFonts w:ascii="宋体" w:hAnsi="宋体" w:cs="宋体"/>
                <w:kern w:val="0"/>
              </w:rPr>
            </w:pPr>
          </w:p>
        </w:tc>
        <w:tc>
          <w:tcPr>
            <w:tcW w:w="1625" w:type="dxa"/>
            <w:vMerge w:val="continue"/>
            <w:tcBorders>
              <w:left w:val="single" w:color="auto" w:sz="4" w:space="0"/>
              <w:right w:val="single" w:color="auto" w:sz="4" w:space="0"/>
            </w:tcBorders>
            <w:vAlign w:val="center"/>
          </w:tcPr>
          <w:p w14:paraId="2EA7AA2F">
            <w:pPr>
              <w:widowControl/>
              <w:spacing w:line="500" w:lineRule="exact"/>
              <w:ind w:left="27" w:leftChars="13" w:firstLine="27" w:firstLineChars="13"/>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14:paraId="2AAFB1B8">
            <w:pPr>
              <w:widowControl/>
              <w:spacing w:line="500" w:lineRule="exact"/>
              <w:ind w:left="27" w:leftChars="13" w:firstLine="27" w:firstLineChars="13"/>
              <w:jc w:val="center"/>
              <w:rPr>
                <w:rFonts w:ascii="宋体" w:hAnsi="宋体" w:cs="宋体"/>
                <w:kern w:val="0"/>
                <w:sz w:val="20"/>
                <w:szCs w:val="20"/>
              </w:rPr>
            </w:pPr>
            <w:r>
              <w:rPr>
                <w:rFonts w:hint="eastAsia" w:ascii="宋体" w:hAnsi="宋体" w:cs="宋体"/>
                <w:b/>
                <w:bCs/>
                <w:kern w:val="0"/>
              </w:rPr>
              <w:t xml:space="preserve">新技术应用与承诺 </w:t>
            </w:r>
            <w:r>
              <w:rPr>
                <w:rFonts w:hint="eastAsia" w:ascii="宋体" w:hAnsi="宋体" w:cs="宋体"/>
                <w:b/>
                <w:bCs/>
                <w:kern w:val="0"/>
                <w:sz w:val="20"/>
                <w:szCs w:val="20"/>
              </w:rPr>
              <w:t>（2分）</w:t>
            </w:r>
          </w:p>
          <w:p w14:paraId="5BC52BB0">
            <w:pPr>
              <w:widowControl/>
              <w:spacing w:line="500" w:lineRule="exact"/>
              <w:ind w:left="27" w:leftChars="13" w:firstLine="27" w:firstLineChars="13"/>
              <w:jc w:val="center"/>
              <w:rPr>
                <w:rFonts w:ascii="宋体" w:hAnsi="宋体" w:cs="宋体"/>
              </w:rPr>
            </w:pPr>
          </w:p>
        </w:tc>
        <w:tc>
          <w:tcPr>
            <w:tcW w:w="5200" w:type="dxa"/>
            <w:tcBorders>
              <w:top w:val="single" w:color="auto" w:sz="4" w:space="0"/>
              <w:left w:val="single" w:color="auto" w:sz="4" w:space="0"/>
              <w:bottom w:val="single" w:color="auto" w:sz="4" w:space="0"/>
              <w:right w:val="single" w:color="auto" w:sz="4" w:space="0"/>
            </w:tcBorders>
            <w:vAlign w:val="center"/>
          </w:tcPr>
          <w:p w14:paraId="661D4E14">
            <w:pPr>
              <w:widowControl/>
              <w:spacing w:line="500" w:lineRule="exact"/>
              <w:ind w:firstLine="420"/>
              <w:rPr>
                <w:rFonts w:ascii="宋体" w:hAnsi="宋体" w:cs="宋体"/>
              </w:rPr>
            </w:pPr>
            <w:r>
              <w:rPr>
                <w:rFonts w:hint="eastAsia" w:ascii="宋体" w:hAnsi="宋体" w:cs="宋体"/>
              </w:rPr>
              <w:t>优（1.1～2分）：针对项目实际，提出采用新技术的具体措施。新技术的验证材料可靠，对节约投资和工期的保证措施得力、具体、严谨。对采用新技术可能产生的风险预见充分，对新技术的实施有安全生产的可靠方案。</w:t>
            </w:r>
          </w:p>
          <w:p w14:paraId="289BEB6D">
            <w:pPr>
              <w:widowControl/>
              <w:spacing w:line="500" w:lineRule="exact"/>
              <w:ind w:firstLine="420"/>
              <w:rPr>
                <w:rFonts w:ascii="宋体" w:hAnsi="宋体" w:cs="宋体"/>
              </w:rPr>
            </w:pPr>
            <w:r>
              <w:rPr>
                <w:rFonts w:hint="eastAsia" w:ascii="宋体" w:hAnsi="宋体" w:cs="宋体"/>
              </w:rPr>
              <w:t>良（0.6～1分）：针对项目实际，提出采用新技术的具体措施。新技术的验证材料可靠，对节约投资和工期有保证措施。对采用新技术可能产生的风险有一定的预见。</w:t>
            </w:r>
          </w:p>
          <w:p w14:paraId="2A01E758">
            <w:pPr>
              <w:widowControl/>
              <w:spacing w:line="500" w:lineRule="exact"/>
              <w:ind w:firstLine="420"/>
              <w:rPr>
                <w:rFonts w:ascii="宋体" w:hAnsi="宋体" w:cs="宋体"/>
              </w:rPr>
            </w:pPr>
            <w:r>
              <w:rPr>
                <w:rFonts w:hint="eastAsia" w:ascii="宋体" w:hAnsi="宋体" w:cs="宋体"/>
              </w:rPr>
              <w:t>中（0.1～0.5分）：有新技术措施，但验证材料不充分，对节约投资和工期可能有一定收益，对采用新技术可能产生的风险预见不足。</w:t>
            </w:r>
          </w:p>
          <w:p w14:paraId="7F2B15FC">
            <w:pPr>
              <w:widowControl/>
              <w:spacing w:line="500" w:lineRule="exact"/>
              <w:ind w:firstLine="420"/>
              <w:rPr>
                <w:rFonts w:ascii="宋体" w:hAnsi="宋体" w:cs="宋体"/>
              </w:rPr>
            </w:pPr>
            <w:r>
              <w:rPr>
                <w:rFonts w:hint="eastAsia" w:ascii="宋体" w:hAnsi="宋体" w:cs="宋体"/>
              </w:rPr>
              <w:t>差（0分）：采用的新技术针对性不强或验证材料不可靠，对节约投资和工期没有具体收益。</w:t>
            </w:r>
          </w:p>
        </w:tc>
      </w:tr>
      <w:tr w14:paraId="59E48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4" w:type="dxa"/>
            <w:vMerge w:val="continue"/>
            <w:tcBorders>
              <w:left w:val="single" w:color="auto" w:sz="4" w:space="0"/>
              <w:right w:val="single" w:color="auto" w:sz="4" w:space="0"/>
            </w:tcBorders>
            <w:vAlign w:val="center"/>
          </w:tcPr>
          <w:p w14:paraId="08DA95FE">
            <w:pPr>
              <w:spacing w:line="500" w:lineRule="exact"/>
              <w:jc w:val="center"/>
              <w:rPr>
                <w:rFonts w:ascii="宋体" w:hAnsi="宋体" w:cs="宋体"/>
                <w:kern w:val="0"/>
              </w:rPr>
            </w:pPr>
          </w:p>
        </w:tc>
        <w:tc>
          <w:tcPr>
            <w:tcW w:w="1625" w:type="dxa"/>
            <w:tcBorders>
              <w:top w:val="single" w:color="auto" w:sz="4" w:space="0"/>
              <w:left w:val="single" w:color="auto" w:sz="4" w:space="0"/>
              <w:right w:val="single" w:color="auto" w:sz="4" w:space="0"/>
            </w:tcBorders>
            <w:vAlign w:val="center"/>
          </w:tcPr>
          <w:p w14:paraId="691CDD1C">
            <w:pPr>
              <w:spacing w:line="500" w:lineRule="exact"/>
              <w:jc w:val="center"/>
              <w:rPr>
                <w:rFonts w:ascii="宋体" w:hAnsi="宋体" w:cs="宋体"/>
              </w:rPr>
            </w:pPr>
            <w:r>
              <w:rPr>
                <w:rFonts w:hint="eastAsia" w:ascii="宋体" w:hAnsi="宋体" w:cs="宋体"/>
              </w:rPr>
              <w:t>（2）企业信誉</w:t>
            </w:r>
            <w:r>
              <w:rPr>
                <w:rFonts w:hint="eastAsia" w:ascii="宋体" w:hAnsi="宋体" w:cs="宋体"/>
                <w:kern w:val="0"/>
              </w:rPr>
              <w:t>（满分4分）</w:t>
            </w:r>
          </w:p>
        </w:tc>
        <w:tc>
          <w:tcPr>
            <w:tcW w:w="7379" w:type="dxa"/>
            <w:gridSpan w:val="2"/>
            <w:tcBorders>
              <w:top w:val="single" w:color="auto" w:sz="4" w:space="0"/>
              <w:left w:val="single" w:color="auto" w:sz="4" w:space="0"/>
              <w:bottom w:val="single" w:color="auto" w:sz="4" w:space="0"/>
              <w:right w:val="single" w:color="auto" w:sz="4" w:space="0"/>
            </w:tcBorders>
            <w:vAlign w:val="center"/>
          </w:tcPr>
          <w:p w14:paraId="4A0C1AA6">
            <w:pPr>
              <w:spacing w:line="500" w:lineRule="exact"/>
              <w:rPr>
                <w:rFonts w:ascii="宋体" w:hAnsi="宋体" w:cs="宋体"/>
                <w:szCs w:val="21"/>
                <w:lang w:val="en-GB"/>
              </w:rPr>
            </w:pPr>
            <w:r>
              <w:rPr>
                <w:rFonts w:hint="eastAsia" w:ascii="宋体" w:hAnsi="宋体" w:cs="宋体"/>
                <w:szCs w:val="21"/>
              </w:rPr>
              <w:t>1、</w:t>
            </w:r>
            <w:r>
              <w:rPr>
                <w:rFonts w:hint="eastAsia" w:ascii="宋体" w:hAnsi="宋体" w:cs="宋体"/>
                <w:bCs/>
                <w:szCs w:val="21"/>
              </w:rPr>
              <w:t>20</w:t>
            </w:r>
            <w:r>
              <w:rPr>
                <w:rFonts w:ascii="宋体" w:hAnsi="宋体" w:cs="宋体"/>
                <w:bCs/>
                <w:szCs w:val="21"/>
              </w:rPr>
              <w:t>2</w:t>
            </w:r>
            <w:r>
              <w:rPr>
                <w:rFonts w:hint="eastAsia" w:ascii="宋体" w:hAnsi="宋体" w:cs="宋体"/>
                <w:bCs/>
                <w:szCs w:val="21"/>
                <w:lang w:val="en-US" w:eastAsia="zh-CN"/>
              </w:rPr>
              <w:t>3</w:t>
            </w:r>
            <w:r>
              <w:rPr>
                <w:rFonts w:hint="eastAsia" w:ascii="宋体" w:hAnsi="宋体" w:cs="宋体"/>
                <w:bCs/>
                <w:szCs w:val="21"/>
              </w:rPr>
              <w:t>年以来具有类似工程施工业绩</w:t>
            </w:r>
            <w:r>
              <w:rPr>
                <w:rFonts w:hint="eastAsia" w:ascii="新宋体" w:hAnsi="新宋体" w:eastAsia="新宋体" w:cs="宋体"/>
                <w:bCs/>
                <w:w w:val="99"/>
                <w:kern w:val="0"/>
                <w:sz w:val="24"/>
              </w:rPr>
              <w:t>（如有，请提供合同协议书或中标通知书复印件）</w:t>
            </w:r>
            <w:r>
              <w:rPr>
                <w:rFonts w:hint="eastAsia" w:ascii="新宋体" w:hAnsi="新宋体" w:eastAsia="新宋体" w:cs="宋体"/>
                <w:sz w:val="24"/>
                <w:lang w:val="en-GB"/>
              </w:rPr>
              <w:t>，</w:t>
            </w:r>
            <w:r>
              <w:rPr>
                <w:rFonts w:hint="eastAsia" w:ascii="宋体" w:hAnsi="宋体" w:cs="宋体"/>
                <w:sz w:val="24"/>
                <w:lang w:val="en-GB"/>
              </w:rPr>
              <w:t>施工业绩的每项得</w:t>
            </w:r>
            <w:r>
              <w:rPr>
                <w:rFonts w:hint="eastAsia" w:ascii="宋体" w:hAnsi="宋体" w:cs="宋体"/>
                <w:sz w:val="24"/>
              </w:rPr>
              <w:t>1</w:t>
            </w:r>
            <w:r>
              <w:rPr>
                <w:rFonts w:hint="eastAsia" w:ascii="宋体" w:hAnsi="宋体" w:cs="宋体"/>
                <w:sz w:val="24"/>
                <w:lang w:val="en-GB"/>
              </w:rPr>
              <w:t>分，此项满分为</w:t>
            </w:r>
            <w:r>
              <w:rPr>
                <w:rFonts w:ascii="宋体" w:hAnsi="宋体" w:cs="宋体"/>
                <w:sz w:val="24"/>
              </w:rPr>
              <w:t>3</w:t>
            </w:r>
            <w:r>
              <w:rPr>
                <w:rFonts w:hint="eastAsia" w:ascii="宋体" w:hAnsi="宋体" w:cs="宋体"/>
                <w:sz w:val="24"/>
                <w:lang w:val="en-GB"/>
              </w:rPr>
              <w:t>分。</w:t>
            </w:r>
          </w:p>
          <w:p w14:paraId="1A64588F">
            <w:pPr>
              <w:spacing w:line="500" w:lineRule="exact"/>
              <w:rPr>
                <w:rFonts w:hint="default" w:ascii="宋体" w:hAnsi="宋体" w:eastAsia="宋体" w:cs="宋体"/>
                <w:b/>
                <w:bCs/>
                <w:w w:val="99"/>
                <w:kern w:val="0"/>
                <w:szCs w:val="21"/>
                <w:lang w:val="en-US" w:eastAsia="zh-CN"/>
              </w:rPr>
            </w:pPr>
            <w:r>
              <w:rPr>
                <w:rFonts w:hint="eastAsia" w:ascii="宋体" w:hAnsi="宋体" w:cs="宋体"/>
                <w:szCs w:val="21"/>
              </w:rPr>
              <w:t>2、企业信用等级具有AAA级得0.5分。</w:t>
            </w:r>
            <w:r>
              <w:rPr>
                <w:rFonts w:hint="eastAsia" w:ascii="宋体" w:hAnsi="宋体" w:cs="宋体"/>
                <w:szCs w:val="21"/>
                <w:lang w:val="en-US" w:eastAsia="zh-CN"/>
              </w:rPr>
              <w:t xml:space="preserve">  </w:t>
            </w:r>
          </w:p>
          <w:p w14:paraId="58D2C5A2">
            <w:pPr>
              <w:spacing w:line="500" w:lineRule="exact"/>
              <w:rPr>
                <w:rFonts w:ascii="宋体" w:hAnsi="宋体" w:cs="宋体"/>
              </w:rPr>
            </w:pPr>
            <w:r>
              <w:rPr>
                <w:rFonts w:hint="eastAsia" w:ascii="宋体" w:hAnsi="宋体" w:cs="宋体"/>
                <w:szCs w:val="21"/>
              </w:rPr>
              <w:t>3、企业具有质量管理体系认证证书、环境管理体系认证证书、职业健康管理体系认证证书得0.5分。</w:t>
            </w:r>
          </w:p>
        </w:tc>
      </w:tr>
      <w:tr w14:paraId="72007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0" w:hRule="atLeast"/>
          <w:jc w:val="center"/>
        </w:trPr>
        <w:tc>
          <w:tcPr>
            <w:tcW w:w="944" w:type="dxa"/>
            <w:vMerge w:val="continue"/>
            <w:tcBorders>
              <w:left w:val="single" w:color="auto" w:sz="4" w:space="0"/>
              <w:right w:val="single" w:color="auto" w:sz="4" w:space="0"/>
            </w:tcBorders>
            <w:vAlign w:val="center"/>
          </w:tcPr>
          <w:p w14:paraId="114BDE51">
            <w:pPr>
              <w:spacing w:line="500" w:lineRule="exact"/>
              <w:jc w:val="center"/>
              <w:rPr>
                <w:rFonts w:ascii="宋体" w:hAnsi="宋体" w:cs="宋体"/>
                <w:kern w:val="0"/>
              </w:rPr>
            </w:pPr>
          </w:p>
        </w:tc>
        <w:tc>
          <w:tcPr>
            <w:tcW w:w="1625" w:type="dxa"/>
            <w:tcBorders>
              <w:top w:val="single" w:color="auto" w:sz="4" w:space="0"/>
              <w:left w:val="single" w:color="auto" w:sz="4" w:space="0"/>
              <w:right w:val="single" w:color="auto" w:sz="4" w:space="0"/>
            </w:tcBorders>
            <w:vAlign w:val="center"/>
          </w:tcPr>
          <w:p w14:paraId="53FD9DFB">
            <w:pPr>
              <w:spacing w:line="500" w:lineRule="exact"/>
              <w:rPr>
                <w:rFonts w:ascii="宋体" w:hAnsi="宋体" w:cs="宋体"/>
                <w:b/>
                <w:bCs/>
              </w:rPr>
            </w:pPr>
            <w:r>
              <w:rPr>
                <w:rFonts w:hint="eastAsia" w:ascii="宋体" w:hAnsi="宋体" w:cs="宋体"/>
                <w:kern w:val="0"/>
              </w:rPr>
              <w:t>（3）项目管理机构（满分</w:t>
            </w:r>
            <w:r>
              <w:rPr>
                <w:rFonts w:ascii="宋体" w:hAnsi="宋体" w:cs="宋体"/>
                <w:kern w:val="0"/>
              </w:rPr>
              <w:t>6</w:t>
            </w:r>
            <w:r>
              <w:rPr>
                <w:rFonts w:hint="eastAsia" w:ascii="宋体" w:hAnsi="宋体" w:cs="宋体"/>
                <w:kern w:val="0"/>
              </w:rPr>
              <w:t>分）</w:t>
            </w:r>
          </w:p>
        </w:tc>
        <w:tc>
          <w:tcPr>
            <w:tcW w:w="7379" w:type="dxa"/>
            <w:gridSpan w:val="2"/>
            <w:tcBorders>
              <w:top w:val="single" w:color="auto" w:sz="4" w:space="0"/>
              <w:left w:val="single" w:color="auto" w:sz="4" w:space="0"/>
              <w:bottom w:val="single" w:color="auto" w:sz="4" w:space="0"/>
              <w:right w:val="single" w:color="auto" w:sz="4" w:space="0"/>
            </w:tcBorders>
            <w:vAlign w:val="center"/>
          </w:tcPr>
          <w:p w14:paraId="44C788C6">
            <w:pPr>
              <w:pStyle w:val="32"/>
              <w:snapToGrid w:val="0"/>
              <w:spacing w:line="500" w:lineRule="exact"/>
              <w:rPr>
                <w:rFonts w:ascii="宋体" w:hAnsi="宋体"/>
                <w:color w:val="000000" w:themeColor="text1"/>
                <w14:textFill>
                  <w14:solidFill>
                    <w14:schemeClr w14:val="tx1"/>
                  </w14:solidFill>
                </w14:textFill>
              </w:rPr>
            </w:pPr>
            <w:bookmarkStart w:id="169" w:name="OLE_LINK7"/>
            <w:r>
              <w:rPr>
                <w:rFonts w:hint="eastAsia" w:ascii="宋体" w:hAnsi="宋体"/>
                <w:color w:val="000000" w:themeColor="text1"/>
                <w14:textFill>
                  <w14:solidFill>
                    <w14:schemeClr w14:val="tx1"/>
                  </w14:solidFill>
                </w14:textFill>
              </w:rPr>
              <w:t>1.项目经理(满分</w:t>
            </w:r>
            <w:r>
              <w:rPr>
                <w:rFonts w:hint="eastAsia" w:ascii="宋体" w:hAnsi="宋体"/>
                <w:color w:val="000000" w:themeColor="text1"/>
                <w:lang w:val="en-US" w:eastAsia="zh-CN"/>
                <w14:textFill>
                  <w14:solidFill>
                    <w14:schemeClr w14:val="tx1"/>
                  </w14:solidFill>
                </w14:textFill>
              </w:rPr>
              <w:t>4</w:t>
            </w:r>
            <w:r>
              <w:rPr>
                <w:rFonts w:hint="eastAsia" w:ascii="宋体" w:hAnsi="宋体"/>
                <w:color w:val="000000" w:themeColor="text1"/>
                <w14:textFill>
                  <w14:solidFill>
                    <w14:schemeClr w14:val="tx1"/>
                  </w14:solidFill>
                </w14:textFill>
              </w:rPr>
              <w:t>分):</w:t>
            </w:r>
            <w:r>
              <w:rPr>
                <w:rFonts w:hint="eastAsia" w:ascii="宋体" w:hAnsi="宋体" w:cs="宋体"/>
              </w:rPr>
              <w:t>市政公用工程专业二级（含以上级）注册建造师或公路工程二级以上（含二级）注册建造师执业资格</w:t>
            </w:r>
            <w:r>
              <w:rPr>
                <w:rFonts w:hint="eastAsia" w:ascii="宋体" w:hAnsi="宋体" w:cs="宋体"/>
                <w:lang w:eastAsia="zh-CN"/>
              </w:rPr>
              <w:t>，</w:t>
            </w:r>
            <w:r>
              <w:rPr>
                <w:rFonts w:hint="eastAsia" w:ascii="宋体" w:hAnsi="宋体"/>
                <w:color w:val="000000" w:themeColor="text1"/>
                <w14:textFill>
                  <w14:solidFill>
                    <w14:schemeClr w14:val="tx1"/>
                  </w14:solidFill>
                </w14:textFill>
              </w:rPr>
              <w:t>并具备有效的安全生产考核合格证书(B类)的，得</w:t>
            </w:r>
            <w:r>
              <w:rPr>
                <w:rFonts w:hint="eastAsia" w:ascii="宋体" w:hAnsi="宋体"/>
                <w:color w:val="000000" w:themeColor="text1"/>
                <w:lang w:val="en-US" w:eastAsia="zh-CN"/>
                <w14:textFill>
                  <w14:solidFill>
                    <w14:schemeClr w14:val="tx1"/>
                  </w14:solidFill>
                </w14:textFill>
              </w:rPr>
              <w:t>4</w:t>
            </w:r>
            <w:r>
              <w:rPr>
                <w:rFonts w:hint="eastAsia" w:ascii="宋体" w:hAnsi="宋体"/>
                <w:color w:val="000000" w:themeColor="text1"/>
                <w14:textFill>
                  <w14:solidFill>
                    <w14:schemeClr w14:val="tx1"/>
                  </w14:solidFill>
                </w14:textFill>
              </w:rPr>
              <w:t>分。</w:t>
            </w:r>
          </w:p>
          <w:p w14:paraId="29E526ED">
            <w:pPr>
              <w:pStyle w:val="32"/>
              <w:snapToGrid w:val="0"/>
              <w:spacing w:line="500" w:lineRule="exact"/>
              <w:rPr>
                <w:rFonts w:ascii="宋体" w:hAnsi="宋体"/>
                <w:b/>
                <w:bCs/>
              </w:rPr>
            </w:pPr>
            <w:r>
              <w:rPr>
                <w:rFonts w:hint="eastAsia" w:ascii="宋体" w:hAnsi="宋体"/>
                <w:color w:val="000000" w:themeColor="text1"/>
                <w14:textFill>
                  <w14:solidFill>
                    <w14:schemeClr w14:val="tx1"/>
                  </w14:solidFill>
                </w14:textFill>
              </w:rPr>
              <w:t>2.项目现场施工专职安全员(满分</w:t>
            </w:r>
            <w:r>
              <w:rPr>
                <w:rFonts w:hint="eastAsia" w:ascii="宋体" w:hAnsi="宋体"/>
                <w:color w:val="000000" w:themeColor="text1"/>
                <w:lang w:val="en-US" w:eastAsia="zh-CN"/>
                <w14:textFill>
                  <w14:solidFill>
                    <w14:schemeClr w14:val="tx1"/>
                  </w14:solidFill>
                </w14:textFill>
              </w:rPr>
              <w:t>2</w:t>
            </w:r>
            <w:r>
              <w:rPr>
                <w:rFonts w:hint="eastAsia" w:ascii="宋体" w:hAnsi="宋体"/>
                <w:color w:val="000000" w:themeColor="text1"/>
                <w14:textFill>
                  <w14:solidFill>
                    <w14:schemeClr w14:val="tx1"/>
                  </w14:solidFill>
                </w14:textFill>
              </w:rPr>
              <w:t>分):具备1人以上(含1人)有效的专职安全员安全生产考核合格证书(C类)，得</w:t>
            </w:r>
            <w:r>
              <w:rPr>
                <w:rFonts w:hint="eastAsia" w:ascii="宋体" w:hAnsi="宋体"/>
                <w:color w:val="000000" w:themeColor="text1"/>
                <w:lang w:val="en-US" w:eastAsia="zh-CN"/>
                <w14:textFill>
                  <w14:solidFill>
                    <w14:schemeClr w14:val="tx1"/>
                  </w14:solidFill>
                </w14:textFill>
              </w:rPr>
              <w:t>2</w:t>
            </w:r>
            <w:r>
              <w:rPr>
                <w:rFonts w:hint="eastAsia" w:ascii="宋体" w:hAnsi="宋体"/>
                <w:color w:val="000000" w:themeColor="text1"/>
                <w14:textFill>
                  <w14:solidFill>
                    <w14:schemeClr w14:val="tx1"/>
                  </w14:solidFill>
                </w14:textFill>
              </w:rPr>
              <w:t>分。备注:(1)拟投入人员需提供响应文件递交截止时间前半年内连续三个月社保证明复印件，若为近期新聘员工的，以提供劳动合同证明材料复印件。(2)须附相应人员相应证书的复印件。</w:t>
            </w:r>
            <w:bookmarkEnd w:id="169"/>
          </w:p>
        </w:tc>
      </w:tr>
      <w:tr w14:paraId="5B973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8" w:hRule="atLeast"/>
          <w:jc w:val="center"/>
        </w:trPr>
        <w:tc>
          <w:tcPr>
            <w:tcW w:w="944" w:type="dxa"/>
            <w:tcBorders>
              <w:top w:val="single" w:color="auto" w:sz="4" w:space="0"/>
              <w:left w:val="single" w:color="auto" w:sz="4" w:space="0"/>
              <w:right w:val="single" w:color="auto" w:sz="4" w:space="0"/>
            </w:tcBorders>
            <w:vAlign w:val="center"/>
          </w:tcPr>
          <w:p w14:paraId="70447BF5">
            <w:pPr>
              <w:widowControl/>
              <w:spacing w:line="500" w:lineRule="exact"/>
              <w:jc w:val="center"/>
              <w:rPr>
                <w:rFonts w:ascii="宋体" w:hAnsi="宋体" w:cs="宋体"/>
                <w:kern w:val="0"/>
              </w:rPr>
            </w:pPr>
            <w:r>
              <w:rPr>
                <w:rFonts w:hint="eastAsia" w:ascii="宋体" w:hAnsi="宋体" w:cs="宋体"/>
                <w:kern w:val="0"/>
              </w:rPr>
              <w:t>2.2.3商务部分评分标准</w:t>
            </w:r>
          </w:p>
        </w:tc>
        <w:tc>
          <w:tcPr>
            <w:tcW w:w="1625" w:type="dxa"/>
            <w:tcBorders>
              <w:top w:val="single" w:color="auto" w:sz="4" w:space="0"/>
              <w:left w:val="single" w:color="auto" w:sz="4" w:space="0"/>
              <w:right w:val="single" w:color="auto" w:sz="4" w:space="0"/>
            </w:tcBorders>
            <w:vAlign w:val="center"/>
          </w:tcPr>
          <w:p w14:paraId="638884EC">
            <w:pPr>
              <w:spacing w:line="500" w:lineRule="exact"/>
              <w:jc w:val="center"/>
              <w:rPr>
                <w:rFonts w:ascii="宋体" w:hAnsi="宋体" w:cs="宋体"/>
              </w:rPr>
            </w:pPr>
            <w:r>
              <w:rPr>
                <w:rFonts w:hint="eastAsia" w:ascii="宋体" w:hAnsi="宋体" w:cs="宋体"/>
              </w:rPr>
              <w:t>磋商报价评分（满分</w:t>
            </w:r>
            <w:r>
              <w:rPr>
                <w:rFonts w:hint="eastAsia" w:ascii="宋体" w:hAnsi="宋体" w:cs="宋体"/>
                <w:lang w:val="en-US" w:eastAsia="zh-CN"/>
              </w:rPr>
              <w:t xml:space="preserve"> </w:t>
            </w:r>
            <w:r>
              <w:rPr>
                <w:rFonts w:hint="eastAsia" w:ascii="宋体" w:hAnsi="宋体" w:cs="宋体"/>
              </w:rPr>
              <w:t>30分）</w:t>
            </w:r>
          </w:p>
        </w:tc>
        <w:tc>
          <w:tcPr>
            <w:tcW w:w="7379" w:type="dxa"/>
            <w:gridSpan w:val="2"/>
            <w:tcBorders>
              <w:top w:val="single" w:color="auto" w:sz="4" w:space="0"/>
              <w:left w:val="single" w:color="auto" w:sz="4" w:space="0"/>
              <w:bottom w:val="single" w:color="auto" w:sz="4" w:space="0"/>
              <w:right w:val="single" w:color="auto" w:sz="4" w:space="0"/>
            </w:tcBorders>
            <w:vAlign w:val="top"/>
          </w:tcPr>
          <w:p w14:paraId="5F63F3BC">
            <w:pPr>
              <w:pStyle w:val="15"/>
              <w:spacing w:line="360" w:lineRule="exact"/>
              <w:ind w:firstLine="420" w:firstLineChars="200"/>
              <w:jc w:val="both"/>
              <w:rPr>
                <w:rFonts w:hAnsi="宋体"/>
                <w:b/>
              </w:rPr>
            </w:pPr>
            <w:r>
              <w:rPr>
                <w:rFonts w:hint="eastAsia" w:hAnsi="宋体"/>
              </w:rPr>
              <w:t>（1）本项目为专门面向中小微企业预留采购的项目，不再执行价格评审优惠的扶持政策。即评</w:t>
            </w:r>
            <w:r>
              <w:rPr>
                <w:rFonts w:hint="eastAsia" w:hAnsi="宋体"/>
                <w:lang w:val="en-US" w:eastAsia="zh-CN"/>
              </w:rPr>
              <w:t>审报</w:t>
            </w:r>
            <w:r>
              <w:rPr>
                <w:rFonts w:hint="eastAsia" w:hAnsi="宋体"/>
              </w:rPr>
              <w:t>价=最终报价</w:t>
            </w:r>
            <w:r>
              <w:rPr>
                <w:rFonts w:hint="eastAsia" w:hAnsi="宋体"/>
                <w:b/>
              </w:rPr>
              <w:t>。</w:t>
            </w:r>
          </w:p>
          <w:p w14:paraId="7EFB2B93">
            <w:pPr>
              <w:pStyle w:val="15"/>
              <w:spacing w:line="360" w:lineRule="exact"/>
              <w:ind w:firstLine="405" w:firstLineChars="193"/>
              <w:jc w:val="both"/>
              <w:rPr>
                <w:rFonts w:hAnsi="宋体"/>
              </w:rPr>
            </w:pPr>
            <w:r>
              <w:rPr>
                <w:rFonts w:hint="eastAsia" w:hAnsi="宋体"/>
              </w:rPr>
              <w:t>（2）按照《关于政府采购支持监狱企业发展有关问题的通知》（财库〔2014〕68 号）认定为监狱企业的，在政府采购活动中，监狱企业视同小型、微型企业。监狱企业参加政府采购活动时，应当提供由省级以上监狱管理局、戒毒管理局（含新疆生产建设兵团）出具的属于监狱企业的证明文件。符合《关于促进残疾人就业政府采购政策的通知》(财库〔2017〕141 号)规定条件，认定为残疾人福利性单位的，在政府采购活动中，残疾人福利性单位视同小型、微型企业。残疾人福利性单位参加政府采购活动时，应当提供该通知规定的《残疾人福利性单位声明函》，并对声明的真实性负责。成交人为残疾人福利性单位的，随成交结果公告其《残疾人福利性单位声明函》，接受社会监督。</w:t>
            </w:r>
          </w:p>
          <w:p w14:paraId="3C0961B5">
            <w:pPr>
              <w:pStyle w:val="15"/>
              <w:spacing w:line="360" w:lineRule="exact"/>
              <w:ind w:firstLine="420"/>
              <w:jc w:val="both"/>
              <w:rPr>
                <w:rFonts w:hAnsi="宋体" w:cs="宋体"/>
                <w:bCs/>
              </w:rPr>
            </w:pPr>
            <w:r>
              <w:rPr>
                <w:rFonts w:hint="eastAsia" w:hAnsi="宋体" w:cs="宋体"/>
              </w:rPr>
              <w:t>（3）以进入综合评分环节的最低的评审报价为基准价，基准价报价得分为30分。</w:t>
            </w:r>
          </w:p>
          <w:p w14:paraId="1826CC7D">
            <w:pPr>
              <w:pStyle w:val="15"/>
              <w:spacing w:line="360" w:lineRule="exact"/>
              <w:ind w:firstLine="420"/>
              <w:jc w:val="both"/>
            </w:pPr>
            <w:r>
              <w:rPr>
                <w:rFonts w:hint="eastAsia" w:hAnsi="宋体" w:cs="宋体"/>
              </w:rPr>
              <w:t>（4）</w:t>
            </w:r>
            <w:r>
              <w:rPr>
                <w:rFonts w:hint="eastAsia" w:hAnsi="宋体" w:cs="宋体"/>
                <w:bCs/>
                <w:kern w:val="0"/>
                <w:szCs w:val="21"/>
              </w:rPr>
              <w:t>供应商</w:t>
            </w:r>
            <w:r>
              <w:rPr>
                <w:rFonts w:hint="eastAsia" w:hAnsi="宋体" w:cs="宋体"/>
              </w:rPr>
              <w:t>磋商报价得分=（磋商基准价/供应商的评审报价）×30分。</w:t>
            </w:r>
          </w:p>
        </w:tc>
      </w:tr>
      <w:tr w14:paraId="3E406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jc w:val="center"/>
        </w:trPr>
        <w:tc>
          <w:tcPr>
            <w:tcW w:w="2569" w:type="dxa"/>
            <w:gridSpan w:val="2"/>
            <w:tcBorders>
              <w:left w:val="single" w:color="auto" w:sz="4" w:space="0"/>
              <w:bottom w:val="single" w:color="auto" w:sz="4" w:space="0"/>
              <w:right w:val="single" w:color="auto" w:sz="4" w:space="0"/>
            </w:tcBorders>
            <w:vAlign w:val="center"/>
          </w:tcPr>
          <w:p w14:paraId="74C7DCA2">
            <w:pPr>
              <w:pStyle w:val="32"/>
              <w:snapToGrid w:val="0"/>
              <w:spacing w:line="500" w:lineRule="exact"/>
              <w:jc w:val="center"/>
              <w:rPr>
                <w:rFonts w:ascii="宋体" w:hAnsi="宋体"/>
              </w:rPr>
            </w:pPr>
            <w:r>
              <w:rPr>
                <w:rFonts w:hint="eastAsia" w:ascii="宋体" w:hAnsi="宋体"/>
              </w:rPr>
              <w:t>竞标人汇总得分</w:t>
            </w:r>
          </w:p>
          <w:p w14:paraId="4215D92A">
            <w:pPr>
              <w:pStyle w:val="32"/>
              <w:snapToGrid w:val="0"/>
              <w:spacing w:line="500" w:lineRule="exact"/>
              <w:jc w:val="center"/>
              <w:rPr>
                <w:rFonts w:ascii="宋体" w:hAnsi="宋体"/>
              </w:rPr>
            </w:pPr>
            <w:r>
              <w:rPr>
                <w:rFonts w:hint="eastAsia" w:ascii="宋体" w:hAnsi="宋体"/>
              </w:rPr>
              <w:t>（满分100分）</w:t>
            </w:r>
          </w:p>
        </w:tc>
        <w:tc>
          <w:tcPr>
            <w:tcW w:w="7379" w:type="dxa"/>
            <w:gridSpan w:val="2"/>
            <w:tcBorders>
              <w:top w:val="single" w:color="auto" w:sz="4" w:space="0"/>
              <w:left w:val="single" w:color="auto" w:sz="4" w:space="0"/>
              <w:bottom w:val="single" w:color="auto" w:sz="4" w:space="0"/>
              <w:right w:val="single" w:color="auto" w:sz="4" w:space="0"/>
            </w:tcBorders>
            <w:vAlign w:val="center"/>
          </w:tcPr>
          <w:p w14:paraId="3429258B">
            <w:pPr>
              <w:spacing w:line="500" w:lineRule="exact"/>
              <w:ind w:right="105" w:rightChars="50"/>
            </w:pPr>
            <w:r>
              <w:rPr>
                <w:rFonts w:hint="eastAsia"/>
              </w:rPr>
              <w:t>技术部分得分=施工组织设计得分+企业信誉得分+项目管理机构得分</w:t>
            </w:r>
          </w:p>
          <w:p w14:paraId="625FE192">
            <w:pPr>
              <w:pStyle w:val="13"/>
              <w:spacing w:line="500" w:lineRule="exact"/>
              <w:ind w:left="63" w:right="63"/>
              <w:jc w:val="left"/>
            </w:pPr>
            <w:r>
              <w:rPr>
                <w:rFonts w:hint="eastAsia" w:ascii="宋体" w:hAnsi="宋体" w:cs="宋体"/>
                <w:szCs w:val="21"/>
              </w:rPr>
              <w:t>竞标人汇总得分=技术部分得分+商务部分得分</w:t>
            </w:r>
          </w:p>
        </w:tc>
      </w:tr>
    </w:tbl>
    <w:p w14:paraId="6D48924F">
      <w:pPr>
        <w:pStyle w:val="15"/>
        <w:tabs>
          <w:tab w:val="left" w:pos="4214"/>
        </w:tabs>
        <w:spacing w:line="460" w:lineRule="exact"/>
        <w:ind w:firstLine="422" w:firstLineChars="200"/>
        <w:outlineLvl w:val="1"/>
        <w:rPr>
          <w:rFonts w:hint="eastAsia" w:hAnsi="宋体"/>
          <w:b/>
        </w:rPr>
      </w:pPr>
    </w:p>
    <w:p w14:paraId="3B59E399">
      <w:pPr>
        <w:pStyle w:val="15"/>
        <w:tabs>
          <w:tab w:val="left" w:pos="4214"/>
        </w:tabs>
        <w:spacing w:line="460" w:lineRule="exact"/>
        <w:ind w:firstLine="422" w:firstLineChars="200"/>
        <w:outlineLvl w:val="1"/>
        <w:rPr>
          <w:rFonts w:hAnsi="宋体"/>
          <w:b/>
        </w:rPr>
      </w:pPr>
      <w:r>
        <w:rPr>
          <w:rFonts w:hint="eastAsia" w:hAnsi="宋体"/>
          <w:b/>
        </w:rPr>
        <w:t>三、推荐成交候选供应商原则</w:t>
      </w:r>
      <w:bookmarkEnd w:id="168"/>
    </w:p>
    <w:p w14:paraId="0E8683FD">
      <w:pPr>
        <w:spacing w:line="400" w:lineRule="exact"/>
        <w:ind w:firstLine="420" w:firstLineChars="200"/>
        <w:rPr>
          <w:rFonts w:ascii="宋体" w:hAnsi="宋体"/>
          <w:color w:val="000000"/>
          <w:szCs w:val="21"/>
        </w:rPr>
      </w:pPr>
      <w:r>
        <w:rPr>
          <w:rFonts w:hint="eastAsia" w:ascii="宋体" w:hAnsi="宋体"/>
          <w:szCs w:val="21"/>
        </w:rPr>
        <w:t>（1）</w:t>
      </w:r>
      <w:r>
        <w:rPr>
          <w:rFonts w:hint="eastAsia" w:hAnsi="宋体"/>
        </w:rPr>
        <w:t>磋商小组应当根据综合得分情况，按照综合得分由高到低顺序推荐成交候选供应商，并编写评审报告。磋商小组根据综合得分由高到低排列次序，若得分相同时，以最后报价由低到高顺序排列；若仍相同的，依次按服务方案分、服务承诺书分、综合实力分由高到低顺序排列并推荐成交候选供应商。</w:t>
      </w:r>
    </w:p>
    <w:p w14:paraId="2EF3709B">
      <w:pPr>
        <w:spacing w:line="400" w:lineRule="exact"/>
        <w:ind w:firstLine="420" w:firstLineChars="200"/>
        <w:rPr>
          <w:rFonts w:ascii="宋体" w:hAnsi="宋体"/>
          <w:color w:val="000000"/>
          <w:szCs w:val="21"/>
        </w:rPr>
      </w:pPr>
      <w:r>
        <w:rPr>
          <w:rFonts w:hint="eastAsia" w:ascii="宋体" w:hAnsi="宋体"/>
          <w:color w:val="000000"/>
          <w:szCs w:val="21"/>
        </w:rPr>
        <w:t>（2）磋商小组可推荐前三名为成交候选供应商。采购单位应当确定磋商小组推荐排名第一的成交候选供应商为成交供应商。</w:t>
      </w:r>
    </w:p>
    <w:p w14:paraId="3F12372E">
      <w:pPr>
        <w:spacing w:line="400" w:lineRule="exact"/>
        <w:ind w:firstLine="420" w:firstLineChars="200"/>
        <w:rPr>
          <w:rFonts w:ascii="宋体" w:hAnsi="宋体"/>
          <w:color w:val="000000"/>
          <w:szCs w:val="21"/>
        </w:rPr>
      </w:pPr>
      <w:r>
        <w:rPr>
          <w:rFonts w:hint="eastAsia" w:ascii="宋体" w:hAnsi="宋体"/>
          <w:color w:val="000000"/>
          <w:szCs w:val="21"/>
        </w:rPr>
        <w:t>（3）排名第一的成交候选供应商放弃成交、因不可抗力提出不能履行合同的，采购单位可以依法确定排名第二的成交候选供应商为成交供应商。</w:t>
      </w:r>
    </w:p>
    <w:p w14:paraId="04CFFEE8">
      <w:pPr>
        <w:spacing w:line="400" w:lineRule="exact"/>
        <w:ind w:firstLine="420" w:firstLineChars="200"/>
        <w:rPr>
          <w:rFonts w:ascii="宋体" w:hAnsi="宋体"/>
          <w:color w:val="000000"/>
          <w:szCs w:val="21"/>
        </w:rPr>
      </w:pPr>
      <w:r>
        <w:rPr>
          <w:rFonts w:hint="eastAsia" w:ascii="宋体" w:hAnsi="宋体"/>
          <w:color w:val="000000"/>
          <w:szCs w:val="21"/>
        </w:rPr>
        <w:t>（4</w:t>
      </w:r>
      <w:r>
        <w:rPr>
          <w:rFonts w:ascii="宋体" w:hAnsi="宋体"/>
          <w:color w:val="000000"/>
          <w:szCs w:val="21"/>
        </w:rPr>
        <w:t>）</w:t>
      </w:r>
      <w:r>
        <w:rPr>
          <w:rFonts w:hint="eastAsia" w:ascii="宋体" w:hAnsi="宋体"/>
          <w:color w:val="000000"/>
          <w:szCs w:val="21"/>
        </w:rPr>
        <w:t>排名第二的成交候选供应商因前款规定的同样原因不能签订合同的，采购单位可以依法确定排名第三的成交候选供应商为成交供应商。</w:t>
      </w:r>
    </w:p>
    <w:p w14:paraId="3B87DEED"/>
    <w:p w14:paraId="11623F42">
      <w:pPr>
        <w:spacing w:line="460" w:lineRule="exact"/>
        <w:rPr>
          <w:rFonts w:ascii="宋体" w:hAnsi="宋体" w:cs="宋体"/>
          <w:b/>
          <w:bCs/>
          <w:sz w:val="24"/>
        </w:rPr>
      </w:pPr>
      <w:bookmarkStart w:id="170" w:name="_Toc17369"/>
      <w:r>
        <w:rPr>
          <w:rFonts w:hint="eastAsia" w:ascii="宋体" w:hAnsi="宋体" w:cs="宋体"/>
          <w:b/>
          <w:bCs/>
          <w:sz w:val="24"/>
        </w:rPr>
        <w:t>附表</w:t>
      </w:r>
      <w:bookmarkEnd w:id="170"/>
    </w:p>
    <w:p w14:paraId="3D690299">
      <w:pPr>
        <w:widowControl/>
        <w:spacing w:before="120" w:beforeLines="50" w:after="120" w:afterLines="50" w:line="460" w:lineRule="exact"/>
        <w:jc w:val="center"/>
        <w:rPr>
          <w:rFonts w:ascii="宋体" w:hAnsi="宋体" w:cs="宋体"/>
          <w:b/>
          <w:bCs/>
          <w:kern w:val="0"/>
          <w:sz w:val="30"/>
          <w:szCs w:val="30"/>
        </w:rPr>
      </w:pPr>
      <w:bookmarkStart w:id="171" w:name="_Toc28361_WPSOffice_Level2"/>
      <w:r>
        <w:rPr>
          <w:rFonts w:hint="eastAsia" w:ascii="宋体" w:hAnsi="宋体" w:cs="宋体"/>
          <w:b/>
          <w:bCs/>
          <w:kern w:val="0"/>
          <w:sz w:val="30"/>
          <w:szCs w:val="30"/>
        </w:rPr>
        <w:t>统计上大中小微型企业划分标准</w:t>
      </w:r>
      <w:bookmarkEnd w:id="171"/>
    </w:p>
    <w:tbl>
      <w:tblPr>
        <w:tblStyle w:val="21"/>
        <w:tblW w:w="94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8"/>
        <w:gridCol w:w="1372"/>
        <w:gridCol w:w="710"/>
        <w:gridCol w:w="1127"/>
        <w:gridCol w:w="1705"/>
        <w:gridCol w:w="1429"/>
        <w:gridCol w:w="994"/>
      </w:tblGrid>
      <w:tr w14:paraId="4BA9F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exact"/>
          <w:tblHeader/>
          <w:jc w:val="center"/>
        </w:trPr>
        <w:tc>
          <w:tcPr>
            <w:tcW w:w="2118" w:type="dxa"/>
            <w:shd w:val="clear" w:color="auto" w:fill="8DB3E2" w:themeFill="text2" w:themeFillTint="66"/>
            <w:vAlign w:val="center"/>
          </w:tcPr>
          <w:p w14:paraId="6C65D150">
            <w:pPr>
              <w:widowControl/>
              <w:spacing w:line="460" w:lineRule="exact"/>
              <w:jc w:val="center"/>
              <w:rPr>
                <w:rFonts w:ascii="宋体" w:hAnsi="宋体" w:cs="宋体"/>
                <w:b/>
                <w:bCs/>
                <w:kern w:val="0"/>
                <w:sz w:val="18"/>
                <w:szCs w:val="21"/>
              </w:rPr>
            </w:pPr>
            <w:r>
              <w:rPr>
                <w:rFonts w:hint="eastAsia" w:ascii="宋体" w:hAnsi="宋体" w:cs="宋体"/>
                <w:b/>
                <w:bCs/>
                <w:kern w:val="0"/>
                <w:sz w:val="18"/>
                <w:szCs w:val="21"/>
              </w:rPr>
              <w:t>行业名称</w:t>
            </w:r>
          </w:p>
        </w:tc>
        <w:tc>
          <w:tcPr>
            <w:tcW w:w="1372" w:type="dxa"/>
            <w:shd w:val="clear" w:color="auto" w:fill="8DB3E2" w:themeFill="text2" w:themeFillTint="66"/>
            <w:vAlign w:val="center"/>
          </w:tcPr>
          <w:p w14:paraId="2CCB14AE">
            <w:pPr>
              <w:widowControl/>
              <w:spacing w:line="460" w:lineRule="exact"/>
              <w:jc w:val="center"/>
              <w:rPr>
                <w:rFonts w:ascii="宋体" w:hAnsi="宋体" w:cs="宋体"/>
                <w:b/>
                <w:bCs/>
                <w:kern w:val="0"/>
                <w:sz w:val="18"/>
                <w:szCs w:val="18"/>
              </w:rPr>
            </w:pPr>
            <w:r>
              <w:rPr>
                <w:rFonts w:hint="eastAsia" w:ascii="宋体" w:hAnsi="宋体" w:cs="宋体"/>
                <w:b/>
                <w:bCs/>
                <w:kern w:val="0"/>
                <w:sz w:val="18"/>
                <w:szCs w:val="18"/>
              </w:rPr>
              <w:t>指标名称</w:t>
            </w:r>
          </w:p>
        </w:tc>
        <w:tc>
          <w:tcPr>
            <w:tcW w:w="710" w:type="dxa"/>
            <w:shd w:val="clear" w:color="auto" w:fill="8DB3E2" w:themeFill="text2" w:themeFillTint="66"/>
            <w:vAlign w:val="center"/>
          </w:tcPr>
          <w:p w14:paraId="2C38A81F">
            <w:pPr>
              <w:widowControl/>
              <w:spacing w:line="460" w:lineRule="exact"/>
              <w:jc w:val="center"/>
              <w:rPr>
                <w:rFonts w:ascii="宋体" w:hAnsi="宋体" w:cs="宋体"/>
                <w:b/>
                <w:bCs/>
                <w:kern w:val="0"/>
                <w:sz w:val="18"/>
                <w:szCs w:val="18"/>
              </w:rPr>
            </w:pPr>
            <w:r>
              <w:rPr>
                <w:rFonts w:hint="eastAsia" w:ascii="宋体" w:hAnsi="宋体" w:cs="宋体"/>
                <w:b/>
                <w:bCs/>
                <w:kern w:val="0"/>
                <w:sz w:val="18"/>
                <w:szCs w:val="18"/>
              </w:rPr>
              <w:t>计量</w:t>
            </w:r>
            <w:r>
              <w:rPr>
                <w:rFonts w:hint="eastAsia" w:ascii="宋体" w:hAnsi="宋体" w:cs="宋体"/>
                <w:b/>
                <w:bCs/>
                <w:kern w:val="0"/>
                <w:sz w:val="18"/>
                <w:szCs w:val="18"/>
              </w:rPr>
              <w:br w:type="textWrapping"/>
            </w:r>
            <w:r>
              <w:rPr>
                <w:rFonts w:hint="eastAsia" w:ascii="宋体" w:hAnsi="宋体" w:cs="宋体"/>
                <w:b/>
                <w:bCs/>
                <w:kern w:val="0"/>
                <w:sz w:val="18"/>
                <w:szCs w:val="18"/>
              </w:rPr>
              <w:t>单位</w:t>
            </w:r>
          </w:p>
        </w:tc>
        <w:tc>
          <w:tcPr>
            <w:tcW w:w="1127" w:type="dxa"/>
            <w:shd w:val="clear" w:color="auto" w:fill="8DB3E2" w:themeFill="text2" w:themeFillTint="66"/>
            <w:vAlign w:val="center"/>
          </w:tcPr>
          <w:p w14:paraId="2F2649D0">
            <w:pPr>
              <w:widowControl/>
              <w:spacing w:line="460" w:lineRule="exact"/>
              <w:jc w:val="center"/>
              <w:rPr>
                <w:rFonts w:ascii="宋体" w:hAnsi="宋体" w:cs="宋体"/>
                <w:b/>
                <w:bCs/>
                <w:kern w:val="0"/>
                <w:sz w:val="18"/>
                <w:szCs w:val="18"/>
              </w:rPr>
            </w:pPr>
            <w:r>
              <w:rPr>
                <w:rFonts w:hint="eastAsia" w:ascii="宋体" w:hAnsi="宋体" w:cs="宋体"/>
                <w:b/>
                <w:bCs/>
                <w:kern w:val="0"/>
                <w:sz w:val="18"/>
                <w:szCs w:val="18"/>
              </w:rPr>
              <w:t>大型</w:t>
            </w:r>
          </w:p>
        </w:tc>
        <w:tc>
          <w:tcPr>
            <w:tcW w:w="1705" w:type="dxa"/>
            <w:shd w:val="clear" w:color="auto" w:fill="8DB3E2" w:themeFill="text2" w:themeFillTint="66"/>
            <w:vAlign w:val="center"/>
          </w:tcPr>
          <w:p w14:paraId="34AD2B19">
            <w:pPr>
              <w:widowControl/>
              <w:spacing w:line="460" w:lineRule="exact"/>
              <w:jc w:val="center"/>
              <w:rPr>
                <w:rFonts w:ascii="宋体" w:hAnsi="宋体" w:cs="宋体"/>
                <w:b/>
                <w:bCs/>
                <w:kern w:val="0"/>
                <w:sz w:val="18"/>
                <w:szCs w:val="18"/>
              </w:rPr>
            </w:pPr>
            <w:r>
              <w:rPr>
                <w:rFonts w:hint="eastAsia" w:ascii="宋体" w:hAnsi="宋体" w:cs="宋体"/>
                <w:b/>
                <w:bCs/>
                <w:kern w:val="0"/>
                <w:sz w:val="18"/>
                <w:szCs w:val="18"/>
              </w:rPr>
              <w:t>中型</w:t>
            </w:r>
          </w:p>
        </w:tc>
        <w:tc>
          <w:tcPr>
            <w:tcW w:w="1429" w:type="dxa"/>
            <w:shd w:val="clear" w:color="auto" w:fill="8DB3E2" w:themeFill="text2" w:themeFillTint="66"/>
            <w:vAlign w:val="center"/>
          </w:tcPr>
          <w:p w14:paraId="1717BD09">
            <w:pPr>
              <w:widowControl/>
              <w:spacing w:line="460" w:lineRule="exact"/>
              <w:jc w:val="center"/>
              <w:rPr>
                <w:rFonts w:ascii="宋体" w:hAnsi="宋体" w:cs="宋体"/>
                <w:b/>
                <w:bCs/>
                <w:kern w:val="0"/>
                <w:sz w:val="18"/>
                <w:szCs w:val="18"/>
              </w:rPr>
            </w:pPr>
            <w:r>
              <w:rPr>
                <w:rFonts w:hint="eastAsia" w:ascii="宋体" w:hAnsi="宋体" w:cs="宋体"/>
                <w:b/>
                <w:bCs/>
                <w:kern w:val="0"/>
                <w:sz w:val="18"/>
                <w:szCs w:val="18"/>
              </w:rPr>
              <w:t>小型</w:t>
            </w:r>
          </w:p>
        </w:tc>
        <w:tc>
          <w:tcPr>
            <w:tcW w:w="994" w:type="dxa"/>
            <w:shd w:val="clear" w:color="auto" w:fill="8DB3E2" w:themeFill="text2" w:themeFillTint="66"/>
            <w:vAlign w:val="center"/>
          </w:tcPr>
          <w:p w14:paraId="2CF9C0DA">
            <w:pPr>
              <w:widowControl/>
              <w:spacing w:line="460" w:lineRule="exact"/>
              <w:jc w:val="center"/>
              <w:rPr>
                <w:rFonts w:ascii="宋体" w:hAnsi="宋体" w:cs="宋体"/>
                <w:b/>
                <w:bCs/>
                <w:kern w:val="0"/>
                <w:sz w:val="18"/>
                <w:szCs w:val="18"/>
              </w:rPr>
            </w:pPr>
            <w:r>
              <w:rPr>
                <w:rFonts w:hint="eastAsia" w:ascii="宋体" w:hAnsi="宋体" w:cs="宋体"/>
                <w:b/>
                <w:bCs/>
                <w:kern w:val="0"/>
                <w:sz w:val="18"/>
                <w:szCs w:val="18"/>
              </w:rPr>
              <w:t>微型</w:t>
            </w:r>
          </w:p>
        </w:tc>
      </w:tr>
      <w:tr w14:paraId="5BE45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exact"/>
          <w:jc w:val="center"/>
        </w:trPr>
        <w:tc>
          <w:tcPr>
            <w:tcW w:w="2118" w:type="dxa"/>
            <w:vAlign w:val="center"/>
          </w:tcPr>
          <w:p w14:paraId="793172A6">
            <w:pPr>
              <w:widowControl/>
              <w:spacing w:line="460" w:lineRule="exact"/>
              <w:jc w:val="left"/>
              <w:rPr>
                <w:rFonts w:ascii="宋体" w:hAnsi="宋体" w:cs="宋体"/>
                <w:kern w:val="0"/>
                <w:sz w:val="18"/>
                <w:szCs w:val="18"/>
              </w:rPr>
            </w:pPr>
            <w:r>
              <w:rPr>
                <w:rFonts w:hint="eastAsia" w:ascii="宋体" w:hAnsi="宋体" w:cs="宋体"/>
                <w:kern w:val="0"/>
                <w:sz w:val="18"/>
                <w:szCs w:val="18"/>
              </w:rPr>
              <w:t>农、林、牧、渔业</w:t>
            </w:r>
          </w:p>
        </w:tc>
        <w:tc>
          <w:tcPr>
            <w:tcW w:w="1372" w:type="dxa"/>
            <w:vAlign w:val="center"/>
          </w:tcPr>
          <w:p w14:paraId="656B6977">
            <w:pPr>
              <w:widowControl/>
              <w:spacing w:line="460" w:lineRule="exact"/>
              <w:jc w:val="center"/>
              <w:rPr>
                <w:rFonts w:ascii="宋体" w:hAnsi="宋体" w:cs="宋体"/>
                <w:kern w:val="0"/>
                <w:sz w:val="18"/>
                <w:szCs w:val="18"/>
              </w:rPr>
            </w:pPr>
            <w:r>
              <w:rPr>
                <w:rFonts w:hint="eastAsia" w:ascii="宋体" w:hAnsi="宋体" w:cs="宋体"/>
                <w:kern w:val="0"/>
                <w:sz w:val="18"/>
                <w:szCs w:val="18"/>
              </w:rPr>
              <w:t>营业收入(Y)</w:t>
            </w:r>
          </w:p>
        </w:tc>
        <w:tc>
          <w:tcPr>
            <w:tcW w:w="710" w:type="dxa"/>
            <w:vAlign w:val="center"/>
          </w:tcPr>
          <w:p w14:paraId="1E25B9C5">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14:paraId="0EC90D59">
            <w:pPr>
              <w:widowControl/>
              <w:spacing w:line="460" w:lineRule="exact"/>
              <w:jc w:val="center"/>
              <w:rPr>
                <w:rFonts w:ascii="宋体" w:hAnsi="宋体" w:cs="宋体"/>
                <w:kern w:val="0"/>
                <w:sz w:val="18"/>
                <w:szCs w:val="18"/>
              </w:rPr>
            </w:pPr>
            <w:r>
              <w:rPr>
                <w:rFonts w:hint="eastAsia" w:ascii="宋体" w:hAnsi="宋体" w:cs="宋体"/>
                <w:kern w:val="0"/>
                <w:sz w:val="18"/>
                <w:szCs w:val="18"/>
              </w:rPr>
              <w:t>Y≥20000</w:t>
            </w:r>
          </w:p>
        </w:tc>
        <w:tc>
          <w:tcPr>
            <w:tcW w:w="1705" w:type="dxa"/>
            <w:vAlign w:val="center"/>
          </w:tcPr>
          <w:p w14:paraId="0EC2275E">
            <w:pPr>
              <w:widowControl/>
              <w:spacing w:line="460" w:lineRule="exact"/>
              <w:jc w:val="center"/>
              <w:rPr>
                <w:rFonts w:ascii="宋体" w:hAnsi="宋体" w:cs="宋体"/>
                <w:kern w:val="0"/>
                <w:sz w:val="18"/>
                <w:szCs w:val="18"/>
              </w:rPr>
            </w:pPr>
            <w:r>
              <w:rPr>
                <w:rFonts w:hint="eastAsia" w:ascii="宋体" w:hAnsi="宋体" w:cs="宋体"/>
                <w:kern w:val="0"/>
                <w:sz w:val="18"/>
                <w:szCs w:val="18"/>
              </w:rPr>
              <w:t>500≤Y＜20000</w:t>
            </w:r>
          </w:p>
        </w:tc>
        <w:tc>
          <w:tcPr>
            <w:tcW w:w="1429" w:type="dxa"/>
            <w:vAlign w:val="center"/>
          </w:tcPr>
          <w:p w14:paraId="4F92ADFA">
            <w:pPr>
              <w:widowControl/>
              <w:spacing w:line="460" w:lineRule="exact"/>
              <w:jc w:val="center"/>
              <w:rPr>
                <w:rFonts w:ascii="宋体" w:hAnsi="宋体" w:cs="宋体"/>
                <w:kern w:val="0"/>
                <w:sz w:val="18"/>
                <w:szCs w:val="18"/>
              </w:rPr>
            </w:pPr>
            <w:r>
              <w:rPr>
                <w:rFonts w:hint="eastAsia" w:ascii="宋体" w:hAnsi="宋体" w:cs="宋体"/>
                <w:kern w:val="0"/>
                <w:sz w:val="18"/>
                <w:szCs w:val="18"/>
              </w:rPr>
              <w:t>50≤Y＜500</w:t>
            </w:r>
          </w:p>
        </w:tc>
        <w:tc>
          <w:tcPr>
            <w:tcW w:w="994" w:type="dxa"/>
            <w:vAlign w:val="center"/>
          </w:tcPr>
          <w:p w14:paraId="4FA5974A">
            <w:pPr>
              <w:widowControl/>
              <w:spacing w:line="460" w:lineRule="exact"/>
              <w:jc w:val="center"/>
              <w:rPr>
                <w:rFonts w:ascii="宋体" w:hAnsi="宋体" w:cs="宋体"/>
                <w:kern w:val="0"/>
                <w:sz w:val="18"/>
                <w:szCs w:val="18"/>
              </w:rPr>
            </w:pPr>
            <w:r>
              <w:rPr>
                <w:rFonts w:hint="eastAsia" w:ascii="宋体" w:hAnsi="宋体" w:cs="宋体"/>
                <w:kern w:val="0"/>
                <w:sz w:val="18"/>
                <w:szCs w:val="18"/>
              </w:rPr>
              <w:t>Y＜50</w:t>
            </w:r>
          </w:p>
        </w:tc>
      </w:tr>
      <w:tr w14:paraId="5A05E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exact"/>
          <w:jc w:val="center"/>
        </w:trPr>
        <w:tc>
          <w:tcPr>
            <w:tcW w:w="2118" w:type="dxa"/>
            <w:vMerge w:val="restart"/>
            <w:vAlign w:val="center"/>
          </w:tcPr>
          <w:p w14:paraId="5292BA4F">
            <w:pPr>
              <w:widowControl/>
              <w:spacing w:line="460" w:lineRule="exact"/>
              <w:jc w:val="left"/>
              <w:rPr>
                <w:rFonts w:ascii="宋体" w:hAnsi="宋体" w:cs="宋体"/>
                <w:kern w:val="0"/>
                <w:sz w:val="18"/>
                <w:szCs w:val="18"/>
              </w:rPr>
            </w:pPr>
            <w:r>
              <w:rPr>
                <w:rFonts w:hint="eastAsia" w:ascii="宋体" w:hAnsi="宋体" w:cs="宋体"/>
                <w:kern w:val="0"/>
                <w:sz w:val="18"/>
                <w:szCs w:val="18"/>
              </w:rPr>
              <w:t>工业 *</w:t>
            </w:r>
          </w:p>
        </w:tc>
        <w:tc>
          <w:tcPr>
            <w:tcW w:w="1372" w:type="dxa"/>
            <w:vAlign w:val="center"/>
          </w:tcPr>
          <w:p w14:paraId="5EA6308F">
            <w:pPr>
              <w:widowControl/>
              <w:spacing w:line="460" w:lineRule="exact"/>
              <w:jc w:val="center"/>
              <w:rPr>
                <w:rFonts w:ascii="宋体" w:hAnsi="宋体" w:cs="宋体"/>
                <w:kern w:val="0"/>
                <w:sz w:val="18"/>
                <w:szCs w:val="18"/>
              </w:rPr>
            </w:pPr>
            <w:r>
              <w:rPr>
                <w:rFonts w:hint="eastAsia" w:ascii="宋体" w:hAnsi="宋体" w:cs="宋体"/>
                <w:kern w:val="0"/>
                <w:sz w:val="18"/>
                <w:szCs w:val="18"/>
              </w:rPr>
              <w:t>从业人员(X)</w:t>
            </w:r>
          </w:p>
        </w:tc>
        <w:tc>
          <w:tcPr>
            <w:tcW w:w="710" w:type="dxa"/>
            <w:vAlign w:val="center"/>
          </w:tcPr>
          <w:p w14:paraId="335BDC56">
            <w:pPr>
              <w:widowControl/>
              <w:spacing w:line="460" w:lineRule="exact"/>
              <w:jc w:val="center"/>
              <w:rPr>
                <w:rFonts w:ascii="宋体" w:hAnsi="宋体" w:cs="宋体"/>
                <w:kern w:val="0"/>
                <w:sz w:val="18"/>
                <w:szCs w:val="18"/>
              </w:rPr>
            </w:pPr>
            <w:r>
              <w:rPr>
                <w:rFonts w:hint="eastAsia" w:ascii="宋体" w:hAnsi="宋体" w:cs="宋体"/>
                <w:kern w:val="0"/>
                <w:sz w:val="18"/>
                <w:szCs w:val="18"/>
              </w:rPr>
              <w:t>人</w:t>
            </w:r>
          </w:p>
        </w:tc>
        <w:tc>
          <w:tcPr>
            <w:tcW w:w="1127" w:type="dxa"/>
            <w:vAlign w:val="center"/>
          </w:tcPr>
          <w:p w14:paraId="13F53F03">
            <w:pPr>
              <w:widowControl/>
              <w:spacing w:line="460" w:lineRule="exact"/>
              <w:jc w:val="center"/>
              <w:rPr>
                <w:rFonts w:ascii="宋体" w:hAnsi="宋体" w:cs="宋体"/>
                <w:kern w:val="0"/>
                <w:sz w:val="18"/>
                <w:szCs w:val="18"/>
              </w:rPr>
            </w:pPr>
            <w:r>
              <w:rPr>
                <w:rFonts w:hint="eastAsia" w:ascii="宋体" w:hAnsi="宋体" w:cs="宋体"/>
                <w:kern w:val="0"/>
                <w:sz w:val="18"/>
                <w:szCs w:val="18"/>
              </w:rPr>
              <w:t>X≥1000</w:t>
            </w:r>
          </w:p>
        </w:tc>
        <w:tc>
          <w:tcPr>
            <w:tcW w:w="1705" w:type="dxa"/>
            <w:vAlign w:val="center"/>
          </w:tcPr>
          <w:p w14:paraId="74194A40">
            <w:pPr>
              <w:widowControl/>
              <w:spacing w:line="460" w:lineRule="exact"/>
              <w:jc w:val="center"/>
              <w:rPr>
                <w:rFonts w:ascii="宋体" w:hAnsi="宋体" w:cs="宋体"/>
                <w:kern w:val="0"/>
                <w:sz w:val="18"/>
                <w:szCs w:val="18"/>
              </w:rPr>
            </w:pPr>
            <w:r>
              <w:rPr>
                <w:rFonts w:hint="eastAsia" w:ascii="宋体" w:hAnsi="宋体" w:cs="宋体"/>
                <w:kern w:val="0"/>
                <w:sz w:val="18"/>
                <w:szCs w:val="18"/>
              </w:rPr>
              <w:t>300≤X＜1000</w:t>
            </w:r>
          </w:p>
        </w:tc>
        <w:tc>
          <w:tcPr>
            <w:tcW w:w="1429" w:type="dxa"/>
            <w:vAlign w:val="center"/>
          </w:tcPr>
          <w:p w14:paraId="5A713A5A">
            <w:pPr>
              <w:widowControl/>
              <w:spacing w:line="460" w:lineRule="exact"/>
              <w:jc w:val="center"/>
              <w:rPr>
                <w:rFonts w:ascii="宋体" w:hAnsi="宋体" w:cs="宋体"/>
                <w:kern w:val="0"/>
                <w:sz w:val="18"/>
                <w:szCs w:val="18"/>
              </w:rPr>
            </w:pPr>
            <w:r>
              <w:rPr>
                <w:rFonts w:hint="eastAsia" w:ascii="宋体" w:hAnsi="宋体" w:cs="宋体"/>
                <w:kern w:val="0"/>
                <w:sz w:val="18"/>
                <w:szCs w:val="18"/>
              </w:rPr>
              <w:t>20≤X＜300</w:t>
            </w:r>
          </w:p>
        </w:tc>
        <w:tc>
          <w:tcPr>
            <w:tcW w:w="994" w:type="dxa"/>
            <w:vAlign w:val="center"/>
          </w:tcPr>
          <w:p w14:paraId="5E301D47">
            <w:pPr>
              <w:widowControl/>
              <w:spacing w:line="460" w:lineRule="exact"/>
              <w:jc w:val="center"/>
              <w:rPr>
                <w:rFonts w:ascii="宋体" w:hAnsi="宋体" w:cs="宋体"/>
                <w:kern w:val="0"/>
                <w:sz w:val="18"/>
                <w:szCs w:val="18"/>
              </w:rPr>
            </w:pPr>
            <w:r>
              <w:rPr>
                <w:rFonts w:hint="eastAsia" w:ascii="宋体" w:hAnsi="宋体" w:cs="宋体"/>
                <w:kern w:val="0"/>
                <w:sz w:val="18"/>
                <w:szCs w:val="18"/>
              </w:rPr>
              <w:t>X＜20</w:t>
            </w:r>
          </w:p>
        </w:tc>
      </w:tr>
      <w:tr w14:paraId="5013E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1" w:hRule="exact"/>
          <w:jc w:val="center"/>
        </w:trPr>
        <w:tc>
          <w:tcPr>
            <w:tcW w:w="2118" w:type="dxa"/>
            <w:vMerge w:val="continue"/>
            <w:vAlign w:val="center"/>
          </w:tcPr>
          <w:p w14:paraId="0D10B28A">
            <w:pPr>
              <w:widowControl/>
              <w:spacing w:line="460" w:lineRule="exact"/>
              <w:jc w:val="left"/>
              <w:rPr>
                <w:rFonts w:ascii="宋体" w:hAnsi="宋体" w:cs="宋体"/>
                <w:kern w:val="0"/>
                <w:sz w:val="18"/>
                <w:szCs w:val="18"/>
              </w:rPr>
            </w:pPr>
          </w:p>
        </w:tc>
        <w:tc>
          <w:tcPr>
            <w:tcW w:w="1372" w:type="dxa"/>
            <w:vAlign w:val="center"/>
          </w:tcPr>
          <w:p w14:paraId="06DF31E0">
            <w:pPr>
              <w:widowControl/>
              <w:spacing w:line="460" w:lineRule="exact"/>
              <w:jc w:val="center"/>
              <w:rPr>
                <w:rFonts w:ascii="宋体" w:hAnsi="宋体" w:cs="宋体"/>
                <w:kern w:val="0"/>
                <w:sz w:val="18"/>
                <w:szCs w:val="18"/>
              </w:rPr>
            </w:pPr>
            <w:r>
              <w:rPr>
                <w:rFonts w:hint="eastAsia" w:ascii="宋体" w:hAnsi="宋体" w:cs="宋体"/>
                <w:kern w:val="0"/>
                <w:sz w:val="18"/>
                <w:szCs w:val="18"/>
              </w:rPr>
              <w:t>营业收入(Y)</w:t>
            </w:r>
          </w:p>
        </w:tc>
        <w:tc>
          <w:tcPr>
            <w:tcW w:w="710" w:type="dxa"/>
            <w:vAlign w:val="center"/>
          </w:tcPr>
          <w:p w14:paraId="09C36D7B">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14:paraId="64EB6CAD">
            <w:pPr>
              <w:widowControl/>
              <w:spacing w:line="460" w:lineRule="exact"/>
              <w:jc w:val="center"/>
              <w:rPr>
                <w:rFonts w:ascii="宋体" w:hAnsi="宋体" w:cs="宋体"/>
                <w:kern w:val="0"/>
                <w:sz w:val="18"/>
                <w:szCs w:val="18"/>
              </w:rPr>
            </w:pPr>
            <w:r>
              <w:rPr>
                <w:rFonts w:hint="eastAsia" w:ascii="宋体" w:hAnsi="宋体" w:cs="宋体"/>
                <w:kern w:val="0"/>
                <w:sz w:val="18"/>
                <w:szCs w:val="18"/>
              </w:rPr>
              <w:t>Y≥40000</w:t>
            </w:r>
          </w:p>
        </w:tc>
        <w:tc>
          <w:tcPr>
            <w:tcW w:w="1705" w:type="dxa"/>
            <w:vAlign w:val="center"/>
          </w:tcPr>
          <w:p w14:paraId="65B3BE41">
            <w:pPr>
              <w:widowControl/>
              <w:spacing w:line="460" w:lineRule="exact"/>
              <w:jc w:val="center"/>
              <w:rPr>
                <w:rFonts w:ascii="宋体" w:hAnsi="宋体" w:cs="宋体"/>
                <w:kern w:val="0"/>
                <w:sz w:val="18"/>
                <w:szCs w:val="18"/>
              </w:rPr>
            </w:pPr>
            <w:r>
              <w:rPr>
                <w:rFonts w:hint="eastAsia" w:ascii="宋体" w:hAnsi="宋体" w:cs="宋体"/>
                <w:kern w:val="0"/>
                <w:sz w:val="18"/>
                <w:szCs w:val="18"/>
              </w:rPr>
              <w:t>2000≤Y＜40000</w:t>
            </w:r>
          </w:p>
        </w:tc>
        <w:tc>
          <w:tcPr>
            <w:tcW w:w="1429" w:type="dxa"/>
            <w:vAlign w:val="center"/>
          </w:tcPr>
          <w:p w14:paraId="32428FF7">
            <w:pPr>
              <w:widowControl/>
              <w:spacing w:line="460" w:lineRule="exact"/>
              <w:jc w:val="center"/>
              <w:rPr>
                <w:rFonts w:ascii="宋体" w:hAnsi="宋体" w:cs="宋体"/>
                <w:kern w:val="0"/>
                <w:sz w:val="18"/>
                <w:szCs w:val="18"/>
              </w:rPr>
            </w:pPr>
            <w:r>
              <w:rPr>
                <w:rFonts w:hint="eastAsia" w:ascii="宋体" w:hAnsi="宋体" w:cs="宋体"/>
                <w:kern w:val="0"/>
                <w:sz w:val="18"/>
                <w:szCs w:val="18"/>
              </w:rPr>
              <w:t>300≤Y＜2000</w:t>
            </w:r>
          </w:p>
        </w:tc>
        <w:tc>
          <w:tcPr>
            <w:tcW w:w="994" w:type="dxa"/>
            <w:vAlign w:val="center"/>
          </w:tcPr>
          <w:p w14:paraId="78FEF56C">
            <w:pPr>
              <w:widowControl/>
              <w:spacing w:line="460" w:lineRule="exact"/>
              <w:jc w:val="center"/>
              <w:rPr>
                <w:rFonts w:ascii="宋体" w:hAnsi="宋体" w:cs="宋体"/>
                <w:kern w:val="0"/>
                <w:sz w:val="18"/>
                <w:szCs w:val="18"/>
              </w:rPr>
            </w:pPr>
            <w:r>
              <w:rPr>
                <w:rFonts w:hint="eastAsia" w:ascii="宋体" w:hAnsi="宋体" w:cs="宋体"/>
                <w:kern w:val="0"/>
                <w:sz w:val="18"/>
                <w:szCs w:val="18"/>
              </w:rPr>
              <w:t>Y＜300</w:t>
            </w:r>
          </w:p>
        </w:tc>
      </w:tr>
      <w:tr w14:paraId="41382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1" w:hRule="exact"/>
          <w:jc w:val="center"/>
        </w:trPr>
        <w:tc>
          <w:tcPr>
            <w:tcW w:w="2118" w:type="dxa"/>
            <w:vMerge w:val="restart"/>
            <w:vAlign w:val="center"/>
          </w:tcPr>
          <w:p w14:paraId="545593E7">
            <w:pPr>
              <w:widowControl/>
              <w:spacing w:line="460" w:lineRule="exact"/>
              <w:jc w:val="left"/>
              <w:rPr>
                <w:rFonts w:ascii="宋体" w:hAnsi="宋体" w:cs="宋体"/>
                <w:kern w:val="0"/>
                <w:sz w:val="18"/>
                <w:szCs w:val="18"/>
              </w:rPr>
            </w:pPr>
            <w:r>
              <w:rPr>
                <w:rFonts w:hint="eastAsia" w:ascii="宋体" w:hAnsi="宋体" w:cs="宋体"/>
                <w:kern w:val="0"/>
                <w:sz w:val="18"/>
                <w:szCs w:val="18"/>
              </w:rPr>
              <w:t>建筑业</w:t>
            </w:r>
          </w:p>
        </w:tc>
        <w:tc>
          <w:tcPr>
            <w:tcW w:w="1372" w:type="dxa"/>
            <w:vAlign w:val="center"/>
          </w:tcPr>
          <w:p w14:paraId="7D3DA6EC">
            <w:pPr>
              <w:widowControl/>
              <w:spacing w:line="460" w:lineRule="exact"/>
              <w:jc w:val="center"/>
              <w:rPr>
                <w:rFonts w:ascii="宋体" w:hAnsi="宋体" w:cs="宋体"/>
                <w:kern w:val="0"/>
                <w:sz w:val="18"/>
                <w:szCs w:val="18"/>
              </w:rPr>
            </w:pPr>
            <w:r>
              <w:rPr>
                <w:rFonts w:hint="eastAsia" w:ascii="宋体" w:hAnsi="宋体" w:cs="宋体"/>
                <w:kern w:val="0"/>
                <w:sz w:val="18"/>
                <w:szCs w:val="18"/>
              </w:rPr>
              <w:t>营业收入(Y)</w:t>
            </w:r>
          </w:p>
        </w:tc>
        <w:tc>
          <w:tcPr>
            <w:tcW w:w="710" w:type="dxa"/>
            <w:vAlign w:val="center"/>
          </w:tcPr>
          <w:p w14:paraId="73E00EA1">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14:paraId="7327784F">
            <w:pPr>
              <w:widowControl/>
              <w:spacing w:line="460" w:lineRule="exact"/>
              <w:jc w:val="center"/>
              <w:rPr>
                <w:rFonts w:ascii="宋体" w:hAnsi="宋体" w:cs="宋体"/>
                <w:kern w:val="0"/>
                <w:sz w:val="18"/>
                <w:szCs w:val="18"/>
              </w:rPr>
            </w:pPr>
            <w:r>
              <w:rPr>
                <w:rFonts w:hint="eastAsia" w:ascii="宋体" w:hAnsi="宋体" w:cs="宋体"/>
                <w:kern w:val="0"/>
                <w:sz w:val="18"/>
                <w:szCs w:val="18"/>
              </w:rPr>
              <w:t>Y≥80000</w:t>
            </w:r>
          </w:p>
        </w:tc>
        <w:tc>
          <w:tcPr>
            <w:tcW w:w="1705" w:type="dxa"/>
            <w:vAlign w:val="center"/>
          </w:tcPr>
          <w:p w14:paraId="4E3DFED5">
            <w:pPr>
              <w:widowControl/>
              <w:spacing w:line="460" w:lineRule="exact"/>
              <w:jc w:val="center"/>
              <w:rPr>
                <w:rFonts w:ascii="宋体" w:hAnsi="宋体" w:cs="宋体"/>
                <w:kern w:val="0"/>
                <w:sz w:val="18"/>
                <w:szCs w:val="18"/>
              </w:rPr>
            </w:pPr>
            <w:r>
              <w:rPr>
                <w:rFonts w:hint="eastAsia" w:ascii="宋体" w:hAnsi="宋体" w:cs="宋体"/>
                <w:kern w:val="0"/>
                <w:sz w:val="18"/>
                <w:szCs w:val="18"/>
              </w:rPr>
              <w:t>6000≤Y＜80000</w:t>
            </w:r>
          </w:p>
        </w:tc>
        <w:tc>
          <w:tcPr>
            <w:tcW w:w="1429" w:type="dxa"/>
            <w:vAlign w:val="center"/>
          </w:tcPr>
          <w:p w14:paraId="2B1E189F">
            <w:pPr>
              <w:widowControl/>
              <w:spacing w:line="460" w:lineRule="exact"/>
              <w:jc w:val="center"/>
              <w:rPr>
                <w:rFonts w:ascii="宋体" w:hAnsi="宋体" w:cs="宋体"/>
                <w:kern w:val="0"/>
                <w:sz w:val="18"/>
                <w:szCs w:val="18"/>
              </w:rPr>
            </w:pPr>
            <w:r>
              <w:rPr>
                <w:rFonts w:hint="eastAsia" w:ascii="宋体" w:hAnsi="宋体" w:cs="宋体"/>
                <w:kern w:val="0"/>
                <w:sz w:val="18"/>
                <w:szCs w:val="18"/>
              </w:rPr>
              <w:t>300≤Y＜6000</w:t>
            </w:r>
          </w:p>
        </w:tc>
        <w:tc>
          <w:tcPr>
            <w:tcW w:w="994" w:type="dxa"/>
            <w:vAlign w:val="center"/>
          </w:tcPr>
          <w:p w14:paraId="7708F047">
            <w:pPr>
              <w:widowControl/>
              <w:spacing w:line="460" w:lineRule="exact"/>
              <w:jc w:val="center"/>
              <w:rPr>
                <w:rFonts w:ascii="宋体" w:hAnsi="宋体" w:cs="宋体"/>
                <w:kern w:val="0"/>
                <w:sz w:val="18"/>
                <w:szCs w:val="18"/>
              </w:rPr>
            </w:pPr>
            <w:r>
              <w:rPr>
                <w:rFonts w:hint="eastAsia" w:ascii="宋体" w:hAnsi="宋体" w:cs="宋体"/>
                <w:kern w:val="0"/>
                <w:sz w:val="18"/>
                <w:szCs w:val="18"/>
              </w:rPr>
              <w:t>Y＜300</w:t>
            </w:r>
          </w:p>
        </w:tc>
      </w:tr>
      <w:tr w14:paraId="25901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exact"/>
          <w:jc w:val="center"/>
        </w:trPr>
        <w:tc>
          <w:tcPr>
            <w:tcW w:w="2118" w:type="dxa"/>
            <w:vMerge w:val="continue"/>
            <w:vAlign w:val="center"/>
          </w:tcPr>
          <w:p w14:paraId="51C10A8C">
            <w:pPr>
              <w:widowControl/>
              <w:spacing w:line="460" w:lineRule="exact"/>
              <w:jc w:val="left"/>
              <w:rPr>
                <w:rFonts w:ascii="宋体" w:hAnsi="宋体" w:cs="宋体"/>
                <w:kern w:val="0"/>
                <w:sz w:val="18"/>
                <w:szCs w:val="18"/>
              </w:rPr>
            </w:pPr>
          </w:p>
        </w:tc>
        <w:tc>
          <w:tcPr>
            <w:tcW w:w="1372" w:type="dxa"/>
            <w:vAlign w:val="center"/>
          </w:tcPr>
          <w:p w14:paraId="0177FAE2">
            <w:pPr>
              <w:widowControl/>
              <w:spacing w:line="460" w:lineRule="exact"/>
              <w:jc w:val="center"/>
              <w:rPr>
                <w:rFonts w:ascii="宋体" w:hAnsi="宋体" w:cs="宋体"/>
                <w:kern w:val="0"/>
                <w:sz w:val="18"/>
                <w:szCs w:val="18"/>
              </w:rPr>
            </w:pPr>
            <w:r>
              <w:rPr>
                <w:rFonts w:hint="eastAsia" w:ascii="宋体" w:hAnsi="宋体" w:cs="宋体"/>
                <w:kern w:val="0"/>
                <w:sz w:val="18"/>
                <w:szCs w:val="18"/>
              </w:rPr>
              <w:t>资产总额(Z)</w:t>
            </w:r>
          </w:p>
        </w:tc>
        <w:tc>
          <w:tcPr>
            <w:tcW w:w="710" w:type="dxa"/>
            <w:vAlign w:val="center"/>
          </w:tcPr>
          <w:p w14:paraId="16A97A12">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14:paraId="18B4A4D0">
            <w:pPr>
              <w:widowControl/>
              <w:spacing w:line="460" w:lineRule="exact"/>
              <w:jc w:val="center"/>
              <w:rPr>
                <w:rFonts w:ascii="宋体" w:hAnsi="宋体" w:cs="宋体"/>
                <w:kern w:val="0"/>
                <w:sz w:val="18"/>
                <w:szCs w:val="18"/>
              </w:rPr>
            </w:pPr>
            <w:r>
              <w:rPr>
                <w:rFonts w:hint="eastAsia" w:ascii="宋体" w:hAnsi="宋体" w:cs="宋体"/>
                <w:kern w:val="0"/>
                <w:sz w:val="18"/>
                <w:szCs w:val="18"/>
              </w:rPr>
              <w:t>Z≥80000</w:t>
            </w:r>
          </w:p>
        </w:tc>
        <w:tc>
          <w:tcPr>
            <w:tcW w:w="1705" w:type="dxa"/>
            <w:vAlign w:val="center"/>
          </w:tcPr>
          <w:p w14:paraId="13C04FB6">
            <w:pPr>
              <w:widowControl/>
              <w:spacing w:line="460" w:lineRule="exact"/>
              <w:jc w:val="center"/>
              <w:rPr>
                <w:rFonts w:ascii="宋体" w:hAnsi="宋体" w:cs="宋体"/>
                <w:kern w:val="0"/>
                <w:sz w:val="18"/>
                <w:szCs w:val="18"/>
              </w:rPr>
            </w:pPr>
            <w:r>
              <w:rPr>
                <w:rFonts w:hint="eastAsia" w:ascii="宋体" w:hAnsi="宋体" w:cs="宋体"/>
                <w:kern w:val="0"/>
                <w:sz w:val="18"/>
                <w:szCs w:val="18"/>
              </w:rPr>
              <w:t>5000≤Z＜80000</w:t>
            </w:r>
          </w:p>
        </w:tc>
        <w:tc>
          <w:tcPr>
            <w:tcW w:w="1429" w:type="dxa"/>
            <w:vAlign w:val="center"/>
          </w:tcPr>
          <w:p w14:paraId="13D6DA3C">
            <w:pPr>
              <w:widowControl/>
              <w:spacing w:line="460" w:lineRule="exact"/>
              <w:jc w:val="center"/>
              <w:rPr>
                <w:rFonts w:ascii="宋体" w:hAnsi="宋体" w:cs="宋体"/>
                <w:kern w:val="0"/>
                <w:sz w:val="18"/>
                <w:szCs w:val="18"/>
              </w:rPr>
            </w:pPr>
            <w:r>
              <w:rPr>
                <w:rFonts w:hint="eastAsia" w:ascii="宋体" w:hAnsi="宋体" w:cs="宋体"/>
                <w:kern w:val="0"/>
                <w:sz w:val="18"/>
                <w:szCs w:val="18"/>
              </w:rPr>
              <w:t>300≤Z＜5000</w:t>
            </w:r>
          </w:p>
        </w:tc>
        <w:tc>
          <w:tcPr>
            <w:tcW w:w="994" w:type="dxa"/>
            <w:vAlign w:val="center"/>
          </w:tcPr>
          <w:p w14:paraId="229A2176">
            <w:pPr>
              <w:widowControl/>
              <w:spacing w:line="460" w:lineRule="exact"/>
              <w:jc w:val="center"/>
              <w:rPr>
                <w:rFonts w:ascii="宋体" w:hAnsi="宋体" w:cs="宋体"/>
                <w:kern w:val="0"/>
                <w:sz w:val="18"/>
                <w:szCs w:val="18"/>
              </w:rPr>
            </w:pPr>
            <w:r>
              <w:rPr>
                <w:rFonts w:hint="eastAsia" w:ascii="宋体" w:hAnsi="宋体" w:cs="宋体"/>
                <w:kern w:val="0"/>
                <w:sz w:val="18"/>
                <w:szCs w:val="18"/>
              </w:rPr>
              <w:t>Z＜300</w:t>
            </w:r>
          </w:p>
        </w:tc>
      </w:tr>
      <w:tr w14:paraId="759A5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exact"/>
          <w:jc w:val="center"/>
        </w:trPr>
        <w:tc>
          <w:tcPr>
            <w:tcW w:w="2118" w:type="dxa"/>
            <w:vMerge w:val="restart"/>
            <w:vAlign w:val="center"/>
          </w:tcPr>
          <w:p w14:paraId="3E1205C9">
            <w:pPr>
              <w:widowControl/>
              <w:spacing w:line="460" w:lineRule="exact"/>
              <w:jc w:val="left"/>
              <w:rPr>
                <w:rFonts w:ascii="宋体" w:hAnsi="宋体" w:cs="宋体"/>
                <w:kern w:val="0"/>
                <w:sz w:val="18"/>
                <w:szCs w:val="18"/>
              </w:rPr>
            </w:pPr>
            <w:r>
              <w:rPr>
                <w:rFonts w:hint="eastAsia" w:ascii="宋体" w:hAnsi="宋体" w:cs="宋体"/>
                <w:kern w:val="0"/>
                <w:sz w:val="18"/>
                <w:szCs w:val="18"/>
              </w:rPr>
              <w:t>批发业</w:t>
            </w:r>
          </w:p>
        </w:tc>
        <w:tc>
          <w:tcPr>
            <w:tcW w:w="1372" w:type="dxa"/>
            <w:vAlign w:val="center"/>
          </w:tcPr>
          <w:p w14:paraId="60141C36">
            <w:pPr>
              <w:widowControl/>
              <w:spacing w:line="460" w:lineRule="exact"/>
              <w:jc w:val="center"/>
              <w:rPr>
                <w:rFonts w:ascii="宋体" w:hAnsi="宋体" w:cs="宋体"/>
                <w:kern w:val="0"/>
                <w:sz w:val="18"/>
                <w:szCs w:val="18"/>
              </w:rPr>
            </w:pPr>
            <w:r>
              <w:rPr>
                <w:rFonts w:hint="eastAsia" w:ascii="宋体" w:hAnsi="宋体" w:cs="宋体"/>
                <w:kern w:val="0"/>
                <w:sz w:val="18"/>
                <w:szCs w:val="18"/>
              </w:rPr>
              <w:t>从业人员(X)</w:t>
            </w:r>
          </w:p>
        </w:tc>
        <w:tc>
          <w:tcPr>
            <w:tcW w:w="710" w:type="dxa"/>
            <w:vAlign w:val="center"/>
          </w:tcPr>
          <w:p w14:paraId="3D68BEAC">
            <w:pPr>
              <w:widowControl/>
              <w:spacing w:line="460" w:lineRule="exact"/>
              <w:jc w:val="center"/>
              <w:rPr>
                <w:rFonts w:ascii="宋体" w:hAnsi="宋体" w:cs="宋体"/>
                <w:kern w:val="0"/>
                <w:sz w:val="18"/>
                <w:szCs w:val="18"/>
              </w:rPr>
            </w:pPr>
            <w:r>
              <w:rPr>
                <w:rFonts w:hint="eastAsia" w:ascii="宋体" w:hAnsi="宋体" w:cs="宋体"/>
                <w:kern w:val="0"/>
                <w:sz w:val="18"/>
                <w:szCs w:val="18"/>
              </w:rPr>
              <w:t>人</w:t>
            </w:r>
          </w:p>
        </w:tc>
        <w:tc>
          <w:tcPr>
            <w:tcW w:w="1127" w:type="dxa"/>
            <w:vAlign w:val="center"/>
          </w:tcPr>
          <w:p w14:paraId="1D851A1F">
            <w:pPr>
              <w:widowControl/>
              <w:spacing w:line="460" w:lineRule="exact"/>
              <w:jc w:val="center"/>
              <w:rPr>
                <w:rFonts w:ascii="宋体" w:hAnsi="宋体" w:cs="宋体"/>
                <w:kern w:val="0"/>
                <w:sz w:val="18"/>
                <w:szCs w:val="18"/>
              </w:rPr>
            </w:pPr>
            <w:r>
              <w:rPr>
                <w:rFonts w:hint="eastAsia" w:ascii="宋体" w:hAnsi="宋体" w:cs="宋体"/>
                <w:kern w:val="0"/>
                <w:sz w:val="18"/>
                <w:szCs w:val="18"/>
              </w:rPr>
              <w:t>X≥200</w:t>
            </w:r>
          </w:p>
        </w:tc>
        <w:tc>
          <w:tcPr>
            <w:tcW w:w="1705" w:type="dxa"/>
            <w:vAlign w:val="center"/>
          </w:tcPr>
          <w:p w14:paraId="5AE98FD4">
            <w:pPr>
              <w:widowControl/>
              <w:spacing w:line="460" w:lineRule="exact"/>
              <w:jc w:val="center"/>
              <w:rPr>
                <w:rFonts w:ascii="宋体" w:hAnsi="宋体" w:cs="宋体"/>
                <w:kern w:val="0"/>
                <w:sz w:val="18"/>
                <w:szCs w:val="18"/>
              </w:rPr>
            </w:pPr>
            <w:r>
              <w:rPr>
                <w:rFonts w:hint="eastAsia" w:ascii="宋体" w:hAnsi="宋体" w:cs="宋体"/>
                <w:kern w:val="0"/>
                <w:sz w:val="18"/>
                <w:szCs w:val="18"/>
              </w:rPr>
              <w:t>20≤X＜200</w:t>
            </w:r>
          </w:p>
        </w:tc>
        <w:tc>
          <w:tcPr>
            <w:tcW w:w="1429" w:type="dxa"/>
            <w:vAlign w:val="center"/>
          </w:tcPr>
          <w:p w14:paraId="3C00980A">
            <w:pPr>
              <w:widowControl/>
              <w:spacing w:line="460" w:lineRule="exact"/>
              <w:jc w:val="center"/>
              <w:rPr>
                <w:rFonts w:ascii="宋体" w:hAnsi="宋体" w:cs="宋体"/>
                <w:kern w:val="0"/>
                <w:sz w:val="18"/>
                <w:szCs w:val="18"/>
              </w:rPr>
            </w:pPr>
            <w:r>
              <w:rPr>
                <w:rFonts w:hint="eastAsia" w:ascii="宋体" w:hAnsi="宋体" w:cs="宋体"/>
                <w:kern w:val="0"/>
                <w:sz w:val="18"/>
                <w:szCs w:val="18"/>
              </w:rPr>
              <w:t>5≤X＜20</w:t>
            </w:r>
          </w:p>
        </w:tc>
        <w:tc>
          <w:tcPr>
            <w:tcW w:w="994" w:type="dxa"/>
            <w:vAlign w:val="center"/>
          </w:tcPr>
          <w:p w14:paraId="5809E0A8">
            <w:pPr>
              <w:widowControl/>
              <w:spacing w:line="460" w:lineRule="exact"/>
              <w:jc w:val="center"/>
              <w:rPr>
                <w:rFonts w:ascii="宋体" w:hAnsi="宋体" w:cs="宋体"/>
                <w:kern w:val="0"/>
                <w:sz w:val="18"/>
                <w:szCs w:val="18"/>
              </w:rPr>
            </w:pPr>
            <w:r>
              <w:rPr>
                <w:rFonts w:hint="eastAsia" w:ascii="宋体" w:hAnsi="宋体" w:cs="宋体"/>
                <w:kern w:val="0"/>
                <w:sz w:val="18"/>
                <w:szCs w:val="18"/>
              </w:rPr>
              <w:t>X＜5</w:t>
            </w:r>
          </w:p>
        </w:tc>
      </w:tr>
      <w:tr w14:paraId="409FE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1" w:hRule="exact"/>
          <w:jc w:val="center"/>
        </w:trPr>
        <w:tc>
          <w:tcPr>
            <w:tcW w:w="2118" w:type="dxa"/>
            <w:vMerge w:val="continue"/>
            <w:vAlign w:val="center"/>
          </w:tcPr>
          <w:p w14:paraId="20C08729">
            <w:pPr>
              <w:widowControl/>
              <w:spacing w:line="460" w:lineRule="exact"/>
              <w:jc w:val="left"/>
              <w:rPr>
                <w:rFonts w:ascii="宋体" w:hAnsi="宋体" w:cs="宋体"/>
                <w:kern w:val="0"/>
                <w:sz w:val="18"/>
                <w:szCs w:val="18"/>
              </w:rPr>
            </w:pPr>
          </w:p>
        </w:tc>
        <w:tc>
          <w:tcPr>
            <w:tcW w:w="1372" w:type="dxa"/>
            <w:vAlign w:val="center"/>
          </w:tcPr>
          <w:p w14:paraId="2E478A0C">
            <w:pPr>
              <w:widowControl/>
              <w:spacing w:line="460" w:lineRule="exact"/>
              <w:jc w:val="center"/>
              <w:rPr>
                <w:rFonts w:ascii="宋体" w:hAnsi="宋体" w:cs="宋体"/>
                <w:kern w:val="0"/>
                <w:sz w:val="18"/>
                <w:szCs w:val="18"/>
              </w:rPr>
            </w:pPr>
            <w:r>
              <w:rPr>
                <w:rFonts w:hint="eastAsia" w:ascii="宋体" w:hAnsi="宋体" w:cs="宋体"/>
                <w:kern w:val="0"/>
                <w:sz w:val="18"/>
                <w:szCs w:val="18"/>
              </w:rPr>
              <w:t>营业收入(Y)</w:t>
            </w:r>
          </w:p>
        </w:tc>
        <w:tc>
          <w:tcPr>
            <w:tcW w:w="710" w:type="dxa"/>
            <w:vAlign w:val="center"/>
          </w:tcPr>
          <w:p w14:paraId="4FE4E8E7">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14:paraId="02F6D336">
            <w:pPr>
              <w:widowControl/>
              <w:spacing w:line="460" w:lineRule="exact"/>
              <w:jc w:val="center"/>
              <w:rPr>
                <w:rFonts w:ascii="宋体" w:hAnsi="宋体" w:cs="宋体"/>
                <w:kern w:val="0"/>
                <w:sz w:val="18"/>
                <w:szCs w:val="18"/>
              </w:rPr>
            </w:pPr>
            <w:r>
              <w:rPr>
                <w:rFonts w:hint="eastAsia" w:ascii="宋体" w:hAnsi="宋体" w:cs="宋体"/>
                <w:kern w:val="0"/>
                <w:sz w:val="18"/>
                <w:szCs w:val="18"/>
              </w:rPr>
              <w:t>Y≥40000</w:t>
            </w:r>
          </w:p>
        </w:tc>
        <w:tc>
          <w:tcPr>
            <w:tcW w:w="1705" w:type="dxa"/>
            <w:vAlign w:val="center"/>
          </w:tcPr>
          <w:p w14:paraId="1DE42239">
            <w:pPr>
              <w:widowControl/>
              <w:spacing w:line="460" w:lineRule="exact"/>
              <w:jc w:val="center"/>
              <w:rPr>
                <w:rFonts w:ascii="宋体" w:hAnsi="宋体" w:cs="宋体"/>
                <w:kern w:val="0"/>
                <w:sz w:val="18"/>
                <w:szCs w:val="18"/>
              </w:rPr>
            </w:pPr>
            <w:r>
              <w:rPr>
                <w:rFonts w:hint="eastAsia" w:ascii="宋体" w:hAnsi="宋体" w:cs="宋体"/>
                <w:kern w:val="0"/>
                <w:sz w:val="18"/>
                <w:szCs w:val="18"/>
              </w:rPr>
              <w:t>5000≤Y＜40000</w:t>
            </w:r>
          </w:p>
        </w:tc>
        <w:tc>
          <w:tcPr>
            <w:tcW w:w="1429" w:type="dxa"/>
            <w:vAlign w:val="center"/>
          </w:tcPr>
          <w:p w14:paraId="33362811">
            <w:pPr>
              <w:widowControl/>
              <w:spacing w:line="460" w:lineRule="exact"/>
              <w:ind w:left="-1" w:leftChars="-1" w:hanging="1"/>
              <w:jc w:val="center"/>
              <w:rPr>
                <w:rFonts w:ascii="宋体" w:hAnsi="宋体" w:cs="宋体"/>
                <w:kern w:val="0"/>
                <w:sz w:val="18"/>
                <w:szCs w:val="18"/>
              </w:rPr>
            </w:pPr>
            <w:r>
              <w:rPr>
                <w:rFonts w:hint="eastAsia" w:ascii="宋体" w:hAnsi="宋体" w:cs="宋体"/>
                <w:kern w:val="0"/>
                <w:sz w:val="18"/>
                <w:szCs w:val="18"/>
              </w:rPr>
              <w:t>1000≤Y＜5000</w:t>
            </w:r>
          </w:p>
        </w:tc>
        <w:tc>
          <w:tcPr>
            <w:tcW w:w="994" w:type="dxa"/>
            <w:vAlign w:val="center"/>
          </w:tcPr>
          <w:p w14:paraId="3113DBA6">
            <w:pPr>
              <w:widowControl/>
              <w:spacing w:line="460" w:lineRule="exact"/>
              <w:jc w:val="center"/>
              <w:rPr>
                <w:rFonts w:ascii="宋体" w:hAnsi="宋体" w:cs="宋体"/>
                <w:kern w:val="0"/>
                <w:sz w:val="18"/>
                <w:szCs w:val="18"/>
              </w:rPr>
            </w:pPr>
            <w:r>
              <w:rPr>
                <w:rFonts w:hint="eastAsia" w:ascii="宋体" w:hAnsi="宋体" w:cs="宋体"/>
                <w:kern w:val="0"/>
                <w:sz w:val="18"/>
                <w:szCs w:val="18"/>
              </w:rPr>
              <w:t>Y＜1000</w:t>
            </w:r>
          </w:p>
        </w:tc>
      </w:tr>
      <w:tr w14:paraId="3515D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exact"/>
          <w:jc w:val="center"/>
        </w:trPr>
        <w:tc>
          <w:tcPr>
            <w:tcW w:w="2118" w:type="dxa"/>
            <w:vMerge w:val="restart"/>
            <w:vAlign w:val="center"/>
          </w:tcPr>
          <w:p w14:paraId="3DDF5444">
            <w:pPr>
              <w:widowControl/>
              <w:spacing w:line="460" w:lineRule="exact"/>
              <w:jc w:val="left"/>
              <w:rPr>
                <w:rFonts w:ascii="宋体" w:hAnsi="宋体" w:cs="宋体"/>
                <w:kern w:val="0"/>
                <w:sz w:val="18"/>
                <w:szCs w:val="18"/>
              </w:rPr>
            </w:pPr>
            <w:r>
              <w:rPr>
                <w:rFonts w:hint="eastAsia" w:ascii="宋体" w:hAnsi="宋体" w:cs="宋体"/>
                <w:kern w:val="0"/>
                <w:sz w:val="18"/>
                <w:szCs w:val="18"/>
              </w:rPr>
              <w:t>零售业</w:t>
            </w:r>
          </w:p>
        </w:tc>
        <w:tc>
          <w:tcPr>
            <w:tcW w:w="1372" w:type="dxa"/>
            <w:vAlign w:val="center"/>
          </w:tcPr>
          <w:p w14:paraId="16483B39">
            <w:pPr>
              <w:widowControl/>
              <w:spacing w:line="460" w:lineRule="exact"/>
              <w:jc w:val="center"/>
              <w:rPr>
                <w:rFonts w:ascii="宋体" w:hAnsi="宋体" w:cs="宋体"/>
                <w:kern w:val="0"/>
                <w:sz w:val="18"/>
                <w:szCs w:val="18"/>
              </w:rPr>
            </w:pPr>
            <w:r>
              <w:rPr>
                <w:rFonts w:hint="eastAsia" w:ascii="宋体" w:hAnsi="宋体" w:cs="宋体"/>
                <w:kern w:val="0"/>
                <w:sz w:val="18"/>
                <w:szCs w:val="18"/>
              </w:rPr>
              <w:t>从业人员(X)</w:t>
            </w:r>
          </w:p>
        </w:tc>
        <w:tc>
          <w:tcPr>
            <w:tcW w:w="710" w:type="dxa"/>
            <w:vAlign w:val="center"/>
          </w:tcPr>
          <w:p w14:paraId="348271E2">
            <w:pPr>
              <w:widowControl/>
              <w:spacing w:line="460" w:lineRule="exact"/>
              <w:jc w:val="center"/>
              <w:rPr>
                <w:rFonts w:ascii="宋体" w:hAnsi="宋体" w:cs="宋体"/>
                <w:kern w:val="0"/>
                <w:sz w:val="18"/>
                <w:szCs w:val="18"/>
              </w:rPr>
            </w:pPr>
            <w:r>
              <w:rPr>
                <w:rFonts w:hint="eastAsia" w:ascii="宋体" w:hAnsi="宋体" w:cs="宋体"/>
                <w:kern w:val="0"/>
                <w:sz w:val="18"/>
                <w:szCs w:val="18"/>
              </w:rPr>
              <w:t>人</w:t>
            </w:r>
          </w:p>
        </w:tc>
        <w:tc>
          <w:tcPr>
            <w:tcW w:w="1127" w:type="dxa"/>
            <w:vAlign w:val="center"/>
          </w:tcPr>
          <w:p w14:paraId="7D0D17B4">
            <w:pPr>
              <w:widowControl/>
              <w:spacing w:line="460" w:lineRule="exact"/>
              <w:jc w:val="center"/>
              <w:rPr>
                <w:rFonts w:ascii="宋体" w:hAnsi="宋体" w:cs="宋体"/>
                <w:kern w:val="0"/>
                <w:sz w:val="18"/>
                <w:szCs w:val="18"/>
              </w:rPr>
            </w:pPr>
            <w:r>
              <w:rPr>
                <w:rFonts w:hint="eastAsia" w:ascii="宋体" w:hAnsi="宋体" w:cs="宋体"/>
                <w:kern w:val="0"/>
                <w:sz w:val="18"/>
                <w:szCs w:val="18"/>
              </w:rPr>
              <w:t>X≥300</w:t>
            </w:r>
          </w:p>
        </w:tc>
        <w:tc>
          <w:tcPr>
            <w:tcW w:w="1705" w:type="dxa"/>
            <w:vAlign w:val="center"/>
          </w:tcPr>
          <w:p w14:paraId="5DE1DE4C">
            <w:pPr>
              <w:widowControl/>
              <w:spacing w:line="460" w:lineRule="exact"/>
              <w:jc w:val="center"/>
              <w:rPr>
                <w:rFonts w:ascii="宋体" w:hAnsi="宋体" w:cs="宋体"/>
                <w:kern w:val="0"/>
                <w:sz w:val="18"/>
                <w:szCs w:val="18"/>
              </w:rPr>
            </w:pPr>
            <w:r>
              <w:rPr>
                <w:rFonts w:hint="eastAsia" w:ascii="宋体" w:hAnsi="宋体" w:cs="宋体"/>
                <w:kern w:val="0"/>
                <w:sz w:val="18"/>
                <w:szCs w:val="18"/>
              </w:rPr>
              <w:t>50≤X＜300</w:t>
            </w:r>
          </w:p>
        </w:tc>
        <w:tc>
          <w:tcPr>
            <w:tcW w:w="1429" w:type="dxa"/>
            <w:vAlign w:val="center"/>
          </w:tcPr>
          <w:p w14:paraId="7EB5BCE9">
            <w:pPr>
              <w:widowControl/>
              <w:spacing w:line="460" w:lineRule="exact"/>
              <w:ind w:left="-1" w:leftChars="-1" w:hanging="1"/>
              <w:jc w:val="center"/>
              <w:rPr>
                <w:rFonts w:ascii="宋体" w:hAnsi="宋体" w:cs="宋体"/>
                <w:kern w:val="0"/>
                <w:sz w:val="18"/>
                <w:szCs w:val="18"/>
              </w:rPr>
            </w:pPr>
            <w:r>
              <w:rPr>
                <w:rFonts w:hint="eastAsia" w:ascii="宋体" w:hAnsi="宋体" w:cs="宋体"/>
                <w:kern w:val="0"/>
                <w:sz w:val="18"/>
                <w:szCs w:val="18"/>
              </w:rPr>
              <w:t xml:space="preserve">10≤X＜50 </w:t>
            </w:r>
          </w:p>
        </w:tc>
        <w:tc>
          <w:tcPr>
            <w:tcW w:w="994" w:type="dxa"/>
            <w:vAlign w:val="center"/>
          </w:tcPr>
          <w:p w14:paraId="4964FC79">
            <w:pPr>
              <w:widowControl/>
              <w:spacing w:line="460" w:lineRule="exact"/>
              <w:jc w:val="center"/>
              <w:rPr>
                <w:rFonts w:ascii="宋体" w:hAnsi="宋体" w:cs="宋体"/>
                <w:kern w:val="0"/>
                <w:sz w:val="18"/>
                <w:szCs w:val="18"/>
              </w:rPr>
            </w:pPr>
            <w:r>
              <w:rPr>
                <w:rFonts w:hint="eastAsia" w:ascii="宋体" w:hAnsi="宋体" w:cs="宋体"/>
                <w:kern w:val="0"/>
                <w:sz w:val="18"/>
                <w:szCs w:val="18"/>
              </w:rPr>
              <w:t>X＜10</w:t>
            </w:r>
          </w:p>
        </w:tc>
      </w:tr>
      <w:tr w14:paraId="1035C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exact"/>
          <w:jc w:val="center"/>
        </w:trPr>
        <w:tc>
          <w:tcPr>
            <w:tcW w:w="2118" w:type="dxa"/>
            <w:vMerge w:val="continue"/>
            <w:vAlign w:val="center"/>
          </w:tcPr>
          <w:p w14:paraId="70E5F8DC">
            <w:pPr>
              <w:widowControl/>
              <w:spacing w:line="460" w:lineRule="exact"/>
              <w:jc w:val="left"/>
              <w:rPr>
                <w:rFonts w:ascii="宋体" w:hAnsi="宋体" w:cs="宋体"/>
                <w:kern w:val="0"/>
                <w:sz w:val="18"/>
                <w:szCs w:val="18"/>
              </w:rPr>
            </w:pPr>
          </w:p>
        </w:tc>
        <w:tc>
          <w:tcPr>
            <w:tcW w:w="1372" w:type="dxa"/>
            <w:vAlign w:val="center"/>
          </w:tcPr>
          <w:p w14:paraId="3E596A16">
            <w:pPr>
              <w:widowControl/>
              <w:spacing w:line="460" w:lineRule="exact"/>
              <w:jc w:val="center"/>
              <w:rPr>
                <w:rFonts w:ascii="宋体" w:hAnsi="宋体" w:cs="宋体"/>
                <w:kern w:val="0"/>
                <w:sz w:val="18"/>
                <w:szCs w:val="18"/>
              </w:rPr>
            </w:pPr>
            <w:r>
              <w:rPr>
                <w:rFonts w:hint="eastAsia" w:ascii="宋体" w:hAnsi="宋体" w:cs="宋体"/>
                <w:kern w:val="0"/>
                <w:sz w:val="18"/>
                <w:szCs w:val="18"/>
              </w:rPr>
              <w:t>营业收入(Y)</w:t>
            </w:r>
          </w:p>
        </w:tc>
        <w:tc>
          <w:tcPr>
            <w:tcW w:w="710" w:type="dxa"/>
            <w:vAlign w:val="center"/>
          </w:tcPr>
          <w:p w14:paraId="111F582B">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14:paraId="0FB793C4">
            <w:pPr>
              <w:widowControl/>
              <w:spacing w:line="460" w:lineRule="exact"/>
              <w:jc w:val="center"/>
              <w:rPr>
                <w:rFonts w:ascii="宋体" w:hAnsi="宋体" w:cs="宋体"/>
                <w:kern w:val="0"/>
                <w:sz w:val="18"/>
                <w:szCs w:val="18"/>
              </w:rPr>
            </w:pPr>
            <w:r>
              <w:rPr>
                <w:rFonts w:hint="eastAsia" w:ascii="宋体" w:hAnsi="宋体" w:cs="宋体"/>
                <w:kern w:val="0"/>
                <w:sz w:val="18"/>
                <w:szCs w:val="18"/>
              </w:rPr>
              <w:t>Y≥20000</w:t>
            </w:r>
          </w:p>
        </w:tc>
        <w:tc>
          <w:tcPr>
            <w:tcW w:w="1705" w:type="dxa"/>
            <w:vAlign w:val="center"/>
          </w:tcPr>
          <w:p w14:paraId="77B23488">
            <w:pPr>
              <w:widowControl/>
              <w:spacing w:line="460" w:lineRule="exact"/>
              <w:jc w:val="center"/>
              <w:rPr>
                <w:rFonts w:ascii="宋体" w:hAnsi="宋体" w:cs="宋体"/>
                <w:kern w:val="0"/>
                <w:sz w:val="18"/>
                <w:szCs w:val="18"/>
              </w:rPr>
            </w:pPr>
            <w:r>
              <w:rPr>
                <w:rFonts w:hint="eastAsia" w:ascii="宋体" w:hAnsi="宋体" w:cs="宋体"/>
                <w:kern w:val="0"/>
                <w:sz w:val="18"/>
                <w:szCs w:val="18"/>
              </w:rPr>
              <w:t>500≤Y＜20000</w:t>
            </w:r>
          </w:p>
        </w:tc>
        <w:tc>
          <w:tcPr>
            <w:tcW w:w="1429" w:type="dxa"/>
            <w:vAlign w:val="center"/>
          </w:tcPr>
          <w:p w14:paraId="1B3B468C">
            <w:pPr>
              <w:widowControl/>
              <w:spacing w:line="460" w:lineRule="exact"/>
              <w:ind w:left="-1" w:leftChars="-1" w:hanging="1"/>
              <w:jc w:val="center"/>
              <w:rPr>
                <w:rFonts w:ascii="宋体" w:hAnsi="宋体" w:cs="宋体"/>
                <w:kern w:val="0"/>
                <w:sz w:val="18"/>
                <w:szCs w:val="18"/>
              </w:rPr>
            </w:pPr>
            <w:r>
              <w:rPr>
                <w:rFonts w:hint="eastAsia" w:ascii="宋体" w:hAnsi="宋体" w:cs="宋体"/>
                <w:kern w:val="0"/>
                <w:sz w:val="18"/>
                <w:szCs w:val="18"/>
              </w:rPr>
              <w:t>100≤Y＜500</w:t>
            </w:r>
          </w:p>
        </w:tc>
        <w:tc>
          <w:tcPr>
            <w:tcW w:w="994" w:type="dxa"/>
            <w:vAlign w:val="center"/>
          </w:tcPr>
          <w:p w14:paraId="0700D134">
            <w:pPr>
              <w:widowControl/>
              <w:spacing w:line="460" w:lineRule="exact"/>
              <w:jc w:val="center"/>
              <w:rPr>
                <w:rFonts w:ascii="宋体" w:hAnsi="宋体" w:cs="宋体"/>
                <w:kern w:val="0"/>
                <w:sz w:val="18"/>
                <w:szCs w:val="18"/>
              </w:rPr>
            </w:pPr>
            <w:r>
              <w:rPr>
                <w:rFonts w:hint="eastAsia" w:ascii="宋体" w:hAnsi="宋体" w:cs="宋体"/>
                <w:kern w:val="0"/>
                <w:sz w:val="18"/>
                <w:szCs w:val="18"/>
              </w:rPr>
              <w:t>Y＜100</w:t>
            </w:r>
          </w:p>
        </w:tc>
      </w:tr>
      <w:tr w14:paraId="4EDE3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exact"/>
          <w:jc w:val="center"/>
        </w:trPr>
        <w:tc>
          <w:tcPr>
            <w:tcW w:w="2118" w:type="dxa"/>
            <w:vMerge w:val="restart"/>
            <w:vAlign w:val="center"/>
          </w:tcPr>
          <w:p w14:paraId="7599A41E">
            <w:pPr>
              <w:widowControl/>
              <w:spacing w:line="460" w:lineRule="exact"/>
              <w:jc w:val="left"/>
              <w:rPr>
                <w:rFonts w:ascii="宋体" w:hAnsi="宋体" w:cs="宋体"/>
                <w:kern w:val="0"/>
                <w:sz w:val="18"/>
                <w:szCs w:val="18"/>
              </w:rPr>
            </w:pPr>
            <w:r>
              <w:rPr>
                <w:rFonts w:hint="eastAsia" w:ascii="宋体" w:hAnsi="宋体" w:cs="宋体"/>
                <w:kern w:val="0"/>
                <w:sz w:val="18"/>
                <w:szCs w:val="18"/>
              </w:rPr>
              <w:t>交通运输业 *</w:t>
            </w:r>
          </w:p>
        </w:tc>
        <w:tc>
          <w:tcPr>
            <w:tcW w:w="1372" w:type="dxa"/>
            <w:vAlign w:val="center"/>
          </w:tcPr>
          <w:p w14:paraId="11F64F6A">
            <w:pPr>
              <w:widowControl/>
              <w:spacing w:line="460" w:lineRule="exact"/>
              <w:jc w:val="center"/>
              <w:rPr>
                <w:rFonts w:ascii="宋体" w:hAnsi="宋体" w:cs="宋体"/>
                <w:kern w:val="0"/>
                <w:sz w:val="18"/>
                <w:szCs w:val="18"/>
              </w:rPr>
            </w:pPr>
            <w:r>
              <w:rPr>
                <w:rFonts w:hint="eastAsia" w:ascii="宋体" w:hAnsi="宋体" w:cs="宋体"/>
                <w:kern w:val="0"/>
                <w:sz w:val="18"/>
                <w:szCs w:val="18"/>
              </w:rPr>
              <w:t>从业人员(X)</w:t>
            </w:r>
          </w:p>
        </w:tc>
        <w:tc>
          <w:tcPr>
            <w:tcW w:w="710" w:type="dxa"/>
            <w:vAlign w:val="center"/>
          </w:tcPr>
          <w:p w14:paraId="29913512">
            <w:pPr>
              <w:widowControl/>
              <w:spacing w:line="460" w:lineRule="exact"/>
              <w:jc w:val="center"/>
              <w:rPr>
                <w:rFonts w:ascii="宋体" w:hAnsi="宋体" w:cs="宋体"/>
                <w:kern w:val="0"/>
                <w:sz w:val="18"/>
                <w:szCs w:val="18"/>
              </w:rPr>
            </w:pPr>
            <w:r>
              <w:rPr>
                <w:rFonts w:hint="eastAsia" w:ascii="宋体" w:hAnsi="宋体" w:cs="宋体"/>
                <w:kern w:val="0"/>
                <w:sz w:val="18"/>
                <w:szCs w:val="18"/>
              </w:rPr>
              <w:t>人</w:t>
            </w:r>
          </w:p>
        </w:tc>
        <w:tc>
          <w:tcPr>
            <w:tcW w:w="1127" w:type="dxa"/>
            <w:vAlign w:val="center"/>
          </w:tcPr>
          <w:p w14:paraId="54729D92">
            <w:pPr>
              <w:widowControl/>
              <w:spacing w:line="460" w:lineRule="exact"/>
              <w:jc w:val="center"/>
              <w:rPr>
                <w:rFonts w:ascii="宋体" w:hAnsi="宋体" w:cs="宋体"/>
                <w:kern w:val="0"/>
                <w:sz w:val="18"/>
                <w:szCs w:val="18"/>
              </w:rPr>
            </w:pPr>
            <w:r>
              <w:rPr>
                <w:rFonts w:hint="eastAsia" w:ascii="宋体" w:hAnsi="宋体" w:cs="宋体"/>
                <w:kern w:val="0"/>
                <w:sz w:val="18"/>
                <w:szCs w:val="18"/>
              </w:rPr>
              <w:t>X≥1000</w:t>
            </w:r>
          </w:p>
        </w:tc>
        <w:tc>
          <w:tcPr>
            <w:tcW w:w="1705" w:type="dxa"/>
            <w:vAlign w:val="center"/>
          </w:tcPr>
          <w:p w14:paraId="5BD590F0">
            <w:pPr>
              <w:widowControl/>
              <w:spacing w:line="460" w:lineRule="exact"/>
              <w:jc w:val="center"/>
              <w:rPr>
                <w:rFonts w:ascii="宋体" w:hAnsi="宋体" w:cs="宋体"/>
                <w:kern w:val="0"/>
                <w:sz w:val="18"/>
                <w:szCs w:val="18"/>
              </w:rPr>
            </w:pPr>
            <w:r>
              <w:rPr>
                <w:rFonts w:hint="eastAsia" w:ascii="宋体" w:hAnsi="宋体" w:cs="宋体"/>
                <w:kern w:val="0"/>
                <w:sz w:val="18"/>
                <w:szCs w:val="18"/>
              </w:rPr>
              <w:t>300≤X＜1000</w:t>
            </w:r>
          </w:p>
        </w:tc>
        <w:tc>
          <w:tcPr>
            <w:tcW w:w="1429" w:type="dxa"/>
            <w:vAlign w:val="center"/>
          </w:tcPr>
          <w:p w14:paraId="10515901">
            <w:pPr>
              <w:widowControl/>
              <w:spacing w:line="460" w:lineRule="exact"/>
              <w:jc w:val="center"/>
              <w:rPr>
                <w:rFonts w:ascii="宋体" w:hAnsi="宋体" w:cs="宋体"/>
                <w:kern w:val="0"/>
                <w:sz w:val="18"/>
                <w:szCs w:val="18"/>
              </w:rPr>
            </w:pPr>
            <w:r>
              <w:rPr>
                <w:rFonts w:hint="eastAsia" w:ascii="宋体" w:hAnsi="宋体" w:cs="宋体"/>
                <w:kern w:val="0"/>
                <w:sz w:val="18"/>
                <w:szCs w:val="18"/>
              </w:rPr>
              <w:t>20≤X＜300</w:t>
            </w:r>
          </w:p>
        </w:tc>
        <w:tc>
          <w:tcPr>
            <w:tcW w:w="994" w:type="dxa"/>
            <w:vAlign w:val="center"/>
          </w:tcPr>
          <w:p w14:paraId="3A5A3D79">
            <w:pPr>
              <w:widowControl/>
              <w:spacing w:line="460" w:lineRule="exact"/>
              <w:jc w:val="center"/>
              <w:rPr>
                <w:rFonts w:ascii="宋体" w:hAnsi="宋体" w:cs="宋体"/>
                <w:kern w:val="0"/>
                <w:sz w:val="18"/>
                <w:szCs w:val="18"/>
              </w:rPr>
            </w:pPr>
            <w:r>
              <w:rPr>
                <w:rFonts w:hint="eastAsia" w:ascii="宋体" w:hAnsi="宋体" w:cs="宋体"/>
                <w:kern w:val="0"/>
                <w:sz w:val="18"/>
                <w:szCs w:val="18"/>
              </w:rPr>
              <w:t>X＜20</w:t>
            </w:r>
          </w:p>
        </w:tc>
      </w:tr>
      <w:tr w14:paraId="4B44B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1" w:hRule="exact"/>
          <w:jc w:val="center"/>
        </w:trPr>
        <w:tc>
          <w:tcPr>
            <w:tcW w:w="2118" w:type="dxa"/>
            <w:vMerge w:val="continue"/>
            <w:vAlign w:val="center"/>
          </w:tcPr>
          <w:p w14:paraId="5E454F7C">
            <w:pPr>
              <w:widowControl/>
              <w:spacing w:line="460" w:lineRule="exact"/>
              <w:jc w:val="left"/>
              <w:rPr>
                <w:rFonts w:ascii="宋体" w:hAnsi="宋体" w:cs="宋体"/>
                <w:kern w:val="0"/>
                <w:sz w:val="18"/>
                <w:szCs w:val="18"/>
              </w:rPr>
            </w:pPr>
          </w:p>
        </w:tc>
        <w:tc>
          <w:tcPr>
            <w:tcW w:w="1372" w:type="dxa"/>
            <w:vAlign w:val="center"/>
          </w:tcPr>
          <w:p w14:paraId="2BA17BFB">
            <w:pPr>
              <w:widowControl/>
              <w:spacing w:line="460" w:lineRule="exact"/>
              <w:jc w:val="center"/>
              <w:rPr>
                <w:rFonts w:ascii="宋体" w:hAnsi="宋体" w:cs="宋体"/>
                <w:kern w:val="0"/>
                <w:sz w:val="18"/>
                <w:szCs w:val="18"/>
              </w:rPr>
            </w:pPr>
            <w:r>
              <w:rPr>
                <w:rFonts w:hint="eastAsia" w:ascii="宋体" w:hAnsi="宋体" w:cs="宋体"/>
                <w:kern w:val="0"/>
                <w:sz w:val="18"/>
                <w:szCs w:val="18"/>
              </w:rPr>
              <w:t>营业收入(Y)</w:t>
            </w:r>
          </w:p>
        </w:tc>
        <w:tc>
          <w:tcPr>
            <w:tcW w:w="710" w:type="dxa"/>
            <w:vAlign w:val="center"/>
          </w:tcPr>
          <w:p w14:paraId="0527E1C8">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14:paraId="522AE39F">
            <w:pPr>
              <w:widowControl/>
              <w:spacing w:line="460" w:lineRule="exact"/>
              <w:jc w:val="center"/>
              <w:rPr>
                <w:rFonts w:ascii="宋体" w:hAnsi="宋体" w:cs="宋体"/>
                <w:kern w:val="0"/>
                <w:sz w:val="18"/>
                <w:szCs w:val="18"/>
              </w:rPr>
            </w:pPr>
            <w:r>
              <w:rPr>
                <w:rFonts w:hint="eastAsia" w:ascii="宋体" w:hAnsi="宋体" w:cs="宋体"/>
                <w:kern w:val="0"/>
                <w:sz w:val="18"/>
                <w:szCs w:val="18"/>
              </w:rPr>
              <w:t>Y≥30000</w:t>
            </w:r>
          </w:p>
        </w:tc>
        <w:tc>
          <w:tcPr>
            <w:tcW w:w="1705" w:type="dxa"/>
            <w:vAlign w:val="center"/>
          </w:tcPr>
          <w:p w14:paraId="243E6BCA">
            <w:pPr>
              <w:widowControl/>
              <w:spacing w:line="460" w:lineRule="exact"/>
              <w:jc w:val="center"/>
              <w:rPr>
                <w:rFonts w:ascii="宋体" w:hAnsi="宋体" w:cs="宋体"/>
                <w:kern w:val="0"/>
                <w:sz w:val="18"/>
                <w:szCs w:val="18"/>
              </w:rPr>
            </w:pPr>
            <w:r>
              <w:rPr>
                <w:rFonts w:hint="eastAsia" w:ascii="宋体" w:hAnsi="宋体" w:cs="宋体"/>
                <w:kern w:val="0"/>
                <w:sz w:val="18"/>
                <w:szCs w:val="18"/>
              </w:rPr>
              <w:t>3000≤Y＜30000</w:t>
            </w:r>
          </w:p>
        </w:tc>
        <w:tc>
          <w:tcPr>
            <w:tcW w:w="1429" w:type="dxa"/>
            <w:vAlign w:val="center"/>
          </w:tcPr>
          <w:p w14:paraId="4E05F8D2">
            <w:pPr>
              <w:widowControl/>
              <w:spacing w:line="460" w:lineRule="exact"/>
              <w:jc w:val="center"/>
              <w:rPr>
                <w:rFonts w:ascii="宋体" w:hAnsi="宋体" w:cs="宋体"/>
                <w:kern w:val="0"/>
                <w:sz w:val="18"/>
                <w:szCs w:val="18"/>
              </w:rPr>
            </w:pPr>
            <w:r>
              <w:rPr>
                <w:rFonts w:hint="eastAsia" w:ascii="宋体" w:hAnsi="宋体" w:cs="宋体"/>
                <w:kern w:val="0"/>
                <w:sz w:val="18"/>
                <w:szCs w:val="18"/>
              </w:rPr>
              <w:t>200≤Y＜3000</w:t>
            </w:r>
          </w:p>
        </w:tc>
        <w:tc>
          <w:tcPr>
            <w:tcW w:w="994" w:type="dxa"/>
            <w:vAlign w:val="center"/>
          </w:tcPr>
          <w:p w14:paraId="4FD90E21">
            <w:pPr>
              <w:widowControl/>
              <w:spacing w:line="460" w:lineRule="exact"/>
              <w:jc w:val="center"/>
              <w:rPr>
                <w:rFonts w:ascii="宋体" w:hAnsi="宋体" w:cs="宋体"/>
                <w:kern w:val="0"/>
                <w:sz w:val="18"/>
                <w:szCs w:val="18"/>
              </w:rPr>
            </w:pPr>
            <w:r>
              <w:rPr>
                <w:rFonts w:hint="eastAsia" w:ascii="宋体" w:hAnsi="宋体" w:cs="宋体"/>
                <w:kern w:val="0"/>
                <w:sz w:val="18"/>
                <w:szCs w:val="18"/>
              </w:rPr>
              <w:t>Y＜200</w:t>
            </w:r>
          </w:p>
        </w:tc>
      </w:tr>
      <w:tr w14:paraId="78AFB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exact"/>
          <w:jc w:val="center"/>
        </w:trPr>
        <w:tc>
          <w:tcPr>
            <w:tcW w:w="2118" w:type="dxa"/>
            <w:vMerge w:val="restart"/>
            <w:vAlign w:val="center"/>
          </w:tcPr>
          <w:p w14:paraId="2407B5D1">
            <w:pPr>
              <w:widowControl/>
              <w:spacing w:line="460" w:lineRule="exact"/>
              <w:jc w:val="left"/>
              <w:rPr>
                <w:rFonts w:ascii="宋体" w:hAnsi="宋体" w:cs="宋体"/>
                <w:kern w:val="0"/>
                <w:sz w:val="18"/>
                <w:szCs w:val="18"/>
              </w:rPr>
            </w:pPr>
            <w:r>
              <w:rPr>
                <w:rFonts w:hint="eastAsia" w:ascii="宋体" w:hAnsi="宋体" w:cs="宋体"/>
                <w:kern w:val="0"/>
                <w:sz w:val="18"/>
                <w:szCs w:val="18"/>
              </w:rPr>
              <w:t>仓储业*</w:t>
            </w:r>
          </w:p>
        </w:tc>
        <w:tc>
          <w:tcPr>
            <w:tcW w:w="1372" w:type="dxa"/>
            <w:vAlign w:val="center"/>
          </w:tcPr>
          <w:p w14:paraId="70A5502C">
            <w:pPr>
              <w:widowControl/>
              <w:spacing w:line="460" w:lineRule="exact"/>
              <w:jc w:val="center"/>
              <w:rPr>
                <w:rFonts w:ascii="宋体" w:hAnsi="宋体" w:cs="宋体"/>
                <w:kern w:val="0"/>
                <w:sz w:val="18"/>
                <w:szCs w:val="18"/>
              </w:rPr>
            </w:pPr>
            <w:r>
              <w:rPr>
                <w:rFonts w:hint="eastAsia" w:ascii="宋体" w:hAnsi="宋体" w:cs="宋体"/>
                <w:kern w:val="0"/>
                <w:sz w:val="18"/>
                <w:szCs w:val="18"/>
              </w:rPr>
              <w:t>从业人员(X)</w:t>
            </w:r>
          </w:p>
        </w:tc>
        <w:tc>
          <w:tcPr>
            <w:tcW w:w="710" w:type="dxa"/>
            <w:vAlign w:val="center"/>
          </w:tcPr>
          <w:p w14:paraId="5531A503">
            <w:pPr>
              <w:widowControl/>
              <w:spacing w:line="460" w:lineRule="exact"/>
              <w:jc w:val="center"/>
              <w:rPr>
                <w:rFonts w:ascii="宋体" w:hAnsi="宋体" w:cs="宋体"/>
                <w:kern w:val="0"/>
                <w:sz w:val="18"/>
                <w:szCs w:val="18"/>
              </w:rPr>
            </w:pPr>
            <w:r>
              <w:rPr>
                <w:rFonts w:hint="eastAsia" w:ascii="宋体" w:hAnsi="宋体" w:cs="宋体"/>
                <w:kern w:val="0"/>
                <w:sz w:val="18"/>
                <w:szCs w:val="18"/>
              </w:rPr>
              <w:t>人</w:t>
            </w:r>
          </w:p>
        </w:tc>
        <w:tc>
          <w:tcPr>
            <w:tcW w:w="1127" w:type="dxa"/>
            <w:vAlign w:val="center"/>
          </w:tcPr>
          <w:p w14:paraId="6C45B16C">
            <w:pPr>
              <w:widowControl/>
              <w:spacing w:line="460" w:lineRule="exact"/>
              <w:jc w:val="center"/>
              <w:rPr>
                <w:rFonts w:ascii="宋体" w:hAnsi="宋体" w:cs="宋体"/>
                <w:kern w:val="0"/>
                <w:sz w:val="18"/>
                <w:szCs w:val="18"/>
              </w:rPr>
            </w:pPr>
            <w:r>
              <w:rPr>
                <w:rFonts w:hint="eastAsia" w:ascii="宋体" w:hAnsi="宋体" w:cs="宋体"/>
                <w:kern w:val="0"/>
                <w:sz w:val="18"/>
                <w:szCs w:val="18"/>
              </w:rPr>
              <w:t>X≥200</w:t>
            </w:r>
          </w:p>
        </w:tc>
        <w:tc>
          <w:tcPr>
            <w:tcW w:w="1705" w:type="dxa"/>
            <w:vAlign w:val="center"/>
          </w:tcPr>
          <w:p w14:paraId="37E8E5DA">
            <w:pPr>
              <w:widowControl/>
              <w:spacing w:line="460" w:lineRule="exact"/>
              <w:ind w:left="1" w:leftChars="-51" w:hanging="108" w:hangingChars="60"/>
              <w:jc w:val="center"/>
              <w:rPr>
                <w:rFonts w:ascii="宋体" w:hAnsi="宋体" w:cs="宋体"/>
                <w:kern w:val="0"/>
                <w:sz w:val="18"/>
                <w:szCs w:val="18"/>
              </w:rPr>
            </w:pPr>
            <w:r>
              <w:rPr>
                <w:rFonts w:hint="eastAsia" w:ascii="宋体" w:hAnsi="宋体" w:cs="宋体"/>
                <w:kern w:val="0"/>
                <w:sz w:val="18"/>
                <w:szCs w:val="18"/>
              </w:rPr>
              <w:t>100≤X＜200</w:t>
            </w:r>
          </w:p>
        </w:tc>
        <w:tc>
          <w:tcPr>
            <w:tcW w:w="1429" w:type="dxa"/>
            <w:vAlign w:val="center"/>
          </w:tcPr>
          <w:p w14:paraId="50F41BA2">
            <w:pPr>
              <w:widowControl/>
              <w:spacing w:line="460" w:lineRule="exact"/>
              <w:jc w:val="center"/>
              <w:rPr>
                <w:rFonts w:ascii="宋体" w:hAnsi="宋体" w:cs="宋体"/>
                <w:kern w:val="0"/>
                <w:sz w:val="18"/>
                <w:szCs w:val="18"/>
              </w:rPr>
            </w:pPr>
            <w:r>
              <w:rPr>
                <w:rFonts w:hint="eastAsia" w:ascii="宋体" w:hAnsi="宋体" w:cs="宋体"/>
                <w:kern w:val="0"/>
                <w:sz w:val="18"/>
                <w:szCs w:val="18"/>
              </w:rPr>
              <w:t>20≤X＜100</w:t>
            </w:r>
          </w:p>
        </w:tc>
        <w:tc>
          <w:tcPr>
            <w:tcW w:w="994" w:type="dxa"/>
            <w:vAlign w:val="center"/>
          </w:tcPr>
          <w:p w14:paraId="6B4D7088">
            <w:pPr>
              <w:widowControl/>
              <w:spacing w:line="460" w:lineRule="exact"/>
              <w:jc w:val="center"/>
              <w:rPr>
                <w:rFonts w:ascii="宋体" w:hAnsi="宋体" w:cs="宋体"/>
                <w:kern w:val="0"/>
                <w:sz w:val="18"/>
                <w:szCs w:val="18"/>
              </w:rPr>
            </w:pPr>
            <w:r>
              <w:rPr>
                <w:rFonts w:hint="eastAsia" w:ascii="宋体" w:hAnsi="宋体" w:cs="宋体"/>
                <w:kern w:val="0"/>
                <w:sz w:val="18"/>
                <w:szCs w:val="18"/>
              </w:rPr>
              <w:t>X＜20</w:t>
            </w:r>
          </w:p>
        </w:tc>
      </w:tr>
      <w:tr w14:paraId="15CEE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exact"/>
          <w:jc w:val="center"/>
        </w:trPr>
        <w:tc>
          <w:tcPr>
            <w:tcW w:w="2118" w:type="dxa"/>
            <w:vMerge w:val="continue"/>
            <w:vAlign w:val="center"/>
          </w:tcPr>
          <w:p w14:paraId="14FFE7D9">
            <w:pPr>
              <w:widowControl/>
              <w:spacing w:line="460" w:lineRule="exact"/>
              <w:jc w:val="left"/>
              <w:rPr>
                <w:rFonts w:ascii="宋体" w:hAnsi="宋体" w:cs="宋体"/>
                <w:kern w:val="0"/>
                <w:sz w:val="18"/>
                <w:szCs w:val="18"/>
              </w:rPr>
            </w:pPr>
          </w:p>
        </w:tc>
        <w:tc>
          <w:tcPr>
            <w:tcW w:w="1372" w:type="dxa"/>
            <w:vAlign w:val="center"/>
          </w:tcPr>
          <w:p w14:paraId="1C9EB55E">
            <w:pPr>
              <w:widowControl/>
              <w:spacing w:line="460" w:lineRule="exact"/>
              <w:jc w:val="center"/>
              <w:rPr>
                <w:rFonts w:ascii="宋体" w:hAnsi="宋体" w:cs="宋体"/>
                <w:kern w:val="0"/>
                <w:sz w:val="18"/>
                <w:szCs w:val="18"/>
              </w:rPr>
            </w:pPr>
            <w:r>
              <w:rPr>
                <w:rFonts w:hint="eastAsia" w:ascii="宋体" w:hAnsi="宋体" w:cs="宋体"/>
                <w:kern w:val="0"/>
                <w:sz w:val="18"/>
                <w:szCs w:val="18"/>
              </w:rPr>
              <w:t>营业收入(Y)</w:t>
            </w:r>
          </w:p>
        </w:tc>
        <w:tc>
          <w:tcPr>
            <w:tcW w:w="710" w:type="dxa"/>
            <w:vAlign w:val="center"/>
          </w:tcPr>
          <w:p w14:paraId="12A6C2A5">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14:paraId="1E43D00C">
            <w:pPr>
              <w:widowControl/>
              <w:spacing w:line="460" w:lineRule="exact"/>
              <w:jc w:val="center"/>
              <w:rPr>
                <w:rFonts w:ascii="宋体" w:hAnsi="宋体" w:cs="宋体"/>
                <w:kern w:val="0"/>
                <w:sz w:val="18"/>
                <w:szCs w:val="18"/>
              </w:rPr>
            </w:pPr>
            <w:r>
              <w:rPr>
                <w:rFonts w:hint="eastAsia" w:ascii="宋体" w:hAnsi="宋体" w:cs="宋体"/>
                <w:kern w:val="0"/>
                <w:sz w:val="18"/>
                <w:szCs w:val="18"/>
              </w:rPr>
              <w:t>Y≥30000</w:t>
            </w:r>
          </w:p>
        </w:tc>
        <w:tc>
          <w:tcPr>
            <w:tcW w:w="1705" w:type="dxa"/>
            <w:vAlign w:val="center"/>
          </w:tcPr>
          <w:p w14:paraId="5C302BEE">
            <w:pPr>
              <w:widowControl/>
              <w:spacing w:line="460" w:lineRule="exact"/>
              <w:jc w:val="center"/>
              <w:rPr>
                <w:rFonts w:ascii="宋体" w:hAnsi="宋体" w:cs="宋体"/>
                <w:kern w:val="0"/>
                <w:sz w:val="18"/>
                <w:szCs w:val="18"/>
              </w:rPr>
            </w:pPr>
            <w:r>
              <w:rPr>
                <w:rFonts w:hint="eastAsia" w:ascii="宋体" w:hAnsi="宋体" w:cs="宋体"/>
                <w:kern w:val="0"/>
                <w:sz w:val="18"/>
                <w:szCs w:val="18"/>
              </w:rPr>
              <w:t>1000≤Y＜30000</w:t>
            </w:r>
          </w:p>
        </w:tc>
        <w:tc>
          <w:tcPr>
            <w:tcW w:w="1429" w:type="dxa"/>
            <w:vAlign w:val="center"/>
          </w:tcPr>
          <w:p w14:paraId="0F38F9B6">
            <w:pPr>
              <w:widowControl/>
              <w:spacing w:line="460" w:lineRule="exact"/>
              <w:jc w:val="center"/>
              <w:rPr>
                <w:rFonts w:ascii="宋体" w:hAnsi="宋体" w:cs="宋体"/>
                <w:kern w:val="0"/>
                <w:sz w:val="18"/>
                <w:szCs w:val="18"/>
              </w:rPr>
            </w:pPr>
            <w:r>
              <w:rPr>
                <w:rFonts w:hint="eastAsia" w:ascii="宋体" w:hAnsi="宋体" w:cs="宋体"/>
                <w:kern w:val="0"/>
                <w:sz w:val="18"/>
                <w:szCs w:val="18"/>
              </w:rPr>
              <w:t>100≤Y＜1000</w:t>
            </w:r>
          </w:p>
        </w:tc>
        <w:tc>
          <w:tcPr>
            <w:tcW w:w="994" w:type="dxa"/>
            <w:vAlign w:val="center"/>
          </w:tcPr>
          <w:p w14:paraId="005BEFE2">
            <w:pPr>
              <w:widowControl/>
              <w:spacing w:line="460" w:lineRule="exact"/>
              <w:jc w:val="center"/>
              <w:rPr>
                <w:rFonts w:ascii="宋体" w:hAnsi="宋体" w:cs="宋体"/>
                <w:kern w:val="0"/>
                <w:sz w:val="18"/>
                <w:szCs w:val="18"/>
              </w:rPr>
            </w:pPr>
            <w:r>
              <w:rPr>
                <w:rFonts w:hint="eastAsia" w:ascii="宋体" w:hAnsi="宋体" w:cs="宋体"/>
                <w:kern w:val="0"/>
                <w:sz w:val="18"/>
                <w:szCs w:val="18"/>
              </w:rPr>
              <w:t>Y＜100</w:t>
            </w:r>
          </w:p>
        </w:tc>
      </w:tr>
      <w:tr w14:paraId="33C73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1" w:hRule="exact"/>
          <w:jc w:val="center"/>
        </w:trPr>
        <w:tc>
          <w:tcPr>
            <w:tcW w:w="2118" w:type="dxa"/>
            <w:vMerge w:val="restart"/>
            <w:vAlign w:val="center"/>
          </w:tcPr>
          <w:p w14:paraId="37EE4D62">
            <w:pPr>
              <w:widowControl/>
              <w:spacing w:line="460" w:lineRule="exact"/>
              <w:jc w:val="left"/>
              <w:rPr>
                <w:rFonts w:ascii="宋体" w:hAnsi="宋体" w:cs="宋体"/>
                <w:kern w:val="0"/>
                <w:sz w:val="18"/>
                <w:szCs w:val="18"/>
              </w:rPr>
            </w:pPr>
            <w:r>
              <w:rPr>
                <w:rFonts w:hint="eastAsia" w:ascii="宋体" w:hAnsi="宋体" w:cs="宋体"/>
                <w:kern w:val="0"/>
                <w:sz w:val="18"/>
                <w:szCs w:val="18"/>
              </w:rPr>
              <w:t>邮政业</w:t>
            </w:r>
          </w:p>
        </w:tc>
        <w:tc>
          <w:tcPr>
            <w:tcW w:w="1372" w:type="dxa"/>
            <w:vAlign w:val="center"/>
          </w:tcPr>
          <w:p w14:paraId="37F626F5">
            <w:pPr>
              <w:widowControl/>
              <w:spacing w:line="460" w:lineRule="exact"/>
              <w:jc w:val="center"/>
              <w:rPr>
                <w:rFonts w:ascii="宋体" w:hAnsi="宋体" w:cs="宋体"/>
                <w:kern w:val="0"/>
                <w:sz w:val="18"/>
                <w:szCs w:val="18"/>
              </w:rPr>
            </w:pPr>
            <w:r>
              <w:rPr>
                <w:rFonts w:hint="eastAsia" w:ascii="宋体" w:hAnsi="宋体" w:cs="宋体"/>
                <w:kern w:val="0"/>
                <w:sz w:val="18"/>
                <w:szCs w:val="18"/>
              </w:rPr>
              <w:t>从业人员(X)</w:t>
            </w:r>
          </w:p>
        </w:tc>
        <w:tc>
          <w:tcPr>
            <w:tcW w:w="710" w:type="dxa"/>
            <w:vAlign w:val="center"/>
          </w:tcPr>
          <w:p w14:paraId="63123896">
            <w:pPr>
              <w:widowControl/>
              <w:spacing w:line="460" w:lineRule="exact"/>
              <w:jc w:val="center"/>
              <w:rPr>
                <w:rFonts w:ascii="宋体" w:hAnsi="宋体" w:cs="宋体"/>
                <w:kern w:val="0"/>
                <w:sz w:val="18"/>
                <w:szCs w:val="18"/>
              </w:rPr>
            </w:pPr>
            <w:r>
              <w:rPr>
                <w:rFonts w:hint="eastAsia" w:ascii="宋体" w:hAnsi="宋体" w:cs="宋体"/>
                <w:kern w:val="0"/>
                <w:sz w:val="18"/>
                <w:szCs w:val="18"/>
              </w:rPr>
              <w:t>人</w:t>
            </w:r>
          </w:p>
        </w:tc>
        <w:tc>
          <w:tcPr>
            <w:tcW w:w="1127" w:type="dxa"/>
            <w:vAlign w:val="center"/>
          </w:tcPr>
          <w:p w14:paraId="329BC410">
            <w:pPr>
              <w:widowControl/>
              <w:spacing w:line="460" w:lineRule="exact"/>
              <w:jc w:val="center"/>
              <w:rPr>
                <w:rFonts w:ascii="宋体" w:hAnsi="宋体" w:cs="宋体"/>
                <w:kern w:val="0"/>
                <w:sz w:val="18"/>
                <w:szCs w:val="18"/>
              </w:rPr>
            </w:pPr>
            <w:r>
              <w:rPr>
                <w:rFonts w:hint="eastAsia" w:ascii="宋体" w:hAnsi="宋体" w:cs="宋体"/>
                <w:kern w:val="0"/>
                <w:sz w:val="18"/>
                <w:szCs w:val="18"/>
              </w:rPr>
              <w:t>X≥1000</w:t>
            </w:r>
          </w:p>
        </w:tc>
        <w:tc>
          <w:tcPr>
            <w:tcW w:w="1705" w:type="dxa"/>
            <w:vAlign w:val="center"/>
          </w:tcPr>
          <w:p w14:paraId="323FFACD">
            <w:pPr>
              <w:widowControl/>
              <w:spacing w:line="460" w:lineRule="exact"/>
              <w:jc w:val="center"/>
              <w:rPr>
                <w:rFonts w:ascii="宋体" w:hAnsi="宋体" w:cs="宋体"/>
                <w:kern w:val="0"/>
                <w:sz w:val="18"/>
                <w:szCs w:val="18"/>
              </w:rPr>
            </w:pPr>
            <w:r>
              <w:rPr>
                <w:rFonts w:hint="eastAsia" w:ascii="宋体" w:hAnsi="宋体" w:cs="宋体"/>
                <w:kern w:val="0"/>
                <w:sz w:val="18"/>
                <w:szCs w:val="18"/>
              </w:rPr>
              <w:t>300≤X＜1000</w:t>
            </w:r>
          </w:p>
        </w:tc>
        <w:tc>
          <w:tcPr>
            <w:tcW w:w="1429" w:type="dxa"/>
            <w:vAlign w:val="center"/>
          </w:tcPr>
          <w:p w14:paraId="46CF3603">
            <w:pPr>
              <w:widowControl/>
              <w:spacing w:line="460" w:lineRule="exact"/>
              <w:jc w:val="center"/>
              <w:rPr>
                <w:rFonts w:ascii="宋体" w:hAnsi="宋体" w:cs="宋体"/>
                <w:kern w:val="0"/>
                <w:sz w:val="18"/>
                <w:szCs w:val="18"/>
              </w:rPr>
            </w:pPr>
            <w:r>
              <w:rPr>
                <w:rFonts w:hint="eastAsia" w:ascii="宋体" w:hAnsi="宋体" w:cs="宋体"/>
                <w:kern w:val="0"/>
                <w:sz w:val="18"/>
                <w:szCs w:val="18"/>
              </w:rPr>
              <w:t>20≤X＜300</w:t>
            </w:r>
          </w:p>
        </w:tc>
        <w:tc>
          <w:tcPr>
            <w:tcW w:w="994" w:type="dxa"/>
            <w:vAlign w:val="center"/>
          </w:tcPr>
          <w:p w14:paraId="37E16F5B">
            <w:pPr>
              <w:widowControl/>
              <w:spacing w:line="460" w:lineRule="exact"/>
              <w:jc w:val="center"/>
              <w:rPr>
                <w:rFonts w:ascii="宋体" w:hAnsi="宋体" w:cs="宋体"/>
                <w:kern w:val="0"/>
                <w:sz w:val="18"/>
                <w:szCs w:val="18"/>
              </w:rPr>
            </w:pPr>
            <w:r>
              <w:rPr>
                <w:rFonts w:hint="eastAsia" w:ascii="宋体" w:hAnsi="宋体" w:cs="宋体"/>
                <w:kern w:val="0"/>
                <w:sz w:val="18"/>
                <w:szCs w:val="18"/>
              </w:rPr>
              <w:t>X＜20</w:t>
            </w:r>
          </w:p>
        </w:tc>
      </w:tr>
      <w:tr w14:paraId="3FAC6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exact"/>
          <w:jc w:val="center"/>
        </w:trPr>
        <w:tc>
          <w:tcPr>
            <w:tcW w:w="2118" w:type="dxa"/>
            <w:vMerge w:val="continue"/>
            <w:vAlign w:val="center"/>
          </w:tcPr>
          <w:p w14:paraId="7F9377CE">
            <w:pPr>
              <w:widowControl/>
              <w:spacing w:line="460" w:lineRule="exact"/>
              <w:jc w:val="left"/>
              <w:rPr>
                <w:rFonts w:ascii="宋体" w:hAnsi="宋体" w:cs="宋体"/>
                <w:kern w:val="0"/>
                <w:sz w:val="18"/>
                <w:szCs w:val="18"/>
              </w:rPr>
            </w:pPr>
          </w:p>
        </w:tc>
        <w:tc>
          <w:tcPr>
            <w:tcW w:w="1372" w:type="dxa"/>
            <w:vAlign w:val="center"/>
          </w:tcPr>
          <w:p w14:paraId="7E8AF4E5">
            <w:pPr>
              <w:widowControl/>
              <w:spacing w:line="460" w:lineRule="exact"/>
              <w:jc w:val="center"/>
              <w:rPr>
                <w:rFonts w:ascii="宋体" w:hAnsi="宋体" w:cs="宋体"/>
                <w:kern w:val="0"/>
                <w:sz w:val="18"/>
                <w:szCs w:val="18"/>
              </w:rPr>
            </w:pPr>
            <w:r>
              <w:rPr>
                <w:rFonts w:hint="eastAsia" w:ascii="宋体" w:hAnsi="宋体" w:cs="宋体"/>
                <w:kern w:val="0"/>
                <w:sz w:val="18"/>
                <w:szCs w:val="18"/>
              </w:rPr>
              <w:t>营业收入(Y)</w:t>
            </w:r>
          </w:p>
        </w:tc>
        <w:tc>
          <w:tcPr>
            <w:tcW w:w="710" w:type="dxa"/>
            <w:vAlign w:val="center"/>
          </w:tcPr>
          <w:p w14:paraId="122E7746">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14:paraId="7F3AEA34">
            <w:pPr>
              <w:widowControl/>
              <w:spacing w:line="460" w:lineRule="exact"/>
              <w:jc w:val="center"/>
              <w:rPr>
                <w:rFonts w:ascii="宋体" w:hAnsi="宋体" w:cs="宋体"/>
                <w:kern w:val="0"/>
                <w:sz w:val="18"/>
                <w:szCs w:val="18"/>
              </w:rPr>
            </w:pPr>
            <w:r>
              <w:rPr>
                <w:rFonts w:hint="eastAsia" w:ascii="宋体" w:hAnsi="宋体" w:cs="宋体"/>
                <w:kern w:val="0"/>
                <w:sz w:val="18"/>
                <w:szCs w:val="18"/>
              </w:rPr>
              <w:t>Y≥30000</w:t>
            </w:r>
          </w:p>
        </w:tc>
        <w:tc>
          <w:tcPr>
            <w:tcW w:w="1705" w:type="dxa"/>
            <w:vAlign w:val="center"/>
          </w:tcPr>
          <w:p w14:paraId="389EED79">
            <w:pPr>
              <w:widowControl/>
              <w:spacing w:line="460" w:lineRule="exact"/>
              <w:jc w:val="center"/>
              <w:rPr>
                <w:rFonts w:ascii="宋体" w:hAnsi="宋体" w:cs="宋体"/>
                <w:kern w:val="0"/>
                <w:sz w:val="18"/>
                <w:szCs w:val="18"/>
              </w:rPr>
            </w:pPr>
            <w:r>
              <w:rPr>
                <w:rFonts w:hint="eastAsia" w:ascii="宋体" w:hAnsi="宋体" w:cs="宋体"/>
                <w:kern w:val="0"/>
                <w:sz w:val="18"/>
                <w:szCs w:val="18"/>
              </w:rPr>
              <w:t>2000≤Y＜30000</w:t>
            </w:r>
          </w:p>
        </w:tc>
        <w:tc>
          <w:tcPr>
            <w:tcW w:w="1429" w:type="dxa"/>
            <w:vAlign w:val="center"/>
          </w:tcPr>
          <w:p w14:paraId="6AF670B4">
            <w:pPr>
              <w:widowControl/>
              <w:spacing w:line="460" w:lineRule="exact"/>
              <w:jc w:val="center"/>
              <w:rPr>
                <w:rFonts w:ascii="宋体" w:hAnsi="宋体" w:cs="宋体"/>
                <w:kern w:val="0"/>
                <w:sz w:val="18"/>
                <w:szCs w:val="18"/>
              </w:rPr>
            </w:pPr>
            <w:r>
              <w:rPr>
                <w:rFonts w:hint="eastAsia" w:ascii="宋体" w:hAnsi="宋体" w:cs="宋体"/>
                <w:kern w:val="0"/>
                <w:sz w:val="18"/>
                <w:szCs w:val="18"/>
              </w:rPr>
              <w:t>100≤Y＜2000</w:t>
            </w:r>
          </w:p>
        </w:tc>
        <w:tc>
          <w:tcPr>
            <w:tcW w:w="994" w:type="dxa"/>
            <w:vAlign w:val="center"/>
          </w:tcPr>
          <w:p w14:paraId="7299A4EE">
            <w:pPr>
              <w:widowControl/>
              <w:spacing w:line="460" w:lineRule="exact"/>
              <w:jc w:val="center"/>
              <w:rPr>
                <w:rFonts w:ascii="宋体" w:hAnsi="宋体" w:cs="宋体"/>
                <w:kern w:val="0"/>
                <w:sz w:val="18"/>
                <w:szCs w:val="18"/>
              </w:rPr>
            </w:pPr>
            <w:r>
              <w:rPr>
                <w:rFonts w:hint="eastAsia" w:ascii="宋体" w:hAnsi="宋体" w:cs="宋体"/>
                <w:kern w:val="0"/>
                <w:sz w:val="18"/>
                <w:szCs w:val="18"/>
              </w:rPr>
              <w:t>Y＜100</w:t>
            </w:r>
          </w:p>
        </w:tc>
      </w:tr>
      <w:tr w14:paraId="645C6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exact"/>
          <w:jc w:val="center"/>
        </w:trPr>
        <w:tc>
          <w:tcPr>
            <w:tcW w:w="2118" w:type="dxa"/>
            <w:vMerge w:val="restart"/>
            <w:vAlign w:val="center"/>
          </w:tcPr>
          <w:p w14:paraId="129BA95E">
            <w:pPr>
              <w:widowControl/>
              <w:spacing w:line="460" w:lineRule="exact"/>
              <w:jc w:val="left"/>
              <w:rPr>
                <w:rFonts w:ascii="宋体" w:hAnsi="宋体" w:cs="宋体"/>
                <w:kern w:val="0"/>
                <w:sz w:val="18"/>
                <w:szCs w:val="18"/>
              </w:rPr>
            </w:pPr>
            <w:r>
              <w:rPr>
                <w:rFonts w:hint="eastAsia" w:ascii="宋体" w:hAnsi="宋体" w:cs="宋体"/>
                <w:kern w:val="0"/>
                <w:sz w:val="18"/>
                <w:szCs w:val="18"/>
              </w:rPr>
              <w:t>住宿业</w:t>
            </w:r>
          </w:p>
        </w:tc>
        <w:tc>
          <w:tcPr>
            <w:tcW w:w="1372" w:type="dxa"/>
            <w:vAlign w:val="center"/>
          </w:tcPr>
          <w:p w14:paraId="0DB684ED">
            <w:pPr>
              <w:widowControl/>
              <w:spacing w:line="460" w:lineRule="exact"/>
              <w:jc w:val="center"/>
              <w:rPr>
                <w:rFonts w:ascii="宋体" w:hAnsi="宋体" w:cs="宋体"/>
                <w:kern w:val="0"/>
                <w:sz w:val="18"/>
                <w:szCs w:val="18"/>
              </w:rPr>
            </w:pPr>
            <w:r>
              <w:rPr>
                <w:rFonts w:hint="eastAsia" w:ascii="宋体" w:hAnsi="宋体" w:cs="宋体"/>
                <w:kern w:val="0"/>
                <w:sz w:val="18"/>
                <w:szCs w:val="18"/>
              </w:rPr>
              <w:t>从业人员(X)</w:t>
            </w:r>
          </w:p>
        </w:tc>
        <w:tc>
          <w:tcPr>
            <w:tcW w:w="710" w:type="dxa"/>
            <w:vAlign w:val="center"/>
          </w:tcPr>
          <w:p w14:paraId="73E797FB">
            <w:pPr>
              <w:widowControl/>
              <w:spacing w:line="460" w:lineRule="exact"/>
              <w:jc w:val="center"/>
              <w:rPr>
                <w:rFonts w:ascii="宋体" w:hAnsi="宋体" w:cs="宋体"/>
                <w:kern w:val="0"/>
                <w:sz w:val="18"/>
                <w:szCs w:val="18"/>
              </w:rPr>
            </w:pPr>
            <w:r>
              <w:rPr>
                <w:rFonts w:hint="eastAsia" w:ascii="宋体" w:hAnsi="宋体" w:cs="宋体"/>
                <w:kern w:val="0"/>
                <w:sz w:val="18"/>
                <w:szCs w:val="18"/>
              </w:rPr>
              <w:t>人</w:t>
            </w:r>
          </w:p>
        </w:tc>
        <w:tc>
          <w:tcPr>
            <w:tcW w:w="1127" w:type="dxa"/>
            <w:vAlign w:val="center"/>
          </w:tcPr>
          <w:p w14:paraId="6500C8CA">
            <w:pPr>
              <w:widowControl/>
              <w:spacing w:line="460" w:lineRule="exact"/>
              <w:jc w:val="center"/>
              <w:rPr>
                <w:rFonts w:ascii="宋体" w:hAnsi="宋体" w:cs="宋体"/>
                <w:kern w:val="0"/>
                <w:sz w:val="18"/>
                <w:szCs w:val="18"/>
              </w:rPr>
            </w:pPr>
            <w:r>
              <w:rPr>
                <w:rFonts w:hint="eastAsia" w:ascii="宋体" w:hAnsi="宋体" w:cs="宋体"/>
                <w:kern w:val="0"/>
                <w:sz w:val="18"/>
                <w:szCs w:val="18"/>
              </w:rPr>
              <w:t>X≥300</w:t>
            </w:r>
          </w:p>
        </w:tc>
        <w:tc>
          <w:tcPr>
            <w:tcW w:w="1705" w:type="dxa"/>
            <w:vAlign w:val="center"/>
          </w:tcPr>
          <w:p w14:paraId="2CD48D2C">
            <w:pPr>
              <w:widowControl/>
              <w:spacing w:line="460" w:lineRule="exact"/>
              <w:ind w:left="1" w:leftChars="-51" w:hanging="108" w:hangingChars="60"/>
              <w:jc w:val="center"/>
              <w:rPr>
                <w:rFonts w:ascii="宋体" w:hAnsi="宋体" w:cs="宋体"/>
                <w:kern w:val="0"/>
                <w:sz w:val="18"/>
                <w:szCs w:val="18"/>
              </w:rPr>
            </w:pPr>
            <w:r>
              <w:rPr>
                <w:rFonts w:hint="eastAsia" w:ascii="宋体" w:hAnsi="宋体" w:cs="宋体"/>
                <w:kern w:val="0"/>
                <w:sz w:val="18"/>
                <w:szCs w:val="18"/>
              </w:rPr>
              <w:t>100≤X＜300</w:t>
            </w:r>
          </w:p>
        </w:tc>
        <w:tc>
          <w:tcPr>
            <w:tcW w:w="1429" w:type="dxa"/>
            <w:vAlign w:val="center"/>
          </w:tcPr>
          <w:p w14:paraId="349C5189">
            <w:pPr>
              <w:widowControl/>
              <w:spacing w:line="460" w:lineRule="exact"/>
              <w:jc w:val="center"/>
              <w:rPr>
                <w:rFonts w:ascii="宋体" w:hAnsi="宋体" w:cs="宋体"/>
                <w:kern w:val="0"/>
                <w:sz w:val="18"/>
                <w:szCs w:val="18"/>
              </w:rPr>
            </w:pPr>
            <w:r>
              <w:rPr>
                <w:rFonts w:hint="eastAsia" w:ascii="宋体" w:hAnsi="宋体" w:cs="宋体"/>
                <w:kern w:val="0"/>
                <w:sz w:val="18"/>
                <w:szCs w:val="18"/>
              </w:rPr>
              <w:t>10≤X＜100</w:t>
            </w:r>
          </w:p>
        </w:tc>
        <w:tc>
          <w:tcPr>
            <w:tcW w:w="994" w:type="dxa"/>
            <w:vAlign w:val="center"/>
          </w:tcPr>
          <w:p w14:paraId="6405321B">
            <w:pPr>
              <w:widowControl/>
              <w:spacing w:line="460" w:lineRule="exact"/>
              <w:jc w:val="center"/>
              <w:rPr>
                <w:rFonts w:ascii="宋体" w:hAnsi="宋体" w:cs="宋体"/>
                <w:kern w:val="0"/>
                <w:sz w:val="18"/>
                <w:szCs w:val="18"/>
              </w:rPr>
            </w:pPr>
            <w:r>
              <w:rPr>
                <w:rFonts w:hint="eastAsia" w:ascii="宋体" w:hAnsi="宋体" w:cs="宋体"/>
                <w:kern w:val="0"/>
                <w:sz w:val="18"/>
                <w:szCs w:val="18"/>
              </w:rPr>
              <w:t>X＜10</w:t>
            </w:r>
          </w:p>
        </w:tc>
      </w:tr>
      <w:tr w14:paraId="362BD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exact"/>
          <w:jc w:val="center"/>
        </w:trPr>
        <w:tc>
          <w:tcPr>
            <w:tcW w:w="2118" w:type="dxa"/>
            <w:vMerge w:val="continue"/>
            <w:vAlign w:val="center"/>
          </w:tcPr>
          <w:p w14:paraId="75FD685C">
            <w:pPr>
              <w:widowControl/>
              <w:spacing w:line="460" w:lineRule="exact"/>
              <w:jc w:val="left"/>
              <w:rPr>
                <w:rFonts w:ascii="宋体" w:hAnsi="宋体" w:cs="宋体"/>
                <w:kern w:val="0"/>
                <w:sz w:val="18"/>
                <w:szCs w:val="18"/>
              </w:rPr>
            </w:pPr>
          </w:p>
        </w:tc>
        <w:tc>
          <w:tcPr>
            <w:tcW w:w="1372" w:type="dxa"/>
            <w:vAlign w:val="center"/>
          </w:tcPr>
          <w:p w14:paraId="2A59D6A5">
            <w:pPr>
              <w:widowControl/>
              <w:spacing w:line="460" w:lineRule="exact"/>
              <w:jc w:val="center"/>
              <w:rPr>
                <w:rFonts w:ascii="宋体" w:hAnsi="宋体" w:cs="宋体"/>
                <w:kern w:val="0"/>
                <w:sz w:val="18"/>
                <w:szCs w:val="18"/>
              </w:rPr>
            </w:pPr>
            <w:r>
              <w:rPr>
                <w:rFonts w:hint="eastAsia" w:ascii="宋体" w:hAnsi="宋体" w:cs="宋体"/>
                <w:kern w:val="0"/>
                <w:sz w:val="18"/>
                <w:szCs w:val="18"/>
              </w:rPr>
              <w:t>营业收入(Y)</w:t>
            </w:r>
          </w:p>
        </w:tc>
        <w:tc>
          <w:tcPr>
            <w:tcW w:w="710" w:type="dxa"/>
            <w:vAlign w:val="center"/>
          </w:tcPr>
          <w:p w14:paraId="6C146A8B">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14:paraId="4806E5D1">
            <w:pPr>
              <w:widowControl/>
              <w:spacing w:line="460" w:lineRule="exact"/>
              <w:jc w:val="center"/>
              <w:rPr>
                <w:rFonts w:ascii="宋体" w:hAnsi="宋体" w:cs="宋体"/>
                <w:kern w:val="0"/>
                <w:sz w:val="18"/>
                <w:szCs w:val="18"/>
              </w:rPr>
            </w:pPr>
            <w:r>
              <w:rPr>
                <w:rFonts w:hint="eastAsia" w:ascii="宋体" w:hAnsi="宋体" w:cs="宋体"/>
                <w:kern w:val="0"/>
                <w:sz w:val="18"/>
                <w:szCs w:val="18"/>
              </w:rPr>
              <w:t>Y≥10000</w:t>
            </w:r>
          </w:p>
        </w:tc>
        <w:tc>
          <w:tcPr>
            <w:tcW w:w="1705" w:type="dxa"/>
            <w:vAlign w:val="center"/>
          </w:tcPr>
          <w:p w14:paraId="7354CA20">
            <w:pPr>
              <w:widowControl/>
              <w:spacing w:line="460" w:lineRule="exact"/>
              <w:jc w:val="center"/>
              <w:rPr>
                <w:rFonts w:ascii="宋体" w:hAnsi="宋体" w:cs="宋体"/>
                <w:kern w:val="0"/>
                <w:sz w:val="18"/>
                <w:szCs w:val="18"/>
              </w:rPr>
            </w:pPr>
            <w:r>
              <w:rPr>
                <w:rFonts w:hint="eastAsia" w:ascii="宋体" w:hAnsi="宋体" w:cs="宋体"/>
                <w:kern w:val="0"/>
                <w:sz w:val="18"/>
                <w:szCs w:val="18"/>
              </w:rPr>
              <w:t>2000≤Y＜10000</w:t>
            </w:r>
          </w:p>
        </w:tc>
        <w:tc>
          <w:tcPr>
            <w:tcW w:w="1429" w:type="dxa"/>
            <w:vAlign w:val="center"/>
          </w:tcPr>
          <w:p w14:paraId="6F01C1CA">
            <w:pPr>
              <w:widowControl/>
              <w:spacing w:line="460" w:lineRule="exact"/>
              <w:jc w:val="center"/>
              <w:rPr>
                <w:rFonts w:ascii="宋体" w:hAnsi="宋体" w:cs="宋体"/>
                <w:kern w:val="0"/>
                <w:sz w:val="18"/>
                <w:szCs w:val="18"/>
              </w:rPr>
            </w:pPr>
            <w:r>
              <w:rPr>
                <w:rFonts w:hint="eastAsia" w:ascii="宋体" w:hAnsi="宋体" w:cs="宋体"/>
                <w:kern w:val="0"/>
                <w:sz w:val="18"/>
                <w:szCs w:val="18"/>
              </w:rPr>
              <w:t>100≤Y＜2000</w:t>
            </w:r>
          </w:p>
        </w:tc>
        <w:tc>
          <w:tcPr>
            <w:tcW w:w="994" w:type="dxa"/>
            <w:vAlign w:val="center"/>
          </w:tcPr>
          <w:p w14:paraId="099543F4">
            <w:pPr>
              <w:widowControl/>
              <w:spacing w:line="460" w:lineRule="exact"/>
              <w:jc w:val="center"/>
              <w:rPr>
                <w:rFonts w:ascii="宋体" w:hAnsi="宋体" w:cs="宋体"/>
                <w:kern w:val="0"/>
                <w:sz w:val="18"/>
                <w:szCs w:val="18"/>
              </w:rPr>
            </w:pPr>
            <w:r>
              <w:rPr>
                <w:rFonts w:hint="eastAsia" w:ascii="宋体" w:hAnsi="宋体" w:cs="宋体"/>
                <w:kern w:val="0"/>
                <w:sz w:val="18"/>
                <w:szCs w:val="18"/>
              </w:rPr>
              <w:t>Y＜100</w:t>
            </w:r>
          </w:p>
        </w:tc>
      </w:tr>
      <w:tr w14:paraId="3419D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exact"/>
          <w:jc w:val="center"/>
        </w:trPr>
        <w:tc>
          <w:tcPr>
            <w:tcW w:w="2118" w:type="dxa"/>
            <w:vMerge w:val="restart"/>
            <w:vAlign w:val="center"/>
          </w:tcPr>
          <w:p w14:paraId="2E166454">
            <w:pPr>
              <w:widowControl/>
              <w:spacing w:line="460" w:lineRule="exact"/>
              <w:jc w:val="left"/>
              <w:rPr>
                <w:rFonts w:ascii="宋体" w:hAnsi="宋体" w:cs="宋体"/>
                <w:kern w:val="0"/>
                <w:sz w:val="18"/>
                <w:szCs w:val="18"/>
              </w:rPr>
            </w:pPr>
            <w:r>
              <w:rPr>
                <w:rFonts w:hint="eastAsia" w:ascii="宋体" w:hAnsi="宋体" w:cs="宋体"/>
                <w:kern w:val="0"/>
                <w:sz w:val="18"/>
                <w:szCs w:val="18"/>
              </w:rPr>
              <w:t>餐饮业</w:t>
            </w:r>
          </w:p>
        </w:tc>
        <w:tc>
          <w:tcPr>
            <w:tcW w:w="1372" w:type="dxa"/>
            <w:vAlign w:val="center"/>
          </w:tcPr>
          <w:p w14:paraId="13777F9C">
            <w:pPr>
              <w:widowControl/>
              <w:spacing w:line="460" w:lineRule="exact"/>
              <w:jc w:val="center"/>
              <w:rPr>
                <w:rFonts w:ascii="宋体" w:hAnsi="宋体" w:cs="宋体"/>
                <w:kern w:val="0"/>
                <w:sz w:val="18"/>
                <w:szCs w:val="18"/>
              </w:rPr>
            </w:pPr>
            <w:r>
              <w:rPr>
                <w:rFonts w:hint="eastAsia" w:ascii="宋体" w:hAnsi="宋体" w:cs="宋体"/>
                <w:kern w:val="0"/>
                <w:sz w:val="18"/>
                <w:szCs w:val="18"/>
              </w:rPr>
              <w:t>从业人员(X)</w:t>
            </w:r>
          </w:p>
        </w:tc>
        <w:tc>
          <w:tcPr>
            <w:tcW w:w="710" w:type="dxa"/>
            <w:vAlign w:val="center"/>
          </w:tcPr>
          <w:p w14:paraId="443A5FA3">
            <w:pPr>
              <w:widowControl/>
              <w:spacing w:line="460" w:lineRule="exact"/>
              <w:jc w:val="center"/>
              <w:rPr>
                <w:rFonts w:ascii="宋体" w:hAnsi="宋体" w:cs="宋体"/>
                <w:kern w:val="0"/>
                <w:sz w:val="18"/>
                <w:szCs w:val="18"/>
              </w:rPr>
            </w:pPr>
            <w:r>
              <w:rPr>
                <w:rFonts w:hint="eastAsia" w:ascii="宋体" w:hAnsi="宋体" w:cs="宋体"/>
                <w:kern w:val="0"/>
                <w:sz w:val="18"/>
                <w:szCs w:val="18"/>
              </w:rPr>
              <w:t>人</w:t>
            </w:r>
          </w:p>
        </w:tc>
        <w:tc>
          <w:tcPr>
            <w:tcW w:w="1127" w:type="dxa"/>
            <w:vAlign w:val="center"/>
          </w:tcPr>
          <w:p w14:paraId="10201602">
            <w:pPr>
              <w:widowControl/>
              <w:spacing w:line="460" w:lineRule="exact"/>
              <w:jc w:val="center"/>
              <w:rPr>
                <w:rFonts w:ascii="宋体" w:hAnsi="宋体" w:cs="宋体"/>
                <w:kern w:val="0"/>
                <w:sz w:val="18"/>
                <w:szCs w:val="18"/>
              </w:rPr>
            </w:pPr>
            <w:r>
              <w:rPr>
                <w:rFonts w:hint="eastAsia" w:ascii="宋体" w:hAnsi="宋体" w:cs="宋体"/>
                <w:kern w:val="0"/>
                <w:sz w:val="18"/>
                <w:szCs w:val="18"/>
              </w:rPr>
              <w:t>X≥300</w:t>
            </w:r>
          </w:p>
        </w:tc>
        <w:tc>
          <w:tcPr>
            <w:tcW w:w="1705" w:type="dxa"/>
            <w:vAlign w:val="center"/>
          </w:tcPr>
          <w:p w14:paraId="32979287">
            <w:pPr>
              <w:widowControl/>
              <w:spacing w:line="460" w:lineRule="exact"/>
              <w:ind w:left="1" w:leftChars="-51" w:hanging="108" w:hangingChars="60"/>
              <w:jc w:val="center"/>
              <w:rPr>
                <w:rFonts w:ascii="宋体" w:hAnsi="宋体" w:cs="宋体"/>
                <w:kern w:val="0"/>
                <w:sz w:val="18"/>
                <w:szCs w:val="18"/>
              </w:rPr>
            </w:pPr>
            <w:r>
              <w:rPr>
                <w:rFonts w:hint="eastAsia" w:ascii="宋体" w:hAnsi="宋体" w:cs="宋体"/>
                <w:kern w:val="0"/>
                <w:sz w:val="18"/>
                <w:szCs w:val="18"/>
              </w:rPr>
              <w:t xml:space="preserve">100≤X＜300 </w:t>
            </w:r>
          </w:p>
        </w:tc>
        <w:tc>
          <w:tcPr>
            <w:tcW w:w="1429" w:type="dxa"/>
            <w:vAlign w:val="center"/>
          </w:tcPr>
          <w:p w14:paraId="534A568E">
            <w:pPr>
              <w:widowControl/>
              <w:spacing w:line="460" w:lineRule="exact"/>
              <w:jc w:val="center"/>
              <w:rPr>
                <w:rFonts w:ascii="宋体" w:hAnsi="宋体" w:cs="宋体"/>
                <w:kern w:val="0"/>
                <w:sz w:val="18"/>
                <w:szCs w:val="18"/>
              </w:rPr>
            </w:pPr>
            <w:r>
              <w:rPr>
                <w:rFonts w:hint="eastAsia" w:ascii="宋体" w:hAnsi="宋体" w:cs="宋体"/>
                <w:kern w:val="0"/>
                <w:sz w:val="18"/>
                <w:szCs w:val="18"/>
              </w:rPr>
              <w:t>10≤X＜100</w:t>
            </w:r>
          </w:p>
        </w:tc>
        <w:tc>
          <w:tcPr>
            <w:tcW w:w="994" w:type="dxa"/>
            <w:vAlign w:val="center"/>
          </w:tcPr>
          <w:p w14:paraId="28F78F70">
            <w:pPr>
              <w:widowControl/>
              <w:spacing w:line="460" w:lineRule="exact"/>
              <w:jc w:val="center"/>
              <w:rPr>
                <w:rFonts w:ascii="宋体" w:hAnsi="宋体" w:cs="宋体"/>
                <w:kern w:val="0"/>
                <w:sz w:val="18"/>
                <w:szCs w:val="18"/>
              </w:rPr>
            </w:pPr>
            <w:r>
              <w:rPr>
                <w:rFonts w:hint="eastAsia" w:ascii="宋体" w:hAnsi="宋体" w:cs="宋体"/>
                <w:kern w:val="0"/>
                <w:sz w:val="18"/>
                <w:szCs w:val="18"/>
              </w:rPr>
              <w:t>X＜10</w:t>
            </w:r>
          </w:p>
        </w:tc>
      </w:tr>
      <w:tr w14:paraId="30148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1" w:hRule="exact"/>
          <w:jc w:val="center"/>
        </w:trPr>
        <w:tc>
          <w:tcPr>
            <w:tcW w:w="2118" w:type="dxa"/>
            <w:vMerge w:val="continue"/>
            <w:vAlign w:val="center"/>
          </w:tcPr>
          <w:p w14:paraId="4A8A9AF9">
            <w:pPr>
              <w:widowControl/>
              <w:spacing w:line="460" w:lineRule="exact"/>
              <w:jc w:val="left"/>
              <w:rPr>
                <w:rFonts w:ascii="宋体" w:hAnsi="宋体" w:cs="宋体"/>
                <w:kern w:val="0"/>
                <w:sz w:val="18"/>
                <w:szCs w:val="18"/>
              </w:rPr>
            </w:pPr>
          </w:p>
        </w:tc>
        <w:tc>
          <w:tcPr>
            <w:tcW w:w="1372" w:type="dxa"/>
            <w:vAlign w:val="center"/>
          </w:tcPr>
          <w:p w14:paraId="6C900DC1">
            <w:pPr>
              <w:widowControl/>
              <w:spacing w:line="460" w:lineRule="exact"/>
              <w:jc w:val="center"/>
              <w:rPr>
                <w:rFonts w:ascii="宋体" w:hAnsi="宋体" w:cs="宋体"/>
                <w:kern w:val="0"/>
                <w:sz w:val="18"/>
                <w:szCs w:val="18"/>
              </w:rPr>
            </w:pPr>
            <w:r>
              <w:rPr>
                <w:rFonts w:hint="eastAsia" w:ascii="宋体" w:hAnsi="宋体" w:cs="宋体"/>
                <w:kern w:val="0"/>
                <w:sz w:val="18"/>
                <w:szCs w:val="18"/>
              </w:rPr>
              <w:t>营业收入(Y)</w:t>
            </w:r>
          </w:p>
        </w:tc>
        <w:tc>
          <w:tcPr>
            <w:tcW w:w="710" w:type="dxa"/>
            <w:vAlign w:val="center"/>
          </w:tcPr>
          <w:p w14:paraId="38D16F5A">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14:paraId="7467B8A6">
            <w:pPr>
              <w:widowControl/>
              <w:spacing w:line="460" w:lineRule="exact"/>
              <w:jc w:val="center"/>
              <w:rPr>
                <w:rFonts w:ascii="宋体" w:hAnsi="宋体" w:cs="宋体"/>
                <w:kern w:val="0"/>
                <w:sz w:val="18"/>
                <w:szCs w:val="18"/>
              </w:rPr>
            </w:pPr>
            <w:r>
              <w:rPr>
                <w:rFonts w:hint="eastAsia" w:ascii="宋体" w:hAnsi="宋体" w:cs="宋体"/>
                <w:kern w:val="0"/>
                <w:sz w:val="18"/>
                <w:szCs w:val="18"/>
              </w:rPr>
              <w:t>Y≥10000</w:t>
            </w:r>
          </w:p>
        </w:tc>
        <w:tc>
          <w:tcPr>
            <w:tcW w:w="1705" w:type="dxa"/>
            <w:vAlign w:val="center"/>
          </w:tcPr>
          <w:p w14:paraId="59C329DD">
            <w:pPr>
              <w:widowControl/>
              <w:spacing w:line="460" w:lineRule="exact"/>
              <w:jc w:val="center"/>
              <w:rPr>
                <w:rFonts w:ascii="宋体" w:hAnsi="宋体" w:cs="宋体"/>
                <w:kern w:val="0"/>
                <w:sz w:val="18"/>
                <w:szCs w:val="18"/>
              </w:rPr>
            </w:pPr>
            <w:r>
              <w:rPr>
                <w:rFonts w:hint="eastAsia" w:ascii="宋体" w:hAnsi="宋体" w:cs="宋体"/>
                <w:kern w:val="0"/>
                <w:sz w:val="18"/>
                <w:szCs w:val="18"/>
              </w:rPr>
              <w:t>2000≤Y＜10000</w:t>
            </w:r>
          </w:p>
        </w:tc>
        <w:tc>
          <w:tcPr>
            <w:tcW w:w="1429" w:type="dxa"/>
            <w:vAlign w:val="center"/>
          </w:tcPr>
          <w:p w14:paraId="10035B99">
            <w:pPr>
              <w:widowControl/>
              <w:spacing w:line="460" w:lineRule="exact"/>
              <w:jc w:val="center"/>
              <w:rPr>
                <w:rFonts w:ascii="宋体" w:hAnsi="宋体" w:cs="宋体"/>
                <w:kern w:val="0"/>
                <w:sz w:val="18"/>
                <w:szCs w:val="18"/>
              </w:rPr>
            </w:pPr>
            <w:r>
              <w:rPr>
                <w:rFonts w:hint="eastAsia" w:ascii="宋体" w:hAnsi="宋体" w:cs="宋体"/>
                <w:kern w:val="0"/>
                <w:sz w:val="18"/>
                <w:szCs w:val="18"/>
              </w:rPr>
              <w:t>100≤Y＜2000</w:t>
            </w:r>
          </w:p>
        </w:tc>
        <w:tc>
          <w:tcPr>
            <w:tcW w:w="994" w:type="dxa"/>
            <w:vAlign w:val="center"/>
          </w:tcPr>
          <w:p w14:paraId="0B32B757">
            <w:pPr>
              <w:widowControl/>
              <w:spacing w:line="460" w:lineRule="exact"/>
              <w:jc w:val="center"/>
              <w:rPr>
                <w:rFonts w:ascii="宋体" w:hAnsi="宋体" w:cs="宋体"/>
                <w:kern w:val="0"/>
                <w:sz w:val="18"/>
                <w:szCs w:val="18"/>
              </w:rPr>
            </w:pPr>
            <w:r>
              <w:rPr>
                <w:rFonts w:hint="eastAsia" w:ascii="宋体" w:hAnsi="宋体" w:cs="宋体"/>
                <w:kern w:val="0"/>
                <w:sz w:val="18"/>
                <w:szCs w:val="18"/>
              </w:rPr>
              <w:t>Y＜100</w:t>
            </w:r>
          </w:p>
        </w:tc>
      </w:tr>
      <w:tr w14:paraId="77653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exact"/>
          <w:jc w:val="center"/>
        </w:trPr>
        <w:tc>
          <w:tcPr>
            <w:tcW w:w="2118" w:type="dxa"/>
            <w:vMerge w:val="restart"/>
            <w:vAlign w:val="center"/>
          </w:tcPr>
          <w:p w14:paraId="46F1FDCA">
            <w:pPr>
              <w:widowControl/>
              <w:spacing w:line="460" w:lineRule="exact"/>
              <w:jc w:val="left"/>
              <w:rPr>
                <w:rFonts w:ascii="宋体" w:hAnsi="宋体" w:cs="宋体"/>
                <w:kern w:val="0"/>
                <w:sz w:val="18"/>
                <w:szCs w:val="18"/>
              </w:rPr>
            </w:pPr>
            <w:r>
              <w:rPr>
                <w:rFonts w:hint="eastAsia" w:ascii="宋体" w:hAnsi="宋体" w:cs="宋体"/>
                <w:kern w:val="0"/>
                <w:sz w:val="18"/>
                <w:szCs w:val="18"/>
              </w:rPr>
              <w:t>信息传输业 *</w:t>
            </w:r>
          </w:p>
        </w:tc>
        <w:tc>
          <w:tcPr>
            <w:tcW w:w="1372" w:type="dxa"/>
            <w:vAlign w:val="center"/>
          </w:tcPr>
          <w:p w14:paraId="1630A68B">
            <w:pPr>
              <w:widowControl/>
              <w:spacing w:line="460" w:lineRule="exact"/>
              <w:jc w:val="center"/>
              <w:rPr>
                <w:rFonts w:ascii="宋体" w:hAnsi="宋体" w:cs="宋体"/>
                <w:kern w:val="0"/>
                <w:sz w:val="18"/>
                <w:szCs w:val="18"/>
              </w:rPr>
            </w:pPr>
            <w:r>
              <w:rPr>
                <w:rFonts w:hint="eastAsia" w:ascii="宋体" w:hAnsi="宋体" w:cs="宋体"/>
                <w:kern w:val="0"/>
                <w:sz w:val="18"/>
                <w:szCs w:val="18"/>
              </w:rPr>
              <w:t>从业人员(X)</w:t>
            </w:r>
          </w:p>
        </w:tc>
        <w:tc>
          <w:tcPr>
            <w:tcW w:w="710" w:type="dxa"/>
            <w:vAlign w:val="center"/>
          </w:tcPr>
          <w:p w14:paraId="2DF65B7A">
            <w:pPr>
              <w:widowControl/>
              <w:spacing w:line="460" w:lineRule="exact"/>
              <w:jc w:val="center"/>
              <w:rPr>
                <w:rFonts w:ascii="宋体" w:hAnsi="宋体" w:cs="宋体"/>
                <w:kern w:val="0"/>
                <w:sz w:val="18"/>
                <w:szCs w:val="18"/>
              </w:rPr>
            </w:pPr>
            <w:r>
              <w:rPr>
                <w:rFonts w:hint="eastAsia" w:ascii="宋体" w:hAnsi="宋体" w:cs="宋体"/>
                <w:kern w:val="0"/>
                <w:sz w:val="18"/>
                <w:szCs w:val="18"/>
              </w:rPr>
              <w:t>人</w:t>
            </w:r>
          </w:p>
        </w:tc>
        <w:tc>
          <w:tcPr>
            <w:tcW w:w="1127" w:type="dxa"/>
            <w:vAlign w:val="center"/>
          </w:tcPr>
          <w:p w14:paraId="3596E9EC">
            <w:pPr>
              <w:widowControl/>
              <w:spacing w:line="460" w:lineRule="exact"/>
              <w:jc w:val="center"/>
              <w:rPr>
                <w:rFonts w:ascii="宋体" w:hAnsi="宋体" w:cs="宋体"/>
                <w:kern w:val="0"/>
                <w:sz w:val="18"/>
                <w:szCs w:val="18"/>
              </w:rPr>
            </w:pPr>
            <w:r>
              <w:rPr>
                <w:rFonts w:hint="eastAsia" w:ascii="宋体" w:hAnsi="宋体" w:cs="宋体"/>
                <w:kern w:val="0"/>
                <w:sz w:val="18"/>
                <w:szCs w:val="18"/>
              </w:rPr>
              <w:t>X≥2000</w:t>
            </w:r>
          </w:p>
        </w:tc>
        <w:tc>
          <w:tcPr>
            <w:tcW w:w="1705" w:type="dxa"/>
            <w:vAlign w:val="center"/>
          </w:tcPr>
          <w:p w14:paraId="1D69EF7A">
            <w:pPr>
              <w:widowControl/>
              <w:spacing w:line="460" w:lineRule="exact"/>
              <w:jc w:val="center"/>
              <w:rPr>
                <w:rFonts w:ascii="宋体" w:hAnsi="宋体" w:cs="宋体"/>
                <w:kern w:val="0"/>
                <w:sz w:val="18"/>
                <w:szCs w:val="18"/>
              </w:rPr>
            </w:pPr>
            <w:r>
              <w:rPr>
                <w:rFonts w:hint="eastAsia" w:ascii="宋体" w:hAnsi="宋体" w:cs="宋体"/>
                <w:kern w:val="0"/>
                <w:sz w:val="18"/>
                <w:szCs w:val="18"/>
              </w:rPr>
              <w:t>100≤X＜2000</w:t>
            </w:r>
          </w:p>
        </w:tc>
        <w:tc>
          <w:tcPr>
            <w:tcW w:w="1429" w:type="dxa"/>
            <w:vAlign w:val="center"/>
          </w:tcPr>
          <w:p w14:paraId="7EF94F11">
            <w:pPr>
              <w:widowControl/>
              <w:spacing w:line="460" w:lineRule="exact"/>
              <w:jc w:val="center"/>
              <w:rPr>
                <w:rFonts w:ascii="宋体" w:hAnsi="宋体" w:cs="宋体"/>
                <w:kern w:val="0"/>
                <w:sz w:val="18"/>
                <w:szCs w:val="18"/>
              </w:rPr>
            </w:pPr>
            <w:r>
              <w:rPr>
                <w:rFonts w:hint="eastAsia" w:ascii="宋体" w:hAnsi="宋体" w:cs="宋体"/>
                <w:kern w:val="0"/>
                <w:sz w:val="18"/>
                <w:szCs w:val="18"/>
              </w:rPr>
              <w:t>10≤X＜100</w:t>
            </w:r>
          </w:p>
        </w:tc>
        <w:tc>
          <w:tcPr>
            <w:tcW w:w="994" w:type="dxa"/>
            <w:vAlign w:val="center"/>
          </w:tcPr>
          <w:p w14:paraId="3FE13FC3">
            <w:pPr>
              <w:widowControl/>
              <w:spacing w:line="460" w:lineRule="exact"/>
              <w:jc w:val="center"/>
              <w:rPr>
                <w:rFonts w:ascii="宋体" w:hAnsi="宋体" w:cs="宋体"/>
                <w:kern w:val="0"/>
                <w:sz w:val="18"/>
                <w:szCs w:val="18"/>
              </w:rPr>
            </w:pPr>
            <w:r>
              <w:rPr>
                <w:rFonts w:hint="eastAsia" w:ascii="宋体" w:hAnsi="宋体" w:cs="宋体"/>
                <w:kern w:val="0"/>
                <w:sz w:val="18"/>
                <w:szCs w:val="18"/>
              </w:rPr>
              <w:t>X＜10</w:t>
            </w:r>
          </w:p>
        </w:tc>
      </w:tr>
      <w:tr w14:paraId="5DBC2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exact"/>
          <w:jc w:val="center"/>
        </w:trPr>
        <w:tc>
          <w:tcPr>
            <w:tcW w:w="2118" w:type="dxa"/>
            <w:vMerge w:val="continue"/>
            <w:vAlign w:val="center"/>
          </w:tcPr>
          <w:p w14:paraId="7833CCCC">
            <w:pPr>
              <w:widowControl/>
              <w:spacing w:line="460" w:lineRule="exact"/>
              <w:jc w:val="left"/>
              <w:rPr>
                <w:rFonts w:ascii="宋体" w:hAnsi="宋体" w:cs="宋体"/>
                <w:kern w:val="0"/>
                <w:sz w:val="18"/>
                <w:szCs w:val="18"/>
              </w:rPr>
            </w:pPr>
          </w:p>
        </w:tc>
        <w:tc>
          <w:tcPr>
            <w:tcW w:w="1372" w:type="dxa"/>
            <w:vAlign w:val="center"/>
          </w:tcPr>
          <w:p w14:paraId="1B7042B0">
            <w:pPr>
              <w:widowControl/>
              <w:spacing w:line="460" w:lineRule="exact"/>
              <w:jc w:val="center"/>
              <w:rPr>
                <w:rFonts w:ascii="宋体" w:hAnsi="宋体" w:cs="宋体"/>
                <w:kern w:val="0"/>
                <w:sz w:val="18"/>
                <w:szCs w:val="18"/>
              </w:rPr>
            </w:pPr>
            <w:r>
              <w:rPr>
                <w:rFonts w:hint="eastAsia" w:ascii="宋体" w:hAnsi="宋体" w:cs="宋体"/>
                <w:kern w:val="0"/>
                <w:sz w:val="18"/>
                <w:szCs w:val="18"/>
              </w:rPr>
              <w:t>营业收入(Y)</w:t>
            </w:r>
          </w:p>
        </w:tc>
        <w:tc>
          <w:tcPr>
            <w:tcW w:w="710" w:type="dxa"/>
            <w:vAlign w:val="center"/>
          </w:tcPr>
          <w:p w14:paraId="30449559">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14:paraId="18B33733">
            <w:pPr>
              <w:widowControl/>
              <w:spacing w:line="460" w:lineRule="exact"/>
              <w:jc w:val="center"/>
              <w:rPr>
                <w:rFonts w:ascii="宋体" w:hAnsi="宋体" w:cs="宋体"/>
                <w:kern w:val="0"/>
                <w:sz w:val="18"/>
                <w:szCs w:val="18"/>
              </w:rPr>
            </w:pPr>
            <w:r>
              <w:rPr>
                <w:rFonts w:hint="eastAsia" w:ascii="宋体" w:hAnsi="宋体" w:cs="宋体"/>
                <w:kern w:val="0"/>
                <w:sz w:val="18"/>
                <w:szCs w:val="18"/>
              </w:rPr>
              <w:t>Y≥100000</w:t>
            </w:r>
          </w:p>
        </w:tc>
        <w:tc>
          <w:tcPr>
            <w:tcW w:w="1705" w:type="dxa"/>
            <w:vAlign w:val="center"/>
          </w:tcPr>
          <w:p w14:paraId="393B186E">
            <w:pPr>
              <w:widowControl/>
              <w:spacing w:line="460" w:lineRule="exact"/>
              <w:jc w:val="center"/>
              <w:rPr>
                <w:rFonts w:ascii="宋体" w:hAnsi="宋体" w:cs="宋体"/>
                <w:kern w:val="0"/>
                <w:sz w:val="18"/>
                <w:szCs w:val="18"/>
              </w:rPr>
            </w:pPr>
            <w:r>
              <w:rPr>
                <w:rFonts w:hint="eastAsia" w:ascii="宋体" w:hAnsi="宋体" w:cs="宋体"/>
                <w:kern w:val="0"/>
                <w:sz w:val="18"/>
                <w:szCs w:val="18"/>
              </w:rPr>
              <w:t>1000≤Y＜100000</w:t>
            </w:r>
          </w:p>
        </w:tc>
        <w:tc>
          <w:tcPr>
            <w:tcW w:w="1429" w:type="dxa"/>
            <w:vAlign w:val="center"/>
          </w:tcPr>
          <w:p w14:paraId="5B41661C">
            <w:pPr>
              <w:widowControl/>
              <w:spacing w:line="460" w:lineRule="exact"/>
              <w:jc w:val="center"/>
              <w:rPr>
                <w:rFonts w:ascii="宋体" w:hAnsi="宋体" w:cs="宋体"/>
                <w:kern w:val="0"/>
                <w:sz w:val="18"/>
                <w:szCs w:val="18"/>
              </w:rPr>
            </w:pPr>
            <w:r>
              <w:rPr>
                <w:rFonts w:hint="eastAsia" w:ascii="宋体" w:hAnsi="宋体" w:cs="宋体"/>
                <w:kern w:val="0"/>
                <w:sz w:val="18"/>
                <w:szCs w:val="18"/>
              </w:rPr>
              <w:t>100≤Y＜1000</w:t>
            </w:r>
          </w:p>
        </w:tc>
        <w:tc>
          <w:tcPr>
            <w:tcW w:w="994" w:type="dxa"/>
            <w:vAlign w:val="center"/>
          </w:tcPr>
          <w:p w14:paraId="77BD26ED">
            <w:pPr>
              <w:widowControl/>
              <w:spacing w:line="460" w:lineRule="exact"/>
              <w:jc w:val="center"/>
              <w:rPr>
                <w:rFonts w:ascii="宋体" w:hAnsi="宋体" w:cs="宋体"/>
                <w:kern w:val="0"/>
                <w:sz w:val="18"/>
                <w:szCs w:val="18"/>
              </w:rPr>
            </w:pPr>
            <w:r>
              <w:rPr>
                <w:rFonts w:hint="eastAsia" w:ascii="宋体" w:hAnsi="宋体" w:cs="宋体"/>
                <w:kern w:val="0"/>
                <w:sz w:val="18"/>
                <w:szCs w:val="18"/>
              </w:rPr>
              <w:t>Y＜100</w:t>
            </w:r>
          </w:p>
        </w:tc>
      </w:tr>
      <w:tr w14:paraId="51C5D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8" w:hRule="exact"/>
          <w:jc w:val="center"/>
        </w:trPr>
        <w:tc>
          <w:tcPr>
            <w:tcW w:w="2118" w:type="dxa"/>
            <w:vMerge w:val="restart"/>
            <w:vAlign w:val="center"/>
          </w:tcPr>
          <w:p w14:paraId="68CD60B6">
            <w:pPr>
              <w:widowControl/>
              <w:spacing w:line="460" w:lineRule="exact"/>
              <w:jc w:val="left"/>
              <w:rPr>
                <w:rFonts w:ascii="宋体" w:hAnsi="宋体" w:cs="宋体"/>
                <w:spacing w:val="-12"/>
                <w:kern w:val="0"/>
                <w:sz w:val="18"/>
                <w:szCs w:val="18"/>
              </w:rPr>
            </w:pPr>
            <w:r>
              <w:rPr>
                <w:rFonts w:hint="eastAsia" w:ascii="宋体" w:hAnsi="宋体" w:cs="宋体"/>
                <w:spacing w:val="-12"/>
                <w:kern w:val="0"/>
                <w:sz w:val="18"/>
                <w:szCs w:val="18"/>
              </w:rPr>
              <w:t>软件和信息技术服</w:t>
            </w:r>
            <w:r>
              <w:rPr>
                <w:rFonts w:hint="eastAsia" w:ascii="宋体" w:hAnsi="宋体" w:cs="宋体"/>
                <w:kern w:val="0"/>
                <w:sz w:val="18"/>
                <w:szCs w:val="18"/>
              </w:rPr>
              <w:t>务业</w:t>
            </w:r>
          </w:p>
        </w:tc>
        <w:tc>
          <w:tcPr>
            <w:tcW w:w="1372" w:type="dxa"/>
            <w:vAlign w:val="center"/>
          </w:tcPr>
          <w:p w14:paraId="6ED69B02">
            <w:pPr>
              <w:widowControl/>
              <w:spacing w:line="460" w:lineRule="exact"/>
              <w:jc w:val="center"/>
              <w:rPr>
                <w:rFonts w:ascii="宋体" w:hAnsi="宋体" w:cs="宋体"/>
                <w:kern w:val="0"/>
                <w:sz w:val="18"/>
                <w:szCs w:val="18"/>
              </w:rPr>
            </w:pPr>
            <w:r>
              <w:rPr>
                <w:rFonts w:hint="eastAsia" w:ascii="宋体" w:hAnsi="宋体" w:cs="宋体"/>
                <w:kern w:val="0"/>
                <w:sz w:val="18"/>
                <w:szCs w:val="18"/>
              </w:rPr>
              <w:t>从业人员(X)</w:t>
            </w:r>
          </w:p>
        </w:tc>
        <w:tc>
          <w:tcPr>
            <w:tcW w:w="710" w:type="dxa"/>
            <w:vAlign w:val="center"/>
          </w:tcPr>
          <w:p w14:paraId="42CEE41A">
            <w:pPr>
              <w:widowControl/>
              <w:spacing w:line="460" w:lineRule="exact"/>
              <w:jc w:val="center"/>
              <w:rPr>
                <w:rFonts w:ascii="宋体" w:hAnsi="宋体" w:cs="宋体"/>
                <w:kern w:val="0"/>
                <w:sz w:val="18"/>
                <w:szCs w:val="18"/>
              </w:rPr>
            </w:pPr>
            <w:r>
              <w:rPr>
                <w:rFonts w:hint="eastAsia" w:ascii="宋体" w:hAnsi="宋体" w:cs="宋体"/>
                <w:kern w:val="0"/>
                <w:sz w:val="18"/>
                <w:szCs w:val="18"/>
              </w:rPr>
              <w:t>人</w:t>
            </w:r>
          </w:p>
        </w:tc>
        <w:tc>
          <w:tcPr>
            <w:tcW w:w="1127" w:type="dxa"/>
            <w:vAlign w:val="center"/>
          </w:tcPr>
          <w:p w14:paraId="0FFF2752">
            <w:pPr>
              <w:widowControl/>
              <w:spacing w:line="460" w:lineRule="exact"/>
              <w:jc w:val="center"/>
              <w:rPr>
                <w:rFonts w:ascii="宋体" w:hAnsi="宋体" w:cs="宋体"/>
                <w:kern w:val="0"/>
                <w:sz w:val="18"/>
                <w:szCs w:val="18"/>
              </w:rPr>
            </w:pPr>
            <w:r>
              <w:rPr>
                <w:rFonts w:hint="eastAsia" w:ascii="宋体" w:hAnsi="宋体" w:cs="宋体"/>
                <w:kern w:val="0"/>
                <w:sz w:val="18"/>
                <w:szCs w:val="18"/>
              </w:rPr>
              <w:t>X≥300</w:t>
            </w:r>
          </w:p>
        </w:tc>
        <w:tc>
          <w:tcPr>
            <w:tcW w:w="1705" w:type="dxa"/>
            <w:vAlign w:val="center"/>
          </w:tcPr>
          <w:p w14:paraId="405DE797">
            <w:pPr>
              <w:widowControl/>
              <w:spacing w:line="460" w:lineRule="exact"/>
              <w:ind w:left="1" w:leftChars="-51" w:hanging="108" w:hangingChars="60"/>
              <w:jc w:val="center"/>
              <w:rPr>
                <w:rFonts w:ascii="宋体" w:hAnsi="宋体" w:cs="宋体"/>
                <w:kern w:val="0"/>
                <w:sz w:val="18"/>
                <w:szCs w:val="18"/>
              </w:rPr>
            </w:pPr>
            <w:r>
              <w:rPr>
                <w:rFonts w:hint="eastAsia" w:ascii="宋体" w:hAnsi="宋体" w:cs="宋体"/>
                <w:kern w:val="0"/>
                <w:sz w:val="18"/>
                <w:szCs w:val="18"/>
              </w:rPr>
              <w:t xml:space="preserve">100≤X＜300 </w:t>
            </w:r>
          </w:p>
        </w:tc>
        <w:tc>
          <w:tcPr>
            <w:tcW w:w="1429" w:type="dxa"/>
            <w:vAlign w:val="center"/>
          </w:tcPr>
          <w:p w14:paraId="155495B4">
            <w:pPr>
              <w:widowControl/>
              <w:spacing w:line="460" w:lineRule="exact"/>
              <w:jc w:val="center"/>
              <w:rPr>
                <w:rFonts w:ascii="宋体" w:hAnsi="宋体" w:cs="宋体"/>
                <w:kern w:val="0"/>
                <w:sz w:val="18"/>
                <w:szCs w:val="18"/>
              </w:rPr>
            </w:pPr>
            <w:r>
              <w:rPr>
                <w:rFonts w:hint="eastAsia" w:ascii="宋体" w:hAnsi="宋体" w:cs="宋体"/>
                <w:kern w:val="0"/>
                <w:sz w:val="18"/>
                <w:szCs w:val="18"/>
              </w:rPr>
              <w:t>10≤X＜100</w:t>
            </w:r>
          </w:p>
        </w:tc>
        <w:tc>
          <w:tcPr>
            <w:tcW w:w="994" w:type="dxa"/>
            <w:vAlign w:val="center"/>
          </w:tcPr>
          <w:p w14:paraId="446AF02E">
            <w:pPr>
              <w:widowControl/>
              <w:spacing w:line="460" w:lineRule="exact"/>
              <w:jc w:val="center"/>
              <w:rPr>
                <w:rFonts w:ascii="宋体" w:hAnsi="宋体" w:cs="宋体"/>
                <w:kern w:val="0"/>
                <w:sz w:val="18"/>
                <w:szCs w:val="18"/>
              </w:rPr>
            </w:pPr>
            <w:r>
              <w:rPr>
                <w:rFonts w:hint="eastAsia" w:ascii="宋体" w:hAnsi="宋体" w:cs="宋体"/>
                <w:kern w:val="0"/>
                <w:sz w:val="18"/>
                <w:szCs w:val="18"/>
              </w:rPr>
              <w:t>X＜10</w:t>
            </w:r>
          </w:p>
        </w:tc>
      </w:tr>
      <w:tr w14:paraId="00AFB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exact"/>
          <w:jc w:val="center"/>
        </w:trPr>
        <w:tc>
          <w:tcPr>
            <w:tcW w:w="2118" w:type="dxa"/>
            <w:vMerge w:val="continue"/>
            <w:vAlign w:val="center"/>
          </w:tcPr>
          <w:p w14:paraId="3076CF1A">
            <w:pPr>
              <w:widowControl/>
              <w:spacing w:line="460" w:lineRule="exact"/>
              <w:jc w:val="left"/>
              <w:rPr>
                <w:rFonts w:ascii="宋体" w:hAnsi="宋体" w:cs="宋体"/>
                <w:spacing w:val="-12"/>
                <w:kern w:val="0"/>
                <w:sz w:val="18"/>
                <w:szCs w:val="18"/>
              </w:rPr>
            </w:pPr>
          </w:p>
        </w:tc>
        <w:tc>
          <w:tcPr>
            <w:tcW w:w="1372" w:type="dxa"/>
            <w:vAlign w:val="center"/>
          </w:tcPr>
          <w:p w14:paraId="68C9A023">
            <w:pPr>
              <w:widowControl/>
              <w:spacing w:line="460" w:lineRule="exact"/>
              <w:jc w:val="center"/>
              <w:rPr>
                <w:rFonts w:ascii="宋体" w:hAnsi="宋体" w:cs="宋体"/>
                <w:kern w:val="0"/>
                <w:sz w:val="18"/>
                <w:szCs w:val="18"/>
              </w:rPr>
            </w:pPr>
            <w:r>
              <w:rPr>
                <w:rFonts w:hint="eastAsia" w:ascii="宋体" w:hAnsi="宋体" w:cs="宋体"/>
                <w:kern w:val="0"/>
                <w:sz w:val="18"/>
                <w:szCs w:val="18"/>
              </w:rPr>
              <w:t>营业收入(Y)</w:t>
            </w:r>
          </w:p>
        </w:tc>
        <w:tc>
          <w:tcPr>
            <w:tcW w:w="710" w:type="dxa"/>
            <w:vAlign w:val="center"/>
          </w:tcPr>
          <w:p w14:paraId="4D847200">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14:paraId="7CB21DB1">
            <w:pPr>
              <w:widowControl/>
              <w:spacing w:line="460" w:lineRule="exact"/>
              <w:jc w:val="center"/>
              <w:rPr>
                <w:rFonts w:ascii="宋体" w:hAnsi="宋体" w:cs="宋体"/>
                <w:kern w:val="0"/>
                <w:sz w:val="18"/>
                <w:szCs w:val="18"/>
              </w:rPr>
            </w:pPr>
            <w:r>
              <w:rPr>
                <w:rFonts w:hint="eastAsia" w:ascii="宋体" w:hAnsi="宋体" w:cs="宋体"/>
                <w:kern w:val="0"/>
                <w:sz w:val="18"/>
                <w:szCs w:val="18"/>
              </w:rPr>
              <w:t>Y≥10000</w:t>
            </w:r>
          </w:p>
        </w:tc>
        <w:tc>
          <w:tcPr>
            <w:tcW w:w="1705" w:type="dxa"/>
            <w:vAlign w:val="center"/>
          </w:tcPr>
          <w:p w14:paraId="4586A0DE">
            <w:pPr>
              <w:widowControl/>
              <w:spacing w:line="460" w:lineRule="exact"/>
              <w:jc w:val="center"/>
              <w:rPr>
                <w:rFonts w:ascii="宋体" w:hAnsi="宋体" w:cs="宋体"/>
                <w:kern w:val="0"/>
                <w:sz w:val="18"/>
                <w:szCs w:val="18"/>
              </w:rPr>
            </w:pPr>
            <w:r>
              <w:rPr>
                <w:rFonts w:hint="eastAsia" w:ascii="宋体" w:hAnsi="宋体" w:cs="宋体"/>
                <w:kern w:val="0"/>
                <w:sz w:val="18"/>
                <w:szCs w:val="18"/>
              </w:rPr>
              <w:t>1000≤Y＜10000</w:t>
            </w:r>
          </w:p>
        </w:tc>
        <w:tc>
          <w:tcPr>
            <w:tcW w:w="1429" w:type="dxa"/>
            <w:vAlign w:val="center"/>
          </w:tcPr>
          <w:p w14:paraId="26BDA339">
            <w:pPr>
              <w:widowControl/>
              <w:spacing w:line="460" w:lineRule="exact"/>
              <w:jc w:val="center"/>
              <w:rPr>
                <w:rFonts w:ascii="宋体" w:hAnsi="宋体" w:cs="宋体"/>
                <w:kern w:val="0"/>
                <w:sz w:val="18"/>
                <w:szCs w:val="18"/>
              </w:rPr>
            </w:pPr>
            <w:r>
              <w:rPr>
                <w:rFonts w:hint="eastAsia" w:ascii="宋体" w:hAnsi="宋体" w:cs="宋体"/>
                <w:kern w:val="0"/>
                <w:sz w:val="18"/>
                <w:szCs w:val="18"/>
              </w:rPr>
              <w:t>50≤Y＜1000</w:t>
            </w:r>
          </w:p>
        </w:tc>
        <w:tc>
          <w:tcPr>
            <w:tcW w:w="994" w:type="dxa"/>
            <w:vAlign w:val="center"/>
          </w:tcPr>
          <w:p w14:paraId="0CDF0BDC">
            <w:pPr>
              <w:widowControl/>
              <w:spacing w:line="460" w:lineRule="exact"/>
              <w:jc w:val="center"/>
              <w:rPr>
                <w:rFonts w:ascii="宋体" w:hAnsi="宋体" w:cs="宋体"/>
                <w:kern w:val="0"/>
                <w:sz w:val="18"/>
                <w:szCs w:val="18"/>
              </w:rPr>
            </w:pPr>
            <w:r>
              <w:rPr>
                <w:rFonts w:hint="eastAsia" w:ascii="宋体" w:hAnsi="宋体" w:cs="宋体"/>
                <w:kern w:val="0"/>
                <w:sz w:val="18"/>
                <w:szCs w:val="18"/>
              </w:rPr>
              <w:t>Y＜50</w:t>
            </w:r>
          </w:p>
        </w:tc>
      </w:tr>
      <w:tr w14:paraId="757D6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exact"/>
          <w:jc w:val="center"/>
        </w:trPr>
        <w:tc>
          <w:tcPr>
            <w:tcW w:w="2118" w:type="dxa"/>
            <w:vMerge w:val="restart"/>
            <w:vAlign w:val="center"/>
          </w:tcPr>
          <w:p w14:paraId="6FBD65CF">
            <w:pPr>
              <w:widowControl/>
              <w:spacing w:line="460" w:lineRule="exact"/>
              <w:jc w:val="left"/>
              <w:rPr>
                <w:rFonts w:ascii="宋体" w:hAnsi="宋体" w:cs="宋体"/>
                <w:kern w:val="0"/>
                <w:sz w:val="18"/>
                <w:szCs w:val="18"/>
              </w:rPr>
            </w:pPr>
            <w:r>
              <w:rPr>
                <w:rFonts w:hint="eastAsia" w:ascii="宋体" w:hAnsi="宋体" w:cs="宋体"/>
                <w:kern w:val="0"/>
                <w:sz w:val="18"/>
                <w:szCs w:val="18"/>
              </w:rPr>
              <w:t>房地产开发经营</w:t>
            </w:r>
          </w:p>
        </w:tc>
        <w:tc>
          <w:tcPr>
            <w:tcW w:w="1372" w:type="dxa"/>
            <w:vAlign w:val="center"/>
          </w:tcPr>
          <w:p w14:paraId="0809A9B9">
            <w:pPr>
              <w:widowControl/>
              <w:spacing w:line="460" w:lineRule="exact"/>
              <w:jc w:val="center"/>
              <w:rPr>
                <w:rFonts w:ascii="宋体" w:hAnsi="宋体" w:cs="宋体"/>
                <w:kern w:val="0"/>
                <w:sz w:val="18"/>
                <w:szCs w:val="18"/>
              </w:rPr>
            </w:pPr>
            <w:r>
              <w:rPr>
                <w:rFonts w:hint="eastAsia" w:ascii="宋体" w:hAnsi="宋体" w:cs="宋体"/>
                <w:kern w:val="0"/>
                <w:sz w:val="18"/>
                <w:szCs w:val="18"/>
              </w:rPr>
              <w:t>营业收入(Y)</w:t>
            </w:r>
          </w:p>
        </w:tc>
        <w:tc>
          <w:tcPr>
            <w:tcW w:w="710" w:type="dxa"/>
            <w:vAlign w:val="center"/>
          </w:tcPr>
          <w:p w14:paraId="709CC317">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14:paraId="5962B9D1">
            <w:pPr>
              <w:widowControl/>
              <w:spacing w:line="460" w:lineRule="exact"/>
              <w:jc w:val="center"/>
              <w:rPr>
                <w:rFonts w:ascii="宋体" w:hAnsi="宋体" w:cs="宋体"/>
                <w:kern w:val="0"/>
                <w:sz w:val="18"/>
                <w:szCs w:val="18"/>
              </w:rPr>
            </w:pPr>
            <w:r>
              <w:rPr>
                <w:rFonts w:hint="eastAsia" w:ascii="宋体" w:hAnsi="宋体" w:cs="宋体"/>
                <w:kern w:val="0"/>
                <w:sz w:val="18"/>
                <w:szCs w:val="18"/>
              </w:rPr>
              <w:t>Y≥200000</w:t>
            </w:r>
          </w:p>
        </w:tc>
        <w:tc>
          <w:tcPr>
            <w:tcW w:w="1705" w:type="dxa"/>
            <w:vAlign w:val="center"/>
          </w:tcPr>
          <w:p w14:paraId="2224978A">
            <w:pPr>
              <w:widowControl/>
              <w:spacing w:line="460" w:lineRule="exact"/>
              <w:jc w:val="center"/>
              <w:rPr>
                <w:rFonts w:ascii="宋体" w:hAnsi="宋体" w:cs="宋体"/>
                <w:kern w:val="0"/>
                <w:sz w:val="18"/>
                <w:szCs w:val="18"/>
              </w:rPr>
            </w:pPr>
            <w:r>
              <w:rPr>
                <w:rFonts w:hint="eastAsia" w:ascii="宋体" w:hAnsi="宋体" w:cs="宋体"/>
                <w:kern w:val="0"/>
                <w:sz w:val="18"/>
                <w:szCs w:val="18"/>
              </w:rPr>
              <w:t>1000≤Y＜200000</w:t>
            </w:r>
          </w:p>
        </w:tc>
        <w:tc>
          <w:tcPr>
            <w:tcW w:w="1429" w:type="dxa"/>
            <w:vAlign w:val="center"/>
          </w:tcPr>
          <w:p w14:paraId="43676837">
            <w:pPr>
              <w:widowControl/>
              <w:spacing w:line="460" w:lineRule="exact"/>
              <w:jc w:val="center"/>
              <w:rPr>
                <w:rFonts w:ascii="宋体" w:hAnsi="宋体" w:cs="宋体"/>
                <w:kern w:val="0"/>
                <w:sz w:val="18"/>
                <w:szCs w:val="18"/>
              </w:rPr>
            </w:pPr>
            <w:r>
              <w:rPr>
                <w:rFonts w:hint="eastAsia" w:ascii="宋体" w:hAnsi="宋体" w:cs="宋体"/>
                <w:kern w:val="0"/>
                <w:sz w:val="18"/>
                <w:szCs w:val="18"/>
              </w:rPr>
              <w:t>100≤Y＜1000</w:t>
            </w:r>
          </w:p>
        </w:tc>
        <w:tc>
          <w:tcPr>
            <w:tcW w:w="994" w:type="dxa"/>
            <w:vAlign w:val="center"/>
          </w:tcPr>
          <w:p w14:paraId="6320B552">
            <w:pPr>
              <w:widowControl/>
              <w:spacing w:line="460" w:lineRule="exact"/>
              <w:jc w:val="center"/>
              <w:rPr>
                <w:rFonts w:ascii="宋体" w:hAnsi="宋体" w:cs="宋体"/>
                <w:kern w:val="0"/>
                <w:sz w:val="18"/>
                <w:szCs w:val="18"/>
              </w:rPr>
            </w:pPr>
            <w:r>
              <w:rPr>
                <w:rFonts w:hint="eastAsia" w:ascii="宋体" w:hAnsi="宋体" w:cs="宋体"/>
                <w:kern w:val="0"/>
                <w:sz w:val="18"/>
                <w:szCs w:val="18"/>
              </w:rPr>
              <w:t>Y＜100</w:t>
            </w:r>
          </w:p>
        </w:tc>
      </w:tr>
      <w:tr w14:paraId="4DA03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exact"/>
          <w:jc w:val="center"/>
        </w:trPr>
        <w:tc>
          <w:tcPr>
            <w:tcW w:w="2118" w:type="dxa"/>
            <w:vMerge w:val="continue"/>
            <w:vAlign w:val="center"/>
          </w:tcPr>
          <w:p w14:paraId="50075A77">
            <w:pPr>
              <w:widowControl/>
              <w:spacing w:line="460" w:lineRule="exact"/>
              <w:jc w:val="left"/>
              <w:rPr>
                <w:rFonts w:ascii="宋体" w:hAnsi="宋体" w:cs="宋体"/>
                <w:kern w:val="0"/>
                <w:sz w:val="18"/>
                <w:szCs w:val="18"/>
              </w:rPr>
            </w:pPr>
          </w:p>
        </w:tc>
        <w:tc>
          <w:tcPr>
            <w:tcW w:w="1372" w:type="dxa"/>
            <w:vAlign w:val="center"/>
          </w:tcPr>
          <w:p w14:paraId="78809B7C">
            <w:pPr>
              <w:widowControl/>
              <w:spacing w:line="460" w:lineRule="exact"/>
              <w:jc w:val="center"/>
              <w:rPr>
                <w:rFonts w:ascii="宋体" w:hAnsi="宋体" w:cs="宋体"/>
                <w:kern w:val="0"/>
                <w:sz w:val="18"/>
                <w:szCs w:val="18"/>
              </w:rPr>
            </w:pPr>
            <w:r>
              <w:rPr>
                <w:rFonts w:hint="eastAsia" w:ascii="宋体" w:hAnsi="宋体" w:cs="宋体"/>
                <w:kern w:val="0"/>
                <w:sz w:val="18"/>
                <w:szCs w:val="18"/>
              </w:rPr>
              <w:t>资产总额(Z)</w:t>
            </w:r>
          </w:p>
        </w:tc>
        <w:tc>
          <w:tcPr>
            <w:tcW w:w="710" w:type="dxa"/>
            <w:vAlign w:val="center"/>
          </w:tcPr>
          <w:p w14:paraId="6C69A02E">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14:paraId="5CED147B">
            <w:pPr>
              <w:widowControl/>
              <w:spacing w:line="460" w:lineRule="exact"/>
              <w:jc w:val="center"/>
              <w:rPr>
                <w:rFonts w:ascii="宋体" w:hAnsi="宋体" w:cs="宋体"/>
                <w:kern w:val="0"/>
                <w:sz w:val="18"/>
                <w:szCs w:val="18"/>
              </w:rPr>
            </w:pPr>
            <w:r>
              <w:rPr>
                <w:rFonts w:hint="eastAsia" w:ascii="宋体" w:hAnsi="宋体" w:cs="宋体"/>
                <w:kern w:val="0"/>
                <w:sz w:val="18"/>
                <w:szCs w:val="18"/>
              </w:rPr>
              <w:t>Z≥10000</w:t>
            </w:r>
          </w:p>
        </w:tc>
        <w:tc>
          <w:tcPr>
            <w:tcW w:w="1705" w:type="dxa"/>
            <w:vAlign w:val="center"/>
          </w:tcPr>
          <w:p w14:paraId="6AEDB775">
            <w:pPr>
              <w:widowControl/>
              <w:spacing w:line="460" w:lineRule="exact"/>
              <w:jc w:val="center"/>
              <w:rPr>
                <w:rFonts w:ascii="宋体" w:hAnsi="宋体" w:cs="宋体"/>
                <w:kern w:val="0"/>
                <w:sz w:val="18"/>
                <w:szCs w:val="18"/>
              </w:rPr>
            </w:pPr>
            <w:r>
              <w:rPr>
                <w:rFonts w:hint="eastAsia" w:ascii="宋体" w:hAnsi="宋体" w:cs="宋体"/>
                <w:kern w:val="0"/>
                <w:sz w:val="18"/>
                <w:szCs w:val="18"/>
              </w:rPr>
              <w:t>5000≤Z＜10000</w:t>
            </w:r>
          </w:p>
        </w:tc>
        <w:tc>
          <w:tcPr>
            <w:tcW w:w="1429" w:type="dxa"/>
            <w:vAlign w:val="center"/>
          </w:tcPr>
          <w:p w14:paraId="06A4C3ED">
            <w:pPr>
              <w:widowControl/>
              <w:spacing w:line="460" w:lineRule="exact"/>
              <w:jc w:val="center"/>
              <w:rPr>
                <w:rFonts w:ascii="宋体" w:hAnsi="宋体" w:cs="宋体"/>
                <w:kern w:val="0"/>
                <w:sz w:val="18"/>
                <w:szCs w:val="18"/>
              </w:rPr>
            </w:pPr>
            <w:r>
              <w:rPr>
                <w:rFonts w:hint="eastAsia" w:ascii="宋体" w:hAnsi="宋体" w:cs="宋体"/>
                <w:kern w:val="0"/>
                <w:sz w:val="18"/>
                <w:szCs w:val="18"/>
              </w:rPr>
              <w:t>2000≤Z＜5000</w:t>
            </w:r>
          </w:p>
        </w:tc>
        <w:tc>
          <w:tcPr>
            <w:tcW w:w="994" w:type="dxa"/>
            <w:vAlign w:val="center"/>
          </w:tcPr>
          <w:p w14:paraId="07594E16">
            <w:pPr>
              <w:widowControl/>
              <w:spacing w:line="460" w:lineRule="exact"/>
              <w:jc w:val="center"/>
              <w:rPr>
                <w:rFonts w:ascii="宋体" w:hAnsi="宋体" w:cs="宋体"/>
                <w:kern w:val="0"/>
                <w:sz w:val="18"/>
                <w:szCs w:val="18"/>
              </w:rPr>
            </w:pPr>
            <w:r>
              <w:rPr>
                <w:rFonts w:hint="eastAsia" w:ascii="宋体" w:hAnsi="宋体" w:cs="宋体"/>
                <w:kern w:val="0"/>
                <w:sz w:val="18"/>
                <w:szCs w:val="18"/>
              </w:rPr>
              <w:t>Z＜2000</w:t>
            </w:r>
          </w:p>
        </w:tc>
      </w:tr>
      <w:tr w14:paraId="3EE64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exact"/>
          <w:jc w:val="center"/>
        </w:trPr>
        <w:tc>
          <w:tcPr>
            <w:tcW w:w="2118" w:type="dxa"/>
            <w:vMerge w:val="restart"/>
            <w:vAlign w:val="center"/>
          </w:tcPr>
          <w:p w14:paraId="5AC5F64A">
            <w:pPr>
              <w:widowControl/>
              <w:spacing w:line="460" w:lineRule="exact"/>
              <w:jc w:val="left"/>
              <w:rPr>
                <w:rFonts w:ascii="宋体" w:hAnsi="宋体" w:cs="宋体"/>
                <w:kern w:val="0"/>
                <w:sz w:val="18"/>
                <w:szCs w:val="18"/>
              </w:rPr>
            </w:pPr>
            <w:r>
              <w:rPr>
                <w:rFonts w:hint="eastAsia" w:ascii="宋体" w:hAnsi="宋体" w:cs="宋体"/>
                <w:kern w:val="0"/>
                <w:sz w:val="18"/>
                <w:szCs w:val="18"/>
              </w:rPr>
              <w:t>物业管理</w:t>
            </w:r>
          </w:p>
        </w:tc>
        <w:tc>
          <w:tcPr>
            <w:tcW w:w="1372" w:type="dxa"/>
            <w:vAlign w:val="center"/>
          </w:tcPr>
          <w:p w14:paraId="1310D55E">
            <w:pPr>
              <w:widowControl/>
              <w:spacing w:line="460" w:lineRule="exact"/>
              <w:jc w:val="center"/>
              <w:rPr>
                <w:rFonts w:ascii="宋体" w:hAnsi="宋体" w:cs="宋体"/>
                <w:kern w:val="0"/>
                <w:sz w:val="18"/>
                <w:szCs w:val="18"/>
              </w:rPr>
            </w:pPr>
            <w:r>
              <w:rPr>
                <w:rFonts w:hint="eastAsia" w:ascii="宋体" w:hAnsi="宋体" w:cs="宋体"/>
                <w:kern w:val="0"/>
                <w:sz w:val="18"/>
                <w:szCs w:val="18"/>
              </w:rPr>
              <w:t>从业人员(X)</w:t>
            </w:r>
          </w:p>
        </w:tc>
        <w:tc>
          <w:tcPr>
            <w:tcW w:w="710" w:type="dxa"/>
            <w:vAlign w:val="center"/>
          </w:tcPr>
          <w:p w14:paraId="2380015A">
            <w:pPr>
              <w:widowControl/>
              <w:spacing w:line="460" w:lineRule="exact"/>
              <w:jc w:val="center"/>
              <w:rPr>
                <w:rFonts w:ascii="宋体" w:hAnsi="宋体" w:cs="宋体"/>
                <w:kern w:val="0"/>
                <w:sz w:val="18"/>
                <w:szCs w:val="18"/>
              </w:rPr>
            </w:pPr>
            <w:r>
              <w:rPr>
                <w:rFonts w:hint="eastAsia" w:ascii="宋体" w:hAnsi="宋体" w:cs="宋体"/>
                <w:kern w:val="0"/>
                <w:sz w:val="18"/>
                <w:szCs w:val="18"/>
              </w:rPr>
              <w:t>人</w:t>
            </w:r>
          </w:p>
        </w:tc>
        <w:tc>
          <w:tcPr>
            <w:tcW w:w="1127" w:type="dxa"/>
            <w:vAlign w:val="center"/>
          </w:tcPr>
          <w:p w14:paraId="59EF2EFD">
            <w:pPr>
              <w:widowControl/>
              <w:spacing w:line="460" w:lineRule="exact"/>
              <w:jc w:val="center"/>
              <w:rPr>
                <w:rFonts w:ascii="宋体" w:hAnsi="宋体" w:cs="宋体"/>
                <w:kern w:val="0"/>
                <w:sz w:val="18"/>
                <w:szCs w:val="18"/>
              </w:rPr>
            </w:pPr>
            <w:r>
              <w:rPr>
                <w:rFonts w:hint="eastAsia" w:ascii="宋体" w:hAnsi="宋体" w:cs="宋体"/>
                <w:kern w:val="0"/>
                <w:sz w:val="18"/>
                <w:szCs w:val="18"/>
              </w:rPr>
              <w:t>X≥1000</w:t>
            </w:r>
          </w:p>
        </w:tc>
        <w:tc>
          <w:tcPr>
            <w:tcW w:w="1705" w:type="dxa"/>
            <w:vAlign w:val="center"/>
          </w:tcPr>
          <w:p w14:paraId="7A6EB4EC">
            <w:pPr>
              <w:widowControl/>
              <w:spacing w:line="460" w:lineRule="exact"/>
              <w:jc w:val="center"/>
              <w:rPr>
                <w:rFonts w:ascii="宋体" w:hAnsi="宋体" w:cs="宋体"/>
                <w:kern w:val="0"/>
                <w:sz w:val="18"/>
                <w:szCs w:val="18"/>
              </w:rPr>
            </w:pPr>
            <w:r>
              <w:rPr>
                <w:rFonts w:hint="eastAsia" w:ascii="宋体" w:hAnsi="宋体" w:cs="宋体"/>
                <w:kern w:val="0"/>
                <w:sz w:val="18"/>
                <w:szCs w:val="18"/>
              </w:rPr>
              <w:t>300≤X＜1000</w:t>
            </w:r>
          </w:p>
        </w:tc>
        <w:tc>
          <w:tcPr>
            <w:tcW w:w="1429" w:type="dxa"/>
            <w:vAlign w:val="center"/>
          </w:tcPr>
          <w:p w14:paraId="33CA6AA0">
            <w:pPr>
              <w:widowControl/>
              <w:spacing w:line="460" w:lineRule="exact"/>
              <w:jc w:val="center"/>
              <w:rPr>
                <w:rFonts w:ascii="宋体" w:hAnsi="宋体" w:cs="宋体"/>
                <w:kern w:val="0"/>
                <w:sz w:val="18"/>
                <w:szCs w:val="18"/>
              </w:rPr>
            </w:pPr>
            <w:r>
              <w:rPr>
                <w:rFonts w:hint="eastAsia" w:ascii="宋体" w:hAnsi="宋体" w:cs="宋体"/>
                <w:kern w:val="0"/>
                <w:sz w:val="18"/>
                <w:szCs w:val="18"/>
              </w:rPr>
              <w:t>100≤X＜300</w:t>
            </w:r>
          </w:p>
        </w:tc>
        <w:tc>
          <w:tcPr>
            <w:tcW w:w="994" w:type="dxa"/>
            <w:vAlign w:val="center"/>
          </w:tcPr>
          <w:p w14:paraId="656FC033">
            <w:pPr>
              <w:widowControl/>
              <w:spacing w:line="460" w:lineRule="exact"/>
              <w:jc w:val="center"/>
              <w:rPr>
                <w:rFonts w:ascii="宋体" w:hAnsi="宋体" w:cs="宋体"/>
                <w:kern w:val="0"/>
                <w:sz w:val="18"/>
                <w:szCs w:val="18"/>
              </w:rPr>
            </w:pPr>
            <w:r>
              <w:rPr>
                <w:rFonts w:hint="eastAsia" w:ascii="宋体" w:hAnsi="宋体" w:cs="宋体"/>
                <w:kern w:val="0"/>
                <w:sz w:val="18"/>
                <w:szCs w:val="18"/>
              </w:rPr>
              <w:t>X＜100</w:t>
            </w:r>
          </w:p>
        </w:tc>
      </w:tr>
      <w:tr w14:paraId="1C3F9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exact"/>
          <w:jc w:val="center"/>
        </w:trPr>
        <w:tc>
          <w:tcPr>
            <w:tcW w:w="2118" w:type="dxa"/>
            <w:vMerge w:val="continue"/>
            <w:vAlign w:val="center"/>
          </w:tcPr>
          <w:p w14:paraId="06F2D213">
            <w:pPr>
              <w:widowControl/>
              <w:spacing w:line="460" w:lineRule="exact"/>
              <w:jc w:val="left"/>
              <w:rPr>
                <w:rFonts w:ascii="宋体" w:hAnsi="宋体" w:cs="宋体"/>
                <w:kern w:val="0"/>
                <w:sz w:val="18"/>
                <w:szCs w:val="18"/>
              </w:rPr>
            </w:pPr>
          </w:p>
        </w:tc>
        <w:tc>
          <w:tcPr>
            <w:tcW w:w="1372" w:type="dxa"/>
            <w:vAlign w:val="center"/>
          </w:tcPr>
          <w:p w14:paraId="574D6C8E">
            <w:pPr>
              <w:widowControl/>
              <w:spacing w:line="460" w:lineRule="exact"/>
              <w:jc w:val="center"/>
              <w:rPr>
                <w:rFonts w:ascii="宋体" w:hAnsi="宋体" w:cs="宋体"/>
                <w:kern w:val="0"/>
                <w:sz w:val="18"/>
                <w:szCs w:val="18"/>
              </w:rPr>
            </w:pPr>
            <w:r>
              <w:rPr>
                <w:rFonts w:hint="eastAsia" w:ascii="宋体" w:hAnsi="宋体" w:cs="宋体"/>
                <w:kern w:val="0"/>
                <w:sz w:val="18"/>
                <w:szCs w:val="18"/>
              </w:rPr>
              <w:t>营业收入(Y)</w:t>
            </w:r>
          </w:p>
        </w:tc>
        <w:tc>
          <w:tcPr>
            <w:tcW w:w="710" w:type="dxa"/>
            <w:vAlign w:val="center"/>
          </w:tcPr>
          <w:p w14:paraId="40E7D02C">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14:paraId="7588E2C7">
            <w:pPr>
              <w:widowControl/>
              <w:spacing w:line="460" w:lineRule="exact"/>
              <w:jc w:val="center"/>
              <w:rPr>
                <w:rFonts w:ascii="宋体" w:hAnsi="宋体" w:cs="宋体"/>
                <w:kern w:val="0"/>
                <w:sz w:val="18"/>
                <w:szCs w:val="18"/>
              </w:rPr>
            </w:pPr>
            <w:r>
              <w:rPr>
                <w:rFonts w:hint="eastAsia" w:ascii="宋体" w:hAnsi="宋体" w:cs="宋体"/>
                <w:kern w:val="0"/>
                <w:sz w:val="18"/>
                <w:szCs w:val="18"/>
              </w:rPr>
              <w:t>Y≥5000</w:t>
            </w:r>
          </w:p>
        </w:tc>
        <w:tc>
          <w:tcPr>
            <w:tcW w:w="1705" w:type="dxa"/>
            <w:vAlign w:val="center"/>
          </w:tcPr>
          <w:p w14:paraId="727D0555">
            <w:pPr>
              <w:widowControl/>
              <w:spacing w:line="460" w:lineRule="exact"/>
              <w:ind w:left="1" w:leftChars="-51" w:hanging="108" w:hangingChars="60"/>
              <w:jc w:val="center"/>
              <w:rPr>
                <w:rFonts w:ascii="宋体" w:hAnsi="宋体" w:cs="宋体"/>
                <w:kern w:val="0"/>
                <w:sz w:val="18"/>
                <w:szCs w:val="18"/>
              </w:rPr>
            </w:pPr>
            <w:r>
              <w:rPr>
                <w:rFonts w:hint="eastAsia" w:ascii="宋体" w:hAnsi="宋体" w:cs="宋体"/>
                <w:kern w:val="0"/>
                <w:sz w:val="18"/>
                <w:szCs w:val="18"/>
              </w:rPr>
              <w:t>1000≤Y＜5000</w:t>
            </w:r>
          </w:p>
        </w:tc>
        <w:tc>
          <w:tcPr>
            <w:tcW w:w="1429" w:type="dxa"/>
            <w:vAlign w:val="center"/>
          </w:tcPr>
          <w:p w14:paraId="4BFBCD04">
            <w:pPr>
              <w:widowControl/>
              <w:spacing w:line="460" w:lineRule="exact"/>
              <w:jc w:val="center"/>
              <w:rPr>
                <w:rFonts w:ascii="宋体" w:hAnsi="宋体" w:cs="宋体"/>
                <w:kern w:val="0"/>
                <w:sz w:val="18"/>
                <w:szCs w:val="18"/>
              </w:rPr>
            </w:pPr>
            <w:r>
              <w:rPr>
                <w:rFonts w:hint="eastAsia" w:ascii="宋体" w:hAnsi="宋体" w:cs="宋体"/>
                <w:kern w:val="0"/>
                <w:sz w:val="18"/>
                <w:szCs w:val="18"/>
              </w:rPr>
              <w:t>500≤Y＜1000</w:t>
            </w:r>
          </w:p>
        </w:tc>
        <w:tc>
          <w:tcPr>
            <w:tcW w:w="994" w:type="dxa"/>
            <w:vAlign w:val="center"/>
          </w:tcPr>
          <w:p w14:paraId="56EF669F">
            <w:pPr>
              <w:widowControl/>
              <w:spacing w:line="460" w:lineRule="exact"/>
              <w:jc w:val="center"/>
              <w:rPr>
                <w:rFonts w:ascii="宋体" w:hAnsi="宋体" w:cs="宋体"/>
                <w:kern w:val="0"/>
                <w:sz w:val="18"/>
                <w:szCs w:val="18"/>
              </w:rPr>
            </w:pPr>
            <w:r>
              <w:rPr>
                <w:rFonts w:hint="eastAsia" w:ascii="宋体" w:hAnsi="宋体" w:cs="宋体"/>
                <w:kern w:val="0"/>
                <w:sz w:val="18"/>
                <w:szCs w:val="18"/>
              </w:rPr>
              <w:t>Y＜500</w:t>
            </w:r>
          </w:p>
        </w:tc>
      </w:tr>
      <w:tr w14:paraId="4295F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exact"/>
          <w:jc w:val="center"/>
        </w:trPr>
        <w:tc>
          <w:tcPr>
            <w:tcW w:w="2118" w:type="dxa"/>
            <w:vMerge w:val="restart"/>
            <w:vAlign w:val="center"/>
          </w:tcPr>
          <w:p w14:paraId="725E675E">
            <w:pPr>
              <w:widowControl/>
              <w:spacing w:line="460" w:lineRule="exact"/>
              <w:jc w:val="left"/>
              <w:rPr>
                <w:rFonts w:ascii="宋体" w:hAnsi="宋体" w:cs="宋体"/>
                <w:kern w:val="0"/>
                <w:sz w:val="18"/>
                <w:szCs w:val="18"/>
              </w:rPr>
            </w:pPr>
            <w:r>
              <w:rPr>
                <w:rFonts w:hint="eastAsia" w:ascii="宋体" w:hAnsi="宋体" w:cs="宋体"/>
                <w:kern w:val="0"/>
                <w:sz w:val="18"/>
                <w:szCs w:val="18"/>
              </w:rPr>
              <w:t>租赁和商务服务业</w:t>
            </w:r>
          </w:p>
        </w:tc>
        <w:tc>
          <w:tcPr>
            <w:tcW w:w="1372" w:type="dxa"/>
            <w:vAlign w:val="center"/>
          </w:tcPr>
          <w:p w14:paraId="58B3EF7A">
            <w:pPr>
              <w:widowControl/>
              <w:spacing w:line="460" w:lineRule="exact"/>
              <w:jc w:val="center"/>
              <w:rPr>
                <w:rFonts w:ascii="宋体" w:hAnsi="宋体" w:cs="宋体"/>
                <w:kern w:val="0"/>
                <w:sz w:val="18"/>
                <w:szCs w:val="18"/>
              </w:rPr>
            </w:pPr>
            <w:r>
              <w:rPr>
                <w:rFonts w:hint="eastAsia" w:ascii="宋体" w:hAnsi="宋体" w:cs="宋体"/>
                <w:kern w:val="0"/>
                <w:sz w:val="18"/>
                <w:szCs w:val="18"/>
              </w:rPr>
              <w:t>从业人员(X)</w:t>
            </w:r>
          </w:p>
        </w:tc>
        <w:tc>
          <w:tcPr>
            <w:tcW w:w="710" w:type="dxa"/>
            <w:vAlign w:val="center"/>
          </w:tcPr>
          <w:p w14:paraId="169D6DE4">
            <w:pPr>
              <w:widowControl/>
              <w:spacing w:line="460" w:lineRule="exact"/>
              <w:jc w:val="center"/>
              <w:rPr>
                <w:rFonts w:ascii="宋体" w:hAnsi="宋体" w:cs="宋体"/>
                <w:kern w:val="0"/>
                <w:sz w:val="18"/>
                <w:szCs w:val="18"/>
              </w:rPr>
            </w:pPr>
            <w:r>
              <w:rPr>
                <w:rFonts w:hint="eastAsia" w:ascii="宋体" w:hAnsi="宋体" w:cs="宋体"/>
                <w:kern w:val="0"/>
                <w:sz w:val="18"/>
                <w:szCs w:val="18"/>
              </w:rPr>
              <w:t>人</w:t>
            </w:r>
          </w:p>
        </w:tc>
        <w:tc>
          <w:tcPr>
            <w:tcW w:w="1127" w:type="dxa"/>
            <w:vAlign w:val="center"/>
          </w:tcPr>
          <w:p w14:paraId="0D9D5B16">
            <w:pPr>
              <w:widowControl/>
              <w:spacing w:line="460" w:lineRule="exact"/>
              <w:jc w:val="center"/>
              <w:rPr>
                <w:rFonts w:ascii="宋体" w:hAnsi="宋体" w:cs="宋体"/>
                <w:kern w:val="0"/>
                <w:sz w:val="18"/>
                <w:szCs w:val="18"/>
              </w:rPr>
            </w:pPr>
            <w:r>
              <w:rPr>
                <w:rFonts w:hint="eastAsia" w:ascii="宋体" w:hAnsi="宋体" w:cs="宋体"/>
                <w:kern w:val="0"/>
                <w:sz w:val="18"/>
                <w:szCs w:val="18"/>
              </w:rPr>
              <w:t>X≥300</w:t>
            </w:r>
          </w:p>
        </w:tc>
        <w:tc>
          <w:tcPr>
            <w:tcW w:w="1705" w:type="dxa"/>
            <w:vAlign w:val="center"/>
          </w:tcPr>
          <w:p w14:paraId="20452D1B">
            <w:pPr>
              <w:widowControl/>
              <w:spacing w:line="460" w:lineRule="exact"/>
              <w:ind w:left="1" w:leftChars="-51" w:hanging="108" w:hangingChars="60"/>
              <w:jc w:val="center"/>
              <w:rPr>
                <w:rFonts w:ascii="宋体" w:hAnsi="宋体" w:cs="宋体"/>
                <w:kern w:val="0"/>
                <w:sz w:val="18"/>
                <w:szCs w:val="18"/>
              </w:rPr>
            </w:pPr>
            <w:r>
              <w:rPr>
                <w:rFonts w:hint="eastAsia" w:ascii="宋体" w:hAnsi="宋体" w:cs="宋体"/>
                <w:kern w:val="0"/>
                <w:sz w:val="18"/>
                <w:szCs w:val="18"/>
              </w:rPr>
              <w:t>100≤X＜300</w:t>
            </w:r>
          </w:p>
        </w:tc>
        <w:tc>
          <w:tcPr>
            <w:tcW w:w="1429" w:type="dxa"/>
            <w:vAlign w:val="center"/>
          </w:tcPr>
          <w:p w14:paraId="788D4722">
            <w:pPr>
              <w:widowControl/>
              <w:spacing w:line="460" w:lineRule="exact"/>
              <w:jc w:val="center"/>
              <w:rPr>
                <w:rFonts w:ascii="宋体" w:hAnsi="宋体" w:cs="宋体"/>
                <w:kern w:val="0"/>
                <w:sz w:val="18"/>
                <w:szCs w:val="18"/>
              </w:rPr>
            </w:pPr>
            <w:r>
              <w:rPr>
                <w:rFonts w:hint="eastAsia" w:ascii="宋体" w:hAnsi="宋体" w:cs="宋体"/>
                <w:kern w:val="0"/>
                <w:sz w:val="18"/>
                <w:szCs w:val="18"/>
              </w:rPr>
              <w:t>10≤X＜100</w:t>
            </w:r>
          </w:p>
        </w:tc>
        <w:tc>
          <w:tcPr>
            <w:tcW w:w="994" w:type="dxa"/>
            <w:vAlign w:val="center"/>
          </w:tcPr>
          <w:p w14:paraId="6CFE294B">
            <w:pPr>
              <w:widowControl/>
              <w:spacing w:line="460" w:lineRule="exact"/>
              <w:jc w:val="center"/>
              <w:rPr>
                <w:rFonts w:ascii="宋体" w:hAnsi="宋体" w:cs="宋体"/>
                <w:kern w:val="0"/>
                <w:sz w:val="18"/>
                <w:szCs w:val="18"/>
              </w:rPr>
            </w:pPr>
            <w:r>
              <w:rPr>
                <w:rFonts w:hint="eastAsia" w:ascii="宋体" w:hAnsi="宋体" w:cs="宋体"/>
                <w:kern w:val="0"/>
                <w:sz w:val="18"/>
                <w:szCs w:val="18"/>
              </w:rPr>
              <w:t>X＜10</w:t>
            </w:r>
          </w:p>
        </w:tc>
      </w:tr>
      <w:tr w14:paraId="1867C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exact"/>
          <w:jc w:val="center"/>
        </w:trPr>
        <w:tc>
          <w:tcPr>
            <w:tcW w:w="2118" w:type="dxa"/>
            <w:vMerge w:val="continue"/>
            <w:vAlign w:val="center"/>
          </w:tcPr>
          <w:p w14:paraId="7AEF40F3">
            <w:pPr>
              <w:widowControl/>
              <w:spacing w:line="460" w:lineRule="exact"/>
              <w:jc w:val="left"/>
              <w:rPr>
                <w:rFonts w:ascii="宋体" w:hAnsi="宋体" w:cs="宋体"/>
                <w:kern w:val="0"/>
                <w:sz w:val="18"/>
                <w:szCs w:val="18"/>
              </w:rPr>
            </w:pPr>
          </w:p>
        </w:tc>
        <w:tc>
          <w:tcPr>
            <w:tcW w:w="1372" w:type="dxa"/>
            <w:vAlign w:val="center"/>
          </w:tcPr>
          <w:p w14:paraId="512B3F57">
            <w:pPr>
              <w:widowControl/>
              <w:spacing w:line="460" w:lineRule="exact"/>
              <w:jc w:val="center"/>
              <w:rPr>
                <w:rFonts w:ascii="宋体" w:hAnsi="宋体" w:cs="宋体"/>
                <w:kern w:val="0"/>
                <w:sz w:val="18"/>
                <w:szCs w:val="18"/>
              </w:rPr>
            </w:pPr>
            <w:r>
              <w:rPr>
                <w:rFonts w:hint="eastAsia" w:ascii="宋体" w:hAnsi="宋体" w:cs="宋体"/>
                <w:kern w:val="0"/>
                <w:sz w:val="18"/>
                <w:szCs w:val="18"/>
              </w:rPr>
              <w:t>资产总额(Z)</w:t>
            </w:r>
          </w:p>
        </w:tc>
        <w:tc>
          <w:tcPr>
            <w:tcW w:w="710" w:type="dxa"/>
            <w:vAlign w:val="center"/>
          </w:tcPr>
          <w:p w14:paraId="6926EDA7">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14:paraId="44D3C398">
            <w:pPr>
              <w:widowControl/>
              <w:spacing w:line="460" w:lineRule="exact"/>
              <w:jc w:val="center"/>
              <w:rPr>
                <w:rFonts w:ascii="宋体" w:hAnsi="宋体" w:cs="宋体"/>
                <w:kern w:val="0"/>
                <w:sz w:val="18"/>
                <w:szCs w:val="18"/>
              </w:rPr>
            </w:pPr>
            <w:r>
              <w:rPr>
                <w:rFonts w:hint="eastAsia" w:ascii="宋体" w:hAnsi="宋体" w:cs="宋体"/>
                <w:kern w:val="0"/>
                <w:sz w:val="18"/>
                <w:szCs w:val="18"/>
              </w:rPr>
              <w:t>Z≥120000</w:t>
            </w:r>
          </w:p>
        </w:tc>
        <w:tc>
          <w:tcPr>
            <w:tcW w:w="1705" w:type="dxa"/>
            <w:vAlign w:val="center"/>
          </w:tcPr>
          <w:p w14:paraId="38949359">
            <w:pPr>
              <w:widowControl/>
              <w:spacing w:line="460" w:lineRule="exact"/>
              <w:jc w:val="center"/>
              <w:rPr>
                <w:rFonts w:ascii="宋体" w:hAnsi="宋体" w:cs="宋体"/>
                <w:kern w:val="0"/>
                <w:sz w:val="18"/>
                <w:szCs w:val="18"/>
              </w:rPr>
            </w:pPr>
            <w:r>
              <w:rPr>
                <w:rFonts w:hint="eastAsia" w:ascii="宋体" w:hAnsi="宋体" w:cs="宋体"/>
                <w:kern w:val="0"/>
                <w:sz w:val="18"/>
                <w:szCs w:val="18"/>
              </w:rPr>
              <w:t>8000≤Z＜120000</w:t>
            </w:r>
          </w:p>
        </w:tc>
        <w:tc>
          <w:tcPr>
            <w:tcW w:w="1429" w:type="dxa"/>
            <w:vAlign w:val="center"/>
          </w:tcPr>
          <w:p w14:paraId="2518A57B">
            <w:pPr>
              <w:widowControl/>
              <w:spacing w:line="460" w:lineRule="exact"/>
              <w:jc w:val="center"/>
              <w:rPr>
                <w:rFonts w:ascii="宋体" w:hAnsi="宋体" w:cs="宋体"/>
                <w:kern w:val="0"/>
                <w:sz w:val="18"/>
                <w:szCs w:val="18"/>
              </w:rPr>
            </w:pPr>
            <w:r>
              <w:rPr>
                <w:rFonts w:hint="eastAsia" w:ascii="宋体" w:hAnsi="宋体" w:cs="宋体"/>
                <w:kern w:val="0"/>
                <w:sz w:val="18"/>
                <w:szCs w:val="18"/>
              </w:rPr>
              <w:t>100≤Z＜8000</w:t>
            </w:r>
          </w:p>
        </w:tc>
        <w:tc>
          <w:tcPr>
            <w:tcW w:w="994" w:type="dxa"/>
            <w:vAlign w:val="center"/>
          </w:tcPr>
          <w:p w14:paraId="1B46C57D">
            <w:pPr>
              <w:widowControl/>
              <w:spacing w:line="460" w:lineRule="exact"/>
              <w:jc w:val="center"/>
              <w:rPr>
                <w:rFonts w:ascii="宋体" w:hAnsi="宋体" w:cs="宋体"/>
                <w:kern w:val="0"/>
                <w:sz w:val="18"/>
                <w:szCs w:val="18"/>
              </w:rPr>
            </w:pPr>
            <w:r>
              <w:rPr>
                <w:rFonts w:hint="eastAsia" w:ascii="宋体" w:hAnsi="宋体" w:cs="宋体"/>
                <w:kern w:val="0"/>
                <w:sz w:val="18"/>
                <w:szCs w:val="18"/>
              </w:rPr>
              <w:t>Z＜100</w:t>
            </w:r>
          </w:p>
        </w:tc>
      </w:tr>
      <w:tr w14:paraId="1137F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exact"/>
          <w:jc w:val="center"/>
        </w:trPr>
        <w:tc>
          <w:tcPr>
            <w:tcW w:w="2118" w:type="dxa"/>
            <w:vAlign w:val="center"/>
          </w:tcPr>
          <w:p w14:paraId="6C53FE2E">
            <w:pPr>
              <w:widowControl/>
              <w:spacing w:line="460" w:lineRule="exact"/>
              <w:jc w:val="left"/>
              <w:rPr>
                <w:rFonts w:ascii="宋体" w:hAnsi="宋体" w:cs="宋体"/>
                <w:kern w:val="0"/>
                <w:sz w:val="18"/>
                <w:szCs w:val="18"/>
              </w:rPr>
            </w:pPr>
            <w:r>
              <w:rPr>
                <w:rFonts w:hint="eastAsia" w:ascii="宋体" w:hAnsi="宋体" w:cs="宋体"/>
                <w:kern w:val="0"/>
                <w:sz w:val="18"/>
                <w:szCs w:val="18"/>
              </w:rPr>
              <w:t>其他未列明行业 *</w:t>
            </w:r>
          </w:p>
        </w:tc>
        <w:tc>
          <w:tcPr>
            <w:tcW w:w="1372" w:type="dxa"/>
            <w:vAlign w:val="center"/>
          </w:tcPr>
          <w:p w14:paraId="4F89BF98">
            <w:pPr>
              <w:widowControl/>
              <w:spacing w:line="460" w:lineRule="exact"/>
              <w:jc w:val="center"/>
              <w:rPr>
                <w:rFonts w:ascii="宋体" w:hAnsi="宋体" w:cs="宋体"/>
                <w:kern w:val="0"/>
                <w:sz w:val="18"/>
                <w:szCs w:val="18"/>
              </w:rPr>
            </w:pPr>
            <w:r>
              <w:rPr>
                <w:rFonts w:hint="eastAsia" w:ascii="宋体" w:hAnsi="宋体" w:cs="宋体"/>
                <w:kern w:val="0"/>
                <w:sz w:val="18"/>
                <w:szCs w:val="18"/>
              </w:rPr>
              <w:t>从业人员(X)</w:t>
            </w:r>
          </w:p>
        </w:tc>
        <w:tc>
          <w:tcPr>
            <w:tcW w:w="710" w:type="dxa"/>
            <w:vAlign w:val="center"/>
          </w:tcPr>
          <w:p w14:paraId="01951350">
            <w:pPr>
              <w:widowControl/>
              <w:spacing w:line="460" w:lineRule="exact"/>
              <w:jc w:val="center"/>
              <w:rPr>
                <w:rFonts w:ascii="宋体" w:hAnsi="宋体" w:cs="宋体"/>
                <w:kern w:val="0"/>
                <w:sz w:val="18"/>
                <w:szCs w:val="18"/>
              </w:rPr>
            </w:pPr>
            <w:r>
              <w:rPr>
                <w:rFonts w:hint="eastAsia" w:ascii="宋体" w:hAnsi="宋体" w:cs="宋体"/>
                <w:kern w:val="0"/>
                <w:sz w:val="18"/>
                <w:szCs w:val="18"/>
              </w:rPr>
              <w:t>人</w:t>
            </w:r>
          </w:p>
        </w:tc>
        <w:tc>
          <w:tcPr>
            <w:tcW w:w="1127" w:type="dxa"/>
            <w:vAlign w:val="center"/>
          </w:tcPr>
          <w:p w14:paraId="643ECDB6">
            <w:pPr>
              <w:widowControl/>
              <w:spacing w:line="460" w:lineRule="exact"/>
              <w:jc w:val="center"/>
              <w:rPr>
                <w:rFonts w:ascii="宋体" w:hAnsi="宋体" w:cs="宋体"/>
                <w:kern w:val="0"/>
                <w:sz w:val="18"/>
                <w:szCs w:val="18"/>
              </w:rPr>
            </w:pPr>
            <w:r>
              <w:rPr>
                <w:rFonts w:hint="eastAsia" w:ascii="宋体" w:hAnsi="宋体" w:cs="宋体"/>
                <w:kern w:val="0"/>
                <w:sz w:val="18"/>
                <w:szCs w:val="18"/>
              </w:rPr>
              <w:t>X≥300</w:t>
            </w:r>
          </w:p>
        </w:tc>
        <w:tc>
          <w:tcPr>
            <w:tcW w:w="1705" w:type="dxa"/>
            <w:vAlign w:val="center"/>
          </w:tcPr>
          <w:p w14:paraId="2870F44E">
            <w:pPr>
              <w:widowControl/>
              <w:spacing w:line="460" w:lineRule="exact"/>
              <w:ind w:left="1" w:leftChars="-51" w:hanging="108" w:hangingChars="60"/>
              <w:jc w:val="center"/>
              <w:rPr>
                <w:rFonts w:ascii="宋体" w:hAnsi="宋体" w:cs="宋体"/>
                <w:kern w:val="0"/>
                <w:sz w:val="18"/>
                <w:szCs w:val="18"/>
              </w:rPr>
            </w:pPr>
            <w:r>
              <w:rPr>
                <w:rFonts w:hint="eastAsia" w:ascii="宋体" w:hAnsi="宋体" w:cs="宋体"/>
                <w:kern w:val="0"/>
                <w:sz w:val="18"/>
                <w:szCs w:val="18"/>
              </w:rPr>
              <w:t>100≤X＜300</w:t>
            </w:r>
          </w:p>
        </w:tc>
        <w:tc>
          <w:tcPr>
            <w:tcW w:w="1429" w:type="dxa"/>
            <w:vAlign w:val="center"/>
          </w:tcPr>
          <w:p w14:paraId="4AE2AECF">
            <w:pPr>
              <w:widowControl/>
              <w:spacing w:line="460" w:lineRule="exact"/>
              <w:jc w:val="center"/>
              <w:rPr>
                <w:rFonts w:ascii="宋体" w:hAnsi="宋体" w:cs="宋体"/>
                <w:kern w:val="0"/>
                <w:sz w:val="18"/>
                <w:szCs w:val="18"/>
              </w:rPr>
            </w:pPr>
            <w:r>
              <w:rPr>
                <w:rFonts w:hint="eastAsia" w:ascii="宋体" w:hAnsi="宋体" w:cs="宋体"/>
                <w:kern w:val="0"/>
                <w:sz w:val="18"/>
                <w:szCs w:val="18"/>
              </w:rPr>
              <w:t>10≤X＜100</w:t>
            </w:r>
          </w:p>
        </w:tc>
        <w:tc>
          <w:tcPr>
            <w:tcW w:w="994" w:type="dxa"/>
            <w:vAlign w:val="center"/>
          </w:tcPr>
          <w:p w14:paraId="37737B92">
            <w:pPr>
              <w:widowControl/>
              <w:spacing w:line="460" w:lineRule="exact"/>
              <w:jc w:val="center"/>
              <w:rPr>
                <w:rFonts w:ascii="宋体" w:hAnsi="宋体" w:cs="宋体"/>
                <w:kern w:val="0"/>
                <w:sz w:val="18"/>
                <w:szCs w:val="18"/>
              </w:rPr>
            </w:pPr>
            <w:r>
              <w:rPr>
                <w:rFonts w:hint="eastAsia" w:ascii="宋体" w:hAnsi="宋体" w:cs="宋体"/>
                <w:kern w:val="0"/>
                <w:sz w:val="18"/>
                <w:szCs w:val="18"/>
              </w:rPr>
              <w:t>X＜10</w:t>
            </w:r>
          </w:p>
        </w:tc>
      </w:tr>
    </w:tbl>
    <w:p w14:paraId="7639931F">
      <w:pPr>
        <w:widowControl/>
        <w:spacing w:line="460" w:lineRule="exact"/>
        <w:rPr>
          <w:rFonts w:ascii="宋体" w:hAnsi="宋体" w:cs="宋体"/>
          <w:spacing w:val="8"/>
          <w:kern w:val="0"/>
          <w:sz w:val="24"/>
        </w:rPr>
      </w:pPr>
    </w:p>
    <w:p w14:paraId="0B0B4F15">
      <w:pPr>
        <w:widowControl/>
        <w:spacing w:line="460" w:lineRule="exact"/>
        <w:rPr>
          <w:rFonts w:ascii="宋体" w:hAnsi="宋体" w:cs="宋体"/>
          <w:spacing w:val="8"/>
          <w:kern w:val="0"/>
          <w:szCs w:val="21"/>
        </w:rPr>
      </w:pPr>
      <w:r>
        <w:rPr>
          <w:rFonts w:hint="eastAsia" w:ascii="宋体" w:hAnsi="宋体" w:cs="宋体"/>
          <w:spacing w:val="8"/>
          <w:kern w:val="0"/>
          <w:szCs w:val="21"/>
        </w:rPr>
        <w:t>说明：</w:t>
      </w:r>
    </w:p>
    <w:p w14:paraId="4726AD60">
      <w:pPr>
        <w:pStyle w:val="15"/>
        <w:adjustRightInd w:val="0"/>
        <w:spacing w:line="460" w:lineRule="exact"/>
        <w:ind w:firstLine="452" w:firstLineChars="200"/>
        <w:contextualSpacing/>
        <w:rPr>
          <w:rFonts w:hAnsi="宋体" w:cs="宋体"/>
          <w:spacing w:val="8"/>
          <w:kern w:val="0"/>
          <w:szCs w:val="21"/>
        </w:rPr>
      </w:pPr>
      <w:r>
        <w:rPr>
          <w:rFonts w:hint="eastAsia" w:hAnsi="宋体" w:cs="宋体"/>
          <w:spacing w:val="8"/>
          <w:kern w:val="0"/>
          <w:szCs w:val="21"/>
        </w:rPr>
        <w:t>1.大型、中型和小型企业须同时满足所列指标的下限，否则下划一档；微型企业只须满足所列指标中的一项即可。</w:t>
      </w:r>
    </w:p>
    <w:p w14:paraId="0642F600">
      <w:pPr>
        <w:pStyle w:val="15"/>
        <w:adjustRightInd w:val="0"/>
        <w:spacing w:line="460" w:lineRule="exact"/>
        <w:ind w:firstLine="452" w:firstLineChars="200"/>
        <w:contextualSpacing/>
        <w:rPr>
          <w:rFonts w:hAnsi="宋体" w:cs="宋体"/>
          <w:spacing w:val="8"/>
          <w:kern w:val="0"/>
          <w:szCs w:val="21"/>
        </w:rPr>
      </w:pPr>
      <w:r>
        <w:rPr>
          <w:rFonts w:hint="eastAsia" w:hAnsi="宋体" w:cs="宋体"/>
          <w:spacing w:val="8"/>
          <w:kern w:val="0"/>
          <w:szCs w:val="21"/>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51CDB2B7">
      <w:pPr>
        <w:pStyle w:val="15"/>
        <w:spacing w:line="460" w:lineRule="exact"/>
        <w:ind w:firstLine="452" w:firstLineChars="200"/>
        <w:rPr>
          <w:rFonts w:hAnsi="宋体" w:cs="宋体"/>
          <w:spacing w:val="8"/>
          <w:kern w:val="0"/>
          <w:sz w:val="24"/>
          <w:szCs w:val="24"/>
        </w:rPr>
      </w:pPr>
      <w:r>
        <w:rPr>
          <w:rFonts w:hint="eastAsia" w:hAnsi="宋体" w:cs="宋体"/>
          <w:spacing w:val="8"/>
          <w:kern w:val="0"/>
          <w:szCs w:val="21"/>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bookmarkStart w:id="172" w:name="_Toc4774"/>
      <w:bookmarkStart w:id="173" w:name="_Toc8466"/>
    </w:p>
    <w:p w14:paraId="7EFCF27E">
      <w:pPr>
        <w:spacing w:line="460" w:lineRule="exact"/>
        <w:rPr>
          <w:rFonts w:ascii="宋体" w:hAnsi="宋体" w:cs="宋体"/>
          <w:sz w:val="32"/>
          <w:szCs w:val="32"/>
        </w:rPr>
      </w:pPr>
      <w:r>
        <w:rPr>
          <w:rFonts w:hint="eastAsia" w:ascii="宋体" w:hAnsi="宋体" w:cs="宋体"/>
          <w:sz w:val="32"/>
          <w:szCs w:val="32"/>
        </w:rPr>
        <w:br w:type="page"/>
      </w:r>
    </w:p>
    <w:p w14:paraId="210B5651">
      <w:pPr>
        <w:pStyle w:val="4"/>
        <w:spacing w:line="500" w:lineRule="exact"/>
        <w:jc w:val="center"/>
        <w:rPr>
          <w:sz w:val="32"/>
          <w:szCs w:val="32"/>
        </w:rPr>
      </w:pPr>
      <w:bookmarkStart w:id="174" w:name="_Toc73275790"/>
      <w:bookmarkStart w:id="175" w:name="_Toc16092"/>
      <w:r>
        <w:rPr>
          <w:rFonts w:hint="eastAsia" w:ascii="宋体" w:hAnsi="宋体" w:cs="宋体"/>
          <w:sz w:val="32"/>
          <w:szCs w:val="32"/>
        </w:rPr>
        <w:t>第四章  合同条款及格式</w:t>
      </w:r>
      <w:bookmarkEnd w:id="174"/>
    </w:p>
    <w:p w14:paraId="695860B9">
      <w:pPr>
        <w:spacing w:line="500" w:lineRule="exact"/>
        <w:jc w:val="left"/>
        <w:rPr>
          <w:rFonts w:ascii="宋体" w:hAnsi="宋体" w:cs="宋体"/>
          <w:bCs/>
          <w:sz w:val="32"/>
          <w:szCs w:val="32"/>
        </w:rPr>
      </w:pPr>
      <w:r>
        <w:rPr>
          <w:rFonts w:hint="eastAsia" w:ascii="宋体" w:hAnsi="宋体" w:cs="宋体"/>
          <w:bCs/>
          <w:sz w:val="32"/>
          <w:szCs w:val="32"/>
        </w:rPr>
        <w:t xml:space="preserve"> </w:t>
      </w:r>
    </w:p>
    <w:p w14:paraId="10271EE4">
      <w:pPr>
        <w:spacing w:line="500" w:lineRule="exact"/>
        <w:ind w:firstLine="3200" w:firstLineChars="1000"/>
        <w:jc w:val="left"/>
        <w:rPr>
          <w:rFonts w:ascii="宋体" w:hAnsi="宋体" w:cs="宋体"/>
          <w:bCs/>
          <w:sz w:val="32"/>
          <w:szCs w:val="32"/>
        </w:rPr>
      </w:pPr>
      <w:r>
        <w:rPr>
          <w:rFonts w:hint="eastAsia" w:ascii="宋体" w:hAnsi="宋体" w:cs="宋体"/>
          <w:bCs/>
          <w:sz w:val="32"/>
          <w:szCs w:val="32"/>
        </w:rPr>
        <w:t>（GF—2017—0201）</w:t>
      </w:r>
    </w:p>
    <w:p w14:paraId="318BEADB">
      <w:pPr>
        <w:spacing w:line="500" w:lineRule="exact"/>
        <w:jc w:val="center"/>
        <w:rPr>
          <w:rFonts w:ascii="宋体" w:hAnsi="宋体" w:cs="宋体"/>
          <w:b/>
          <w:sz w:val="52"/>
          <w:szCs w:val="52"/>
        </w:rPr>
      </w:pPr>
    </w:p>
    <w:p w14:paraId="6F18B889">
      <w:pPr>
        <w:spacing w:line="500" w:lineRule="exact"/>
        <w:jc w:val="center"/>
        <w:rPr>
          <w:rFonts w:ascii="宋体" w:hAnsi="宋体" w:cs="宋体"/>
          <w:b/>
          <w:sz w:val="52"/>
          <w:szCs w:val="52"/>
        </w:rPr>
      </w:pPr>
    </w:p>
    <w:p w14:paraId="69761E7D">
      <w:pPr>
        <w:spacing w:line="500" w:lineRule="exact"/>
        <w:jc w:val="center"/>
        <w:rPr>
          <w:rFonts w:ascii="宋体" w:hAnsi="宋体" w:cs="宋体"/>
          <w:b/>
          <w:sz w:val="52"/>
          <w:szCs w:val="52"/>
        </w:rPr>
      </w:pPr>
    </w:p>
    <w:p w14:paraId="7BE03252">
      <w:pPr>
        <w:spacing w:line="500" w:lineRule="exact"/>
        <w:jc w:val="center"/>
        <w:rPr>
          <w:rFonts w:ascii="宋体" w:hAnsi="宋体" w:cs="宋体"/>
          <w:b/>
          <w:sz w:val="52"/>
          <w:szCs w:val="52"/>
        </w:rPr>
      </w:pPr>
    </w:p>
    <w:p w14:paraId="3DE6FD88">
      <w:pPr>
        <w:spacing w:line="600" w:lineRule="exact"/>
        <w:jc w:val="center"/>
        <w:rPr>
          <w:rFonts w:ascii="宋体" w:hAnsi="宋体" w:cs="宋体"/>
          <w:b/>
          <w:sz w:val="52"/>
          <w:szCs w:val="52"/>
        </w:rPr>
      </w:pPr>
      <w:r>
        <w:rPr>
          <w:rFonts w:hint="eastAsia" w:ascii="宋体" w:hAnsi="宋体" w:cs="宋体"/>
          <w:b/>
          <w:sz w:val="52"/>
          <w:szCs w:val="52"/>
        </w:rPr>
        <w:t>建设工程施工合同</w:t>
      </w:r>
      <w:r>
        <w:rPr>
          <w:rFonts w:hint="eastAsia" w:ascii="宋体" w:hAnsi="宋体" w:cs="宋体"/>
          <w:b/>
          <w:sz w:val="44"/>
          <w:szCs w:val="44"/>
        </w:rPr>
        <w:br w:type="textWrapping"/>
      </w:r>
      <w:r>
        <w:rPr>
          <w:rFonts w:hint="eastAsia" w:ascii="宋体" w:hAnsi="宋体" w:cs="宋体"/>
          <w:b/>
          <w:sz w:val="32"/>
          <w:szCs w:val="32"/>
        </w:rPr>
        <w:t>（示范文本）</w:t>
      </w:r>
    </w:p>
    <w:p w14:paraId="167085BD">
      <w:pPr>
        <w:spacing w:line="500" w:lineRule="exact"/>
        <w:jc w:val="center"/>
        <w:rPr>
          <w:rFonts w:ascii="宋体" w:hAnsi="宋体" w:cs="宋体"/>
          <w:b/>
          <w:sz w:val="52"/>
          <w:szCs w:val="52"/>
        </w:rPr>
      </w:pPr>
    </w:p>
    <w:p w14:paraId="44E3FBD0">
      <w:pPr>
        <w:spacing w:line="500" w:lineRule="exact"/>
        <w:jc w:val="center"/>
        <w:rPr>
          <w:rFonts w:ascii="宋体" w:hAnsi="宋体" w:cs="宋体"/>
          <w:b/>
          <w:sz w:val="72"/>
          <w:szCs w:val="72"/>
        </w:rPr>
      </w:pPr>
    </w:p>
    <w:p w14:paraId="245B0CF1">
      <w:pPr>
        <w:spacing w:line="500" w:lineRule="exact"/>
        <w:jc w:val="center"/>
        <w:rPr>
          <w:rFonts w:ascii="宋体" w:hAnsi="宋体" w:cs="宋体"/>
          <w:b/>
          <w:sz w:val="72"/>
          <w:szCs w:val="72"/>
        </w:rPr>
      </w:pPr>
    </w:p>
    <w:p w14:paraId="73EA251B">
      <w:pPr>
        <w:spacing w:line="500" w:lineRule="exact"/>
        <w:rPr>
          <w:rFonts w:ascii="宋体" w:hAnsi="宋体" w:cs="宋体"/>
          <w:b/>
          <w:sz w:val="28"/>
          <w:szCs w:val="28"/>
        </w:rPr>
      </w:pPr>
    </w:p>
    <w:p w14:paraId="6552DCDD">
      <w:pPr>
        <w:spacing w:line="500" w:lineRule="exact"/>
        <w:rPr>
          <w:rFonts w:ascii="宋体" w:hAnsi="宋体" w:cs="宋体"/>
          <w:b/>
          <w:sz w:val="28"/>
          <w:szCs w:val="28"/>
        </w:rPr>
      </w:pPr>
    </w:p>
    <w:p w14:paraId="533644E9">
      <w:pPr>
        <w:spacing w:line="500" w:lineRule="exact"/>
        <w:rPr>
          <w:rFonts w:ascii="宋体" w:hAnsi="宋体" w:cs="宋体"/>
          <w:b/>
          <w:sz w:val="28"/>
          <w:szCs w:val="28"/>
        </w:rPr>
      </w:pPr>
    </w:p>
    <w:p w14:paraId="0748E46E">
      <w:pPr>
        <w:spacing w:line="500" w:lineRule="exact"/>
        <w:ind w:right="2719" w:rightChars="1295"/>
        <w:jc w:val="distribute"/>
        <w:rPr>
          <w:rFonts w:ascii="宋体" w:hAnsi="宋体" w:cs="宋体"/>
          <w:b/>
          <w:sz w:val="32"/>
          <w:szCs w:val="28"/>
        </w:rPr>
      </w:pPr>
      <w:r>
        <w:rPr>
          <w:rFonts w:ascii="宋体" w:hAnsi="宋体" w:cs="宋体"/>
        </w:rPr>
        <mc:AlternateContent>
          <mc:Choice Requires="wps">
            <w:drawing>
              <wp:anchor distT="0" distB="0" distL="114300" distR="114300" simplePos="0" relativeHeight="251662336" behindDoc="0" locked="0" layoutInCell="1" allowOverlap="1">
                <wp:simplePos x="0" y="0"/>
                <wp:positionH relativeFrom="column">
                  <wp:posOffset>4579620</wp:posOffset>
                </wp:positionH>
                <wp:positionV relativeFrom="paragraph">
                  <wp:posOffset>120015</wp:posOffset>
                </wp:positionV>
                <wp:extent cx="638175" cy="457200"/>
                <wp:effectExtent l="7620" t="8890" r="11430" b="10160"/>
                <wp:wrapNone/>
                <wp:docPr id="6" name="Text Box 5"/>
                <wp:cNvGraphicFramePr/>
                <a:graphic xmlns:a="http://schemas.openxmlformats.org/drawingml/2006/main">
                  <a:graphicData uri="http://schemas.microsoft.com/office/word/2010/wordprocessingShape">
                    <wps:wsp>
                      <wps:cNvSpPr txBox="1">
                        <a:spLocks noChangeArrowheads="1"/>
                      </wps:cNvSpPr>
                      <wps:spPr bwMode="auto">
                        <a:xfrm>
                          <a:off x="0" y="0"/>
                          <a:ext cx="638175" cy="457200"/>
                        </a:xfrm>
                        <a:prstGeom prst="rect">
                          <a:avLst/>
                        </a:prstGeom>
                        <a:noFill/>
                        <a:ln w="9525">
                          <a:solidFill>
                            <a:srgbClr val="FFFFFF"/>
                          </a:solidFill>
                          <a:miter lim="800000"/>
                        </a:ln>
                      </wps:spPr>
                      <wps:txbx>
                        <w:txbxContent>
                          <w:p w14:paraId="2FCD9F40">
                            <w:pPr>
                              <w:rPr>
                                <w:b/>
                                <w:bCs/>
                                <w:sz w:val="32"/>
                              </w:rPr>
                            </w:pPr>
                            <w:r>
                              <w:rPr>
                                <w:rFonts w:hint="eastAsia"/>
                                <w:b/>
                                <w:bCs/>
                                <w:sz w:val="32"/>
                              </w:rPr>
                              <w:t>制定</w:t>
                            </w:r>
                          </w:p>
                        </w:txbxContent>
                      </wps:txbx>
                      <wps:bodyPr rot="0" vert="horz" wrap="square" lIns="91440" tIns="45720" rIns="91440" bIns="45720" anchor="t" anchorCtr="0" upright="1">
                        <a:noAutofit/>
                      </wps:bodyPr>
                    </wps:wsp>
                  </a:graphicData>
                </a:graphic>
              </wp:anchor>
            </w:drawing>
          </mc:Choice>
          <mc:Fallback>
            <w:pict>
              <v:shape id="Text Box 5" o:spid="_x0000_s1026" o:spt="202" type="#_x0000_t202" style="position:absolute;left:0pt;margin-left:360.6pt;margin-top:9.45pt;height:36pt;width:50.25pt;z-index:251662336;mso-width-relative:page;mso-height-relative:page;" filled="f" stroked="t" coordsize="21600,21600" o:gfxdata="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Amm64X2AAAAAkBAAAPAAAAAAAAAAEAIAAAACIAAABkcnMvZG93bnJldi54bWxQSwEC&#10;FAAUAAAACACHTuJAsYI9CC0CAABcBAAADgAAAAAAAAABACAAAAAnAQAAZHJzL2Uyb0RvYy54bWxQ&#10;SwUGAAAAAAYABgBZAQAAxgUAAAAA&#10;">
                <v:fill on="f" focussize="0,0"/>
                <v:stroke color="#FFFFFF" miterlimit="8" joinstyle="miter"/>
                <v:imagedata o:title=""/>
                <o:lock v:ext="edit" aspectratio="f"/>
                <v:textbox>
                  <w:txbxContent>
                    <w:p w14:paraId="2FCD9F40">
                      <w:pPr>
                        <w:rPr>
                          <w:b/>
                          <w:bCs/>
                          <w:sz w:val="32"/>
                        </w:rPr>
                      </w:pPr>
                      <w:r>
                        <w:rPr>
                          <w:rFonts w:hint="eastAsia"/>
                          <w:b/>
                          <w:bCs/>
                          <w:sz w:val="32"/>
                        </w:rPr>
                        <w:t>制定</w:t>
                      </w:r>
                    </w:p>
                  </w:txbxContent>
                </v:textbox>
              </v:shape>
            </w:pict>
          </mc:Fallback>
        </mc:AlternateContent>
      </w:r>
      <w:r>
        <w:rPr>
          <w:rFonts w:hint="eastAsia" w:ascii="宋体" w:hAnsi="宋体" w:cs="宋体"/>
          <w:b/>
          <w:sz w:val="32"/>
          <w:szCs w:val="28"/>
        </w:rPr>
        <w:t xml:space="preserve">               住房城乡建设部</w:t>
      </w:r>
    </w:p>
    <w:p w14:paraId="2F1D1A04">
      <w:pPr>
        <w:spacing w:line="500" w:lineRule="exact"/>
        <w:ind w:right="2719" w:rightChars="1295"/>
        <w:jc w:val="distribute"/>
        <w:rPr>
          <w:rFonts w:ascii="宋体" w:hAnsi="宋体" w:cs="宋体"/>
          <w:b/>
          <w:sz w:val="32"/>
          <w:szCs w:val="28"/>
        </w:rPr>
      </w:pPr>
      <w:r>
        <w:rPr>
          <w:rFonts w:hint="eastAsia" w:ascii="宋体" w:hAnsi="宋体" w:cs="宋体"/>
          <w:b/>
          <w:sz w:val="32"/>
          <w:szCs w:val="28"/>
        </w:rPr>
        <w:t xml:space="preserve">               国家工商行政管理总局</w:t>
      </w:r>
    </w:p>
    <w:p w14:paraId="41A370A8">
      <w:pPr>
        <w:spacing w:line="500" w:lineRule="exact"/>
        <w:rPr>
          <w:rFonts w:ascii="宋体" w:hAnsi="宋体" w:cs="宋体"/>
          <w:b/>
        </w:rPr>
      </w:pPr>
    </w:p>
    <w:p w14:paraId="12F555F5">
      <w:pPr>
        <w:pStyle w:val="33"/>
        <w:spacing w:line="500" w:lineRule="exact"/>
        <w:jc w:val="center"/>
        <w:outlineLvl w:val="1"/>
        <w:rPr>
          <w:rFonts w:ascii="宋体" w:hAnsi="宋体" w:cs="宋体"/>
          <w:sz w:val="28"/>
          <w:szCs w:val="28"/>
        </w:rPr>
      </w:pPr>
      <w:r>
        <w:rPr>
          <w:rFonts w:hint="eastAsia" w:ascii="宋体" w:hAnsi="宋体" w:cs="宋体"/>
          <w:b w:val="0"/>
        </w:rPr>
        <w:br w:type="page"/>
      </w:r>
      <w:r>
        <w:rPr>
          <w:rFonts w:hint="eastAsia" w:ascii="宋体" w:hAnsi="宋体" w:cs="宋体"/>
          <w:sz w:val="28"/>
          <w:szCs w:val="28"/>
        </w:rPr>
        <w:t>说  明</w:t>
      </w:r>
    </w:p>
    <w:p w14:paraId="47613009">
      <w:pPr>
        <w:spacing w:line="400" w:lineRule="exact"/>
        <w:ind w:firstLine="420" w:firstLineChars="200"/>
        <w:rPr>
          <w:rFonts w:ascii="宋体" w:hAnsi="宋体" w:cs="宋体"/>
        </w:rPr>
      </w:pPr>
      <w:r>
        <w:rPr>
          <w:rFonts w:hint="eastAsia" w:ascii="宋体" w:hAnsi="宋体" w:cs="宋体"/>
        </w:rPr>
        <w:t>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p>
    <w:p w14:paraId="4A952184">
      <w:pPr>
        <w:spacing w:line="400" w:lineRule="exact"/>
        <w:rPr>
          <w:rFonts w:ascii="宋体" w:hAnsi="宋体" w:cs="宋体"/>
          <w:bCs/>
        </w:rPr>
      </w:pPr>
      <w:r>
        <w:rPr>
          <w:rFonts w:hint="eastAsia" w:ascii="宋体" w:hAnsi="宋体" w:cs="宋体"/>
          <w:bCs/>
        </w:rPr>
        <w:t>一、《示范文本》的组成</w:t>
      </w:r>
    </w:p>
    <w:p w14:paraId="76DD518D">
      <w:pPr>
        <w:spacing w:line="400" w:lineRule="exact"/>
        <w:ind w:firstLine="420" w:firstLineChars="200"/>
        <w:rPr>
          <w:rFonts w:ascii="宋体" w:hAnsi="宋体" w:cs="宋体"/>
        </w:rPr>
      </w:pPr>
      <w:r>
        <w:rPr>
          <w:rFonts w:hint="eastAsia" w:ascii="宋体" w:hAnsi="宋体" w:cs="宋体"/>
        </w:rPr>
        <w:t>《示范文本》由合同协议书、通用合同条款和专用合同条款三部分组成。</w:t>
      </w:r>
    </w:p>
    <w:p w14:paraId="22F8F2FB">
      <w:pPr>
        <w:spacing w:line="400" w:lineRule="exact"/>
        <w:rPr>
          <w:rFonts w:ascii="宋体" w:hAnsi="宋体" w:cs="宋体"/>
        </w:rPr>
      </w:pPr>
      <w:r>
        <w:rPr>
          <w:rFonts w:hint="eastAsia" w:ascii="宋体" w:hAnsi="宋体" w:cs="宋体"/>
        </w:rPr>
        <w:t>（一）合同协议书</w:t>
      </w:r>
    </w:p>
    <w:p w14:paraId="2B9C3238">
      <w:pPr>
        <w:spacing w:line="400" w:lineRule="exact"/>
        <w:ind w:firstLine="420" w:firstLineChars="200"/>
        <w:rPr>
          <w:rFonts w:ascii="宋体" w:hAnsi="宋体" w:cs="宋体"/>
        </w:rPr>
      </w:pPr>
      <w:r>
        <w:rPr>
          <w:rFonts w:hint="eastAsia" w:ascii="宋体" w:hAnsi="宋体" w:cs="宋体"/>
        </w:rPr>
        <w:t>《示范文本》合同协议书共计13条，主要包括：工程概况、合同工期、质量标准、签约合同价和合同价格形式、项目经理、合同文件构成、承诺以及合同生效条件等重要内容，集中约定了合同当事人基本的合同权利义务。</w:t>
      </w:r>
    </w:p>
    <w:p w14:paraId="59442379">
      <w:pPr>
        <w:spacing w:line="400" w:lineRule="exact"/>
        <w:rPr>
          <w:rFonts w:ascii="宋体" w:hAnsi="宋体" w:cs="宋体"/>
        </w:rPr>
      </w:pPr>
      <w:r>
        <w:rPr>
          <w:rFonts w:hint="eastAsia" w:ascii="宋体" w:hAnsi="宋体" w:cs="宋体"/>
        </w:rPr>
        <w:t>（二）通用合同条款</w:t>
      </w:r>
    </w:p>
    <w:p w14:paraId="0669031E">
      <w:pPr>
        <w:spacing w:line="400" w:lineRule="exact"/>
        <w:ind w:firstLine="420" w:firstLineChars="200"/>
        <w:rPr>
          <w:rFonts w:ascii="宋体" w:hAnsi="宋体" w:cs="宋体"/>
        </w:rPr>
      </w:pPr>
      <w:r>
        <w:rPr>
          <w:rFonts w:hint="eastAsia" w:ascii="宋体" w:hAnsi="宋体" w:cs="宋体"/>
        </w:rPr>
        <w:t>通用合同条款是合同当事人根据《中华人民共和国建筑法》、《中华人民共和国民法典》等法律法规的规定，就工程建设的实施及相关事项，对合同当事人的权利义务作出的原则性约定。</w:t>
      </w:r>
    </w:p>
    <w:p w14:paraId="6E99D745">
      <w:pPr>
        <w:spacing w:line="400" w:lineRule="exact"/>
        <w:ind w:firstLine="420" w:firstLineChars="200"/>
        <w:rPr>
          <w:rFonts w:ascii="宋体" w:hAnsi="宋体" w:cs="宋体"/>
        </w:rPr>
      </w:pPr>
      <w:r>
        <w:rPr>
          <w:rFonts w:hint="eastAsia" w:ascii="宋体" w:hAnsi="宋体" w:cs="宋体"/>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14:paraId="653C18E8">
      <w:pPr>
        <w:spacing w:line="400" w:lineRule="exact"/>
        <w:rPr>
          <w:rFonts w:ascii="宋体" w:hAnsi="宋体" w:cs="宋体"/>
        </w:rPr>
      </w:pPr>
      <w:r>
        <w:rPr>
          <w:rFonts w:hint="eastAsia" w:ascii="宋体" w:hAnsi="宋体" w:cs="宋体"/>
        </w:rPr>
        <w:t>（三）专用合同条款</w:t>
      </w:r>
    </w:p>
    <w:p w14:paraId="7483ABDC">
      <w:pPr>
        <w:spacing w:line="400" w:lineRule="exact"/>
        <w:ind w:firstLine="420" w:firstLineChars="200"/>
        <w:rPr>
          <w:rFonts w:ascii="宋体" w:hAnsi="宋体" w:cs="宋体"/>
        </w:rPr>
      </w:pPr>
      <w:r>
        <w:rPr>
          <w:rFonts w:hint="eastAsia" w:ascii="宋体" w:hAnsi="宋体" w:cs="宋体"/>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14:paraId="2E81B525">
      <w:pPr>
        <w:spacing w:line="400" w:lineRule="exact"/>
        <w:ind w:firstLine="420" w:firstLineChars="200"/>
        <w:rPr>
          <w:rFonts w:ascii="宋体" w:hAnsi="宋体" w:cs="宋体"/>
        </w:rPr>
      </w:pPr>
      <w:r>
        <w:rPr>
          <w:rFonts w:hint="eastAsia" w:ascii="宋体" w:hAnsi="宋体" w:cs="宋体"/>
        </w:rPr>
        <w:t>1.专用合同条款的编号应与相应的通用合同条款的编号一致；</w:t>
      </w:r>
    </w:p>
    <w:p w14:paraId="72F9CF92">
      <w:pPr>
        <w:spacing w:line="400" w:lineRule="exact"/>
        <w:ind w:firstLine="420" w:firstLineChars="200"/>
        <w:rPr>
          <w:rFonts w:ascii="宋体" w:hAnsi="宋体" w:cs="宋体"/>
        </w:rPr>
      </w:pPr>
      <w:r>
        <w:rPr>
          <w:rFonts w:hint="eastAsia" w:ascii="宋体" w:hAnsi="宋体" w:cs="宋体"/>
        </w:rPr>
        <w:t>2.合同当事人可以通过对专用合同条款的修改，满足具体建设工程的特殊要求，避免直接修改通用合同条款；</w:t>
      </w:r>
    </w:p>
    <w:p w14:paraId="40861C3B">
      <w:pPr>
        <w:spacing w:line="400" w:lineRule="exact"/>
        <w:ind w:firstLine="420" w:firstLineChars="200"/>
        <w:rPr>
          <w:rFonts w:ascii="宋体" w:hAnsi="宋体" w:cs="宋体"/>
        </w:rPr>
      </w:pPr>
      <w:r>
        <w:rPr>
          <w:rFonts w:hint="eastAsia" w:ascii="宋体" w:hAnsi="宋体" w:cs="宋体"/>
        </w:rPr>
        <w:t>3.在专用合同条款中有横道线的地方，合同当事人可针对相应的通用合同条款进行细化、完善、补充、修改或另行约定；如无细化、完善、补充、修改或另行约定，则填写“无”或划“/”。</w:t>
      </w:r>
    </w:p>
    <w:p w14:paraId="47FC92AD">
      <w:pPr>
        <w:spacing w:line="400" w:lineRule="exact"/>
        <w:rPr>
          <w:rFonts w:ascii="宋体" w:hAnsi="宋体" w:cs="宋体"/>
          <w:b/>
        </w:rPr>
      </w:pPr>
      <w:r>
        <w:rPr>
          <w:rFonts w:hint="eastAsia" w:ascii="宋体" w:hAnsi="宋体" w:cs="宋体"/>
          <w:bCs/>
        </w:rPr>
        <w:t>二、《示范文本》的性质和适用范围</w:t>
      </w:r>
    </w:p>
    <w:p w14:paraId="4EDB599F">
      <w:pPr>
        <w:spacing w:line="400" w:lineRule="exact"/>
        <w:ind w:firstLine="420" w:firstLineChars="200"/>
        <w:rPr>
          <w:rFonts w:ascii="宋体" w:hAnsi="宋体" w:cs="宋体"/>
          <w:sz w:val="28"/>
          <w:szCs w:val="28"/>
        </w:rPr>
        <w:sectPr>
          <w:footerReference r:id="rId5" w:type="first"/>
          <w:footerReference r:id="rId4" w:type="default"/>
          <w:pgSz w:w="11906" w:h="16838"/>
          <w:pgMar w:top="720" w:right="720" w:bottom="720" w:left="720" w:header="851" w:footer="992" w:gutter="0"/>
          <w:pgNumType w:start="1"/>
          <w:cols w:space="720" w:num="1"/>
          <w:titlePg/>
          <w:docGrid w:linePitch="312" w:charSpace="0"/>
        </w:sectPr>
      </w:pPr>
      <w:r>
        <w:rPr>
          <w:rFonts w:hint="eastAsia" w:ascii="宋体" w:hAnsi="宋体" w:cs="宋体"/>
        </w:rPr>
        <w:t>《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p>
    <w:p w14:paraId="4461A0D2">
      <w:pPr>
        <w:pStyle w:val="5"/>
        <w:spacing w:line="500" w:lineRule="exact"/>
        <w:jc w:val="center"/>
        <w:rPr>
          <w:rFonts w:ascii="宋体" w:hAnsi="宋体" w:cs="宋体"/>
        </w:rPr>
      </w:pPr>
      <w:bookmarkStart w:id="176" w:name="_Toc11227977"/>
      <w:r>
        <w:rPr>
          <w:rFonts w:hint="eastAsia" w:ascii="宋体" w:hAnsi="宋体" w:cs="宋体"/>
        </w:rPr>
        <w:t>第一部分 合同协议书</w:t>
      </w:r>
      <w:bookmarkEnd w:id="176"/>
    </w:p>
    <w:p w14:paraId="25F212F8">
      <w:pPr>
        <w:spacing w:line="500" w:lineRule="exact"/>
        <w:rPr>
          <w:rFonts w:ascii="宋体" w:hAnsi="宋体" w:cs="宋体"/>
          <w:b/>
          <w:u w:val="single"/>
        </w:rPr>
      </w:pPr>
      <w:r>
        <w:rPr>
          <w:rFonts w:hint="eastAsia" w:ascii="宋体" w:hAnsi="宋体" w:cs="宋体"/>
          <w:b/>
        </w:rPr>
        <w:t>发包人（全称）：</w:t>
      </w:r>
      <w:r>
        <w:rPr>
          <w:rFonts w:hint="eastAsia" w:ascii="宋体" w:hAnsi="宋体" w:cs="宋体"/>
          <w:b/>
          <w:u w:val="single"/>
        </w:rPr>
        <w:t></w:t>
      </w:r>
      <w:r>
        <w:rPr>
          <w:rFonts w:hint="eastAsia" w:ascii="宋体" w:hAnsi="宋体" w:cs="宋体"/>
          <w:b/>
          <w:u w:val="single"/>
          <w:lang w:eastAsia="zh-CN"/>
        </w:rPr>
        <w:t>平乐县二塘镇人民政府</w:t>
      </w:r>
      <w:r>
        <w:rPr>
          <w:rFonts w:hint="eastAsia" w:ascii="宋体" w:hAnsi="宋体" w:cs="宋体"/>
          <w:b/>
          <w:u w:val="single"/>
        </w:rPr>
        <w:t xml:space="preserve">             </w:t>
      </w:r>
    </w:p>
    <w:p w14:paraId="43F0EDA4">
      <w:pPr>
        <w:spacing w:line="500" w:lineRule="exact"/>
        <w:rPr>
          <w:rFonts w:ascii="宋体" w:hAnsi="宋体" w:cs="宋体"/>
          <w:b/>
          <w:u w:val="single"/>
        </w:rPr>
      </w:pPr>
      <w:r>
        <w:rPr>
          <w:rFonts w:hint="eastAsia" w:ascii="宋体" w:hAnsi="宋体" w:cs="宋体"/>
          <w:b/>
        </w:rPr>
        <w:t>承包人（全称）：</w:t>
      </w:r>
      <w:r>
        <w:rPr>
          <w:rFonts w:hint="eastAsia" w:ascii="宋体" w:hAnsi="宋体" w:cs="宋体"/>
          <w:b/>
          <w:u w:val="single"/>
        </w:rPr>
        <w:t xml:space="preserve">                       </w:t>
      </w:r>
    </w:p>
    <w:p w14:paraId="213A8873">
      <w:pPr>
        <w:spacing w:line="500" w:lineRule="exact"/>
        <w:ind w:firstLine="420" w:firstLineChars="200"/>
        <w:rPr>
          <w:rFonts w:ascii="宋体" w:hAnsi="宋体" w:cs="宋体"/>
        </w:rPr>
      </w:pPr>
      <w:r>
        <w:rPr>
          <w:rFonts w:hint="eastAsia" w:ascii="宋体" w:hAnsi="宋体" w:cs="宋体"/>
        </w:rPr>
        <w:t>根据《中华人民共和国民法典》、《中华人民共和国建筑法》及有关法律规定，遵循平等、自愿、公平和诚实信用的原则，双方就</w:t>
      </w:r>
      <w:r>
        <w:rPr>
          <w:rFonts w:hint="eastAsia" w:ascii="宋体" w:hAnsi="宋体" w:cs="宋体"/>
          <w:u w:val="single"/>
        </w:rPr>
        <w:t xml:space="preserve"> </w:t>
      </w:r>
      <w:r>
        <w:rPr>
          <w:rFonts w:hint="eastAsia" w:ascii="宋体" w:hAnsi="宋体" w:cs="宋体"/>
          <w:u w:val="single"/>
          <w:lang w:eastAsia="zh-CN"/>
        </w:rPr>
        <w:t>二塘镇谢家村月柿特色产业种植示范基地基础设施工程（分水坳至吕家洞）</w:t>
      </w:r>
      <w:r>
        <w:rPr>
          <w:rFonts w:hint="eastAsia" w:ascii="宋体" w:hAnsi="宋体" w:cs="宋体"/>
          <w:u w:val="single"/>
        </w:rPr>
        <w:t xml:space="preserve">  </w:t>
      </w:r>
      <w:r>
        <w:rPr>
          <w:rFonts w:hint="eastAsia" w:ascii="宋体" w:hAnsi="宋体" w:cs="宋体"/>
        </w:rPr>
        <w:t>施工及有关事项协商一致，共同达成如下协议：</w:t>
      </w:r>
    </w:p>
    <w:p w14:paraId="60C18877">
      <w:pPr>
        <w:spacing w:line="500" w:lineRule="exact"/>
        <w:rPr>
          <w:rFonts w:ascii="宋体" w:hAnsi="宋体" w:cs="宋体"/>
          <w:b/>
        </w:rPr>
      </w:pPr>
      <w:r>
        <w:rPr>
          <w:rFonts w:hint="eastAsia" w:ascii="宋体" w:hAnsi="宋体" w:cs="宋体"/>
          <w:b/>
        </w:rPr>
        <w:t>一、工程概况</w:t>
      </w:r>
    </w:p>
    <w:p w14:paraId="73DD6661">
      <w:pPr>
        <w:spacing w:line="500" w:lineRule="exact"/>
        <w:rPr>
          <w:rFonts w:ascii="宋体" w:hAnsi="宋体" w:cs="宋体"/>
          <w:u w:val="single"/>
        </w:rPr>
      </w:pPr>
      <w:r>
        <w:rPr>
          <w:rFonts w:hint="eastAsia" w:ascii="宋体" w:hAnsi="宋体" w:cs="宋体"/>
          <w:bCs/>
        </w:rPr>
        <w:t>1.工程名称</w:t>
      </w:r>
      <w:r>
        <w:rPr>
          <w:rFonts w:hint="eastAsia" w:ascii="宋体" w:hAnsi="宋体" w:cs="宋体"/>
        </w:rPr>
        <w:t>：</w:t>
      </w:r>
      <w:r>
        <w:rPr>
          <w:rFonts w:hint="eastAsia" w:ascii="宋体" w:hAnsi="宋体" w:cs="宋体"/>
          <w:u w:val="single"/>
          <w:lang w:eastAsia="zh-CN"/>
        </w:rPr>
        <w:t>二塘镇谢家村月柿特色产业种植示范基地基础设施工程（分水坳至吕家洞）</w:t>
      </w:r>
      <w:r>
        <w:rPr>
          <w:rFonts w:hint="eastAsia" w:ascii="宋体" w:hAnsi="宋体" w:cs="宋体"/>
          <w:u w:val="single"/>
        </w:rPr>
        <w:t xml:space="preserve"> 。</w:t>
      </w:r>
    </w:p>
    <w:p w14:paraId="709448AA">
      <w:pPr>
        <w:spacing w:line="500" w:lineRule="exact"/>
        <w:rPr>
          <w:rFonts w:ascii="宋体" w:hAnsi="宋体" w:cs="宋体"/>
          <w:bCs/>
        </w:rPr>
      </w:pPr>
      <w:r>
        <w:rPr>
          <w:rFonts w:hint="eastAsia" w:ascii="宋体" w:hAnsi="宋体" w:cs="宋体"/>
          <w:bCs/>
        </w:rPr>
        <w:t>2.工程地点：</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 xml:space="preserve">    </w:t>
      </w:r>
      <w:r>
        <w:rPr>
          <w:rFonts w:hint="eastAsia" w:ascii="宋体" w:hAnsi="宋体" w:cs="宋体"/>
        </w:rPr>
        <w:t>。</w:t>
      </w:r>
    </w:p>
    <w:p w14:paraId="3F14DDA2">
      <w:pPr>
        <w:spacing w:line="500" w:lineRule="exact"/>
        <w:rPr>
          <w:rFonts w:ascii="宋体" w:hAnsi="宋体" w:cs="宋体"/>
          <w:bCs/>
        </w:rPr>
      </w:pPr>
      <w:r>
        <w:rPr>
          <w:rFonts w:hint="eastAsia" w:ascii="宋体" w:hAnsi="宋体" w:cs="宋体"/>
          <w:bCs/>
        </w:rPr>
        <w:t>3.工程立项批准文号：</w:t>
      </w:r>
      <w:r>
        <w:rPr>
          <w:rFonts w:hint="eastAsia" w:ascii="宋体" w:hAnsi="宋体" w:cs="宋体"/>
          <w:u w:val="single"/>
        </w:rPr>
        <w:t xml:space="preserve">       </w:t>
      </w:r>
      <w:r>
        <w:rPr>
          <w:rFonts w:hint="eastAsia" w:ascii="宋体" w:hAnsi="宋体" w:cs="宋体"/>
          <w:bCs/>
        </w:rPr>
        <w:t>。</w:t>
      </w:r>
    </w:p>
    <w:p w14:paraId="5F61454F">
      <w:pPr>
        <w:spacing w:line="500" w:lineRule="exact"/>
        <w:rPr>
          <w:rFonts w:ascii="宋体" w:hAnsi="宋体" w:cs="宋体"/>
          <w:bCs/>
        </w:rPr>
      </w:pPr>
      <w:r>
        <w:rPr>
          <w:rFonts w:hint="eastAsia" w:ascii="宋体" w:hAnsi="宋体" w:cs="宋体"/>
          <w:bCs/>
        </w:rPr>
        <w:t>4.资金来源：</w:t>
      </w:r>
      <w:r>
        <w:rPr>
          <w:rFonts w:hint="eastAsia" w:ascii="宋体" w:hAnsi="宋体" w:cs="宋体"/>
          <w:u w:val="single"/>
        </w:rPr>
        <w:t></w:t>
      </w:r>
      <w:r>
        <w:rPr>
          <w:rFonts w:hint="eastAsia" w:ascii="宋体" w:hAnsi="宋体"/>
          <w:color w:val="000000"/>
          <w:sz w:val="21"/>
          <w:szCs w:val="21"/>
          <w:u w:val="single"/>
          <w:lang w:val="en-US" w:eastAsia="zh-CN"/>
        </w:rPr>
        <w:t>平政办函〔2026〕77平乐县人民政府办公室关于同意下达平乐县2026年提前批中央和自治区财政常态化帮扶资金分配方案和实施项目计划</w:t>
      </w:r>
      <w:r>
        <w:rPr>
          <w:rFonts w:hint="eastAsia" w:ascii="宋体" w:hAnsi="宋体" w:cs="宋体"/>
          <w:u w:val="single"/>
        </w:rPr>
        <w:t xml:space="preserve">      </w:t>
      </w:r>
      <w:r>
        <w:rPr>
          <w:rFonts w:hint="eastAsia" w:ascii="宋体" w:hAnsi="宋体" w:cs="宋体"/>
          <w:bCs/>
        </w:rPr>
        <w:t>。</w:t>
      </w:r>
    </w:p>
    <w:p w14:paraId="36616241">
      <w:pPr>
        <w:spacing w:line="500" w:lineRule="exact"/>
        <w:rPr>
          <w:rFonts w:ascii="宋体" w:hAnsi="宋体" w:cs="宋体"/>
          <w:bCs/>
        </w:rPr>
      </w:pPr>
      <w:r>
        <w:rPr>
          <w:rFonts w:hint="eastAsia" w:ascii="宋体" w:hAnsi="宋体" w:cs="宋体"/>
          <w:bCs/>
        </w:rPr>
        <w:t>5.工程内容：</w:t>
      </w:r>
      <w:r>
        <w:rPr>
          <w:rFonts w:hint="eastAsia" w:ascii="宋体" w:hAnsi="宋体" w:cs="宋体"/>
          <w:u w:val="single"/>
        </w:rPr>
        <w:t xml:space="preserve">       </w:t>
      </w:r>
      <w:r>
        <w:rPr>
          <w:rFonts w:hint="eastAsia" w:ascii="宋体" w:hAnsi="宋体" w:cs="宋体"/>
        </w:rPr>
        <w:t>。</w:t>
      </w:r>
    </w:p>
    <w:p w14:paraId="0879AF08">
      <w:pPr>
        <w:spacing w:line="500" w:lineRule="exact"/>
        <w:rPr>
          <w:rFonts w:ascii="宋体" w:hAnsi="宋体" w:cs="宋体"/>
          <w:bCs/>
        </w:rPr>
      </w:pPr>
      <w:r>
        <w:rPr>
          <w:rFonts w:hint="eastAsia" w:ascii="宋体" w:hAnsi="宋体" w:cs="宋体"/>
        </w:rPr>
        <w:t>群体工程应附《承包人承揽工程项目一览表》（附件1）。</w:t>
      </w:r>
    </w:p>
    <w:p w14:paraId="1C5A829C">
      <w:pPr>
        <w:spacing w:line="500" w:lineRule="exact"/>
        <w:rPr>
          <w:rFonts w:ascii="宋体" w:hAnsi="宋体" w:cs="宋体"/>
        </w:rPr>
      </w:pPr>
      <w:r>
        <w:rPr>
          <w:rFonts w:hint="eastAsia" w:ascii="宋体" w:hAnsi="宋体" w:cs="宋体"/>
          <w:bCs/>
        </w:rPr>
        <w:t>6.工程承包范围：</w:t>
      </w:r>
      <w:r>
        <w:rPr>
          <w:rFonts w:hint="eastAsia" w:ascii="宋体" w:hAnsi="宋体" w:cs="宋体"/>
          <w:u w:val="single"/>
        </w:rPr>
        <w:t>   </w:t>
      </w:r>
      <w:r>
        <w:rPr>
          <w:rFonts w:hint="eastAsia" w:ascii="宋体" w:hAnsi="宋体" w:cs="宋体"/>
        </w:rPr>
        <w:t>。</w:t>
      </w:r>
    </w:p>
    <w:p w14:paraId="441AC315">
      <w:pPr>
        <w:spacing w:line="500" w:lineRule="exact"/>
        <w:rPr>
          <w:rFonts w:ascii="宋体" w:hAnsi="宋体" w:cs="宋体"/>
          <w:b/>
        </w:rPr>
      </w:pPr>
      <w:r>
        <w:rPr>
          <w:rFonts w:hint="eastAsia" w:ascii="宋体" w:hAnsi="宋体" w:cs="宋体"/>
          <w:b/>
        </w:rPr>
        <w:t>二、合同工期</w:t>
      </w:r>
    </w:p>
    <w:p w14:paraId="24995F4A">
      <w:pPr>
        <w:spacing w:line="500" w:lineRule="exact"/>
        <w:rPr>
          <w:rFonts w:ascii="宋体" w:hAnsi="宋体" w:cs="宋体"/>
        </w:rPr>
      </w:pPr>
      <w:r>
        <w:rPr>
          <w:rFonts w:hint="eastAsia" w:ascii="宋体" w:hAnsi="宋体" w:cs="宋体"/>
        </w:rPr>
        <w:t>计划开工日期：</w:t>
      </w:r>
      <w:r>
        <w:rPr>
          <w:rFonts w:hint="eastAsia" w:ascii="宋体" w:hAnsi="宋体" w:cs="宋体"/>
          <w:u w:val="single"/>
        </w:rPr>
        <w:t></w:t>
      </w:r>
      <w:r>
        <w:rPr>
          <w:rFonts w:ascii="宋体" w:hAnsi="宋体" w:cs="宋体"/>
          <w:u w:val="single"/>
        </w:rPr>
        <w:t xml:space="preserve">  </w:t>
      </w:r>
      <w:r>
        <w:rPr>
          <w:rFonts w:hint="eastAsia" w:ascii="宋体" w:hAnsi="宋体" w:cs="宋体"/>
          <w:u w:val="single"/>
        </w:rPr>
        <w:t></w:t>
      </w:r>
      <w:r>
        <w:rPr>
          <w:rFonts w:hint="eastAsia" w:ascii="宋体" w:hAnsi="宋体" w:cs="宋体"/>
        </w:rPr>
        <w:t>年</w:t>
      </w:r>
      <w:r>
        <w:rPr>
          <w:rFonts w:hint="eastAsia" w:ascii="宋体" w:hAnsi="宋体" w:cs="宋体"/>
          <w:u w:val="single"/>
        </w:rPr>
        <w:t></w:t>
      </w:r>
      <w:r>
        <w:rPr>
          <w:rFonts w:hint="eastAsia" w:ascii="宋体" w:hAnsi="宋体" w:cs="宋体"/>
        </w:rPr>
        <w:t>月</w:t>
      </w:r>
      <w:r>
        <w:rPr>
          <w:rFonts w:hint="eastAsia" w:ascii="宋体" w:hAnsi="宋体" w:cs="宋体"/>
          <w:u w:val="single"/>
        </w:rPr>
        <w:t></w:t>
      </w:r>
      <w:r>
        <w:rPr>
          <w:rFonts w:hint="eastAsia" w:ascii="宋体" w:hAnsi="宋体" w:cs="宋体"/>
        </w:rPr>
        <w:t>日。</w:t>
      </w:r>
    </w:p>
    <w:p w14:paraId="3CC9E964">
      <w:pPr>
        <w:spacing w:line="500" w:lineRule="exact"/>
        <w:rPr>
          <w:rFonts w:ascii="宋体" w:hAnsi="宋体" w:cs="宋体"/>
        </w:rPr>
      </w:pPr>
      <w:r>
        <w:rPr>
          <w:rFonts w:hint="eastAsia" w:ascii="宋体" w:hAnsi="宋体" w:cs="宋体"/>
        </w:rPr>
        <w:t>计划竣工日期：</w:t>
      </w:r>
      <w:r>
        <w:rPr>
          <w:rFonts w:hint="eastAsia" w:ascii="宋体" w:hAnsi="宋体" w:cs="宋体"/>
          <w:u w:val="single"/>
        </w:rPr>
        <w:t></w:t>
      </w:r>
      <w:r>
        <w:rPr>
          <w:rFonts w:ascii="宋体" w:hAnsi="宋体" w:cs="宋体"/>
          <w:u w:val="single"/>
        </w:rPr>
        <w:t xml:space="preserve">  </w:t>
      </w:r>
      <w:r>
        <w:rPr>
          <w:rFonts w:hint="eastAsia" w:ascii="宋体" w:hAnsi="宋体" w:cs="宋体"/>
          <w:u w:val="single"/>
        </w:rPr>
        <w:t></w:t>
      </w:r>
      <w:r>
        <w:rPr>
          <w:rFonts w:hint="eastAsia" w:ascii="宋体" w:hAnsi="宋体" w:cs="宋体"/>
        </w:rPr>
        <w:t>年</w:t>
      </w:r>
      <w:r>
        <w:rPr>
          <w:rFonts w:hint="eastAsia" w:ascii="宋体" w:hAnsi="宋体" w:cs="宋体"/>
          <w:u w:val="single"/>
        </w:rPr>
        <w:t></w:t>
      </w:r>
      <w:r>
        <w:rPr>
          <w:rFonts w:hint="eastAsia" w:ascii="宋体" w:hAnsi="宋体" w:cs="宋体"/>
        </w:rPr>
        <w:t>月</w:t>
      </w:r>
      <w:r>
        <w:rPr>
          <w:rFonts w:hint="eastAsia" w:ascii="宋体" w:hAnsi="宋体" w:cs="宋体"/>
          <w:u w:val="single"/>
        </w:rPr>
        <w:t></w:t>
      </w:r>
      <w:r>
        <w:rPr>
          <w:rFonts w:hint="eastAsia" w:ascii="宋体" w:hAnsi="宋体" w:cs="宋体"/>
        </w:rPr>
        <w:t>日。</w:t>
      </w:r>
    </w:p>
    <w:p w14:paraId="3FCCAA3C">
      <w:pPr>
        <w:spacing w:line="500" w:lineRule="exact"/>
        <w:rPr>
          <w:rFonts w:ascii="宋体" w:hAnsi="宋体" w:cs="宋体"/>
        </w:rPr>
      </w:pPr>
      <w:r>
        <w:rPr>
          <w:rFonts w:hint="eastAsia" w:ascii="宋体" w:hAnsi="宋体" w:cs="宋体"/>
        </w:rPr>
        <w:t>工期总日历天数：</w:t>
      </w:r>
      <w:r>
        <w:rPr>
          <w:rFonts w:hint="eastAsia" w:ascii="宋体" w:hAnsi="宋体" w:cs="宋体"/>
          <w:u w:val="single"/>
        </w:rPr>
        <w:t></w:t>
      </w:r>
      <w:r>
        <w:rPr>
          <w:rFonts w:ascii="宋体" w:hAnsi="宋体" w:cs="宋体"/>
          <w:u w:val="single"/>
        </w:rPr>
        <w:t xml:space="preserve">   </w:t>
      </w:r>
      <w:r>
        <w:rPr>
          <w:rFonts w:hint="eastAsia" w:ascii="宋体" w:hAnsi="宋体" w:cs="宋体"/>
          <w:u w:val="single"/>
        </w:rPr>
        <w:t xml:space="preserve">  </w:t>
      </w:r>
      <w:r>
        <w:rPr>
          <w:rFonts w:hint="eastAsia" w:ascii="宋体" w:hAnsi="宋体" w:cs="宋体"/>
        </w:rPr>
        <w:t>日历天。工期总日历天数与根据前述计划开竣工日期计算的工期天数不一致的，以工期总日历天数为准。</w:t>
      </w:r>
    </w:p>
    <w:p w14:paraId="219FF881">
      <w:pPr>
        <w:spacing w:line="500" w:lineRule="exact"/>
        <w:rPr>
          <w:rFonts w:ascii="宋体" w:hAnsi="宋体" w:cs="宋体"/>
          <w:b/>
        </w:rPr>
      </w:pPr>
      <w:r>
        <w:rPr>
          <w:rFonts w:hint="eastAsia" w:ascii="宋体" w:hAnsi="宋体" w:cs="宋体"/>
          <w:b/>
        </w:rPr>
        <w:t>三、质量标准</w:t>
      </w:r>
    </w:p>
    <w:p w14:paraId="547B8616">
      <w:pPr>
        <w:spacing w:line="500" w:lineRule="exact"/>
        <w:rPr>
          <w:rFonts w:ascii="宋体" w:hAnsi="宋体" w:cs="宋体"/>
        </w:rPr>
      </w:pPr>
      <w:r>
        <w:rPr>
          <w:rFonts w:hint="eastAsia" w:ascii="宋体" w:hAnsi="宋体" w:cs="宋体"/>
        </w:rPr>
        <w:t>工程质量符合</w:t>
      </w:r>
      <w:r>
        <w:rPr>
          <w:rFonts w:hint="eastAsia" w:ascii="宋体" w:hAnsi="宋体" w:cs="宋体"/>
          <w:u w:val="single"/>
        </w:rPr>
        <w:t></w:t>
      </w:r>
      <w:r>
        <w:rPr>
          <w:rFonts w:hint="eastAsia" w:ascii="宋体" w:hAnsi="宋体" w:cs="宋体"/>
        </w:rPr>
        <w:t>标准。</w:t>
      </w:r>
    </w:p>
    <w:p w14:paraId="293EF85E">
      <w:pPr>
        <w:spacing w:line="500" w:lineRule="exact"/>
        <w:rPr>
          <w:rFonts w:ascii="宋体" w:hAnsi="宋体" w:cs="宋体"/>
          <w:b/>
        </w:rPr>
      </w:pPr>
      <w:r>
        <w:rPr>
          <w:rFonts w:hint="eastAsia" w:ascii="宋体" w:hAnsi="宋体" w:cs="宋体"/>
          <w:b/>
        </w:rPr>
        <w:t>四、签约合同价与合同价格形式</w:t>
      </w:r>
      <w:r>
        <w:rPr>
          <w:rFonts w:hint="eastAsia" w:ascii="宋体" w:hAnsi="宋体" w:cs="宋体"/>
          <w:b/>
        </w:rPr>
        <w:tab/>
      </w:r>
    </w:p>
    <w:p w14:paraId="7E77FF73">
      <w:pPr>
        <w:spacing w:line="500" w:lineRule="exact"/>
        <w:rPr>
          <w:rFonts w:ascii="宋体" w:hAnsi="宋体" w:cs="宋体"/>
        </w:rPr>
      </w:pPr>
      <w:r>
        <w:rPr>
          <w:rFonts w:hint="eastAsia" w:ascii="宋体" w:hAnsi="宋体" w:cs="宋体"/>
        </w:rPr>
        <w:t>1.签约合同价为：</w:t>
      </w:r>
    </w:p>
    <w:p w14:paraId="1674634E">
      <w:pPr>
        <w:spacing w:line="500" w:lineRule="exact"/>
        <w:rPr>
          <w:rFonts w:ascii="宋体" w:hAnsi="宋体" w:cs="宋体"/>
        </w:rPr>
      </w:pPr>
      <w:r>
        <w:rPr>
          <w:rFonts w:hint="eastAsia" w:ascii="宋体" w:hAnsi="宋体" w:cs="宋体"/>
        </w:rPr>
        <w:t>人民币（大写）</w:t>
      </w:r>
      <w:r>
        <w:rPr>
          <w:rFonts w:hint="eastAsia" w:ascii="宋体" w:hAnsi="宋体" w:cs="宋体"/>
          <w:u w:val="single"/>
        </w:rPr>
        <w:t xml:space="preserve">                 </w:t>
      </w:r>
      <w:r>
        <w:rPr>
          <w:rFonts w:hint="eastAsia" w:ascii="宋体" w:hAnsi="宋体" w:cs="宋体"/>
        </w:rPr>
        <w:t>(¥</w:t>
      </w:r>
      <w:r>
        <w:rPr>
          <w:rFonts w:hint="eastAsia" w:ascii="宋体" w:hAnsi="宋体" w:cs="宋体"/>
          <w:u w:val="single"/>
        </w:rPr>
        <w:t xml:space="preserve">            </w:t>
      </w:r>
      <w:r>
        <w:rPr>
          <w:rFonts w:hint="eastAsia" w:ascii="宋体" w:hAnsi="宋体" w:cs="宋体"/>
        </w:rPr>
        <w:t>元)；</w:t>
      </w:r>
    </w:p>
    <w:p w14:paraId="11E52D6E">
      <w:pPr>
        <w:spacing w:line="500" w:lineRule="exact"/>
        <w:rPr>
          <w:rFonts w:ascii="宋体" w:hAnsi="宋体" w:cs="宋体"/>
        </w:rPr>
      </w:pPr>
      <w:r>
        <w:rPr>
          <w:rFonts w:hint="eastAsia" w:ascii="宋体" w:hAnsi="宋体" w:cs="宋体"/>
        </w:rPr>
        <w:t>其中：</w:t>
      </w:r>
    </w:p>
    <w:p w14:paraId="6A487DE3">
      <w:pPr>
        <w:spacing w:line="500" w:lineRule="exact"/>
        <w:rPr>
          <w:rFonts w:ascii="宋体" w:hAnsi="宋体" w:cs="宋体"/>
        </w:rPr>
      </w:pPr>
      <w:r>
        <w:rPr>
          <w:rFonts w:hint="eastAsia" w:ascii="宋体" w:hAnsi="宋体" w:cs="宋体"/>
        </w:rPr>
        <w:t>（1）安全文明施工费：</w:t>
      </w:r>
    </w:p>
    <w:p w14:paraId="58CDEDCD">
      <w:pPr>
        <w:spacing w:line="500" w:lineRule="exact"/>
        <w:rPr>
          <w:rFonts w:ascii="宋体" w:hAnsi="宋体" w:cs="宋体"/>
        </w:rPr>
      </w:pPr>
      <w:r>
        <w:rPr>
          <w:rFonts w:hint="eastAsia" w:ascii="宋体" w:hAnsi="宋体" w:cs="宋体"/>
        </w:rPr>
        <w:t>人民币（大写）</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u w:val="single"/>
        </w:rPr>
        <w:t xml:space="preserve">          </w:t>
      </w:r>
      <w:r>
        <w:rPr>
          <w:rFonts w:hint="eastAsia" w:ascii="宋体" w:hAnsi="宋体" w:cs="宋体"/>
        </w:rPr>
        <w:t>元)；</w:t>
      </w:r>
    </w:p>
    <w:p w14:paraId="6AD15AA1">
      <w:pPr>
        <w:spacing w:line="500" w:lineRule="exact"/>
        <w:rPr>
          <w:rFonts w:ascii="宋体" w:hAnsi="宋体" w:cs="宋体"/>
        </w:rPr>
      </w:pPr>
      <w:r>
        <w:rPr>
          <w:rFonts w:hint="eastAsia" w:ascii="宋体" w:hAnsi="宋体" w:cs="宋体"/>
        </w:rPr>
        <w:t>（2）材料和工程设备暂估价金额：</w:t>
      </w:r>
    </w:p>
    <w:p w14:paraId="45438717">
      <w:pPr>
        <w:spacing w:line="500" w:lineRule="exact"/>
        <w:rPr>
          <w:rFonts w:ascii="宋体" w:hAnsi="宋体" w:cs="宋体"/>
        </w:rPr>
      </w:pPr>
      <w:r>
        <w:rPr>
          <w:rFonts w:hint="eastAsia" w:ascii="宋体" w:hAnsi="宋体" w:cs="宋体"/>
        </w:rPr>
        <w:t>人民币（大写）</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u w:val="single"/>
        </w:rPr>
        <w:t xml:space="preserve">          </w:t>
      </w:r>
      <w:r>
        <w:rPr>
          <w:rFonts w:hint="eastAsia" w:ascii="宋体" w:hAnsi="宋体" w:cs="宋体"/>
        </w:rPr>
        <w:t>元)；</w:t>
      </w:r>
    </w:p>
    <w:p w14:paraId="1781640E">
      <w:pPr>
        <w:spacing w:line="500" w:lineRule="exact"/>
        <w:rPr>
          <w:rFonts w:ascii="宋体" w:hAnsi="宋体" w:cs="宋体"/>
        </w:rPr>
      </w:pPr>
      <w:r>
        <w:rPr>
          <w:rFonts w:hint="eastAsia" w:ascii="宋体" w:hAnsi="宋体" w:cs="宋体"/>
        </w:rPr>
        <w:t>（3）专业工程暂估价金额：</w:t>
      </w:r>
    </w:p>
    <w:p w14:paraId="3D8B7543">
      <w:pPr>
        <w:spacing w:line="500" w:lineRule="exact"/>
        <w:rPr>
          <w:rFonts w:ascii="宋体" w:hAnsi="宋体" w:cs="宋体"/>
        </w:rPr>
      </w:pPr>
      <w:r>
        <w:rPr>
          <w:rFonts w:hint="eastAsia" w:ascii="宋体" w:hAnsi="宋体" w:cs="宋体"/>
        </w:rPr>
        <w:t>人民币（大写）</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u w:val="single"/>
        </w:rPr>
        <w:t xml:space="preserve">          </w:t>
      </w:r>
      <w:r>
        <w:rPr>
          <w:rFonts w:hint="eastAsia" w:ascii="宋体" w:hAnsi="宋体" w:cs="宋体"/>
        </w:rPr>
        <w:t>元)；</w:t>
      </w:r>
    </w:p>
    <w:p w14:paraId="1F3880D2">
      <w:pPr>
        <w:spacing w:line="500" w:lineRule="exact"/>
        <w:rPr>
          <w:rFonts w:ascii="宋体" w:hAnsi="宋体" w:cs="宋体"/>
        </w:rPr>
      </w:pPr>
      <w:r>
        <w:rPr>
          <w:rFonts w:hint="eastAsia" w:ascii="宋体" w:hAnsi="宋体" w:cs="宋体"/>
        </w:rPr>
        <w:t>（4）暂列金额：</w:t>
      </w:r>
    </w:p>
    <w:p w14:paraId="219A2F8D">
      <w:pPr>
        <w:spacing w:line="500" w:lineRule="exact"/>
        <w:rPr>
          <w:rFonts w:ascii="宋体" w:hAnsi="宋体" w:cs="宋体"/>
        </w:rPr>
      </w:pPr>
      <w:r>
        <w:rPr>
          <w:rFonts w:hint="eastAsia" w:ascii="宋体" w:hAnsi="宋体" w:cs="宋体"/>
        </w:rPr>
        <w:t>人民币（大写）</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u w:val="single"/>
        </w:rPr>
        <w:t xml:space="preserve">          </w:t>
      </w:r>
      <w:r>
        <w:rPr>
          <w:rFonts w:hint="eastAsia" w:ascii="宋体" w:hAnsi="宋体" w:cs="宋体"/>
        </w:rPr>
        <w:t>元)。</w:t>
      </w:r>
    </w:p>
    <w:p w14:paraId="18CA51A5">
      <w:pPr>
        <w:spacing w:line="500" w:lineRule="exact"/>
        <w:rPr>
          <w:rFonts w:ascii="宋体" w:hAnsi="宋体" w:cs="宋体"/>
        </w:rPr>
      </w:pPr>
      <w:r>
        <w:rPr>
          <w:rFonts w:hint="eastAsia" w:ascii="宋体" w:hAnsi="宋体" w:cs="宋体"/>
        </w:rPr>
        <w:t>（5）增值税：</w:t>
      </w:r>
    </w:p>
    <w:p w14:paraId="4CAD637F">
      <w:pPr>
        <w:spacing w:line="500" w:lineRule="exact"/>
        <w:rPr>
          <w:rFonts w:ascii="宋体" w:hAnsi="宋体" w:cs="宋体"/>
        </w:rPr>
      </w:pPr>
      <w:r>
        <w:rPr>
          <w:rFonts w:hint="eastAsia" w:ascii="宋体" w:hAnsi="宋体" w:cs="宋体"/>
        </w:rPr>
        <w:t>人民币（大写）</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u w:val="single"/>
        </w:rPr>
        <w:t xml:space="preserve">           </w:t>
      </w:r>
      <w:r>
        <w:rPr>
          <w:rFonts w:hint="eastAsia" w:ascii="宋体" w:hAnsi="宋体" w:cs="宋体"/>
        </w:rPr>
        <w:t>元)</w:t>
      </w:r>
    </w:p>
    <w:p w14:paraId="754E6B65">
      <w:pPr>
        <w:spacing w:line="500" w:lineRule="exact"/>
        <w:rPr>
          <w:rFonts w:ascii="宋体" w:hAnsi="宋体" w:cs="宋体"/>
        </w:rPr>
      </w:pPr>
      <w:r>
        <w:rPr>
          <w:rFonts w:hint="eastAsia" w:ascii="宋体" w:hAnsi="宋体" w:cs="宋体"/>
        </w:rPr>
        <w:t>2.合同价格形式：</w:t>
      </w:r>
      <w:r>
        <w:rPr>
          <w:rFonts w:hint="eastAsia" w:ascii="宋体" w:hAnsi="宋体" w:cs="宋体"/>
          <w:u w:val="single"/>
        </w:rPr>
        <w:t>采用固定综合单价合同形式</w:t>
      </w:r>
      <w:r>
        <w:rPr>
          <w:rFonts w:hint="eastAsia" w:ascii="宋体" w:hAnsi="宋体" w:cs="宋体"/>
        </w:rPr>
        <w:t>。</w:t>
      </w:r>
    </w:p>
    <w:p w14:paraId="7C5A1174">
      <w:pPr>
        <w:spacing w:line="500" w:lineRule="exact"/>
        <w:rPr>
          <w:rFonts w:ascii="宋体" w:hAnsi="宋体" w:cs="宋体"/>
          <w:b/>
        </w:rPr>
      </w:pPr>
      <w:r>
        <w:rPr>
          <w:rFonts w:hint="eastAsia" w:ascii="宋体" w:hAnsi="宋体" w:cs="宋体"/>
          <w:b/>
        </w:rPr>
        <w:t>五、项目经理</w:t>
      </w:r>
    </w:p>
    <w:p w14:paraId="59E6130D">
      <w:pPr>
        <w:spacing w:line="500" w:lineRule="exact"/>
        <w:rPr>
          <w:rFonts w:ascii="宋体" w:hAnsi="宋体" w:cs="宋体"/>
        </w:rPr>
      </w:pPr>
      <w:r>
        <w:rPr>
          <w:rFonts w:hint="eastAsia" w:ascii="宋体" w:hAnsi="宋体" w:cs="宋体"/>
        </w:rPr>
        <w:t>承包人项目经理：</w:t>
      </w:r>
      <w:r>
        <w:rPr>
          <w:rFonts w:hint="eastAsia" w:ascii="宋体" w:hAnsi="宋体" w:cs="宋体"/>
          <w:u w:val="single"/>
        </w:rPr>
        <w:t>                     </w:t>
      </w:r>
      <w:r>
        <w:rPr>
          <w:rFonts w:hint="eastAsia" w:ascii="宋体" w:hAnsi="宋体" w:cs="宋体"/>
        </w:rPr>
        <w:t>。</w:t>
      </w:r>
    </w:p>
    <w:p w14:paraId="5FDBCD18">
      <w:pPr>
        <w:spacing w:line="500" w:lineRule="exact"/>
        <w:rPr>
          <w:rFonts w:ascii="宋体" w:hAnsi="宋体" w:cs="宋体"/>
          <w:b/>
        </w:rPr>
      </w:pPr>
      <w:r>
        <w:rPr>
          <w:rFonts w:hint="eastAsia" w:ascii="宋体" w:hAnsi="宋体" w:cs="宋体"/>
          <w:b/>
        </w:rPr>
        <w:t>六、合同文件构成</w:t>
      </w:r>
    </w:p>
    <w:p w14:paraId="0E03CEEF">
      <w:pPr>
        <w:spacing w:line="500" w:lineRule="exact"/>
        <w:rPr>
          <w:rFonts w:ascii="宋体" w:hAnsi="宋体" w:cs="宋体"/>
          <w:bCs/>
        </w:rPr>
      </w:pPr>
      <w:r>
        <w:rPr>
          <w:rFonts w:hint="eastAsia" w:ascii="宋体" w:hAnsi="宋体" w:cs="宋体"/>
          <w:bCs/>
        </w:rPr>
        <w:t>本协议书与下列文件一起构成合同文件：</w:t>
      </w:r>
    </w:p>
    <w:p w14:paraId="00719110">
      <w:pPr>
        <w:spacing w:line="500" w:lineRule="exact"/>
        <w:rPr>
          <w:rFonts w:ascii="宋体" w:hAnsi="宋体" w:cs="宋体"/>
        </w:rPr>
      </w:pPr>
      <w:r>
        <w:rPr>
          <w:rFonts w:hint="eastAsia" w:ascii="宋体" w:hAnsi="宋体" w:cs="宋体"/>
        </w:rPr>
        <w:t>（1）中标通知书（如果有）；</w:t>
      </w:r>
    </w:p>
    <w:p w14:paraId="0C6C071F">
      <w:pPr>
        <w:spacing w:line="500" w:lineRule="exact"/>
        <w:rPr>
          <w:rFonts w:ascii="宋体" w:hAnsi="宋体" w:cs="宋体"/>
        </w:rPr>
      </w:pPr>
      <w:r>
        <w:rPr>
          <w:rFonts w:hint="eastAsia" w:ascii="宋体" w:hAnsi="宋体" w:cs="宋体"/>
        </w:rPr>
        <w:t xml:space="preserve">（2）投标函及其附录（如果有）； </w:t>
      </w:r>
    </w:p>
    <w:p w14:paraId="4817903E">
      <w:pPr>
        <w:spacing w:line="500" w:lineRule="exact"/>
        <w:rPr>
          <w:rFonts w:ascii="宋体" w:hAnsi="宋体" w:cs="宋体"/>
        </w:rPr>
      </w:pPr>
      <w:r>
        <w:rPr>
          <w:rFonts w:hint="eastAsia" w:ascii="宋体" w:hAnsi="宋体" w:cs="宋体"/>
        </w:rPr>
        <w:t>（3）专用合同条款及其附件；</w:t>
      </w:r>
    </w:p>
    <w:p w14:paraId="1E0FD51D">
      <w:pPr>
        <w:spacing w:line="500" w:lineRule="exact"/>
        <w:rPr>
          <w:rFonts w:ascii="宋体" w:hAnsi="宋体" w:cs="宋体"/>
        </w:rPr>
      </w:pPr>
      <w:r>
        <w:rPr>
          <w:rFonts w:hint="eastAsia" w:ascii="宋体" w:hAnsi="宋体" w:cs="宋体"/>
        </w:rPr>
        <w:t>（4）通用合同条款；</w:t>
      </w:r>
    </w:p>
    <w:p w14:paraId="3F5D05E5">
      <w:pPr>
        <w:spacing w:line="500" w:lineRule="exact"/>
        <w:rPr>
          <w:rFonts w:ascii="宋体" w:hAnsi="宋体" w:cs="宋体"/>
        </w:rPr>
      </w:pPr>
      <w:r>
        <w:rPr>
          <w:rFonts w:hint="eastAsia" w:ascii="宋体" w:hAnsi="宋体" w:cs="宋体"/>
        </w:rPr>
        <w:t>（5）技术标准和要求；</w:t>
      </w:r>
    </w:p>
    <w:p w14:paraId="49BFF46D">
      <w:pPr>
        <w:spacing w:line="500" w:lineRule="exact"/>
        <w:rPr>
          <w:rFonts w:ascii="宋体" w:hAnsi="宋体" w:cs="宋体"/>
        </w:rPr>
      </w:pPr>
      <w:r>
        <w:rPr>
          <w:rFonts w:hint="eastAsia" w:ascii="宋体" w:hAnsi="宋体" w:cs="宋体"/>
        </w:rPr>
        <w:t>（6）图纸；</w:t>
      </w:r>
    </w:p>
    <w:p w14:paraId="0E6EA2BF">
      <w:pPr>
        <w:spacing w:line="500" w:lineRule="exact"/>
        <w:rPr>
          <w:rFonts w:ascii="宋体" w:hAnsi="宋体" w:cs="宋体"/>
        </w:rPr>
      </w:pPr>
      <w:r>
        <w:rPr>
          <w:rFonts w:hint="eastAsia" w:ascii="宋体" w:hAnsi="宋体" w:cs="宋体"/>
        </w:rPr>
        <w:t>（7）已标价工程量清单或预算书；</w:t>
      </w:r>
    </w:p>
    <w:p w14:paraId="3A15D4B8">
      <w:pPr>
        <w:spacing w:line="500" w:lineRule="exact"/>
        <w:rPr>
          <w:rFonts w:ascii="宋体" w:hAnsi="宋体" w:cs="宋体"/>
        </w:rPr>
      </w:pPr>
      <w:r>
        <w:rPr>
          <w:rFonts w:hint="eastAsia" w:ascii="宋体" w:hAnsi="宋体" w:cs="宋体"/>
        </w:rPr>
        <w:t>（8）其他合同文件。</w:t>
      </w:r>
    </w:p>
    <w:p w14:paraId="7E67D4E3">
      <w:pPr>
        <w:spacing w:line="500" w:lineRule="exact"/>
        <w:ind w:firstLine="420" w:firstLineChars="200"/>
        <w:rPr>
          <w:rFonts w:ascii="宋体" w:hAnsi="宋体" w:cs="宋体"/>
        </w:rPr>
      </w:pPr>
      <w:r>
        <w:rPr>
          <w:rFonts w:hint="eastAsia" w:ascii="宋体" w:hAnsi="宋体" w:cs="宋体"/>
        </w:rPr>
        <w:t>在合同订立及履行过程中形成的与合同有关的文件均构成合同文件组成部分。</w:t>
      </w:r>
    </w:p>
    <w:p w14:paraId="1634F092">
      <w:pPr>
        <w:spacing w:line="500" w:lineRule="exact"/>
        <w:rPr>
          <w:rFonts w:ascii="宋体" w:hAnsi="宋体" w:cs="宋体"/>
          <w:b/>
        </w:rPr>
      </w:pPr>
      <w:r>
        <w:rPr>
          <w:rFonts w:hint="eastAsia" w:ascii="宋体" w:hAnsi="宋体" w:cs="宋体"/>
        </w:rPr>
        <w:t>上述各项合同文件包括合同当事人就该项合同文件所作出的补充和修改，属于同一类内容的文件，应以最新签署的为准。专用合同条款及其附件须经合同当事人签字或盖章。</w:t>
      </w:r>
    </w:p>
    <w:p w14:paraId="3ADA2A46">
      <w:pPr>
        <w:spacing w:line="500" w:lineRule="exact"/>
        <w:rPr>
          <w:rFonts w:ascii="宋体" w:hAnsi="宋体" w:cs="宋体"/>
          <w:b/>
        </w:rPr>
      </w:pPr>
      <w:r>
        <w:rPr>
          <w:rFonts w:hint="eastAsia" w:ascii="宋体" w:hAnsi="宋体" w:cs="宋体"/>
          <w:b/>
        </w:rPr>
        <w:t>七、承诺</w:t>
      </w:r>
    </w:p>
    <w:p w14:paraId="629DACA7">
      <w:pPr>
        <w:spacing w:line="500" w:lineRule="exact"/>
        <w:ind w:firstLine="420" w:firstLineChars="200"/>
        <w:rPr>
          <w:rFonts w:ascii="宋体" w:hAnsi="宋体" w:cs="宋体"/>
          <w:bCs/>
        </w:rPr>
      </w:pPr>
      <w:r>
        <w:rPr>
          <w:rFonts w:hint="eastAsia" w:ascii="宋体" w:hAnsi="宋体" w:cs="宋体"/>
          <w:bCs/>
        </w:rPr>
        <w:t>1.发包人承诺按照法律规定履行项目审批手续、筹集工程建设资金并按照合同约定的期限和方式支付合同价款。</w:t>
      </w:r>
    </w:p>
    <w:p w14:paraId="6596068A">
      <w:pPr>
        <w:spacing w:line="500" w:lineRule="exact"/>
        <w:ind w:firstLine="420" w:firstLineChars="200"/>
        <w:rPr>
          <w:rFonts w:ascii="宋体" w:hAnsi="宋体" w:cs="宋体"/>
          <w:bCs/>
        </w:rPr>
      </w:pPr>
      <w:r>
        <w:rPr>
          <w:rFonts w:hint="eastAsia" w:ascii="宋体" w:hAnsi="宋体" w:cs="宋体"/>
          <w:bCs/>
        </w:rPr>
        <w:t>2.承包人承诺按照法律规定及合同约定组织完成工程施工，确保工程质量和安全，不进行转包及违法分包，并在缺陷责任期及保修期内承担相应的工程维修责任。</w:t>
      </w:r>
    </w:p>
    <w:p w14:paraId="7ACCB7A4">
      <w:pPr>
        <w:spacing w:line="500" w:lineRule="exact"/>
        <w:ind w:firstLine="420" w:firstLineChars="200"/>
        <w:rPr>
          <w:rFonts w:ascii="宋体" w:hAnsi="宋体" w:cs="宋体"/>
          <w:bCs/>
        </w:rPr>
      </w:pPr>
      <w:r>
        <w:rPr>
          <w:rFonts w:hint="eastAsia" w:ascii="宋体" w:hAnsi="宋体" w:cs="宋体"/>
          <w:bCs/>
        </w:rPr>
        <w:t>3.发包人和承包人通过招投标形式签订合同的，双方理解并承诺不再就同一工程另行签订与合同实质性内容相背离的协议。</w:t>
      </w:r>
    </w:p>
    <w:p w14:paraId="3A131822">
      <w:pPr>
        <w:spacing w:line="500" w:lineRule="exact"/>
        <w:rPr>
          <w:rFonts w:ascii="宋体" w:hAnsi="宋体" w:cs="宋体"/>
          <w:bCs/>
        </w:rPr>
      </w:pPr>
      <w:r>
        <w:rPr>
          <w:rFonts w:hint="eastAsia" w:ascii="宋体" w:hAnsi="宋体" w:cs="宋体"/>
          <w:b/>
        </w:rPr>
        <w:t>八、词语含义</w:t>
      </w:r>
    </w:p>
    <w:p w14:paraId="6F2F8103">
      <w:pPr>
        <w:spacing w:line="500" w:lineRule="exact"/>
        <w:ind w:firstLine="420" w:firstLineChars="200"/>
        <w:rPr>
          <w:rFonts w:ascii="宋体" w:hAnsi="宋体" w:cs="宋体"/>
          <w:bCs/>
        </w:rPr>
      </w:pPr>
      <w:r>
        <w:rPr>
          <w:rFonts w:hint="eastAsia" w:ascii="宋体" w:hAnsi="宋体" w:cs="宋体"/>
          <w:bCs/>
        </w:rPr>
        <w:t>本协议书中词语含义与第二部分通用合同条款中赋予的含义相同。</w:t>
      </w:r>
    </w:p>
    <w:p w14:paraId="79CEA6FE">
      <w:pPr>
        <w:spacing w:line="500" w:lineRule="exact"/>
        <w:rPr>
          <w:rFonts w:ascii="宋体" w:hAnsi="宋体" w:cs="宋体"/>
          <w:b/>
          <w:bCs/>
        </w:rPr>
      </w:pPr>
      <w:r>
        <w:rPr>
          <w:rFonts w:hint="eastAsia" w:ascii="宋体" w:hAnsi="宋体" w:cs="宋体"/>
          <w:b/>
        </w:rPr>
        <w:t>九、签订时间</w:t>
      </w:r>
    </w:p>
    <w:p w14:paraId="5C9E41FC">
      <w:pPr>
        <w:spacing w:line="500" w:lineRule="exact"/>
        <w:ind w:firstLine="420" w:firstLineChars="200"/>
        <w:rPr>
          <w:rFonts w:ascii="宋体" w:hAnsi="宋体" w:cs="宋体"/>
          <w:bCs/>
        </w:rPr>
      </w:pPr>
      <w:r>
        <w:rPr>
          <w:rFonts w:hint="eastAsia" w:ascii="宋体" w:hAnsi="宋体" w:cs="宋体"/>
          <w:bCs/>
        </w:rPr>
        <w:t>本合同于</w:t>
      </w:r>
      <w:r>
        <w:rPr>
          <w:rFonts w:hint="eastAsia" w:ascii="宋体" w:hAnsi="宋体" w:cs="宋体"/>
          <w:bCs/>
          <w:u w:val="single"/>
        </w:rPr>
        <w:t xml:space="preserve">         </w:t>
      </w:r>
      <w:r>
        <w:rPr>
          <w:rFonts w:hint="eastAsia" w:ascii="宋体" w:hAnsi="宋体" w:cs="宋体"/>
          <w:bCs/>
        </w:rPr>
        <w:t>年</w:t>
      </w:r>
      <w:r>
        <w:rPr>
          <w:rFonts w:hint="eastAsia" w:ascii="宋体" w:hAnsi="宋体" w:cs="宋体"/>
          <w:bCs/>
          <w:u w:val="single"/>
        </w:rPr>
        <w:t xml:space="preserve">    </w:t>
      </w:r>
      <w:r>
        <w:rPr>
          <w:rFonts w:hint="eastAsia" w:ascii="宋体" w:hAnsi="宋体" w:cs="宋体"/>
          <w:bCs/>
        </w:rPr>
        <w:t>月</w:t>
      </w:r>
      <w:r>
        <w:rPr>
          <w:rFonts w:hint="eastAsia" w:ascii="宋体" w:hAnsi="宋体" w:cs="宋体"/>
          <w:bCs/>
          <w:u w:val="single"/>
        </w:rPr>
        <w:t xml:space="preserve">    </w:t>
      </w:r>
      <w:r>
        <w:rPr>
          <w:rFonts w:hint="eastAsia" w:ascii="宋体" w:hAnsi="宋体" w:cs="宋体"/>
          <w:bCs/>
        </w:rPr>
        <w:t>日签订。</w:t>
      </w:r>
    </w:p>
    <w:p w14:paraId="5D2B209A">
      <w:pPr>
        <w:spacing w:line="500" w:lineRule="exact"/>
        <w:rPr>
          <w:rFonts w:ascii="宋体" w:hAnsi="宋体" w:cs="宋体"/>
          <w:b/>
        </w:rPr>
      </w:pPr>
      <w:r>
        <w:rPr>
          <w:rFonts w:hint="eastAsia" w:ascii="宋体" w:hAnsi="宋体" w:cs="宋体"/>
          <w:b/>
        </w:rPr>
        <w:t>十、签订地点</w:t>
      </w:r>
    </w:p>
    <w:p w14:paraId="3032BFE6">
      <w:pPr>
        <w:spacing w:line="500" w:lineRule="exact"/>
        <w:ind w:firstLine="420" w:firstLineChars="200"/>
        <w:rPr>
          <w:rFonts w:ascii="宋体" w:hAnsi="宋体" w:cs="宋体"/>
          <w:bCs/>
        </w:rPr>
      </w:pPr>
      <w:r>
        <w:rPr>
          <w:rFonts w:hint="eastAsia" w:ascii="宋体" w:hAnsi="宋体" w:cs="宋体"/>
          <w:bCs/>
        </w:rPr>
        <w:t>本合同在</w:t>
      </w:r>
      <w:r>
        <w:rPr>
          <w:rFonts w:hint="eastAsia" w:ascii="宋体" w:hAnsi="宋体" w:cs="宋体"/>
          <w:bCs/>
          <w:u w:val="single"/>
        </w:rPr>
        <w:t xml:space="preserve">                                    </w:t>
      </w:r>
      <w:r>
        <w:rPr>
          <w:rFonts w:hint="eastAsia" w:ascii="宋体" w:hAnsi="宋体" w:cs="宋体"/>
          <w:bCs/>
        </w:rPr>
        <w:t>签订。</w:t>
      </w:r>
    </w:p>
    <w:p w14:paraId="79188618">
      <w:pPr>
        <w:spacing w:line="500" w:lineRule="exact"/>
        <w:rPr>
          <w:rFonts w:ascii="宋体" w:hAnsi="宋体" w:cs="宋体"/>
          <w:b/>
        </w:rPr>
      </w:pPr>
      <w:r>
        <w:rPr>
          <w:rFonts w:hint="eastAsia" w:ascii="宋体" w:hAnsi="宋体" w:cs="宋体"/>
          <w:b/>
        </w:rPr>
        <w:t>十一、补充协议</w:t>
      </w:r>
    </w:p>
    <w:p w14:paraId="132C072C">
      <w:pPr>
        <w:spacing w:line="500" w:lineRule="exact"/>
        <w:rPr>
          <w:rFonts w:ascii="宋体" w:hAnsi="宋体" w:cs="宋体"/>
          <w:b/>
          <w:bCs/>
        </w:rPr>
      </w:pPr>
      <w:r>
        <w:rPr>
          <w:rFonts w:hint="eastAsia" w:ascii="宋体" w:hAnsi="宋体" w:cs="宋体"/>
          <w:bCs/>
        </w:rPr>
        <w:t>合同未尽事宜，合同当事人另行签订补充协议，补充协议是合同的组成部分。</w:t>
      </w:r>
    </w:p>
    <w:p w14:paraId="6E653471">
      <w:pPr>
        <w:spacing w:line="500" w:lineRule="exact"/>
        <w:rPr>
          <w:rFonts w:ascii="宋体" w:hAnsi="宋体" w:cs="宋体"/>
          <w:b/>
        </w:rPr>
      </w:pPr>
      <w:r>
        <w:rPr>
          <w:rFonts w:hint="eastAsia" w:ascii="宋体" w:hAnsi="宋体" w:cs="宋体"/>
          <w:b/>
        </w:rPr>
        <w:t>十二、合同生效</w:t>
      </w:r>
    </w:p>
    <w:p w14:paraId="368035B9">
      <w:pPr>
        <w:spacing w:line="500" w:lineRule="exact"/>
        <w:ind w:firstLine="420" w:firstLineChars="200"/>
        <w:rPr>
          <w:rFonts w:ascii="宋体" w:hAnsi="宋体" w:cs="宋体"/>
          <w:bCs/>
        </w:rPr>
      </w:pPr>
      <w:r>
        <w:rPr>
          <w:rFonts w:hint="eastAsia" w:ascii="宋体" w:hAnsi="宋体" w:cs="宋体"/>
          <w:bCs/>
        </w:rPr>
        <w:t>本合同自</w:t>
      </w:r>
      <w:r>
        <w:rPr>
          <w:rFonts w:hint="eastAsia" w:ascii="宋体" w:hAnsi="宋体" w:cs="宋体"/>
          <w:bCs/>
          <w:u w:val="single"/>
        </w:rPr>
        <w:t xml:space="preserve">                                   </w:t>
      </w:r>
      <w:r>
        <w:rPr>
          <w:rFonts w:hint="eastAsia" w:ascii="宋体" w:hAnsi="宋体" w:cs="宋体"/>
          <w:bCs/>
        </w:rPr>
        <w:t>生效。</w:t>
      </w:r>
    </w:p>
    <w:p w14:paraId="7CD845AF">
      <w:pPr>
        <w:spacing w:line="500" w:lineRule="exact"/>
        <w:rPr>
          <w:rFonts w:ascii="宋体" w:hAnsi="宋体" w:cs="宋体"/>
          <w:b/>
        </w:rPr>
      </w:pPr>
      <w:r>
        <w:rPr>
          <w:rFonts w:hint="eastAsia" w:ascii="宋体" w:hAnsi="宋体" w:cs="宋体"/>
          <w:b/>
        </w:rPr>
        <w:t>十三、合同份数</w:t>
      </w:r>
    </w:p>
    <w:p w14:paraId="235A99B3">
      <w:pPr>
        <w:spacing w:line="500" w:lineRule="exact"/>
        <w:ind w:firstLine="420" w:firstLineChars="200"/>
        <w:rPr>
          <w:rFonts w:ascii="宋体" w:hAnsi="宋体" w:cs="宋体"/>
          <w:bCs/>
        </w:rPr>
      </w:pPr>
      <w:r>
        <w:rPr>
          <w:rFonts w:hint="eastAsia" w:ascii="宋体" w:hAnsi="宋体" w:cs="宋体"/>
          <w:bCs/>
        </w:rPr>
        <w:t>本合同一式</w:t>
      </w:r>
      <w:r>
        <w:rPr>
          <w:rFonts w:hint="eastAsia" w:ascii="宋体" w:hAnsi="宋体" w:cs="宋体"/>
          <w:bCs/>
          <w:u w:val="single"/>
        </w:rPr>
        <w:t xml:space="preserve">    </w:t>
      </w:r>
      <w:r>
        <w:rPr>
          <w:rFonts w:hint="eastAsia" w:ascii="宋体" w:hAnsi="宋体" w:cs="宋体"/>
          <w:bCs/>
        </w:rPr>
        <w:t>份，均具有同等法律效力，发包人执</w:t>
      </w:r>
      <w:r>
        <w:rPr>
          <w:rFonts w:hint="eastAsia" w:ascii="宋体" w:hAnsi="宋体" w:cs="宋体"/>
          <w:bCs/>
          <w:u w:val="single"/>
        </w:rPr>
        <w:t xml:space="preserve">    </w:t>
      </w:r>
      <w:r>
        <w:rPr>
          <w:rFonts w:hint="eastAsia" w:ascii="宋体" w:hAnsi="宋体" w:cs="宋体"/>
          <w:bCs/>
        </w:rPr>
        <w:t>份，承包人执</w:t>
      </w:r>
      <w:r>
        <w:rPr>
          <w:rFonts w:hint="eastAsia" w:ascii="宋体" w:hAnsi="宋体" w:cs="宋体"/>
          <w:bCs/>
          <w:u w:val="single"/>
        </w:rPr>
        <w:t xml:space="preserve">    </w:t>
      </w:r>
      <w:r>
        <w:rPr>
          <w:rFonts w:hint="eastAsia" w:ascii="宋体" w:hAnsi="宋体" w:cs="宋体"/>
          <w:bCs/>
        </w:rPr>
        <w:t>份。</w:t>
      </w:r>
    </w:p>
    <w:p w14:paraId="31A1B51C">
      <w:pPr>
        <w:spacing w:line="500" w:lineRule="exact"/>
        <w:rPr>
          <w:rFonts w:ascii="宋体" w:hAnsi="宋体" w:cs="宋体"/>
        </w:rPr>
      </w:pPr>
    </w:p>
    <w:p w14:paraId="56D4035F">
      <w:pPr>
        <w:spacing w:line="500" w:lineRule="exact"/>
        <w:rPr>
          <w:rFonts w:ascii="宋体" w:hAnsi="宋体" w:cs="宋体"/>
          <w:u w:val="single"/>
        </w:rPr>
      </w:pPr>
      <w:r>
        <w:rPr>
          <w:rFonts w:hint="eastAsia" w:ascii="宋体" w:hAnsi="宋体" w:cs="宋体"/>
        </w:rPr>
        <w:t xml:space="preserve">发包人：  (公章)                                  承包人：  (公章)                                 </w:t>
      </w:r>
    </w:p>
    <w:p w14:paraId="48D55A7C">
      <w:pPr>
        <w:spacing w:line="500" w:lineRule="exact"/>
        <w:rPr>
          <w:rFonts w:ascii="宋体" w:hAnsi="宋体" w:cs="宋体"/>
        </w:rPr>
      </w:pPr>
      <w:r>
        <w:rPr>
          <w:rFonts w:hint="eastAsia" w:ascii="宋体" w:hAnsi="宋体" w:cs="宋体"/>
        </w:rPr>
        <w:t>法定代表人或其委托代理人：                        法定代表人或其委托代理人：</w:t>
      </w:r>
    </w:p>
    <w:p w14:paraId="4DFB3292">
      <w:pPr>
        <w:spacing w:line="500" w:lineRule="exact"/>
        <w:rPr>
          <w:rFonts w:ascii="宋体" w:hAnsi="宋体" w:cs="宋体"/>
          <w:u w:val="single"/>
        </w:rPr>
      </w:pPr>
      <w:r>
        <w:rPr>
          <w:rFonts w:hint="eastAsia" w:ascii="宋体" w:hAnsi="宋体" w:cs="宋体"/>
        </w:rPr>
        <w:t>（签字）                                         （签字）</w:t>
      </w:r>
    </w:p>
    <w:p w14:paraId="02A4092B">
      <w:pPr>
        <w:spacing w:line="500" w:lineRule="exact"/>
        <w:rPr>
          <w:rFonts w:ascii="宋体" w:hAnsi="宋体" w:cs="宋体"/>
        </w:rPr>
      </w:pPr>
      <w:r>
        <w:rPr>
          <w:rFonts w:hint="eastAsia" w:ascii="宋体" w:hAnsi="宋体" w:cs="宋体"/>
        </w:rPr>
        <w:t>组织机构代码：</w:t>
      </w:r>
      <w:r>
        <w:rPr>
          <w:rFonts w:hint="eastAsia" w:ascii="宋体" w:hAnsi="宋体" w:cs="宋体"/>
          <w:u w:val="single"/>
        </w:rPr>
        <w:t xml:space="preserve">       </w:t>
      </w:r>
      <w:r>
        <w:rPr>
          <w:rFonts w:hint="eastAsia" w:ascii="宋体" w:hAnsi="宋体" w:cs="宋体"/>
        </w:rPr>
        <w:t xml:space="preserve">                       组织机构代码：</w:t>
      </w:r>
      <w:r>
        <w:rPr>
          <w:rFonts w:hint="eastAsia" w:ascii="宋体" w:hAnsi="宋体" w:cs="宋体"/>
          <w:u w:val="single"/>
        </w:rPr>
        <w:t xml:space="preserve">          </w:t>
      </w:r>
      <w:r>
        <w:rPr>
          <w:rFonts w:hint="eastAsia" w:ascii="宋体" w:hAnsi="宋体" w:cs="宋体"/>
        </w:rPr>
        <w:t xml:space="preserve"> </w:t>
      </w:r>
    </w:p>
    <w:p w14:paraId="3C5BFE71">
      <w:pPr>
        <w:spacing w:line="500" w:lineRule="exact"/>
        <w:rPr>
          <w:rFonts w:ascii="宋体" w:hAnsi="宋体" w:cs="宋体"/>
        </w:rPr>
      </w:pPr>
      <w:r>
        <w:rPr>
          <w:rFonts w:hint="eastAsia" w:ascii="宋体" w:hAnsi="宋体" w:cs="宋体"/>
        </w:rPr>
        <w:t>地  址：</w:t>
      </w:r>
      <w:r>
        <w:rPr>
          <w:rFonts w:hint="eastAsia" w:ascii="宋体" w:hAnsi="宋体" w:cs="宋体"/>
          <w:u w:val="single"/>
        </w:rPr>
        <w:t xml:space="preserve">     </w:t>
      </w:r>
      <w:r>
        <w:rPr>
          <w:rFonts w:hint="eastAsia" w:ascii="宋体" w:hAnsi="宋体" w:cs="宋体"/>
        </w:rPr>
        <w:t xml:space="preserve">                       地  址：</w:t>
      </w:r>
      <w:r>
        <w:rPr>
          <w:rFonts w:hint="eastAsia" w:ascii="宋体" w:hAnsi="宋体" w:cs="宋体"/>
          <w:u w:val="single"/>
        </w:rPr>
        <w:t xml:space="preserve">        </w:t>
      </w:r>
    </w:p>
    <w:p w14:paraId="37E94F1F">
      <w:pPr>
        <w:spacing w:line="500" w:lineRule="exact"/>
        <w:rPr>
          <w:rFonts w:ascii="宋体" w:hAnsi="宋体" w:cs="宋体"/>
        </w:rPr>
      </w:pPr>
      <w:r>
        <w:rPr>
          <w:rFonts w:hint="eastAsia" w:ascii="宋体" w:hAnsi="宋体" w:cs="宋体"/>
        </w:rPr>
        <w:t>邮政编码：</w:t>
      </w:r>
      <w:r>
        <w:rPr>
          <w:rFonts w:hint="eastAsia" w:ascii="宋体" w:hAnsi="宋体" w:cs="宋体"/>
          <w:u w:val="single"/>
        </w:rPr>
        <w:t xml:space="preserve">      </w:t>
      </w:r>
      <w:r>
        <w:rPr>
          <w:rFonts w:hint="eastAsia" w:ascii="宋体" w:hAnsi="宋体" w:cs="宋体"/>
        </w:rPr>
        <w:t xml:space="preserve">                      邮政编码：</w:t>
      </w:r>
      <w:r>
        <w:rPr>
          <w:rFonts w:hint="eastAsia" w:ascii="宋体" w:hAnsi="宋体" w:cs="宋体"/>
          <w:u w:val="single"/>
        </w:rPr>
        <w:t xml:space="preserve">   </w:t>
      </w:r>
    </w:p>
    <w:p w14:paraId="09232A5D">
      <w:pPr>
        <w:spacing w:line="500" w:lineRule="exact"/>
        <w:rPr>
          <w:rFonts w:ascii="宋体" w:hAnsi="宋体" w:cs="宋体"/>
        </w:rPr>
      </w:pPr>
      <w:r>
        <w:rPr>
          <w:rFonts w:hint="eastAsia" w:ascii="宋体" w:hAnsi="宋体" w:cs="宋体"/>
        </w:rPr>
        <w:t>法定代表人：</w:t>
      </w:r>
      <w:r>
        <w:rPr>
          <w:rFonts w:hint="eastAsia" w:ascii="宋体" w:hAnsi="宋体" w:cs="宋体"/>
          <w:u w:val="single"/>
        </w:rPr>
        <w:t xml:space="preserve">           </w:t>
      </w:r>
      <w:r>
        <w:rPr>
          <w:rFonts w:hint="eastAsia" w:ascii="宋体" w:hAnsi="宋体" w:cs="宋体"/>
        </w:rPr>
        <w:t xml:space="preserve">                       法定代表人：</w:t>
      </w:r>
      <w:r>
        <w:rPr>
          <w:rFonts w:hint="eastAsia" w:ascii="宋体" w:hAnsi="宋体" w:cs="宋体"/>
          <w:u w:val="single"/>
        </w:rPr>
        <w:t xml:space="preserve">             </w:t>
      </w:r>
    </w:p>
    <w:p w14:paraId="012EFBE6">
      <w:pPr>
        <w:spacing w:line="500" w:lineRule="exact"/>
        <w:rPr>
          <w:rFonts w:ascii="宋体" w:hAnsi="宋体" w:cs="宋体"/>
        </w:rPr>
      </w:pPr>
      <w:r>
        <w:rPr>
          <w:rFonts w:hint="eastAsia" w:ascii="宋体" w:hAnsi="宋体" w:cs="宋体"/>
        </w:rPr>
        <w:t>委托代理人：</w:t>
      </w:r>
      <w:r>
        <w:rPr>
          <w:rFonts w:hint="eastAsia" w:ascii="宋体" w:hAnsi="宋体" w:cs="宋体"/>
          <w:u w:val="single"/>
        </w:rPr>
        <w:t xml:space="preserve">           </w:t>
      </w:r>
      <w:r>
        <w:rPr>
          <w:rFonts w:hint="eastAsia" w:ascii="宋体" w:hAnsi="宋体" w:cs="宋体"/>
        </w:rPr>
        <w:t xml:space="preserve">                       委托代理人：</w:t>
      </w:r>
      <w:r>
        <w:rPr>
          <w:rFonts w:hint="eastAsia" w:ascii="宋体" w:hAnsi="宋体" w:cs="宋体"/>
          <w:u w:val="single"/>
        </w:rPr>
        <w:t xml:space="preserve">             </w:t>
      </w:r>
    </w:p>
    <w:p w14:paraId="457BCA0B">
      <w:pPr>
        <w:spacing w:line="500" w:lineRule="exact"/>
        <w:rPr>
          <w:rFonts w:ascii="宋体" w:hAnsi="宋体" w:cs="宋体"/>
        </w:rPr>
      </w:pPr>
      <w:r>
        <w:rPr>
          <w:rFonts w:hint="eastAsia" w:ascii="宋体" w:hAnsi="宋体" w:cs="宋体"/>
        </w:rPr>
        <w:t>电  话：</w:t>
      </w:r>
      <w:r>
        <w:rPr>
          <w:rFonts w:hint="eastAsia" w:ascii="宋体" w:hAnsi="宋体" w:cs="宋体"/>
          <w:u w:val="single"/>
        </w:rPr>
        <w:t xml:space="preserve">   </w:t>
      </w:r>
      <w:r>
        <w:rPr>
          <w:rFonts w:hint="eastAsia" w:ascii="宋体" w:hAnsi="宋体" w:cs="宋体"/>
        </w:rPr>
        <w:t xml:space="preserve">                       电  话：</w:t>
      </w:r>
      <w:r>
        <w:rPr>
          <w:rFonts w:hint="eastAsia" w:ascii="宋体" w:hAnsi="宋体" w:cs="宋体"/>
          <w:u w:val="single"/>
        </w:rPr>
        <w:t xml:space="preserve">     </w:t>
      </w:r>
    </w:p>
    <w:p w14:paraId="25563354">
      <w:pPr>
        <w:spacing w:line="500" w:lineRule="exact"/>
        <w:rPr>
          <w:rFonts w:ascii="宋体" w:hAnsi="宋体" w:cs="宋体"/>
        </w:rPr>
      </w:pPr>
      <w:r>
        <w:rPr>
          <w:rFonts w:hint="eastAsia" w:ascii="宋体" w:hAnsi="宋体" w:cs="宋体"/>
        </w:rPr>
        <w:t>传  真：</w:t>
      </w:r>
      <w:r>
        <w:rPr>
          <w:rFonts w:hint="eastAsia" w:ascii="宋体" w:hAnsi="宋体" w:cs="宋体"/>
          <w:u w:val="single"/>
        </w:rPr>
        <w:t xml:space="preserve">   </w:t>
      </w:r>
      <w:r>
        <w:rPr>
          <w:rFonts w:hint="eastAsia" w:ascii="宋体" w:hAnsi="宋体" w:cs="宋体"/>
        </w:rPr>
        <w:t xml:space="preserve">                       传  真：</w:t>
      </w:r>
      <w:r>
        <w:rPr>
          <w:rFonts w:hint="eastAsia" w:ascii="宋体" w:hAnsi="宋体" w:cs="宋体"/>
          <w:u w:val="single"/>
        </w:rPr>
        <w:t xml:space="preserve">     </w:t>
      </w:r>
    </w:p>
    <w:p w14:paraId="6294AF1F">
      <w:pPr>
        <w:spacing w:line="500" w:lineRule="exact"/>
        <w:rPr>
          <w:rFonts w:ascii="宋体" w:hAnsi="宋体" w:cs="宋体"/>
        </w:rPr>
      </w:pPr>
      <w:r>
        <w:rPr>
          <w:rFonts w:hint="eastAsia" w:ascii="宋体" w:hAnsi="宋体" w:cs="宋体"/>
        </w:rPr>
        <w:t>电子信箱：</w:t>
      </w:r>
      <w:r>
        <w:rPr>
          <w:rFonts w:hint="eastAsia" w:ascii="宋体" w:hAnsi="宋体" w:cs="宋体"/>
          <w:u w:val="single"/>
        </w:rPr>
        <w:t xml:space="preserve">                 </w:t>
      </w:r>
      <w:r>
        <w:rPr>
          <w:rFonts w:hint="eastAsia" w:ascii="宋体" w:hAnsi="宋体" w:cs="宋体"/>
        </w:rPr>
        <w:t xml:space="preserve">                       电子信箱：</w:t>
      </w:r>
      <w:r>
        <w:rPr>
          <w:rFonts w:hint="eastAsia" w:ascii="宋体" w:hAnsi="宋体" w:cs="宋体"/>
          <w:u w:val="single"/>
        </w:rPr>
        <w:t xml:space="preserve">   </w:t>
      </w:r>
    </w:p>
    <w:p w14:paraId="6C26E978">
      <w:pPr>
        <w:spacing w:line="500" w:lineRule="exact"/>
        <w:rPr>
          <w:rFonts w:ascii="宋体" w:hAnsi="宋体" w:cs="宋体"/>
        </w:rPr>
      </w:pPr>
      <w:r>
        <w:rPr>
          <w:rFonts w:hint="eastAsia" w:ascii="宋体" w:hAnsi="宋体" w:cs="宋体"/>
        </w:rPr>
        <w:t>开户银行：</w:t>
      </w:r>
      <w:r>
        <w:rPr>
          <w:rFonts w:hint="eastAsia" w:ascii="宋体" w:hAnsi="宋体" w:cs="宋体"/>
          <w:u w:val="single"/>
        </w:rPr>
        <w:t xml:space="preserve">   </w:t>
      </w:r>
      <w:r>
        <w:rPr>
          <w:rFonts w:hint="eastAsia" w:ascii="宋体" w:hAnsi="宋体" w:cs="宋体"/>
        </w:rPr>
        <w:t xml:space="preserve">                       开户银行：</w:t>
      </w:r>
      <w:r>
        <w:rPr>
          <w:rFonts w:hint="eastAsia" w:ascii="宋体" w:hAnsi="宋体" w:cs="宋体"/>
          <w:u w:val="single"/>
        </w:rPr>
        <w:t xml:space="preserve">   </w:t>
      </w:r>
    </w:p>
    <w:p w14:paraId="253CC55E">
      <w:pPr>
        <w:spacing w:line="500" w:lineRule="exact"/>
        <w:rPr>
          <w:rFonts w:ascii="宋体" w:hAnsi="宋体" w:cs="宋体"/>
        </w:rPr>
      </w:pPr>
      <w:r>
        <w:rPr>
          <w:rFonts w:hint="eastAsia" w:ascii="宋体" w:hAnsi="宋体" w:cs="宋体"/>
        </w:rPr>
        <w:t>账  号：</w:t>
      </w:r>
      <w:r>
        <w:rPr>
          <w:rFonts w:hint="eastAsia" w:ascii="宋体" w:hAnsi="宋体" w:cs="宋体"/>
          <w:u w:val="single"/>
        </w:rPr>
        <w:t xml:space="preserve">       </w:t>
      </w:r>
      <w:r>
        <w:rPr>
          <w:rFonts w:hint="eastAsia" w:ascii="宋体" w:hAnsi="宋体" w:cs="宋体"/>
        </w:rPr>
        <w:t xml:space="preserve">                       账  号：</w:t>
      </w:r>
      <w:r>
        <w:rPr>
          <w:rFonts w:hint="eastAsia" w:ascii="宋体" w:hAnsi="宋体" w:cs="宋体"/>
          <w:u w:val="single"/>
        </w:rPr>
        <w:t xml:space="preserve">     </w:t>
      </w:r>
    </w:p>
    <w:p w14:paraId="08A29847">
      <w:pPr>
        <w:pStyle w:val="6"/>
        <w:spacing w:line="500" w:lineRule="exact"/>
        <w:jc w:val="center"/>
        <w:rPr>
          <w:rFonts w:ascii="宋体" w:hAnsi="宋体" w:cs="宋体"/>
          <w:sz w:val="21"/>
          <w:szCs w:val="21"/>
        </w:rPr>
      </w:pPr>
      <w:r>
        <w:rPr>
          <w:rFonts w:hint="eastAsia" w:ascii="宋体" w:hAnsi="宋体" w:cs="宋体"/>
          <w:sz w:val="21"/>
          <w:szCs w:val="21"/>
        </w:rPr>
        <w:br w:type="page"/>
      </w:r>
      <w:bookmarkStart w:id="177" w:name="_Toc11227978"/>
      <w:bookmarkStart w:id="178" w:name="_Toc351203494"/>
      <w:r>
        <w:rPr>
          <w:rFonts w:hint="eastAsia" w:ascii="宋体" w:hAnsi="宋体" w:cs="宋体"/>
          <w:szCs w:val="32"/>
        </w:rPr>
        <w:t>第二部分 通用合同条款</w:t>
      </w:r>
      <w:bookmarkEnd w:id="177"/>
      <w:bookmarkEnd w:id="178"/>
      <w:bookmarkStart w:id="179" w:name="_Toc337558727"/>
    </w:p>
    <w:p w14:paraId="1014EB57">
      <w:pPr>
        <w:pStyle w:val="7"/>
        <w:spacing w:before="120" w:after="120" w:line="360" w:lineRule="exact"/>
        <w:rPr>
          <w:rFonts w:ascii="宋体" w:hAnsi="宋体" w:cs="宋体"/>
          <w:b w:val="0"/>
          <w:sz w:val="21"/>
          <w:szCs w:val="21"/>
        </w:rPr>
      </w:pPr>
      <w:bookmarkStart w:id="180" w:name="_Toc351203495"/>
      <w:r>
        <w:rPr>
          <w:rFonts w:hint="eastAsia" w:ascii="宋体" w:hAnsi="宋体" w:cs="宋体"/>
          <w:b w:val="0"/>
          <w:sz w:val="21"/>
          <w:szCs w:val="21"/>
        </w:rPr>
        <w:t>1.</w:t>
      </w:r>
      <w:bookmarkStart w:id="181" w:name="_Toc303538972"/>
      <w:bookmarkEnd w:id="181"/>
      <w:bookmarkStart w:id="182" w:name="_Toc303538976"/>
      <w:bookmarkEnd w:id="182"/>
      <w:bookmarkStart w:id="183" w:name="_Toc303538973"/>
      <w:bookmarkEnd w:id="183"/>
      <w:bookmarkStart w:id="184" w:name="_Toc303538974"/>
      <w:bookmarkEnd w:id="184"/>
      <w:bookmarkStart w:id="185" w:name="_Toc303538975"/>
      <w:bookmarkEnd w:id="185"/>
      <w:bookmarkStart w:id="186" w:name="_Toc296503027"/>
      <w:bookmarkStart w:id="187" w:name="_Toc296346528"/>
      <w:r>
        <w:rPr>
          <w:rFonts w:hint="eastAsia" w:ascii="宋体" w:hAnsi="宋体" w:cs="宋体"/>
          <w:b w:val="0"/>
          <w:sz w:val="21"/>
          <w:szCs w:val="21"/>
        </w:rPr>
        <w:t xml:space="preserve"> 一般约定</w:t>
      </w:r>
      <w:bookmarkEnd w:id="179"/>
      <w:bookmarkEnd w:id="180"/>
      <w:bookmarkEnd w:id="186"/>
      <w:bookmarkEnd w:id="187"/>
    </w:p>
    <w:p w14:paraId="4ADA7852">
      <w:pPr>
        <w:pStyle w:val="8"/>
        <w:overflowPunct/>
        <w:spacing w:before="120" w:after="120" w:line="360" w:lineRule="exact"/>
        <w:ind w:firstLine="420" w:firstLineChars="200"/>
        <w:rPr>
          <w:rFonts w:ascii="宋体" w:hAnsi="宋体" w:cs="宋体"/>
          <w:b w:val="0"/>
          <w:sz w:val="21"/>
          <w:szCs w:val="21"/>
        </w:rPr>
      </w:pPr>
      <w:bookmarkStart w:id="188" w:name="_Toc337558728"/>
      <w:bookmarkStart w:id="189" w:name="_Toc296503028"/>
      <w:bookmarkStart w:id="190" w:name="_Toc296346529"/>
      <w:bookmarkStart w:id="191" w:name="_Toc351203496"/>
      <w:r>
        <w:rPr>
          <w:rFonts w:hint="eastAsia" w:ascii="宋体" w:hAnsi="宋体" w:cs="宋体"/>
          <w:b w:val="0"/>
          <w:sz w:val="21"/>
          <w:szCs w:val="21"/>
        </w:rPr>
        <w:t>1.1词语定义</w:t>
      </w:r>
      <w:bookmarkEnd w:id="188"/>
      <w:bookmarkEnd w:id="189"/>
      <w:bookmarkEnd w:id="190"/>
      <w:r>
        <w:rPr>
          <w:rFonts w:hint="eastAsia" w:ascii="宋体" w:hAnsi="宋体" w:cs="宋体"/>
          <w:b w:val="0"/>
          <w:sz w:val="21"/>
          <w:szCs w:val="21"/>
        </w:rPr>
        <w:t>与解释</w:t>
      </w:r>
      <w:bookmarkEnd w:id="191"/>
    </w:p>
    <w:p w14:paraId="128BB13D">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合同协议书、通用合同条款、专用合同条款中的下列词语具有本款所赋予的含义：</w:t>
      </w:r>
    </w:p>
    <w:p w14:paraId="79D387C9">
      <w:pPr>
        <w:autoSpaceDE w:val="0"/>
        <w:autoSpaceDN w:val="0"/>
        <w:adjustRightInd w:val="0"/>
        <w:spacing w:line="360" w:lineRule="exact"/>
        <w:jc w:val="left"/>
        <w:rPr>
          <w:rFonts w:ascii="宋体" w:hAnsi="宋体" w:cs="宋体"/>
          <w:kern w:val="0"/>
        </w:rPr>
      </w:pPr>
      <w:r>
        <w:rPr>
          <w:rFonts w:hint="eastAsia" w:ascii="宋体" w:hAnsi="宋体" w:cs="宋体"/>
          <w:kern w:val="0"/>
        </w:rPr>
        <w:t xml:space="preserve">    1.1.1 合同</w:t>
      </w:r>
    </w:p>
    <w:p w14:paraId="618DBCAA">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1.1.1.1 合同：是指根据法律规定和合同当事人约定具有约束力的文件，构成合同的文件包括合同协议书、中标通知书（如果有）、投标函及其附录（如果有）、专用合同条款</w:t>
      </w:r>
      <w:r>
        <w:rPr>
          <w:rFonts w:hint="eastAsia" w:ascii="宋体" w:hAnsi="宋体" w:cs="宋体"/>
        </w:rPr>
        <w:t>及其附件</w:t>
      </w:r>
      <w:r>
        <w:rPr>
          <w:rFonts w:hint="eastAsia" w:ascii="宋体" w:hAnsi="宋体" w:cs="宋体"/>
          <w:kern w:val="0"/>
        </w:rPr>
        <w:t>、通用合同条款、技术标准和要求、图纸、已标价工程量清单或预算书以及其他合同文件。</w:t>
      </w:r>
    </w:p>
    <w:p w14:paraId="592BD5D9">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1.1.1.2 合同协议书：是指构成合同的由发包人和承包人共同签署的称为“合同协议书”的书面文件。</w:t>
      </w:r>
    </w:p>
    <w:p w14:paraId="7EFC901F">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1.1.1.3 中标通知书：是指构成合同的由发包人通知承包人中标的书面文件。</w:t>
      </w:r>
    </w:p>
    <w:p w14:paraId="2A65E266">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1.1.1.4 投标函：是指构成合同的由承包人填写并签署的用于投标的称为“投标函”的文件。</w:t>
      </w:r>
    </w:p>
    <w:p w14:paraId="2D9F54FD">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1.1.1.5 投标函附录：是指构成合同的附在投标函后的称为“投标函附录”的文件。</w:t>
      </w:r>
    </w:p>
    <w:p w14:paraId="2EADCEBE">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1.1.1.6 技术标准和要求：是指构成合同的施工应当遵守的或指导施工的国家、行业或地方的技术标准和要求，以及合同约定的技术标准和要求。</w:t>
      </w:r>
    </w:p>
    <w:p w14:paraId="1A2D4395">
      <w:pPr>
        <w:spacing w:line="360" w:lineRule="exact"/>
        <w:ind w:firstLine="420" w:firstLineChars="200"/>
        <w:jc w:val="left"/>
        <w:rPr>
          <w:rFonts w:ascii="宋体" w:hAnsi="宋体" w:cs="宋体"/>
          <w:kern w:val="0"/>
        </w:rPr>
      </w:pPr>
      <w:r>
        <w:rPr>
          <w:rFonts w:hint="eastAsia" w:ascii="宋体" w:hAnsi="宋体" w:cs="宋体"/>
          <w:kern w:val="0"/>
        </w:rPr>
        <w:t>1.1.1.7 图纸：是指构成合同的图纸，包括由发包人按照合同约定提供或经发包人批准的设计文件、施工图、鸟瞰图及模型等，以及在合同履行过程中形成的图纸文件。图纸应当按照法律规定审查合格。</w:t>
      </w:r>
    </w:p>
    <w:p w14:paraId="0E5E16BE">
      <w:pPr>
        <w:autoSpaceDE w:val="0"/>
        <w:autoSpaceDN w:val="0"/>
        <w:adjustRightInd w:val="0"/>
        <w:spacing w:line="360" w:lineRule="exact"/>
        <w:ind w:firstLine="409" w:firstLineChars="195"/>
        <w:jc w:val="left"/>
        <w:rPr>
          <w:rFonts w:ascii="宋体" w:hAnsi="宋体" w:cs="宋体"/>
          <w:kern w:val="0"/>
        </w:rPr>
      </w:pPr>
      <w:r>
        <w:rPr>
          <w:rFonts w:hint="eastAsia" w:ascii="宋体" w:hAnsi="宋体" w:cs="宋体"/>
          <w:kern w:val="0"/>
        </w:rPr>
        <w:t>1.1.1.8 已标价工程量清单：是指构成合同的由承包人按照规定的格式和要求填写并标明价格的工程量清单，包括说明和表格。</w:t>
      </w:r>
    </w:p>
    <w:p w14:paraId="7E9DF112">
      <w:pPr>
        <w:autoSpaceDE w:val="0"/>
        <w:autoSpaceDN w:val="0"/>
        <w:adjustRightInd w:val="0"/>
        <w:spacing w:line="360" w:lineRule="exact"/>
        <w:ind w:firstLine="409" w:firstLineChars="195"/>
        <w:jc w:val="left"/>
        <w:rPr>
          <w:rFonts w:ascii="宋体" w:hAnsi="宋体" w:cs="宋体"/>
          <w:kern w:val="0"/>
        </w:rPr>
      </w:pPr>
      <w:r>
        <w:rPr>
          <w:rFonts w:hint="eastAsia" w:ascii="宋体" w:hAnsi="宋体" w:cs="宋体"/>
          <w:kern w:val="0"/>
        </w:rPr>
        <w:t>1.1.1.9 预算书：是指构成合同的由承包人按照发包人规定的格式和要求编制的工程预算文件。</w:t>
      </w:r>
    </w:p>
    <w:p w14:paraId="0963A204">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1.1.1.10 其他合同文件：是指经合同当事人约定的与工程施工有关的具有合同约束力的文件或书面协议。合同当事人可以在专用合同条款中进行约定。</w:t>
      </w:r>
    </w:p>
    <w:p w14:paraId="7AD04108">
      <w:pPr>
        <w:autoSpaceDE w:val="0"/>
        <w:autoSpaceDN w:val="0"/>
        <w:adjustRightInd w:val="0"/>
        <w:spacing w:line="360" w:lineRule="exact"/>
        <w:jc w:val="left"/>
        <w:rPr>
          <w:rFonts w:ascii="宋体" w:hAnsi="宋体" w:cs="宋体"/>
          <w:kern w:val="0"/>
        </w:rPr>
      </w:pPr>
      <w:r>
        <w:rPr>
          <w:rFonts w:hint="eastAsia" w:ascii="宋体" w:hAnsi="宋体" w:cs="宋体"/>
          <w:kern w:val="0"/>
        </w:rPr>
        <w:t xml:space="preserve">    1.1.2 合同当事人及其他相关方</w:t>
      </w:r>
    </w:p>
    <w:p w14:paraId="1B872268">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1.1.2.1 合同当事人：是指发包人和（或）承包人。</w:t>
      </w:r>
    </w:p>
    <w:p w14:paraId="011947B8">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1.1.2.2 发包人：是指与承包人签订合同协议书的当事人及取得该当事人资格的合法继承人。</w:t>
      </w:r>
    </w:p>
    <w:p w14:paraId="16EF0881">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1.1.2.3 承包人：是指与发包人签订合同协议书的，具有相应工程施工承包资质的当事人及取得该当事人资格的合法继承人。</w:t>
      </w:r>
    </w:p>
    <w:p w14:paraId="5AB2ACF0">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1.1.2.4 监理人：是指在专用合同条款中指明的，受发包人委托按照法律规定进行工程监督管理的法人或其他组织。</w:t>
      </w:r>
    </w:p>
    <w:p w14:paraId="32C06165">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1.1.2.5 设计人：是指在专用合同条款中指明的，受发包人委托负责工程设计并具备相应工程设计资质的法人或其他组织。</w:t>
      </w:r>
    </w:p>
    <w:p w14:paraId="5B16F5FC">
      <w:pPr>
        <w:spacing w:line="360" w:lineRule="exact"/>
        <w:ind w:firstLine="409" w:firstLineChars="195"/>
        <w:jc w:val="left"/>
        <w:rPr>
          <w:rFonts w:ascii="宋体" w:hAnsi="宋体" w:cs="宋体"/>
          <w:kern w:val="0"/>
        </w:rPr>
      </w:pPr>
      <w:r>
        <w:rPr>
          <w:rFonts w:hint="eastAsia" w:ascii="宋体" w:hAnsi="宋体" w:cs="宋体"/>
          <w:kern w:val="0"/>
        </w:rPr>
        <w:t>1.1.2.6 分包人：</w:t>
      </w:r>
      <w:bookmarkStart w:id="192" w:name="#go5"/>
      <w:bookmarkEnd w:id="192"/>
      <w:r>
        <w:rPr>
          <w:rFonts w:hint="eastAsia" w:ascii="宋体" w:hAnsi="宋体" w:cs="宋体"/>
          <w:kern w:val="0"/>
        </w:rPr>
        <w:t>是指按照法律规定和合同约定，分包部分工程或工作，并与承包人签订分包合同的具有相应资质的法人。</w:t>
      </w:r>
    </w:p>
    <w:p w14:paraId="4FA98484">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1.1.2.7 发包人代表：是指由发包人任命并派驻施工现场在发包人授权范围内行使发包人权利的人。</w:t>
      </w:r>
    </w:p>
    <w:p w14:paraId="14A9328F">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1.1.2.8 项目经理：是指由承包人任命并派驻施工现场，在承包人授权范围内负责合同履行，且按照法律规定具有相应资格的项目负责人。</w:t>
      </w:r>
    </w:p>
    <w:p w14:paraId="2A1ED87B">
      <w:pPr>
        <w:spacing w:line="360" w:lineRule="exact"/>
        <w:ind w:firstLine="420" w:firstLineChars="200"/>
        <w:jc w:val="left"/>
        <w:rPr>
          <w:rFonts w:ascii="宋体" w:hAnsi="宋体" w:cs="宋体"/>
          <w:kern w:val="0"/>
        </w:rPr>
      </w:pPr>
      <w:r>
        <w:rPr>
          <w:rFonts w:hint="eastAsia" w:ascii="宋体" w:hAnsi="宋体" w:cs="宋体"/>
          <w:kern w:val="0"/>
        </w:rPr>
        <w:t>1.1.2.9 总监理工程师：是指由监理人任命并派驻施工现场进行工程监理的总负责人。</w:t>
      </w:r>
    </w:p>
    <w:p w14:paraId="453EF7F0">
      <w:pPr>
        <w:spacing w:line="360" w:lineRule="exact"/>
        <w:ind w:firstLine="420" w:firstLineChars="200"/>
        <w:jc w:val="left"/>
        <w:rPr>
          <w:rFonts w:ascii="宋体" w:hAnsi="宋体" w:cs="宋体"/>
          <w:kern w:val="0"/>
        </w:rPr>
      </w:pPr>
      <w:r>
        <w:rPr>
          <w:rFonts w:hint="eastAsia" w:ascii="宋体" w:hAnsi="宋体" w:cs="宋体"/>
          <w:kern w:val="0"/>
        </w:rPr>
        <w:t>1.1.3 工程和设备</w:t>
      </w:r>
    </w:p>
    <w:p w14:paraId="5355DF1A">
      <w:pPr>
        <w:spacing w:line="360" w:lineRule="exact"/>
        <w:ind w:firstLine="420" w:firstLineChars="200"/>
        <w:jc w:val="left"/>
        <w:rPr>
          <w:rFonts w:ascii="宋体" w:hAnsi="宋体" w:cs="宋体"/>
          <w:kern w:val="0"/>
        </w:rPr>
      </w:pPr>
      <w:r>
        <w:rPr>
          <w:rFonts w:hint="eastAsia" w:ascii="宋体" w:hAnsi="宋体" w:cs="宋体"/>
          <w:kern w:val="0"/>
        </w:rPr>
        <w:t>1.1.3.1 工程：是指与合同协议书中工程承包范围对应的永久工程和（或）临时工程。</w:t>
      </w:r>
    </w:p>
    <w:p w14:paraId="35D10B31">
      <w:pPr>
        <w:spacing w:line="360" w:lineRule="exact"/>
        <w:ind w:firstLine="420" w:firstLineChars="200"/>
        <w:jc w:val="left"/>
        <w:rPr>
          <w:rFonts w:ascii="宋体" w:hAnsi="宋体" w:cs="宋体"/>
          <w:kern w:val="0"/>
        </w:rPr>
      </w:pPr>
      <w:r>
        <w:rPr>
          <w:rFonts w:hint="eastAsia" w:ascii="宋体" w:hAnsi="宋体" w:cs="宋体"/>
          <w:kern w:val="0"/>
        </w:rPr>
        <w:t>1.1.3.2 永久工程：是指按合同约定建造并移交给发包人的工程，包括工程设备。</w:t>
      </w:r>
    </w:p>
    <w:p w14:paraId="70C6FCAF">
      <w:pPr>
        <w:spacing w:line="360" w:lineRule="exact"/>
        <w:ind w:firstLine="420" w:firstLineChars="200"/>
        <w:jc w:val="left"/>
        <w:rPr>
          <w:rFonts w:ascii="宋体" w:hAnsi="宋体" w:cs="宋体"/>
          <w:kern w:val="0"/>
        </w:rPr>
      </w:pPr>
      <w:r>
        <w:rPr>
          <w:rFonts w:hint="eastAsia" w:ascii="宋体" w:hAnsi="宋体" w:cs="宋体"/>
          <w:kern w:val="0"/>
        </w:rPr>
        <w:t>1.1.3.3 临时工程：是指为完成合同约定的永久工程所修建的各类临时性工程，不包括施工设备。</w:t>
      </w:r>
    </w:p>
    <w:p w14:paraId="1D366125">
      <w:pPr>
        <w:spacing w:line="360" w:lineRule="exact"/>
        <w:ind w:firstLine="420" w:firstLineChars="200"/>
        <w:jc w:val="left"/>
        <w:rPr>
          <w:rFonts w:ascii="宋体" w:hAnsi="宋体" w:cs="宋体"/>
          <w:kern w:val="0"/>
        </w:rPr>
      </w:pPr>
      <w:r>
        <w:rPr>
          <w:rFonts w:hint="eastAsia" w:ascii="宋体" w:hAnsi="宋体" w:cs="宋体"/>
          <w:kern w:val="0"/>
        </w:rPr>
        <w:t>1.1.3.4 单位工程：是指在合同协议书中指明的，具备独立施工条件并能形成独立使用功能的永久工程。</w:t>
      </w:r>
    </w:p>
    <w:p w14:paraId="317ABB1D">
      <w:pPr>
        <w:spacing w:line="360" w:lineRule="exact"/>
        <w:ind w:firstLine="420" w:firstLineChars="200"/>
        <w:jc w:val="left"/>
        <w:rPr>
          <w:rFonts w:ascii="宋体" w:hAnsi="宋体" w:cs="宋体"/>
          <w:kern w:val="0"/>
        </w:rPr>
      </w:pPr>
      <w:r>
        <w:rPr>
          <w:rFonts w:hint="eastAsia" w:ascii="宋体" w:hAnsi="宋体" w:cs="宋体"/>
          <w:kern w:val="0"/>
        </w:rPr>
        <w:t>1.1.3.5 工程设备：是指构成永久工程的机电设备、金属结构设备、仪器及其他类似的设备和装置。</w:t>
      </w:r>
    </w:p>
    <w:p w14:paraId="656547DF">
      <w:pPr>
        <w:spacing w:line="360" w:lineRule="exact"/>
        <w:ind w:firstLine="420" w:firstLineChars="200"/>
        <w:jc w:val="left"/>
        <w:rPr>
          <w:rFonts w:ascii="宋体" w:hAnsi="宋体" w:cs="宋体"/>
          <w:kern w:val="0"/>
        </w:rPr>
      </w:pPr>
      <w:r>
        <w:rPr>
          <w:rFonts w:hint="eastAsia" w:ascii="宋体" w:hAnsi="宋体" w:cs="宋体"/>
          <w:kern w:val="0"/>
        </w:rPr>
        <w:t>1.1.3.6 施工设备：是指为完成合同约定的各项工作所需的设备、器具和其他物品，但不包括工程设备、临时工程和材料。</w:t>
      </w:r>
    </w:p>
    <w:p w14:paraId="06765B2B">
      <w:pPr>
        <w:spacing w:line="360" w:lineRule="exact"/>
        <w:ind w:firstLine="420" w:firstLineChars="200"/>
        <w:jc w:val="left"/>
        <w:rPr>
          <w:rFonts w:ascii="宋体" w:hAnsi="宋体" w:cs="宋体"/>
          <w:kern w:val="0"/>
        </w:rPr>
      </w:pPr>
      <w:r>
        <w:rPr>
          <w:rFonts w:hint="eastAsia" w:ascii="宋体" w:hAnsi="宋体" w:cs="宋体"/>
          <w:kern w:val="0"/>
        </w:rPr>
        <w:t>1.1.3.7 施工现场：是指用于工程施工的场所，以及在专用合同条款中指明作为施工场所组成部分的其他场所，包括永久占地和临时占地。</w:t>
      </w:r>
    </w:p>
    <w:p w14:paraId="0B67505D">
      <w:pPr>
        <w:spacing w:line="360" w:lineRule="exact"/>
        <w:ind w:firstLine="420" w:firstLineChars="200"/>
        <w:jc w:val="left"/>
        <w:rPr>
          <w:rFonts w:ascii="宋体" w:hAnsi="宋体" w:cs="宋体"/>
          <w:kern w:val="0"/>
        </w:rPr>
      </w:pPr>
      <w:r>
        <w:rPr>
          <w:rFonts w:hint="eastAsia" w:ascii="宋体" w:hAnsi="宋体" w:cs="宋体"/>
          <w:kern w:val="0"/>
        </w:rPr>
        <w:t>1.1.3.8临时设施：是指为完成合同约定的各项工作所服务的临时性生产和生活设施。</w:t>
      </w:r>
    </w:p>
    <w:p w14:paraId="420AA563">
      <w:pPr>
        <w:spacing w:line="360" w:lineRule="exact"/>
        <w:ind w:firstLine="420" w:firstLineChars="200"/>
        <w:jc w:val="left"/>
        <w:rPr>
          <w:rFonts w:ascii="宋体" w:hAnsi="宋体" w:cs="宋体"/>
          <w:kern w:val="0"/>
        </w:rPr>
      </w:pPr>
      <w:r>
        <w:rPr>
          <w:rFonts w:hint="eastAsia" w:ascii="宋体" w:hAnsi="宋体" w:cs="宋体"/>
          <w:kern w:val="0"/>
        </w:rPr>
        <w:t>1.1.3.9 永久占地：是指专用合同条款中指明为实施工程需永久占用的土地。</w:t>
      </w:r>
    </w:p>
    <w:p w14:paraId="79C353E6">
      <w:pPr>
        <w:spacing w:line="360" w:lineRule="exact"/>
        <w:ind w:firstLine="420" w:firstLineChars="200"/>
        <w:jc w:val="left"/>
        <w:rPr>
          <w:rFonts w:ascii="宋体" w:hAnsi="宋体" w:cs="宋体"/>
          <w:kern w:val="0"/>
        </w:rPr>
      </w:pPr>
      <w:r>
        <w:rPr>
          <w:rFonts w:hint="eastAsia" w:ascii="宋体" w:hAnsi="宋体" w:cs="宋体"/>
          <w:kern w:val="0"/>
        </w:rPr>
        <w:t>1.1.3.10 临时占地：是指专用合同条款中指明为实施工程需要临时占用的土地。</w:t>
      </w:r>
    </w:p>
    <w:p w14:paraId="721345F6">
      <w:pPr>
        <w:spacing w:line="360" w:lineRule="exact"/>
        <w:ind w:firstLine="420" w:firstLineChars="200"/>
        <w:jc w:val="left"/>
        <w:rPr>
          <w:rFonts w:ascii="宋体" w:hAnsi="宋体" w:cs="宋体"/>
          <w:kern w:val="0"/>
        </w:rPr>
      </w:pPr>
      <w:r>
        <w:rPr>
          <w:rFonts w:hint="eastAsia" w:ascii="宋体" w:hAnsi="宋体" w:cs="宋体"/>
          <w:kern w:val="0"/>
        </w:rPr>
        <w:t>1.1.4 日期和期限</w:t>
      </w:r>
    </w:p>
    <w:p w14:paraId="43F1CE21">
      <w:pPr>
        <w:spacing w:line="360" w:lineRule="exact"/>
        <w:ind w:firstLine="420" w:firstLineChars="200"/>
        <w:jc w:val="left"/>
        <w:rPr>
          <w:rFonts w:ascii="宋体" w:hAnsi="宋体" w:cs="宋体"/>
          <w:kern w:val="0"/>
        </w:rPr>
      </w:pPr>
      <w:r>
        <w:rPr>
          <w:rFonts w:hint="eastAsia" w:ascii="宋体" w:hAnsi="宋体" w:cs="宋体"/>
          <w:kern w:val="0"/>
        </w:rPr>
        <w:t>1.1.4.1 开工日期：包括计划开工日期和实际开工日期。计划开工日期是指合同协议书约定的开工日期；实际开工日期是指监理人按照第7.3.2项〔开工通知〕约定发出的符合法律规定的开工通知中载明的开工日期。</w:t>
      </w:r>
    </w:p>
    <w:p w14:paraId="28293B62">
      <w:pPr>
        <w:spacing w:line="360" w:lineRule="exact"/>
        <w:ind w:firstLine="420" w:firstLineChars="200"/>
        <w:jc w:val="left"/>
        <w:rPr>
          <w:rFonts w:ascii="宋体" w:hAnsi="宋体" w:cs="宋体"/>
          <w:kern w:val="0"/>
        </w:rPr>
      </w:pPr>
      <w:r>
        <w:rPr>
          <w:rFonts w:hint="eastAsia" w:ascii="宋体" w:hAnsi="宋体" w:cs="宋体"/>
          <w:kern w:val="0"/>
        </w:rPr>
        <w:t xml:space="preserve">1.1.4.2 竣工日期：包括计划竣工日期和实际竣工日期。计划竣工日期是指合同协议书约定的竣工日期；实际竣工日期按照第13.2.3项〔竣工日期〕的约定确定。 </w:t>
      </w:r>
    </w:p>
    <w:p w14:paraId="1FFBA540">
      <w:pPr>
        <w:spacing w:line="360" w:lineRule="exact"/>
        <w:ind w:firstLine="426" w:firstLineChars="203"/>
        <w:rPr>
          <w:rFonts w:ascii="宋体" w:hAnsi="宋体" w:cs="宋体"/>
        </w:rPr>
      </w:pPr>
      <w:r>
        <w:rPr>
          <w:rFonts w:hint="eastAsia" w:ascii="宋体" w:hAnsi="宋体" w:cs="宋体"/>
          <w:kern w:val="0"/>
        </w:rPr>
        <w:t>1.1.4.3 工期：是指在合同协议书约定的承包人完成工程所需的期限，包括按照合同约定所作的期限变更。</w:t>
      </w:r>
    </w:p>
    <w:p w14:paraId="41AD22B3">
      <w:pPr>
        <w:spacing w:line="360" w:lineRule="exact"/>
        <w:ind w:firstLine="420" w:firstLineChars="200"/>
        <w:jc w:val="left"/>
        <w:rPr>
          <w:rFonts w:ascii="宋体" w:hAnsi="宋体" w:cs="宋体"/>
          <w:kern w:val="0"/>
        </w:rPr>
      </w:pPr>
      <w:r>
        <w:rPr>
          <w:rFonts w:hint="eastAsia" w:ascii="宋体" w:hAnsi="宋体" w:cs="宋体"/>
          <w:kern w:val="0"/>
        </w:rPr>
        <w:t>1.1.4.4 缺陷责任期：是指承包人按照合同约定承担缺陷修复义务，且发包人预留质量保证金（已交纳履约保证金的除外）的期限，自工程实际竣工日期起计算。</w:t>
      </w:r>
    </w:p>
    <w:p w14:paraId="06E6ACEB">
      <w:pPr>
        <w:spacing w:line="360" w:lineRule="exact"/>
        <w:ind w:firstLine="420" w:firstLineChars="200"/>
        <w:jc w:val="left"/>
        <w:rPr>
          <w:rFonts w:ascii="宋体" w:hAnsi="宋体" w:cs="宋体"/>
          <w:kern w:val="0"/>
        </w:rPr>
      </w:pPr>
      <w:r>
        <w:rPr>
          <w:rFonts w:hint="eastAsia" w:ascii="宋体" w:hAnsi="宋体" w:cs="宋体"/>
          <w:kern w:val="0"/>
        </w:rPr>
        <w:t>1.1.4.5 保修期：是指承包人按照合同约定对工程承担保修责任的期限，从工程竣工验收合格之日起计算。</w:t>
      </w:r>
    </w:p>
    <w:p w14:paraId="59F63E88">
      <w:pPr>
        <w:spacing w:line="360" w:lineRule="exact"/>
        <w:ind w:firstLine="420" w:firstLineChars="200"/>
        <w:jc w:val="left"/>
        <w:rPr>
          <w:rFonts w:ascii="宋体" w:hAnsi="宋体" w:cs="宋体"/>
          <w:kern w:val="0"/>
        </w:rPr>
      </w:pPr>
      <w:r>
        <w:rPr>
          <w:rFonts w:hint="eastAsia" w:ascii="宋体" w:hAnsi="宋体" w:cs="宋体"/>
          <w:kern w:val="0"/>
        </w:rPr>
        <w:t>1.1.4.6 基准日期：招标发包的工程以投标截止日前28天的日期为基准日期，直接发包的工程以合同签订日前28天的日期为基准日期。</w:t>
      </w:r>
    </w:p>
    <w:p w14:paraId="1C1C866C">
      <w:pPr>
        <w:spacing w:line="360" w:lineRule="exact"/>
        <w:ind w:firstLine="420" w:firstLineChars="200"/>
        <w:jc w:val="left"/>
        <w:rPr>
          <w:rFonts w:ascii="宋体" w:hAnsi="宋体" w:cs="宋体"/>
          <w:kern w:val="0"/>
        </w:rPr>
      </w:pPr>
      <w:r>
        <w:rPr>
          <w:rFonts w:hint="eastAsia" w:ascii="宋体" w:hAnsi="宋体" w:cs="宋体"/>
          <w:kern w:val="0"/>
        </w:rPr>
        <w:t>1.1.4.7 天：除特别指明外，均指日历天。合同中按天计算时间的，开始当天不计入，从次日开始计算，期限最后一天的截止时间为当天24:00时。</w:t>
      </w:r>
    </w:p>
    <w:p w14:paraId="32CC428D">
      <w:pPr>
        <w:spacing w:line="360" w:lineRule="exact"/>
        <w:ind w:firstLine="420" w:firstLineChars="200"/>
        <w:jc w:val="left"/>
        <w:rPr>
          <w:rFonts w:ascii="宋体" w:hAnsi="宋体" w:cs="宋体"/>
          <w:kern w:val="0"/>
        </w:rPr>
      </w:pPr>
      <w:r>
        <w:rPr>
          <w:rFonts w:hint="eastAsia" w:ascii="宋体" w:hAnsi="宋体" w:cs="宋体"/>
          <w:kern w:val="0"/>
        </w:rPr>
        <w:t>1.1.5 合同价格和费用</w:t>
      </w:r>
    </w:p>
    <w:p w14:paraId="396A30A2">
      <w:pPr>
        <w:spacing w:line="360" w:lineRule="exact"/>
        <w:ind w:firstLine="420" w:firstLineChars="200"/>
        <w:jc w:val="left"/>
        <w:rPr>
          <w:rFonts w:ascii="宋体" w:hAnsi="宋体" w:cs="宋体"/>
        </w:rPr>
      </w:pPr>
      <w:r>
        <w:rPr>
          <w:rFonts w:hint="eastAsia" w:ascii="宋体" w:hAnsi="宋体" w:cs="宋体"/>
          <w:kern w:val="0"/>
        </w:rPr>
        <w:t>1.1.5.1 签约合同价：是指</w:t>
      </w:r>
      <w:r>
        <w:rPr>
          <w:rFonts w:hint="eastAsia" w:ascii="宋体" w:hAnsi="宋体" w:cs="宋体"/>
        </w:rPr>
        <w:t>发包人和承包人在合同协议书中确定的总金额，包括安全文明施工费、暂估价及暂列金额等。</w:t>
      </w:r>
    </w:p>
    <w:p w14:paraId="4DAE1384">
      <w:pPr>
        <w:spacing w:line="360" w:lineRule="exact"/>
        <w:ind w:firstLine="420" w:firstLineChars="200"/>
        <w:jc w:val="left"/>
        <w:rPr>
          <w:rFonts w:ascii="宋体" w:hAnsi="宋体" w:cs="宋体"/>
          <w:kern w:val="0"/>
        </w:rPr>
      </w:pPr>
      <w:r>
        <w:rPr>
          <w:rFonts w:hint="eastAsia" w:ascii="宋体" w:hAnsi="宋体" w:cs="宋体"/>
          <w:kern w:val="0"/>
        </w:rPr>
        <w:t>1.1.5.2 合同价格：是指发包人用于支付承包人按照合同约定完成承包范围内全部工作的金额，包括合同履行过程中按合同约定发生的价格变化。</w:t>
      </w:r>
    </w:p>
    <w:p w14:paraId="6FF590D3">
      <w:pPr>
        <w:spacing w:line="360" w:lineRule="exact"/>
        <w:ind w:firstLine="420" w:firstLineChars="200"/>
        <w:jc w:val="left"/>
        <w:rPr>
          <w:rFonts w:ascii="宋体" w:hAnsi="宋体" w:cs="宋体"/>
          <w:kern w:val="0"/>
        </w:rPr>
      </w:pPr>
      <w:r>
        <w:rPr>
          <w:rFonts w:hint="eastAsia" w:ascii="宋体" w:hAnsi="宋体" w:cs="宋体"/>
          <w:kern w:val="0"/>
        </w:rPr>
        <w:t>1.1.5.3 费用：是指为履行合同所发生的或将要发生的所有必需的开支，包括管理费和应分摊的其他费用，但不包括利润。</w:t>
      </w:r>
    </w:p>
    <w:p w14:paraId="14180C72">
      <w:pPr>
        <w:spacing w:line="360" w:lineRule="exact"/>
        <w:ind w:firstLine="420" w:firstLineChars="200"/>
        <w:jc w:val="left"/>
        <w:rPr>
          <w:rFonts w:ascii="宋体" w:hAnsi="宋体" w:cs="宋体"/>
          <w:kern w:val="0"/>
        </w:rPr>
      </w:pPr>
      <w:r>
        <w:rPr>
          <w:rFonts w:hint="eastAsia" w:ascii="宋体" w:hAnsi="宋体" w:cs="宋体"/>
          <w:kern w:val="0"/>
        </w:rPr>
        <w:t>1.1.5.4 暂估价：是指发包人在工程量清单或预算书中提供的用于支付必然发生但暂时不能确定价格的材料、工程设备的单价、专业工程以及服务工作的金额。</w:t>
      </w:r>
    </w:p>
    <w:p w14:paraId="13EA53CD">
      <w:pPr>
        <w:spacing w:line="360" w:lineRule="exact"/>
        <w:ind w:firstLine="420" w:firstLineChars="200"/>
        <w:jc w:val="left"/>
        <w:rPr>
          <w:rFonts w:ascii="宋体" w:hAnsi="宋体" w:cs="宋体"/>
          <w:kern w:val="0"/>
        </w:rPr>
      </w:pPr>
      <w:r>
        <w:rPr>
          <w:rFonts w:hint="eastAsia" w:ascii="宋体" w:hAnsi="宋体" w:cs="宋体"/>
          <w:kern w:val="0"/>
        </w:rPr>
        <w:t>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14:paraId="7E04B5AF">
      <w:pPr>
        <w:spacing w:line="360" w:lineRule="exact"/>
        <w:ind w:firstLine="420" w:firstLineChars="200"/>
        <w:jc w:val="left"/>
        <w:rPr>
          <w:rFonts w:ascii="宋体" w:hAnsi="宋体" w:cs="宋体"/>
          <w:kern w:val="0"/>
        </w:rPr>
      </w:pPr>
      <w:r>
        <w:rPr>
          <w:rFonts w:hint="eastAsia" w:ascii="宋体" w:hAnsi="宋体" w:cs="宋体"/>
          <w:kern w:val="0"/>
        </w:rPr>
        <w:t>1.1.5.6 计日工：是指合同履行过程中，承包人完成发包人提出的零星工作或需要采用计日工计价的变更工作时，按合同中约定的单价计价的一种方式。</w:t>
      </w:r>
    </w:p>
    <w:p w14:paraId="6C64C185">
      <w:pPr>
        <w:spacing w:line="360" w:lineRule="exact"/>
        <w:ind w:firstLine="420" w:firstLineChars="200"/>
        <w:jc w:val="left"/>
        <w:rPr>
          <w:rFonts w:ascii="宋体" w:hAnsi="宋体" w:cs="宋体"/>
        </w:rPr>
      </w:pPr>
      <w:r>
        <w:rPr>
          <w:rFonts w:hint="eastAsia" w:ascii="宋体" w:hAnsi="宋体" w:cs="宋体"/>
          <w:kern w:val="0"/>
        </w:rPr>
        <w:t>1.1.5.7 质量保证金</w:t>
      </w:r>
      <w:bookmarkStart w:id="193" w:name="#go2"/>
      <w:bookmarkEnd w:id="193"/>
      <w:r>
        <w:rPr>
          <w:rFonts w:hint="eastAsia" w:ascii="宋体" w:hAnsi="宋体" w:cs="宋体"/>
          <w:kern w:val="0"/>
        </w:rPr>
        <w:t>：是指按照第15.3款〔质量保证金〕约定承包人用于保证其在缺陷责任期内履行缺陷修补义务的担保</w:t>
      </w:r>
      <w:r>
        <w:rPr>
          <w:rFonts w:hint="eastAsia" w:ascii="宋体" w:hAnsi="宋体" w:cs="宋体"/>
        </w:rPr>
        <w:t>。</w:t>
      </w:r>
    </w:p>
    <w:p w14:paraId="7DFFB5DA">
      <w:pPr>
        <w:spacing w:line="360" w:lineRule="exact"/>
        <w:ind w:firstLine="420" w:firstLineChars="200"/>
        <w:jc w:val="left"/>
        <w:rPr>
          <w:rFonts w:ascii="宋体" w:hAnsi="宋体" w:cs="宋体"/>
          <w:kern w:val="0"/>
        </w:rPr>
      </w:pPr>
      <w:r>
        <w:rPr>
          <w:rFonts w:hint="eastAsia" w:ascii="宋体" w:hAnsi="宋体" w:cs="宋体"/>
          <w:kern w:val="0"/>
        </w:rPr>
        <w:t>1.1.5.8 总价项目：是指在现行国家、行业以及地方的计量规则中无工程量计算规则，在已标价工程量清单或预算书中以总价或以费率形式计算的项目。</w:t>
      </w:r>
    </w:p>
    <w:p w14:paraId="53D8D4D4">
      <w:pPr>
        <w:spacing w:line="360" w:lineRule="exact"/>
        <w:ind w:firstLine="420" w:firstLineChars="200"/>
        <w:jc w:val="left"/>
        <w:rPr>
          <w:rFonts w:ascii="宋体" w:hAnsi="宋体" w:cs="宋体"/>
        </w:rPr>
      </w:pPr>
      <w:r>
        <w:rPr>
          <w:rFonts w:hint="eastAsia" w:ascii="宋体" w:hAnsi="宋体" w:cs="宋体"/>
        </w:rPr>
        <w:t>1.1.6 其他</w:t>
      </w:r>
    </w:p>
    <w:p w14:paraId="5AB189FE">
      <w:pPr>
        <w:spacing w:line="360" w:lineRule="exact"/>
        <w:ind w:firstLine="420" w:firstLineChars="200"/>
        <w:jc w:val="left"/>
        <w:rPr>
          <w:rFonts w:ascii="宋体" w:hAnsi="宋体" w:cs="宋体"/>
        </w:rPr>
      </w:pPr>
      <w:r>
        <w:rPr>
          <w:rFonts w:hint="eastAsia" w:ascii="宋体" w:hAnsi="宋体" w:cs="宋体"/>
        </w:rPr>
        <w:t>1.1.6.1 书面形式：是指合同文件、信函、电报、传真等可以有形地表现所载内容的形式。</w:t>
      </w:r>
    </w:p>
    <w:p w14:paraId="36F78F52">
      <w:pPr>
        <w:pStyle w:val="8"/>
        <w:overflowPunct/>
        <w:spacing w:before="120" w:after="120" w:line="360" w:lineRule="exact"/>
        <w:rPr>
          <w:rFonts w:ascii="宋体" w:hAnsi="宋体" w:cs="宋体"/>
          <w:b w:val="0"/>
          <w:sz w:val="21"/>
          <w:szCs w:val="21"/>
        </w:rPr>
      </w:pPr>
      <w:r>
        <w:rPr>
          <w:rFonts w:hint="eastAsia" w:ascii="宋体" w:hAnsi="宋体" w:cs="宋体"/>
          <w:b w:val="0"/>
          <w:sz w:val="21"/>
          <w:szCs w:val="21"/>
        </w:rPr>
        <w:t xml:space="preserve">    </w:t>
      </w:r>
      <w:bookmarkStart w:id="194" w:name="_Toc296346530"/>
      <w:bookmarkStart w:id="195" w:name="_Toc337558729"/>
      <w:bookmarkStart w:id="196" w:name="_Toc351203497"/>
      <w:bookmarkStart w:id="197" w:name="_Toc296503029"/>
      <w:r>
        <w:rPr>
          <w:rFonts w:hint="eastAsia" w:ascii="宋体" w:hAnsi="宋体" w:cs="宋体"/>
          <w:b w:val="0"/>
          <w:sz w:val="21"/>
          <w:szCs w:val="21"/>
        </w:rPr>
        <w:t>1.2语言文字</w:t>
      </w:r>
      <w:bookmarkEnd w:id="194"/>
      <w:bookmarkEnd w:id="195"/>
      <w:bookmarkEnd w:id="196"/>
      <w:bookmarkEnd w:id="197"/>
    </w:p>
    <w:p w14:paraId="458E5C78">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合同以中国的汉语简体文字编写、解释和说明。合同当事人在专用合同条款中约定使用两种以上语言时，汉语为优先解释和说明合同的语言。</w:t>
      </w:r>
    </w:p>
    <w:p w14:paraId="4D6C1C62">
      <w:pPr>
        <w:pStyle w:val="8"/>
        <w:overflowPunct/>
        <w:spacing w:before="120" w:after="120" w:line="360" w:lineRule="exact"/>
        <w:ind w:firstLine="420" w:firstLineChars="200"/>
        <w:rPr>
          <w:rFonts w:ascii="宋体" w:hAnsi="宋体" w:cs="宋体"/>
          <w:b w:val="0"/>
          <w:sz w:val="21"/>
          <w:szCs w:val="21"/>
        </w:rPr>
      </w:pPr>
      <w:bookmarkStart w:id="198" w:name="_Toc337558730"/>
      <w:bookmarkStart w:id="199" w:name="_Toc296503030"/>
      <w:bookmarkStart w:id="200" w:name="_Toc351203498"/>
      <w:bookmarkStart w:id="201" w:name="_Toc296346531"/>
      <w:r>
        <w:rPr>
          <w:rFonts w:hint="eastAsia" w:ascii="宋体" w:hAnsi="宋体" w:cs="宋体"/>
          <w:b w:val="0"/>
          <w:sz w:val="21"/>
          <w:szCs w:val="21"/>
        </w:rPr>
        <w:t>1.3法律</w:t>
      </w:r>
      <w:bookmarkEnd w:id="198"/>
      <w:bookmarkEnd w:id="199"/>
      <w:bookmarkEnd w:id="200"/>
      <w:bookmarkEnd w:id="201"/>
    </w:p>
    <w:p w14:paraId="5E7EE5D2">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合同所称法律是指中华人民共和国法律、行政法规、部门规章，以及工程所在地的地方性法规、自治条例、单行条例和地方政府规章等。</w:t>
      </w:r>
    </w:p>
    <w:p w14:paraId="0ADEEE35">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合同当事人可以在专用合同条款中约定合同适用的其他规范性文件。</w:t>
      </w:r>
    </w:p>
    <w:p w14:paraId="5DE920AA">
      <w:pPr>
        <w:pStyle w:val="8"/>
        <w:overflowPunct/>
        <w:spacing w:before="120" w:after="120" w:line="360" w:lineRule="exact"/>
        <w:ind w:firstLine="420" w:firstLineChars="200"/>
        <w:rPr>
          <w:rFonts w:ascii="宋体" w:hAnsi="宋体" w:cs="宋体"/>
          <w:b w:val="0"/>
          <w:sz w:val="21"/>
          <w:szCs w:val="21"/>
        </w:rPr>
      </w:pPr>
      <w:bookmarkStart w:id="202" w:name="_Toc351203499"/>
      <w:r>
        <w:rPr>
          <w:rFonts w:hint="eastAsia" w:ascii="宋体" w:hAnsi="宋体" w:cs="宋体"/>
          <w:b w:val="0"/>
          <w:sz w:val="21"/>
          <w:szCs w:val="21"/>
        </w:rPr>
        <w:t>1.4 标准和规范</w:t>
      </w:r>
      <w:bookmarkEnd w:id="202"/>
    </w:p>
    <w:p w14:paraId="6E470CA4">
      <w:pPr>
        <w:autoSpaceDE w:val="0"/>
        <w:autoSpaceDN w:val="0"/>
        <w:adjustRightInd w:val="0"/>
        <w:spacing w:line="360" w:lineRule="exact"/>
        <w:ind w:firstLine="640"/>
        <w:jc w:val="left"/>
        <w:rPr>
          <w:rFonts w:ascii="宋体" w:hAnsi="宋体" w:cs="宋体"/>
          <w:kern w:val="0"/>
        </w:rPr>
      </w:pPr>
      <w:r>
        <w:rPr>
          <w:rFonts w:hint="eastAsia" w:ascii="宋体" w:hAnsi="宋体" w:cs="宋体"/>
          <w:kern w:val="0"/>
        </w:rPr>
        <w:t>1.4.1 适用于工程的国家标准、行业标准、工程所在地的地方性标准，以及相应的规范、规程等，合同当事人有特别要求的，应在专用合同条款中约定。</w:t>
      </w:r>
    </w:p>
    <w:p w14:paraId="0D671990">
      <w:pPr>
        <w:autoSpaceDE w:val="0"/>
        <w:autoSpaceDN w:val="0"/>
        <w:adjustRightInd w:val="0"/>
        <w:spacing w:line="360" w:lineRule="exact"/>
        <w:ind w:firstLine="640"/>
        <w:jc w:val="left"/>
        <w:rPr>
          <w:rFonts w:ascii="宋体" w:hAnsi="宋体" w:cs="宋体"/>
          <w:kern w:val="0"/>
        </w:rPr>
      </w:pPr>
      <w:r>
        <w:rPr>
          <w:rFonts w:hint="eastAsia" w:ascii="宋体" w:hAnsi="宋体" w:cs="宋体"/>
          <w:kern w:val="0"/>
        </w:rPr>
        <w:t>1.4.2 发包人要求使用国外标准、规范的，发包人负责提供原文版本和中文译本，并在专用合同条款中约定提供标准规范的名称、份数和时间。</w:t>
      </w:r>
    </w:p>
    <w:p w14:paraId="1DB5BEB3">
      <w:pPr>
        <w:autoSpaceDE w:val="0"/>
        <w:autoSpaceDN w:val="0"/>
        <w:adjustRightInd w:val="0"/>
        <w:spacing w:line="360" w:lineRule="exact"/>
        <w:ind w:firstLine="640"/>
        <w:jc w:val="left"/>
        <w:rPr>
          <w:rFonts w:ascii="宋体" w:hAnsi="宋体" w:cs="宋体"/>
          <w:kern w:val="0"/>
        </w:rPr>
      </w:pPr>
      <w:r>
        <w:rPr>
          <w:rFonts w:hint="eastAsia" w:ascii="宋体" w:hAnsi="宋体" w:cs="宋体"/>
          <w:kern w:val="0"/>
        </w:rPr>
        <w:t>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14:paraId="7F4D42B3">
      <w:pPr>
        <w:pStyle w:val="8"/>
        <w:overflowPunct/>
        <w:spacing w:before="120" w:after="120" w:line="360" w:lineRule="exact"/>
        <w:ind w:firstLine="420" w:firstLineChars="200"/>
        <w:rPr>
          <w:rFonts w:ascii="宋体" w:hAnsi="宋体" w:cs="宋体"/>
          <w:b w:val="0"/>
          <w:sz w:val="21"/>
          <w:szCs w:val="21"/>
        </w:rPr>
      </w:pPr>
      <w:bookmarkStart w:id="203" w:name="_Toc351203500"/>
      <w:r>
        <w:rPr>
          <w:rFonts w:hint="eastAsia" w:ascii="宋体" w:hAnsi="宋体" w:cs="宋体"/>
          <w:b w:val="0"/>
          <w:sz w:val="21"/>
          <w:szCs w:val="21"/>
        </w:rPr>
        <w:t>1</w:t>
      </w:r>
      <w:bookmarkStart w:id="204" w:name="_Toc296346532"/>
      <w:bookmarkStart w:id="205" w:name="_Toc337558731"/>
      <w:bookmarkStart w:id="206" w:name="_Toc296503031"/>
      <w:r>
        <w:rPr>
          <w:rFonts w:hint="eastAsia" w:ascii="宋体" w:hAnsi="宋体" w:cs="宋体"/>
          <w:b w:val="0"/>
          <w:sz w:val="21"/>
          <w:szCs w:val="21"/>
        </w:rPr>
        <w:t>.5 合同文件的优先顺序</w:t>
      </w:r>
      <w:bookmarkEnd w:id="203"/>
    </w:p>
    <w:bookmarkEnd w:id="204"/>
    <w:bookmarkEnd w:id="205"/>
    <w:bookmarkEnd w:id="206"/>
    <w:p w14:paraId="7A800A5A">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组成合同的各项文件应互相解释，互为说明。除专用合同条款另有约定外，解释合同文件的优先顺序如下：</w:t>
      </w:r>
    </w:p>
    <w:p w14:paraId="36823CA4">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（1）合同协议书；</w:t>
      </w:r>
    </w:p>
    <w:p w14:paraId="0D3E701E">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（2）中标通知书（如果有）；</w:t>
      </w:r>
    </w:p>
    <w:p w14:paraId="360C6772">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（3）投标函及其附录（如果有）；</w:t>
      </w:r>
    </w:p>
    <w:p w14:paraId="1BACE01E">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（4）专用合同条款</w:t>
      </w:r>
      <w:r>
        <w:rPr>
          <w:rFonts w:hint="eastAsia" w:ascii="宋体" w:hAnsi="宋体" w:cs="宋体"/>
        </w:rPr>
        <w:t>及其附件</w:t>
      </w:r>
      <w:r>
        <w:rPr>
          <w:rFonts w:hint="eastAsia" w:ascii="宋体" w:hAnsi="宋体" w:cs="宋体"/>
          <w:kern w:val="0"/>
        </w:rPr>
        <w:t>；</w:t>
      </w:r>
    </w:p>
    <w:p w14:paraId="0A95EBC5">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（5）通用合同条款；</w:t>
      </w:r>
    </w:p>
    <w:p w14:paraId="77639386">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（6）技术标准和要求；</w:t>
      </w:r>
    </w:p>
    <w:p w14:paraId="513928A7">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（7）图纸；</w:t>
      </w:r>
    </w:p>
    <w:p w14:paraId="1323CF0C">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（8）已标价工程量清单或预算书；</w:t>
      </w:r>
    </w:p>
    <w:p w14:paraId="1BBDC093">
      <w:pPr>
        <w:autoSpaceDE w:val="0"/>
        <w:autoSpaceDN w:val="0"/>
        <w:adjustRightInd w:val="0"/>
        <w:spacing w:line="360" w:lineRule="exact"/>
        <w:ind w:firstLine="420" w:firstLineChars="200"/>
        <w:jc w:val="left"/>
        <w:rPr>
          <w:rFonts w:ascii="宋体" w:hAnsi="宋体" w:cs="宋体"/>
        </w:rPr>
      </w:pPr>
      <w:r>
        <w:rPr>
          <w:rFonts w:hint="eastAsia" w:ascii="宋体" w:hAnsi="宋体" w:cs="宋体"/>
          <w:kern w:val="0"/>
        </w:rPr>
        <w:t>（9）其他合同文件。</w:t>
      </w:r>
    </w:p>
    <w:p w14:paraId="0F284852">
      <w:pPr>
        <w:spacing w:line="360" w:lineRule="exact"/>
        <w:ind w:firstLine="447" w:firstLineChars="213"/>
        <w:rPr>
          <w:rFonts w:ascii="宋体" w:hAnsi="宋体" w:cs="宋体"/>
        </w:rPr>
      </w:pPr>
      <w:r>
        <w:rPr>
          <w:rFonts w:hint="eastAsia" w:ascii="宋体" w:hAnsi="宋体" w:cs="宋体"/>
        </w:rPr>
        <w:t>上述各项合同文件包括合同当事人就该项合同文件所作出的补充和修改，属于同一类内容的文件，应以最新签署的为准。</w:t>
      </w:r>
    </w:p>
    <w:p w14:paraId="01F3B88F">
      <w:pPr>
        <w:spacing w:line="360" w:lineRule="exact"/>
        <w:ind w:firstLine="447" w:firstLineChars="213"/>
        <w:rPr>
          <w:rFonts w:ascii="宋体" w:hAnsi="宋体" w:cs="宋体"/>
        </w:rPr>
      </w:pPr>
      <w:r>
        <w:rPr>
          <w:rFonts w:hint="eastAsia" w:ascii="宋体" w:hAnsi="宋体" w:cs="宋体"/>
        </w:rPr>
        <w:t>在合同订立及履行过程中形成的与合同有关的文件均构成合同文件组成部分，并根据其性质确定优先解释顺序。</w:t>
      </w:r>
    </w:p>
    <w:p w14:paraId="5A7DD54A">
      <w:pPr>
        <w:pStyle w:val="8"/>
        <w:overflowPunct/>
        <w:spacing w:before="120" w:after="120" w:line="360" w:lineRule="exact"/>
        <w:ind w:firstLine="420" w:firstLineChars="200"/>
        <w:rPr>
          <w:rFonts w:ascii="宋体" w:hAnsi="宋体" w:cs="宋体"/>
          <w:b w:val="0"/>
          <w:sz w:val="21"/>
          <w:szCs w:val="21"/>
        </w:rPr>
      </w:pPr>
      <w:bookmarkStart w:id="207" w:name="_Toc351203501"/>
      <w:r>
        <w:rPr>
          <w:rFonts w:hint="eastAsia" w:ascii="宋体" w:hAnsi="宋体" w:cs="宋体"/>
          <w:b w:val="0"/>
          <w:sz w:val="21"/>
          <w:szCs w:val="21"/>
        </w:rPr>
        <w:t>1</w:t>
      </w:r>
      <w:bookmarkStart w:id="208" w:name="_Toc337558732"/>
      <w:bookmarkStart w:id="209" w:name="_Toc296346533"/>
      <w:bookmarkStart w:id="210" w:name="_Toc296503032"/>
      <w:r>
        <w:rPr>
          <w:rFonts w:hint="eastAsia" w:ascii="宋体" w:hAnsi="宋体" w:cs="宋体"/>
          <w:b w:val="0"/>
          <w:sz w:val="21"/>
          <w:szCs w:val="21"/>
        </w:rPr>
        <w:t>.6图纸和承包人文件</w:t>
      </w:r>
      <w:bookmarkEnd w:id="207"/>
    </w:p>
    <w:bookmarkEnd w:id="208"/>
    <w:bookmarkEnd w:id="209"/>
    <w:bookmarkEnd w:id="210"/>
    <w:p w14:paraId="161783B9">
      <w:pPr>
        <w:spacing w:line="360" w:lineRule="exact"/>
        <w:ind w:firstLine="420" w:firstLineChars="200"/>
        <w:jc w:val="left"/>
        <w:rPr>
          <w:rFonts w:ascii="宋体" w:hAnsi="宋体" w:cs="宋体"/>
          <w:kern w:val="0"/>
        </w:rPr>
      </w:pPr>
      <w:r>
        <w:rPr>
          <w:rFonts w:hint="eastAsia" w:ascii="宋体" w:hAnsi="宋体" w:cs="宋体"/>
          <w:kern w:val="0"/>
        </w:rPr>
        <w:t>1.6.1 图纸的提供和交底</w:t>
      </w:r>
    </w:p>
    <w:p w14:paraId="0BBD853B">
      <w:pPr>
        <w:spacing w:line="360" w:lineRule="exact"/>
        <w:ind w:firstLine="420" w:firstLineChars="200"/>
        <w:jc w:val="left"/>
        <w:rPr>
          <w:rFonts w:ascii="宋体" w:hAnsi="宋体" w:cs="宋体"/>
          <w:kern w:val="0"/>
        </w:rPr>
      </w:pPr>
      <w:r>
        <w:rPr>
          <w:rFonts w:hint="eastAsia" w:ascii="宋体" w:hAnsi="宋体" w:cs="宋体"/>
          <w:kern w:val="0"/>
        </w:rPr>
        <w:t>发包人应按照专用合同条款约定的期限、数量和内容向承包人免费提供图纸，并组织承包人、监理人和设计人进行图纸会审和设计交底。发包人至迟不得晚于第7.3.2项〔开工通知〕载明的开工日期前14天向承包人提供图纸。</w:t>
      </w:r>
    </w:p>
    <w:p w14:paraId="789FCA77">
      <w:pPr>
        <w:spacing w:line="360" w:lineRule="exact"/>
        <w:ind w:firstLine="420" w:firstLineChars="200"/>
        <w:jc w:val="left"/>
        <w:rPr>
          <w:rFonts w:ascii="宋体" w:hAnsi="宋体" w:cs="宋体"/>
          <w:kern w:val="0"/>
        </w:rPr>
      </w:pPr>
      <w:r>
        <w:rPr>
          <w:rFonts w:hint="eastAsia" w:ascii="宋体" w:hAnsi="宋体" w:cs="宋体"/>
          <w:kern w:val="0"/>
        </w:rPr>
        <w:t>因发包人未按合同约定提供图纸导致承包人费用增加和（或）工期延误的，按照第7.5.1项〔因发包人原因导致工期延误〕约定办理。</w:t>
      </w:r>
    </w:p>
    <w:p w14:paraId="5AD32A97">
      <w:pPr>
        <w:spacing w:line="360" w:lineRule="exact"/>
        <w:ind w:firstLine="420" w:firstLineChars="200"/>
        <w:jc w:val="left"/>
        <w:rPr>
          <w:rFonts w:ascii="宋体" w:hAnsi="宋体" w:cs="宋体"/>
          <w:kern w:val="0"/>
        </w:rPr>
      </w:pPr>
      <w:r>
        <w:rPr>
          <w:rFonts w:hint="eastAsia" w:ascii="宋体" w:hAnsi="宋体" w:cs="宋体"/>
          <w:kern w:val="0"/>
        </w:rPr>
        <w:t>1.6.2 图纸的错误</w:t>
      </w:r>
    </w:p>
    <w:p w14:paraId="79399EBE">
      <w:pPr>
        <w:spacing w:line="360" w:lineRule="exact"/>
        <w:ind w:firstLine="420" w:firstLineChars="200"/>
        <w:jc w:val="left"/>
        <w:rPr>
          <w:rFonts w:ascii="宋体" w:hAnsi="宋体" w:cs="宋体"/>
          <w:kern w:val="0"/>
        </w:rPr>
      </w:pPr>
      <w:r>
        <w:rPr>
          <w:rFonts w:hint="eastAsia" w:ascii="宋体" w:hAnsi="宋体" w:cs="宋体"/>
          <w:kern w:val="0"/>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14:paraId="2BCABF0B">
      <w:pPr>
        <w:spacing w:line="360" w:lineRule="exact"/>
        <w:ind w:firstLine="420" w:firstLineChars="200"/>
        <w:jc w:val="left"/>
        <w:rPr>
          <w:rFonts w:ascii="宋体" w:hAnsi="宋体" w:cs="宋体"/>
          <w:kern w:val="0"/>
        </w:rPr>
      </w:pPr>
      <w:r>
        <w:rPr>
          <w:rFonts w:hint="eastAsia" w:ascii="宋体" w:hAnsi="宋体" w:cs="宋体"/>
          <w:kern w:val="0"/>
        </w:rPr>
        <w:t>1.6.3 图纸的修改和补充</w:t>
      </w:r>
    </w:p>
    <w:p w14:paraId="442C5338">
      <w:pPr>
        <w:spacing w:line="360" w:lineRule="exact"/>
        <w:ind w:firstLine="420" w:firstLineChars="200"/>
        <w:jc w:val="left"/>
        <w:rPr>
          <w:rFonts w:ascii="宋体" w:hAnsi="宋体" w:cs="宋体"/>
          <w:kern w:val="0"/>
        </w:rPr>
      </w:pPr>
      <w:r>
        <w:rPr>
          <w:rFonts w:hint="eastAsia" w:ascii="宋体" w:hAnsi="宋体" w:cs="宋体"/>
          <w:kern w:val="0"/>
        </w:rPr>
        <w:t>图纸需要修改和补充的，应经图纸原设计人及审批部门同意，并由监理人在工程或工程相应部位施工前将修改后的图纸或补充图纸提交给承包人，承包人应按修改或补充后的图纸施工。</w:t>
      </w:r>
    </w:p>
    <w:p w14:paraId="31F4C8E9">
      <w:pPr>
        <w:spacing w:line="360" w:lineRule="exact"/>
        <w:ind w:firstLine="420" w:firstLineChars="200"/>
        <w:jc w:val="left"/>
        <w:rPr>
          <w:rFonts w:ascii="宋体" w:hAnsi="宋体" w:cs="宋体"/>
          <w:kern w:val="0"/>
        </w:rPr>
      </w:pPr>
      <w:r>
        <w:rPr>
          <w:rFonts w:hint="eastAsia" w:ascii="宋体" w:hAnsi="宋体" w:cs="宋体"/>
          <w:kern w:val="0"/>
        </w:rPr>
        <w:t>1.6.4 承包人文件</w:t>
      </w:r>
    </w:p>
    <w:p w14:paraId="09F4DC8F">
      <w:pPr>
        <w:spacing w:line="360" w:lineRule="exact"/>
        <w:ind w:firstLine="420" w:firstLineChars="200"/>
        <w:jc w:val="left"/>
        <w:rPr>
          <w:rFonts w:ascii="宋体" w:hAnsi="宋体" w:cs="宋体"/>
          <w:kern w:val="0"/>
        </w:rPr>
      </w:pPr>
      <w:r>
        <w:rPr>
          <w:rFonts w:hint="eastAsia" w:ascii="宋体" w:hAnsi="宋体" w:cs="宋体"/>
          <w:kern w:val="0"/>
        </w:rPr>
        <w:t>承包人应按照专用合同条款的约定提供应当由其编制的与工程施工有关的文件，并按照专用合同条款约定的期限、数量和形式提交监理人，并由监理人报送发包人。</w:t>
      </w:r>
    </w:p>
    <w:p w14:paraId="597C3599">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14:paraId="6D2A632B">
      <w:pPr>
        <w:spacing w:line="360" w:lineRule="exact"/>
        <w:ind w:firstLine="420" w:firstLineChars="200"/>
        <w:jc w:val="left"/>
        <w:rPr>
          <w:rFonts w:ascii="宋体" w:hAnsi="宋体" w:cs="宋体"/>
          <w:kern w:val="0"/>
        </w:rPr>
      </w:pPr>
      <w:r>
        <w:rPr>
          <w:rFonts w:hint="eastAsia" w:ascii="宋体" w:hAnsi="宋体" w:cs="宋体"/>
          <w:kern w:val="0"/>
        </w:rPr>
        <w:t>1.6.5 图纸和承包人文件的保管</w:t>
      </w:r>
    </w:p>
    <w:p w14:paraId="1AC57CFF">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除专用合同条款另有约定外，承包人应在施工现场另外保存一套完整的图纸和承包人文件，供发包人、监理人及有关人员进行工程检查时使用。</w:t>
      </w:r>
    </w:p>
    <w:p w14:paraId="032D3429">
      <w:pPr>
        <w:pStyle w:val="8"/>
        <w:overflowPunct/>
        <w:spacing w:before="120" w:after="120" w:line="360" w:lineRule="exact"/>
        <w:ind w:firstLine="420" w:firstLineChars="200"/>
        <w:rPr>
          <w:rFonts w:ascii="宋体" w:hAnsi="宋体" w:cs="宋体"/>
          <w:b w:val="0"/>
          <w:sz w:val="21"/>
          <w:szCs w:val="21"/>
        </w:rPr>
      </w:pPr>
      <w:bookmarkStart w:id="211" w:name="_Toc351203502"/>
      <w:r>
        <w:rPr>
          <w:rFonts w:hint="eastAsia" w:ascii="宋体" w:hAnsi="宋体" w:cs="宋体"/>
          <w:b w:val="0"/>
          <w:sz w:val="21"/>
          <w:szCs w:val="21"/>
        </w:rPr>
        <w:t>1</w:t>
      </w:r>
      <w:bookmarkStart w:id="212" w:name="_Toc337558733"/>
      <w:bookmarkStart w:id="213" w:name="_Toc296503033"/>
      <w:bookmarkStart w:id="214" w:name="_Toc296346534"/>
      <w:r>
        <w:rPr>
          <w:rFonts w:hint="eastAsia" w:ascii="宋体" w:hAnsi="宋体" w:cs="宋体"/>
          <w:b w:val="0"/>
          <w:sz w:val="21"/>
          <w:szCs w:val="21"/>
        </w:rPr>
        <w:t>.7联络</w:t>
      </w:r>
      <w:bookmarkEnd w:id="211"/>
    </w:p>
    <w:bookmarkEnd w:id="212"/>
    <w:bookmarkEnd w:id="213"/>
    <w:bookmarkEnd w:id="214"/>
    <w:p w14:paraId="567A110D">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1.7.1 与合同有关的通知、批准、证明、证书、指示、指令、要求、请求、同意、意见、确定和决定等，均应采用书面形式，并应在合同约定的期限内送达接收人和送达地点。</w:t>
      </w:r>
    </w:p>
    <w:p w14:paraId="42EB5AC7">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1.7.2 发包人和承包人应在专用合同条款中约定各自的送达接收人和送达地点。任何一方合同当事人指定的接收人或送达地点发生变动的，应提前3天以书面形式通知对方。</w:t>
      </w:r>
    </w:p>
    <w:p w14:paraId="4858F985">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1.7.3 发包人和承包人应当及时签收另一方送达至送达地点和指定接收人的来往信函。拒不签收的，由此增加的费用和（或）延误的工期由拒绝接收一方承担。</w:t>
      </w:r>
    </w:p>
    <w:p w14:paraId="70893D65">
      <w:pPr>
        <w:pStyle w:val="8"/>
        <w:overflowPunct/>
        <w:spacing w:before="120" w:after="120" w:line="360" w:lineRule="exact"/>
        <w:ind w:firstLine="420" w:firstLineChars="200"/>
        <w:rPr>
          <w:rFonts w:ascii="宋体" w:hAnsi="宋体" w:cs="宋体"/>
          <w:b w:val="0"/>
          <w:sz w:val="21"/>
          <w:szCs w:val="21"/>
        </w:rPr>
      </w:pPr>
      <w:bookmarkStart w:id="215" w:name="_Toc351203503"/>
      <w:r>
        <w:rPr>
          <w:rFonts w:hint="eastAsia" w:ascii="宋体" w:hAnsi="宋体" w:cs="宋体"/>
          <w:b w:val="0"/>
          <w:sz w:val="21"/>
          <w:szCs w:val="21"/>
        </w:rPr>
        <w:t>1</w:t>
      </w:r>
      <w:bookmarkStart w:id="216" w:name="_Toc296503035"/>
      <w:bookmarkStart w:id="217" w:name="_Toc296346536"/>
      <w:bookmarkStart w:id="218" w:name="_Toc337558734"/>
      <w:r>
        <w:rPr>
          <w:rFonts w:hint="eastAsia" w:ascii="宋体" w:hAnsi="宋体" w:cs="宋体"/>
          <w:b w:val="0"/>
          <w:sz w:val="21"/>
          <w:szCs w:val="21"/>
        </w:rPr>
        <w:t>.8严禁贿赂</w:t>
      </w:r>
      <w:bookmarkEnd w:id="215"/>
    </w:p>
    <w:bookmarkEnd w:id="216"/>
    <w:bookmarkEnd w:id="217"/>
    <w:bookmarkEnd w:id="218"/>
    <w:p w14:paraId="62AB61A1">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合同当事人不得以贿赂或变相贿赂的方式，谋取非法利益或损害对方权益。因一方合同当事人的贿赂造成对方损失的，应赔偿损失，并承担相应的法律责任。</w:t>
      </w:r>
    </w:p>
    <w:p w14:paraId="24434BB2">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承包人不得与监理人或发包人聘请的第三方串通损害发包人利益。未经发包人书面同意，承包人不得为监理人提供合同约定以外的通讯设备、交通工具及其他任何形式的利益，不得向监理人支付报酬。</w:t>
      </w:r>
    </w:p>
    <w:p w14:paraId="11C03940">
      <w:pPr>
        <w:pStyle w:val="8"/>
        <w:overflowPunct/>
        <w:spacing w:before="120" w:after="120" w:line="360" w:lineRule="exact"/>
        <w:ind w:firstLine="420" w:firstLineChars="200"/>
        <w:rPr>
          <w:rFonts w:ascii="宋体" w:hAnsi="宋体" w:cs="宋体"/>
          <w:b w:val="0"/>
          <w:sz w:val="21"/>
          <w:szCs w:val="21"/>
        </w:rPr>
      </w:pPr>
      <w:bookmarkStart w:id="219" w:name="_Toc351203504"/>
      <w:r>
        <w:rPr>
          <w:rFonts w:hint="eastAsia" w:ascii="宋体" w:hAnsi="宋体" w:cs="宋体"/>
          <w:b w:val="0"/>
          <w:sz w:val="21"/>
          <w:szCs w:val="21"/>
        </w:rPr>
        <w:t>1</w:t>
      </w:r>
      <w:bookmarkStart w:id="220" w:name="_Toc296346537"/>
      <w:bookmarkStart w:id="221" w:name="_Toc296503036"/>
      <w:bookmarkStart w:id="222" w:name="_Toc337558735"/>
      <w:r>
        <w:rPr>
          <w:rFonts w:hint="eastAsia" w:ascii="宋体" w:hAnsi="宋体" w:cs="宋体"/>
          <w:b w:val="0"/>
          <w:sz w:val="21"/>
          <w:szCs w:val="21"/>
        </w:rPr>
        <w:t>.9化石、文物</w:t>
      </w:r>
      <w:bookmarkEnd w:id="219"/>
    </w:p>
    <w:bookmarkEnd w:id="220"/>
    <w:bookmarkEnd w:id="221"/>
    <w:bookmarkEnd w:id="222"/>
    <w:p w14:paraId="7C8F11E5">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14:paraId="12B501D7">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发包人、监理人和承包人应按有关政府行政管理部门要求采取妥善的保护措施，由此增加的费用和（或）延误的工期由发包人承担。</w:t>
      </w:r>
    </w:p>
    <w:p w14:paraId="416934E6">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承包人发现文物后不及时报告或隐瞒不报，致使文物丢失或损坏的，应赔偿损失，并承担相应的法律责任。</w:t>
      </w:r>
    </w:p>
    <w:p w14:paraId="54653E52">
      <w:pPr>
        <w:pStyle w:val="8"/>
        <w:overflowPunct/>
        <w:spacing w:before="120" w:after="120" w:line="360" w:lineRule="exact"/>
        <w:ind w:firstLine="420" w:firstLineChars="200"/>
        <w:rPr>
          <w:rFonts w:ascii="宋体" w:hAnsi="宋体" w:cs="宋体"/>
          <w:b w:val="0"/>
          <w:sz w:val="21"/>
          <w:szCs w:val="21"/>
        </w:rPr>
      </w:pPr>
      <w:bookmarkStart w:id="223" w:name="_Toc351203505"/>
      <w:r>
        <w:rPr>
          <w:rFonts w:hint="eastAsia" w:ascii="宋体" w:hAnsi="宋体" w:cs="宋体"/>
          <w:b w:val="0"/>
          <w:sz w:val="21"/>
          <w:szCs w:val="21"/>
        </w:rPr>
        <w:t>1</w:t>
      </w:r>
      <w:bookmarkStart w:id="224" w:name="_Toc337558736"/>
      <w:r>
        <w:rPr>
          <w:rFonts w:hint="eastAsia" w:ascii="宋体" w:hAnsi="宋体" w:cs="宋体"/>
          <w:b w:val="0"/>
          <w:sz w:val="21"/>
          <w:szCs w:val="21"/>
        </w:rPr>
        <w:t>.10交通运输</w:t>
      </w:r>
      <w:bookmarkEnd w:id="223"/>
    </w:p>
    <w:bookmarkEnd w:id="224"/>
    <w:p w14:paraId="1A6FC1D4">
      <w:pPr>
        <w:spacing w:line="360" w:lineRule="exact"/>
        <w:ind w:firstLine="420" w:firstLineChars="200"/>
        <w:jc w:val="left"/>
        <w:rPr>
          <w:rFonts w:ascii="宋体" w:hAnsi="宋体" w:cs="宋体"/>
          <w:kern w:val="0"/>
        </w:rPr>
      </w:pPr>
      <w:r>
        <w:rPr>
          <w:rFonts w:hint="eastAsia" w:ascii="宋体" w:hAnsi="宋体" w:cs="宋体"/>
          <w:kern w:val="0"/>
        </w:rPr>
        <w:t>1.10.1 出入现场的权利</w:t>
      </w:r>
    </w:p>
    <w:p w14:paraId="31F6D992">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14:paraId="165BEC88">
      <w:pPr>
        <w:spacing w:line="360" w:lineRule="exact"/>
        <w:ind w:firstLine="420" w:firstLineChars="200"/>
        <w:jc w:val="left"/>
        <w:rPr>
          <w:rFonts w:ascii="宋体" w:hAnsi="宋体" w:cs="宋体"/>
          <w:kern w:val="0"/>
        </w:rPr>
      </w:pPr>
      <w:r>
        <w:rPr>
          <w:rFonts w:hint="eastAsia" w:ascii="宋体" w:hAnsi="宋体" w:cs="宋体"/>
          <w:kern w:val="0"/>
        </w:rPr>
        <w:t>承包人应在订立合同前查勘施工现场，并根据工程规模及技术参数合理预见工程施工所需的进出施工现场的方式、手段、路径等。因承包人未合理预见所增加的费用和（或）延误的工期由承包人承担。</w:t>
      </w:r>
    </w:p>
    <w:p w14:paraId="5CF9ED45">
      <w:pPr>
        <w:spacing w:line="360" w:lineRule="exact"/>
        <w:ind w:firstLine="420" w:firstLineChars="200"/>
        <w:jc w:val="left"/>
        <w:rPr>
          <w:rFonts w:ascii="宋体" w:hAnsi="宋体" w:cs="宋体"/>
          <w:kern w:val="0"/>
        </w:rPr>
      </w:pPr>
      <w:r>
        <w:rPr>
          <w:rFonts w:hint="eastAsia" w:ascii="宋体" w:hAnsi="宋体" w:cs="宋体"/>
          <w:kern w:val="0"/>
        </w:rPr>
        <w:t>1.10.2 场外交通</w:t>
      </w:r>
    </w:p>
    <w:p w14:paraId="5566CF24">
      <w:pPr>
        <w:spacing w:line="360" w:lineRule="exact"/>
        <w:ind w:firstLine="420" w:firstLineChars="200"/>
        <w:jc w:val="left"/>
        <w:rPr>
          <w:rFonts w:ascii="宋体" w:hAnsi="宋体" w:cs="宋体"/>
          <w:kern w:val="0"/>
        </w:rPr>
      </w:pPr>
      <w:r>
        <w:rPr>
          <w:rFonts w:hint="eastAsia" w:ascii="宋体" w:hAnsi="宋体" w:cs="宋体"/>
          <w:kern w:val="0"/>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14:paraId="6DFBFAF1">
      <w:pPr>
        <w:spacing w:line="360" w:lineRule="exact"/>
        <w:ind w:firstLine="420" w:firstLineChars="200"/>
        <w:jc w:val="left"/>
        <w:rPr>
          <w:rFonts w:ascii="宋体" w:hAnsi="宋体" w:cs="宋体"/>
          <w:kern w:val="0"/>
        </w:rPr>
      </w:pPr>
      <w:r>
        <w:rPr>
          <w:rFonts w:hint="eastAsia" w:ascii="宋体" w:hAnsi="宋体" w:cs="宋体"/>
          <w:kern w:val="0"/>
        </w:rPr>
        <w:t>1.10.3场内交通</w:t>
      </w:r>
    </w:p>
    <w:p w14:paraId="190A8696">
      <w:pPr>
        <w:spacing w:line="360" w:lineRule="exact"/>
        <w:ind w:firstLine="420" w:firstLineChars="200"/>
        <w:jc w:val="left"/>
        <w:rPr>
          <w:rFonts w:ascii="宋体" w:hAnsi="宋体" w:cs="宋体"/>
          <w:kern w:val="0"/>
        </w:rPr>
      </w:pPr>
      <w:r>
        <w:rPr>
          <w:rFonts w:hint="eastAsia" w:ascii="宋体" w:hAnsi="宋体" w:cs="宋体"/>
          <w:kern w:val="0"/>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14:paraId="1C02DB90">
      <w:pPr>
        <w:spacing w:line="360" w:lineRule="exact"/>
        <w:ind w:firstLine="420" w:firstLineChars="200"/>
        <w:jc w:val="left"/>
        <w:rPr>
          <w:rFonts w:ascii="宋体" w:hAnsi="宋体" w:cs="宋体"/>
          <w:kern w:val="0"/>
        </w:rPr>
      </w:pPr>
      <w:r>
        <w:rPr>
          <w:rFonts w:hint="eastAsia" w:ascii="宋体" w:hAnsi="宋体" w:cs="宋体"/>
          <w:kern w:val="0"/>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14:paraId="55997475">
      <w:pPr>
        <w:spacing w:line="360" w:lineRule="exact"/>
        <w:ind w:firstLine="420" w:firstLineChars="200"/>
        <w:jc w:val="left"/>
        <w:rPr>
          <w:rFonts w:ascii="宋体" w:hAnsi="宋体" w:cs="宋体"/>
          <w:kern w:val="0"/>
        </w:rPr>
      </w:pPr>
      <w:r>
        <w:rPr>
          <w:rFonts w:hint="eastAsia" w:ascii="宋体" w:hAnsi="宋体" w:cs="宋体"/>
          <w:kern w:val="0"/>
        </w:rPr>
        <w:t>场外交通和场内交通的边界由合同当事人在专用合同条款中约定。</w:t>
      </w:r>
    </w:p>
    <w:p w14:paraId="63F9776F">
      <w:pPr>
        <w:spacing w:line="360" w:lineRule="exact"/>
        <w:ind w:firstLine="420" w:firstLineChars="200"/>
        <w:jc w:val="left"/>
        <w:rPr>
          <w:rFonts w:ascii="宋体" w:hAnsi="宋体" w:cs="宋体"/>
          <w:kern w:val="0"/>
        </w:rPr>
      </w:pPr>
      <w:r>
        <w:rPr>
          <w:rFonts w:hint="eastAsia" w:ascii="宋体" w:hAnsi="宋体" w:cs="宋体"/>
          <w:kern w:val="0"/>
        </w:rPr>
        <w:t>1.10.4 超大件和超重件的运输</w:t>
      </w:r>
    </w:p>
    <w:p w14:paraId="6625A28E">
      <w:pPr>
        <w:spacing w:line="360" w:lineRule="exact"/>
        <w:ind w:firstLine="420" w:firstLineChars="200"/>
        <w:jc w:val="left"/>
        <w:rPr>
          <w:rFonts w:ascii="宋体" w:hAnsi="宋体" w:cs="宋体"/>
          <w:kern w:val="0"/>
        </w:rPr>
      </w:pPr>
      <w:r>
        <w:rPr>
          <w:rFonts w:hint="eastAsia" w:ascii="宋体" w:hAnsi="宋体" w:cs="宋体"/>
          <w:kern w:val="0"/>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4350B855">
      <w:pPr>
        <w:spacing w:line="360" w:lineRule="exact"/>
        <w:ind w:firstLine="420" w:firstLineChars="200"/>
        <w:jc w:val="left"/>
        <w:rPr>
          <w:rFonts w:ascii="宋体" w:hAnsi="宋体" w:cs="宋体"/>
          <w:kern w:val="0"/>
        </w:rPr>
      </w:pPr>
      <w:r>
        <w:rPr>
          <w:rFonts w:hint="eastAsia" w:ascii="宋体" w:hAnsi="宋体" w:cs="宋体"/>
          <w:kern w:val="0"/>
        </w:rPr>
        <w:t>1.10.5 道路和桥梁的损坏责任</w:t>
      </w:r>
    </w:p>
    <w:p w14:paraId="04F46C93">
      <w:pPr>
        <w:spacing w:line="360" w:lineRule="exact"/>
        <w:ind w:firstLine="420" w:firstLineChars="200"/>
        <w:jc w:val="left"/>
        <w:rPr>
          <w:rFonts w:ascii="宋体" w:hAnsi="宋体" w:cs="宋体"/>
          <w:kern w:val="0"/>
        </w:rPr>
      </w:pPr>
      <w:r>
        <w:rPr>
          <w:rFonts w:hint="eastAsia" w:ascii="宋体" w:hAnsi="宋体" w:cs="宋体"/>
          <w:kern w:val="0"/>
        </w:rPr>
        <w:t>因承包人运输造成施工场地内外公共道路和桥梁损坏的，由承包人承担修复损坏的全部费用和可能引起的赔偿。</w:t>
      </w:r>
    </w:p>
    <w:p w14:paraId="3C245DB2">
      <w:pPr>
        <w:spacing w:line="360" w:lineRule="exact"/>
        <w:ind w:firstLine="420" w:firstLineChars="200"/>
        <w:jc w:val="left"/>
        <w:rPr>
          <w:rFonts w:ascii="宋体" w:hAnsi="宋体" w:cs="宋体"/>
          <w:kern w:val="0"/>
        </w:rPr>
      </w:pPr>
      <w:r>
        <w:rPr>
          <w:rFonts w:hint="eastAsia" w:ascii="宋体" w:hAnsi="宋体" w:cs="宋体"/>
          <w:kern w:val="0"/>
        </w:rPr>
        <w:t>1.10.6 水路和航空运输</w:t>
      </w:r>
    </w:p>
    <w:p w14:paraId="47D87B45">
      <w:pPr>
        <w:spacing w:line="360" w:lineRule="exact"/>
        <w:ind w:firstLine="420" w:firstLineChars="200"/>
        <w:jc w:val="left"/>
        <w:rPr>
          <w:rFonts w:ascii="宋体" w:hAnsi="宋体" w:cs="宋体"/>
          <w:kern w:val="0"/>
        </w:rPr>
      </w:pPr>
      <w:r>
        <w:rPr>
          <w:rFonts w:hint="eastAsia" w:ascii="宋体" w:hAnsi="宋体" w:cs="宋体"/>
          <w:kern w:val="0"/>
        </w:rPr>
        <w:t>本款前述各项的内容适用于水路运输和航空运输，其中“道路”一词的涵义包括河道、航线、船闸、机场、码头、堤防以及水路或航空运输中其他相似结构物；“车辆”一词的涵义包括船舶和飞机等。</w:t>
      </w:r>
    </w:p>
    <w:p w14:paraId="196BB230">
      <w:pPr>
        <w:pStyle w:val="8"/>
        <w:overflowPunct/>
        <w:spacing w:before="120" w:after="120" w:line="360" w:lineRule="exact"/>
        <w:ind w:firstLine="420" w:firstLineChars="200"/>
        <w:rPr>
          <w:rFonts w:ascii="宋体" w:hAnsi="宋体" w:cs="宋体"/>
          <w:b w:val="0"/>
          <w:sz w:val="21"/>
          <w:szCs w:val="21"/>
        </w:rPr>
      </w:pPr>
      <w:bookmarkStart w:id="225" w:name="_Toc351203506"/>
      <w:r>
        <w:rPr>
          <w:rFonts w:hint="eastAsia" w:ascii="宋体" w:hAnsi="宋体" w:cs="宋体"/>
          <w:b w:val="0"/>
          <w:sz w:val="21"/>
          <w:szCs w:val="21"/>
        </w:rPr>
        <w:t>1</w:t>
      </w:r>
      <w:bookmarkStart w:id="226" w:name="_Toc337558737"/>
      <w:bookmarkStart w:id="227" w:name="_Toc296503037"/>
      <w:bookmarkStart w:id="228" w:name="_Toc296346538"/>
      <w:r>
        <w:rPr>
          <w:rFonts w:hint="eastAsia" w:ascii="宋体" w:hAnsi="宋体" w:cs="宋体"/>
          <w:b w:val="0"/>
          <w:sz w:val="21"/>
          <w:szCs w:val="21"/>
        </w:rPr>
        <w:t>.11知识产权</w:t>
      </w:r>
      <w:bookmarkEnd w:id="225"/>
      <w:r>
        <w:rPr>
          <w:rFonts w:hint="eastAsia" w:ascii="宋体" w:hAnsi="宋体" w:cs="宋体"/>
          <w:b w:val="0"/>
          <w:sz w:val="21"/>
          <w:szCs w:val="21"/>
        </w:rPr>
        <w:t xml:space="preserve"> </w:t>
      </w:r>
      <w:bookmarkEnd w:id="226"/>
    </w:p>
    <w:bookmarkEnd w:id="227"/>
    <w:bookmarkEnd w:id="228"/>
    <w:p w14:paraId="16AC3BA2">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14:paraId="7D6E7EB4">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181DB3C2">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14:paraId="27AE2AF5">
      <w:pPr>
        <w:spacing w:line="360" w:lineRule="exact"/>
        <w:rPr>
          <w:rFonts w:ascii="宋体" w:hAnsi="宋体" w:cs="宋体"/>
        </w:rPr>
      </w:pPr>
      <w:r>
        <w:rPr>
          <w:rFonts w:hint="eastAsia" w:ascii="宋体" w:hAnsi="宋体" w:cs="宋体"/>
          <w:kern w:val="0"/>
        </w:rPr>
        <w:t xml:space="preserve">    </w:t>
      </w:r>
      <w:r>
        <w:rPr>
          <w:rFonts w:hint="eastAsia" w:ascii="宋体" w:hAnsi="宋体" w:cs="宋体"/>
        </w:rPr>
        <w:t>1.11.4 除专用合同条款另有约定外，承包人在合同签订前和签订时已确定采用的专利、专有技术、技术秘密的使用费已包含在签约合同价中。</w:t>
      </w:r>
    </w:p>
    <w:p w14:paraId="0C64B9E6">
      <w:pPr>
        <w:pStyle w:val="8"/>
        <w:overflowPunct/>
        <w:spacing w:before="120" w:after="120" w:line="360" w:lineRule="exact"/>
        <w:ind w:firstLine="420" w:firstLineChars="200"/>
        <w:rPr>
          <w:rFonts w:ascii="宋体" w:hAnsi="宋体" w:cs="宋体"/>
          <w:b w:val="0"/>
          <w:sz w:val="21"/>
          <w:szCs w:val="21"/>
        </w:rPr>
      </w:pPr>
      <w:bookmarkStart w:id="229" w:name="_Toc351203507"/>
      <w:r>
        <w:rPr>
          <w:rFonts w:hint="eastAsia" w:ascii="宋体" w:hAnsi="宋体" w:cs="宋体"/>
          <w:b w:val="0"/>
          <w:sz w:val="21"/>
          <w:szCs w:val="21"/>
        </w:rPr>
        <w:t>1</w:t>
      </w:r>
      <w:bookmarkStart w:id="230" w:name="_Toc337558738"/>
      <w:r>
        <w:rPr>
          <w:rFonts w:hint="eastAsia" w:ascii="宋体" w:hAnsi="宋体" w:cs="宋体"/>
          <w:b w:val="0"/>
          <w:sz w:val="21"/>
          <w:szCs w:val="21"/>
        </w:rPr>
        <w:t>.12保密</w:t>
      </w:r>
      <w:bookmarkEnd w:id="229"/>
    </w:p>
    <w:bookmarkEnd w:id="230"/>
    <w:p w14:paraId="6AC7E4BC">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除法律规定或合同另有约定外，未经发包人同意，承包人不得将发包人提供的图纸、文件以及声明需要保密的资料信息等商业秘密泄露给第三方。</w:t>
      </w:r>
    </w:p>
    <w:p w14:paraId="65077806">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除法律规定或合同另有约定外，未经承包人同意，发包人不得将承包人提供的技术秘密及声明需要保密的资料信息等商业秘密泄露给第三方。</w:t>
      </w:r>
    </w:p>
    <w:p w14:paraId="5D4B8414">
      <w:pPr>
        <w:pStyle w:val="8"/>
        <w:overflowPunct/>
        <w:spacing w:before="120" w:after="120" w:line="360" w:lineRule="exact"/>
        <w:ind w:firstLine="420" w:firstLineChars="200"/>
        <w:rPr>
          <w:rFonts w:ascii="宋体" w:hAnsi="宋体" w:cs="宋体"/>
          <w:b w:val="0"/>
          <w:sz w:val="21"/>
          <w:szCs w:val="21"/>
        </w:rPr>
      </w:pPr>
      <w:bookmarkStart w:id="231" w:name="_Toc351203508"/>
      <w:r>
        <w:rPr>
          <w:rFonts w:hint="eastAsia" w:ascii="宋体" w:hAnsi="宋体" w:cs="宋体"/>
          <w:b w:val="0"/>
          <w:sz w:val="21"/>
          <w:szCs w:val="21"/>
        </w:rPr>
        <w:t>1.13工程量清单错误的修正</w:t>
      </w:r>
      <w:bookmarkEnd w:id="231"/>
    </w:p>
    <w:p w14:paraId="1F1F5F32">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除专用合同条款另有约定外，发包人提供的工程量清单，应被认为是准确的和完整的。出现下列情形之一时，发包人应予以修正，并相应调整合同价格：</w:t>
      </w:r>
    </w:p>
    <w:p w14:paraId="67E7B97F">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（1）工程量清单存在缺项、漏项的；</w:t>
      </w:r>
    </w:p>
    <w:p w14:paraId="671406FD">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（2）工程量清单偏差超出专用合同条款约定的工程量偏差范围的；</w:t>
      </w:r>
    </w:p>
    <w:p w14:paraId="25C420B9">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（3）未按照国家现行计量规范强制性规定计量的。</w:t>
      </w:r>
    </w:p>
    <w:p w14:paraId="1CF06462">
      <w:pPr>
        <w:pStyle w:val="7"/>
        <w:spacing w:before="120" w:after="120" w:line="360" w:lineRule="exact"/>
        <w:rPr>
          <w:rFonts w:ascii="宋体" w:hAnsi="宋体" w:cs="宋体"/>
          <w:b w:val="0"/>
          <w:sz w:val="21"/>
          <w:szCs w:val="21"/>
        </w:rPr>
      </w:pPr>
      <w:bookmarkStart w:id="232" w:name="_Toc351203509"/>
      <w:r>
        <w:rPr>
          <w:rFonts w:hint="eastAsia" w:ascii="宋体" w:hAnsi="宋体" w:cs="宋体"/>
          <w:b w:val="0"/>
          <w:sz w:val="21"/>
          <w:szCs w:val="21"/>
        </w:rPr>
        <w:t>2</w:t>
      </w:r>
      <w:bookmarkStart w:id="233" w:name="_Toc337558739"/>
      <w:bookmarkStart w:id="234" w:name="_Toc296346539"/>
      <w:bookmarkStart w:id="235" w:name="_Toc296503038"/>
      <w:bookmarkStart w:id="236" w:name="OLE_LINK2"/>
      <w:r>
        <w:rPr>
          <w:rFonts w:hint="eastAsia" w:ascii="宋体" w:hAnsi="宋体" w:cs="宋体"/>
          <w:b w:val="0"/>
          <w:sz w:val="21"/>
          <w:szCs w:val="21"/>
        </w:rPr>
        <w:t>. 发包人</w:t>
      </w:r>
      <w:bookmarkEnd w:id="232"/>
    </w:p>
    <w:bookmarkEnd w:id="233"/>
    <w:bookmarkEnd w:id="234"/>
    <w:bookmarkEnd w:id="235"/>
    <w:p w14:paraId="7D36E73B">
      <w:pPr>
        <w:pStyle w:val="8"/>
        <w:overflowPunct/>
        <w:spacing w:before="120" w:after="120" w:line="360" w:lineRule="exact"/>
        <w:ind w:firstLine="420" w:firstLineChars="200"/>
        <w:rPr>
          <w:rFonts w:ascii="宋体" w:hAnsi="宋体" w:cs="宋体"/>
          <w:b w:val="0"/>
          <w:sz w:val="21"/>
          <w:szCs w:val="21"/>
        </w:rPr>
      </w:pPr>
      <w:bookmarkStart w:id="237" w:name="_Toc351203510"/>
      <w:r>
        <w:rPr>
          <w:rFonts w:hint="eastAsia" w:ascii="宋体" w:hAnsi="宋体" w:cs="宋体"/>
          <w:b w:val="0"/>
          <w:sz w:val="21"/>
          <w:szCs w:val="21"/>
        </w:rPr>
        <w:t>2</w:t>
      </w:r>
      <w:bookmarkStart w:id="238" w:name="_Toc337558740"/>
      <w:bookmarkStart w:id="239" w:name="_Toc296503039"/>
      <w:bookmarkStart w:id="240" w:name="_Toc296346540"/>
      <w:r>
        <w:rPr>
          <w:rFonts w:hint="eastAsia" w:ascii="宋体" w:hAnsi="宋体" w:cs="宋体"/>
          <w:b w:val="0"/>
          <w:sz w:val="21"/>
          <w:szCs w:val="21"/>
        </w:rPr>
        <w:t>.1 许可或批准</w:t>
      </w:r>
      <w:bookmarkEnd w:id="237"/>
    </w:p>
    <w:p w14:paraId="34CC9BF4">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14:paraId="46FFED25">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因发包人原因未能及时办理完毕前述许可、批准或备案，由发包人承担由此增加的费用和（或）延误的工期，并支付承包人合理的利润。</w:t>
      </w:r>
    </w:p>
    <w:p w14:paraId="66F86527">
      <w:pPr>
        <w:pStyle w:val="8"/>
        <w:overflowPunct/>
        <w:spacing w:before="120" w:after="120" w:line="360" w:lineRule="exact"/>
        <w:ind w:firstLine="420" w:firstLineChars="200"/>
        <w:rPr>
          <w:rFonts w:ascii="宋体" w:hAnsi="宋体" w:cs="宋体"/>
          <w:b w:val="0"/>
          <w:sz w:val="21"/>
          <w:szCs w:val="21"/>
        </w:rPr>
      </w:pPr>
      <w:bookmarkStart w:id="241" w:name="_Toc351203511"/>
      <w:r>
        <w:rPr>
          <w:rFonts w:hint="eastAsia" w:ascii="宋体" w:hAnsi="宋体" w:cs="宋体"/>
          <w:b w:val="0"/>
          <w:sz w:val="21"/>
          <w:szCs w:val="21"/>
        </w:rPr>
        <w:t>2.2 发包人代表</w:t>
      </w:r>
      <w:bookmarkEnd w:id="241"/>
    </w:p>
    <w:p w14:paraId="7ECDF187">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14:paraId="4ECE4F64">
      <w:pPr>
        <w:spacing w:line="360" w:lineRule="exact"/>
        <w:ind w:firstLine="420" w:firstLineChars="200"/>
        <w:rPr>
          <w:rFonts w:ascii="宋体" w:hAnsi="宋体" w:cs="宋体"/>
          <w:kern w:val="0"/>
        </w:rPr>
      </w:pPr>
      <w:r>
        <w:rPr>
          <w:rFonts w:hint="eastAsia" w:ascii="宋体" w:hAnsi="宋体" w:cs="宋体"/>
          <w:kern w:val="0"/>
        </w:rPr>
        <w:t>发包人代表不能按照合同约定履行其职责及义务，并导致合同无法继续正常履行的，承包人可以要求发包人撤换发包人代表。</w:t>
      </w:r>
    </w:p>
    <w:p w14:paraId="21D59820">
      <w:pPr>
        <w:spacing w:line="360" w:lineRule="exact"/>
        <w:ind w:firstLine="420" w:firstLineChars="200"/>
        <w:rPr>
          <w:rFonts w:ascii="宋体" w:hAnsi="宋体" w:cs="宋体"/>
        </w:rPr>
      </w:pPr>
      <w:r>
        <w:rPr>
          <w:rFonts w:hint="eastAsia" w:ascii="宋体" w:hAnsi="宋体" w:cs="宋体"/>
          <w:kern w:val="0"/>
        </w:rPr>
        <w:t>不属于法定必须监理的工程，监理人的职权可以由发包人代表或发包人指定的其他人员行使。</w:t>
      </w:r>
    </w:p>
    <w:p w14:paraId="4FA92646">
      <w:pPr>
        <w:pStyle w:val="8"/>
        <w:overflowPunct/>
        <w:spacing w:before="120" w:after="120" w:line="360" w:lineRule="exact"/>
        <w:ind w:firstLine="420" w:firstLineChars="200"/>
        <w:rPr>
          <w:rFonts w:ascii="宋体" w:hAnsi="宋体" w:cs="宋体"/>
          <w:b w:val="0"/>
          <w:sz w:val="21"/>
          <w:szCs w:val="21"/>
        </w:rPr>
      </w:pPr>
      <w:bookmarkStart w:id="242" w:name="_Toc351203512"/>
      <w:r>
        <w:rPr>
          <w:rFonts w:hint="eastAsia" w:ascii="宋体" w:hAnsi="宋体" w:cs="宋体"/>
          <w:b w:val="0"/>
          <w:sz w:val="21"/>
          <w:szCs w:val="21"/>
        </w:rPr>
        <w:t>2.3 发包人人员</w:t>
      </w:r>
      <w:bookmarkEnd w:id="242"/>
    </w:p>
    <w:p w14:paraId="0CDFAAD3">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发包人应要求在施工现场的发包人人员遵守法律及有关安全、质量、环境保护、文明施工等规定，并保障承包人免于承受因发包人人员未遵守上述要求给承包人造成的损失和责任。</w:t>
      </w:r>
    </w:p>
    <w:p w14:paraId="42B8F708">
      <w:pPr>
        <w:spacing w:line="360" w:lineRule="exact"/>
        <w:ind w:firstLine="640"/>
        <w:jc w:val="left"/>
        <w:rPr>
          <w:rFonts w:ascii="宋体" w:hAnsi="宋体" w:cs="宋体"/>
          <w:kern w:val="0"/>
        </w:rPr>
      </w:pPr>
      <w:r>
        <w:rPr>
          <w:rFonts w:hint="eastAsia" w:ascii="宋体" w:hAnsi="宋体" w:cs="宋体"/>
          <w:kern w:val="0"/>
        </w:rPr>
        <w:t>发包人人员包括发包人代表及其他由发包人派驻施工现场的人员。</w:t>
      </w:r>
      <w:bookmarkEnd w:id="238"/>
      <w:bookmarkEnd w:id="239"/>
      <w:bookmarkEnd w:id="240"/>
    </w:p>
    <w:p w14:paraId="56B8E514">
      <w:pPr>
        <w:pStyle w:val="8"/>
        <w:overflowPunct/>
        <w:spacing w:before="120" w:after="120" w:line="360" w:lineRule="exact"/>
        <w:ind w:firstLine="420" w:firstLineChars="200"/>
        <w:rPr>
          <w:rFonts w:ascii="宋体" w:hAnsi="宋体" w:cs="宋体"/>
          <w:b w:val="0"/>
          <w:sz w:val="21"/>
          <w:szCs w:val="21"/>
        </w:rPr>
      </w:pPr>
      <w:bookmarkStart w:id="243" w:name="_Toc351203513"/>
      <w:r>
        <w:rPr>
          <w:rFonts w:hint="eastAsia" w:ascii="宋体" w:hAnsi="宋体" w:cs="宋体"/>
          <w:b w:val="0"/>
          <w:sz w:val="21"/>
          <w:szCs w:val="21"/>
        </w:rPr>
        <w:t>2</w:t>
      </w:r>
      <w:bookmarkStart w:id="244" w:name="_Toc296503040"/>
      <w:bookmarkStart w:id="245" w:name="_Toc337558741"/>
      <w:bookmarkStart w:id="246" w:name="_Toc296346541"/>
      <w:r>
        <w:rPr>
          <w:rFonts w:hint="eastAsia" w:ascii="宋体" w:hAnsi="宋体" w:cs="宋体"/>
          <w:b w:val="0"/>
          <w:sz w:val="21"/>
          <w:szCs w:val="21"/>
        </w:rPr>
        <w:t>.4 施工现场、施工条件和基础资料的提供</w:t>
      </w:r>
      <w:bookmarkEnd w:id="243"/>
      <w:r>
        <w:rPr>
          <w:rFonts w:hint="eastAsia" w:ascii="宋体" w:hAnsi="宋体" w:cs="宋体"/>
          <w:b w:val="0"/>
          <w:sz w:val="21"/>
          <w:szCs w:val="21"/>
        </w:rPr>
        <w:t xml:space="preserve"> </w:t>
      </w:r>
      <w:bookmarkEnd w:id="244"/>
      <w:bookmarkEnd w:id="245"/>
      <w:bookmarkEnd w:id="246"/>
      <w:r>
        <w:rPr>
          <w:rFonts w:hint="eastAsia" w:ascii="宋体" w:hAnsi="宋体" w:cs="宋体"/>
          <w:b w:val="0"/>
          <w:sz w:val="21"/>
          <w:szCs w:val="21"/>
        </w:rPr>
        <w:t xml:space="preserve"> </w:t>
      </w:r>
    </w:p>
    <w:p w14:paraId="4361EA66">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2.4.1 提供施工现场</w:t>
      </w:r>
    </w:p>
    <w:p w14:paraId="1028C1BB">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w:t>
      </w:r>
      <w:bookmarkEnd w:id="236"/>
      <w:r>
        <w:rPr>
          <w:rFonts w:hint="eastAsia" w:ascii="宋体" w:hAnsi="宋体" w:cs="宋体"/>
          <w:kern w:val="0"/>
        </w:rPr>
        <w:t>专用合同条款另有约定外，发包人应最迟于开工日期7天前向承包人移交施工现场。</w:t>
      </w:r>
    </w:p>
    <w:p w14:paraId="48D740C8">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2.4.2 提供施工条件</w:t>
      </w:r>
    </w:p>
    <w:p w14:paraId="748A548E">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除专用合同条款另有约定外，发包人应负责提供施工所需要的条件，包括：</w:t>
      </w:r>
    </w:p>
    <w:p w14:paraId="140E853B">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（1）将施工用水、电力、通讯线路等施工所必需的条件接至施工现场内；</w:t>
      </w:r>
    </w:p>
    <w:p w14:paraId="32A72D10">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（2）保证向承包人提供正常施工所需要的进入施工现场的交通条件；</w:t>
      </w:r>
    </w:p>
    <w:p w14:paraId="6F5227B4">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（3）协调处理施工现场周围地下管线和邻近建筑物、构筑物、古树名木的保护工作，并承担相关费用；</w:t>
      </w:r>
    </w:p>
    <w:p w14:paraId="0AFB67BD">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（4）按照专用合同条款约定应提供的其他设施和条件。</w:t>
      </w:r>
    </w:p>
    <w:p w14:paraId="0CF818CF">
      <w:pPr>
        <w:autoSpaceDE w:val="0"/>
        <w:autoSpaceDN w:val="0"/>
        <w:adjustRightInd w:val="0"/>
        <w:spacing w:line="360" w:lineRule="exact"/>
        <w:ind w:firstLine="420" w:firstLineChars="200"/>
        <w:jc w:val="left"/>
        <w:rPr>
          <w:rFonts w:ascii="宋体" w:hAnsi="宋体" w:cs="宋体"/>
        </w:rPr>
      </w:pPr>
      <w:r>
        <w:rPr>
          <w:rFonts w:hint="eastAsia" w:ascii="宋体" w:hAnsi="宋体" w:cs="宋体"/>
          <w:kern w:val="0"/>
        </w:rPr>
        <w:t>2.4.3 提供基础资料</w:t>
      </w:r>
    </w:p>
    <w:p w14:paraId="74992CC8">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14:paraId="4A10232E">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按照法律规定确需在开工后方能提供的基础资料，发包人应尽其努力及时地在相应工程施工前的合理期限内提供，合理期限应以不影响承包人的正常施工为限。</w:t>
      </w:r>
    </w:p>
    <w:p w14:paraId="41FA7940">
      <w:pPr>
        <w:spacing w:line="360" w:lineRule="exact"/>
        <w:ind w:firstLine="420" w:firstLineChars="200"/>
        <w:jc w:val="left"/>
        <w:rPr>
          <w:rFonts w:ascii="宋体" w:hAnsi="宋体" w:cs="宋体"/>
          <w:kern w:val="0"/>
        </w:rPr>
      </w:pPr>
      <w:r>
        <w:rPr>
          <w:rFonts w:hint="eastAsia" w:ascii="宋体" w:hAnsi="宋体" w:cs="宋体"/>
          <w:kern w:val="0"/>
        </w:rPr>
        <w:t>2.4.4 逾期提供的责任</w:t>
      </w:r>
    </w:p>
    <w:p w14:paraId="31DDAF9A">
      <w:pPr>
        <w:spacing w:line="360" w:lineRule="exact"/>
        <w:ind w:firstLine="420" w:firstLineChars="200"/>
        <w:jc w:val="left"/>
        <w:rPr>
          <w:rFonts w:ascii="宋体" w:hAnsi="宋体" w:cs="宋体"/>
          <w:kern w:val="0"/>
        </w:rPr>
      </w:pPr>
      <w:r>
        <w:rPr>
          <w:rFonts w:hint="eastAsia" w:ascii="宋体" w:hAnsi="宋体" w:cs="宋体"/>
          <w:kern w:val="0"/>
        </w:rPr>
        <w:t>因发包人原因未能按合同约定及时向承包人提供施工现场、施工条件、基础资料的，由发包人承担由此增加的费用和（或）延误的工期。</w:t>
      </w:r>
    </w:p>
    <w:p w14:paraId="065196FE">
      <w:pPr>
        <w:pStyle w:val="8"/>
        <w:overflowPunct/>
        <w:spacing w:before="120" w:after="120" w:line="360" w:lineRule="exact"/>
        <w:ind w:firstLine="420" w:firstLineChars="200"/>
        <w:rPr>
          <w:rFonts w:ascii="宋体" w:hAnsi="宋体" w:cs="宋体"/>
          <w:b w:val="0"/>
          <w:sz w:val="21"/>
          <w:szCs w:val="21"/>
        </w:rPr>
      </w:pPr>
      <w:bookmarkStart w:id="247" w:name="_Toc351203514"/>
      <w:r>
        <w:rPr>
          <w:rFonts w:hint="eastAsia" w:ascii="宋体" w:hAnsi="宋体" w:cs="宋体"/>
          <w:b w:val="0"/>
          <w:sz w:val="21"/>
          <w:szCs w:val="21"/>
        </w:rPr>
        <w:t>2</w:t>
      </w:r>
      <w:bookmarkStart w:id="248" w:name="_Toc337558745"/>
      <w:bookmarkStart w:id="249" w:name="_Toc296503042"/>
      <w:bookmarkStart w:id="250" w:name="_Toc296346543"/>
      <w:r>
        <w:rPr>
          <w:rFonts w:hint="eastAsia" w:ascii="宋体" w:hAnsi="宋体" w:cs="宋体"/>
          <w:b w:val="0"/>
          <w:sz w:val="21"/>
          <w:szCs w:val="21"/>
        </w:rPr>
        <w:t>.5 资</w:t>
      </w:r>
      <w:bookmarkEnd w:id="248"/>
      <w:bookmarkEnd w:id="249"/>
      <w:bookmarkEnd w:id="250"/>
      <w:r>
        <w:rPr>
          <w:rFonts w:hint="eastAsia" w:ascii="宋体" w:hAnsi="宋体" w:cs="宋体"/>
          <w:b w:val="0"/>
          <w:sz w:val="21"/>
          <w:szCs w:val="21"/>
        </w:rPr>
        <w:t>金来源证明及支付担保</w:t>
      </w:r>
      <w:bookmarkEnd w:id="247"/>
    </w:p>
    <w:p w14:paraId="4E5BC6BE">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除专用合同条款另有约定外，发包人应在收到承包人要求提供资金来源证明的书面通知后28天内，向承包人提供能够按照合同约定支付合同价款的相应资金来源证明。</w:t>
      </w:r>
    </w:p>
    <w:p w14:paraId="0084EAAD">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除专用合同条款另有约定外，发包人要求承包人提供履约担保的，发包人应当向承包人提供支付担保。支付担保可以采用银行保函或担保公司担保等形式，具体由合同当事人在专用合同条款中约定。</w:t>
      </w:r>
    </w:p>
    <w:p w14:paraId="6BF665A7">
      <w:pPr>
        <w:pStyle w:val="8"/>
        <w:overflowPunct/>
        <w:spacing w:before="120" w:after="120" w:line="360" w:lineRule="exact"/>
        <w:ind w:firstLine="420" w:firstLineChars="200"/>
        <w:rPr>
          <w:rFonts w:ascii="宋体" w:hAnsi="宋体" w:cs="宋体"/>
          <w:b w:val="0"/>
          <w:sz w:val="21"/>
          <w:szCs w:val="21"/>
        </w:rPr>
      </w:pPr>
      <w:bookmarkStart w:id="251" w:name="_Toc351203515"/>
      <w:r>
        <w:rPr>
          <w:rFonts w:hint="eastAsia" w:ascii="宋体" w:hAnsi="宋体" w:cs="宋体"/>
          <w:b w:val="0"/>
          <w:sz w:val="21"/>
          <w:szCs w:val="21"/>
        </w:rPr>
        <w:t>2.6 支付合同价款</w:t>
      </w:r>
      <w:bookmarkEnd w:id="251"/>
    </w:p>
    <w:p w14:paraId="69AC3F3C">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发包人应按合同约定向承包人及时支付合同价款。</w:t>
      </w:r>
    </w:p>
    <w:p w14:paraId="256C0B75">
      <w:pPr>
        <w:pStyle w:val="8"/>
        <w:overflowPunct/>
        <w:spacing w:before="120" w:after="120" w:line="360" w:lineRule="exact"/>
        <w:ind w:firstLine="420" w:firstLineChars="200"/>
        <w:rPr>
          <w:rFonts w:ascii="宋体" w:hAnsi="宋体" w:cs="宋体"/>
          <w:b w:val="0"/>
          <w:sz w:val="21"/>
          <w:szCs w:val="21"/>
        </w:rPr>
      </w:pPr>
      <w:bookmarkStart w:id="252" w:name="_Toc351203516"/>
      <w:r>
        <w:rPr>
          <w:rFonts w:hint="eastAsia" w:ascii="宋体" w:hAnsi="宋体" w:cs="宋体"/>
          <w:b w:val="0"/>
          <w:sz w:val="21"/>
          <w:szCs w:val="21"/>
        </w:rPr>
        <w:t>2.7 组织竣工验收</w:t>
      </w:r>
      <w:bookmarkEnd w:id="252"/>
    </w:p>
    <w:p w14:paraId="7EF5028B">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发包人应按合同约定及时组织竣工验收。</w:t>
      </w:r>
    </w:p>
    <w:p w14:paraId="40969909">
      <w:pPr>
        <w:pStyle w:val="8"/>
        <w:overflowPunct/>
        <w:spacing w:before="120" w:after="120" w:line="360" w:lineRule="exact"/>
        <w:ind w:firstLine="420" w:firstLineChars="200"/>
        <w:rPr>
          <w:rFonts w:ascii="宋体" w:hAnsi="宋体" w:cs="宋体"/>
          <w:b w:val="0"/>
          <w:sz w:val="21"/>
          <w:szCs w:val="21"/>
        </w:rPr>
      </w:pPr>
      <w:bookmarkStart w:id="253" w:name="_Toc351203517"/>
      <w:r>
        <w:rPr>
          <w:rFonts w:hint="eastAsia" w:ascii="宋体" w:hAnsi="宋体" w:cs="宋体"/>
          <w:b w:val="0"/>
          <w:sz w:val="21"/>
          <w:szCs w:val="21"/>
        </w:rPr>
        <w:t>2.8 现场统一管理协议</w:t>
      </w:r>
      <w:bookmarkEnd w:id="253"/>
    </w:p>
    <w:p w14:paraId="7788948F">
      <w:pPr>
        <w:spacing w:line="360" w:lineRule="exact"/>
        <w:ind w:firstLine="420" w:firstLineChars="200"/>
        <w:jc w:val="left"/>
        <w:rPr>
          <w:rFonts w:ascii="宋体" w:hAnsi="宋体" w:cs="宋体"/>
          <w:kern w:val="0"/>
        </w:rPr>
      </w:pPr>
      <w:r>
        <w:rPr>
          <w:rFonts w:hint="eastAsia" w:ascii="宋体" w:hAnsi="宋体" w:cs="宋体"/>
          <w:kern w:val="0"/>
        </w:rPr>
        <w:t>发包人应与承包人、由发包人直接发包的专业工程的承包人签订施工现场统一管理协议，明确各方的权利义务。施工现场统一管理协议作为专用合同条款的附件。</w:t>
      </w:r>
    </w:p>
    <w:p w14:paraId="387B072D">
      <w:pPr>
        <w:pStyle w:val="7"/>
        <w:spacing w:before="120" w:after="120" w:line="360" w:lineRule="exact"/>
        <w:rPr>
          <w:rFonts w:ascii="宋体" w:hAnsi="宋体" w:cs="宋体"/>
          <w:b w:val="0"/>
          <w:sz w:val="21"/>
          <w:szCs w:val="21"/>
        </w:rPr>
      </w:pPr>
      <w:bookmarkStart w:id="254" w:name="_Toc351203518"/>
      <w:r>
        <w:rPr>
          <w:rFonts w:hint="eastAsia" w:ascii="宋体" w:hAnsi="宋体" w:cs="宋体"/>
          <w:b w:val="0"/>
          <w:sz w:val="21"/>
          <w:szCs w:val="21"/>
        </w:rPr>
        <w:t>3</w:t>
      </w:r>
      <w:bookmarkStart w:id="255" w:name="_Toc337558746"/>
      <w:bookmarkStart w:id="256" w:name="_Toc296346546"/>
      <w:bookmarkStart w:id="257" w:name="_Toc296503045"/>
      <w:r>
        <w:rPr>
          <w:rFonts w:hint="eastAsia" w:ascii="宋体" w:hAnsi="宋体" w:cs="宋体"/>
          <w:b w:val="0"/>
          <w:sz w:val="21"/>
          <w:szCs w:val="21"/>
        </w:rPr>
        <w:t>. 承包人</w:t>
      </w:r>
      <w:bookmarkEnd w:id="254"/>
    </w:p>
    <w:bookmarkEnd w:id="255"/>
    <w:bookmarkEnd w:id="256"/>
    <w:bookmarkEnd w:id="257"/>
    <w:p w14:paraId="5B577F24">
      <w:pPr>
        <w:pStyle w:val="8"/>
        <w:overflowPunct/>
        <w:spacing w:before="120" w:after="120" w:line="360" w:lineRule="exact"/>
        <w:ind w:firstLine="420" w:firstLineChars="200"/>
        <w:rPr>
          <w:rFonts w:ascii="宋体" w:hAnsi="宋体" w:cs="宋体"/>
          <w:b w:val="0"/>
          <w:sz w:val="21"/>
          <w:szCs w:val="21"/>
        </w:rPr>
      </w:pPr>
      <w:bookmarkStart w:id="258" w:name="_Toc351203519"/>
      <w:r>
        <w:rPr>
          <w:rFonts w:hint="eastAsia" w:ascii="宋体" w:hAnsi="宋体" w:cs="宋体"/>
          <w:b w:val="0"/>
          <w:sz w:val="21"/>
          <w:szCs w:val="21"/>
        </w:rPr>
        <w:t>3</w:t>
      </w:r>
      <w:bookmarkStart w:id="259" w:name="_Toc296346547"/>
      <w:bookmarkStart w:id="260" w:name="_Toc296503046"/>
      <w:bookmarkStart w:id="261" w:name="_Toc337558747"/>
      <w:r>
        <w:rPr>
          <w:rFonts w:hint="eastAsia" w:ascii="宋体" w:hAnsi="宋体" w:cs="宋体"/>
          <w:b w:val="0"/>
          <w:sz w:val="21"/>
          <w:szCs w:val="21"/>
        </w:rPr>
        <w:t>.1 承包人的一般义务</w:t>
      </w:r>
      <w:bookmarkEnd w:id="258"/>
    </w:p>
    <w:bookmarkEnd w:id="259"/>
    <w:bookmarkEnd w:id="260"/>
    <w:bookmarkEnd w:id="261"/>
    <w:p w14:paraId="6234C4C8">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承包人在履行合同过程中应遵守法律和工程建设标准规范，并履行以下义务：</w:t>
      </w:r>
    </w:p>
    <w:p w14:paraId="373EFFFC">
      <w:pPr>
        <w:numPr>
          <w:ilvl w:val="0"/>
          <w:numId w:val="4"/>
        </w:num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办理法律规定应由承包人办理的许可和批准，并将办理结果书面报送发包人留存；</w:t>
      </w:r>
    </w:p>
    <w:p w14:paraId="35F8C3C2">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（2）按法律规定和合同约定完成工程，并在保修期内承担保修义务；</w:t>
      </w:r>
    </w:p>
    <w:p w14:paraId="4B2D2E49">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（3）按法律规定和合同约定采取施工安全和环境保护措施，办理工伤保险，确保工程及人员、材料、设备和设施的安全；</w:t>
      </w:r>
    </w:p>
    <w:p w14:paraId="17454D84">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（4）按合同约定的工作内容和施工进度要求，编制施工组织设计和施工措施计划，并对所有施工作业和施工方法的完备性和安全可靠性负责；</w:t>
      </w:r>
    </w:p>
    <w:p w14:paraId="2758D101">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593762C6">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（6）按照第6.3款〔环境保护〕约定负责施工场地及其周边环境与生态的保护工作；</w:t>
      </w:r>
    </w:p>
    <w:p w14:paraId="5561A520">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（7）按第6.1款〔安全文明施工〕约定采取施工安全措施，确保工程及其人员、材料、设备和设施的安全，防止因工程施工造成的人身伤害和财产损失；</w:t>
      </w:r>
    </w:p>
    <w:p w14:paraId="0E36904A">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（8）将发包人按合同约定支付的各项价款专用于合同工程，且应及时支付其雇用人员工资，并及时向分包人支付合同价款；</w:t>
      </w:r>
    </w:p>
    <w:p w14:paraId="4C3DCF62">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（9）按照法律规定和合同约定编制竣工资料，完成竣工资料立卷及归档，并按专用合同条款约定的竣工资料的套数、内容、时间等要求移交发包人；</w:t>
      </w:r>
    </w:p>
    <w:p w14:paraId="23F668CC">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（10）应履行的其他义务。</w:t>
      </w:r>
    </w:p>
    <w:p w14:paraId="5145E955">
      <w:pPr>
        <w:pStyle w:val="8"/>
        <w:overflowPunct/>
        <w:spacing w:before="120" w:after="120" w:line="360" w:lineRule="exact"/>
        <w:ind w:firstLine="420" w:firstLineChars="200"/>
        <w:rPr>
          <w:rFonts w:ascii="宋体" w:hAnsi="宋体" w:cs="宋体"/>
          <w:b w:val="0"/>
          <w:sz w:val="21"/>
          <w:szCs w:val="21"/>
        </w:rPr>
      </w:pPr>
      <w:bookmarkStart w:id="262" w:name="_Toc351203520"/>
      <w:r>
        <w:rPr>
          <w:rFonts w:hint="eastAsia" w:ascii="宋体" w:hAnsi="宋体" w:cs="宋体"/>
          <w:b w:val="0"/>
          <w:sz w:val="21"/>
          <w:szCs w:val="21"/>
        </w:rPr>
        <w:t>3</w:t>
      </w:r>
      <w:bookmarkStart w:id="263" w:name="_Toc296503047"/>
      <w:bookmarkStart w:id="264" w:name="_Toc296346548"/>
      <w:bookmarkStart w:id="265" w:name="_Toc337558748"/>
      <w:r>
        <w:rPr>
          <w:rFonts w:hint="eastAsia" w:ascii="宋体" w:hAnsi="宋体" w:cs="宋体"/>
          <w:b w:val="0"/>
          <w:sz w:val="21"/>
          <w:szCs w:val="21"/>
        </w:rPr>
        <w:t xml:space="preserve">.2 </w:t>
      </w:r>
      <w:bookmarkEnd w:id="262"/>
      <w:r>
        <w:rPr>
          <w:rFonts w:hint="eastAsia" w:ascii="宋体" w:hAnsi="宋体" w:cs="宋体"/>
          <w:b w:val="0"/>
          <w:sz w:val="21"/>
          <w:szCs w:val="21"/>
        </w:rPr>
        <w:t>项目经理</w:t>
      </w:r>
    </w:p>
    <w:bookmarkEnd w:id="263"/>
    <w:bookmarkEnd w:id="264"/>
    <w:bookmarkEnd w:id="265"/>
    <w:p w14:paraId="6B0A0513">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交纳社会保险的有效证明。承包人不提交上述文件的，项目经理无权履行职责，发包人有权要求更换项目经理，由此增加的费用和（或）延误的工期由承包人承担。</w:t>
      </w:r>
    </w:p>
    <w:p w14:paraId="28A1060C">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14:paraId="013BE861">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承包人违反上述约定的，应按照专用合同条款的约定，承担违约责任。</w:t>
      </w:r>
    </w:p>
    <w:p w14:paraId="6EBAA3EB">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p>
    <w:p w14:paraId="080C4D99">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14:paraId="66DD054C">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p>
    <w:p w14:paraId="4CBF4AD4">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3.2.5 项目经理因特殊情况授权其下属人员履行其某项工作职责的，该下属人员应具备履行相应职责的能力，并应提前7天将上述人员的姓名和授权范围书面通知监理人，并征得发包人书面同意。</w:t>
      </w:r>
    </w:p>
    <w:p w14:paraId="5BD1E29C">
      <w:pPr>
        <w:pStyle w:val="8"/>
        <w:overflowPunct/>
        <w:spacing w:before="120" w:after="120" w:line="360" w:lineRule="exact"/>
        <w:ind w:firstLine="420" w:firstLineChars="200"/>
        <w:rPr>
          <w:rFonts w:ascii="宋体" w:hAnsi="宋体" w:cs="宋体"/>
          <w:b w:val="0"/>
          <w:sz w:val="21"/>
          <w:szCs w:val="21"/>
        </w:rPr>
      </w:pPr>
      <w:bookmarkStart w:id="266" w:name="_Toc351203521"/>
      <w:r>
        <w:rPr>
          <w:rFonts w:hint="eastAsia" w:ascii="宋体" w:hAnsi="宋体" w:cs="宋体"/>
          <w:b w:val="0"/>
          <w:sz w:val="21"/>
          <w:szCs w:val="21"/>
        </w:rPr>
        <w:t>3</w:t>
      </w:r>
      <w:bookmarkStart w:id="267" w:name="_Toc296346549"/>
      <w:bookmarkStart w:id="268" w:name="_Toc296503048"/>
      <w:bookmarkStart w:id="269" w:name="_Toc337558749"/>
      <w:r>
        <w:rPr>
          <w:rFonts w:hint="eastAsia" w:ascii="宋体" w:hAnsi="宋体" w:cs="宋体"/>
          <w:b w:val="0"/>
          <w:sz w:val="21"/>
          <w:szCs w:val="21"/>
        </w:rPr>
        <w:t xml:space="preserve">.3 </w:t>
      </w:r>
      <w:bookmarkEnd w:id="267"/>
      <w:bookmarkEnd w:id="268"/>
      <w:r>
        <w:rPr>
          <w:rFonts w:hint="eastAsia" w:ascii="宋体" w:hAnsi="宋体" w:cs="宋体"/>
          <w:b w:val="0"/>
          <w:sz w:val="21"/>
          <w:szCs w:val="21"/>
        </w:rPr>
        <w:t>承包人人员</w:t>
      </w:r>
      <w:bookmarkEnd w:id="266"/>
    </w:p>
    <w:bookmarkEnd w:id="269"/>
    <w:p w14:paraId="1566A9D1">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交纳社会保险的有效证明。</w:t>
      </w:r>
    </w:p>
    <w:p w14:paraId="31ECF633">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p>
    <w:p w14:paraId="36A9D82B">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特殊工种作业人员均应持有相应的资格证明，监理人可以随时检查。</w:t>
      </w:r>
    </w:p>
    <w:p w14:paraId="72E0C965">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14:paraId="2057BD34">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14:paraId="6C7B111C">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3.3.5 承包人擅自更换主要施工管理人员，或前述人员未经监理人或发包人同意擅自离开施工现场的，应按照专用合同条款约定承担违约责任。</w:t>
      </w:r>
    </w:p>
    <w:p w14:paraId="11F417F6">
      <w:pPr>
        <w:pStyle w:val="8"/>
        <w:overflowPunct/>
        <w:spacing w:before="120" w:after="120" w:line="360" w:lineRule="exact"/>
        <w:ind w:firstLine="420" w:firstLineChars="200"/>
        <w:rPr>
          <w:rFonts w:ascii="宋体" w:hAnsi="宋体" w:cs="宋体"/>
          <w:b w:val="0"/>
          <w:sz w:val="21"/>
          <w:szCs w:val="21"/>
        </w:rPr>
      </w:pPr>
      <w:bookmarkStart w:id="270" w:name="_Toc351203522"/>
      <w:r>
        <w:rPr>
          <w:rFonts w:hint="eastAsia" w:ascii="宋体" w:hAnsi="宋体" w:cs="宋体"/>
          <w:b w:val="0"/>
          <w:sz w:val="21"/>
          <w:szCs w:val="21"/>
        </w:rPr>
        <w:t>3</w:t>
      </w:r>
      <w:bookmarkStart w:id="271" w:name="_Toc296346551"/>
      <w:bookmarkStart w:id="272" w:name="_Toc296503050"/>
      <w:bookmarkStart w:id="273" w:name="_Toc337558750"/>
      <w:r>
        <w:rPr>
          <w:rFonts w:hint="eastAsia" w:ascii="宋体" w:hAnsi="宋体" w:cs="宋体"/>
          <w:b w:val="0"/>
          <w:sz w:val="21"/>
          <w:szCs w:val="21"/>
        </w:rPr>
        <w:t>.4 承包人现场查勘</w:t>
      </w:r>
      <w:bookmarkEnd w:id="270"/>
    </w:p>
    <w:bookmarkEnd w:id="271"/>
    <w:bookmarkEnd w:id="272"/>
    <w:bookmarkEnd w:id="273"/>
    <w:p w14:paraId="1489B649">
      <w:pPr>
        <w:autoSpaceDE w:val="0"/>
        <w:autoSpaceDN w:val="0"/>
        <w:adjustRightInd w:val="0"/>
        <w:spacing w:line="360" w:lineRule="exact"/>
        <w:ind w:firstLine="420" w:firstLineChars="200"/>
        <w:jc w:val="left"/>
        <w:rPr>
          <w:rFonts w:ascii="宋体" w:hAnsi="宋体" w:cs="宋体"/>
        </w:rPr>
      </w:pPr>
      <w:r>
        <w:rPr>
          <w:rFonts w:hint="eastAsia" w:ascii="宋体" w:hAnsi="宋体" w:cs="宋体"/>
          <w:kern w:val="0"/>
        </w:rPr>
        <w:t>承包人应对基于发包人按照第2.4.3项〔提供基础资料〕提交的基础资料所做出的解释和推断负责，但因基础资料存在错误、遗漏导致承包人解释或推断失实的，由发包人承担责任。</w:t>
      </w:r>
    </w:p>
    <w:p w14:paraId="453A9F02">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14:paraId="7B18F2C7">
      <w:pPr>
        <w:pStyle w:val="8"/>
        <w:overflowPunct/>
        <w:spacing w:before="120" w:after="120" w:line="360" w:lineRule="exact"/>
        <w:ind w:firstLine="420" w:firstLineChars="200"/>
        <w:rPr>
          <w:rFonts w:ascii="宋体" w:hAnsi="宋体" w:cs="宋体"/>
          <w:b w:val="0"/>
          <w:sz w:val="21"/>
          <w:szCs w:val="21"/>
        </w:rPr>
      </w:pPr>
      <w:bookmarkStart w:id="274" w:name="_Toc351203523"/>
      <w:r>
        <w:rPr>
          <w:rFonts w:hint="eastAsia" w:ascii="宋体" w:hAnsi="宋体" w:cs="宋体"/>
          <w:b w:val="0"/>
          <w:sz w:val="21"/>
          <w:szCs w:val="21"/>
        </w:rPr>
        <w:t>3</w:t>
      </w:r>
      <w:bookmarkStart w:id="275" w:name="_Toc296503051"/>
      <w:bookmarkStart w:id="276" w:name="_Toc337558751"/>
      <w:bookmarkStart w:id="277" w:name="_Toc296346552"/>
      <w:r>
        <w:rPr>
          <w:rFonts w:hint="eastAsia" w:ascii="宋体" w:hAnsi="宋体" w:cs="宋体"/>
          <w:b w:val="0"/>
          <w:sz w:val="21"/>
          <w:szCs w:val="21"/>
        </w:rPr>
        <w:t>.5 分包</w:t>
      </w:r>
      <w:bookmarkEnd w:id="274"/>
    </w:p>
    <w:bookmarkEnd w:id="275"/>
    <w:bookmarkEnd w:id="276"/>
    <w:bookmarkEnd w:id="277"/>
    <w:p w14:paraId="6FA030CF">
      <w:pPr>
        <w:spacing w:line="360" w:lineRule="exact"/>
        <w:ind w:firstLine="420" w:firstLineChars="200"/>
        <w:jc w:val="left"/>
        <w:rPr>
          <w:rFonts w:ascii="宋体" w:hAnsi="宋体" w:cs="宋体"/>
          <w:kern w:val="0"/>
        </w:rPr>
      </w:pPr>
      <w:r>
        <w:rPr>
          <w:rFonts w:hint="eastAsia" w:ascii="宋体" w:hAnsi="宋体" w:cs="宋体"/>
          <w:kern w:val="0"/>
        </w:rPr>
        <w:t>3.5.1 分包的一般约定</w:t>
      </w:r>
    </w:p>
    <w:p w14:paraId="69DCB609">
      <w:pPr>
        <w:spacing w:line="360" w:lineRule="exact"/>
        <w:ind w:firstLine="420" w:firstLineChars="200"/>
        <w:jc w:val="left"/>
        <w:rPr>
          <w:rFonts w:ascii="宋体" w:hAnsi="宋体" w:cs="宋体"/>
          <w:kern w:val="0"/>
        </w:rPr>
      </w:pPr>
      <w:r>
        <w:rPr>
          <w:rFonts w:hint="eastAsia" w:ascii="宋体" w:hAnsi="宋体" w:cs="宋体"/>
          <w:kern w:val="0"/>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14:paraId="5BF64165">
      <w:pPr>
        <w:spacing w:line="360" w:lineRule="exact"/>
        <w:ind w:firstLine="420" w:firstLineChars="200"/>
        <w:jc w:val="left"/>
        <w:rPr>
          <w:rFonts w:ascii="宋体" w:hAnsi="宋体" w:cs="宋体"/>
          <w:kern w:val="0"/>
        </w:rPr>
      </w:pPr>
      <w:r>
        <w:rPr>
          <w:rFonts w:hint="eastAsia" w:ascii="宋体" w:hAnsi="宋体" w:cs="宋体"/>
          <w:kern w:val="0"/>
        </w:rPr>
        <w:t>承包人不得以劳务分包的名义转包或违法分包工程。</w:t>
      </w:r>
    </w:p>
    <w:p w14:paraId="782F8778">
      <w:pPr>
        <w:spacing w:line="360" w:lineRule="exact"/>
        <w:ind w:firstLine="420" w:firstLineChars="200"/>
        <w:jc w:val="left"/>
        <w:rPr>
          <w:rFonts w:ascii="宋体" w:hAnsi="宋体" w:cs="宋体"/>
          <w:kern w:val="0"/>
        </w:rPr>
      </w:pPr>
      <w:r>
        <w:rPr>
          <w:rFonts w:hint="eastAsia" w:ascii="宋体" w:hAnsi="宋体" w:cs="宋体"/>
          <w:kern w:val="0"/>
        </w:rPr>
        <w:t>3.5.2 分包的确定</w:t>
      </w:r>
    </w:p>
    <w:p w14:paraId="5BE78C61">
      <w:pPr>
        <w:spacing w:line="360" w:lineRule="exact"/>
        <w:ind w:firstLine="420" w:firstLineChars="200"/>
        <w:jc w:val="left"/>
        <w:rPr>
          <w:rFonts w:ascii="宋体" w:hAnsi="宋体" w:cs="宋体"/>
          <w:kern w:val="0"/>
        </w:rPr>
      </w:pPr>
      <w:r>
        <w:rPr>
          <w:rFonts w:hint="eastAsia" w:ascii="宋体" w:hAnsi="宋体" w:cs="宋体"/>
          <w:kern w:val="0"/>
        </w:rPr>
        <w:t>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14:paraId="7A7B810B">
      <w:pPr>
        <w:spacing w:line="360" w:lineRule="exact"/>
        <w:ind w:firstLine="420" w:firstLineChars="200"/>
        <w:jc w:val="left"/>
        <w:rPr>
          <w:rFonts w:ascii="宋体" w:hAnsi="宋体" w:cs="宋体"/>
          <w:kern w:val="0"/>
        </w:rPr>
      </w:pPr>
      <w:r>
        <w:rPr>
          <w:rFonts w:hint="eastAsia" w:ascii="宋体" w:hAnsi="宋体" w:cs="宋体"/>
          <w:kern w:val="0"/>
        </w:rPr>
        <w:t>3.5.3 分包管理</w:t>
      </w:r>
    </w:p>
    <w:p w14:paraId="34DCA7E2">
      <w:pPr>
        <w:spacing w:line="360" w:lineRule="exact"/>
        <w:ind w:firstLine="420" w:firstLineChars="200"/>
        <w:jc w:val="left"/>
        <w:rPr>
          <w:rFonts w:ascii="宋体" w:hAnsi="宋体" w:cs="宋体"/>
          <w:kern w:val="0"/>
        </w:rPr>
      </w:pPr>
      <w:r>
        <w:rPr>
          <w:rFonts w:hint="eastAsia" w:ascii="宋体" w:hAnsi="宋体" w:cs="宋体"/>
          <w:kern w:val="0"/>
        </w:rPr>
        <w:t>承包人应向监理人提交分包人的主要施工管理人员表，并对分包人的施工人员进行实名制管理，包括但不限于进出场管理、登记造册以及各种证照的办理。</w:t>
      </w:r>
    </w:p>
    <w:p w14:paraId="3BAD95C7">
      <w:pPr>
        <w:spacing w:line="360" w:lineRule="exact"/>
        <w:ind w:firstLine="420" w:firstLineChars="200"/>
        <w:jc w:val="left"/>
        <w:rPr>
          <w:rFonts w:ascii="宋体" w:hAnsi="宋体" w:cs="宋体"/>
          <w:kern w:val="0"/>
        </w:rPr>
      </w:pPr>
      <w:r>
        <w:rPr>
          <w:rFonts w:hint="eastAsia" w:ascii="宋体" w:hAnsi="宋体" w:cs="宋体"/>
          <w:kern w:val="0"/>
        </w:rPr>
        <w:t>3.5.4 分包合同价款</w:t>
      </w:r>
    </w:p>
    <w:p w14:paraId="2BE1C07C">
      <w:pPr>
        <w:spacing w:line="360" w:lineRule="exact"/>
        <w:ind w:firstLine="420" w:firstLineChars="200"/>
        <w:jc w:val="left"/>
        <w:rPr>
          <w:rFonts w:ascii="宋体" w:hAnsi="宋体" w:cs="宋体"/>
          <w:kern w:val="0"/>
        </w:rPr>
      </w:pPr>
      <w:r>
        <w:rPr>
          <w:rFonts w:hint="eastAsia" w:ascii="宋体" w:hAnsi="宋体" w:cs="宋体"/>
          <w:kern w:val="0"/>
        </w:rPr>
        <w:t>（1）除本项第（2）目约定的情况或专用合同条款另有约定外，分包合同价款由承包人与分包人结算，未经承包人同意，发包人不得向分包人支付分包工程价款；</w:t>
      </w:r>
    </w:p>
    <w:p w14:paraId="319E59DA">
      <w:pPr>
        <w:spacing w:line="360" w:lineRule="exact"/>
        <w:ind w:firstLine="420" w:firstLineChars="200"/>
        <w:jc w:val="left"/>
        <w:rPr>
          <w:rFonts w:ascii="宋体" w:hAnsi="宋体" w:cs="宋体"/>
          <w:kern w:val="0"/>
        </w:rPr>
      </w:pPr>
      <w:r>
        <w:rPr>
          <w:rFonts w:hint="eastAsia" w:ascii="宋体" w:hAnsi="宋体" w:cs="宋体"/>
          <w:kern w:val="0"/>
        </w:rPr>
        <w:t>（2）生效法律文书要求发包人向分包人支付分包合同价款的，发包人有权从应付承包人工程款中扣除该部分款项。</w:t>
      </w:r>
    </w:p>
    <w:p w14:paraId="369A5269">
      <w:pPr>
        <w:spacing w:line="360" w:lineRule="exact"/>
        <w:ind w:firstLine="420" w:firstLineChars="200"/>
        <w:jc w:val="left"/>
        <w:rPr>
          <w:rFonts w:ascii="宋体" w:hAnsi="宋体" w:cs="宋体"/>
          <w:kern w:val="0"/>
        </w:rPr>
      </w:pPr>
      <w:r>
        <w:rPr>
          <w:rFonts w:hint="eastAsia" w:ascii="宋体" w:hAnsi="宋体" w:cs="宋体"/>
          <w:kern w:val="0"/>
        </w:rPr>
        <w:t>3.5.5 分包合同权益的转让</w:t>
      </w:r>
    </w:p>
    <w:p w14:paraId="079202AA">
      <w:pPr>
        <w:spacing w:line="360" w:lineRule="exact"/>
        <w:ind w:firstLine="420" w:firstLineChars="200"/>
        <w:jc w:val="left"/>
        <w:rPr>
          <w:rFonts w:ascii="宋体" w:hAnsi="宋体" w:cs="宋体"/>
          <w:kern w:val="0"/>
        </w:rPr>
      </w:pPr>
      <w:r>
        <w:rPr>
          <w:rFonts w:hint="eastAsia" w:ascii="宋体" w:hAnsi="宋体" w:cs="宋体"/>
          <w:kern w:val="0"/>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278" w:name="_Toc351203524"/>
    </w:p>
    <w:p w14:paraId="33466504">
      <w:pPr>
        <w:pStyle w:val="8"/>
        <w:overflowPunct/>
        <w:spacing w:before="120" w:after="120" w:line="360" w:lineRule="exact"/>
        <w:ind w:firstLine="420" w:firstLineChars="200"/>
        <w:rPr>
          <w:rFonts w:ascii="宋体" w:hAnsi="宋体" w:cs="宋体"/>
          <w:b w:val="0"/>
          <w:sz w:val="21"/>
          <w:szCs w:val="21"/>
        </w:rPr>
      </w:pPr>
      <w:r>
        <w:rPr>
          <w:rFonts w:hint="eastAsia" w:ascii="宋体" w:hAnsi="宋体" w:cs="宋体"/>
          <w:b w:val="0"/>
          <w:sz w:val="21"/>
          <w:szCs w:val="21"/>
        </w:rPr>
        <w:t>3.6 工程照管与成品、半成品保护</w:t>
      </w:r>
      <w:bookmarkEnd w:id="278"/>
    </w:p>
    <w:p w14:paraId="2F8B6845">
      <w:pPr>
        <w:spacing w:line="360" w:lineRule="exact"/>
        <w:ind w:firstLine="420" w:firstLineChars="200"/>
        <w:jc w:val="left"/>
        <w:rPr>
          <w:rFonts w:ascii="宋体" w:hAnsi="宋体" w:cs="宋体"/>
          <w:kern w:val="0"/>
        </w:rPr>
      </w:pPr>
      <w:r>
        <w:rPr>
          <w:rFonts w:hint="eastAsia" w:ascii="宋体" w:hAnsi="宋体" w:cs="宋体"/>
          <w:kern w:val="0"/>
        </w:rPr>
        <w:t>（1）除专用合同条款另有约定外，自发包人向承包人移交施工现场之日起，承包人应负责照管工程及工程相关的材料、工程设备，直到颁发工程接收证书之日止。</w:t>
      </w:r>
    </w:p>
    <w:p w14:paraId="321A7983">
      <w:pPr>
        <w:spacing w:line="360" w:lineRule="exact"/>
        <w:ind w:firstLine="420" w:firstLineChars="200"/>
        <w:jc w:val="left"/>
        <w:rPr>
          <w:rFonts w:ascii="宋体" w:hAnsi="宋体" w:cs="宋体"/>
          <w:kern w:val="0"/>
        </w:rPr>
      </w:pPr>
      <w:r>
        <w:rPr>
          <w:rFonts w:hint="eastAsia" w:ascii="宋体" w:hAnsi="宋体" w:cs="宋体"/>
          <w:kern w:val="0"/>
        </w:rPr>
        <w:t>（2）在承包人负责照管期间，因承包人原因造成工程、材料、工程设备损坏的，由承包人负责修复或更换，并承担由此增加的费用和（或）延误的工期。</w:t>
      </w:r>
    </w:p>
    <w:p w14:paraId="7BC8ABD8">
      <w:pPr>
        <w:spacing w:line="360" w:lineRule="exact"/>
        <w:ind w:firstLine="420" w:firstLineChars="200"/>
        <w:jc w:val="left"/>
        <w:rPr>
          <w:rFonts w:ascii="宋体" w:hAnsi="宋体" w:cs="宋体"/>
          <w:kern w:val="0"/>
        </w:rPr>
      </w:pPr>
      <w:r>
        <w:rPr>
          <w:rFonts w:hint="eastAsia" w:ascii="宋体" w:hAnsi="宋体" w:cs="宋体"/>
          <w:kern w:val="0"/>
        </w:rPr>
        <w:t>（3）对合同内分期完成的成品和半成品，在工程接收证书颁发前，由承包人承担保护责任。因承包人原因造成成品或半成品损坏的，由承包人负责修复或更换，并承担由此增加的费用和（或）延误的工期。</w:t>
      </w:r>
    </w:p>
    <w:p w14:paraId="52447C5B">
      <w:pPr>
        <w:pStyle w:val="8"/>
        <w:overflowPunct/>
        <w:spacing w:before="120" w:after="120" w:line="360" w:lineRule="exact"/>
        <w:ind w:firstLine="420" w:firstLineChars="200"/>
        <w:rPr>
          <w:rFonts w:ascii="宋体" w:hAnsi="宋体" w:cs="宋体"/>
          <w:b w:val="0"/>
          <w:sz w:val="21"/>
          <w:szCs w:val="21"/>
        </w:rPr>
      </w:pPr>
      <w:bookmarkStart w:id="279" w:name="_Toc351203525"/>
      <w:r>
        <w:rPr>
          <w:rFonts w:hint="eastAsia" w:ascii="宋体" w:hAnsi="宋体" w:cs="宋体"/>
          <w:b w:val="0"/>
          <w:sz w:val="21"/>
          <w:szCs w:val="21"/>
        </w:rPr>
        <w:t>3</w:t>
      </w:r>
      <w:bookmarkStart w:id="280" w:name="_Toc296346553"/>
      <w:bookmarkStart w:id="281" w:name="_Toc296503052"/>
      <w:bookmarkStart w:id="282" w:name="_Toc337558752"/>
      <w:r>
        <w:rPr>
          <w:rFonts w:hint="eastAsia" w:ascii="宋体" w:hAnsi="宋体" w:cs="宋体"/>
          <w:b w:val="0"/>
          <w:sz w:val="21"/>
          <w:szCs w:val="21"/>
        </w:rPr>
        <w:t>.7 履约担保</w:t>
      </w:r>
      <w:bookmarkEnd w:id="279"/>
    </w:p>
    <w:bookmarkEnd w:id="280"/>
    <w:bookmarkEnd w:id="281"/>
    <w:bookmarkEnd w:id="282"/>
    <w:p w14:paraId="5189EF2C">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发包人需要承包人提供履约担保的，由合同当事人在专用合同条款中约定履约担保的方式、金额及期限等。履约担保可以采用银行保函或担保公司担保等形式，具体由合同当事人在专用合同条款中约定。</w:t>
      </w:r>
    </w:p>
    <w:p w14:paraId="57AADA11">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因承包人原因导致工期延长的，继续提供履约担保所增加的费用由承包人承担；非因承包人原因导致工期延长的，继续提供履约担保所增加的费用由发包人承担。</w:t>
      </w:r>
    </w:p>
    <w:p w14:paraId="5E357540">
      <w:pPr>
        <w:pStyle w:val="8"/>
        <w:overflowPunct/>
        <w:spacing w:before="120" w:after="120" w:line="360" w:lineRule="exact"/>
        <w:ind w:firstLine="420" w:firstLineChars="200"/>
        <w:rPr>
          <w:rFonts w:ascii="宋体" w:hAnsi="宋体" w:cs="宋体"/>
          <w:b w:val="0"/>
          <w:sz w:val="21"/>
          <w:szCs w:val="21"/>
        </w:rPr>
      </w:pPr>
      <w:bookmarkStart w:id="283" w:name="_Toc351203526"/>
      <w:r>
        <w:rPr>
          <w:rFonts w:hint="eastAsia" w:ascii="宋体" w:hAnsi="宋体" w:cs="宋体"/>
          <w:b w:val="0"/>
          <w:sz w:val="21"/>
          <w:szCs w:val="21"/>
        </w:rPr>
        <w:t>3.8 联合体</w:t>
      </w:r>
      <w:bookmarkEnd w:id="283"/>
    </w:p>
    <w:p w14:paraId="62C4937B">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3.8.1 联合体各方应共同与发包人签订合同协议书。联合体各方应为履行合同向发包人承担连带责任。</w:t>
      </w:r>
    </w:p>
    <w:p w14:paraId="184A266D">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3.8.2 联合体协议经发包人确认后作为合同附件。在履行合同过程中，未经发包人同意，不得修改联合体协议。</w:t>
      </w:r>
    </w:p>
    <w:p w14:paraId="45AA31C0">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3.8.3 联合体牵头人负责与发包人和监理人联系，并接受指示，负责组织联合体各成员全面履行合同。</w:t>
      </w:r>
    </w:p>
    <w:p w14:paraId="11B72919">
      <w:pPr>
        <w:pStyle w:val="7"/>
        <w:spacing w:before="120" w:after="120" w:line="360" w:lineRule="exact"/>
        <w:rPr>
          <w:rFonts w:ascii="宋体" w:hAnsi="宋体" w:cs="宋体"/>
          <w:b w:val="0"/>
          <w:sz w:val="21"/>
          <w:szCs w:val="21"/>
        </w:rPr>
      </w:pPr>
      <w:bookmarkStart w:id="284" w:name="_Toc351203527"/>
      <w:r>
        <w:rPr>
          <w:rFonts w:hint="eastAsia" w:ascii="宋体" w:hAnsi="宋体" w:cs="宋体"/>
          <w:b w:val="0"/>
          <w:sz w:val="21"/>
          <w:szCs w:val="21"/>
        </w:rPr>
        <w:t>4</w:t>
      </w:r>
      <w:bookmarkStart w:id="285" w:name="_Toc296346554"/>
      <w:bookmarkStart w:id="286" w:name="_Toc296503053"/>
      <w:bookmarkStart w:id="287" w:name="_Toc337558753"/>
      <w:r>
        <w:rPr>
          <w:rFonts w:hint="eastAsia" w:ascii="宋体" w:hAnsi="宋体" w:cs="宋体"/>
          <w:b w:val="0"/>
          <w:sz w:val="21"/>
          <w:szCs w:val="21"/>
        </w:rPr>
        <w:t>. 监</w:t>
      </w:r>
      <w:bookmarkEnd w:id="285"/>
      <w:bookmarkEnd w:id="286"/>
      <w:r>
        <w:rPr>
          <w:rFonts w:hint="eastAsia" w:ascii="宋体" w:hAnsi="宋体" w:cs="宋体"/>
          <w:b w:val="0"/>
          <w:sz w:val="21"/>
          <w:szCs w:val="21"/>
        </w:rPr>
        <w:t>理人</w:t>
      </w:r>
      <w:bookmarkEnd w:id="284"/>
    </w:p>
    <w:bookmarkEnd w:id="287"/>
    <w:p w14:paraId="73AAAA29">
      <w:pPr>
        <w:pStyle w:val="8"/>
        <w:overflowPunct/>
        <w:spacing w:before="120" w:after="120" w:line="360" w:lineRule="exact"/>
        <w:ind w:firstLine="420" w:firstLineChars="200"/>
        <w:rPr>
          <w:rFonts w:ascii="宋体" w:hAnsi="宋体" w:cs="宋体"/>
          <w:b w:val="0"/>
          <w:sz w:val="21"/>
          <w:szCs w:val="21"/>
        </w:rPr>
      </w:pPr>
      <w:bookmarkStart w:id="288" w:name="_Toc351203528"/>
      <w:r>
        <w:rPr>
          <w:rFonts w:hint="eastAsia" w:ascii="宋体" w:hAnsi="宋体" w:cs="宋体"/>
          <w:b w:val="0"/>
          <w:sz w:val="21"/>
          <w:szCs w:val="21"/>
        </w:rPr>
        <w:t>4</w:t>
      </w:r>
      <w:bookmarkStart w:id="289" w:name="_Toc296503054"/>
      <w:bookmarkStart w:id="290" w:name="_Toc296346555"/>
      <w:bookmarkStart w:id="291" w:name="_Toc337558754"/>
      <w:r>
        <w:rPr>
          <w:rFonts w:hint="eastAsia" w:ascii="宋体" w:hAnsi="宋体" w:cs="宋体"/>
          <w:b w:val="0"/>
          <w:sz w:val="21"/>
          <w:szCs w:val="21"/>
        </w:rPr>
        <w:t>.1监理人的一般规定</w:t>
      </w:r>
      <w:bookmarkEnd w:id="288"/>
    </w:p>
    <w:bookmarkEnd w:id="289"/>
    <w:bookmarkEnd w:id="290"/>
    <w:bookmarkEnd w:id="291"/>
    <w:p w14:paraId="3D04EB11">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14:paraId="444EF1BC">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除专用合同条款另有约定外，监理人在施工现场的办公场所、生活场所由承包人提供，所发生的费用由发包人承担。</w:t>
      </w:r>
    </w:p>
    <w:p w14:paraId="7509D1C9">
      <w:pPr>
        <w:pStyle w:val="8"/>
        <w:overflowPunct/>
        <w:spacing w:before="120" w:after="120" w:line="360" w:lineRule="exact"/>
        <w:ind w:firstLine="420" w:firstLineChars="200"/>
        <w:rPr>
          <w:rFonts w:ascii="宋体" w:hAnsi="宋体" w:cs="宋体"/>
          <w:b w:val="0"/>
          <w:sz w:val="21"/>
          <w:szCs w:val="21"/>
        </w:rPr>
      </w:pPr>
      <w:bookmarkStart w:id="292" w:name="_Toc351203529"/>
      <w:r>
        <w:rPr>
          <w:rFonts w:hint="eastAsia" w:ascii="宋体" w:hAnsi="宋体" w:cs="宋体"/>
          <w:b w:val="0"/>
          <w:sz w:val="21"/>
          <w:szCs w:val="21"/>
        </w:rPr>
        <w:t>4</w:t>
      </w:r>
      <w:bookmarkStart w:id="293" w:name="_Toc337558755"/>
      <w:r>
        <w:rPr>
          <w:rFonts w:hint="eastAsia" w:ascii="宋体" w:hAnsi="宋体" w:cs="宋体"/>
          <w:b w:val="0"/>
          <w:sz w:val="21"/>
          <w:szCs w:val="21"/>
        </w:rPr>
        <w:t>.2监理人员</w:t>
      </w:r>
      <w:bookmarkEnd w:id="292"/>
    </w:p>
    <w:bookmarkEnd w:id="293"/>
    <w:p w14:paraId="0EA6EFF8">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14:paraId="437D0786">
      <w:pPr>
        <w:pStyle w:val="8"/>
        <w:overflowPunct/>
        <w:spacing w:before="120" w:after="120" w:line="360" w:lineRule="exact"/>
        <w:ind w:firstLine="420" w:firstLineChars="200"/>
        <w:rPr>
          <w:rFonts w:ascii="宋体" w:hAnsi="宋体" w:cs="宋体"/>
          <w:b w:val="0"/>
          <w:sz w:val="21"/>
          <w:szCs w:val="21"/>
        </w:rPr>
      </w:pPr>
      <w:bookmarkStart w:id="294" w:name="_Toc351203530"/>
      <w:r>
        <w:rPr>
          <w:rFonts w:hint="eastAsia" w:ascii="宋体" w:hAnsi="宋体" w:cs="宋体"/>
          <w:b w:val="0"/>
          <w:sz w:val="21"/>
          <w:szCs w:val="21"/>
        </w:rPr>
        <w:t>4</w:t>
      </w:r>
      <w:bookmarkStart w:id="295" w:name="_Toc296503055"/>
      <w:bookmarkStart w:id="296" w:name="_Toc296346556"/>
      <w:bookmarkStart w:id="297" w:name="_Toc337558756"/>
      <w:r>
        <w:rPr>
          <w:rFonts w:hint="eastAsia" w:ascii="宋体" w:hAnsi="宋体" w:cs="宋体"/>
          <w:b w:val="0"/>
          <w:sz w:val="21"/>
          <w:szCs w:val="21"/>
        </w:rPr>
        <w:t>.3</w:t>
      </w:r>
      <w:bookmarkEnd w:id="295"/>
      <w:bookmarkEnd w:id="296"/>
      <w:r>
        <w:rPr>
          <w:rFonts w:hint="eastAsia" w:ascii="宋体" w:hAnsi="宋体" w:cs="宋体"/>
          <w:b w:val="0"/>
          <w:sz w:val="21"/>
          <w:szCs w:val="21"/>
        </w:rPr>
        <w:t>监理人的指</w:t>
      </w:r>
      <w:bookmarkEnd w:id="297"/>
      <w:r>
        <w:rPr>
          <w:rFonts w:hint="eastAsia" w:ascii="宋体" w:hAnsi="宋体" w:cs="宋体"/>
          <w:b w:val="0"/>
          <w:sz w:val="21"/>
          <w:szCs w:val="21"/>
        </w:rPr>
        <w:t>示</w:t>
      </w:r>
      <w:bookmarkEnd w:id="294"/>
    </w:p>
    <w:p w14:paraId="3BEC7896">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14:paraId="36ABC26A">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p>
    <w:p w14:paraId="682E6F39">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承包人对监理人发出的指示有疑问的，应向监理人提出书面异议，监理人应在48小时内对该指示予以确认、更改或撤销，监理人逾期未回复的，承包人有权拒绝执行上述指示。</w:t>
      </w:r>
    </w:p>
    <w:p w14:paraId="2059A7E6">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监理人对承包人的任何工作、工程或其采用的材料和工程设备未在约定的或合理期限内提出意见的，视为批准，但不免除或减轻承包人对该工作、工程、材料、工程设备等应承担的责任和义务。</w:t>
      </w:r>
    </w:p>
    <w:p w14:paraId="25362D3D">
      <w:pPr>
        <w:pStyle w:val="7"/>
        <w:spacing w:before="120" w:after="120" w:line="360" w:lineRule="exact"/>
        <w:ind w:firstLine="420" w:firstLineChars="200"/>
        <w:rPr>
          <w:rFonts w:ascii="宋体" w:hAnsi="宋体" w:cs="宋体"/>
          <w:b w:val="0"/>
          <w:sz w:val="21"/>
          <w:szCs w:val="21"/>
        </w:rPr>
      </w:pPr>
      <w:bookmarkStart w:id="298" w:name="_Toc351203531"/>
      <w:r>
        <w:rPr>
          <w:rFonts w:hint="eastAsia" w:ascii="宋体" w:hAnsi="宋体" w:cs="宋体"/>
          <w:b w:val="0"/>
          <w:sz w:val="21"/>
          <w:szCs w:val="21"/>
        </w:rPr>
        <w:t>4</w:t>
      </w:r>
      <w:bookmarkStart w:id="299" w:name="_Toc337558757"/>
      <w:bookmarkStart w:id="300" w:name="_Toc296346558"/>
      <w:bookmarkStart w:id="301" w:name="_Toc296503057"/>
      <w:r>
        <w:rPr>
          <w:rFonts w:hint="eastAsia" w:ascii="宋体" w:hAnsi="宋体" w:cs="宋体"/>
          <w:b w:val="0"/>
          <w:sz w:val="21"/>
          <w:szCs w:val="21"/>
        </w:rPr>
        <w:t>.4 商定或确定</w:t>
      </w:r>
      <w:bookmarkEnd w:id="298"/>
    </w:p>
    <w:bookmarkEnd w:id="299"/>
    <w:bookmarkEnd w:id="300"/>
    <w:bookmarkEnd w:id="301"/>
    <w:p w14:paraId="21356FE3">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合同当事人进行商定或确定时，总监理工程师应当会同合同当事人尽量通过协商达成一致，不能达成一致的，由总监理工程师按照合同约定审慎做出公正的确定。</w:t>
      </w:r>
    </w:p>
    <w:p w14:paraId="4CE0A35B">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14:paraId="758C79F8">
      <w:pPr>
        <w:pStyle w:val="7"/>
        <w:spacing w:before="120" w:after="120" w:line="360" w:lineRule="exact"/>
        <w:rPr>
          <w:rFonts w:ascii="宋体" w:hAnsi="宋体" w:cs="宋体"/>
          <w:b w:val="0"/>
          <w:sz w:val="21"/>
          <w:szCs w:val="21"/>
        </w:rPr>
      </w:pPr>
      <w:bookmarkStart w:id="302" w:name="_Toc351203532"/>
      <w:r>
        <w:rPr>
          <w:rFonts w:hint="eastAsia" w:ascii="宋体" w:hAnsi="宋体" w:cs="宋体"/>
          <w:b w:val="0"/>
          <w:sz w:val="21"/>
          <w:szCs w:val="21"/>
        </w:rPr>
        <w:t>5</w:t>
      </w:r>
      <w:bookmarkStart w:id="303" w:name="_Toc337558758"/>
      <w:r>
        <w:rPr>
          <w:rFonts w:hint="eastAsia" w:ascii="宋体" w:hAnsi="宋体" w:cs="宋体"/>
          <w:b w:val="0"/>
          <w:sz w:val="21"/>
          <w:szCs w:val="21"/>
        </w:rPr>
        <w:t>. 工程质量</w:t>
      </w:r>
      <w:bookmarkEnd w:id="302"/>
    </w:p>
    <w:bookmarkEnd w:id="303"/>
    <w:p w14:paraId="27F6FDE7">
      <w:pPr>
        <w:pStyle w:val="8"/>
        <w:overflowPunct/>
        <w:spacing w:before="120" w:after="120" w:line="360" w:lineRule="exact"/>
        <w:ind w:firstLine="420" w:firstLineChars="200"/>
        <w:rPr>
          <w:rFonts w:ascii="宋体" w:hAnsi="宋体" w:cs="宋体"/>
          <w:b w:val="0"/>
          <w:sz w:val="21"/>
          <w:szCs w:val="21"/>
        </w:rPr>
      </w:pPr>
      <w:bookmarkStart w:id="304" w:name="_Toc351203533"/>
      <w:r>
        <w:rPr>
          <w:rFonts w:hint="eastAsia" w:ascii="宋体" w:hAnsi="宋体" w:cs="宋体"/>
          <w:b w:val="0"/>
          <w:sz w:val="21"/>
          <w:szCs w:val="21"/>
        </w:rPr>
        <w:t>5</w:t>
      </w:r>
      <w:bookmarkStart w:id="305" w:name="_Toc337558759"/>
      <w:r>
        <w:rPr>
          <w:rFonts w:hint="eastAsia" w:ascii="宋体" w:hAnsi="宋体" w:cs="宋体"/>
          <w:b w:val="0"/>
          <w:sz w:val="21"/>
          <w:szCs w:val="21"/>
        </w:rPr>
        <w:t>.1质量要求</w:t>
      </w:r>
      <w:bookmarkEnd w:id="304"/>
    </w:p>
    <w:bookmarkEnd w:id="305"/>
    <w:p w14:paraId="7C888968">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5.1.1 工程质量标准必须符合现行国家有关工程施工质量验收规范和标准的要求。有关工程质量的特殊标准或要求由合同当事人在专用合同条款中约定。</w:t>
      </w:r>
    </w:p>
    <w:p w14:paraId="6B5ABF60">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5.1.2 因发包人原因造成工程质量未达到合同约定标准的，由发包人承担由此增加的费用和（或）延误的工期，并支付承包人合理的利润。</w:t>
      </w:r>
    </w:p>
    <w:p w14:paraId="4AD5E390">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5.1.3 因承包人原因造成工程质量未达到合同约定标准的，发包人有权要求承包人返工直至工程质量达到合同约定的标准为止，并由承包人承担由此增加的费用和（或）延误的工期。</w:t>
      </w:r>
    </w:p>
    <w:p w14:paraId="68932504">
      <w:pPr>
        <w:pStyle w:val="8"/>
        <w:overflowPunct/>
        <w:spacing w:before="120" w:after="120" w:line="360" w:lineRule="exact"/>
        <w:ind w:firstLine="420" w:firstLineChars="200"/>
        <w:rPr>
          <w:rFonts w:ascii="宋体" w:hAnsi="宋体" w:cs="宋体"/>
          <w:b w:val="0"/>
          <w:sz w:val="21"/>
          <w:szCs w:val="21"/>
        </w:rPr>
      </w:pPr>
      <w:bookmarkStart w:id="306" w:name="_Toc351203534"/>
      <w:r>
        <w:rPr>
          <w:rFonts w:hint="eastAsia" w:ascii="宋体" w:hAnsi="宋体" w:cs="宋体"/>
          <w:b w:val="0"/>
          <w:sz w:val="21"/>
          <w:szCs w:val="21"/>
        </w:rPr>
        <w:t>5</w:t>
      </w:r>
      <w:bookmarkStart w:id="307" w:name="_Toc337558760"/>
      <w:r>
        <w:rPr>
          <w:rFonts w:hint="eastAsia" w:ascii="宋体" w:hAnsi="宋体" w:cs="宋体"/>
          <w:b w:val="0"/>
          <w:sz w:val="21"/>
          <w:szCs w:val="21"/>
        </w:rPr>
        <w:t>.2质量保证措施</w:t>
      </w:r>
      <w:bookmarkEnd w:id="306"/>
    </w:p>
    <w:bookmarkEnd w:id="307"/>
    <w:p w14:paraId="0BD3D9BC">
      <w:pPr>
        <w:pStyle w:val="6"/>
        <w:spacing w:line="360" w:lineRule="exact"/>
        <w:rPr>
          <w:rFonts w:ascii="宋体" w:hAnsi="宋体" w:cs="宋体"/>
          <w:sz w:val="21"/>
          <w:szCs w:val="21"/>
        </w:rPr>
      </w:pPr>
      <w:r>
        <w:rPr>
          <w:rFonts w:hint="eastAsia" w:ascii="宋体" w:hAnsi="宋体" w:cs="宋体"/>
          <w:sz w:val="21"/>
          <w:szCs w:val="21"/>
        </w:rPr>
        <w:t>5.2.1 发包人的质量管理</w:t>
      </w:r>
    </w:p>
    <w:p w14:paraId="01FCED3B">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发包人应按照法律规定及合同约定完成与工程质量有关的各项工作。</w:t>
      </w:r>
    </w:p>
    <w:p w14:paraId="3B4EC0D2">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5.2.2 承包人的质量管理</w:t>
      </w:r>
    </w:p>
    <w:p w14:paraId="53D7EAE4">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14:paraId="079A9CEC">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承包人应对施工人员进行质量教育和技术培训，定期考核施工人员的劳动技能，严格执行施工规范和操作规程。</w:t>
      </w:r>
    </w:p>
    <w:p w14:paraId="1D919414">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14:paraId="4C02CB14">
      <w:pPr>
        <w:pStyle w:val="6"/>
        <w:spacing w:line="360" w:lineRule="exact"/>
        <w:rPr>
          <w:rFonts w:ascii="宋体" w:hAnsi="宋体" w:cs="宋体"/>
          <w:sz w:val="21"/>
          <w:szCs w:val="21"/>
        </w:rPr>
      </w:pPr>
      <w:r>
        <w:rPr>
          <w:rFonts w:hint="eastAsia" w:ascii="宋体" w:hAnsi="宋体" w:cs="宋体"/>
          <w:sz w:val="21"/>
          <w:szCs w:val="21"/>
        </w:rPr>
        <w:t>5.2.3 监理人的质量检查和检验</w:t>
      </w:r>
    </w:p>
    <w:p w14:paraId="4EE63B0B">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14:paraId="36EDBA47">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14:paraId="5BA9768B">
      <w:pPr>
        <w:pStyle w:val="8"/>
        <w:overflowPunct/>
        <w:spacing w:before="120" w:after="120" w:line="360" w:lineRule="exact"/>
        <w:ind w:firstLine="420" w:firstLineChars="200"/>
        <w:rPr>
          <w:rFonts w:ascii="宋体" w:hAnsi="宋体" w:cs="宋体"/>
          <w:b w:val="0"/>
          <w:sz w:val="21"/>
          <w:szCs w:val="21"/>
        </w:rPr>
      </w:pPr>
      <w:bookmarkStart w:id="308" w:name="_Toc351203535"/>
      <w:r>
        <w:rPr>
          <w:rFonts w:hint="eastAsia" w:ascii="宋体" w:hAnsi="宋体" w:cs="宋体"/>
          <w:b w:val="0"/>
          <w:sz w:val="21"/>
          <w:szCs w:val="21"/>
        </w:rPr>
        <w:t>5</w:t>
      </w:r>
      <w:bookmarkStart w:id="309" w:name="_Toc337558761"/>
      <w:r>
        <w:rPr>
          <w:rFonts w:hint="eastAsia" w:ascii="宋体" w:hAnsi="宋体" w:cs="宋体"/>
          <w:b w:val="0"/>
          <w:sz w:val="21"/>
          <w:szCs w:val="21"/>
        </w:rPr>
        <w:t>.3 隐蔽工程检查</w:t>
      </w:r>
      <w:bookmarkEnd w:id="308"/>
    </w:p>
    <w:bookmarkEnd w:id="309"/>
    <w:p w14:paraId="57E61A62">
      <w:pPr>
        <w:spacing w:line="360" w:lineRule="exact"/>
        <w:ind w:firstLine="420" w:firstLineChars="200"/>
        <w:jc w:val="left"/>
        <w:rPr>
          <w:rFonts w:ascii="宋体" w:hAnsi="宋体" w:cs="宋体"/>
          <w:kern w:val="0"/>
        </w:rPr>
      </w:pPr>
      <w:r>
        <w:rPr>
          <w:rFonts w:hint="eastAsia" w:ascii="宋体" w:hAnsi="宋体" w:cs="宋体"/>
          <w:kern w:val="0"/>
        </w:rPr>
        <w:t>5.3.1承包人自检</w:t>
      </w:r>
    </w:p>
    <w:p w14:paraId="40036553">
      <w:pPr>
        <w:spacing w:line="360" w:lineRule="exact"/>
        <w:ind w:firstLine="420" w:firstLineChars="200"/>
        <w:jc w:val="left"/>
        <w:rPr>
          <w:rFonts w:ascii="宋体" w:hAnsi="宋体" w:cs="宋体"/>
          <w:kern w:val="0"/>
        </w:rPr>
      </w:pPr>
      <w:r>
        <w:rPr>
          <w:rFonts w:hint="eastAsia" w:ascii="宋体" w:hAnsi="宋体" w:cs="宋体"/>
          <w:kern w:val="0"/>
        </w:rPr>
        <w:t>承包人应当对工程隐蔽部位进行自检，并经自检确认是否具备覆盖条件。</w:t>
      </w:r>
    </w:p>
    <w:p w14:paraId="69911CF2">
      <w:pPr>
        <w:spacing w:line="360" w:lineRule="exact"/>
        <w:ind w:firstLine="420" w:firstLineChars="200"/>
        <w:jc w:val="left"/>
        <w:rPr>
          <w:rFonts w:ascii="宋体" w:hAnsi="宋体" w:cs="宋体"/>
          <w:kern w:val="0"/>
        </w:rPr>
      </w:pPr>
      <w:r>
        <w:rPr>
          <w:rFonts w:hint="eastAsia" w:ascii="宋体" w:hAnsi="宋体" w:cs="宋体"/>
          <w:kern w:val="0"/>
        </w:rPr>
        <w:t>5.3.2检查程序</w:t>
      </w:r>
    </w:p>
    <w:p w14:paraId="4BF710D1">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14:paraId="3AC06769">
      <w:pPr>
        <w:spacing w:line="360" w:lineRule="exact"/>
        <w:ind w:firstLine="420" w:firstLineChars="200"/>
        <w:jc w:val="left"/>
        <w:rPr>
          <w:rFonts w:ascii="宋体" w:hAnsi="宋体" w:cs="宋体"/>
          <w:kern w:val="0"/>
        </w:rPr>
      </w:pPr>
      <w:r>
        <w:rPr>
          <w:rFonts w:hint="eastAsia" w:ascii="宋体" w:hAnsi="宋体" w:cs="宋体"/>
          <w:kern w:val="0"/>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14:paraId="6F3E73FE">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p>
    <w:p w14:paraId="2CCD1762">
      <w:pPr>
        <w:spacing w:line="360" w:lineRule="exact"/>
        <w:ind w:firstLine="420" w:firstLineChars="200"/>
        <w:jc w:val="left"/>
        <w:rPr>
          <w:rFonts w:ascii="宋体" w:hAnsi="宋体" w:cs="宋体"/>
          <w:kern w:val="0"/>
        </w:rPr>
      </w:pPr>
      <w:r>
        <w:rPr>
          <w:rFonts w:hint="eastAsia" w:ascii="宋体" w:hAnsi="宋体" w:cs="宋体"/>
          <w:kern w:val="0"/>
        </w:rPr>
        <w:t>5.3.3 重新检查</w:t>
      </w:r>
    </w:p>
    <w:p w14:paraId="47C185C9">
      <w:pPr>
        <w:spacing w:line="360" w:lineRule="exact"/>
        <w:ind w:firstLine="420" w:firstLineChars="200"/>
        <w:jc w:val="left"/>
        <w:rPr>
          <w:rFonts w:ascii="宋体" w:hAnsi="宋体" w:cs="宋体"/>
          <w:kern w:val="0"/>
        </w:rPr>
      </w:pPr>
      <w:r>
        <w:rPr>
          <w:rFonts w:hint="eastAsia" w:ascii="宋体" w:hAnsi="宋体" w:cs="宋体"/>
          <w:kern w:val="0"/>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243D234A">
      <w:pPr>
        <w:spacing w:line="360" w:lineRule="exact"/>
        <w:ind w:firstLine="420" w:firstLineChars="200"/>
        <w:jc w:val="left"/>
        <w:rPr>
          <w:rFonts w:ascii="宋体" w:hAnsi="宋体" w:cs="宋体"/>
          <w:kern w:val="0"/>
        </w:rPr>
      </w:pPr>
      <w:r>
        <w:rPr>
          <w:rFonts w:hint="eastAsia" w:ascii="宋体" w:hAnsi="宋体" w:cs="宋体"/>
          <w:kern w:val="0"/>
        </w:rPr>
        <w:t>5.3.4 承包人私自覆盖</w:t>
      </w:r>
    </w:p>
    <w:p w14:paraId="1A03C470">
      <w:pPr>
        <w:spacing w:line="360" w:lineRule="exact"/>
        <w:ind w:firstLine="420" w:firstLineChars="200"/>
        <w:jc w:val="left"/>
        <w:rPr>
          <w:rFonts w:ascii="宋体" w:hAnsi="宋体" w:cs="宋体"/>
        </w:rPr>
      </w:pPr>
      <w:r>
        <w:rPr>
          <w:rFonts w:hint="eastAsia" w:ascii="宋体" w:hAnsi="宋体" w:cs="宋体"/>
          <w:kern w:val="0"/>
        </w:rPr>
        <w:t>承包人未通知监理人到场检查，私自将工程隐蔽部位覆盖的，监理人有权指示承包人钻孔探测或揭开检查，无论工程隐蔽部位质量是否合格，由此增加的费用和（或）延误的工期均由承包人承担。</w:t>
      </w:r>
    </w:p>
    <w:p w14:paraId="3A3107C5">
      <w:pPr>
        <w:pStyle w:val="8"/>
        <w:overflowPunct/>
        <w:spacing w:before="120" w:after="120" w:line="360" w:lineRule="exact"/>
        <w:ind w:firstLine="420" w:firstLineChars="200"/>
        <w:rPr>
          <w:rFonts w:ascii="宋体" w:hAnsi="宋体" w:cs="宋体"/>
          <w:b w:val="0"/>
          <w:sz w:val="21"/>
          <w:szCs w:val="21"/>
        </w:rPr>
      </w:pPr>
      <w:bookmarkStart w:id="310" w:name="_Toc351203536"/>
      <w:r>
        <w:rPr>
          <w:rFonts w:hint="eastAsia" w:ascii="宋体" w:hAnsi="宋体" w:cs="宋体"/>
          <w:b w:val="0"/>
          <w:sz w:val="21"/>
          <w:szCs w:val="21"/>
        </w:rPr>
        <w:t>5</w:t>
      </w:r>
      <w:bookmarkStart w:id="311" w:name="_Toc337558762"/>
      <w:r>
        <w:rPr>
          <w:rFonts w:hint="eastAsia" w:ascii="宋体" w:hAnsi="宋体" w:cs="宋体"/>
          <w:b w:val="0"/>
          <w:sz w:val="21"/>
          <w:szCs w:val="21"/>
        </w:rPr>
        <w:t>.4不合格工程的处理</w:t>
      </w:r>
      <w:bookmarkEnd w:id="310"/>
    </w:p>
    <w:bookmarkEnd w:id="311"/>
    <w:p w14:paraId="1E55D9DF">
      <w:pPr>
        <w:spacing w:line="360" w:lineRule="exact"/>
        <w:ind w:firstLine="420" w:firstLineChars="200"/>
        <w:jc w:val="left"/>
        <w:rPr>
          <w:rFonts w:ascii="宋体" w:hAnsi="宋体" w:cs="宋体"/>
          <w:kern w:val="0"/>
        </w:rPr>
      </w:pPr>
      <w:r>
        <w:rPr>
          <w:rFonts w:hint="eastAsia" w:ascii="宋体" w:hAnsi="宋体" w:cs="宋体"/>
          <w:kern w:val="0"/>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p>
    <w:p w14:paraId="3D1BAE3D">
      <w:pPr>
        <w:spacing w:line="360" w:lineRule="exact"/>
        <w:ind w:firstLine="420" w:firstLineChars="200"/>
        <w:jc w:val="left"/>
        <w:rPr>
          <w:rFonts w:ascii="宋体" w:hAnsi="宋体" w:cs="宋体"/>
          <w:kern w:val="0"/>
        </w:rPr>
      </w:pPr>
      <w:r>
        <w:rPr>
          <w:rFonts w:hint="eastAsia" w:ascii="宋体" w:hAnsi="宋体" w:cs="宋体"/>
          <w:kern w:val="0"/>
        </w:rPr>
        <w:t>5.4.2 因发包人原因造成工程不合格的，由此增加的费用和（或）延误的工期由发包人承担，并支付承包人合理的利润。</w:t>
      </w:r>
    </w:p>
    <w:p w14:paraId="48C623C9">
      <w:pPr>
        <w:pStyle w:val="8"/>
        <w:overflowPunct/>
        <w:spacing w:before="120" w:after="120" w:line="360" w:lineRule="exact"/>
        <w:ind w:firstLine="420" w:firstLineChars="200"/>
        <w:rPr>
          <w:rFonts w:ascii="宋体" w:hAnsi="宋体" w:cs="宋体"/>
          <w:b w:val="0"/>
          <w:sz w:val="21"/>
          <w:szCs w:val="21"/>
        </w:rPr>
      </w:pPr>
      <w:bookmarkStart w:id="312" w:name="_Toc351203537"/>
      <w:r>
        <w:rPr>
          <w:rFonts w:hint="eastAsia" w:ascii="宋体" w:hAnsi="宋体" w:cs="宋体"/>
          <w:b w:val="0"/>
          <w:sz w:val="21"/>
          <w:szCs w:val="21"/>
        </w:rPr>
        <w:t>5.5 质量争议检测</w:t>
      </w:r>
      <w:bookmarkEnd w:id="312"/>
    </w:p>
    <w:p w14:paraId="5133EC0B">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合同当事人对工程质量有争议的，由双方协商确定的工程质量检测机构鉴定，由此产生的费用及因此造成的损失，由责任方承担。</w:t>
      </w:r>
    </w:p>
    <w:p w14:paraId="0B8B2C17">
      <w:pPr>
        <w:autoSpaceDE w:val="0"/>
        <w:autoSpaceDN w:val="0"/>
        <w:adjustRightInd w:val="0"/>
        <w:spacing w:line="360" w:lineRule="exact"/>
        <w:jc w:val="left"/>
        <w:rPr>
          <w:rFonts w:ascii="宋体" w:hAnsi="宋体" w:cs="宋体"/>
          <w:kern w:val="0"/>
        </w:rPr>
      </w:pPr>
      <w:r>
        <w:rPr>
          <w:rFonts w:hint="eastAsia" w:ascii="宋体" w:hAnsi="宋体" w:cs="宋体"/>
          <w:kern w:val="0"/>
        </w:rPr>
        <w:t>合同当事人均有责任的，由双方根据其责任分别承担。合同当事人无法达成一致的，按照第4.4款〔商定或确定〕执行。</w:t>
      </w:r>
    </w:p>
    <w:p w14:paraId="00F712EE">
      <w:pPr>
        <w:pStyle w:val="7"/>
        <w:spacing w:before="120" w:after="120" w:line="360" w:lineRule="exact"/>
        <w:rPr>
          <w:rFonts w:ascii="宋体" w:hAnsi="宋体" w:cs="宋体"/>
          <w:b w:val="0"/>
          <w:sz w:val="21"/>
          <w:szCs w:val="21"/>
        </w:rPr>
      </w:pPr>
      <w:bookmarkStart w:id="313" w:name="_Toc351203538"/>
      <w:r>
        <w:rPr>
          <w:rFonts w:hint="eastAsia" w:ascii="宋体" w:hAnsi="宋体" w:cs="宋体"/>
          <w:b w:val="0"/>
          <w:sz w:val="21"/>
          <w:szCs w:val="21"/>
        </w:rPr>
        <w:t>6</w:t>
      </w:r>
      <w:bookmarkStart w:id="314" w:name="_Toc337558763"/>
      <w:r>
        <w:rPr>
          <w:rFonts w:hint="eastAsia" w:ascii="宋体" w:hAnsi="宋体" w:cs="宋体"/>
          <w:b w:val="0"/>
          <w:sz w:val="21"/>
          <w:szCs w:val="21"/>
        </w:rPr>
        <w:t>. 安全文明施工与环境保护</w:t>
      </w:r>
      <w:bookmarkEnd w:id="313"/>
    </w:p>
    <w:bookmarkEnd w:id="314"/>
    <w:p w14:paraId="19F01059">
      <w:pPr>
        <w:pStyle w:val="8"/>
        <w:overflowPunct/>
        <w:spacing w:before="120" w:after="120" w:line="360" w:lineRule="exact"/>
        <w:ind w:firstLine="420" w:firstLineChars="200"/>
        <w:rPr>
          <w:rFonts w:ascii="宋体" w:hAnsi="宋体" w:cs="宋体"/>
          <w:b w:val="0"/>
          <w:sz w:val="21"/>
          <w:szCs w:val="21"/>
        </w:rPr>
      </w:pPr>
      <w:bookmarkStart w:id="315" w:name="_Toc351203539"/>
      <w:r>
        <w:rPr>
          <w:rFonts w:hint="eastAsia" w:ascii="宋体" w:hAnsi="宋体" w:cs="宋体"/>
          <w:b w:val="0"/>
          <w:sz w:val="21"/>
          <w:szCs w:val="21"/>
        </w:rPr>
        <w:t>6</w:t>
      </w:r>
      <w:bookmarkStart w:id="316" w:name="_Toc337558764"/>
      <w:r>
        <w:rPr>
          <w:rFonts w:hint="eastAsia" w:ascii="宋体" w:hAnsi="宋体" w:cs="宋体"/>
          <w:b w:val="0"/>
          <w:sz w:val="21"/>
          <w:szCs w:val="21"/>
        </w:rPr>
        <w:t>.1安全文明施工</w:t>
      </w:r>
      <w:bookmarkEnd w:id="315"/>
    </w:p>
    <w:bookmarkEnd w:id="316"/>
    <w:p w14:paraId="1F159B84">
      <w:pPr>
        <w:spacing w:line="360" w:lineRule="exact"/>
        <w:ind w:firstLine="420" w:firstLineChars="200"/>
        <w:rPr>
          <w:rFonts w:ascii="宋体" w:hAnsi="宋体" w:cs="宋体"/>
        </w:rPr>
      </w:pPr>
      <w:r>
        <w:rPr>
          <w:rFonts w:hint="eastAsia" w:ascii="宋体" w:hAnsi="宋体" w:cs="宋体"/>
        </w:rPr>
        <w:t>6.1.1安全生产要求</w:t>
      </w:r>
    </w:p>
    <w:p w14:paraId="19001258">
      <w:pPr>
        <w:spacing w:line="360" w:lineRule="exact"/>
        <w:ind w:firstLine="420" w:firstLineChars="200"/>
        <w:rPr>
          <w:rFonts w:ascii="宋体" w:hAnsi="宋体" w:cs="宋体"/>
        </w:rPr>
      </w:pPr>
      <w:r>
        <w:rPr>
          <w:rFonts w:hint="eastAsia" w:ascii="宋体" w:hAnsi="宋体" w:cs="宋体"/>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14:paraId="3BB52018">
      <w:pPr>
        <w:spacing w:line="360" w:lineRule="exact"/>
        <w:ind w:firstLine="420" w:firstLineChars="200"/>
        <w:rPr>
          <w:rFonts w:ascii="宋体" w:hAnsi="宋体" w:cs="宋体"/>
        </w:rPr>
      </w:pPr>
      <w:r>
        <w:rPr>
          <w:rFonts w:hint="eastAsia" w:ascii="宋体" w:hAnsi="宋体" w:cs="宋体"/>
        </w:rPr>
        <w:t>在施工过程中，如遇到突发的地质变动、事先未知的地下施工障碍等影响施工安全的紧急情况，承包人应及时报告监理人和发包人，发包人应当及时下令停工并报</w:t>
      </w:r>
      <w:r>
        <w:rPr>
          <w:rFonts w:hint="eastAsia" w:ascii="宋体" w:hAnsi="宋体" w:cs="宋体"/>
          <w:kern w:val="0"/>
        </w:rPr>
        <w:t>政府有关行政管理部门</w:t>
      </w:r>
      <w:r>
        <w:rPr>
          <w:rFonts w:hint="eastAsia" w:ascii="宋体" w:hAnsi="宋体" w:cs="宋体"/>
        </w:rPr>
        <w:t>采取应急措施。</w:t>
      </w:r>
    </w:p>
    <w:p w14:paraId="4A500FEC">
      <w:pPr>
        <w:spacing w:line="360" w:lineRule="exact"/>
        <w:ind w:firstLine="420" w:firstLineChars="200"/>
        <w:rPr>
          <w:rFonts w:ascii="宋体" w:hAnsi="宋体" w:cs="宋体"/>
        </w:rPr>
      </w:pPr>
      <w:r>
        <w:rPr>
          <w:rFonts w:hint="eastAsia" w:ascii="宋体" w:hAnsi="宋体" w:cs="宋体"/>
        </w:rPr>
        <w:t>因安全生产需要暂停施工的，按照第7.8款〔暂停施工〕的约定执行。</w:t>
      </w:r>
    </w:p>
    <w:p w14:paraId="7E098D60">
      <w:pPr>
        <w:spacing w:line="360" w:lineRule="exact"/>
        <w:ind w:firstLine="420" w:firstLineChars="200"/>
        <w:rPr>
          <w:rFonts w:ascii="宋体" w:hAnsi="宋体" w:cs="宋体"/>
        </w:rPr>
      </w:pPr>
      <w:r>
        <w:rPr>
          <w:rFonts w:hint="eastAsia" w:ascii="宋体" w:hAnsi="宋体" w:cs="宋体"/>
        </w:rPr>
        <w:t>6.1.2 安全生产保证措施</w:t>
      </w:r>
    </w:p>
    <w:p w14:paraId="49855E9D">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rPr>
        <w:t>承包人应当按照有关</w:t>
      </w:r>
      <w:r>
        <w:rPr>
          <w:rFonts w:hint="eastAsia" w:ascii="宋体" w:hAnsi="宋体" w:cs="宋体"/>
          <w:kern w:val="0"/>
        </w:rPr>
        <w:t>规定编制安全技术措施或者专项施工方案，</w:t>
      </w:r>
      <w:r>
        <w:rPr>
          <w:rFonts w:hint="eastAsia" w:ascii="宋体" w:hAnsi="宋体" w:cs="宋体"/>
        </w:rPr>
        <w:t>建立安全生产责任制度、治安保卫制度及安全生产教育培训制度，并</w:t>
      </w:r>
      <w:r>
        <w:rPr>
          <w:rFonts w:hint="eastAsia" w:ascii="宋体" w:hAnsi="宋体" w:cs="宋体"/>
          <w:kern w:val="0"/>
        </w:rPr>
        <w:t>按安全生产法律规定及合同约定履行安全职责，如实</w:t>
      </w:r>
      <w:r>
        <w:rPr>
          <w:rFonts w:hint="eastAsia" w:ascii="宋体" w:hAnsi="宋体" w:cs="宋体"/>
        </w:rPr>
        <w:t>编制工程安全生产的有关记录，</w:t>
      </w:r>
      <w:r>
        <w:rPr>
          <w:rFonts w:hint="eastAsia" w:ascii="宋体" w:hAnsi="宋体" w:cs="宋体"/>
          <w:kern w:val="0"/>
        </w:rPr>
        <w:t>接受发包人、监理人及政府安全监督部门的检查与监督。</w:t>
      </w:r>
    </w:p>
    <w:p w14:paraId="60CA28D5">
      <w:pPr>
        <w:spacing w:line="360" w:lineRule="exact"/>
        <w:ind w:firstLine="420" w:firstLineChars="200"/>
        <w:rPr>
          <w:rFonts w:ascii="宋体" w:hAnsi="宋体" w:cs="宋体"/>
        </w:rPr>
      </w:pPr>
      <w:r>
        <w:rPr>
          <w:rFonts w:hint="eastAsia" w:ascii="宋体" w:hAnsi="宋体" w:cs="宋体"/>
        </w:rPr>
        <w:t>6.1.3特别安全生产事项</w:t>
      </w:r>
    </w:p>
    <w:p w14:paraId="75B77364">
      <w:pPr>
        <w:spacing w:line="360" w:lineRule="exact"/>
        <w:ind w:firstLine="420" w:firstLineChars="200"/>
        <w:rPr>
          <w:rFonts w:ascii="宋体" w:hAnsi="宋体" w:cs="宋体"/>
        </w:rPr>
      </w:pPr>
      <w:r>
        <w:rPr>
          <w:rFonts w:hint="eastAsia" w:ascii="宋体" w:hAnsi="宋体" w:cs="宋体"/>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14:paraId="00091A7C">
      <w:pPr>
        <w:spacing w:line="360" w:lineRule="exact"/>
        <w:ind w:firstLine="420" w:firstLineChars="200"/>
        <w:rPr>
          <w:rFonts w:ascii="宋体" w:hAnsi="宋体" w:cs="宋体"/>
        </w:rPr>
      </w:pPr>
      <w:r>
        <w:rPr>
          <w:rFonts w:hint="eastAsia" w:ascii="宋体" w:hAnsi="宋体" w:cs="宋体"/>
        </w:rPr>
        <w:t xml:space="preserve">承包人在动力设备、输电线路、地下管道、密封防震车间、易燃易爆地段以及临街交通要道附近施工时，施工开始前应向发包人和监理人提出安全防护措施，经发包人认可后实施。 </w:t>
      </w:r>
    </w:p>
    <w:p w14:paraId="4F916F0F">
      <w:pPr>
        <w:spacing w:line="360" w:lineRule="exact"/>
        <w:ind w:firstLine="420" w:firstLineChars="200"/>
        <w:rPr>
          <w:rFonts w:ascii="宋体" w:hAnsi="宋体" w:cs="宋体"/>
        </w:rPr>
      </w:pPr>
      <w:r>
        <w:rPr>
          <w:rFonts w:hint="eastAsia" w:ascii="宋体" w:hAnsi="宋体" w:cs="宋体"/>
        </w:rPr>
        <w:t>实施爆破作业，在放射、毒害性环境中施工（含储存、运输、使用）及使用毒害性、腐蚀性物品施工时，承包人应在施工前7天以书面通知发包人和监理人，并报送相应的安全防护措施，经发包人认可后实施。</w:t>
      </w:r>
    </w:p>
    <w:p w14:paraId="753A86AD">
      <w:pPr>
        <w:spacing w:line="360" w:lineRule="exact"/>
        <w:ind w:firstLine="420" w:firstLineChars="200"/>
        <w:rPr>
          <w:rFonts w:ascii="宋体" w:hAnsi="宋体" w:cs="宋体"/>
        </w:rPr>
      </w:pPr>
      <w:r>
        <w:rPr>
          <w:rFonts w:hint="eastAsia" w:ascii="宋体" w:hAnsi="宋体" w:cs="宋体"/>
        </w:rPr>
        <w:t>需单独编制危险性较大分部分项专项工程施工方案的，及要求进行专家论证的超过一定规模的危险性较大的分部分项工程，承包人应及时编制和组织论证。</w:t>
      </w:r>
    </w:p>
    <w:p w14:paraId="51460FF1">
      <w:pPr>
        <w:spacing w:line="360" w:lineRule="exact"/>
        <w:ind w:firstLine="420" w:firstLineChars="200"/>
        <w:rPr>
          <w:rFonts w:ascii="宋体" w:hAnsi="宋体" w:cs="宋体"/>
        </w:rPr>
      </w:pPr>
      <w:r>
        <w:rPr>
          <w:rFonts w:hint="eastAsia" w:ascii="宋体" w:hAnsi="宋体" w:cs="宋体"/>
        </w:rPr>
        <w:t>6.1.4 治安保卫</w:t>
      </w:r>
    </w:p>
    <w:p w14:paraId="1D6EEFBA">
      <w:pPr>
        <w:spacing w:line="360" w:lineRule="exact"/>
        <w:ind w:firstLine="420" w:firstLineChars="200"/>
        <w:rPr>
          <w:rFonts w:ascii="宋体" w:hAnsi="宋体" w:cs="宋体"/>
        </w:rPr>
      </w:pPr>
      <w:r>
        <w:rPr>
          <w:rFonts w:hint="eastAsia" w:ascii="宋体" w:hAnsi="宋体" w:cs="宋体"/>
        </w:rPr>
        <w:t>除专用合同条款另有约定外，发包人应与当地公安部门协商，在现场建立治安管理机构或联防组织，统一管理施工场地的治安保卫事项，履行合同工程的治安保卫职责。</w:t>
      </w:r>
    </w:p>
    <w:p w14:paraId="2D6A9D77">
      <w:pPr>
        <w:spacing w:line="360" w:lineRule="exact"/>
        <w:ind w:firstLine="420" w:firstLineChars="200"/>
        <w:rPr>
          <w:rFonts w:ascii="宋体" w:hAnsi="宋体" w:cs="宋体"/>
        </w:rPr>
      </w:pPr>
      <w:r>
        <w:rPr>
          <w:rFonts w:hint="eastAsia" w:ascii="宋体" w:hAnsi="宋体" w:cs="宋体"/>
        </w:rPr>
        <w:t>发包人和承包人除应协助现场治安管理机构或联防组织维护施工场地的社会治安外，还应做好包括生活区在内的各自管辖区的治安保卫工作。</w:t>
      </w:r>
    </w:p>
    <w:p w14:paraId="535D9656">
      <w:pPr>
        <w:spacing w:line="360" w:lineRule="exact"/>
        <w:ind w:firstLine="420" w:firstLineChars="200"/>
        <w:rPr>
          <w:rFonts w:ascii="宋体" w:hAnsi="宋体" w:cs="宋体"/>
        </w:rPr>
      </w:pPr>
      <w:r>
        <w:rPr>
          <w:rFonts w:hint="eastAsia" w:ascii="宋体" w:hAnsi="宋体" w:cs="宋体"/>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14:paraId="20331CD9">
      <w:pPr>
        <w:spacing w:line="360" w:lineRule="exact"/>
        <w:ind w:firstLine="420" w:firstLineChars="200"/>
        <w:rPr>
          <w:rFonts w:ascii="宋体" w:hAnsi="宋体" w:cs="宋体"/>
          <w:kern w:val="0"/>
        </w:rPr>
      </w:pPr>
      <w:r>
        <w:rPr>
          <w:rFonts w:hint="eastAsia" w:ascii="宋体" w:hAnsi="宋体" w:cs="宋体"/>
        </w:rPr>
        <w:t>6.1.5 文明施工</w:t>
      </w:r>
    </w:p>
    <w:p w14:paraId="48725F22">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承包人在工程施工期间，应当采取措施保持施工现场平整，物料堆放整齐。工程所在地有关政府行政管理部门有特殊要求的，按照其要求执行。合同当事人对文明施工有其他要求的，可以在专用合同条款中明确。</w:t>
      </w:r>
    </w:p>
    <w:p w14:paraId="3B859A87">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2E270A43">
      <w:pPr>
        <w:spacing w:line="360" w:lineRule="exact"/>
        <w:ind w:firstLine="420" w:firstLineChars="200"/>
        <w:rPr>
          <w:rFonts w:ascii="宋体" w:hAnsi="宋体" w:cs="宋体"/>
        </w:rPr>
      </w:pPr>
      <w:r>
        <w:rPr>
          <w:rFonts w:hint="eastAsia" w:ascii="宋体" w:hAnsi="宋体" w:cs="宋体"/>
        </w:rPr>
        <w:t>6.1.6 安全文明施工费</w:t>
      </w:r>
    </w:p>
    <w:p w14:paraId="4C3FCB99">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安全文明施工费由发包人承担，发包人不得以任何形式扣减该部分费用。因基准日期后合同所适用的法律或政府有关规定发生变化，增加的安全文明施工费由发包人承担。</w:t>
      </w:r>
    </w:p>
    <w:p w14:paraId="21967122">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14:paraId="59A922FD">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p>
    <w:p w14:paraId="2757FFBF">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14:paraId="7A818772">
      <w:pPr>
        <w:spacing w:line="360" w:lineRule="exact"/>
        <w:ind w:firstLine="420" w:firstLineChars="200"/>
        <w:jc w:val="left"/>
        <w:rPr>
          <w:rFonts w:ascii="宋体" w:hAnsi="宋体" w:cs="宋体"/>
          <w:kern w:val="0"/>
        </w:rPr>
      </w:pPr>
      <w:r>
        <w:rPr>
          <w:rFonts w:hint="eastAsia" w:ascii="宋体" w:hAnsi="宋体" w:cs="宋体"/>
          <w:kern w:val="0"/>
        </w:rPr>
        <w:t>6.1.7 紧急情况处理</w:t>
      </w:r>
    </w:p>
    <w:p w14:paraId="08B72B22">
      <w:pPr>
        <w:spacing w:line="360" w:lineRule="exact"/>
        <w:ind w:firstLine="420" w:firstLineChars="200"/>
        <w:jc w:val="left"/>
        <w:rPr>
          <w:rFonts w:ascii="宋体" w:hAnsi="宋体" w:cs="宋体"/>
          <w:kern w:val="0"/>
        </w:rPr>
      </w:pPr>
      <w:r>
        <w:rPr>
          <w:rFonts w:hint="eastAsia" w:ascii="宋体" w:hAnsi="宋体" w:cs="宋体"/>
          <w:kern w:val="0"/>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14:paraId="56019E54">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6.1.8 事故处理</w:t>
      </w:r>
    </w:p>
    <w:p w14:paraId="080E9D46">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178863D9">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6.1.9 安全生产责任</w:t>
      </w:r>
    </w:p>
    <w:p w14:paraId="7240F1A3">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6.1.9.1 发包人的安全责任</w:t>
      </w:r>
    </w:p>
    <w:p w14:paraId="2ACA4572">
      <w:pPr>
        <w:spacing w:line="360" w:lineRule="exact"/>
        <w:ind w:firstLine="420" w:firstLineChars="200"/>
        <w:rPr>
          <w:rFonts w:ascii="宋体" w:hAnsi="宋体" w:cs="宋体"/>
        </w:rPr>
      </w:pPr>
      <w:r>
        <w:rPr>
          <w:rFonts w:hint="eastAsia" w:ascii="宋体" w:hAnsi="宋体" w:cs="宋体"/>
        </w:rPr>
        <w:t>发包人应负责赔偿以下各种情况造成的损失：</w:t>
      </w:r>
    </w:p>
    <w:p w14:paraId="03D4F89A">
      <w:pPr>
        <w:spacing w:line="360" w:lineRule="exact"/>
        <w:ind w:firstLine="420" w:firstLineChars="200"/>
        <w:rPr>
          <w:rFonts w:ascii="宋体" w:hAnsi="宋体" w:cs="宋体"/>
        </w:rPr>
      </w:pPr>
      <w:r>
        <w:rPr>
          <w:rFonts w:hint="eastAsia" w:ascii="宋体" w:hAnsi="宋体" w:cs="宋体"/>
        </w:rPr>
        <w:t>（1）工程或工程的任何部分对土地的占用所造成的第三者财产损失；</w:t>
      </w:r>
    </w:p>
    <w:p w14:paraId="49D4FF92">
      <w:pPr>
        <w:spacing w:line="360" w:lineRule="exact"/>
        <w:ind w:firstLine="420" w:firstLineChars="200"/>
        <w:rPr>
          <w:rFonts w:ascii="宋体" w:hAnsi="宋体" w:cs="宋体"/>
        </w:rPr>
      </w:pPr>
      <w:r>
        <w:rPr>
          <w:rFonts w:hint="eastAsia" w:ascii="宋体" w:hAnsi="宋体" w:cs="宋体"/>
        </w:rPr>
        <w:t>（2）由于发包人原因在施工场地及其毗邻地带造成的第三者人身伤亡和财产损失；</w:t>
      </w:r>
    </w:p>
    <w:p w14:paraId="0C1AB2AA">
      <w:pPr>
        <w:spacing w:line="360" w:lineRule="exact"/>
        <w:ind w:firstLine="420" w:firstLineChars="200"/>
        <w:rPr>
          <w:rFonts w:ascii="宋体" w:hAnsi="宋体" w:cs="宋体"/>
        </w:rPr>
      </w:pPr>
      <w:r>
        <w:rPr>
          <w:rFonts w:hint="eastAsia" w:ascii="宋体" w:hAnsi="宋体" w:cs="宋体"/>
        </w:rPr>
        <w:t>（3）由于发包人原因对承包人、监理人造成的人员人身伤亡和财产损失；</w:t>
      </w:r>
    </w:p>
    <w:p w14:paraId="31AAD231">
      <w:pPr>
        <w:spacing w:line="360" w:lineRule="exact"/>
        <w:ind w:firstLine="420" w:firstLineChars="200"/>
        <w:rPr>
          <w:rFonts w:ascii="宋体" w:hAnsi="宋体" w:cs="宋体"/>
        </w:rPr>
      </w:pPr>
      <w:r>
        <w:rPr>
          <w:rFonts w:hint="eastAsia" w:ascii="宋体" w:hAnsi="宋体" w:cs="宋体"/>
        </w:rPr>
        <w:t>（4）由于发包人原因造成的发包人自身人员的人身伤害以及财产损失。</w:t>
      </w:r>
    </w:p>
    <w:p w14:paraId="4271C15F">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6.1.9.2 承包人的安全责任</w:t>
      </w:r>
    </w:p>
    <w:p w14:paraId="61C3C685">
      <w:pPr>
        <w:spacing w:line="360" w:lineRule="exact"/>
        <w:ind w:firstLine="420" w:firstLineChars="200"/>
        <w:rPr>
          <w:rFonts w:ascii="宋体" w:hAnsi="宋体" w:cs="宋体"/>
          <w:kern w:val="0"/>
        </w:rPr>
      </w:pPr>
      <w:r>
        <w:rPr>
          <w:rFonts w:hint="eastAsia" w:ascii="宋体" w:hAnsi="宋体" w:cs="宋体"/>
        </w:rPr>
        <w:t>由于承包人原因在施工场地内及其毗邻地带造成的发包人、监理人以及第三者人员伤亡和财产损失，由承包人负责赔偿。</w:t>
      </w:r>
    </w:p>
    <w:p w14:paraId="4E4685E6">
      <w:pPr>
        <w:pStyle w:val="8"/>
        <w:overflowPunct/>
        <w:spacing w:before="120" w:after="120" w:line="360" w:lineRule="exact"/>
        <w:ind w:firstLine="420" w:firstLineChars="200"/>
        <w:rPr>
          <w:rFonts w:ascii="宋体" w:hAnsi="宋体" w:cs="宋体"/>
          <w:b w:val="0"/>
          <w:sz w:val="21"/>
          <w:szCs w:val="21"/>
        </w:rPr>
      </w:pPr>
      <w:bookmarkStart w:id="317" w:name="_Toc351203540"/>
      <w:r>
        <w:rPr>
          <w:rFonts w:hint="eastAsia" w:ascii="宋体" w:hAnsi="宋体" w:cs="宋体"/>
          <w:b w:val="0"/>
          <w:sz w:val="21"/>
          <w:szCs w:val="21"/>
        </w:rPr>
        <w:t>6</w:t>
      </w:r>
      <w:bookmarkStart w:id="318" w:name="_Toc337558765"/>
      <w:r>
        <w:rPr>
          <w:rFonts w:hint="eastAsia" w:ascii="宋体" w:hAnsi="宋体" w:cs="宋体"/>
          <w:b w:val="0"/>
          <w:sz w:val="21"/>
          <w:szCs w:val="21"/>
        </w:rPr>
        <w:t>.2 职业健康</w:t>
      </w:r>
      <w:bookmarkEnd w:id="317"/>
    </w:p>
    <w:bookmarkEnd w:id="318"/>
    <w:p w14:paraId="1CC44F2E">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6.2.1 劳动保护</w:t>
      </w:r>
    </w:p>
    <w:p w14:paraId="5C3BB58D">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14:paraId="5F38FC0F">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14:paraId="50E6F509">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承包人应按法律规定安排工作时间，保证其雇佣人员享有休息和休假的权利。因工程施工的特殊需要占用休假日或延长工作时间的，应不超过法律规定的限度，并按法律规定给予补休或付酬。</w:t>
      </w:r>
    </w:p>
    <w:p w14:paraId="3F50BA10">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6.2.2 生活条件</w:t>
      </w:r>
    </w:p>
    <w:p w14:paraId="1D9D7A86">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14:paraId="487AB13A">
      <w:pPr>
        <w:pStyle w:val="8"/>
        <w:overflowPunct/>
        <w:spacing w:before="120" w:after="120" w:line="360" w:lineRule="exact"/>
        <w:ind w:firstLine="420" w:firstLineChars="200"/>
        <w:rPr>
          <w:rFonts w:ascii="宋体" w:hAnsi="宋体" w:cs="宋体"/>
          <w:b w:val="0"/>
          <w:sz w:val="21"/>
          <w:szCs w:val="21"/>
        </w:rPr>
      </w:pPr>
      <w:bookmarkStart w:id="319" w:name="_Toc351203541"/>
      <w:r>
        <w:rPr>
          <w:rFonts w:hint="eastAsia" w:ascii="宋体" w:hAnsi="宋体" w:cs="宋体"/>
          <w:b w:val="0"/>
          <w:sz w:val="21"/>
          <w:szCs w:val="21"/>
        </w:rPr>
        <w:t>6</w:t>
      </w:r>
      <w:bookmarkStart w:id="320" w:name="_Toc337558766"/>
      <w:r>
        <w:rPr>
          <w:rFonts w:hint="eastAsia" w:ascii="宋体" w:hAnsi="宋体" w:cs="宋体"/>
          <w:b w:val="0"/>
          <w:sz w:val="21"/>
          <w:szCs w:val="21"/>
        </w:rPr>
        <w:t>.3 环境保护</w:t>
      </w:r>
      <w:bookmarkEnd w:id="319"/>
    </w:p>
    <w:bookmarkEnd w:id="320"/>
    <w:p w14:paraId="39F909D7">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承包人应在施工组织设计中列明环境保护的具体措施。在合同履行期间，承包人应采取合理措施保护施工现场环境。对施工作业过程中可能引起的大气、水、噪音以及固体废物污染采取具体可行的防范措施。</w:t>
      </w:r>
    </w:p>
    <w:p w14:paraId="414523B3">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承包人应当承担因其原因引起的环境污染侵权损害赔偿责任，因上述环境污染引起纠纷而导致暂停施工的，由此增加的费用和（或）延误的工期由承包人承担。</w:t>
      </w:r>
    </w:p>
    <w:p w14:paraId="5E05BBFB">
      <w:pPr>
        <w:pStyle w:val="7"/>
        <w:spacing w:before="120" w:after="120" w:line="360" w:lineRule="exact"/>
        <w:rPr>
          <w:rFonts w:ascii="宋体" w:hAnsi="宋体" w:cs="宋体"/>
          <w:b w:val="0"/>
          <w:sz w:val="21"/>
          <w:szCs w:val="21"/>
        </w:rPr>
      </w:pPr>
      <w:bookmarkStart w:id="321" w:name="_Toc351203542"/>
      <w:r>
        <w:rPr>
          <w:rFonts w:hint="eastAsia" w:ascii="宋体" w:hAnsi="宋体" w:cs="宋体"/>
          <w:b w:val="0"/>
          <w:sz w:val="21"/>
          <w:szCs w:val="21"/>
        </w:rPr>
        <w:t>7</w:t>
      </w:r>
      <w:bookmarkStart w:id="322" w:name="_Toc337558767"/>
      <w:r>
        <w:rPr>
          <w:rFonts w:hint="eastAsia" w:ascii="宋体" w:hAnsi="宋体" w:cs="宋体"/>
          <w:b w:val="0"/>
          <w:sz w:val="21"/>
          <w:szCs w:val="21"/>
        </w:rPr>
        <w:t>. 工期和进度</w:t>
      </w:r>
      <w:bookmarkEnd w:id="321"/>
    </w:p>
    <w:bookmarkEnd w:id="322"/>
    <w:p w14:paraId="13299FF2">
      <w:pPr>
        <w:pStyle w:val="8"/>
        <w:overflowPunct/>
        <w:spacing w:before="120" w:after="120" w:line="360" w:lineRule="exact"/>
        <w:ind w:firstLine="420" w:firstLineChars="200"/>
        <w:rPr>
          <w:rFonts w:ascii="宋体" w:hAnsi="宋体" w:cs="宋体"/>
          <w:b w:val="0"/>
          <w:sz w:val="21"/>
          <w:szCs w:val="21"/>
        </w:rPr>
      </w:pPr>
      <w:bookmarkStart w:id="323" w:name="_Toc351203543"/>
      <w:r>
        <w:rPr>
          <w:rFonts w:hint="eastAsia" w:ascii="宋体" w:hAnsi="宋体" w:cs="宋体"/>
          <w:b w:val="0"/>
          <w:sz w:val="21"/>
          <w:szCs w:val="21"/>
        </w:rPr>
        <w:t>7</w:t>
      </w:r>
      <w:bookmarkStart w:id="324" w:name="_Toc337558768"/>
      <w:bookmarkStart w:id="325" w:name="_Toc296503066"/>
      <w:bookmarkStart w:id="326" w:name="_Toc296346567"/>
      <w:r>
        <w:rPr>
          <w:rFonts w:hint="eastAsia" w:ascii="宋体" w:hAnsi="宋体" w:cs="宋体"/>
          <w:b w:val="0"/>
          <w:sz w:val="21"/>
          <w:szCs w:val="21"/>
        </w:rPr>
        <w:t>.1施工组织设计</w:t>
      </w:r>
      <w:bookmarkEnd w:id="323"/>
    </w:p>
    <w:bookmarkEnd w:id="324"/>
    <w:p w14:paraId="189A8732">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rPr>
        <w:t xml:space="preserve">7.1.1 </w:t>
      </w:r>
      <w:r>
        <w:rPr>
          <w:rFonts w:hint="eastAsia" w:ascii="宋体" w:hAnsi="宋体" w:cs="宋体"/>
          <w:kern w:val="0"/>
        </w:rPr>
        <w:t>施工组织设计的内容</w:t>
      </w:r>
    </w:p>
    <w:p w14:paraId="364A5AA0">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施工组织设计应包含以下内容：</w:t>
      </w:r>
    </w:p>
    <w:p w14:paraId="6EC9FE64">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 xml:space="preserve">（1）施工方案； </w:t>
      </w:r>
    </w:p>
    <w:p w14:paraId="397A8850">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（2）施工现场平面布置图；</w:t>
      </w:r>
    </w:p>
    <w:p w14:paraId="613BC559">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 xml:space="preserve">（3）施工进度计划和保证措施； </w:t>
      </w:r>
    </w:p>
    <w:p w14:paraId="3CD8ACB3">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（4）劳动力及材料供应计划；</w:t>
      </w:r>
    </w:p>
    <w:p w14:paraId="034E3E65">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（5）施工机械设备的选用；</w:t>
      </w:r>
    </w:p>
    <w:p w14:paraId="0ADA6329">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（6）质量保证体系及措施；</w:t>
      </w:r>
    </w:p>
    <w:p w14:paraId="25003BFE">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（7）安全生产、文明施工措施；</w:t>
      </w:r>
    </w:p>
    <w:p w14:paraId="45F8C5CE">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（8）环境保护、成本控制措施；</w:t>
      </w:r>
    </w:p>
    <w:p w14:paraId="53F996BF">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（9）合同当事人约定的其他内容。</w:t>
      </w:r>
    </w:p>
    <w:p w14:paraId="608899F6">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rPr>
        <w:t xml:space="preserve">7.1.2 </w:t>
      </w:r>
      <w:r>
        <w:rPr>
          <w:rFonts w:hint="eastAsia" w:ascii="宋体" w:hAnsi="宋体" w:cs="宋体"/>
          <w:kern w:val="0"/>
        </w:rPr>
        <w:t>施工组织设计的提交和修改</w:t>
      </w:r>
    </w:p>
    <w:p w14:paraId="78255C5C">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14:paraId="4C8813D5">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施工进度计划的编制和修改按照第7.2款〔施工进度计划〕执行。</w:t>
      </w:r>
    </w:p>
    <w:p w14:paraId="519D1D79">
      <w:pPr>
        <w:pStyle w:val="8"/>
        <w:overflowPunct/>
        <w:spacing w:before="120" w:after="120" w:line="360" w:lineRule="exact"/>
        <w:ind w:firstLine="420" w:firstLineChars="200"/>
        <w:rPr>
          <w:rFonts w:ascii="宋体" w:hAnsi="宋体" w:cs="宋体"/>
          <w:b w:val="0"/>
          <w:sz w:val="21"/>
          <w:szCs w:val="21"/>
        </w:rPr>
      </w:pPr>
      <w:bookmarkStart w:id="327" w:name="_Toc351203544"/>
      <w:r>
        <w:rPr>
          <w:rFonts w:hint="eastAsia" w:ascii="宋体" w:hAnsi="宋体" w:cs="宋体"/>
          <w:b w:val="0"/>
          <w:sz w:val="21"/>
          <w:szCs w:val="21"/>
        </w:rPr>
        <w:t>7</w:t>
      </w:r>
      <w:bookmarkStart w:id="328" w:name="_Toc337558769"/>
      <w:r>
        <w:rPr>
          <w:rFonts w:hint="eastAsia" w:ascii="宋体" w:hAnsi="宋体" w:cs="宋体"/>
          <w:b w:val="0"/>
          <w:sz w:val="21"/>
          <w:szCs w:val="21"/>
        </w:rPr>
        <w:t>.2 施工进度计划</w:t>
      </w:r>
      <w:bookmarkEnd w:id="327"/>
    </w:p>
    <w:bookmarkEnd w:id="328"/>
    <w:p w14:paraId="72914E56">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7.2.1 施工进度计划的编制</w:t>
      </w:r>
    </w:p>
    <w:p w14:paraId="5BD6F494">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14:paraId="2E552084">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rPr>
        <w:t>7.2.2 施工进度计划的修订</w:t>
      </w:r>
    </w:p>
    <w:p w14:paraId="1D69493D">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14:paraId="1E1A0E5F">
      <w:pPr>
        <w:pStyle w:val="8"/>
        <w:overflowPunct/>
        <w:spacing w:before="120" w:after="120" w:line="360" w:lineRule="exact"/>
        <w:ind w:firstLine="420" w:firstLineChars="200"/>
        <w:rPr>
          <w:rFonts w:ascii="宋体" w:hAnsi="宋体" w:cs="宋体"/>
          <w:b w:val="0"/>
          <w:sz w:val="21"/>
          <w:szCs w:val="21"/>
        </w:rPr>
      </w:pPr>
      <w:bookmarkStart w:id="329" w:name="_Toc351203545"/>
      <w:r>
        <w:rPr>
          <w:rFonts w:hint="eastAsia" w:ascii="宋体" w:hAnsi="宋体" w:cs="宋体"/>
          <w:b w:val="0"/>
          <w:sz w:val="21"/>
          <w:szCs w:val="21"/>
        </w:rPr>
        <w:t>7</w:t>
      </w:r>
      <w:bookmarkStart w:id="330" w:name="_Toc337558770"/>
      <w:r>
        <w:rPr>
          <w:rFonts w:hint="eastAsia" w:ascii="宋体" w:hAnsi="宋体" w:cs="宋体"/>
          <w:b w:val="0"/>
          <w:sz w:val="21"/>
          <w:szCs w:val="21"/>
        </w:rPr>
        <w:t>.3 开工</w:t>
      </w:r>
      <w:bookmarkEnd w:id="329"/>
    </w:p>
    <w:p w14:paraId="041B467E">
      <w:pPr>
        <w:spacing w:line="360" w:lineRule="exact"/>
        <w:ind w:firstLine="420" w:firstLineChars="200"/>
        <w:rPr>
          <w:rFonts w:ascii="宋体" w:hAnsi="宋体" w:cs="宋体"/>
        </w:rPr>
      </w:pPr>
      <w:r>
        <w:rPr>
          <w:rFonts w:hint="eastAsia" w:ascii="宋体" w:hAnsi="宋体" w:cs="宋体"/>
          <w:kern w:val="0"/>
        </w:rPr>
        <w:t>7.3.1 开工准备</w:t>
      </w:r>
    </w:p>
    <w:p w14:paraId="2BCA5C3B">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14:paraId="1896D38B">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除专用合同条款另有约定外，合同当事人应按约定完成开工准备工作。</w:t>
      </w:r>
    </w:p>
    <w:p w14:paraId="12239BEE">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7.3.2 开工通知</w:t>
      </w:r>
    </w:p>
    <w:bookmarkEnd w:id="330"/>
    <w:p w14:paraId="02A382EC">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发包人应按照法律规定获得工程施工所需的许可。经发包人同意后，监理人发出的开工通知应符合法律规定。监理人应在计划开工日期7天前向承包人发出开工通知，工期自开工通知中载明的开工日期起算。</w:t>
      </w:r>
    </w:p>
    <w:p w14:paraId="0BFD92E8">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14:paraId="5C351CBC">
      <w:pPr>
        <w:pStyle w:val="8"/>
        <w:overflowPunct/>
        <w:spacing w:before="120" w:after="120" w:line="360" w:lineRule="exact"/>
        <w:ind w:firstLine="420" w:firstLineChars="200"/>
        <w:rPr>
          <w:rFonts w:ascii="宋体" w:hAnsi="宋体" w:cs="宋体"/>
          <w:b w:val="0"/>
          <w:sz w:val="21"/>
          <w:szCs w:val="21"/>
        </w:rPr>
      </w:pPr>
      <w:bookmarkStart w:id="331" w:name="_Toc351203546"/>
      <w:r>
        <w:rPr>
          <w:rFonts w:hint="eastAsia" w:ascii="宋体" w:hAnsi="宋体" w:cs="宋体"/>
          <w:b w:val="0"/>
          <w:sz w:val="21"/>
          <w:szCs w:val="21"/>
        </w:rPr>
        <w:t>7.4测量放线</w:t>
      </w:r>
      <w:bookmarkEnd w:id="331"/>
    </w:p>
    <w:p w14:paraId="6969EB88">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14:paraId="4DB4D151">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14:paraId="6CCE3F1B">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7.4.2 承包人负责施工过程中的全部施工测量放线工作，并配置具有相应资质的人员、合格的仪器、设备和其他物品。承包人应矫正工程的位置、标高、尺寸或准线中出现的任何差错，并对工程各部分的定位负责。</w:t>
      </w:r>
    </w:p>
    <w:p w14:paraId="6EC2C589">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施工过程中对施工现场内水准点等测量标志物的保护工作由承包人负责。</w:t>
      </w:r>
      <w:bookmarkStart w:id="332" w:name="_Toc351203547"/>
    </w:p>
    <w:p w14:paraId="3C734ABA">
      <w:pPr>
        <w:pStyle w:val="8"/>
        <w:overflowPunct/>
        <w:spacing w:before="120" w:after="120" w:line="360" w:lineRule="exact"/>
        <w:ind w:firstLine="420" w:firstLineChars="200"/>
        <w:rPr>
          <w:rFonts w:ascii="宋体" w:hAnsi="宋体" w:cs="宋体"/>
          <w:b w:val="0"/>
          <w:sz w:val="21"/>
          <w:szCs w:val="21"/>
        </w:rPr>
      </w:pPr>
      <w:r>
        <w:rPr>
          <w:rFonts w:hint="eastAsia" w:ascii="宋体" w:hAnsi="宋体" w:cs="宋体"/>
          <w:b w:val="0"/>
          <w:sz w:val="21"/>
          <w:szCs w:val="21"/>
        </w:rPr>
        <w:t>7</w:t>
      </w:r>
      <w:bookmarkEnd w:id="325"/>
      <w:bookmarkEnd w:id="326"/>
      <w:bookmarkStart w:id="333" w:name="_Toc337558772"/>
      <w:bookmarkStart w:id="334" w:name="_Toc296503073"/>
      <w:bookmarkStart w:id="335" w:name="_Toc296346574"/>
      <w:r>
        <w:rPr>
          <w:rFonts w:hint="eastAsia" w:ascii="宋体" w:hAnsi="宋体" w:cs="宋体"/>
          <w:b w:val="0"/>
          <w:sz w:val="21"/>
          <w:szCs w:val="21"/>
        </w:rPr>
        <w:t>.5 工期延误</w:t>
      </w:r>
      <w:bookmarkEnd w:id="332"/>
    </w:p>
    <w:bookmarkEnd w:id="333"/>
    <w:bookmarkEnd w:id="334"/>
    <w:bookmarkEnd w:id="335"/>
    <w:p w14:paraId="060B0865">
      <w:pPr>
        <w:spacing w:line="360" w:lineRule="exact"/>
        <w:ind w:firstLine="420" w:firstLineChars="200"/>
        <w:jc w:val="left"/>
        <w:rPr>
          <w:rFonts w:ascii="宋体" w:hAnsi="宋体" w:cs="宋体"/>
          <w:kern w:val="0"/>
        </w:rPr>
      </w:pPr>
      <w:r>
        <w:rPr>
          <w:rFonts w:hint="eastAsia" w:ascii="宋体" w:hAnsi="宋体" w:cs="宋体"/>
          <w:kern w:val="0"/>
        </w:rPr>
        <w:t>7.5.1 因发包人原因导致工期延误</w:t>
      </w:r>
    </w:p>
    <w:p w14:paraId="635B79C3">
      <w:pPr>
        <w:spacing w:line="360" w:lineRule="exact"/>
        <w:ind w:firstLine="420" w:firstLineChars="200"/>
        <w:jc w:val="left"/>
        <w:rPr>
          <w:rFonts w:ascii="宋体" w:hAnsi="宋体" w:cs="宋体"/>
          <w:kern w:val="0"/>
        </w:rPr>
      </w:pPr>
      <w:r>
        <w:rPr>
          <w:rFonts w:hint="eastAsia" w:ascii="宋体" w:hAnsi="宋体" w:cs="宋体"/>
          <w:kern w:val="0"/>
        </w:rPr>
        <w:t xml:space="preserve">在合同履行过程中，因下列情况导致工期延误和（或）费用增加的，由发包人承担由此延误的工期和（或）增加的费用，且发包人应支付承包人合理的利润： </w:t>
      </w:r>
    </w:p>
    <w:p w14:paraId="7651F7A1">
      <w:pPr>
        <w:spacing w:line="360" w:lineRule="exact"/>
        <w:ind w:firstLine="420" w:firstLineChars="200"/>
        <w:jc w:val="left"/>
        <w:rPr>
          <w:rFonts w:ascii="宋体" w:hAnsi="宋体" w:cs="宋体"/>
          <w:kern w:val="0"/>
        </w:rPr>
      </w:pPr>
      <w:r>
        <w:rPr>
          <w:rFonts w:hint="eastAsia" w:ascii="宋体" w:hAnsi="宋体" w:cs="宋体"/>
          <w:kern w:val="0"/>
        </w:rPr>
        <w:t>（1）发包人未能按合同约定提供图纸或所提供图纸不符合合同约定的；</w:t>
      </w:r>
    </w:p>
    <w:p w14:paraId="1DA772D1">
      <w:pPr>
        <w:spacing w:line="360" w:lineRule="exact"/>
        <w:ind w:firstLine="420" w:firstLineChars="200"/>
        <w:jc w:val="left"/>
        <w:rPr>
          <w:rFonts w:ascii="宋体" w:hAnsi="宋体" w:cs="宋体"/>
          <w:kern w:val="0"/>
        </w:rPr>
      </w:pPr>
      <w:r>
        <w:rPr>
          <w:rFonts w:hint="eastAsia" w:ascii="宋体" w:hAnsi="宋体" w:cs="宋体"/>
          <w:kern w:val="0"/>
        </w:rPr>
        <w:t>（2）发包人未能按合同约定提供施工现场、施工条件、基础资料、许可、批准等开工条件的；</w:t>
      </w:r>
    </w:p>
    <w:p w14:paraId="28C38798">
      <w:pPr>
        <w:spacing w:line="360" w:lineRule="exact"/>
        <w:ind w:firstLine="420" w:firstLineChars="200"/>
        <w:jc w:val="left"/>
        <w:rPr>
          <w:rFonts w:ascii="宋体" w:hAnsi="宋体" w:cs="宋体"/>
          <w:kern w:val="0"/>
        </w:rPr>
      </w:pPr>
      <w:r>
        <w:rPr>
          <w:rFonts w:hint="eastAsia" w:ascii="宋体" w:hAnsi="宋体" w:cs="宋体"/>
          <w:kern w:val="0"/>
        </w:rPr>
        <w:t>（3）发包人提供的测量基准点、基准线和水准点及其书面资料存在错误或疏漏的；</w:t>
      </w:r>
    </w:p>
    <w:p w14:paraId="2E782127">
      <w:pPr>
        <w:spacing w:line="360" w:lineRule="exact"/>
        <w:ind w:firstLine="420" w:firstLineChars="200"/>
        <w:jc w:val="left"/>
        <w:rPr>
          <w:rFonts w:ascii="宋体" w:hAnsi="宋体" w:cs="宋体"/>
          <w:kern w:val="0"/>
        </w:rPr>
      </w:pPr>
      <w:r>
        <w:rPr>
          <w:rFonts w:hint="eastAsia" w:ascii="宋体" w:hAnsi="宋体" w:cs="宋体"/>
          <w:kern w:val="0"/>
        </w:rPr>
        <w:t>（4）发包人未能在计划开工日期之日起7天内同意下达开工通知的；</w:t>
      </w:r>
    </w:p>
    <w:p w14:paraId="75C4C12A">
      <w:pPr>
        <w:spacing w:line="360" w:lineRule="exact"/>
        <w:ind w:firstLine="420" w:firstLineChars="200"/>
        <w:jc w:val="left"/>
        <w:rPr>
          <w:rFonts w:ascii="宋体" w:hAnsi="宋体" w:cs="宋体"/>
          <w:kern w:val="0"/>
        </w:rPr>
      </w:pPr>
      <w:r>
        <w:rPr>
          <w:rFonts w:hint="eastAsia" w:ascii="宋体" w:hAnsi="宋体" w:cs="宋体"/>
          <w:kern w:val="0"/>
        </w:rPr>
        <w:t>（5）发包人未能按合同约定日期支付工程预付款、进度款或竣工结算款的；</w:t>
      </w:r>
    </w:p>
    <w:p w14:paraId="24185A17">
      <w:pPr>
        <w:spacing w:line="360" w:lineRule="exact"/>
        <w:ind w:firstLine="420" w:firstLineChars="200"/>
        <w:jc w:val="left"/>
        <w:rPr>
          <w:rFonts w:ascii="宋体" w:hAnsi="宋体" w:cs="宋体"/>
          <w:kern w:val="0"/>
        </w:rPr>
      </w:pPr>
      <w:r>
        <w:rPr>
          <w:rFonts w:hint="eastAsia" w:ascii="宋体" w:hAnsi="宋体" w:cs="宋体"/>
          <w:kern w:val="0"/>
        </w:rPr>
        <w:t>（6）监理人未按合同约定发出指示、批准等文件的；</w:t>
      </w:r>
    </w:p>
    <w:p w14:paraId="6C5DAF3A">
      <w:pPr>
        <w:spacing w:line="360" w:lineRule="exact"/>
        <w:ind w:firstLine="420" w:firstLineChars="200"/>
        <w:jc w:val="left"/>
        <w:rPr>
          <w:rFonts w:ascii="宋体" w:hAnsi="宋体" w:cs="宋体"/>
          <w:kern w:val="0"/>
        </w:rPr>
      </w:pPr>
      <w:r>
        <w:rPr>
          <w:rFonts w:hint="eastAsia" w:ascii="宋体" w:hAnsi="宋体" w:cs="宋体"/>
          <w:kern w:val="0"/>
        </w:rPr>
        <w:t>（7）专用合同条款中约定的其他情形。</w:t>
      </w:r>
    </w:p>
    <w:p w14:paraId="75C821C4">
      <w:pPr>
        <w:spacing w:line="360" w:lineRule="exact"/>
        <w:ind w:firstLine="420" w:firstLineChars="200"/>
        <w:jc w:val="left"/>
        <w:rPr>
          <w:rFonts w:ascii="宋体" w:hAnsi="宋体" w:cs="宋体"/>
          <w:kern w:val="0"/>
        </w:rPr>
      </w:pPr>
      <w:r>
        <w:rPr>
          <w:rFonts w:hint="eastAsia" w:ascii="宋体" w:hAnsi="宋体" w:cs="宋体"/>
          <w:kern w:val="0"/>
        </w:rPr>
        <w:t>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p>
    <w:p w14:paraId="43610E4B">
      <w:pPr>
        <w:autoSpaceDE w:val="0"/>
        <w:autoSpaceDN w:val="0"/>
        <w:adjustRightInd w:val="0"/>
        <w:spacing w:line="360" w:lineRule="exact"/>
        <w:ind w:firstLine="420" w:firstLineChars="200"/>
        <w:jc w:val="left"/>
        <w:rPr>
          <w:rFonts w:ascii="宋体" w:hAnsi="宋体" w:cs="宋体"/>
        </w:rPr>
      </w:pPr>
      <w:r>
        <w:rPr>
          <w:rFonts w:hint="eastAsia" w:ascii="宋体" w:hAnsi="宋体" w:cs="宋体"/>
          <w:kern w:val="0"/>
        </w:rPr>
        <w:t>7.5.2 因承包人原因导致工期延误</w:t>
      </w:r>
    </w:p>
    <w:p w14:paraId="4DAD799B">
      <w:pPr>
        <w:autoSpaceDE w:val="0"/>
        <w:autoSpaceDN w:val="0"/>
        <w:adjustRightInd w:val="0"/>
        <w:spacing w:line="360" w:lineRule="exact"/>
        <w:ind w:firstLine="420" w:firstLineChars="200"/>
        <w:jc w:val="left"/>
        <w:rPr>
          <w:rFonts w:ascii="宋体" w:hAnsi="宋体" w:cs="宋体"/>
          <w:kern w:val="0"/>
        </w:rPr>
      </w:pPr>
      <w:bookmarkStart w:id="336" w:name="_Toc296503076"/>
      <w:bookmarkStart w:id="337" w:name="_Toc296346577"/>
      <w:r>
        <w:rPr>
          <w:rFonts w:hint="eastAsia" w:ascii="宋体" w:hAnsi="宋体" w:cs="宋体"/>
          <w:kern w:val="0"/>
        </w:rPr>
        <w:t>因</w:t>
      </w:r>
      <w:bookmarkEnd w:id="336"/>
      <w:bookmarkEnd w:id="337"/>
      <w:r>
        <w:rPr>
          <w:rFonts w:hint="eastAsia" w:ascii="宋体" w:hAnsi="宋体" w:cs="宋体"/>
          <w:kern w:val="0"/>
        </w:rPr>
        <w:t>承包人原因造成工期延误的，可以在专用合同条款中约定逾期竣工违约金的计算方法和逾期竣工违约金的上限。承包人支付逾期竣工违约金后，不免除承包人继续完成工程及修补缺陷的义务。</w:t>
      </w:r>
    </w:p>
    <w:p w14:paraId="29AD34B2">
      <w:pPr>
        <w:pStyle w:val="8"/>
        <w:overflowPunct/>
        <w:spacing w:before="120" w:after="120" w:line="360" w:lineRule="exact"/>
        <w:ind w:firstLine="420" w:firstLineChars="200"/>
        <w:rPr>
          <w:rFonts w:ascii="宋体" w:hAnsi="宋体" w:cs="宋体"/>
          <w:b w:val="0"/>
          <w:sz w:val="21"/>
          <w:szCs w:val="21"/>
        </w:rPr>
      </w:pPr>
      <w:bookmarkStart w:id="338" w:name="_Toc351203548"/>
      <w:r>
        <w:rPr>
          <w:rFonts w:hint="eastAsia" w:ascii="宋体" w:hAnsi="宋体" w:cs="宋体"/>
          <w:b w:val="0"/>
          <w:sz w:val="21"/>
          <w:szCs w:val="21"/>
        </w:rPr>
        <w:t>7</w:t>
      </w:r>
      <w:bookmarkStart w:id="339" w:name="_Toc337558773"/>
      <w:bookmarkStart w:id="340" w:name="_Toc296346575"/>
      <w:bookmarkStart w:id="341" w:name="_Toc296503074"/>
      <w:bookmarkStart w:id="342" w:name="_Toc296503077"/>
      <w:bookmarkStart w:id="343" w:name="_Toc296346578"/>
      <w:r>
        <w:rPr>
          <w:rFonts w:hint="eastAsia" w:ascii="宋体" w:hAnsi="宋体" w:cs="宋体"/>
          <w:b w:val="0"/>
          <w:sz w:val="21"/>
          <w:szCs w:val="21"/>
        </w:rPr>
        <w:t>.6 不利物质条件</w:t>
      </w:r>
      <w:bookmarkEnd w:id="338"/>
    </w:p>
    <w:bookmarkEnd w:id="339"/>
    <w:bookmarkEnd w:id="340"/>
    <w:bookmarkEnd w:id="341"/>
    <w:p w14:paraId="7856A811">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不利物质条件是指有经验的承包人在施工现场遇到的不可预见的自然物质条件、非自然的物质障碍和污染物，包括地表以下物质条件和水文条件以及专用合同条款约定的其他情形，但不包括气候条件。</w:t>
      </w:r>
    </w:p>
    <w:p w14:paraId="33D8D885">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14:paraId="4245BA1B">
      <w:pPr>
        <w:pStyle w:val="8"/>
        <w:overflowPunct/>
        <w:spacing w:before="120" w:after="120" w:line="360" w:lineRule="exact"/>
        <w:ind w:firstLine="420" w:firstLineChars="200"/>
        <w:rPr>
          <w:rFonts w:ascii="宋体" w:hAnsi="宋体" w:cs="宋体"/>
          <w:b w:val="0"/>
          <w:sz w:val="21"/>
          <w:szCs w:val="21"/>
        </w:rPr>
      </w:pPr>
      <w:bookmarkStart w:id="344" w:name="_Toc351203549"/>
      <w:r>
        <w:rPr>
          <w:rFonts w:hint="eastAsia" w:ascii="宋体" w:hAnsi="宋体" w:cs="宋体"/>
          <w:b w:val="0"/>
          <w:sz w:val="21"/>
          <w:szCs w:val="21"/>
        </w:rPr>
        <w:t>7</w:t>
      </w:r>
      <w:bookmarkStart w:id="345" w:name="_Toc337558774"/>
      <w:bookmarkStart w:id="346" w:name="_Toc296346576"/>
      <w:bookmarkStart w:id="347" w:name="_Toc296503075"/>
      <w:r>
        <w:rPr>
          <w:rFonts w:hint="eastAsia" w:ascii="宋体" w:hAnsi="宋体" w:cs="宋体"/>
          <w:b w:val="0"/>
          <w:sz w:val="21"/>
          <w:szCs w:val="21"/>
        </w:rPr>
        <w:t>.7 异常恶劣的气候条件</w:t>
      </w:r>
      <w:bookmarkEnd w:id="344"/>
    </w:p>
    <w:bookmarkEnd w:id="345"/>
    <w:bookmarkEnd w:id="346"/>
    <w:bookmarkEnd w:id="347"/>
    <w:p w14:paraId="18365982">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14:paraId="4FD3FCF5">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348" w:name="_Toc351203550"/>
    </w:p>
    <w:p w14:paraId="465C2843">
      <w:pPr>
        <w:pStyle w:val="6"/>
        <w:spacing w:line="360" w:lineRule="exact"/>
        <w:rPr>
          <w:rFonts w:ascii="宋体" w:hAnsi="宋体" w:cs="宋体"/>
          <w:sz w:val="21"/>
          <w:szCs w:val="21"/>
        </w:rPr>
      </w:pPr>
      <w:r>
        <w:rPr>
          <w:rFonts w:hint="eastAsia" w:ascii="宋体" w:hAnsi="宋体" w:cs="宋体"/>
          <w:sz w:val="21"/>
          <w:szCs w:val="21"/>
        </w:rPr>
        <w:t>7</w:t>
      </w:r>
      <w:bookmarkStart w:id="349" w:name="_Toc337558775"/>
      <w:r>
        <w:rPr>
          <w:rFonts w:hint="eastAsia" w:ascii="宋体" w:hAnsi="宋体" w:cs="宋体"/>
          <w:sz w:val="21"/>
          <w:szCs w:val="21"/>
        </w:rPr>
        <w:t>.8 暂停施工</w:t>
      </w:r>
      <w:bookmarkEnd w:id="348"/>
    </w:p>
    <w:bookmarkEnd w:id="342"/>
    <w:bookmarkEnd w:id="343"/>
    <w:bookmarkEnd w:id="349"/>
    <w:p w14:paraId="35A8392C">
      <w:pPr>
        <w:spacing w:line="360" w:lineRule="exact"/>
        <w:ind w:firstLine="420" w:firstLineChars="200"/>
        <w:jc w:val="left"/>
        <w:rPr>
          <w:rFonts w:ascii="宋体" w:hAnsi="宋体" w:cs="宋体"/>
          <w:kern w:val="0"/>
        </w:rPr>
      </w:pPr>
      <w:r>
        <w:rPr>
          <w:rFonts w:hint="eastAsia" w:ascii="宋体" w:hAnsi="宋体" w:cs="宋体"/>
          <w:kern w:val="0"/>
        </w:rPr>
        <w:t>7.8.1发包人原因引起的暂停施工</w:t>
      </w:r>
    </w:p>
    <w:p w14:paraId="1633DAE0">
      <w:pPr>
        <w:spacing w:line="360" w:lineRule="exact"/>
        <w:ind w:firstLine="420" w:firstLineChars="200"/>
        <w:jc w:val="left"/>
        <w:rPr>
          <w:rFonts w:ascii="宋体" w:hAnsi="宋体" w:cs="宋体"/>
          <w:kern w:val="0"/>
        </w:rPr>
      </w:pPr>
      <w:r>
        <w:rPr>
          <w:rFonts w:hint="eastAsia" w:ascii="宋体" w:hAnsi="宋体" w:cs="宋体"/>
          <w:kern w:val="0"/>
        </w:rPr>
        <w:t>因发包人原因引起暂停施工的，监理人经发包人同意后，应及时下达暂停施工指示。情况紧急且监理人未及时下达暂停施工指示的，按照第7.8.4项〔紧急情况下的暂停施工〕执行。</w:t>
      </w:r>
    </w:p>
    <w:p w14:paraId="5150EEF7">
      <w:pPr>
        <w:spacing w:line="360" w:lineRule="exact"/>
        <w:ind w:firstLine="420" w:firstLineChars="200"/>
        <w:jc w:val="left"/>
        <w:rPr>
          <w:rFonts w:ascii="宋体" w:hAnsi="宋体" w:cs="宋体"/>
          <w:kern w:val="0"/>
        </w:rPr>
      </w:pPr>
      <w:r>
        <w:rPr>
          <w:rFonts w:hint="eastAsia" w:ascii="宋体" w:hAnsi="宋体" w:cs="宋体"/>
          <w:kern w:val="0"/>
        </w:rPr>
        <w:t>因发包人原因引起的暂停施工，发包人应承担由此增加的费用和（或）延误的工期，并支付承包人合理的利润。</w:t>
      </w:r>
    </w:p>
    <w:p w14:paraId="0DEA1B46">
      <w:pPr>
        <w:spacing w:line="360" w:lineRule="exact"/>
        <w:ind w:firstLine="420" w:firstLineChars="200"/>
        <w:jc w:val="left"/>
        <w:rPr>
          <w:rFonts w:ascii="宋体" w:hAnsi="宋体" w:cs="宋体"/>
          <w:kern w:val="0"/>
        </w:rPr>
      </w:pPr>
      <w:r>
        <w:rPr>
          <w:rFonts w:hint="eastAsia" w:ascii="宋体" w:hAnsi="宋体" w:cs="宋体"/>
          <w:kern w:val="0"/>
        </w:rPr>
        <w:t>7.8.2 承包人原因引起的暂停施工</w:t>
      </w:r>
    </w:p>
    <w:p w14:paraId="3A09E33A">
      <w:pPr>
        <w:spacing w:line="360" w:lineRule="exact"/>
        <w:ind w:firstLine="420" w:firstLineChars="200"/>
        <w:jc w:val="left"/>
        <w:rPr>
          <w:rFonts w:ascii="宋体" w:hAnsi="宋体" w:cs="宋体"/>
          <w:kern w:val="0"/>
        </w:rPr>
      </w:pPr>
      <w:r>
        <w:rPr>
          <w:rFonts w:hint="eastAsia" w:ascii="宋体" w:hAnsi="宋体" w:cs="宋体"/>
          <w:kern w:val="0"/>
        </w:rPr>
        <w:t>因承包人原因引起的暂停施工，承包人应承担由此增加的费用和（或）延误的工期，且承包人在收到监理人复工指示后84天内仍未复工的，视为第16.2.1项〔承包人违约的情形〕第（7）目约定的承包人无法继续履行合同的情形。</w:t>
      </w:r>
    </w:p>
    <w:p w14:paraId="4C52E021">
      <w:pPr>
        <w:spacing w:line="360" w:lineRule="exact"/>
        <w:ind w:firstLine="420" w:firstLineChars="200"/>
        <w:jc w:val="left"/>
        <w:rPr>
          <w:rFonts w:ascii="宋体" w:hAnsi="宋体" w:cs="宋体"/>
          <w:kern w:val="0"/>
        </w:rPr>
      </w:pPr>
      <w:r>
        <w:rPr>
          <w:rFonts w:hint="eastAsia" w:ascii="宋体" w:hAnsi="宋体" w:cs="宋体"/>
          <w:kern w:val="0"/>
        </w:rPr>
        <w:t>7.8.3 指示暂停施工</w:t>
      </w:r>
    </w:p>
    <w:p w14:paraId="20A8D962">
      <w:pPr>
        <w:spacing w:line="360" w:lineRule="exact"/>
        <w:ind w:firstLine="420" w:firstLineChars="200"/>
        <w:jc w:val="left"/>
        <w:rPr>
          <w:rFonts w:ascii="宋体" w:hAnsi="宋体" w:cs="宋体"/>
          <w:kern w:val="0"/>
        </w:rPr>
      </w:pPr>
      <w:r>
        <w:rPr>
          <w:rFonts w:hint="eastAsia" w:ascii="宋体" w:hAnsi="宋体" w:cs="宋体"/>
          <w:kern w:val="0"/>
        </w:rPr>
        <w:t>监理人认为有必要时，并经发包人批准后，可向承包人作出暂停施工的指示，承包人应按监理人指示暂停施工。</w:t>
      </w:r>
    </w:p>
    <w:p w14:paraId="1784D0DB">
      <w:pPr>
        <w:spacing w:line="360" w:lineRule="exact"/>
        <w:ind w:firstLine="420" w:firstLineChars="200"/>
        <w:jc w:val="left"/>
        <w:rPr>
          <w:rFonts w:ascii="宋体" w:hAnsi="宋体" w:cs="宋体"/>
          <w:kern w:val="0"/>
        </w:rPr>
      </w:pPr>
      <w:r>
        <w:rPr>
          <w:rFonts w:hint="eastAsia" w:ascii="宋体" w:hAnsi="宋体" w:cs="宋体"/>
          <w:kern w:val="0"/>
        </w:rPr>
        <w:t>7.8.4 紧急情况下的暂停施工</w:t>
      </w:r>
    </w:p>
    <w:p w14:paraId="75786D57">
      <w:pPr>
        <w:spacing w:line="360" w:lineRule="exact"/>
        <w:ind w:firstLine="420" w:firstLineChars="200"/>
        <w:jc w:val="left"/>
        <w:rPr>
          <w:rFonts w:ascii="宋体" w:hAnsi="宋体" w:cs="宋体"/>
          <w:kern w:val="0"/>
        </w:rPr>
      </w:pPr>
      <w:r>
        <w:rPr>
          <w:rFonts w:hint="eastAsia" w:ascii="宋体" w:hAnsi="宋体" w:cs="宋体"/>
          <w:kern w:val="0"/>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14:paraId="4E9B040B">
      <w:pPr>
        <w:spacing w:line="360" w:lineRule="exact"/>
        <w:ind w:firstLine="420" w:firstLineChars="200"/>
        <w:jc w:val="left"/>
        <w:rPr>
          <w:rFonts w:ascii="宋体" w:hAnsi="宋体" w:cs="宋体"/>
          <w:kern w:val="0"/>
        </w:rPr>
      </w:pPr>
      <w:r>
        <w:rPr>
          <w:rFonts w:hint="eastAsia" w:ascii="宋体" w:hAnsi="宋体" w:cs="宋体"/>
          <w:kern w:val="0"/>
        </w:rPr>
        <w:t>7.8.5 暂停施工后的复工</w:t>
      </w:r>
    </w:p>
    <w:p w14:paraId="42A50BDE">
      <w:pPr>
        <w:spacing w:line="360" w:lineRule="exact"/>
        <w:ind w:firstLine="420" w:firstLineChars="200"/>
        <w:jc w:val="left"/>
        <w:rPr>
          <w:rFonts w:ascii="宋体" w:hAnsi="宋体" w:cs="宋体"/>
          <w:kern w:val="0"/>
        </w:rPr>
      </w:pPr>
      <w:r>
        <w:rPr>
          <w:rFonts w:hint="eastAsia" w:ascii="宋体" w:hAnsi="宋体" w:cs="宋体"/>
          <w:kern w:val="0"/>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14:paraId="3735FC87">
      <w:pPr>
        <w:spacing w:line="360" w:lineRule="exact"/>
        <w:ind w:firstLine="420" w:firstLineChars="200"/>
        <w:jc w:val="left"/>
        <w:rPr>
          <w:rFonts w:ascii="宋体" w:hAnsi="宋体" w:cs="宋体"/>
          <w:kern w:val="0"/>
        </w:rPr>
      </w:pPr>
      <w:r>
        <w:rPr>
          <w:rFonts w:hint="eastAsia" w:ascii="宋体" w:hAnsi="宋体" w:cs="宋体"/>
          <w:kern w:val="0"/>
        </w:rPr>
        <w:t>承包人无故拖延和拒绝复工的，承包人承担由此增加的费用和（或）延误的工期；因发包人原因无法按时复工的，按照第7.5.1项〔因发包人原因导致工期延误〕约定办理。</w:t>
      </w:r>
    </w:p>
    <w:p w14:paraId="4BE68DF8">
      <w:pPr>
        <w:spacing w:line="360" w:lineRule="exact"/>
        <w:ind w:firstLine="420" w:firstLineChars="200"/>
        <w:jc w:val="left"/>
        <w:rPr>
          <w:rFonts w:ascii="宋体" w:hAnsi="宋体" w:cs="宋体"/>
          <w:kern w:val="0"/>
        </w:rPr>
      </w:pPr>
      <w:r>
        <w:rPr>
          <w:rFonts w:hint="eastAsia" w:ascii="宋体" w:hAnsi="宋体" w:cs="宋体"/>
          <w:kern w:val="0"/>
        </w:rPr>
        <w:t>7.8.6 暂停施工持续56天以上</w:t>
      </w:r>
    </w:p>
    <w:p w14:paraId="4B37D926">
      <w:pPr>
        <w:spacing w:line="360" w:lineRule="exact"/>
        <w:ind w:firstLine="409" w:firstLineChars="195"/>
        <w:jc w:val="left"/>
        <w:rPr>
          <w:rFonts w:ascii="宋体" w:hAnsi="宋体" w:cs="宋体"/>
          <w:kern w:val="0"/>
        </w:rPr>
      </w:pPr>
      <w:r>
        <w:rPr>
          <w:rFonts w:hint="eastAsia" w:ascii="宋体" w:hAnsi="宋体" w:cs="宋体"/>
          <w:kern w:val="0"/>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14:paraId="4F78491B">
      <w:pPr>
        <w:spacing w:line="360" w:lineRule="exact"/>
        <w:ind w:firstLine="409" w:firstLineChars="195"/>
        <w:jc w:val="left"/>
        <w:rPr>
          <w:rFonts w:ascii="宋体" w:hAnsi="宋体" w:cs="宋体"/>
          <w:kern w:val="0"/>
        </w:rPr>
      </w:pPr>
      <w:r>
        <w:rPr>
          <w:rFonts w:hint="eastAsia" w:ascii="宋体" w:hAnsi="宋体" w:cs="宋体"/>
          <w:kern w:val="0"/>
        </w:rPr>
        <w:t>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p>
    <w:p w14:paraId="45B3D253">
      <w:pPr>
        <w:spacing w:line="360" w:lineRule="exact"/>
        <w:ind w:left="16" w:firstLine="409" w:firstLineChars="195"/>
        <w:jc w:val="left"/>
        <w:rPr>
          <w:rFonts w:ascii="宋体" w:hAnsi="宋体" w:cs="宋体"/>
          <w:kern w:val="0"/>
        </w:rPr>
      </w:pPr>
      <w:r>
        <w:rPr>
          <w:rFonts w:hint="eastAsia" w:ascii="宋体" w:hAnsi="宋体" w:cs="宋体"/>
          <w:kern w:val="0"/>
        </w:rPr>
        <w:t>7.8.7 暂停施工期间的工程照管</w:t>
      </w:r>
    </w:p>
    <w:p w14:paraId="1CCD730D">
      <w:pPr>
        <w:spacing w:line="360" w:lineRule="exact"/>
        <w:ind w:firstLine="420" w:firstLineChars="200"/>
        <w:jc w:val="left"/>
        <w:rPr>
          <w:rFonts w:ascii="宋体" w:hAnsi="宋体" w:cs="宋体"/>
          <w:kern w:val="0"/>
        </w:rPr>
      </w:pPr>
      <w:r>
        <w:rPr>
          <w:rFonts w:hint="eastAsia" w:ascii="宋体" w:hAnsi="宋体" w:cs="宋体"/>
          <w:kern w:val="0"/>
        </w:rPr>
        <w:t>暂停施工期间，承包人应负责妥善照管工程并提供安全保障，由此增加的费用由责任方承担。</w:t>
      </w:r>
    </w:p>
    <w:p w14:paraId="77CEE390">
      <w:pPr>
        <w:spacing w:line="360" w:lineRule="exact"/>
        <w:ind w:firstLine="420" w:firstLineChars="200"/>
        <w:jc w:val="left"/>
        <w:rPr>
          <w:rFonts w:ascii="宋体" w:hAnsi="宋体" w:cs="宋体"/>
          <w:kern w:val="0"/>
        </w:rPr>
      </w:pPr>
      <w:r>
        <w:rPr>
          <w:rFonts w:hint="eastAsia" w:ascii="宋体" w:hAnsi="宋体" w:cs="宋体"/>
          <w:kern w:val="0"/>
        </w:rPr>
        <w:t>7.8.8 暂停施工的措施</w:t>
      </w:r>
    </w:p>
    <w:p w14:paraId="47A7B5C0">
      <w:pPr>
        <w:spacing w:line="360" w:lineRule="exact"/>
        <w:ind w:firstLine="420" w:firstLineChars="200"/>
        <w:jc w:val="left"/>
        <w:rPr>
          <w:rFonts w:ascii="宋体" w:hAnsi="宋体" w:cs="宋体"/>
          <w:kern w:val="0"/>
        </w:rPr>
      </w:pPr>
      <w:r>
        <w:rPr>
          <w:rFonts w:hint="eastAsia" w:ascii="宋体" w:hAnsi="宋体" w:cs="宋体"/>
          <w:kern w:val="0"/>
        </w:rPr>
        <w:t>暂停施工期间，发包人和承包人均应采取必要的措施确保工程质量及安全，防止因暂停施工扩大损失。</w:t>
      </w:r>
    </w:p>
    <w:p w14:paraId="2B3A515B">
      <w:pPr>
        <w:pStyle w:val="8"/>
        <w:overflowPunct/>
        <w:spacing w:before="120" w:after="120" w:line="360" w:lineRule="exact"/>
        <w:ind w:firstLine="420" w:firstLineChars="200"/>
        <w:rPr>
          <w:rFonts w:ascii="宋体" w:hAnsi="宋体" w:cs="宋体"/>
          <w:b w:val="0"/>
          <w:sz w:val="21"/>
          <w:szCs w:val="21"/>
        </w:rPr>
      </w:pPr>
      <w:bookmarkStart w:id="350" w:name="_Toc351203551"/>
      <w:r>
        <w:rPr>
          <w:rFonts w:hint="eastAsia" w:ascii="宋体" w:hAnsi="宋体" w:cs="宋体"/>
          <w:b w:val="0"/>
          <w:sz w:val="21"/>
          <w:szCs w:val="21"/>
        </w:rPr>
        <w:t>7.9提前竣工</w:t>
      </w:r>
      <w:bookmarkEnd w:id="350"/>
    </w:p>
    <w:p w14:paraId="79B8A768">
      <w:pPr>
        <w:spacing w:line="360" w:lineRule="exact"/>
        <w:ind w:firstLine="420" w:firstLineChars="200"/>
        <w:jc w:val="left"/>
        <w:rPr>
          <w:rFonts w:ascii="宋体" w:hAnsi="宋体" w:cs="宋体"/>
          <w:kern w:val="0"/>
        </w:rPr>
      </w:pPr>
      <w:r>
        <w:rPr>
          <w:rFonts w:hint="eastAsia" w:ascii="宋体" w:hAnsi="宋体" w:cs="宋体"/>
          <w:kern w:val="0"/>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14:paraId="6D038573">
      <w:pPr>
        <w:spacing w:line="360" w:lineRule="exact"/>
        <w:ind w:firstLine="420" w:firstLineChars="200"/>
        <w:jc w:val="left"/>
        <w:rPr>
          <w:rFonts w:ascii="宋体" w:hAnsi="宋体" w:cs="宋体"/>
          <w:kern w:val="0"/>
        </w:rPr>
      </w:pPr>
      <w:r>
        <w:rPr>
          <w:rFonts w:hint="eastAsia" w:ascii="宋体" w:hAnsi="宋体" w:cs="宋体"/>
          <w:kern w:val="0"/>
        </w:rPr>
        <w:t>7.9.2 发包人要求承包人提前竣工，或承包人提出提前竣工的建议能够给发包人带来效益的，合同当事人可以在专用合同条款中约定提前竣工的奖励。</w:t>
      </w:r>
    </w:p>
    <w:p w14:paraId="1A235266">
      <w:pPr>
        <w:pStyle w:val="7"/>
        <w:spacing w:before="120" w:after="120" w:line="360" w:lineRule="exact"/>
        <w:rPr>
          <w:rFonts w:ascii="宋体" w:hAnsi="宋体" w:cs="宋体"/>
          <w:b w:val="0"/>
          <w:sz w:val="21"/>
          <w:szCs w:val="21"/>
        </w:rPr>
      </w:pPr>
      <w:bookmarkStart w:id="351" w:name="_Toc351203552"/>
      <w:r>
        <w:rPr>
          <w:rFonts w:hint="eastAsia" w:ascii="宋体" w:hAnsi="宋体" w:cs="宋体"/>
          <w:b w:val="0"/>
          <w:sz w:val="21"/>
          <w:szCs w:val="21"/>
        </w:rPr>
        <w:t>8</w:t>
      </w:r>
      <w:bookmarkStart w:id="352" w:name="_Toc337558776"/>
      <w:bookmarkStart w:id="353" w:name="_Toc296503058"/>
      <w:bookmarkStart w:id="354" w:name="_Toc296346559"/>
      <w:r>
        <w:rPr>
          <w:rFonts w:hint="eastAsia" w:ascii="宋体" w:hAnsi="宋体" w:cs="宋体"/>
          <w:b w:val="0"/>
          <w:sz w:val="21"/>
          <w:szCs w:val="21"/>
        </w:rPr>
        <w:t>. 材料与设备</w:t>
      </w:r>
      <w:bookmarkEnd w:id="351"/>
    </w:p>
    <w:bookmarkEnd w:id="352"/>
    <w:bookmarkEnd w:id="353"/>
    <w:bookmarkEnd w:id="354"/>
    <w:p w14:paraId="33BD0CBC">
      <w:pPr>
        <w:pStyle w:val="8"/>
        <w:overflowPunct/>
        <w:spacing w:before="120" w:after="120" w:line="360" w:lineRule="exact"/>
        <w:ind w:firstLine="420" w:firstLineChars="200"/>
        <w:rPr>
          <w:rFonts w:ascii="宋体" w:hAnsi="宋体" w:cs="宋体"/>
          <w:b w:val="0"/>
          <w:sz w:val="21"/>
          <w:szCs w:val="21"/>
        </w:rPr>
      </w:pPr>
      <w:bookmarkStart w:id="355" w:name="_Toc351203553"/>
      <w:r>
        <w:rPr>
          <w:rFonts w:hint="eastAsia" w:ascii="宋体" w:hAnsi="宋体" w:cs="宋体"/>
          <w:b w:val="0"/>
          <w:sz w:val="21"/>
          <w:szCs w:val="21"/>
        </w:rPr>
        <w:t>8</w:t>
      </w:r>
      <w:bookmarkStart w:id="356" w:name="_Toc337558777"/>
      <w:bookmarkStart w:id="357" w:name="_Toc296503059"/>
      <w:bookmarkStart w:id="358" w:name="_Toc296346560"/>
      <w:bookmarkStart w:id="359" w:name="_Toc468936960"/>
      <w:r>
        <w:rPr>
          <w:rFonts w:hint="eastAsia" w:ascii="宋体" w:hAnsi="宋体" w:cs="宋体"/>
          <w:b w:val="0"/>
          <w:sz w:val="21"/>
          <w:szCs w:val="21"/>
        </w:rPr>
        <w:t>.1发包人供应材料与工程设备</w:t>
      </w:r>
      <w:bookmarkEnd w:id="355"/>
    </w:p>
    <w:bookmarkEnd w:id="356"/>
    <w:bookmarkEnd w:id="357"/>
    <w:bookmarkEnd w:id="358"/>
    <w:p w14:paraId="348E80DF">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发包人自行供应材料、工程设备的，应在签订合同时在专用合同条款的附件《发包人供应材料设备一览表》中明确材料、工程设备的品种、规格、型号、数量、单价、质量等级和送达地点。</w:t>
      </w:r>
    </w:p>
    <w:p w14:paraId="362D2ADC">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14:paraId="5A6CB0CE">
      <w:pPr>
        <w:pStyle w:val="8"/>
        <w:overflowPunct/>
        <w:spacing w:before="120" w:after="120" w:line="360" w:lineRule="exact"/>
        <w:ind w:firstLine="420" w:firstLineChars="200"/>
        <w:rPr>
          <w:rFonts w:ascii="宋体" w:hAnsi="宋体" w:cs="宋体"/>
          <w:sz w:val="21"/>
          <w:szCs w:val="21"/>
        </w:rPr>
      </w:pPr>
      <w:bookmarkStart w:id="360" w:name="_Toc351203554"/>
      <w:r>
        <w:rPr>
          <w:rFonts w:hint="eastAsia" w:ascii="宋体" w:hAnsi="宋体" w:cs="宋体"/>
          <w:b w:val="0"/>
          <w:sz w:val="21"/>
          <w:szCs w:val="21"/>
        </w:rPr>
        <w:t>8</w:t>
      </w:r>
      <w:bookmarkStart w:id="361" w:name="_Toc296503060"/>
      <w:bookmarkStart w:id="362" w:name="_Toc337558778"/>
      <w:bookmarkStart w:id="363" w:name="_Toc296346561"/>
      <w:r>
        <w:rPr>
          <w:rFonts w:hint="eastAsia" w:ascii="宋体" w:hAnsi="宋体" w:cs="宋体"/>
          <w:b w:val="0"/>
          <w:sz w:val="21"/>
          <w:szCs w:val="21"/>
        </w:rPr>
        <w:t>.2承包人采购材料与工程设备</w:t>
      </w:r>
      <w:bookmarkEnd w:id="360"/>
    </w:p>
    <w:bookmarkEnd w:id="361"/>
    <w:bookmarkEnd w:id="362"/>
    <w:bookmarkEnd w:id="363"/>
    <w:p w14:paraId="695BE57C">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14:paraId="27572A16">
      <w:pPr>
        <w:pStyle w:val="8"/>
        <w:overflowPunct/>
        <w:spacing w:before="120" w:after="120" w:line="360" w:lineRule="exact"/>
        <w:ind w:firstLine="420" w:firstLineChars="200"/>
        <w:rPr>
          <w:rFonts w:ascii="宋体" w:hAnsi="宋体" w:cs="宋体"/>
          <w:b w:val="0"/>
          <w:sz w:val="21"/>
          <w:szCs w:val="21"/>
        </w:rPr>
      </w:pPr>
      <w:bookmarkStart w:id="364" w:name="_Toc351203555"/>
      <w:r>
        <w:rPr>
          <w:rFonts w:hint="eastAsia" w:ascii="宋体" w:hAnsi="宋体" w:cs="宋体"/>
          <w:b w:val="0"/>
          <w:sz w:val="21"/>
          <w:szCs w:val="21"/>
        </w:rPr>
        <w:t>8</w:t>
      </w:r>
      <w:bookmarkStart w:id="365" w:name="_Toc337558779"/>
      <w:bookmarkStart w:id="366" w:name="_Toc296503061"/>
      <w:bookmarkStart w:id="367" w:name="_Toc296346562"/>
      <w:r>
        <w:rPr>
          <w:rFonts w:hint="eastAsia" w:ascii="宋体" w:hAnsi="宋体" w:cs="宋体"/>
          <w:b w:val="0"/>
          <w:sz w:val="21"/>
          <w:szCs w:val="21"/>
        </w:rPr>
        <w:t>.3材料与工程设备的接收与拒收</w:t>
      </w:r>
      <w:bookmarkEnd w:id="364"/>
    </w:p>
    <w:bookmarkEnd w:id="365"/>
    <w:bookmarkEnd w:id="366"/>
    <w:bookmarkEnd w:id="367"/>
    <w:p w14:paraId="7D605546">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14:paraId="3394B7B1">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发包人提供的材料和工程设备的规格、数量或质量不符合合同约定的，或因发包人原因导致交货日期延误或交货地点变更等情况的，按照第16.1款〔发包人违约〕约定办理。</w:t>
      </w:r>
    </w:p>
    <w:p w14:paraId="2F36FA88">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8.3.2 承包人采购的材料和工程设备，应保证产品质量合格，承包人应在材料和工程设备到货前24小时通知监理人检验。承</w:t>
      </w:r>
      <w:bookmarkStart w:id="368" w:name="_Toc250655469"/>
      <w:r>
        <w:rPr>
          <w:rFonts w:hint="eastAsia" w:ascii="宋体" w:hAnsi="宋体" w:cs="宋体"/>
          <w:kern w:val="0"/>
        </w:rPr>
        <w:t>包人进行永久设备、材料的制造和生产的，应符合相关质量标准，并向监理人提交材料的样本以及有关资料，并应在使用该材料或工程设备之前获得监理人同意。</w:t>
      </w:r>
    </w:p>
    <w:bookmarkEnd w:id="368"/>
    <w:p w14:paraId="3EDD60F8">
      <w:pPr>
        <w:autoSpaceDE w:val="0"/>
        <w:autoSpaceDN w:val="0"/>
        <w:adjustRightInd w:val="0"/>
        <w:spacing w:line="360" w:lineRule="exact"/>
        <w:ind w:firstLine="315" w:firstLineChars="150"/>
        <w:jc w:val="left"/>
        <w:rPr>
          <w:rFonts w:ascii="宋体" w:hAnsi="宋体" w:cs="宋体"/>
          <w:kern w:val="0"/>
        </w:rPr>
      </w:pPr>
      <w:r>
        <w:rPr>
          <w:rFonts w:hint="eastAsia" w:ascii="宋体" w:hAnsi="宋体" w:cs="宋体"/>
          <w:kern w:val="0"/>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14:paraId="16CC389A">
      <w:pPr>
        <w:pStyle w:val="8"/>
        <w:overflowPunct/>
        <w:spacing w:before="120" w:after="120" w:line="360" w:lineRule="exact"/>
        <w:ind w:firstLine="420" w:firstLineChars="200"/>
        <w:rPr>
          <w:rFonts w:ascii="宋体" w:hAnsi="宋体" w:cs="宋体"/>
          <w:b w:val="0"/>
          <w:sz w:val="21"/>
          <w:szCs w:val="21"/>
        </w:rPr>
      </w:pPr>
      <w:bookmarkStart w:id="369" w:name="_Toc351203556"/>
      <w:r>
        <w:rPr>
          <w:rFonts w:hint="eastAsia" w:ascii="宋体" w:hAnsi="宋体" w:cs="宋体"/>
          <w:b w:val="0"/>
          <w:sz w:val="21"/>
          <w:szCs w:val="21"/>
        </w:rPr>
        <w:t>8</w:t>
      </w:r>
      <w:bookmarkStart w:id="370" w:name="_Toc296346563"/>
      <w:bookmarkStart w:id="371" w:name="_Toc337558780"/>
      <w:bookmarkStart w:id="372" w:name="_Toc296503062"/>
      <w:r>
        <w:rPr>
          <w:rFonts w:hint="eastAsia" w:ascii="宋体" w:hAnsi="宋体" w:cs="宋体"/>
          <w:b w:val="0"/>
          <w:sz w:val="21"/>
          <w:szCs w:val="21"/>
        </w:rPr>
        <w:t>.4材料与工程设备的保管与使用</w:t>
      </w:r>
      <w:bookmarkEnd w:id="369"/>
    </w:p>
    <w:bookmarkEnd w:id="370"/>
    <w:bookmarkEnd w:id="371"/>
    <w:bookmarkEnd w:id="372"/>
    <w:p w14:paraId="7BA0E958">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8.4.1 发包人供应</w:t>
      </w:r>
      <w:r>
        <w:rPr>
          <w:rFonts w:hint="eastAsia" w:ascii="宋体" w:hAnsi="宋体" w:cs="宋体"/>
        </w:rPr>
        <w:t>材料与</w:t>
      </w:r>
      <w:r>
        <w:rPr>
          <w:rFonts w:hint="eastAsia" w:ascii="宋体" w:hAnsi="宋体" w:cs="宋体"/>
          <w:kern w:val="0"/>
        </w:rPr>
        <w:t>工程</w:t>
      </w:r>
      <w:r>
        <w:rPr>
          <w:rFonts w:hint="eastAsia" w:ascii="宋体" w:hAnsi="宋体" w:cs="宋体"/>
        </w:rPr>
        <w:t>设备的保管与使用</w:t>
      </w:r>
    </w:p>
    <w:p w14:paraId="09472FAD">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14:paraId="26001B39">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发包人供应的材料和工程设备使用前，由承包人负责检验，检验费用由发包人承担，不合格的不得使用。</w:t>
      </w:r>
    </w:p>
    <w:p w14:paraId="716AB1FF">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8.4.2 承包人采购</w:t>
      </w:r>
      <w:r>
        <w:rPr>
          <w:rFonts w:hint="eastAsia" w:ascii="宋体" w:hAnsi="宋体" w:cs="宋体"/>
        </w:rPr>
        <w:t>材料与</w:t>
      </w:r>
      <w:r>
        <w:rPr>
          <w:rFonts w:hint="eastAsia" w:ascii="宋体" w:hAnsi="宋体" w:cs="宋体"/>
          <w:kern w:val="0"/>
        </w:rPr>
        <w:t>工程</w:t>
      </w:r>
      <w:r>
        <w:rPr>
          <w:rFonts w:hint="eastAsia" w:ascii="宋体" w:hAnsi="宋体" w:cs="宋体"/>
        </w:rPr>
        <w:t>设备的保管与使用</w:t>
      </w:r>
    </w:p>
    <w:p w14:paraId="0EFD80F1">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14:paraId="26EA2F40">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发包人或监理人发现承包人使用不符合设计或有关标准要求的材料和工程设备时，有权要求承包人进行修复、拆除或重新采购，由此增加的费用和（或）延误的工期，由承包人承担。</w:t>
      </w:r>
    </w:p>
    <w:p w14:paraId="63FEB7A8">
      <w:pPr>
        <w:pStyle w:val="8"/>
        <w:overflowPunct/>
        <w:spacing w:before="120" w:after="120" w:line="360" w:lineRule="exact"/>
        <w:ind w:firstLine="420" w:firstLineChars="200"/>
        <w:rPr>
          <w:rFonts w:ascii="宋体" w:hAnsi="宋体" w:cs="宋体"/>
          <w:b w:val="0"/>
          <w:sz w:val="21"/>
          <w:szCs w:val="21"/>
        </w:rPr>
      </w:pPr>
      <w:bookmarkStart w:id="373" w:name="_Toc351203557"/>
      <w:r>
        <w:rPr>
          <w:rFonts w:hint="eastAsia" w:ascii="宋体" w:hAnsi="宋体" w:cs="宋体"/>
          <w:b w:val="0"/>
          <w:sz w:val="21"/>
          <w:szCs w:val="21"/>
        </w:rPr>
        <w:t>8.5禁止使用不合格的材料和工程设备</w:t>
      </w:r>
      <w:bookmarkEnd w:id="373"/>
    </w:p>
    <w:p w14:paraId="526CF2DF">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8.5.1 监理人有权拒绝承包人提供的不合格材料或工程设备，并要求承包人立即进行更换。监理人应在更换后再次进行检查和检验，由此增加的费用和（或）延误的工期由承包人承担。</w:t>
      </w:r>
    </w:p>
    <w:p w14:paraId="267B9B10">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8.5.2 监理人发现承包人使用了不合格的材料和工程设备，承包人应按照监理人的指示立即改正，并禁止在工程中继续使用不合格的材料和工程设备。</w:t>
      </w:r>
    </w:p>
    <w:p w14:paraId="0324650D">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8.5.3 发包人提供的材料或工程设备不符合合同要求的，承包人有权拒绝，并可要求发包人更换，由此增加的费用和（或）延误的工期由发包人承担，并支付承包人合理的利润。</w:t>
      </w:r>
    </w:p>
    <w:p w14:paraId="43A4C1E8">
      <w:pPr>
        <w:pStyle w:val="8"/>
        <w:overflowPunct/>
        <w:spacing w:before="120" w:after="120" w:line="360" w:lineRule="exact"/>
        <w:ind w:firstLine="420" w:firstLineChars="200"/>
        <w:rPr>
          <w:rFonts w:ascii="宋体" w:hAnsi="宋体" w:cs="宋体"/>
          <w:b w:val="0"/>
          <w:sz w:val="21"/>
          <w:szCs w:val="21"/>
        </w:rPr>
      </w:pPr>
      <w:bookmarkStart w:id="374" w:name="_Toc351203558"/>
      <w:r>
        <w:rPr>
          <w:rFonts w:hint="eastAsia" w:ascii="宋体" w:hAnsi="宋体" w:cs="宋体"/>
          <w:b w:val="0"/>
          <w:sz w:val="21"/>
          <w:szCs w:val="21"/>
        </w:rPr>
        <w:t>8.6 样品</w:t>
      </w:r>
      <w:bookmarkEnd w:id="374"/>
    </w:p>
    <w:p w14:paraId="56EC2874">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8.6.1</w:t>
      </w:r>
      <w:r>
        <w:rPr>
          <w:rFonts w:hint="eastAsia" w:ascii="宋体" w:hAnsi="宋体" w:cs="宋体"/>
          <w:kern w:val="0"/>
        </w:rPr>
        <w:tab/>
      </w:r>
      <w:r>
        <w:rPr>
          <w:rFonts w:hint="eastAsia" w:ascii="宋体" w:hAnsi="宋体" w:cs="宋体"/>
          <w:kern w:val="0"/>
        </w:rPr>
        <w:t>样品的报送与封存</w:t>
      </w:r>
    </w:p>
    <w:p w14:paraId="0E085006">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需要承包人报送样品的材料或工程设备，样品的种类、名称、规格、数量等要求均应在专用合同条款中约定。样品的报送程序如下：</w:t>
      </w:r>
    </w:p>
    <w:p w14:paraId="3D87B257">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14:paraId="2557C743">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14:paraId="51A9C992">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（3）经发包人和监理人审批确认的样品应按约定的方法封样，封存的样品作为检验工程相关部分的标准之一。承包人在施工过程中不得使用与样品不符的材料或工程设备。</w:t>
      </w:r>
    </w:p>
    <w:p w14:paraId="06055D96">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14:paraId="0835A31E">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8.6.2 样品的保管</w:t>
      </w:r>
    </w:p>
    <w:p w14:paraId="45E7D2B1">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经批准的样品应由监理人负责封存于现场，承包人应在现场为保存样品提供适当和固定的场所并保持适当和良好的存储环境条件。</w:t>
      </w:r>
    </w:p>
    <w:p w14:paraId="15581713">
      <w:pPr>
        <w:pStyle w:val="8"/>
        <w:overflowPunct/>
        <w:spacing w:before="120" w:after="120" w:line="360" w:lineRule="exact"/>
        <w:ind w:firstLine="420" w:firstLineChars="200"/>
        <w:rPr>
          <w:rFonts w:ascii="宋体" w:hAnsi="宋体" w:cs="宋体"/>
          <w:b w:val="0"/>
          <w:sz w:val="21"/>
          <w:szCs w:val="21"/>
        </w:rPr>
      </w:pPr>
      <w:bookmarkStart w:id="375" w:name="_Toc351203559"/>
      <w:r>
        <w:rPr>
          <w:rFonts w:hint="eastAsia" w:ascii="宋体" w:hAnsi="宋体" w:cs="宋体"/>
          <w:b w:val="0"/>
          <w:sz w:val="21"/>
          <w:szCs w:val="21"/>
        </w:rPr>
        <w:t>8.7材料与工程设备的替代</w:t>
      </w:r>
      <w:bookmarkEnd w:id="375"/>
    </w:p>
    <w:p w14:paraId="46C1F5FF">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8.7.1 出现下列情况需要使用替代材料和工程设备的，承包人应按照第8.7.2项约定的程序执行：</w:t>
      </w:r>
    </w:p>
    <w:p w14:paraId="31B347A3">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（1）基准日期后生效的法律规定禁止使用的；</w:t>
      </w:r>
    </w:p>
    <w:p w14:paraId="71718CBA">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（2）发包人要求使用替代品的；</w:t>
      </w:r>
    </w:p>
    <w:p w14:paraId="772DDC88">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（3）因其他原因必须使用替代品的。</w:t>
      </w:r>
    </w:p>
    <w:p w14:paraId="7CBD710A">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8.7.2 承包人应在使用替代材料和工程设备28天前书面通知监理人，并附下列文件：</w:t>
      </w:r>
    </w:p>
    <w:p w14:paraId="5375018A">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（1）被替代的材料和工程设备的名称、数量、规格、型号、品牌、性能、价格及其他相关资料；</w:t>
      </w:r>
    </w:p>
    <w:p w14:paraId="30D57411">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（2）替代品的名称、数量、规格、型号、品牌、性能、价格及其他相关资料；</w:t>
      </w:r>
    </w:p>
    <w:p w14:paraId="02FC9DBC">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（3）替代品与被替代产品之间的差异以及使用替代品可能对工程产生的影响；</w:t>
      </w:r>
    </w:p>
    <w:p w14:paraId="3B2956E8">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（4）替代品与被替代产品的价格差异；</w:t>
      </w:r>
    </w:p>
    <w:p w14:paraId="66BCB437">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（5）使用替代品的理由和原因说明；</w:t>
      </w:r>
    </w:p>
    <w:p w14:paraId="21FC724C">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（6）监理人要求的其他文件。</w:t>
      </w:r>
    </w:p>
    <w:p w14:paraId="5CC55C04">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监理人应在收到通知后14天内向承包人发出经发包人签认的书面指示；监理人逾期发出书面指示的，视为发包人和监理人同意使用替代品。</w:t>
      </w:r>
    </w:p>
    <w:p w14:paraId="23EBBAB0">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14:paraId="7E5139B5">
      <w:pPr>
        <w:pStyle w:val="8"/>
        <w:overflowPunct/>
        <w:spacing w:before="120" w:after="120" w:line="360" w:lineRule="exact"/>
        <w:ind w:firstLine="420" w:firstLineChars="200"/>
        <w:rPr>
          <w:rFonts w:ascii="宋体" w:hAnsi="宋体" w:cs="宋体"/>
          <w:b w:val="0"/>
          <w:sz w:val="21"/>
          <w:szCs w:val="21"/>
        </w:rPr>
      </w:pPr>
      <w:bookmarkStart w:id="376" w:name="_Toc351203560"/>
      <w:r>
        <w:rPr>
          <w:rFonts w:hint="eastAsia" w:ascii="宋体" w:hAnsi="宋体" w:cs="宋体"/>
          <w:b w:val="0"/>
          <w:sz w:val="21"/>
          <w:szCs w:val="21"/>
        </w:rPr>
        <w:t>8.8施工设备和临时设施</w:t>
      </w:r>
      <w:bookmarkEnd w:id="376"/>
    </w:p>
    <w:p w14:paraId="102A4AC6">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8.8.1 承包人提供的施工设备和临时设施</w:t>
      </w:r>
    </w:p>
    <w:p w14:paraId="1D37F362">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承包人应按合同进度计划的要求，及时配置施工设备和修建临时设施。进入施工场地的承包人设备需经监理人核查后才能投入使用。承包人更换合同约定的承包人设备的，应报监理人批准。</w:t>
      </w:r>
    </w:p>
    <w:p w14:paraId="3890A200">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除专用合同条款另有约定外，承包人应自行承担修建临时设施的费用，需要临时占地的，应由发包人办理申请手续并承担相应费用。</w:t>
      </w:r>
    </w:p>
    <w:p w14:paraId="2C986F03">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8.8.2发包人提供的施工设备和临时设施</w:t>
      </w:r>
    </w:p>
    <w:p w14:paraId="4B807F66">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发包人提供的施工设备或临时设施在专用合同条款中约定。</w:t>
      </w:r>
    </w:p>
    <w:p w14:paraId="5948BC0F">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8.8.3要求承包人增加或更换施工设备</w:t>
      </w:r>
    </w:p>
    <w:p w14:paraId="626FBC18">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承包人使用的施工设备不能满足合同进度计划和（或）质量要求时，监理人有权要求承包人增加或更换施工设备，承包人应及时增加或更换，由此增加的费用和（或）延误的工期由承包人承担。</w:t>
      </w:r>
    </w:p>
    <w:p w14:paraId="497BA0DC">
      <w:pPr>
        <w:pStyle w:val="8"/>
        <w:overflowPunct/>
        <w:spacing w:before="120" w:after="120" w:line="360" w:lineRule="exact"/>
        <w:ind w:firstLine="420" w:firstLineChars="200"/>
        <w:rPr>
          <w:rFonts w:ascii="宋体" w:hAnsi="宋体" w:cs="宋体"/>
          <w:b w:val="0"/>
          <w:sz w:val="21"/>
          <w:szCs w:val="21"/>
        </w:rPr>
      </w:pPr>
      <w:bookmarkStart w:id="377" w:name="_Toc351203561"/>
      <w:r>
        <w:rPr>
          <w:rFonts w:hint="eastAsia" w:ascii="宋体" w:hAnsi="宋体" w:cs="宋体"/>
          <w:b w:val="0"/>
          <w:sz w:val="21"/>
          <w:szCs w:val="21"/>
        </w:rPr>
        <w:t>8</w:t>
      </w:r>
      <w:bookmarkStart w:id="378" w:name="_Toc337558781"/>
      <w:bookmarkStart w:id="379" w:name="_Toc296346564"/>
      <w:bookmarkStart w:id="380" w:name="_Toc296503063"/>
      <w:r>
        <w:rPr>
          <w:rFonts w:hint="eastAsia" w:ascii="宋体" w:hAnsi="宋体" w:cs="宋体"/>
          <w:b w:val="0"/>
          <w:sz w:val="21"/>
          <w:szCs w:val="21"/>
        </w:rPr>
        <w:t>.9材料与设备专用</w:t>
      </w:r>
      <w:bookmarkEnd w:id="377"/>
      <w:r>
        <w:rPr>
          <w:rFonts w:hint="eastAsia" w:ascii="宋体" w:hAnsi="宋体" w:cs="宋体"/>
          <w:b w:val="0"/>
          <w:sz w:val="21"/>
          <w:szCs w:val="21"/>
        </w:rPr>
        <w:t>要求</w:t>
      </w:r>
    </w:p>
    <w:bookmarkEnd w:id="378"/>
    <w:bookmarkEnd w:id="379"/>
    <w:bookmarkEnd w:id="380"/>
    <w:p w14:paraId="75C57374">
      <w:pPr>
        <w:spacing w:line="360" w:lineRule="exact"/>
        <w:ind w:firstLine="420" w:firstLineChars="200"/>
        <w:jc w:val="left"/>
        <w:rPr>
          <w:rFonts w:ascii="宋体" w:hAnsi="宋体" w:cs="宋体"/>
          <w:kern w:val="0"/>
        </w:rPr>
      </w:pPr>
      <w:r>
        <w:rPr>
          <w:rFonts w:hint="eastAsia" w:ascii="宋体" w:hAnsi="宋体" w:cs="宋体"/>
          <w:kern w:val="0"/>
        </w:rPr>
        <w:t>承包人运入施工现场的材料、工程设备、施工设备以及在施工场地建设的临时设施，包括备品备件、安装工具与资料，必须专用于工程。未经发包人批准，承包人不得运出施工现场或挪作他用；</w:t>
      </w:r>
      <w:bookmarkEnd w:id="359"/>
      <w:r>
        <w:rPr>
          <w:rFonts w:hint="eastAsia" w:ascii="宋体" w:hAnsi="宋体" w:cs="宋体"/>
          <w:kern w:val="0"/>
        </w:rPr>
        <w:t>经发包人批准，承包人可以根据施工进度计划撤走闲置的施工设备和其他物品。</w:t>
      </w:r>
    </w:p>
    <w:p w14:paraId="4F423093">
      <w:pPr>
        <w:pStyle w:val="6"/>
        <w:spacing w:line="360" w:lineRule="exact"/>
        <w:rPr>
          <w:rFonts w:ascii="宋体" w:hAnsi="宋体" w:cs="宋体"/>
          <w:b w:val="0"/>
          <w:sz w:val="21"/>
          <w:szCs w:val="21"/>
        </w:rPr>
      </w:pPr>
      <w:bookmarkStart w:id="381" w:name="_Toc351203562"/>
      <w:r>
        <w:rPr>
          <w:rFonts w:hint="eastAsia" w:ascii="宋体" w:hAnsi="宋体" w:cs="宋体"/>
          <w:b w:val="0"/>
          <w:sz w:val="21"/>
          <w:szCs w:val="21"/>
        </w:rPr>
        <w:t>9</w:t>
      </w:r>
      <w:bookmarkStart w:id="382" w:name="_Toc337558782"/>
      <w:bookmarkStart w:id="383" w:name="_Toc296503083"/>
      <w:bookmarkStart w:id="384" w:name="_Toc296346584"/>
      <w:r>
        <w:rPr>
          <w:rFonts w:hint="eastAsia" w:ascii="宋体" w:hAnsi="宋体" w:cs="宋体"/>
          <w:b w:val="0"/>
          <w:sz w:val="21"/>
          <w:szCs w:val="21"/>
        </w:rPr>
        <w:t>. 试验与检验</w:t>
      </w:r>
      <w:bookmarkEnd w:id="381"/>
    </w:p>
    <w:bookmarkEnd w:id="382"/>
    <w:p w14:paraId="23BC2E37">
      <w:pPr>
        <w:pStyle w:val="8"/>
        <w:overflowPunct/>
        <w:spacing w:before="120" w:after="120" w:line="360" w:lineRule="exact"/>
        <w:ind w:firstLine="420" w:firstLineChars="200"/>
        <w:rPr>
          <w:rFonts w:ascii="宋体" w:hAnsi="宋体" w:cs="宋体"/>
          <w:b w:val="0"/>
          <w:sz w:val="21"/>
          <w:szCs w:val="21"/>
        </w:rPr>
      </w:pPr>
      <w:bookmarkStart w:id="385" w:name="_Toc351203563"/>
      <w:r>
        <w:rPr>
          <w:rFonts w:hint="eastAsia" w:ascii="宋体" w:hAnsi="宋体" w:cs="宋体"/>
          <w:b w:val="0"/>
          <w:sz w:val="21"/>
          <w:szCs w:val="21"/>
        </w:rPr>
        <w:t>9</w:t>
      </w:r>
      <w:bookmarkStart w:id="386" w:name="_Toc337558783"/>
      <w:r>
        <w:rPr>
          <w:rFonts w:hint="eastAsia" w:ascii="宋体" w:hAnsi="宋体" w:cs="宋体"/>
          <w:b w:val="0"/>
          <w:sz w:val="21"/>
          <w:szCs w:val="21"/>
        </w:rPr>
        <w:t>.1试验设备与试验人员</w:t>
      </w:r>
      <w:bookmarkEnd w:id="385"/>
    </w:p>
    <w:bookmarkEnd w:id="386"/>
    <w:p w14:paraId="0DE0F296">
      <w:pPr>
        <w:spacing w:line="360" w:lineRule="exact"/>
        <w:ind w:firstLine="420" w:firstLineChars="200"/>
        <w:jc w:val="left"/>
        <w:rPr>
          <w:rFonts w:ascii="宋体" w:hAnsi="宋体" w:cs="宋体"/>
          <w:kern w:val="0"/>
        </w:rPr>
      </w:pPr>
      <w:r>
        <w:rPr>
          <w:rFonts w:hint="eastAsia" w:ascii="宋体" w:hAnsi="宋体" w:cs="宋体"/>
          <w:kern w:val="0"/>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14:paraId="5B62C7C2">
      <w:pPr>
        <w:spacing w:line="360" w:lineRule="exact"/>
        <w:ind w:firstLine="420" w:firstLineChars="200"/>
        <w:jc w:val="left"/>
        <w:rPr>
          <w:rFonts w:ascii="宋体" w:hAnsi="宋体" w:cs="宋体"/>
          <w:kern w:val="0"/>
        </w:rPr>
      </w:pPr>
      <w:r>
        <w:rPr>
          <w:rFonts w:hint="eastAsia" w:ascii="宋体" w:hAnsi="宋体" w:cs="宋体"/>
          <w:kern w:val="0"/>
        </w:rPr>
        <w:t>9.1.2 承包人应按专用合同条款的约定提供试验设备、取样装置、试验场所和试验条件，并向监理人提交相应进场计划表。</w:t>
      </w:r>
    </w:p>
    <w:p w14:paraId="5CAA0778">
      <w:pPr>
        <w:spacing w:line="360" w:lineRule="exact"/>
        <w:ind w:firstLine="420" w:firstLineChars="200"/>
        <w:jc w:val="left"/>
        <w:rPr>
          <w:rFonts w:ascii="宋体" w:hAnsi="宋体" w:cs="宋体"/>
          <w:kern w:val="0"/>
        </w:rPr>
      </w:pPr>
      <w:r>
        <w:rPr>
          <w:rFonts w:hint="eastAsia" w:ascii="宋体" w:hAnsi="宋体" w:cs="宋体"/>
          <w:kern w:val="0"/>
        </w:rPr>
        <w:t>承包人配置的试验设备要符合相应试验规程的要求并经过具有资质的检测单位检测，且在正式使用该试验设备前，需要经过监理人与承包人共同校定。</w:t>
      </w:r>
    </w:p>
    <w:p w14:paraId="127156C5">
      <w:pPr>
        <w:spacing w:line="360" w:lineRule="exact"/>
        <w:ind w:firstLine="420" w:firstLineChars="200"/>
        <w:jc w:val="left"/>
        <w:rPr>
          <w:rFonts w:ascii="宋体" w:hAnsi="宋体" w:cs="宋体"/>
          <w:kern w:val="0"/>
        </w:rPr>
      </w:pPr>
      <w:r>
        <w:rPr>
          <w:rFonts w:hint="eastAsia" w:ascii="宋体" w:hAnsi="宋体" w:cs="宋体"/>
          <w:kern w:val="0"/>
        </w:rPr>
        <w:t>9.1.3 承包人应向监理人提交试验人员的名单及其岗位、资格等证明资料，试验人员必须能够熟练进行相应的检测试验，承包人对试验人员的试验程序和试验结果的正确性负责。</w:t>
      </w:r>
    </w:p>
    <w:p w14:paraId="43EE9A88">
      <w:pPr>
        <w:pStyle w:val="8"/>
        <w:overflowPunct/>
        <w:spacing w:before="120" w:after="120" w:line="360" w:lineRule="exact"/>
        <w:ind w:firstLine="420" w:firstLineChars="200"/>
        <w:rPr>
          <w:rFonts w:ascii="宋体" w:hAnsi="宋体" w:cs="宋体"/>
          <w:b w:val="0"/>
          <w:sz w:val="21"/>
          <w:szCs w:val="21"/>
        </w:rPr>
      </w:pPr>
      <w:bookmarkStart w:id="387" w:name="_Toc351203564"/>
      <w:r>
        <w:rPr>
          <w:rFonts w:hint="eastAsia" w:ascii="宋体" w:hAnsi="宋体" w:cs="宋体"/>
          <w:b w:val="0"/>
          <w:sz w:val="21"/>
          <w:szCs w:val="21"/>
        </w:rPr>
        <w:t>9</w:t>
      </w:r>
      <w:bookmarkStart w:id="388" w:name="_Toc337558784"/>
      <w:r>
        <w:rPr>
          <w:rFonts w:hint="eastAsia" w:ascii="宋体" w:hAnsi="宋体" w:cs="宋体"/>
          <w:b w:val="0"/>
          <w:sz w:val="21"/>
          <w:szCs w:val="21"/>
        </w:rPr>
        <w:t>.2取样</w:t>
      </w:r>
      <w:bookmarkEnd w:id="387"/>
    </w:p>
    <w:bookmarkEnd w:id="388"/>
    <w:p w14:paraId="6F1F6596">
      <w:pPr>
        <w:spacing w:line="360" w:lineRule="exact"/>
        <w:ind w:firstLine="420" w:firstLineChars="200"/>
        <w:jc w:val="left"/>
        <w:rPr>
          <w:rFonts w:ascii="宋体" w:hAnsi="宋体" w:cs="宋体"/>
          <w:kern w:val="0"/>
        </w:rPr>
      </w:pPr>
      <w:r>
        <w:rPr>
          <w:rFonts w:hint="eastAsia" w:ascii="宋体" w:hAnsi="宋体" w:cs="宋体"/>
          <w:kern w:val="0"/>
        </w:rPr>
        <w:t>试验属于自检性质的，承包人可以单独取样。试验属于监理人抽检性质的，可由监理人取样，也可由承包人的试验人员在监理人的监督下取样。</w:t>
      </w:r>
    </w:p>
    <w:p w14:paraId="3DDECA91">
      <w:pPr>
        <w:pStyle w:val="8"/>
        <w:overflowPunct/>
        <w:spacing w:before="120" w:after="120" w:line="360" w:lineRule="exact"/>
        <w:ind w:firstLine="420" w:firstLineChars="200"/>
        <w:rPr>
          <w:rFonts w:ascii="宋体" w:hAnsi="宋体" w:cs="宋体"/>
          <w:b w:val="0"/>
          <w:sz w:val="21"/>
          <w:szCs w:val="21"/>
        </w:rPr>
      </w:pPr>
      <w:bookmarkStart w:id="389" w:name="_Toc351203565"/>
      <w:r>
        <w:rPr>
          <w:rFonts w:hint="eastAsia" w:ascii="宋体" w:hAnsi="宋体" w:cs="宋体"/>
          <w:b w:val="0"/>
          <w:sz w:val="21"/>
          <w:szCs w:val="21"/>
        </w:rPr>
        <w:t>9</w:t>
      </w:r>
      <w:bookmarkStart w:id="390" w:name="_Toc337558785"/>
      <w:r>
        <w:rPr>
          <w:rFonts w:hint="eastAsia" w:ascii="宋体" w:hAnsi="宋体" w:cs="宋体"/>
          <w:b w:val="0"/>
          <w:sz w:val="21"/>
          <w:szCs w:val="21"/>
        </w:rPr>
        <w:t>.3材料、工程设备和工程的试验和检验</w:t>
      </w:r>
      <w:bookmarkEnd w:id="389"/>
    </w:p>
    <w:bookmarkEnd w:id="390"/>
    <w:p w14:paraId="41EAE95A">
      <w:pPr>
        <w:spacing w:line="360" w:lineRule="exact"/>
        <w:ind w:firstLine="420" w:firstLineChars="200"/>
        <w:jc w:val="left"/>
        <w:rPr>
          <w:rFonts w:ascii="宋体" w:hAnsi="宋体" w:cs="宋体"/>
          <w:kern w:val="0"/>
        </w:rPr>
      </w:pPr>
      <w:r>
        <w:rPr>
          <w:rFonts w:hint="eastAsia" w:ascii="宋体" w:hAnsi="宋体" w:cs="宋体"/>
          <w:kern w:val="0"/>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047F1EBA">
      <w:pPr>
        <w:spacing w:line="360" w:lineRule="exact"/>
        <w:ind w:firstLine="420" w:firstLineChars="200"/>
        <w:jc w:val="left"/>
        <w:rPr>
          <w:rFonts w:ascii="宋体" w:hAnsi="宋体" w:cs="宋体"/>
          <w:kern w:val="0"/>
        </w:rPr>
      </w:pPr>
      <w:r>
        <w:rPr>
          <w:rFonts w:hint="eastAsia" w:ascii="宋体" w:hAnsi="宋体" w:cs="宋体"/>
          <w:kern w:val="0"/>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14:paraId="61BA3CEF">
      <w:pPr>
        <w:spacing w:line="360" w:lineRule="exact"/>
        <w:ind w:firstLine="420" w:firstLineChars="200"/>
        <w:jc w:val="left"/>
        <w:rPr>
          <w:rFonts w:ascii="宋体" w:hAnsi="宋体" w:cs="宋体"/>
          <w:kern w:val="0"/>
        </w:rPr>
      </w:pPr>
      <w:r>
        <w:rPr>
          <w:rFonts w:hint="eastAsia" w:ascii="宋体" w:hAnsi="宋体" w:cs="宋体"/>
          <w:kern w:val="0"/>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4F29C201">
      <w:pPr>
        <w:pStyle w:val="8"/>
        <w:overflowPunct/>
        <w:spacing w:before="120" w:after="120" w:line="360" w:lineRule="exact"/>
        <w:ind w:firstLine="420" w:firstLineChars="200"/>
        <w:rPr>
          <w:rFonts w:ascii="宋体" w:hAnsi="宋体" w:cs="宋体"/>
          <w:b w:val="0"/>
          <w:sz w:val="21"/>
          <w:szCs w:val="21"/>
        </w:rPr>
      </w:pPr>
      <w:bookmarkStart w:id="391" w:name="_Toc351203566"/>
      <w:r>
        <w:rPr>
          <w:rFonts w:hint="eastAsia" w:ascii="宋体" w:hAnsi="宋体" w:cs="宋体"/>
          <w:b w:val="0"/>
          <w:sz w:val="21"/>
          <w:szCs w:val="21"/>
        </w:rPr>
        <w:t>9</w:t>
      </w:r>
      <w:bookmarkStart w:id="392" w:name="_Toc337558786"/>
      <w:r>
        <w:rPr>
          <w:rFonts w:hint="eastAsia" w:ascii="宋体" w:hAnsi="宋体" w:cs="宋体"/>
          <w:b w:val="0"/>
          <w:sz w:val="21"/>
          <w:szCs w:val="21"/>
        </w:rPr>
        <w:t>.4现场工艺试验</w:t>
      </w:r>
      <w:bookmarkEnd w:id="391"/>
    </w:p>
    <w:bookmarkEnd w:id="392"/>
    <w:p w14:paraId="4F6B204E">
      <w:pPr>
        <w:spacing w:line="360" w:lineRule="exact"/>
        <w:ind w:firstLine="420" w:firstLineChars="200"/>
        <w:jc w:val="left"/>
        <w:rPr>
          <w:rFonts w:ascii="宋体" w:hAnsi="宋体" w:cs="宋体"/>
          <w:kern w:val="0"/>
        </w:rPr>
      </w:pPr>
      <w:r>
        <w:rPr>
          <w:rFonts w:hint="eastAsia" w:ascii="宋体" w:hAnsi="宋体" w:cs="宋体"/>
          <w:kern w:val="0"/>
        </w:rPr>
        <w:t>承包人应按合同约定或监理人指示进行现场工艺试验。对大型的现场工艺试验，监理人认为必要时，承包人应根据监理人提出的工艺试验要求，编制工艺试验措施计划，报送监理人审查。</w:t>
      </w:r>
    </w:p>
    <w:p w14:paraId="539A915F">
      <w:pPr>
        <w:pStyle w:val="7"/>
        <w:spacing w:before="120" w:after="120" w:line="360" w:lineRule="exact"/>
        <w:rPr>
          <w:rFonts w:ascii="宋体" w:hAnsi="宋体" w:cs="宋体"/>
          <w:b w:val="0"/>
          <w:sz w:val="21"/>
          <w:szCs w:val="21"/>
        </w:rPr>
      </w:pPr>
      <w:bookmarkStart w:id="393" w:name="_Toc351203567"/>
      <w:r>
        <w:rPr>
          <w:rFonts w:hint="eastAsia" w:ascii="宋体" w:hAnsi="宋体" w:cs="宋体"/>
          <w:b w:val="0"/>
          <w:sz w:val="21"/>
          <w:szCs w:val="21"/>
        </w:rPr>
        <w:t>1</w:t>
      </w:r>
      <w:bookmarkStart w:id="394" w:name="_Toc337558787"/>
      <w:r>
        <w:rPr>
          <w:rFonts w:hint="eastAsia" w:ascii="宋体" w:hAnsi="宋体" w:cs="宋体"/>
          <w:b w:val="0"/>
          <w:sz w:val="21"/>
          <w:szCs w:val="21"/>
        </w:rPr>
        <w:t>0. 变更</w:t>
      </w:r>
      <w:bookmarkEnd w:id="383"/>
      <w:bookmarkEnd w:id="384"/>
      <w:bookmarkEnd w:id="393"/>
    </w:p>
    <w:bookmarkEnd w:id="394"/>
    <w:p w14:paraId="6F8C0F59">
      <w:pPr>
        <w:pStyle w:val="8"/>
        <w:overflowPunct/>
        <w:spacing w:before="120" w:after="120" w:line="360" w:lineRule="exact"/>
        <w:ind w:firstLine="420" w:firstLineChars="200"/>
        <w:rPr>
          <w:rFonts w:ascii="宋体" w:hAnsi="宋体" w:cs="宋体"/>
          <w:b w:val="0"/>
          <w:sz w:val="21"/>
          <w:szCs w:val="21"/>
        </w:rPr>
      </w:pPr>
      <w:bookmarkStart w:id="395" w:name="_Toc351203568"/>
      <w:r>
        <w:rPr>
          <w:rFonts w:hint="eastAsia" w:ascii="宋体" w:hAnsi="宋体" w:cs="宋体"/>
          <w:b w:val="0"/>
          <w:sz w:val="21"/>
          <w:szCs w:val="21"/>
        </w:rPr>
        <w:t>1</w:t>
      </w:r>
      <w:bookmarkStart w:id="396" w:name="_Toc296503084"/>
      <w:bookmarkStart w:id="397" w:name="_Toc296346585"/>
      <w:bookmarkStart w:id="398" w:name="_Toc337558788"/>
      <w:r>
        <w:rPr>
          <w:rFonts w:hint="eastAsia" w:ascii="宋体" w:hAnsi="宋体" w:cs="宋体"/>
          <w:b w:val="0"/>
          <w:sz w:val="21"/>
          <w:szCs w:val="21"/>
        </w:rPr>
        <w:t>0.1变更的范围</w:t>
      </w:r>
      <w:bookmarkEnd w:id="395"/>
    </w:p>
    <w:bookmarkEnd w:id="396"/>
    <w:bookmarkEnd w:id="397"/>
    <w:bookmarkEnd w:id="398"/>
    <w:p w14:paraId="3A6C1C7A">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除专用合同条款另有约定外，合同履行过程中发生以下情形的，应按照本条约定进行变更：</w:t>
      </w:r>
    </w:p>
    <w:p w14:paraId="4B0BD942">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（1）增加或减少合同中任何工作，或追加额外的工作；</w:t>
      </w:r>
    </w:p>
    <w:p w14:paraId="0E60C846">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（2）取消合同中任何工作，但转由他人实施的工作除外；</w:t>
      </w:r>
    </w:p>
    <w:p w14:paraId="4C5C5C80">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（3）改变合同中任何工作的质量标准或其他特性；</w:t>
      </w:r>
    </w:p>
    <w:p w14:paraId="5C6E639C">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（4）改变工程的基线、标高、位置和尺寸；</w:t>
      </w:r>
    </w:p>
    <w:p w14:paraId="652E2A90">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（5）改变工程的时间安排或实施顺序。</w:t>
      </w:r>
    </w:p>
    <w:p w14:paraId="2498C26D">
      <w:pPr>
        <w:pStyle w:val="8"/>
        <w:overflowPunct/>
        <w:spacing w:before="120" w:after="120" w:line="360" w:lineRule="exact"/>
        <w:ind w:firstLine="420" w:firstLineChars="200"/>
        <w:rPr>
          <w:rFonts w:ascii="宋体" w:hAnsi="宋体" w:cs="宋体"/>
          <w:b w:val="0"/>
          <w:sz w:val="21"/>
          <w:szCs w:val="21"/>
        </w:rPr>
      </w:pPr>
      <w:bookmarkStart w:id="399" w:name="_Toc351203569"/>
      <w:r>
        <w:rPr>
          <w:rFonts w:hint="eastAsia" w:ascii="宋体" w:hAnsi="宋体" w:cs="宋体"/>
          <w:b w:val="0"/>
          <w:sz w:val="21"/>
          <w:szCs w:val="21"/>
        </w:rPr>
        <w:t>1</w:t>
      </w:r>
      <w:bookmarkStart w:id="400" w:name="_Toc296503085"/>
      <w:bookmarkStart w:id="401" w:name="_Toc337558789"/>
      <w:bookmarkStart w:id="402" w:name="_Toc296346586"/>
      <w:r>
        <w:rPr>
          <w:rFonts w:hint="eastAsia" w:ascii="宋体" w:hAnsi="宋体" w:cs="宋体"/>
          <w:b w:val="0"/>
          <w:sz w:val="21"/>
          <w:szCs w:val="21"/>
        </w:rPr>
        <w:t>0.2变更权</w:t>
      </w:r>
      <w:bookmarkEnd w:id="399"/>
    </w:p>
    <w:bookmarkEnd w:id="400"/>
    <w:bookmarkEnd w:id="401"/>
    <w:bookmarkEnd w:id="402"/>
    <w:p w14:paraId="3E5B292C">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14:paraId="5788091B">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涉及设计变更的，应由设计人提供变更后的图纸和说明。如变更超过原设计标准或批准的建设规模时，发包人应及时办理规划、设计变更等审批手续。</w:t>
      </w:r>
    </w:p>
    <w:p w14:paraId="0274BB1D">
      <w:pPr>
        <w:pStyle w:val="8"/>
        <w:overflowPunct/>
        <w:spacing w:before="120" w:after="120" w:line="360" w:lineRule="exact"/>
        <w:ind w:firstLine="420" w:firstLineChars="200"/>
        <w:rPr>
          <w:rFonts w:ascii="宋体" w:hAnsi="宋体" w:cs="宋体"/>
          <w:b w:val="0"/>
          <w:sz w:val="21"/>
          <w:szCs w:val="21"/>
        </w:rPr>
      </w:pPr>
      <w:bookmarkStart w:id="403" w:name="_Toc351203570"/>
      <w:r>
        <w:rPr>
          <w:rFonts w:hint="eastAsia" w:ascii="宋体" w:hAnsi="宋体" w:cs="宋体"/>
          <w:b w:val="0"/>
          <w:sz w:val="21"/>
          <w:szCs w:val="21"/>
        </w:rPr>
        <w:t>1</w:t>
      </w:r>
      <w:bookmarkStart w:id="404" w:name="_Toc296346587"/>
      <w:bookmarkStart w:id="405" w:name="_Toc337558790"/>
      <w:bookmarkStart w:id="406" w:name="_Toc296503086"/>
      <w:r>
        <w:rPr>
          <w:rFonts w:hint="eastAsia" w:ascii="宋体" w:hAnsi="宋体" w:cs="宋体"/>
          <w:b w:val="0"/>
          <w:sz w:val="21"/>
          <w:szCs w:val="21"/>
        </w:rPr>
        <w:t>0.3变更程序</w:t>
      </w:r>
      <w:bookmarkEnd w:id="403"/>
    </w:p>
    <w:bookmarkEnd w:id="404"/>
    <w:bookmarkEnd w:id="405"/>
    <w:bookmarkEnd w:id="406"/>
    <w:p w14:paraId="7B93DAC6">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rPr>
        <w:t>10</w:t>
      </w:r>
      <w:r>
        <w:rPr>
          <w:rFonts w:hint="eastAsia" w:ascii="宋体" w:hAnsi="宋体" w:cs="宋体"/>
          <w:kern w:val="0"/>
        </w:rPr>
        <w:t>.3.1 发包人提出变更</w:t>
      </w:r>
    </w:p>
    <w:p w14:paraId="0B9D0C8D">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发包人提出变更的，应通过监理人向承包人发出变更指示，变更指示应说明计划变更的工程范围和变更的内容。</w:t>
      </w:r>
    </w:p>
    <w:p w14:paraId="20D10DFF">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rPr>
        <w:t>10</w:t>
      </w:r>
      <w:r>
        <w:rPr>
          <w:rFonts w:hint="eastAsia" w:ascii="宋体" w:hAnsi="宋体" w:cs="宋体"/>
          <w:kern w:val="0"/>
        </w:rPr>
        <w:t>.3.2 监理人提出变更建议</w:t>
      </w:r>
    </w:p>
    <w:p w14:paraId="48481460">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14:paraId="7AE64AD3">
      <w:pPr>
        <w:autoSpaceDE w:val="0"/>
        <w:autoSpaceDN w:val="0"/>
        <w:adjustRightInd w:val="0"/>
        <w:spacing w:line="360" w:lineRule="exact"/>
        <w:ind w:firstLine="420" w:firstLineChars="200"/>
        <w:jc w:val="left"/>
        <w:rPr>
          <w:rFonts w:ascii="宋体" w:hAnsi="宋体" w:cs="宋体"/>
        </w:rPr>
      </w:pPr>
      <w:r>
        <w:rPr>
          <w:rFonts w:hint="eastAsia" w:ascii="宋体" w:hAnsi="宋体" w:cs="宋体"/>
        </w:rPr>
        <w:t>10.3.3 变更执行</w:t>
      </w:r>
    </w:p>
    <w:p w14:paraId="72E2F43F">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14:paraId="7E4AF815">
      <w:pPr>
        <w:pStyle w:val="8"/>
        <w:overflowPunct/>
        <w:spacing w:before="120" w:after="120" w:line="360" w:lineRule="exact"/>
        <w:ind w:firstLine="420" w:firstLineChars="200"/>
        <w:rPr>
          <w:rFonts w:ascii="宋体" w:hAnsi="宋体" w:cs="宋体"/>
          <w:b w:val="0"/>
          <w:sz w:val="21"/>
          <w:szCs w:val="21"/>
        </w:rPr>
      </w:pPr>
      <w:bookmarkStart w:id="407" w:name="_Toc351203571"/>
      <w:r>
        <w:rPr>
          <w:rFonts w:hint="eastAsia" w:ascii="宋体" w:hAnsi="宋体" w:cs="宋体"/>
          <w:b w:val="0"/>
          <w:sz w:val="21"/>
          <w:szCs w:val="21"/>
        </w:rPr>
        <w:t>1</w:t>
      </w:r>
      <w:bookmarkStart w:id="408" w:name="_Toc296346588"/>
      <w:bookmarkStart w:id="409" w:name="_Toc337558791"/>
      <w:bookmarkStart w:id="410" w:name="_Toc296503087"/>
      <w:r>
        <w:rPr>
          <w:rFonts w:hint="eastAsia" w:ascii="宋体" w:hAnsi="宋体" w:cs="宋体"/>
          <w:b w:val="0"/>
          <w:sz w:val="21"/>
          <w:szCs w:val="21"/>
        </w:rPr>
        <w:t>0.4变更估价</w:t>
      </w:r>
      <w:bookmarkEnd w:id="407"/>
    </w:p>
    <w:bookmarkEnd w:id="408"/>
    <w:bookmarkEnd w:id="409"/>
    <w:bookmarkEnd w:id="410"/>
    <w:p w14:paraId="522B3202">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10.4.1 变更估价原则</w:t>
      </w:r>
    </w:p>
    <w:p w14:paraId="704BBB79">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除专用合同条款另有约定外，变更估价按照本款约定处理：</w:t>
      </w:r>
    </w:p>
    <w:p w14:paraId="12692094">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（1）已标价工程量清单或预算书有相同项目的，按照相同项目单价认定；</w:t>
      </w:r>
    </w:p>
    <w:p w14:paraId="7D054BBD">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（2）已标价工程量清单或预算书中无相同项目，但有类似项目的，参照类似项目的单价认定；</w:t>
      </w:r>
    </w:p>
    <w:p w14:paraId="20EF0B07">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p>
    <w:p w14:paraId="04E4958A">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10.4.2 变更估价程序</w:t>
      </w:r>
    </w:p>
    <w:p w14:paraId="5BB7E749">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14:paraId="3CD0D142">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因变更引起的价格调整应计入最近一期的进度款中支付。</w:t>
      </w:r>
    </w:p>
    <w:p w14:paraId="71D56FDC">
      <w:pPr>
        <w:pStyle w:val="8"/>
        <w:overflowPunct/>
        <w:spacing w:before="120" w:after="120" w:line="360" w:lineRule="exact"/>
        <w:ind w:firstLine="420" w:firstLineChars="200"/>
        <w:rPr>
          <w:rFonts w:ascii="宋体" w:hAnsi="宋体" w:cs="宋体"/>
          <w:b w:val="0"/>
          <w:sz w:val="21"/>
          <w:szCs w:val="21"/>
        </w:rPr>
      </w:pPr>
      <w:bookmarkStart w:id="411" w:name="_Toc351203572"/>
      <w:r>
        <w:rPr>
          <w:rFonts w:hint="eastAsia" w:ascii="宋体" w:hAnsi="宋体" w:cs="宋体"/>
          <w:b w:val="0"/>
          <w:sz w:val="21"/>
          <w:szCs w:val="21"/>
        </w:rPr>
        <w:t>1</w:t>
      </w:r>
      <w:bookmarkStart w:id="412" w:name="_Toc337558792"/>
      <w:bookmarkStart w:id="413" w:name="_Toc296503094"/>
      <w:bookmarkStart w:id="414" w:name="_Toc296346595"/>
      <w:r>
        <w:rPr>
          <w:rFonts w:hint="eastAsia" w:ascii="宋体" w:hAnsi="宋体" w:cs="宋体"/>
          <w:b w:val="0"/>
          <w:sz w:val="21"/>
          <w:szCs w:val="21"/>
        </w:rPr>
        <w:t>0.5承包人的合理化建议</w:t>
      </w:r>
      <w:bookmarkEnd w:id="411"/>
    </w:p>
    <w:bookmarkEnd w:id="412"/>
    <w:bookmarkEnd w:id="413"/>
    <w:bookmarkEnd w:id="414"/>
    <w:p w14:paraId="0C900225">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承包人提出合理化建议的，应向监理人提交合理化建议说明，说明建议的内容和理由，以及实施该建议对合同价格和工期的影响。</w:t>
      </w:r>
    </w:p>
    <w:p w14:paraId="3A7F0007">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14:paraId="3577F199">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合理化建议降低了合同价格或者提高了工程经济效益的，发包人可对承包人给予奖励，奖励的方法和金额在专用合同条款中约定。</w:t>
      </w:r>
    </w:p>
    <w:p w14:paraId="58F4D6E1">
      <w:pPr>
        <w:pStyle w:val="8"/>
        <w:overflowPunct/>
        <w:spacing w:before="120" w:after="120" w:line="360" w:lineRule="exact"/>
        <w:ind w:firstLine="420" w:firstLineChars="200"/>
        <w:rPr>
          <w:rFonts w:ascii="宋体" w:hAnsi="宋体" w:cs="宋体"/>
          <w:sz w:val="21"/>
          <w:szCs w:val="21"/>
        </w:rPr>
      </w:pPr>
      <w:bookmarkStart w:id="415" w:name="_Toc351203573"/>
      <w:r>
        <w:rPr>
          <w:rFonts w:hint="eastAsia" w:ascii="宋体" w:hAnsi="宋体" w:cs="宋体"/>
          <w:b w:val="0"/>
          <w:sz w:val="21"/>
          <w:szCs w:val="21"/>
        </w:rPr>
        <w:t>1</w:t>
      </w:r>
      <w:bookmarkStart w:id="416" w:name="_Toc337558793"/>
      <w:r>
        <w:rPr>
          <w:rFonts w:hint="eastAsia" w:ascii="宋体" w:hAnsi="宋体" w:cs="宋体"/>
          <w:b w:val="0"/>
          <w:sz w:val="21"/>
          <w:szCs w:val="21"/>
        </w:rPr>
        <w:t>0.6变更引起的工期调整</w:t>
      </w:r>
      <w:bookmarkEnd w:id="415"/>
      <w:r>
        <w:rPr>
          <w:rFonts w:hint="eastAsia" w:ascii="宋体" w:hAnsi="宋体" w:cs="宋体"/>
          <w:b w:val="0"/>
          <w:sz w:val="21"/>
          <w:szCs w:val="21"/>
        </w:rPr>
        <w:t xml:space="preserve"> </w:t>
      </w:r>
      <w:bookmarkEnd w:id="416"/>
      <w:r>
        <w:rPr>
          <w:rFonts w:hint="eastAsia" w:ascii="宋体" w:hAnsi="宋体" w:cs="宋体"/>
          <w:b w:val="0"/>
          <w:sz w:val="21"/>
          <w:szCs w:val="21"/>
        </w:rPr>
        <w:t xml:space="preserve"> </w:t>
      </w:r>
      <w:r>
        <w:rPr>
          <w:rFonts w:hint="eastAsia" w:ascii="宋体" w:hAnsi="宋体" w:cs="宋体"/>
          <w:sz w:val="21"/>
          <w:szCs w:val="21"/>
        </w:rPr>
        <w:t xml:space="preserve"> </w:t>
      </w:r>
    </w:p>
    <w:p w14:paraId="349BE785">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因变更引起工期变化的，合同当事人均可要求调整合同工期，由合同当事人按照第4.4款〔商定或确定〕并参考工程所在地的工期定额标准确定增减工期天数。</w:t>
      </w:r>
    </w:p>
    <w:p w14:paraId="1E0A9564">
      <w:pPr>
        <w:pStyle w:val="8"/>
        <w:overflowPunct/>
        <w:spacing w:before="120" w:after="120" w:line="360" w:lineRule="exact"/>
        <w:ind w:firstLine="420" w:firstLineChars="200"/>
        <w:rPr>
          <w:rFonts w:ascii="宋体" w:hAnsi="宋体" w:cs="宋体"/>
          <w:b w:val="0"/>
          <w:sz w:val="21"/>
          <w:szCs w:val="21"/>
        </w:rPr>
      </w:pPr>
      <w:bookmarkStart w:id="417" w:name="_Toc351203574"/>
      <w:r>
        <w:rPr>
          <w:rFonts w:hint="eastAsia" w:ascii="宋体" w:hAnsi="宋体" w:cs="宋体"/>
          <w:b w:val="0"/>
          <w:sz w:val="21"/>
          <w:szCs w:val="21"/>
        </w:rPr>
        <w:t>10.7暂估价</w:t>
      </w:r>
      <w:bookmarkEnd w:id="417"/>
    </w:p>
    <w:p w14:paraId="54D49A76">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暂估价专业分包工程、服务、材料和工程设备的明细由合同当事人在专用合同条款中约定。</w:t>
      </w:r>
    </w:p>
    <w:p w14:paraId="1FFF660E">
      <w:pPr>
        <w:spacing w:line="360" w:lineRule="exact"/>
        <w:ind w:firstLine="420" w:firstLineChars="200"/>
        <w:jc w:val="left"/>
        <w:rPr>
          <w:rFonts w:ascii="宋体" w:hAnsi="宋体" w:cs="宋体"/>
          <w:kern w:val="0"/>
        </w:rPr>
      </w:pPr>
      <w:r>
        <w:rPr>
          <w:rFonts w:hint="eastAsia" w:ascii="宋体" w:hAnsi="宋体" w:cs="宋体"/>
        </w:rPr>
        <w:t>10.7.1</w:t>
      </w:r>
      <w:r>
        <w:rPr>
          <w:rFonts w:hint="eastAsia" w:ascii="宋体" w:hAnsi="宋体" w:cs="宋体"/>
          <w:kern w:val="0"/>
        </w:rPr>
        <w:t xml:space="preserve"> 依法必须招标的暂估价项目</w:t>
      </w:r>
    </w:p>
    <w:p w14:paraId="2DCB8C68">
      <w:pPr>
        <w:spacing w:line="360" w:lineRule="exact"/>
        <w:ind w:firstLine="420" w:firstLineChars="200"/>
        <w:jc w:val="left"/>
        <w:rPr>
          <w:rFonts w:ascii="宋体" w:hAnsi="宋体" w:cs="宋体"/>
          <w:kern w:val="0"/>
        </w:rPr>
      </w:pPr>
      <w:r>
        <w:rPr>
          <w:rFonts w:hint="eastAsia" w:ascii="宋体" w:hAnsi="宋体" w:cs="宋体"/>
          <w:kern w:val="0"/>
        </w:rPr>
        <w:t>对于依法必须招标的暂估价项目，采取以下第1种方式确定。合同当事人也可以在专用合同条款中选择其他招标方式。</w:t>
      </w:r>
    </w:p>
    <w:p w14:paraId="5C9571E4">
      <w:pPr>
        <w:spacing w:line="360" w:lineRule="exact"/>
        <w:ind w:firstLine="420" w:firstLineChars="200"/>
        <w:jc w:val="left"/>
        <w:rPr>
          <w:rFonts w:ascii="宋体" w:hAnsi="宋体" w:cs="宋体"/>
          <w:kern w:val="0"/>
        </w:rPr>
      </w:pPr>
      <w:r>
        <w:rPr>
          <w:rFonts w:hint="eastAsia" w:ascii="宋体" w:hAnsi="宋体" w:cs="宋体"/>
          <w:kern w:val="0"/>
        </w:rPr>
        <w:t>第1种方式：对于依法必须招标的暂估价项目，由承包人招标，对该暂估价项目的确认和批准按照以下约定执行：</w:t>
      </w:r>
    </w:p>
    <w:p w14:paraId="7BBE1519">
      <w:pPr>
        <w:spacing w:line="360" w:lineRule="exact"/>
        <w:ind w:firstLine="420" w:firstLineChars="200"/>
        <w:jc w:val="left"/>
        <w:rPr>
          <w:rFonts w:ascii="宋体" w:hAnsi="宋体" w:cs="宋体"/>
          <w:kern w:val="0"/>
        </w:rPr>
      </w:pPr>
      <w:r>
        <w:rPr>
          <w:rFonts w:hint="eastAsia" w:ascii="宋体" w:hAnsi="宋体" w:cs="宋体"/>
          <w:kern w:val="0"/>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012C31C3">
      <w:pPr>
        <w:spacing w:line="360" w:lineRule="exact"/>
        <w:ind w:firstLine="420" w:firstLineChars="200"/>
        <w:jc w:val="left"/>
        <w:rPr>
          <w:rFonts w:ascii="宋体" w:hAnsi="宋体" w:cs="宋体"/>
          <w:kern w:val="0"/>
        </w:rPr>
      </w:pPr>
      <w:r>
        <w:rPr>
          <w:rFonts w:hint="eastAsia" w:ascii="宋体" w:hAnsi="宋体" w:cs="宋体"/>
          <w:kern w:val="0"/>
        </w:rPr>
        <w:t>（2）承包人应当根据施工进度计划，提前14天将招标文件通过监理人报送发包人审批，发包人应当在收到承包人报送的相关文件后7天内完成审批或提出修改意见；发包人有权确定招标控制价并按照法律规定参加评标；</w:t>
      </w:r>
    </w:p>
    <w:p w14:paraId="606153BE">
      <w:pPr>
        <w:spacing w:line="360" w:lineRule="exact"/>
        <w:jc w:val="left"/>
        <w:rPr>
          <w:rFonts w:ascii="宋体" w:hAnsi="宋体" w:cs="宋体"/>
          <w:kern w:val="0"/>
        </w:rPr>
      </w:pPr>
      <w:r>
        <w:rPr>
          <w:rFonts w:hint="eastAsia" w:ascii="宋体" w:hAnsi="宋体" w:cs="宋体"/>
          <w:kern w:val="0"/>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14:paraId="501761A8">
      <w:pPr>
        <w:spacing w:line="360" w:lineRule="exact"/>
        <w:ind w:firstLine="420" w:firstLineChars="200"/>
        <w:jc w:val="left"/>
        <w:rPr>
          <w:rFonts w:ascii="宋体" w:hAnsi="宋体" w:cs="宋体"/>
          <w:kern w:val="0"/>
        </w:rPr>
      </w:pPr>
      <w:r>
        <w:rPr>
          <w:rFonts w:hint="eastAsia" w:ascii="宋体" w:hAnsi="宋体" w:cs="宋体"/>
          <w:kern w:val="0"/>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083357EB">
      <w:pPr>
        <w:spacing w:line="360" w:lineRule="exact"/>
        <w:ind w:firstLine="420" w:firstLineChars="200"/>
        <w:jc w:val="left"/>
        <w:rPr>
          <w:rFonts w:ascii="宋体" w:hAnsi="宋体" w:cs="宋体"/>
          <w:kern w:val="0"/>
        </w:rPr>
      </w:pPr>
      <w:r>
        <w:rPr>
          <w:rFonts w:hint="eastAsia" w:ascii="宋体" w:hAnsi="宋体" w:cs="宋体"/>
        </w:rPr>
        <w:t>10.7.2</w:t>
      </w:r>
      <w:r>
        <w:rPr>
          <w:rFonts w:hint="eastAsia" w:ascii="宋体" w:hAnsi="宋体" w:cs="宋体"/>
          <w:kern w:val="0"/>
        </w:rPr>
        <w:t>不属于依法必须招标的暂估价项目</w:t>
      </w:r>
    </w:p>
    <w:p w14:paraId="250E64D3">
      <w:pPr>
        <w:spacing w:line="360" w:lineRule="exact"/>
        <w:ind w:firstLine="420" w:firstLineChars="200"/>
        <w:jc w:val="left"/>
        <w:rPr>
          <w:rFonts w:ascii="宋体" w:hAnsi="宋体" w:cs="宋体"/>
          <w:kern w:val="0"/>
        </w:rPr>
      </w:pPr>
      <w:r>
        <w:rPr>
          <w:rFonts w:hint="eastAsia" w:ascii="宋体" w:hAnsi="宋体" w:cs="宋体"/>
          <w:kern w:val="0"/>
        </w:rPr>
        <w:t xml:space="preserve">除专用合同条款另有约定外，对于不属于依法必须招标的暂估价项目，采取以下第1种方式确定： </w:t>
      </w:r>
    </w:p>
    <w:p w14:paraId="02859AE1">
      <w:pPr>
        <w:spacing w:line="360" w:lineRule="exact"/>
        <w:ind w:firstLine="420" w:firstLineChars="200"/>
        <w:jc w:val="left"/>
        <w:rPr>
          <w:rFonts w:ascii="宋体" w:hAnsi="宋体" w:cs="宋体"/>
          <w:kern w:val="0"/>
        </w:rPr>
      </w:pPr>
      <w:r>
        <w:rPr>
          <w:rFonts w:hint="eastAsia" w:ascii="宋体" w:hAnsi="宋体" w:cs="宋体"/>
          <w:kern w:val="0"/>
        </w:rPr>
        <w:t>第1种方式：对于不属于依法必须招标的暂估价项目，按本项约定确认和批准：</w:t>
      </w:r>
    </w:p>
    <w:p w14:paraId="1EE944B8">
      <w:pPr>
        <w:spacing w:line="360" w:lineRule="exact"/>
        <w:ind w:firstLine="420" w:firstLineChars="200"/>
        <w:jc w:val="left"/>
        <w:rPr>
          <w:rFonts w:ascii="宋体" w:hAnsi="宋体" w:cs="宋体"/>
          <w:kern w:val="0"/>
        </w:rPr>
      </w:pPr>
      <w:r>
        <w:rPr>
          <w:rFonts w:hint="eastAsia" w:ascii="宋体" w:hAnsi="宋体" w:cs="宋体"/>
          <w:kern w:val="0"/>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59ECD83C">
      <w:pPr>
        <w:spacing w:line="360" w:lineRule="exact"/>
        <w:ind w:firstLine="420" w:firstLineChars="200"/>
        <w:jc w:val="left"/>
        <w:rPr>
          <w:rFonts w:ascii="宋体" w:hAnsi="宋体" w:cs="宋体"/>
          <w:kern w:val="0"/>
        </w:rPr>
      </w:pPr>
      <w:r>
        <w:rPr>
          <w:rFonts w:hint="eastAsia" w:ascii="宋体" w:hAnsi="宋体" w:cs="宋体"/>
          <w:kern w:val="0"/>
        </w:rPr>
        <w:t>（2）发包人认为承包人确定的供应商、分包人无法满足工程质量或合同要求的，发包人可以要求承包人重新确定暂估价项目的供应商、分包人;</w:t>
      </w:r>
    </w:p>
    <w:p w14:paraId="393DD382">
      <w:pPr>
        <w:spacing w:line="360" w:lineRule="exact"/>
        <w:ind w:firstLine="420" w:firstLineChars="200"/>
        <w:jc w:val="left"/>
        <w:rPr>
          <w:rFonts w:ascii="宋体" w:hAnsi="宋体" w:cs="宋体"/>
          <w:kern w:val="0"/>
        </w:rPr>
      </w:pPr>
      <w:r>
        <w:rPr>
          <w:rFonts w:hint="eastAsia" w:ascii="宋体" w:hAnsi="宋体" w:cs="宋体"/>
          <w:kern w:val="0"/>
        </w:rPr>
        <w:t>（3）承包人应当在签订暂估价合同后7天内，将暂估价合同副本报送发包人留存。</w:t>
      </w:r>
    </w:p>
    <w:p w14:paraId="191E80D3">
      <w:pPr>
        <w:spacing w:line="360" w:lineRule="exact"/>
        <w:ind w:firstLine="420" w:firstLineChars="200"/>
        <w:jc w:val="left"/>
        <w:rPr>
          <w:rFonts w:ascii="宋体" w:hAnsi="宋体" w:cs="宋体"/>
          <w:kern w:val="0"/>
        </w:rPr>
      </w:pPr>
      <w:r>
        <w:rPr>
          <w:rFonts w:hint="eastAsia" w:ascii="宋体" w:hAnsi="宋体" w:cs="宋体"/>
          <w:kern w:val="0"/>
        </w:rPr>
        <w:t>第2种方式：承包人按照第10.7.1项〔依法必须招标的暂估价项目〕约定的第1种方式确定暂估价项目。</w:t>
      </w:r>
    </w:p>
    <w:p w14:paraId="0967F72C">
      <w:pPr>
        <w:spacing w:line="360" w:lineRule="exact"/>
        <w:ind w:firstLine="420" w:firstLineChars="200"/>
        <w:jc w:val="left"/>
        <w:rPr>
          <w:rFonts w:ascii="宋体" w:hAnsi="宋体" w:cs="宋体"/>
          <w:kern w:val="0"/>
        </w:rPr>
      </w:pPr>
      <w:r>
        <w:rPr>
          <w:rFonts w:hint="eastAsia" w:ascii="宋体" w:hAnsi="宋体" w:cs="宋体"/>
        </w:rPr>
        <w:t>第3种方式：</w:t>
      </w:r>
      <w:r>
        <w:rPr>
          <w:rFonts w:hint="eastAsia" w:ascii="宋体" w:hAnsi="宋体" w:cs="宋体"/>
          <w:kern w:val="0"/>
        </w:rPr>
        <w:t>承包人直接实施的暂估价项目</w:t>
      </w:r>
    </w:p>
    <w:p w14:paraId="02DB949A">
      <w:pPr>
        <w:spacing w:line="360" w:lineRule="exact"/>
        <w:ind w:firstLine="420" w:firstLineChars="200"/>
        <w:jc w:val="left"/>
        <w:rPr>
          <w:rFonts w:ascii="宋体" w:hAnsi="宋体" w:cs="宋体"/>
          <w:kern w:val="0"/>
        </w:rPr>
      </w:pPr>
      <w:r>
        <w:rPr>
          <w:rFonts w:hint="eastAsia" w:ascii="宋体" w:hAnsi="宋体" w:cs="宋体"/>
          <w:kern w:val="0"/>
        </w:rPr>
        <w:t>承包人具备实施暂估价项目的资格和条件的，经发包人和承包人协商一致后，可由承包人自行实施暂估价项目，合同当事人可以在专用合同条款约定具体事项。</w:t>
      </w:r>
    </w:p>
    <w:p w14:paraId="0CF525FA">
      <w:pPr>
        <w:spacing w:line="360" w:lineRule="exact"/>
        <w:ind w:firstLine="420" w:firstLineChars="200"/>
        <w:jc w:val="left"/>
        <w:rPr>
          <w:rFonts w:ascii="宋体" w:hAnsi="宋体" w:cs="宋体"/>
          <w:kern w:val="0"/>
        </w:rPr>
      </w:pPr>
      <w:r>
        <w:rPr>
          <w:rFonts w:hint="eastAsia" w:ascii="宋体" w:hAnsi="宋体" w:cs="宋体"/>
          <w:kern w:val="0"/>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6C6E2E18">
      <w:pPr>
        <w:pStyle w:val="8"/>
        <w:overflowPunct/>
        <w:spacing w:before="120" w:after="120" w:line="360" w:lineRule="exact"/>
        <w:ind w:firstLine="420" w:firstLineChars="200"/>
        <w:rPr>
          <w:rFonts w:ascii="宋体" w:hAnsi="宋体" w:cs="宋体"/>
          <w:b w:val="0"/>
          <w:sz w:val="21"/>
          <w:szCs w:val="21"/>
        </w:rPr>
      </w:pPr>
      <w:bookmarkStart w:id="418" w:name="_Toc351203575"/>
      <w:r>
        <w:rPr>
          <w:rFonts w:hint="eastAsia" w:ascii="宋体" w:hAnsi="宋体" w:cs="宋体"/>
          <w:b w:val="0"/>
          <w:sz w:val="21"/>
          <w:szCs w:val="21"/>
        </w:rPr>
        <w:t>1</w:t>
      </w:r>
      <w:bookmarkStart w:id="419" w:name="_Toc337558794"/>
      <w:bookmarkStart w:id="420" w:name="_Toc322522561"/>
      <w:bookmarkStart w:id="421" w:name="_Toc296503090"/>
      <w:bookmarkStart w:id="422" w:name="_Toc296346591"/>
      <w:r>
        <w:rPr>
          <w:rFonts w:hint="eastAsia" w:ascii="宋体" w:hAnsi="宋体" w:cs="宋体"/>
          <w:b w:val="0"/>
          <w:sz w:val="21"/>
          <w:szCs w:val="21"/>
        </w:rPr>
        <w:t>0.8暂列金额</w:t>
      </w:r>
      <w:bookmarkEnd w:id="418"/>
    </w:p>
    <w:bookmarkEnd w:id="419"/>
    <w:p w14:paraId="1C9E34F1">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暂列金额应按照发包人的要求使用，发包人的要求应通过监理人发出。合同当事人可以在专用合同条款中协商确定有关事项。</w:t>
      </w:r>
    </w:p>
    <w:bookmarkEnd w:id="420"/>
    <w:bookmarkEnd w:id="421"/>
    <w:bookmarkEnd w:id="422"/>
    <w:p w14:paraId="51A43B99">
      <w:pPr>
        <w:pStyle w:val="8"/>
        <w:overflowPunct/>
        <w:spacing w:before="120" w:after="120" w:line="360" w:lineRule="exact"/>
        <w:ind w:firstLine="420" w:firstLineChars="200"/>
        <w:rPr>
          <w:rFonts w:ascii="宋体" w:hAnsi="宋体" w:cs="宋体"/>
          <w:b w:val="0"/>
          <w:sz w:val="21"/>
          <w:szCs w:val="21"/>
        </w:rPr>
      </w:pPr>
      <w:bookmarkStart w:id="423" w:name="_Toc351203576"/>
      <w:r>
        <w:rPr>
          <w:rFonts w:hint="eastAsia" w:ascii="宋体" w:hAnsi="宋体" w:cs="宋体"/>
          <w:b w:val="0"/>
          <w:sz w:val="21"/>
          <w:szCs w:val="21"/>
        </w:rPr>
        <w:t>1</w:t>
      </w:r>
      <w:bookmarkStart w:id="424" w:name="_Toc337558796"/>
      <w:bookmarkStart w:id="425" w:name="_Toc296503091"/>
      <w:bookmarkStart w:id="426" w:name="_Toc296346592"/>
      <w:r>
        <w:rPr>
          <w:rFonts w:hint="eastAsia" w:ascii="宋体" w:hAnsi="宋体" w:cs="宋体"/>
          <w:b w:val="0"/>
          <w:sz w:val="21"/>
          <w:szCs w:val="21"/>
        </w:rPr>
        <w:t>0.9计日工</w:t>
      </w:r>
      <w:bookmarkEnd w:id="423"/>
      <w:r>
        <w:rPr>
          <w:rFonts w:hint="eastAsia" w:ascii="宋体" w:hAnsi="宋体" w:cs="宋体"/>
          <w:b w:val="0"/>
          <w:sz w:val="21"/>
          <w:szCs w:val="21"/>
        </w:rPr>
        <w:t xml:space="preserve"> </w:t>
      </w:r>
      <w:bookmarkEnd w:id="424"/>
      <w:bookmarkEnd w:id="425"/>
      <w:bookmarkEnd w:id="426"/>
    </w:p>
    <w:p w14:paraId="5D2A2DD0">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p>
    <w:p w14:paraId="4758A221">
      <w:pPr>
        <w:spacing w:line="360" w:lineRule="exact"/>
        <w:ind w:firstLine="420" w:firstLineChars="200"/>
        <w:jc w:val="left"/>
        <w:rPr>
          <w:rFonts w:ascii="宋体" w:hAnsi="宋体" w:cs="宋体"/>
          <w:kern w:val="0"/>
        </w:rPr>
      </w:pPr>
      <w:r>
        <w:rPr>
          <w:rFonts w:hint="eastAsia" w:ascii="宋体" w:hAnsi="宋体" w:cs="宋体"/>
          <w:kern w:val="0"/>
        </w:rPr>
        <w:t>采用计日工计价的任何一项工作，承包人应在该项工作实施过程中，每天提交以下报表和有关凭证报送监理人审查：</w:t>
      </w:r>
    </w:p>
    <w:p w14:paraId="4DDF072E">
      <w:pPr>
        <w:spacing w:line="360" w:lineRule="exact"/>
        <w:ind w:firstLine="315" w:firstLineChars="150"/>
        <w:jc w:val="left"/>
        <w:rPr>
          <w:rFonts w:ascii="宋体" w:hAnsi="宋体" w:cs="宋体"/>
          <w:kern w:val="0"/>
        </w:rPr>
      </w:pPr>
      <w:r>
        <w:rPr>
          <w:rFonts w:hint="eastAsia" w:ascii="宋体" w:hAnsi="宋体" w:cs="宋体"/>
          <w:kern w:val="0"/>
        </w:rPr>
        <w:t>（1）工作名称、内容和数量；</w:t>
      </w:r>
    </w:p>
    <w:p w14:paraId="33F9631D">
      <w:pPr>
        <w:spacing w:line="360" w:lineRule="exact"/>
        <w:ind w:firstLine="315" w:firstLineChars="150"/>
        <w:jc w:val="left"/>
        <w:rPr>
          <w:rFonts w:ascii="宋体" w:hAnsi="宋体" w:cs="宋体"/>
          <w:kern w:val="0"/>
        </w:rPr>
      </w:pPr>
      <w:r>
        <w:rPr>
          <w:rFonts w:hint="eastAsia" w:ascii="宋体" w:hAnsi="宋体" w:cs="宋体"/>
          <w:kern w:val="0"/>
        </w:rPr>
        <w:t>（2）投入该工作的所有人员的姓名、专业、工种、级别和耗用工时；</w:t>
      </w:r>
    </w:p>
    <w:p w14:paraId="6840D894">
      <w:pPr>
        <w:spacing w:line="360" w:lineRule="exact"/>
        <w:ind w:firstLine="315" w:firstLineChars="150"/>
        <w:jc w:val="left"/>
        <w:rPr>
          <w:rFonts w:ascii="宋体" w:hAnsi="宋体" w:cs="宋体"/>
          <w:kern w:val="0"/>
        </w:rPr>
      </w:pPr>
      <w:r>
        <w:rPr>
          <w:rFonts w:hint="eastAsia" w:ascii="宋体" w:hAnsi="宋体" w:cs="宋体"/>
          <w:kern w:val="0"/>
        </w:rPr>
        <w:t>（3）投入该工作的材料类别和数量；</w:t>
      </w:r>
    </w:p>
    <w:p w14:paraId="3635E5C0">
      <w:pPr>
        <w:spacing w:line="360" w:lineRule="exact"/>
        <w:ind w:firstLine="315" w:firstLineChars="150"/>
        <w:jc w:val="left"/>
        <w:rPr>
          <w:rFonts w:ascii="宋体" w:hAnsi="宋体" w:cs="宋体"/>
          <w:kern w:val="0"/>
        </w:rPr>
      </w:pPr>
      <w:r>
        <w:rPr>
          <w:rFonts w:hint="eastAsia" w:ascii="宋体" w:hAnsi="宋体" w:cs="宋体"/>
          <w:kern w:val="0"/>
        </w:rPr>
        <w:t>（4）投入该工作的施工设备型号、台数和耗用台时；</w:t>
      </w:r>
    </w:p>
    <w:p w14:paraId="4C82746B">
      <w:pPr>
        <w:spacing w:line="360" w:lineRule="exact"/>
        <w:ind w:firstLine="315" w:firstLineChars="150"/>
        <w:jc w:val="left"/>
        <w:rPr>
          <w:rFonts w:ascii="宋体" w:hAnsi="宋体" w:cs="宋体"/>
          <w:kern w:val="0"/>
        </w:rPr>
      </w:pPr>
      <w:r>
        <w:rPr>
          <w:rFonts w:hint="eastAsia" w:ascii="宋体" w:hAnsi="宋体" w:cs="宋体"/>
          <w:kern w:val="0"/>
        </w:rPr>
        <w:t>（5）其他有关资料和凭证。</w:t>
      </w:r>
    </w:p>
    <w:p w14:paraId="0C8B9773">
      <w:pPr>
        <w:spacing w:line="360" w:lineRule="exact"/>
        <w:ind w:firstLine="315" w:firstLineChars="150"/>
        <w:jc w:val="left"/>
        <w:rPr>
          <w:rFonts w:ascii="宋体" w:hAnsi="宋体" w:cs="宋体"/>
          <w:kern w:val="0"/>
        </w:rPr>
      </w:pPr>
      <w:r>
        <w:rPr>
          <w:rFonts w:hint="eastAsia" w:ascii="宋体" w:hAnsi="宋体" w:cs="宋体"/>
          <w:kern w:val="0"/>
        </w:rPr>
        <w:t xml:space="preserve"> 计日工由承包人汇总后，列入最近一期进度付款申请单，由监理人审查并经发包人批准后列入进度付款。</w:t>
      </w:r>
    </w:p>
    <w:p w14:paraId="4CC85DBF">
      <w:pPr>
        <w:pStyle w:val="7"/>
        <w:spacing w:before="120" w:after="120" w:line="360" w:lineRule="exact"/>
        <w:rPr>
          <w:rFonts w:ascii="宋体" w:hAnsi="宋体" w:cs="宋体"/>
          <w:b w:val="0"/>
          <w:sz w:val="21"/>
          <w:szCs w:val="21"/>
        </w:rPr>
      </w:pPr>
      <w:bookmarkStart w:id="427" w:name="_Toc351203577"/>
      <w:r>
        <w:rPr>
          <w:rFonts w:hint="eastAsia" w:ascii="宋体" w:hAnsi="宋体" w:cs="宋体"/>
          <w:b w:val="0"/>
          <w:sz w:val="21"/>
          <w:szCs w:val="21"/>
        </w:rPr>
        <w:t>11. 价格调整</w:t>
      </w:r>
      <w:bookmarkEnd w:id="427"/>
    </w:p>
    <w:p w14:paraId="7DCAD3C0">
      <w:pPr>
        <w:pStyle w:val="8"/>
        <w:overflowPunct/>
        <w:spacing w:before="120" w:after="120" w:line="360" w:lineRule="exact"/>
        <w:ind w:firstLine="420" w:firstLineChars="200"/>
        <w:rPr>
          <w:rFonts w:ascii="宋体" w:hAnsi="宋体" w:cs="宋体"/>
          <w:b w:val="0"/>
          <w:sz w:val="21"/>
          <w:szCs w:val="21"/>
        </w:rPr>
      </w:pPr>
      <w:bookmarkStart w:id="428" w:name="_Toc351203578"/>
      <w:bookmarkStart w:id="429" w:name="_Toc296346593"/>
      <w:bookmarkStart w:id="430" w:name="_Toc296503092"/>
      <w:bookmarkStart w:id="431" w:name="_Toc337558797"/>
      <w:r>
        <w:rPr>
          <w:rFonts w:hint="eastAsia" w:ascii="宋体" w:hAnsi="宋体" w:cs="宋体"/>
          <w:b w:val="0"/>
          <w:sz w:val="21"/>
          <w:szCs w:val="21"/>
        </w:rPr>
        <w:t>11.1市场价格波动引起的调整</w:t>
      </w:r>
      <w:bookmarkEnd w:id="428"/>
    </w:p>
    <w:bookmarkEnd w:id="429"/>
    <w:bookmarkEnd w:id="430"/>
    <w:bookmarkEnd w:id="431"/>
    <w:p w14:paraId="22575EB3">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除专用合同条款另有约定外，市场价格波动超过合同当事人约定的范围，合同价格应当调整。合同当事人可以在专用合同条款中约定选择以下一种方式对合同价格进行调整：</w:t>
      </w:r>
    </w:p>
    <w:p w14:paraId="0A37C65F">
      <w:pPr>
        <w:spacing w:line="360" w:lineRule="exact"/>
        <w:ind w:firstLine="420" w:firstLineChars="200"/>
        <w:rPr>
          <w:rFonts w:ascii="宋体" w:hAnsi="宋体" w:cs="宋体"/>
        </w:rPr>
      </w:pPr>
      <w:r>
        <w:rPr>
          <w:rFonts w:hint="eastAsia" w:ascii="宋体" w:hAnsi="宋体" w:cs="宋体"/>
        </w:rPr>
        <w:t>第1种方式：采用价格指数进行价格调整。</w:t>
      </w:r>
    </w:p>
    <w:p w14:paraId="28DD20B7">
      <w:pPr>
        <w:tabs>
          <w:tab w:val="left" w:pos="0"/>
          <w:tab w:val="left" w:pos="360"/>
          <w:tab w:val="left" w:pos="540"/>
        </w:tabs>
        <w:spacing w:line="360" w:lineRule="exact"/>
        <w:ind w:firstLine="420" w:firstLineChars="200"/>
        <w:rPr>
          <w:rFonts w:ascii="宋体" w:hAnsi="宋体" w:cs="宋体"/>
        </w:rPr>
      </w:pPr>
      <w:r>
        <w:rPr>
          <w:rFonts w:hint="eastAsia" w:ascii="宋体" w:hAnsi="宋体" w:cs="宋体"/>
        </w:rPr>
        <w:t>（1）价格调整公式</w:t>
      </w:r>
    </w:p>
    <w:p w14:paraId="481DFCCD">
      <w:pPr>
        <w:tabs>
          <w:tab w:val="left" w:pos="0"/>
          <w:tab w:val="left" w:pos="360"/>
          <w:tab w:val="left" w:pos="540"/>
        </w:tabs>
        <w:spacing w:line="360" w:lineRule="exact"/>
        <w:ind w:firstLine="420" w:firstLineChars="200"/>
        <w:rPr>
          <w:rFonts w:ascii="宋体" w:hAnsi="宋体" w:cs="宋体"/>
        </w:rPr>
      </w:pPr>
      <w:r>
        <w:rPr>
          <w:rFonts w:hint="eastAsia" w:ascii="宋体" w:hAnsi="宋体" w:cs="宋体"/>
        </w:rPr>
        <w:t>因人工、材料和设备等价格波动影响合同价格时，根据专用合同条款中约定的数据，按以下公式计算差额并调整合同价格：</w:t>
      </w:r>
    </w:p>
    <w:p w14:paraId="0E15494F">
      <w:pPr>
        <w:tabs>
          <w:tab w:val="left" w:pos="0"/>
          <w:tab w:val="left" w:pos="360"/>
          <w:tab w:val="left" w:pos="540"/>
        </w:tabs>
        <w:spacing w:line="500" w:lineRule="exact"/>
        <w:ind w:firstLine="420" w:firstLineChars="200"/>
        <w:rPr>
          <w:rFonts w:ascii="宋体" w:hAnsi="宋体" w:cs="宋体"/>
        </w:rPr>
      </w:pPr>
      <w:r>
        <w:rPr>
          <w:rFonts w:hint="eastAsia" w:ascii="宋体" w:hAnsi="宋体" w:cs="宋体"/>
          <w:position w:val="-30"/>
        </w:rPr>
        <w:object>
          <v:shape id="_x0000_i1025" o:spt="75" type="#_x0000_t75" style="height:43.85pt;width:360pt;" o:ole="t" filled="f" o:preferrelative="t" stroked="f" coordsize="21600,21600">
            <v:path/>
            <v:fill on="f" focussize="0,0"/>
            <v:stroke on="f" joinstyle="miter"/>
            <v:imagedata r:id="rId12" o:title=""/>
            <o:lock v:ext="edit" aspectratio="t"/>
            <w10:wrap type="none"/>
            <w10:anchorlock/>
          </v:shape>
          <o:OLEObject Type="Embed" ProgID="Equation.3" ShapeID="_x0000_i1025" DrawAspect="Content" ObjectID="_1468075725" r:id="rId11">
            <o:LockedField>false</o:LockedField>
          </o:OLEObject>
        </w:object>
      </w:r>
    </w:p>
    <w:p w14:paraId="44763AA3">
      <w:pPr>
        <w:tabs>
          <w:tab w:val="left" w:pos="0"/>
          <w:tab w:val="left" w:pos="360"/>
          <w:tab w:val="left" w:pos="540"/>
        </w:tabs>
        <w:spacing w:line="500" w:lineRule="exact"/>
        <w:ind w:firstLine="640"/>
        <w:rPr>
          <w:rFonts w:ascii="宋体" w:hAnsi="宋体" w:cs="宋体"/>
        </w:rPr>
      </w:pPr>
      <w:r>
        <w:rPr>
          <w:rFonts w:hint="eastAsia" w:ascii="宋体" w:hAnsi="宋体" w:cs="宋体"/>
        </w:rPr>
        <w:t>公式中：ΔP——需调整的价格差额；</w:t>
      </w:r>
    </w:p>
    <w:p w14:paraId="44A0D7D1">
      <w:pPr>
        <w:tabs>
          <w:tab w:val="left" w:pos="0"/>
          <w:tab w:val="left" w:pos="360"/>
          <w:tab w:val="left" w:pos="540"/>
        </w:tabs>
        <w:spacing w:line="500" w:lineRule="exact"/>
        <w:ind w:firstLine="1260" w:firstLineChars="600"/>
        <w:rPr>
          <w:rFonts w:ascii="宋体" w:hAnsi="宋体" w:cs="宋体"/>
        </w:rPr>
      </w:pPr>
      <w:r>
        <w:rPr>
          <w:rFonts w:hint="eastAsia" w:ascii="宋体" w:hAnsi="宋体" w:cs="宋体"/>
          <w:position w:val="-6"/>
        </w:rPr>
        <w:object>
          <v:shape id="_x0000_i1026" o:spt="75" type="#_x0000_t75" style="height:18.15pt;width:18.15pt;" o:ole="t" filled="f" o:preferrelative="t" stroked="f" coordsize="21600,21600">
            <v:path/>
            <v:fill on="f" focussize="0,0"/>
            <v:stroke on="f" joinstyle="miter"/>
            <v:imagedata r:id="rId14" o:title=""/>
            <o:lock v:ext="edit" aspectratio="t"/>
            <w10:wrap type="none"/>
            <w10:anchorlock/>
          </v:shape>
          <o:OLEObject Type="Embed" ProgID="Equation.3" ShapeID="_x0000_i1026" DrawAspect="Content" ObjectID="_1468075726" r:id="rId13">
            <o:LockedField>false</o:LockedField>
          </o:OLEObject>
        </w:object>
      </w:r>
      <w:r>
        <w:rPr>
          <w:rFonts w:hint="eastAsia" w:ascii="宋体" w:hAnsi="宋体" w:cs="宋体"/>
        </w:rPr>
        <w:t>——约定的付款证书中承包人应得到的已完成工程量的金额。此项金额应不包括价格调整、不计质量保证金的扣留和支付、预付款的支付和扣回。约定的变更及其他金额已按现行价格计价的，也不计在内；</w:t>
      </w:r>
    </w:p>
    <w:p w14:paraId="4C306417">
      <w:pPr>
        <w:tabs>
          <w:tab w:val="left" w:pos="0"/>
          <w:tab w:val="left" w:pos="360"/>
          <w:tab w:val="left" w:pos="540"/>
        </w:tabs>
        <w:spacing w:line="500" w:lineRule="exact"/>
        <w:ind w:firstLine="420" w:firstLineChars="200"/>
        <w:rPr>
          <w:rFonts w:ascii="宋体" w:hAnsi="宋体" w:cs="宋体"/>
        </w:rPr>
      </w:pPr>
      <w:r>
        <w:rPr>
          <w:rFonts w:hint="eastAsia" w:ascii="宋体" w:hAnsi="宋体" w:cs="宋体"/>
        </w:rPr>
        <w:t>A——定值权重（即不调部分的权重）；</w:t>
      </w:r>
    </w:p>
    <w:p w14:paraId="64375CBE">
      <w:pPr>
        <w:tabs>
          <w:tab w:val="left" w:pos="0"/>
          <w:tab w:val="left" w:pos="360"/>
          <w:tab w:val="left" w:pos="540"/>
        </w:tabs>
        <w:spacing w:line="500" w:lineRule="exact"/>
        <w:ind w:firstLine="420" w:firstLineChars="200"/>
        <w:rPr>
          <w:rFonts w:ascii="宋体" w:hAnsi="宋体" w:cs="宋体"/>
        </w:rPr>
      </w:pPr>
      <w:r>
        <w:rPr>
          <w:rFonts w:hint="eastAsia" w:ascii="宋体" w:hAnsi="宋体" w:cs="宋体"/>
          <w:position w:val="-10"/>
        </w:rPr>
        <w:object>
          <v:shape id="_x0000_i1027" o:spt="75" type="#_x0000_t75" style="height:20.65pt;width:100.85pt;" o:ole="t" filled="f" o:preferrelative="t" stroked="f" coordsize="21600,21600">
            <v:path/>
            <v:fill on="f" focussize="0,0"/>
            <v:stroke on="f" joinstyle="miter"/>
            <v:imagedata r:id="rId16" o:title=""/>
            <o:lock v:ext="edit" aspectratio="t"/>
            <w10:wrap type="none"/>
            <w10:anchorlock/>
          </v:shape>
          <o:OLEObject Type="Embed" ProgID="Equation.3" ShapeID="_x0000_i1027" DrawAspect="Content" ObjectID="_1468075727" r:id="rId15">
            <o:LockedField>false</o:LockedField>
          </o:OLEObject>
        </w:object>
      </w:r>
      <w:r>
        <w:rPr>
          <w:rFonts w:hint="eastAsia" w:ascii="宋体" w:hAnsi="宋体" w:cs="宋体"/>
        </w:rPr>
        <w:t>——各可调因子的变值权重（即可调部分的权重），为各可调因子在签约合同价中所占的比例；</w:t>
      </w:r>
    </w:p>
    <w:p w14:paraId="54B50DD3">
      <w:pPr>
        <w:tabs>
          <w:tab w:val="left" w:pos="0"/>
          <w:tab w:val="left" w:pos="360"/>
          <w:tab w:val="left" w:pos="540"/>
        </w:tabs>
        <w:spacing w:line="500" w:lineRule="exact"/>
        <w:ind w:firstLine="420" w:firstLineChars="200"/>
        <w:rPr>
          <w:rFonts w:ascii="宋体" w:hAnsi="宋体" w:cs="宋体"/>
        </w:rPr>
      </w:pPr>
      <w:r>
        <w:rPr>
          <w:rFonts w:hint="eastAsia" w:ascii="宋体" w:hAnsi="宋体" w:cs="宋体"/>
          <w:position w:val="-10"/>
        </w:rPr>
        <w:object>
          <v:shape id="_x0000_i1028" o:spt="75" type="#_x0000_t75" style="height:20.65pt;width:102pt;" o:ole="t" filled="f" o:preferrelative="t" stroked="f" coordsize="21600,21600">
            <v:path/>
            <v:fill on="f" focussize="0,0"/>
            <v:stroke on="f" joinstyle="miter"/>
            <v:imagedata r:id="rId18" o:title=""/>
            <o:lock v:ext="edit" aspectratio="t"/>
            <w10:wrap type="none"/>
            <w10:anchorlock/>
          </v:shape>
          <o:OLEObject Type="Embed" ProgID="Equation.3" ShapeID="_x0000_i1028" DrawAspect="Content" ObjectID="_1468075728" r:id="rId17">
            <o:LockedField>false</o:LockedField>
          </o:OLEObject>
        </w:object>
      </w:r>
      <w:r>
        <w:rPr>
          <w:rFonts w:hint="eastAsia" w:ascii="宋体" w:hAnsi="宋体" w:cs="宋体"/>
        </w:rPr>
        <w:t>——各可调因子的现行价格指数，指约定的付款证书相关周期最后一天的前42天的各可调因子的价格指数；</w:t>
      </w:r>
    </w:p>
    <w:p w14:paraId="3ABAA22B">
      <w:pPr>
        <w:tabs>
          <w:tab w:val="left" w:pos="0"/>
          <w:tab w:val="left" w:pos="360"/>
          <w:tab w:val="left" w:pos="540"/>
        </w:tabs>
        <w:spacing w:line="500" w:lineRule="exact"/>
        <w:ind w:firstLine="420" w:firstLineChars="200"/>
        <w:rPr>
          <w:rFonts w:ascii="宋体" w:hAnsi="宋体" w:cs="宋体"/>
        </w:rPr>
      </w:pPr>
      <w:r>
        <w:rPr>
          <w:rFonts w:hint="eastAsia" w:ascii="宋体" w:hAnsi="宋体" w:cs="宋体"/>
          <w:position w:val="-10"/>
        </w:rPr>
        <w:object>
          <v:shape id="_x0000_i1029" o:spt="75" type="#_x0000_t75" style="height:20.65pt;width:108.3pt;" o:ole="t" filled="f" o:preferrelative="t" stroked="f" coordsize="21600,21600">
            <v:path/>
            <v:fill on="f" focussize="0,0"/>
            <v:stroke on="f" joinstyle="miter"/>
            <v:imagedata r:id="rId20" o:title=""/>
            <o:lock v:ext="edit" aspectratio="t"/>
            <w10:wrap type="none"/>
            <w10:anchorlock/>
          </v:shape>
          <o:OLEObject Type="Embed" ProgID="Equation.3" ShapeID="_x0000_i1029" DrawAspect="Content" ObjectID="_1468075729" r:id="rId19">
            <o:LockedField>false</o:LockedField>
          </o:OLEObject>
        </w:object>
      </w:r>
      <w:r>
        <w:rPr>
          <w:rFonts w:hint="eastAsia" w:ascii="宋体" w:hAnsi="宋体" w:cs="宋体"/>
        </w:rPr>
        <w:t>——各可调因子的基本价格指数，指基准日期的各可调因子的价格指数。</w:t>
      </w:r>
    </w:p>
    <w:p w14:paraId="31824C50">
      <w:pPr>
        <w:tabs>
          <w:tab w:val="left" w:pos="0"/>
          <w:tab w:val="left" w:pos="360"/>
          <w:tab w:val="left" w:pos="540"/>
        </w:tabs>
        <w:spacing w:line="360" w:lineRule="exact"/>
        <w:ind w:firstLine="420" w:firstLineChars="200"/>
        <w:rPr>
          <w:rFonts w:ascii="宋体" w:hAnsi="宋体" w:cs="宋体"/>
        </w:rPr>
      </w:pPr>
      <w:r>
        <w:rPr>
          <w:rFonts w:hint="eastAsia" w:ascii="宋体" w:hAnsi="宋体" w:cs="宋体"/>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14:paraId="004B3A55">
      <w:pPr>
        <w:tabs>
          <w:tab w:val="left" w:pos="0"/>
          <w:tab w:val="left" w:pos="360"/>
          <w:tab w:val="left" w:pos="540"/>
        </w:tabs>
        <w:spacing w:line="360" w:lineRule="exact"/>
        <w:ind w:firstLine="420" w:firstLineChars="200"/>
        <w:rPr>
          <w:rFonts w:ascii="宋体" w:hAnsi="宋体" w:cs="宋体"/>
        </w:rPr>
      </w:pPr>
      <w:r>
        <w:rPr>
          <w:rFonts w:hint="eastAsia" w:ascii="宋体" w:hAnsi="宋体" w:cs="宋体"/>
        </w:rPr>
        <w:t>（2）暂时确定调整差额</w:t>
      </w:r>
    </w:p>
    <w:p w14:paraId="2CA6133C">
      <w:pPr>
        <w:tabs>
          <w:tab w:val="left" w:pos="0"/>
          <w:tab w:val="left" w:pos="360"/>
          <w:tab w:val="left" w:pos="540"/>
        </w:tabs>
        <w:spacing w:line="360" w:lineRule="exact"/>
        <w:ind w:firstLine="420" w:firstLineChars="200"/>
        <w:rPr>
          <w:rFonts w:ascii="宋体" w:hAnsi="宋体" w:cs="宋体"/>
        </w:rPr>
      </w:pPr>
      <w:r>
        <w:rPr>
          <w:rFonts w:hint="eastAsia" w:ascii="宋体" w:hAnsi="宋体" w:cs="宋体"/>
        </w:rPr>
        <w:t>在计算调整差额时无现行价格指数的，合同当事人同意暂用前次价格指数计算。实际价格指数有调整的，合同当事人进行相应调整。</w:t>
      </w:r>
    </w:p>
    <w:p w14:paraId="22F810FA">
      <w:pPr>
        <w:tabs>
          <w:tab w:val="left" w:pos="0"/>
          <w:tab w:val="left" w:pos="360"/>
          <w:tab w:val="left" w:pos="540"/>
        </w:tabs>
        <w:spacing w:line="360" w:lineRule="exact"/>
        <w:ind w:firstLine="420" w:firstLineChars="200"/>
        <w:rPr>
          <w:rFonts w:ascii="宋体" w:hAnsi="宋体" w:cs="宋体"/>
        </w:rPr>
      </w:pPr>
      <w:r>
        <w:rPr>
          <w:rFonts w:hint="eastAsia" w:ascii="宋体" w:hAnsi="宋体" w:cs="宋体"/>
        </w:rPr>
        <w:t>（3）权重的调整</w:t>
      </w:r>
    </w:p>
    <w:p w14:paraId="156D4646">
      <w:pPr>
        <w:tabs>
          <w:tab w:val="left" w:pos="0"/>
          <w:tab w:val="left" w:pos="360"/>
          <w:tab w:val="left" w:pos="540"/>
        </w:tabs>
        <w:spacing w:line="360" w:lineRule="exact"/>
        <w:ind w:firstLine="420" w:firstLineChars="200"/>
        <w:rPr>
          <w:rFonts w:ascii="宋体" w:hAnsi="宋体" w:cs="宋体"/>
        </w:rPr>
      </w:pPr>
      <w:r>
        <w:rPr>
          <w:rFonts w:hint="eastAsia" w:ascii="宋体" w:hAnsi="宋体" w:cs="宋体"/>
        </w:rPr>
        <w:t>因变更导致合同约定的权重不合理时，按照第4.4款〔商定或确定〕执行。</w:t>
      </w:r>
    </w:p>
    <w:p w14:paraId="0E5A4D6B">
      <w:pPr>
        <w:tabs>
          <w:tab w:val="left" w:pos="0"/>
          <w:tab w:val="left" w:pos="360"/>
          <w:tab w:val="left" w:pos="540"/>
        </w:tabs>
        <w:spacing w:line="360" w:lineRule="exact"/>
        <w:ind w:firstLine="420" w:firstLineChars="200"/>
        <w:rPr>
          <w:rFonts w:ascii="宋体" w:hAnsi="宋体" w:cs="宋体"/>
        </w:rPr>
      </w:pPr>
      <w:r>
        <w:rPr>
          <w:rFonts w:hint="eastAsia" w:ascii="宋体" w:hAnsi="宋体" w:cs="宋体"/>
        </w:rPr>
        <w:t>（4）因承包人原因工期延误后的价格调整</w:t>
      </w:r>
    </w:p>
    <w:p w14:paraId="657306E9">
      <w:pPr>
        <w:tabs>
          <w:tab w:val="left" w:pos="0"/>
          <w:tab w:val="left" w:pos="360"/>
          <w:tab w:val="left" w:pos="540"/>
        </w:tabs>
        <w:spacing w:line="360" w:lineRule="exact"/>
        <w:ind w:firstLine="420" w:firstLineChars="200"/>
        <w:rPr>
          <w:rFonts w:ascii="宋体" w:hAnsi="宋体" w:cs="宋体"/>
        </w:rPr>
      </w:pPr>
      <w:r>
        <w:rPr>
          <w:rFonts w:hint="eastAsia" w:ascii="宋体" w:hAnsi="宋体" w:cs="宋体"/>
        </w:rPr>
        <w:t>因承包人原因未按期竣工的，对合同约定的竣工日期后继续施工的工程，在使用价格调整公式时，应采用计划竣工日期与实际竣工日期的两个价格指数中较低的一个作为现行价格指数。</w:t>
      </w:r>
    </w:p>
    <w:p w14:paraId="44B43372">
      <w:pPr>
        <w:spacing w:line="360" w:lineRule="exact"/>
        <w:ind w:firstLine="420" w:firstLineChars="200"/>
        <w:rPr>
          <w:rFonts w:ascii="宋体" w:hAnsi="宋体" w:cs="宋体"/>
        </w:rPr>
      </w:pPr>
      <w:r>
        <w:rPr>
          <w:rFonts w:hint="eastAsia" w:ascii="宋体" w:hAnsi="宋体" w:cs="宋体"/>
        </w:rPr>
        <w:t>第2种方式：采用造价信息进行价格调整。</w:t>
      </w:r>
    </w:p>
    <w:p w14:paraId="62807C44">
      <w:pPr>
        <w:spacing w:line="360" w:lineRule="exact"/>
        <w:ind w:firstLine="420" w:firstLineChars="200"/>
        <w:rPr>
          <w:rFonts w:ascii="宋体" w:hAnsi="宋体" w:cs="宋体"/>
        </w:rPr>
      </w:pPr>
      <w:r>
        <w:rPr>
          <w:rFonts w:hint="eastAsia" w:ascii="宋体" w:hAnsi="宋体" w:cs="宋体"/>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14:paraId="59A66534">
      <w:pPr>
        <w:spacing w:line="360" w:lineRule="exact"/>
        <w:ind w:firstLine="420" w:firstLineChars="200"/>
        <w:rPr>
          <w:rFonts w:ascii="宋体" w:hAnsi="宋体" w:cs="宋体"/>
        </w:rPr>
      </w:pPr>
      <w:r>
        <w:rPr>
          <w:rFonts w:hint="eastAsia" w:ascii="宋体" w:hAnsi="宋体" w:cs="宋体"/>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14:paraId="51A38A75">
      <w:pPr>
        <w:spacing w:line="360" w:lineRule="exact"/>
        <w:ind w:firstLine="420" w:firstLineChars="200"/>
        <w:rPr>
          <w:rFonts w:ascii="宋体" w:hAnsi="宋体" w:cs="宋体"/>
        </w:rPr>
      </w:pPr>
      <w:r>
        <w:rPr>
          <w:rFonts w:hint="eastAsia" w:ascii="宋体" w:hAnsi="宋体" w:cs="宋体"/>
        </w:rPr>
        <w:t>（2）材料、工程设备价格变化的价款调整按照发包人提供的基准价格，按以下风险范围规定执行:</w:t>
      </w:r>
    </w:p>
    <w:p w14:paraId="3E3635B5">
      <w:pPr>
        <w:spacing w:line="360" w:lineRule="exact"/>
        <w:ind w:firstLine="420" w:firstLineChars="200"/>
        <w:rPr>
          <w:rFonts w:ascii="宋体" w:hAnsi="宋体" w:cs="宋体"/>
        </w:rPr>
      </w:pPr>
      <w:r>
        <w:rPr>
          <w:rFonts w:hint="eastAsia" w:ascii="宋体" w:hAnsi="宋体" w:cs="宋体"/>
        </w:rPr>
        <w:t>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14:paraId="5B092163">
      <w:pPr>
        <w:spacing w:line="360" w:lineRule="exact"/>
        <w:ind w:firstLine="420" w:firstLineChars="200"/>
        <w:rPr>
          <w:rFonts w:ascii="宋体" w:hAnsi="宋体" w:cs="宋体"/>
        </w:rPr>
      </w:pPr>
      <w:r>
        <w:rPr>
          <w:rFonts w:hint="eastAsia" w:ascii="宋体" w:hAnsi="宋体" w:cs="宋体"/>
        </w:rPr>
        <w:t>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14:paraId="11A80308">
      <w:pPr>
        <w:spacing w:line="360" w:lineRule="exact"/>
        <w:ind w:firstLine="420" w:firstLineChars="200"/>
        <w:rPr>
          <w:rFonts w:ascii="宋体" w:hAnsi="宋体" w:cs="宋体"/>
        </w:rPr>
      </w:pPr>
      <w:r>
        <w:rPr>
          <w:rFonts w:hint="eastAsia" w:ascii="宋体" w:hAnsi="宋体" w:cs="宋体"/>
        </w:rPr>
        <w:t>③承包人在已标价工程量清单或预算书中载明材料单价等于基准价格的：除专用合同条款另有约定外，合同履行期间材料单价涨跌幅以基准价格为基础超过±5%时，其超过部分据实调整。</w:t>
      </w:r>
    </w:p>
    <w:p w14:paraId="0159C65F">
      <w:pPr>
        <w:spacing w:line="360" w:lineRule="exact"/>
        <w:ind w:firstLine="420" w:firstLineChars="200"/>
        <w:rPr>
          <w:rFonts w:ascii="宋体" w:hAnsi="宋体" w:cs="宋体"/>
        </w:rPr>
      </w:pPr>
      <w:r>
        <w:rPr>
          <w:rFonts w:hint="eastAsia" w:ascii="宋体" w:hAnsi="宋体" w:cs="宋体"/>
        </w:rPr>
        <w:t>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14:paraId="322693E2">
      <w:pPr>
        <w:spacing w:line="360" w:lineRule="exact"/>
        <w:ind w:firstLine="420" w:firstLineChars="200"/>
        <w:rPr>
          <w:rFonts w:ascii="宋体" w:hAnsi="宋体" w:cs="宋体"/>
        </w:rPr>
      </w:pPr>
      <w:bookmarkStart w:id="432" w:name="OLE_LINK3"/>
      <w:r>
        <w:rPr>
          <w:rFonts w:hint="eastAsia" w:ascii="宋体" w:hAnsi="宋体" w:cs="宋体"/>
        </w:rPr>
        <w:t>前述基准价格是指由发包人在招标文件或专用合同条款中给定的材料、工程设备的价格，该价格原则上应当按照省级或行业建设主管部门或其授权的工程造价管理机构发布的信息价编制。</w:t>
      </w:r>
    </w:p>
    <w:p w14:paraId="69635B7A">
      <w:pPr>
        <w:spacing w:line="360" w:lineRule="exact"/>
        <w:ind w:firstLine="420" w:firstLineChars="200"/>
        <w:rPr>
          <w:rFonts w:ascii="宋体" w:hAnsi="宋体" w:cs="宋体"/>
        </w:rPr>
      </w:pPr>
      <w:r>
        <w:rPr>
          <w:rFonts w:hint="eastAsia" w:ascii="宋体" w:hAnsi="宋体" w:cs="宋体"/>
        </w:rPr>
        <w:t>（3）施工机械台班单价或施工机械使用费发生变化超过省级或行业建设主管部门或其授权的工程造价管理机构规定的范围时，按规定调整合同价格。</w:t>
      </w:r>
    </w:p>
    <w:p w14:paraId="45EBEADE">
      <w:pPr>
        <w:spacing w:line="360" w:lineRule="exact"/>
        <w:ind w:firstLine="420" w:firstLineChars="200"/>
        <w:rPr>
          <w:rFonts w:ascii="宋体" w:hAnsi="宋体" w:cs="宋体"/>
        </w:rPr>
      </w:pPr>
      <w:r>
        <w:rPr>
          <w:rFonts w:hint="eastAsia" w:ascii="宋体" w:hAnsi="宋体" w:cs="宋体"/>
        </w:rPr>
        <w:t>第3种方式：专用合同条款约定的其他方式。</w:t>
      </w:r>
    </w:p>
    <w:p w14:paraId="348E203C">
      <w:pPr>
        <w:pStyle w:val="8"/>
        <w:overflowPunct/>
        <w:spacing w:before="120" w:after="120" w:line="360" w:lineRule="exact"/>
        <w:ind w:firstLine="420" w:firstLineChars="200"/>
        <w:rPr>
          <w:rFonts w:ascii="宋体" w:hAnsi="宋体" w:cs="宋体"/>
          <w:b w:val="0"/>
          <w:sz w:val="21"/>
          <w:szCs w:val="21"/>
        </w:rPr>
      </w:pPr>
      <w:bookmarkStart w:id="433" w:name="_Toc351203579"/>
      <w:bookmarkStart w:id="434" w:name="_Toc296346594"/>
      <w:bookmarkStart w:id="435" w:name="_Toc337558798"/>
      <w:bookmarkStart w:id="436" w:name="_Toc296503093"/>
      <w:r>
        <w:rPr>
          <w:rFonts w:hint="eastAsia" w:ascii="宋体" w:hAnsi="宋体" w:cs="宋体"/>
          <w:b w:val="0"/>
          <w:sz w:val="21"/>
          <w:szCs w:val="21"/>
        </w:rPr>
        <w:t>11.2法律变化引起的调整</w:t>
      </w:r>
      <w:bookmarkEnd w:id="433"/>
    </w:p>
    <w:bookmarkEnd w:id="434"/>
    <w:bookmarkEnd w:id="435"/>
    <w:bookmarkEnd w:id="436"/>
    <w:p w14:paraId="09AB7F00">
      <w:pPr>
        <w:spacing w:line="360" w:lineRule="exact"/>
        <w:ind w:firstLine="420" w:firstLineChars="200"/>
        <w:rPr>
          <w:rFonts w:ascii="宋体" w:hAnsi="宋体" w:cs="宋体"/>
        </w:rPr>
      </w:pPr>
      <w:r>
        <w:rPr>
          <w:rFonts w:hint="eastAsia" w:ascii="宋体" w:hAnsi="宋体" w:cs="宋体"/>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p>
    <w:p w14:paraId="726C4F3A">
      <w:pPr>
        <w:spacing w:line="360" w:lineRule="exact"/>
        <w:ind w:firstLine="420" w:firstLineChars="200"/>
        <w:rPr>
          <w:rFonts w:ascii="宋体" w:hAnsi="宋体" w:cs="宋体"/>
        </w:rPr>
      </w:pPr>
      <w:r>
        <w:rPr>
          <w:rFonts w:hint="eastAsia" w:ascii="宋体" w:hAnsi="宋体" w:cs="宋体"/>
        </w:rPr>
        <w:t>因法律变化引起的合同价格和工期调整，合同当事人无法达成一致的，由总监理工程师按第4.4款〔商定或确定〕的约定处理。</w:t>
      </w:r>
    </w:p>
    <w:p w14:paraId="6FAD859F">
      <w:pPr>
        <w:spacing w:line="360" w:lineRule="exact"/>
        <w:ind w:firstLine="420" w:firstLineChars="200"/>
        <w:rPr>
          <w:rFonts w:ascii="宋体" w:hAnsi="宋体" w:cs="宋体"/>
        </w:rPr>
      </w:pPr>
      <w:r>
        <w:rPr>
          <w:rFonts w:hint="eastAsia" w:ascii="宋体" w:hAnsi="宋体" w:cs="宋体"/>
          <w:kern w:val="0"/>
        </w:rPr>
        <w:t>因承包人原因造成工期延误，在工期延误期间出现法律变化的，由此增加的费用和（或）延误的工期由承包人承担。</w:t>
      </w:r>
    </w:p>
    <w:p w14:paraId="5A48414F">
      <w:pPr>
        <w:pStyle w:val="7"/>
        <w:spacing w:before="120" w:after="120" w:line="360" w:lineRule="exact"/>
        <w:rPr>
          <w:rFonts w:ascii="宋体" w:hAnsi="宋体" w:cs="宋体"/>
          <w:b w:val="0"/>
          <w:sz w:val="21"/>
          <w:szCs w:val="21"/>
        </w:rPr>
      </w:pPr>
      <w:bookmarkStart w:id="437" w:name="_Toc351203580"/>
      <w:bookmarkStart w:id="438" w:name="_Toc337558799"/>
      <w:bookmarkStart w:id="439" w:name="_Toc296346597"/>
      <w:bookmarkStart w:id="440" w:name="_Toc296503096"/>
      <w:r>
        <w:rPr>
          <w:rFonts w:hint="eastAsia" w:ascii="宋体" w:hAnsi="宋体" w:cs="宋体"/>
          <w:b w:val="0"/>
          <w:sz w:val="21"/>
          <w:szCs w:val="21"/>
        </w:rPr>
        <w:t>12. 合同价格、计量与支付</w:t>
      </w:r>
      <w:bookmarkEnd w:id="437"/>
    </w:p>
    <w:bookmarkEnd w:id="438"/>
    <w:p w14:paraId="3765AA83">
      <w:pPr>
        <w:pStyle w:val="8"/>
        <w:overflowPunct/>
        <w:spacing w:before="120" w:after="120" w:line="360" w:lineRule="exact"/>
        <w:ind w:firstLine="420" w:firstLineChars="200"/>
        <w:rPr>
          <w:rFonts w:ascii="宋体" w:hAnsi="宋体" w:cs="宋体"/>
          <w:b w:val="0"/>
          <w:sz w:val="21"/>
          <w:szCs w:val="21"/>
        </w:rPr>
      </w:pPr>
      <w:bookmarkStart w:id="441" w:name="_Toc351203581"/>
      <w:bookmarkStart w:id="442" w:name="_Toc337558800"/>
      <w:r>
        <w:rPr>
          <w:rFonts w:hint="eastAsia" w:ascii="宋体" w:hAnsi="宋体" w:cs="宋体"/>
          <w:b w:val="0"/>
          <w:sz w:val="21"/>
          <w:szCs w:val="21"/>
        </w:rPr>
        <w:t>12.1 合同价</w:t>
      </w:r>
      <w:bookmarkEnd w:id="439"/>
      <w:bookmarkEnd w:id="440"/>
      <w:r>
        <w:rPr>
          <w:rFonts w:hint="eastAsia" w:ascii="宋体" w:hAnsi="宋体" w:cs="宋体"/>
          <w:b w:val="0"/>
          <w:sz w:val="21"/>
          <w:szCs w:val="21"/>
        </w:rPr>
        <w:t>格形式</w:t>
      </w:r>
      <w:bookmarkEnd w:id="441"/>
    </w:p>
    <w:bookmarkEnd w:id="442"/>
    <w:p w14:paraId="20535889">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 xml:space="preserve">发包人和承包人应在合同协议书中选择下列一种合同价格形式： </w:t>
      </w:r>
    </w:p>
    <w:p w14:paraId="4B90F0A7">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1.单价合同</w:t>
      </w:r>
    </w:p>
    <w:p w14:paraId="5B659088">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单价合同是指合同当事人约定以工程量清单及其综合单价进行合同价格计算、调整和确认的建设工程施工合同，</w:t>
      </w:r>
      <w:r>
        <w:rPr>
          <w:rFonts w:hint="eastAsia" w:ascii="宋体" w:hAnsi="宋体" w:cs="宋体"/>
        </w:rPr>
        <w:t>在约定的范围内合同单价不作调整</w:t>
      </w:r>
      <w:r>
        <w:rPr>
          <w:rFonts w:hint="eastAsia" w:ascii="宋体" w:hAnsi="宋体" w:cs="宋体"/>
          <w:kern w:val="0"/>
        </w:rPr>
        <w:t>。合同当事人应在专用合同条款中约定综合单价包含的风险范围和风险费用的计算方法</w:t>
      </w:r>
      <w:r>
        <w:rPr>
          <w:rFonts w:hint="eastAsia" w:ascii="宋体" w:hAnsi="宋体" w:cs="宋体"/>
        </w:rPr>
        <w:t>，</w:t>
      </w:r>
      <w:r>
        <w:rPr>
          <w:rFonts w:hint="eastAsia" w:ascii="宋体" w:hAnsi="宋体" w:cs="宋体"/>
          <w:kern w:val="0"/>
        </w:rPr>
        <w:t>并约定风险范围以外的合同价格的调整方法，其中因市场价格波动引起的调整按第11.1款〔市场价格波动引起的调整〕约定执行。</w:t>
      </w:r>
    </w:p>
    <w:p w14:paraId="68915BFA">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2.总价合同</w:t>
      </w:r>
    </w:p>
    <w:p w14:paraId="5439F399">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总价合同是指合同当事人约定以施工图、已标价工程量清单或预算书及有关条件进行合同价格计算、调整和确认的建设工程施工合同，</w:t>
      </w:r>
      <w:r>
        <w:rPr>
          <w:rFonts w:hint="eastAsia" w:ascii="宋体" w:hAnsi="宋体" w:cs="宋体"/>
        </w:rPr>
        <w:t>在约定的范围内合同总价不作调整</w:t>
      </w:r>
      <w:r>
        <w:rPr>
          <w:rFonts w:hint="eastAsia" w:ascii="宋体" w:hAnsi="宋体" w:cs="宋体"/>
          <w:kern w:val="0"/>
        </w:rPr>
        <w:t>。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p>
    <w:p w14:paraId="4410B255">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3.其它价格形式</w:t>
      </w:r>
    </w:p>
    <w:p w14:paraId="11410504">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合同当事人可在专用合同条款中约定其他合同价格形式。</w:t>
      </w:r>
    </w:p>
    <w:p w14:paraId="5D6AE560">
      <w:pPr>
        <w:pStyle w:val="8"/>
        <w:overflowPunct/>
        <w:spacing w:before="120" w:after="120" w:line="360" w:lineRule="exact"/>
        <w:ind w:firstLine="420" w:firstLineChars="200"/>
        <w:rPr>
          <w:rFonts w:ascii="宋体" w:hAnsi="宋体" w:cs="宋体"/>
          <w:b w:val="0"/>
          <w:sz w:val="21"/>
          <w:szCs w:val="21"/>
        </w:rPr>
      </w:pPr>
      <w:bookmarkStart w:id="443" w:name="_Toc296503097"/>
      <w:bookmarkStart w:id="444" w:name="_Toc296346598"/>
      <w:bookmarkStart w:id="445" w:name="_Toc351203582"/>
      <w:bookmarkStart w:id="446" w:name="_Toc337558801"/>
      <w:r>
        <w:rPr>
          <w:rFonts w:hint="eastAsia" w:ascii="宋体" w:hAnsi="宋体" w:cs="宋体"/>
          <w:b w:val="0"/>
          <w:sz w:val="21"/>
          <w:szCs w:val="21"/>
        </w:rPr>
        <w:t>12.2预</w:t>
      </w:r>
      <w:bookmarkEnd w:id="443"/>
      <w:bookmarkEnd w:id="444"/>
      <w:bookmarkStart w:id="447" w:name="_Toc296346601"/>
      <w:bookmarkStart w:id="448" w:name="_Toc296503100"/>
      <w:r>
        <w:rPr>
          <w:rFonts w:hint="eastAsia" w:ascii="宋体" w:hAnsi="宋体" w:cs="宋体"/>
          <w:b w:val="0"/>
          <w:sz w:val="21"/>
          <w:szCs w:val="21"/>
        </w:rPr>
        <w:t>付款</w:t>
      </w:r>
      <w:bookmarkEnd w:id="445"/>
    </w:p>
    <w:bookmarkEnd w:id="446"/>
    <w:bookmarkEnd w:id="447"/>
    <w:bookmarkEnd w:id="448"/>
    <w:p w14:paraId="2B30823F">
      <w:pPr>
        <w:spacing w:line="360" w:lineRule="exact"/>
        <w:ind w:firstLine="420" w:firstLineChars="200"/>
        <w:jc w:val="left"/>
        <w:rPr>
          <w:rFonts w:ascii="宋体" w:hAnsi="宋体" w:cs="宋体"/>
          <w:kern w:val="0"/>
        </w:rPr>
      </w:pPr>
      <w:r>
        <w:rPr>
          <w:rFonts w:hint="eastAsia" w:ascii="宋体" w:hAnsi="宋体" w:cs="宋体"/>
        </w:rPr>
        <w:t>12.2.</w:t>
      </w:r>
      <w:r>
        <w:rPr>
          <w:rFonts w:hint="eastAsia" w:ascii="宋体" w:hAnsi="宋体" w:cs="宋体"/>
          <w:kern w:val="0"/>
        </w:rPr>
        <w:t>1预付款的支付</w:t>
      </w:r>
    </w:p>
    <w:p w14:paraId="5800DB40">
      <w:pPr>
        <w:spacing w:line="360" w:lineRule="exact"/>
        <w:ind w:firstLine="420" w:firstLineChars="200"/>
        <w:jc w:val="left"/>
        <w:rPr>
          <w:rFonts w:ascii="宋体" w:hAnsi="宋体" w:cs="宋体"/>
          <w:kern w:val="0"/>
        </w:rPr>
      </w:pPr>
      <w:r>
        <w:rPr>
          <w:rFonts w:hint="eastAsia" w:ascii="宋体" w:hAnsi="宋体" w:cs="宋体"/>
          <w:kern w:val="0"/>
        </w:rPr>
        <w:t>预付款的支付按照专用合同条款约定执行，但至迟应在开工通知载明的开工日期7天前支付。预付款应当用于材料、工程设备、施工设备的采购及修建临时工程、组织施工队伍进场等。</w:t>
      </w:r>
    </w:p>
    <w:p w14:paraId="4128870A">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除专用合同条款另有约定外，预付款在进度付款中同比例扣回。</w:t>
      </w:r>
      <w:bookmarkEnd w:id="432"/>
      <w:r>
        <w:rPr>
          <w:rFonts w:hint="eastAsia" w:ascii="宋体" w:hAnsi="宋体" w:cs="宋体"/>
          <w:kern w:val="0"/>
        </w:rPr>
        <w:t>在颁发工程接收证书前，提前解除合同的，尚未扣完的预付款应与合同价款一并结算。</w:t>
      </w:r>
    </w:p>
    <w:p w14:paraId="56237DBC">
      <w:pPr>
        <w:spacing w:line="360" w:lineRule="exact"/>
        <w:ind w:firstLine="420" w:firstLineChars="200"/>
        <w:jc w:val="left"/>
        <w:rPr>
          <w:rFonts w:ascii="宋体" w:hAnsi="宋体" w:cs="宋体"/>
          <w:kern w:val="0"/>
        </w:rPr>
      </w:pPr>
      <w:r>
        <w:rPr>
          <w:rFonts w:hint="eastAsia" w:ascii="宋体" w:hAnsi="宋体" w:cs="宋体"/>
          <w:kern w:val="0"/>
        </w:rPr>
        <w:t>发包人逾期支付预付款超过7天的，承包人有权向发包人发出要求预付的催告通知，发包人收到通知后7天内仍未支付的，承包人有权暂停施工，并按第16.1.1项〔发包人违约的情形〕执行。</w:t>
      </w:r>
    </w:p>
    <w:p w14:paraId="5702ABDF">
      <w:pPr>
        <w:spacing w:line="360" w:lineRule="exact"/>
        <w:ind w:firstLine="420" w:firstLineChars="200"/>
        <w:jc w:val="left"/>
        <w:rPr>
          <w:rFonts w:ascii="宋体" w:hAnsi="宋体" w:cs="宋体"/>
        </w:rPr>
      </w:pPr>
      <w:r>
        <w:rPr>
          <w:rFonts w:hint="eastAsia" w:ascii="宋体" w:hAnsi="宋体" w:cs="宋体"/>
        </w:rPr>
        <w:t>12.2.2 预付款担保</w:t>
      </w:r>
    </w:p>
    <w:p w14:paraId="3DDEC4AD">
      <w:pPr>
        <w:spacing w:line="360" w:lineRule="exact"/>
        <w:ind w:firstLine="420" w:firstLineChars="200"/>
        <w:jc w:val="left"/>
        <w:rPr>
          <w:rFonts w:ascii="宋体" w:hAnsi="宋体" w:cs="宋体"/>
          <w:kern w:val="0"/>
        </w:rPr>
      </w:pPr>
      <w:r>
        <w:rPr>
          <w:rFonts w:hint="eastAsia" w:ascii="宋体" w:hAnsi="宋体" w:cs="宋体"/>
          <w:kern w:val="0"/>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14:paraId="08CACBB8">
      <w:pPr>
        <w:spacing w:line="360" w:lineRule="exact"/>
        <w:ind w:firstLine="420" w:firstLineChars="200"/>
        <w:jc w:val="left"/>
        <w:rPr>
          <w:rFonts w:ascii="宋体" w:hAnsi="宋体" w:cs="宋体"/>
          <w:kern w:val="0"/>
        </w:rPr>
      </w:pPr>
      <w:r>
        <w:rPr>
          <w:rFonts w:hint="eastAsia" w:ascii="宋体" w:hAnsi="宋体" w:cs="宋体"/>
          <w:kern w:val="0"/>
        </w:rPr>
        <w:t>发包人在工程款中逐期扣回预付款后，预付款担保额度应相应减少，但剩余的预付款担保金额不得低于未被扣回的预付款金额。</w:t>
      </w:r>
    </w:p>
    <w:p w14:paraId="5CC08ED2">
      <w:pPr>
        <w:pStyle w:val="8"/>
        <w:overflowPunct/>
        <w:spacing w:before="120" w:after="120" w:line="360" w:lineRule="exact"/>
        <w:ind w:firstLine="420" w:firstLineChars="200"/>
        <w:rPr>
          <w:rFonts w:ascii="宋体" w:hAnsi="宋体" w:cs="宋体"/>
          <w:b w:val="0"/>
          <w:sz w:val="21"/>
          <w:szCs w:val="21"/>
        </w:rPr>
      </w:pPr>
      <w:bookmarkStart w:id="449" w:name="_Toc351203583"/>
      <w:bookmarkStart w:id="450" w:name="_Toc337558802"/>
      <w:r>
        <w:rPr>
          <w:rFonts w:hint="eastAsia" w:ascii="宋体" w:hAnsi="宋体" w:cs="宋体"/>
          <w:b w:val="0"/>
          <w:sz w:val="21"/>
          <w:szCs w:val="21"/>
        </w:rPr>
        <w:t>12.3计量</w:t>
      </w:r>
      <w:bookmarkEnd w:id="449"/>
    </w:p>
    <w:bookmarkEnd w:id="450"/>
    <w:p w14:paraId="5DD63CCA">
      <w:pPr>
        <w:spacing w:line="360" w:lineRule="exact"/>
        <w:ind w:firstLine="420" w:firstLineChars="200"/>
        <w:jc w:val="left"/>
        <w:rPr>
          <w:rFonts w:ascii="宋体" w:hAnsi="宋体" w:cs="宋体"/>
          <w:kern w:val="0"/>
        </w:rPr>
      </w:pPr>
      <w:r>
        <w:rPr>
          <w:rFonts w:hint="eastAsia" w:ascii="宋体" w:hAnsi="宋体" w:cs="宋体"/>
          <w:kern w:val="0"/>
        </w:rPr>
        <w:t>12.3.1 计量原则</w:t>
      </w:r>
    </w:p>
    <w:p w14:paraId="42F581DF">
      <w:pPr>
        <w:spacing w:line="360" w:lineRule="exact"/>
        <w:ind w:firstLine="420" w:firstLineChars="200"/>
        <w:jc w:val="left"/>
        <w:rPr>
          <w:rFonts w:ascii="宋体" w:hAnsi="宋体" w:cs="宋体"/>
          <w:kern w:val="0"/>
        </w:rPr>
      </w:pPr>
      <w:r>
        <w:rPr>
          <w:rFonts w:hint="eastAsia" w:ascii="宋体" w:hAnsi="宋体" w:cs="宋体"/>
          <w:kern w:val="0"/>
        </w:rPr>
        <w:t>工程量计量按照合同约定的工程量计算规则、图纸及变更指示等进行计量。工程量计算规则应以相关的国家标准、行业标准等为依据，由合同当事人在专用合同条款中约定。</w:t>
      </w:r>
    </w:p>
    <w:p w14:paraId="3D80B91F">
      <w:pPr>
        <w:spacing w:line="360" w:lineRule="exact"/>
        <w:ind w:firstLine="420" w:firstLineChars="200"/>
        <w:jc w:val="left"/>
        <w:rPr>
          <w:rFonts w:ascii="宋体" w:hAnsi="宋体" w:cs="宋体"/>
          <w:kern w:val="0"/>
        </w:rPr>
      </w:pPr>
      <w:r>
        <w:rPr>
          <w:rFonts w:hint="eastAsia" w:ascii="宋体" w:hAnsi="宋体" w:cs="宋体"/>
          <w:kern w:val="0"/>
        </w:rPr>
        <w:t>12.3.2 计量周期</w:t>
      </w:r>
    </w:p>
    <w:p w14:paraId="3746A7B1">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除专用合同条款另有约定外，工程量的计量按月进行。</w:t>
      </w:r>
    </w:p>
    <w:p w14:paraId="2F2C05EB">
      <w:pPr>
        <w:spacing w:line="360" w:lineRule="exact"/>
        <w:ind w:firstLine="420" w:firstLineChars="200"/>
        <w:jc w:val="left"/>
        <w:rPr>
          <w:rFonts w:ascii="宋体" w:hAnsi="宋体" w:cs="宋体"/>
          <w:kern w:val="0"/>
        </w:rPr>
      </w:pPr>
      <w:r>
        <w:rPr>
          <w:rFonts w:hint="eastAsia" w:ascii="宋体" w:hAnsi="宋体" w:cs="宋体"/>
          <w:kern w:val="0"/>
        </w:rPr>
        <w:t>12.3.3 单价合同的计量</w:t>
      </w:r>
    </w:p>
    <w:p w14:paraId="55537981">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除专用合同条款另有约定外，单价合同的计量按照本项约定执行：</w:t>
      </w:r>
    </w:p>
    <w:p w14:paraId="7153E204">
      <w:pPr>
        <w:spacing w:line="360" w:lineRule="exact"/>
        <w:ind w:firstLine="420" w:firstLineChars="200"/>
        <w:jc w:val="left"/>
        <w:rPr>
          <w:rFonts w:ascii="宋体" w:hAnsi="宋体" w:cs="宋体"/>
          <w:kern w:val="0"/>
        </w:rPr>
      </w:pPr>
      <w:r>
        <w:rPr>
          <w:rFonts w:hint="eastAsia" w:ascii="宋体" w:hAnsi="宋体" w:cs="宋体"/>
          <w:kern w:val="0"/>
        </w:rPr>
        <w:t>（1）承包人应于每月25日向监理人报送上月20日至当月19日已完成的工程量报告，并附具进度付款申请单、已完成工程量报表和有关资料。</w:t>
      </w:r>
    </w:p>
    <w:p w14:paraId="1444F58F">
      <w:pPr>
        <w:spacing w:line="360" w:lineRule="exact"/>
        <w:ind w:firstLine="420" w:firstLineChars="200"/>
        <w:jc w:val="left"/>
        <w:rPr>
          <w:rFonts w:ascii="宋体" w:hAnsi="宋体" w:cs="宋体"/>
          <w:kern w:val="0"/>
        </w:rPr>
      </w:pPr>
      <w:r>
        <w:rPr>
          <w:rFonts w:hint="eastAsia" w:ascii="宋体" w:hAnsi="宋体" w:cs="宋体"/>
          <w:kern w:val="0"/>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1E1ED987">
      <w:pPr>
        <w:spacing w:line="360" w:lineRule="exact"/>
        <w:ind w:firstLine="420" w:firstLineChars="200"/>
        <w:jc w:val="left"/>
        <w:rPr>
          <w:rFonts w:ascii="宋体" w:hAnsi="宋体" w:cs="宋体"/>
          <w:kern w:val="0"/>
        </w:rPr>
      </w:pPr>
      <w:r>
        <w:rPr>
          <w:rFonts w:hint="eastAsia" w:ascii="宋体" w:hAnsi="宋体" w:cs="宋体"/>
          <w:kern w:val="0"/>
        </w:rPr>
        <w:t>（3）监理人未在收到承包人提交的工程量报表后的7天内完成审核的，承包人报送的工程量报告中的工程量视为承包人实际完成的工程量，据此计算工程价款。</w:t>
      </w:r>
    </w:p>
    <w:p w14:paraId="4316BFD7">
      <w:pPr>
        <w:spacing w:line="360" w:lineRule="exact"/>
        <w:ind w:firstLine="420" w:firstLineChars="200"/>
        <w:jc w:val="left"/>
        <w:rPr>
          <w:rFonts w:ascii="宋体" w:hAnsi="宋体" w:cs="宋体"/>
          <w:kern w:val="0"/>
        </w:rPr>
      </w:pPr>
      <w:r>
        <w:rPr>
          <w:rFonts w:hint="eastAsia" w:ascii="宋体" w:hAnsi="宋体" w:cs="宋体"/>
          <w:kern w:val="0"/>
        </w:rPr>
        <w:t>12.3.4 总价合同的计量</w:t>
      </w:r>
    </w:p>
    <w:p w14:paraId="02740A71">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除专用合同条款另有约定外，按月计量支付的总价合同，按照本项约定执行：</w:t>
      </w:r>
    </w:p>
    <w:p w14:paraId="4B7C8875">
      <w:pPr>
        <w:spacing w:line="360" w:lineRule="exact"/>
        <w:ind w:firstLine="420" w:firstLineChars="200"/>
        <w:jc w:val="left"/>
        <w:rPr>
          <w:rFonts w:ascii="宋体" w:hAnsi="宋体" w:cs="宋体"/>
          <w:kern w:val="0"/>
        </w:rPr>
      </w:pPr>
      <w:r>
        <w:rPr>
          <w:rFonts w:hint="eastAsia" w:ascii="宋体" w:hAnsi="宋体" w:cs="宋体"/>
          <w:kern w:val="0"/>
        </w:rPr>
        <w:t>（1）承包人应于每月25日向监理人报送上月20日至当月19日已完成的工程量报告，并附具进度付款申请单、已完成工程量报表和有关资料。</w:t>
      </w:r>
    </w:p>
    <w:p w14:paraId="4A9EBE85">
      <w:pPr>
        <w:spacing w:line="360" w:lineRule="exact"/>
        <w:ind w:firstLine="420" w:firstLineChars="200"/>
        <w:jc w:val="left"/>
        <w:rPr>
          <w:rFonts w:ascii="宋体" w:hAnsi="宋体" w:cs="宋体"/>
          <w:kern w:val="0"/>
        </w:rPr>
      </w:pPr>
      <w:r>
        <w:rPr>
          <w:rFonts w:hint="eastAsia" w:ascii="宋体" w:hAnsi="宋体" w:cs="宋体"/>
          <w:kern w:val="0"/>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14:paraId="22B1007E">
      <w:pPr>
        <w:spacing w:line="360" w:lineRule="exact"/>
        <w:ind w:firstLine="420" w:firstLineChars="200"/>
        <w:jc w:val="left"/>
        <w:rPr>
          <w:rFonts w:ascii="宋体" w:hAnsi="宋体" w:cs="宋体"/>
          <w:kern w:val="0"/>
        </w:rPr>
      </w:pPr>
      <w:r>
        <w:rPr>
          <w:rFonts w:hint="eastAsia" w:ascii="宋体" w:hAnsi="宋体" w:cs="宋体"/>
          <w:kern w:val="0"/>
        </w:rPr>
        <w:t>（3）监理人未在收到承包人提交的工程量报表后的7天内完成复核的，承包人提交的工程量报告中的工程量视为承包人实际完成的工程量。</w:t>
      </w:r>
    </w:p>
    <w:p w14:paraId="6918B1D8">
      <w:pPr>
        <w:spacing w:line="360" w:lineRule="exact"/>
        <w:ind w:firstLine="420" w:firstLineChars="200"/>
        <w:jc w:val="left"/>
        <w:rPr>
          <w:rFonts w:ascii="宋体" w:hAnsi="宋体" w:cs="宋体"/>
          <w:kern w:val="0"/>
        </w:rPr>
      </w:pPr>
      <w:r>
        <w:rPr>
          <w:rFonts w:hint="eastAsia" w:ascii="宋体" w:hAnsi="宋体" w:cs="宋体"/>
          <w:kern w:val="0"/>
        </w:rPr>
        <w:t>12.3.5 总价合同采用支付分解表计量支付的，可以按照第12.3.4项〔总价合同的计量〕约定进行计量，但合同价款按照支付分解表进行支付。</w:t>
      </w:r>
    </w:p>
    <w:p w14:paraId="1D03A73A">
      <w:pPr>
        <w:spacing w:line="360" w:lineRule="exact"/>
        <w:ind w:firstLine="420" w:firstLineChars="200"/>
        <w:jc w:val="left"/>
        <w:rPr>
          <w:rFonts w:ascii="宋体" w:hAnsi="宋体" w:cs="宋体"/>
          <w:kern w:val="0"/>
        </w:rPr>
      </w:pPr>
      <w:r>
        <w:rPr>
          <w:rFonts w:hint="eastAsia" w:ascii="宋体" w:hAnsi="宋体" w:cs="宋体"/>
          <w:kern w:val="0"/>
        </w:rPr>
        <w:t>12.3.6 其他价格形式合同的计量</w:t>
      </w:r>
    </w:p>
    <w:p w14:paraId="26217027">
      <w:pPr>
        <w:spacing w:line="360" w:lineRule="exact"/>
        <w:ind w:firstLine="420" w:firstLineChars="200"/>
        <w:jc w:val="left"/>
        <w:rPr>
          <w:rFonts w:ascii="宋体" w:hAnsi="宋体" w:cs="宋体"/>
          <w:kern w:val="0"/>
        </w:rPr>
      </w:pPr>
      <w:r>
        <w:rPr>
          <w:rFonts w:hint="eastAsia" w:ascii="宋体" w:hAnsi="宋体" w:cs="宋体"/>
          <w:kern w:val="0"/>
        </w:rPr>
        <w:t>合同当事人可在专用合同条款中约定其他价格形式合同的计量方式和程序。</w:t>
      </w:r>
    </w:p>
    <w:p w14:paraId="762C6172">
      <w:pPr>
        <w:pStyle w:val="8"/>
        <w:overflowPunct/>
        <w:spacing w:before="120" w:after="120" w:line="360" w:lineRule="exact"/>
        <w:ind w:firstLine="420" w:firstLineChars="200"/>
        <w:rPr>
          <w:rFonts w:ascii="宋体" w:hAnsi="宋体" w:cs="宋体"/>
          <w:b w:val="0"/>
          <w:sz w:val="21"/>
          <w:szCs w:val="21"/>
        </w:rPr>
      </w:pPr>
      <w:bookmarkStart w:id="451" w:name="_Toc296503101"/>
      <w:bookmarkStart w:id="452" w:name="_Toc296346602"/>
      <w:bookmarkStart w:id="453" w:name="_Toc351203584"/>
      <w:bookmarkStart w:id="454" w:name="_Toc337558803"/>
      <w:r>
        <w:rPr>
          <w:rFonts w:hint="eastAsia" w:ascii="宋体" w:hAnsi="宋体" w:cs="宋体"/>
          <w:b w:val="0"/>
          <w:sz w:val="21"/>
          <w:szCs w:val="21"/>
        </w:rPr>
        <w:t>12.4工程进度款支</w:t>
      </w:r>
      <w:bookmarkEnd w:id="451"/>
      <w:bookmarkEnd w:id="452"/>
      <w:r>
        <w:rPr>
          <w:rFonts w:hint="eastAsia" w:ascii="宋体" w:hAnsi="宋体" w:cs="宋体"/>
          <w:b w:val="0"/>
          <w:sz w:val="21"/>
          <w:szCs w:val="21"/>
        </w:rPr>
        <w:t>付</w:t>
      </w:r>
      <w:bookmarkEnd w:id="453"/>
    </w:p>
    <w:bookmarkEnd w:id="454"/>
    <w:p w14:paraId="46253414">
      <w:pPr>
        <w:pStyle w:val="6"/>
        <w:spacing w:line="360" w:lineRule="exact"/>
        <w:rPr>
          <w:rFonts w:ascii="宋体" w:hAnsi="宋体" w:cs="宋体"/>
          <w:sz w:val="21"/>
          <w:szCs w:val="21"/>
        </w:rPr>
      </w:pPr>
      <w:r>
        <w:rPr>
          <w:rFonts w:hint="eastAsia" w:ascii="宋体" w:hAnsi="宋体" w:cs="宋体"/>
          <w:sz w:val="21"/>
          <w:szCs w:val="21"/>
        </w:rPr>
        <w:t>12.4.1 付款周期</w:t>
      </w:r>
    </w:p>
    <w:p w14:paraId="6B0E2BBC">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除专用合同条款另有约定外，付款周期应按照第12.3.2项〔计量周期〕的约定与计量周期保持一致。</w:t>
      </w:r>
    </w:p>
    <w:p w14:paraId="178F3ED0">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rPr>
        <w:t>12.4</w:t>
      </w:r>
      <w:r>
        <w:rPr>
          <w:rFonts w:hint="eastAsia" w:ascii="宋体" w:hAnsi="宋体" w:cs="宋体"/>
          <w:kern w:val="0"/>
        </w:rPr>
        <w:t>.2 进度付款申请单的编制</w:t>
      </w:r>
    </w:p>
    <w:p w14:paraId="0C4D378E">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除专用合同条款另有约定外，进度付款申请单应包括下列内容：</w:t>
      </w:r>
    </w:p>
    <w:p w14:paraId="2028063A">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（1）截至本次付款周期已完成工作对应的金额；</w:t>
      </w:r>
    </w:p>
    <w:p w14:paraId="5ED24FC9">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（2）根据第10条〔变更〕应增加和扣减的变更金额；</w:t>
      </w:r>
    </w:p>
    <w:p w14:paraId="151C9A75">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（3）根据第12.2款〔预付款〕约定应支付的预付款和扣减的返还预付款；</w:t>
      </w:r>
    </w:p>
    <w:p w14:paraId="632C6428">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（4）根据第15.3款〔质量保证金〕约定应扣减的质量保证金；</w:t>
      </w:r>
    </w:p>
    <w:p w14:paraId="0FA4E3BA">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（5）根据第19条〔索赔〕应增加和扣减的索赔金额；</w:t>
      </w:r>
    </w:p>
    <w:p w14:paraId="0EC80C33">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（6）对已签发的进度款支付证书中出现错误的修正，应在本次进度付款中支付或扣除的金额；</w:t>
      </w:r>
    </w:p>
    <w:p w14:paraId="01E90D5F">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（7）根据合同约定应增加和扣减的其他金额。</w:t>
      </w:r>
    </w:p>
    <w:p w14:paraId="72480700">
      <w:pPr>
        <w:pStyle w:val="6"/>
        <w:spacing w:line="360" w:lineRule="exact"/>
        <w:rPr>
          <w:rFonts w:ascii="宋体" w:hAnsi="宋体" w:cs="宋体"/>
          <w:sz w:val="21"/>
          <w:szCs w:val="21"/>
        </w:rPr>
      </w:pPr>
      <w:r>
        <w:rPr>
          <w:rFonts w:hint="eastAsia" w:ascii="宋体" w:hAnsi="宋体" w:cs="宋体"/>
          <w:sz w:val="21"/>
          <w:szCs w:val="21"/>
        </w:rPr>
        <w:t>12.4.3 进度付款申请单的提交</w:t>
      </w:r>
    </w:p>
    <w:p w14:paraId="0F61E500">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（1）单价合同进度付款申请单的提交</w:t>
      </w:r>
    </w:p>
    <w:p w14:paraId="565CA653">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单价合同的进度付款申请单，按照第12.3.3项〔单价合同的计量〕约定的时间按月向监理人提交，并附上已完成工程量报表和有关资料。单价合同中的总价项目按月进行支付分解，并汇总列入当期进度付款申请单。</w:t>
      </w:r>
    </w:p>
    <w:p w14:paraId="4A8AFCA6">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（2）总价合同进度付款申请单的提交</w:t>
      </w:r>
    </w:p>
    <w:p w14:paraId="793E7700">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总价合同按月计量支付的，承包人按照第12.3.4项〔总价合同的计量〕约定的时间按月向监理人提交进度付款申请单，并附上已完成工程量报表和有关资料。</w:t>
      </w:r>
    </w:p>
    <w:p w14:paraId="35B88F1C">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总价合同按支付分解表支付的，承包人应按照第12.4.6项〔支付分解表〕及第12.4.2项〔进度付款申请单的编制〕的约定向监理人提交进度付款申请单。</w:t>
      </w:r>
    </w:p>
    <w:p w14:paraId="2BCBAC79">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（3）其他价格形式合同的进度付款申请单的提交</w:t>
      </w:r>
    </w:p>
    <w:p w14:paraId="2775C9CE">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合同当事人可在专用合同条款中约定其他价格形式合同的进度付款申请单的编制和提交程序。</w:t>
      </w:r>
    </w:p>
    <w:p w14:paraId="2797F91C">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rPr>
        <w:t>12.4</w:t>
      </w:r>
      <w:r>
        <w:rPr>
          <w:rFonts w:hint="eastAsia" w:ascii="宋体" w:hAnsi="宋体" w:cs="宋体"/>
          <w:kern w:val="0"/>
        </w:rPr>
        <w:t>.4 进度款审核和支付</w:t>
      </w:r>
    </w:p>
    <w:p w14:paraId="7ADBDB94">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14:paraId="42C6DC9F">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p>
    <w:p w14:paraId="2510AD9D">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（2）除专用合同条款另有约定外，发包人应在进度款支付证书或临时进度款支付证书签发后14天内完成支付，发包人逾期支付进度款的，应按照中国人民银行发布的同期同类贷款基准利率支付违约金。</w:t>
      </w:r>
    </w:p>
    <w:p w14:paraId="662E8E4A">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（3）发包人签发进度款支付证书或临时进度款支付证书，不表明发包人已同意、批准或接受了承包人完成的相应部分的工作。</w:t>
      </w:r>
    </w:p>
    <w:p w14:paraId="3F0BFECE">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12.4.5 进度付款的修正</w:t>
      </w:r>
    </w:p>
    <w:p w14:paraId="70D4BBBA">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在对已签发的进度款支付证书进行阶段汇总和复核中发现错误、遗漏或重复的，发包人和承包人均有权提出修正申请。经发包人和承包人同意的修正，应在下期进度付款中支付或扣除。</w:t>
      </w:r>
    </w:p>
    <w:p w14:paraId="0CE1191E">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12.4.6 支付分解表</w:t>
      </w:r>
    </w:p>
    <w:p w14:paraId="62A52E33">
      <w:pPr>
        <w:spacing w:line="360" w:lineRule="exact"/>
        <w:ind w:firstLine="420" w:firstLineChars="200"/>
        <w:jc w:val="left"/>
        <w:rPr>
          <w:rFonts w:ascii="宋体" w:hAnsi="宋体" w:cs="宋体"/>
          <w:kern w:val="0"/>
        </w:rPr>
      </w:pPr>
      <w:r>
        <w:rPr>
          <w:rFonts w:hint="eastAsia" w:ascii="宋体" w:hAnsi="宋体" w:cs="宋体"/>
          <w:kern w:val="0"/>
        </w:rPr>
        <w:t>1.支付分解表的编制要求</w:t>
      </w:r>
    </w:p>
    <w:p w14:paraId="45374338">
      <w:pPr>
        <w:spacing w:line="360" w:lineRule="exact"/>
        <w:ind w:firstLine="420" w:firstLineChars="200"/>
        <w:jc w:val="left"/>
        <w:rPr>
          <w:rFonts w:ascii="宋体" w:hAnsi="宋体" w:cs="宋体"/>
          <w:kern w:val="0"/>
        </w:rPr>
      </w:pPr>
      <w:r>
        <w:rPr>
          <w:rFonts w:hint="eastAsia" w:ascii="宋体" w:hAnsi="宋体" w:cs="宋体"/>
          <w:kern w:val="0"/>
        </w:rPr>
        <w:t>（1）支付分解表中所列的每期付款金额，应为第12.4.2项〔进度付款申请单的编制〕第（1）目的估算金额；</w:t>
      </w:r>
    </w:p>
    <w:p w14:paraId="26146039">
      <w:pPr>
        <w:spacing w:line="360" w:lineRule="exact"/>
        <w:ind w:firstLine="420" w:firstLineChars="200"/>
        <w:jc w:val="left"/>
        <w:rPr>
          <w:rFonts w:ascii="宋体" w:hAnsi="宋体" w:cs="宋体"/>
          <w:kern w:val="0"/>
        </w:rPr>
      </w:pPr>
      <w:r>
        <w:rPr>
          <w:rFonts w:hint="eastAsia" w:ascii="宋体" w:hAnsi="宋体" w:cs="宋体"/>
          <w:kern w:val="0"/>
        </w:rPr>
        <w:t>（2）实际进度与施工进度计划不一致的，合同当事人可按照第4.4款〔商定或确定〕修改支付分解表；</w:t>
      </w:r>
    </w:p>
    <w:p w14:paraId="63587660">
      <w:pPr>
        <w:spacing w:line="360" w:lineRule="exact"/>
        <w:ind w:firstLine="420" w:firstLineChars="200"/>
        <w:jc w:val="left"/>
        <w:rPr>
          <w:rFonts w:ascii="宋体" w:hAnsi="宋体" w:cs="宋体"/>
          <w:kern w:val="0"/>
        </w:rPr>
      </w:pPr>
      <w:r>
        <w:rPr>
          <w:rFonts w:hint="eastAsia" w:ascii="宋体" w:hAnsi="宋体" w:cs="宋体"/>
          <w:kern w:val="0"/>
        </w:rPr>
        <w:t>（3）不采用支付分解表的，承包人应向发包人和监理人提交按季度编制的支付估算分解表，用于支付参考。</w:t>
      </w:r>
    </w:p>
    <w:p w14:paraId="5F0AF322">
      <w:pPr>
        <w:spacing w:line="360" w:lineRule="exact"/>
        <w:ind w:firstLine="420" w:firstLineChars="200"/>
        <w:jc w:val="left"/>
        <w:rPr>
          <w:rFonts w:ascii="宋体" w:hAnsi="宋体" w:cs="宋体"/>
          <w:kern w:val="0"/>
        </w:rPr>
      </w:pPr>
      <w:r>
        <w:rPr>
          <w:rFonts w:hint="eastAsia" w:ascii="宋体" w:hAnsi="宋体" w:cs="宋体"/>
          <w:kern w:val="0"/>
        </w:rPr>
        <w:t>2.总价合同支付分解表的编制与审批</w:t>
      </w:r>
    </w:p>
    <w:p w14:paraId="221B5AB3">
      <w:pPr>
        <w:spacing w:line="360" w:lineRule="exact"/>
        <w:ind w:firstLine="420" w:firstLineChars="200"/>
        <w:jc w:val="left"/>
        <w:rPr>
          <w:rFonts w:ascii="宋体" w:hAnsi="宋体" w:cs="宋体"/>
          <w:kern w:val="0"/>
        </w:rPr>
      </w:pPr>
      <w:r>
        <w:rPr>
          <w:rFonts w:hint="eastAsia" w:ascii="宋体" w:hAnsi="宋体" w:cs="宋体"/>
          <w:kern w:val="0"/>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14:paraId="16BC3059">
      <w:pPr>
        <w:spacing w:line="360" w:lineRule="exact"/>
        <w:ind w:firstLine="420" w:firstLineChars="200"/>
        <w:jc w:val="left"/>
        <w:rPr>
          <w:rFonts w:ascii="宋体" w:hAnsi="宋体" w:cs="宋体"/>
          <w:kern w:val="0"/>
        </w:rPr>
      </w:pPr>
      <w:r>
        <w:rPr>
          <w:rFonts w:hint="eastAsia" w:ascii="宋体" w:hAnsi="宋体" w:cs="宋体"/>
          <w:kern w:val="0"/>
        </w:rPr>
        <w:t>（2）监理人应在收到支付分解表后7天内完成审核并报送发包人。发包人应在收到经监理人审核的支付分解表后7天内完成审批，经发包人批准的支付分解表为有约束力的支付分解表。</w:t>
      </w:r>
    </w:p>
    <w:p w14:paraId="755CACD9">
      <w:pPr>
        <w:spacing w:line="360" w:lineRule="exact"/>
        <w:jc w:val="left"/>
        <w:rPr>
          <w:rFonts w:ascii="宋体" w:hAnsi="宋体" w:cs="宋体"/>
          <w:kern w:val="0"/>
        </w:rPr>
      </w:pPr>
      <w:r>
        <w:rPr>
          <w:rFonts w:hint="eastAsia" w:ascii="宋体" w:hAnsi="宋体" w:cs="宋体"/>
          <w:kern w:val="0"/>
        </w:rPr>
        <w:t xml:space="preserve">    （3）发包人逾期未完成支付分解表审批的，也未及时要求承包人进行修正和提供补充资料的，则承包人提交的支付分解表视为已经获得发包人批准。</w:t>
      </w:r>
    </w:p>
    <w:p w14:paraId="28D28B36">
      <w:pPr>
        <w:spacing w:line="360" w:lineRule="exact"/>
        <w:ind w:firstLine="420" w:firstLineChars="200"/>
        <w:jc w:val="left"/>
        <w:rPr>
          <w:rFonts w:ascii="宋体" w:hAnsi="宋体" w:cs="宋体"/>
          <w:kern w:val="0"/>
        </w:rPr>
      </w:pPr>
      <w:r>
        <w:rPr>
          <w:rFonts w:hint="eastAsia" w:ascii="宋体" w:hAnsi="宋体" w:cs="宋体"/>
          <w:kern w:val="0"/>
        </w:rPr>
        <w:t>3.单价合同的总价项目支付分解表的编制与审批</w:t>
      </w:r>
    </w:p>
    <w:p w14:paraId="45E307AE">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14:paraId="467DEF90">
      <w:pPr>
        <w:pStyle w:val="8"/>
        <w:overflowPunct/>
        <w:spacing w:before="120" w:after="120" w:line="360" w:lineRule="exact"/>
        <w:ind w:firstLine="420" w:firstLineChars="200"/>
        <w:rPr>
          <w:rFonts w:ascii="宋体" w:hAnsi="宋体" w:cs="宋体"/>
          <w:b w:val="0"/>
          <w:sz w:val="21"/>
          <w:szCs w:val="21"/>
        </w:rPr>
      </w:pPr>
      <w:bookmarkStart w:id="455" w:name="_Toc351203585"/>
      <w:r>
        <w:rPr>
          <w:rFonts w:hint="eastAsia" w:ascii="宋体" w:hAnsi="宋体" w:cs="宋体"/>
          <w:b w:val="0"/>
          <w:sz w:val="21"/>
          <w:szCs w:val="21"/>
        </w:rPr>
        <w:t>12.5支付账户</w:t>
      </w:r>
      <w:bookmarkEnd w:id="455"/>
    </w:p>
    <w:p w14:paraId="5EBAB4B3">
      <w:pPr>
        <w:spacing w:line="360" w:lineRule="exact"/>
        <w:ind w:firstLine="420" w:firstLineChars="200"/>
        <w:jc w:val="left"/>
        <w:rPr>
          <w:rFonts w:ascii="宋体" w:hAnsi="宋体" w:cs="宋体"/>
          <w:kern w:val="0"/>
        </w:rPr>
      </w:pPr>
      <w:r>
        <w:rPr>
          <w:rFonts w:hint="eastAsia" w:ascii="宋体" w:hAnsi="宋体" w:cs="宋体"/>
          <w:kern w:val="0"/>
        </w:rPr>
        <w:t>发包人应将合同价款支付至合同协议书中约定的承包人账户。</w:t>
      </w:r>
    </w:p>
    <w:p w14:paraId="0BCFE6D6">
      <w:pPr>
        <w:pStyle w:val="7"/>
        <w:spacing w:before="120" w:after="120" w:line="360" w:lineRule="exact"/>
        <w:rPr>
          <w:rFonts w:ascii="宋体" w:hAnsi="宋体" w:cs="宋体"/>
          <w:b w:val="0"/>
          <w:sz w:val="21"/>
          <w:szCs w:val="21"/>
        </w:rPr>
      </w:pPr>
      <w:bookmarkStart w:id="456" w:name="_Toc351203586"/>
      <w:bookmarkStart w:id="457" w:name="_Toc296503106"/>
      <w:bookmarkStart w:id="458" w:name="_Toc322522574"/>
      <w:bookmarkStart w:id="459" w:name="_Toc296346607"/>
      <w:bookmarkStart w:id="460" w:name="_Toc337558804"/>
      <w:r>
        <w:rPr>
          <w:rFonts w:hint="eastAsia" w:ascii="宋体" w:hAnsi="宋体" w:cs="宋体"/>
          <w:b w:val="0"/>
          <w:sz w:val="21"/>
          <w:szCs w:val="21"/>
        </w:rPr>
        <w:t>13. 验收和工程试车</w:t>
      </w:r>
      <w:bookmarkEnd w:id="456"/>
    </w:p>
    <w:bookmarkEnd w:id="457"/>
    <w:bookmarkEnd w:id="458"/>
    <w:bookmarkEnd w:id="459"/>
    <w:bookmarkEnd w:id="460"/>
    <w:p w14:paraId="741768BD">
      <w:pPr>
        <w:pStyle w:val="8"/>
        <w:overflowPunct/>
        <w:spacing w:before="120" w:after="120" w:line="360" w:lineRule="exact"/>
        <w:ind w:firstLine="420" w:firstLineChars="200"/>
        <w:rPr>
          <w:rFonts w:ascii="宋体" w:hAnsi="宋体" w:cs="宋体"/>
          <w:b w:val="0"/>
          <w:sz w:val="21"/>
          <w:szCs w:val="21"/>
        </w:rPr>
      </w:pPr>
      <w:bookmarkStart w:id="461" w:name="_Toc351203587"/>
      <w:bookmarkStart w:id="462" w:name="_Toc337558805"/>
      <w:bookmarkStart w:id="463" w:name="_Toc296503110"/>
      <w:bookmarkStart w:id="464" w:name="_Toc296346611"/>
      <w:r>
        <w:rPr>
          <w:rFonts w:hint="eastAsia" w:ascii="宋体" w:hAnsi="宋体" w:cs="宋体"/>
          <w:b w:val="0"/>
          <w:sz w:val="21"/>
          <w:szCs w:val="21"/>
        </w:rPr>
        <w:t>13.1分部分项工程验收</w:t>
      </w:r>
      <w:bookmarkEnd w:id="461"/>
    </w:p>
    <w:bookmarkEnd w:id="462"/>
    <w:p w14:paraId="490605AE">
      <w:pPr>
        <w:spacing w:line="360" w:lineRule="exact"/>
        <w:ind w:firstLine="420" w:firstLineChars="200"/>
        <w:rPr>
          <w:rFonts w:ascii="宋体" w:hAnsi="宋体" w:cs="宋体"/>
        </w:rPr>
      </w:pPr>
      <w:r>
        <w:rPr>
          <w:rFonts w:hint="eastAsia" w:ascii="宋体" w:hAnsi="宋体" w:cs="宋体"/>
        </w:rPr>
        <w:t>13.1.1 分部分项工程质量应符合国家有关工程施工验收规范、标准及合同约定，承包人应按照施工组织设计的要求完成分部分项工程施工。</w:t>
      </w:r>
    </w:p>
    <w:p w14:paraId="52CB63AD">
      <w:pPr>
        <w:spacing w:line="360" w:lineRule="exact"/>
        <w:ind w:firstLine="420" w:firstLineChars="200"/>
        <w:rPr>
          <w:rFonts w:ascii="宋体" w:hAnsi="宋体" w:cs="宋体"/>
        </w:rPr>
      </w:pPr>
      <w:r>
        <w:rPr>
          <w:rFonts w:hint="eastAsia" w:ascii="宋体" w:hAnsi="宋体" w:cs="宋体"/>
        </w:rPr>
        <w:t>13.1.2 除专用合同条款另有约定外，分部分项工程经承包人自检合格并具备验收条件的，承包人应提前48小时通知监理人进行验收。</w:t>
      </w:r>
      <w:r>
        <w:rPr>
          <w:rFonts w:hint="eastAsia" w:ascii="宋体" w:hAnsi="宋体" w:cs="宋体"/>
          <w:kern w:val="0"/>
        </w:rPr>
        <w:t>监理人不能按时进行验收的，应在验收前24小时向承包人提交书面延期要求，但延期不能超过48小时。监理人未按时进行验收，也未提出延期要求的，承包人有权自行验收，监理人应认可验收结果。</w:t>
      </w:r>
      <w:r>
        <w:rPr>
          <w:rFonts w:hint="eastAsia" w:ascii="宋体" w:hAnsi="宋体" w:cs="宋体"/>
        </w:rPr>
        <w:t>分部分项工程未经验收的，不得进入下一道工序施工。</w:t>
      </w:r>
    </w:p>
    <w:p w14:paraId="09AB4137">
      <w:pPr>
        <w:spacing w:line="360" w:lineRule="exact"/>
        <w:ind w:firstLine="420" w:firstLineChars="200"/>
        <w:rPr>
          <w:rFonts w:ascii="宋体" w:hAnsi="宋体" w:cs="宋体"/>
        </w:rPr>
      </w:pPr>
      <w:r>
        <w:rPr>
          <w:rFonts w:hint="eastAsia" w:ascii="宋体" w:hAnsi="宋体" w:cs="宋体"/>
        </w:rPr>
        <w:t>分部分项工程的验收资料应当作为竣工资料的组成部分。</w:t>
      </w:r>
    </w:p>
    <w:p w14:paraId="6EAAE955">
      <w:pPr>
        <w:pStyle w:val="8"/>
        <w:overflowPunct/>
        <w:spacing w:before="120" w:after="120" w:line="360" w:lineRule="exact"/>
        <w:ind w:firstLine="420" w:firstLineChars="200"/>
        <w:rPr>
          <w:rFonts w:ascii="宋体" w:hAnsi="宋体" w:cs="宋体"/>
          <w:b w:val="0"/>
          <w:sz w:val="21"/>
          <w:szCs w:val="21"/>
        </w:rPr>
      </w:pPr>
      <w:bookmarkStart w:id="465" w:name="_Toc351203588"/>
      <w:bookmarkStart w:id="466" w:name="_Toc337558806"/>
      <w:r>
        <w:rPr>
          <w:rFonts w:hint="eastAsia" w:ascii="宋体" w:hAnsi="宋体" w:cs="宋体"/>
          <w:b w:val="0"/>
          <w:sz w:val="21"/>
          <w:szCs w:val="21"/>
        </w:rPr>
        <w:t>13.2竣工验收</w:t>
      </w:r>
      <w:bookmarkEnd w:id="465"/>
    </w:p>
    <w:bookmarkEnd w:id="463"/>
    <w:bookmarkEnd w:id="464"/>
    <w:bookmarkEnd w:id="466"/>
    <w:p w14:paraId="246B3A72">
      <w:pPr>
        <w:spacing w:line="360" w:lineRule="exact"/>
        <w:ind w:firstLine="420" w:firstLineChars="200"/>
        <w:jc w:val="left"/>
        <w:rPr>
          <w:rFonts w:ascii="宋体" w:hAnsi="宋体" w:cs="宋体"/>
          <w:kern w:val="0"/>
        </w:rPr>
      </w:pPr>
      <w:r>
        <w:rPr>
          <w:rFonts w:hint="eastAsia" w:ascii="宋体" w:hAnsi="宋体" w:cs="宋体"/>
          <w:kern w:val="0"/>
        </w:rPr>
        <w:t>13.2.1竣工验收条件</w:t>
      </w:r>
    </w:p>
    <w:p w14:paraId="5D6ED478">
      <w:pPr>
        <w:spacing w:line="360" w:lineRule="exact"/>
        <w:ind w:firstLine="420" w:firstLineChars="200"/>
        <w:jc w:val="left"/>
        <w:rPr>
          <w:rFonts w:ascii="宋体" w:hAnsi="宋体" w:cs="宋体"/>
          <w:kern w:val="0"/>
        </w:rPr>
      </w:pPr>
      <w:r>
        <w:rPr>
          <w:rFonts w:hint="eastAsia" w:ascii="宋体" w:hAnsi="宋体" w:cs="宋体"/>
          <w:kern w:val="0"/>
        </w:rPr>
        <w:t>工程具备以下条件的，承包人可以申请竣工验收：</w:t>
      </w:r>
    </w:p>
    <w:p w14:paraId="21858B71">
      <w:pPr>
        <w:spacing w:line="360" w:lineRule="exact"/>
        <w:ind w:firstLine="420" w:firstLineChars="200"/>
        <w:jc w:val="left"/>
        <w:rPr>
          <w:rFonts w:ascii="宋体" w:hAnsi="宋体" w:cs="宋体"/>
          <w:kern w:val="0"/>
        </w:rPr>
      </w:pPr>
      <w:r>
        <w:rPr>
          <w:rFonts w:hint="eastAsia" w:ascii="宋体" w:hAnsi="宋体" w:cs="宋体"/>
          <w:kern w:val="0"/>
        </w:rPr>
        <w:t>（1）除发包人同意的甩项工作和缺陷修补工作外，合同范围内的全部工程以及有关工作，包括合同要求的试验、试运行以及检验均已完成，并符合合同要求；</w:t>
      </w:r>
    </w:p>
    <w:p w14:paraId="0BEE00CA">
      <w:pPr>
        <w:spacing w:line="360" w:lineRule="exact"/>
        <w:ind w:firstLine="420" w:firstLineChars="200"/>
        <w:jc w:val="left"/>
        <w:rPr>
          <w:rFonts w:ascii="宋体" w:hAnsi="宋体" w:cs="宋体"/>
          <w:kern w:val="0"/>
        </w:rPr>
      </w:pPr>
      <w:r>
        <w:rPr>
          <w:rFonts w:hint="eastAsia" w:ascii="宋体" w:hAnsi="宋体" w:cs="宋体"/>
          <w:kern w:val="0"/>
        </w:rPr>
        <w:t>（2）已按合同约定编制了甩项工作和缺陷修补工作清单以及相应的施工计划；</w:t>
      </w:r>
    </w:p>
    <w:p w14:paraId="3A6BB5C8">
      <w:pPr>
        <w:spacing w:line="360" w:lineRule="exact"/>
        <w:ind w:firstLine="420" w:firstLineChars="200"/>
        <w:jc w:val="left"/>
        <w:rPr>
          <w:rFonts w:ascii="宋体" w:hAnsi="宋体" w:cs="宋体"/>
          <w:kern w:val="0"/>
        </w:rPr>
      </w:pPr>
      <w:r>
        <w:rPr>
          <w:rFonts w:hint="eastAsia" w:ascii="宋体" w:hAnsi="宋体" w:cs="宋体"/>
          <w:kern w:val="0"/>
        </w:rPr>
        <w:t>（3）已按合同约定的内容和份数备齐竣工资料。</w:t>
      </w:r>
    </w:p>
    <w:p w14:paraId="00BBBFED">
      <w:pPr>
        <w:spacing w:line="360" w:lineRule="exact"/>
        <w:ind w:firstLine="420" w:firstLineChars="200"/>
        <w:jc w:val="left"/>
        <w:rPr>
          <w:rFonts w:ascii="宋体" w:hAnsi="宋体" w:cs="宋体"/>
          <w:kern w:val="0"/>
        </w:rPr>
      </w:pPr>
      <w:r>
        <w:rPr>
          <w:rFonts w:hint="eastAsia" w:ascii="宋体" w:hAnsi="宋体" w:cs="宋体"/>
          <w:kern w:val="0"/>
        </w:rPr>
        <w:t>13.2.2竣工验收程序</w:t>
      </w:r>
    </w:p>
    <w:p w14:paraId="3D9BA33E">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除专用合同条款另有约定外，承包人申请竣工验收的，应当按照以下程序进行：</w:t>
      </w:r>
    </w:p>
    <w:p w14:paraId="03172EB1">
      <w:pPr>
        <w:spacing w:line="360" w:lineRule="exact"/>
        <w:ind w:firstLine="420" w:firstLineChars="200"/>
        <w:jc w:val="left"/>
        <w:rPr>
          <w:rFonts w:ascii="宋体" w:hAnsi="宋体" w:cs="宋体"/>
          <w:kern w:val="0"/>
        </w:rPr>
      </w:pPr>
      <w:r>
        <w:rPr>
          <w:rFonts w:hint="eastAsia" w:ascii="宋体" w:hAnsi="宋体" w:cs="宋体"/>
          <w:kern w:val="0"/>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706140FB">
      <w:pPr>
        <w:spacing w:line="360" w:lineRule="exact"/>
        <w:ind w:firstLine="420" w:firstLineChars="200"/>
        <w:jc w:val="left"/>
        <w:rPr>
          <w:rFonts w:ascii="宋体" w:hAnsi="宋体" w:cs="宋体"/>
          <w:kern w:val="0"/>
        </w:rPr>
      </w:pPr>
      <w:r>
        <w:rPr>
          <w:rFonts w:hint="eastAsia" w:ascii="宋体" w:hAnsi="宋体" w:cs="宋体"/>
          <w:kern w:val="0"/>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0772200C">
      <w:pPr>
        <w:spacing w:line="360" w:lineRule="exact"/>
        <w:ind w:firstLine="420" w:firstLineChars="200"/>
        <w:jc w:val="left"/>
        <w:rPr>
          <w:rFonts w:ascii="宋体" w:hAnsi="宋体" w:cs="宋体"/>
          <w:kern w:val="0"/>
        </w:rPr>
      </w:pPr>
      <w:r>
        <w:rPr>
          <w:rFonts w:hint="eastAsia" w:ascii="宋体" w:hAnsi="宋体" w:cs="宋体"/>
          <w:kern w:val="0"/>
        </w:rPr>
        <w:t>（3）竣工验收合格的，发包人应在验收合格后14天内向承包人签发工程接收证书。发包人无正当理由逾期不颁发工程接收证书的，自验收合格后第15天起视为已颁发工程接收证书。</w:t>
      </w:r>
    </w:p>
    <w:p w14:paraId="476CD6C1">
      <w:pPr>
        <w:spacing w:line="360" w:lineRule="exact"/>
        <w:ind w:firstLine="420" w:firstLineChars="200"/>
        <w:jc w:val="left"/>
        <w:rPr>
          <w:rFonts w:ascii="宋体" w:hAnsi="宋体" w:cs="宋体"/>
          <w:kern w:val="0"/>
        </w:rPr>
      </w:pPr>
      <w:r>
        <w:rPr>
          <w:rFonts w:hint="eastAsia" w:ascii="宋体" w:hAnsi="宋体" w:cs="宋体"/>
          <w:kern w:val="0"/>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6270AE18">
      <w:pPr>
        <w:spacing w:line="360" w:lineRule="exact"/>
        <w:ind w:firstLine="420" w:firstLineChars="200"/>
        <w:jc w:val="left"/>
        <w:rPr>
          <w:rFonts w:ascii="宋体" w:hAnsi="宋体" w:cs="宋体"/>
          <w:kern w:val="0"/>
        </w:rPr>
      </w:pPr>
      <w:r>
        <w:rPr>
          <w:rFonts w:hint="eastAsia" w:ascii="宋体" w:hAnsi="宋体" w:cs="宋体"/>
          <w:kern w:val="0"/>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3C91692A">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除专用合同条款另有约定外，发包人不按照本项约定组织竣工验收、颁发工程接收证书的，每逾期一天，应以签约合同价为基数，按照中国人民银行发布的同期同类贷款基准利率支付违约金。</w:t>
      </w:r>
    </w:p>
    <w:p w14:paraId="726F744B">
      <w:pPr>
        <w:spacing w:line="360" w:lineRule="exact"/>
        <w:ind w:firstLine="420" w:firstLineChars="200"/>
        <w:jc w:val="left"/>
        <w:rPr>
          <w:rFonts w:ascii="宋体" w:hAnsi="宋体" w:cs="宋体"/>
          <w:kern w:val="0"/>
        </w:rPr>
      </w:pPr>
      <w:r>
        <w:rPr>
          <w:rFonts w:hint="eastAsia" w:ascii="宋体" w:hAnsi="宋体" w:cs="宋体"/>
          <w:kern w:val="0"/>
        </w:rPr>
        <w:t>13.2.3竣工日期</w:t>
      </w:r>
    </w:p>
    <w:p w14:paraId="347DD9D9">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467" w:name="#go14"/>
      <w:bookmarkEnd w:id="467"/>
      <w:r>
        <w:rPr>
          <w:rFonts w:hint="eastAsia" w:ascii="宋体" w:hAnsi="宋体" w:cs="宋体"/>
          <w:kern w:val="0"/>
        </w:rPr>
        <w:t>收申请报告的日期为实际竣工日期；工程未经竣工验收，发包人擅自使用的，以转移占有工程之日为实际竣工日期。</w:t>
      </w:r>
    </w:p>
    <w:p w14:paraId="6E8A92EC">
      <w:pPr>
        <w:pStyle w:val="6"/>
        <w:spacing w:line="360" w:lineRule="exact"/>
        <w:rPr>
          <w:rFonts w:ascii="宋体" w:hAnsi="宋体" w:cs="宋体"/>
          <w:sz w:val="21"/>
          <w:szCs w:val="21"/>
        </w:rPr>
      </w:pPr>
      <w:r>
        <w:rPr>
          <w:rFonts w:hint="eastAsia" w:ascii="宋体" w:hAnsi="宋体" w:cs="宋体"/>
          <w:sz w:val="21"/>
          <w:szCs w:val="21"/>
        </w:rPr>
        <w:t>13.2.4 拒绝接收全部或部分工程</w:t>
      </w:r>
    </w:p>
    <w:p w14:paraId="4CF1B7CB">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14:paraId="075266FA">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13.2.5 移交、接收全部与部分工程</w:t>
      </w:r>
    </w:p>
    <w:p w14:paraId="54743409">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除专用合同条款另有约定外，合同当事人应当在颁发工程接收证书后7天内完成工程的移交。</w:t>
      </w:r>
    </w:p>
    <w:p w14:paraId="6641EE4F">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发包人无正当理由不接收工程的，发包人自应当接收工程之日起，承担工程照管、成品保护、保管等与工程有关的各项费用，合同当事人可以在专用合同条款中另行约定发包人逾期接收工程的违约责任。</w:t>
      </w:r>
    </w:p>
    <w:p w14:paraId="3700B5E9">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承包人无正当理由不移交工程的，承包人应承担工程照管、成品保护、保管等与工程有关的各项费用，合同当事人可以在专用合同条款中另行约定承包人无正当理由不移交工程的违约责任。</w:t>
      </w:r>
    </w:p>
    <w:p w14:paraId="56F1A052">
      <w:pPr>
        <w:pStyle w:val="7"/>
        <w:spacing w:line="360" w:lineRule="exact"/>
        <w:rPr>
          <w:rFonts w:ascii="宋体" w:hAnsi="宋体" w:cs="宋体"/>
          <w:b w:val="0"/>
          <w:sz w:val="21"/>
          <w:szCs w:val="21"/>
        </w:rPr>
      </w:pPr>
      <w:bookmarkStart w:id="468" w:name="_Toc351203589"/>
      <w:bookmarkStart w:id="469" w:name="_Toc296346612"/>
      <w:bookmarkStart w:id="470" w:name="_Toc337558807"/>
      <w:bookmarkStart w:id="471" w:name="_Toc296503111"/>
      <w:r>
        <w:rPr>
          <w:rFonts w:hint="eastAsia" w:ascii="宋体" w:hAnsi="宋体" w:cs="宋体"/>
          <w:b w:val="0"/>
          <w:sz w:val="21"/>
          <w:szCs w:val="21"/>
        </w:rPr>
        <w:t>13.3工程试车</w:t>
      </w:r>
      <w:bookmarkEnd w:id="468"/>
    </w:p>
    <w:bookmarkEnd w:id="469"/>
    <w:bookmarkEnd w:id="470"/>
    <w:bookmarkEnd w:id="471"/>
    <w:p w14:paraId="408BA4E0">
      <w:pPr>
        <w:spacing w:line="360" w:lineRule="exact"/>
        <w:ind w:firstLine="420" w:firstLineChars="200"/>
        <w:jc w:val="left"/>
        <w:rPr>
          <w:rFonts w:ascii="宋体" w:hAnsi="宋体" w:cs="宋体"/>
          <w:kern w:val="0"/>
        </w:rPr>
      </w:pPr>
      <w:r>
        <w:rPr>
          <w:rFonts w:hint="eastAsia" w:ascii="宋体" w:hAnsi="宋体" w:cs="宋体"/>
          <w:kern w:val="0"/>
        </w:rPr>
        <w:t>13.3.1试车程序</w:t>
      </w:r>
    </w:p>
    <w:p w14:paraId="5235E63A">
      <w:pPr>
        <w:spacing w:line="360" w:lineRule="exact"/>
        <w:ind w:firstLine="420" w:firstLineChars="200"/>
        <w:jc w:val="left"/>
        <w:rPr>
          <w:rFonts w:ascii="宋体" w:hAnsi="宋体" w:cs="宋体"/>
          <w:kern w:val="0"/>
        </w:rPr>
      </w:pPr>
      <w:r>
        <w:rPr>
          <w:rFonts w:hint="eastAsia" w:ascii="宋体" w:hAnsi="宋体" w:cs="宋体"/>
          <w:kern w:val="0"/>
        </w:rPr>
        <w:t>工程需要试车的，除专用合同条款另有约定外，试车内容应与承包人承包范围相一致，试车费用由承包人承担。工程试车应按如下程序进行：</w:t>
      </w:r>
    </w:p>
    <w:p w14:paraId="60B8C04E">
      <w:pPr>
        <w:spacing w:line="360" w:lineRule="exact"/>
        <w:ind w:firstLine="420" w:firstLineChars="200"/>
        <w:jc w:val="left"/>
        <w:rPr>
          <w:rFonts w:ascii="宋体" w:hAnsi="宋体" w:cs="宋体"/>
          <w:kern w:val="0"/>
        </w:rPr>
      </w:pPr>
      <w:r>
        <w:rPr>
          <w:rFonts w:hint="eastAsia" w:ascii="宋体" w:hAnsi="宋体" w:cs="宋体"/>
          <w:kern w:val="0"/>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14:paraId="642F7818">
      <w:pPr>
        <w:spacing w:line="360" w:lineRule="exact"/>
        <w:ind w:firstLine="420" w:firstLineChars="200"/>
        <w:jc w:val="left"/>
        <w:rPr>
          <w:rFonts w:ascii="宋体" w:hAnsi="宋体" w:cs="宋体"/>
          <w:kern w:val="0"/>
        </w:rPr>
      </w:pPr>
      <w:r>
        <w:rPr>
          <w:rFonts w:hint="eastAsia" w:ascii="宋体" w:hAnsi="宋体" w:cs="宋体"/>
          <w:kern w:val="0"/>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14:paraId="0370A595">
      <w:pPr>
        <w:spacing w:line="360" w:lineRule="exact"/>
        <w:ind w:firstLine="420" w:firstLineChars="200"/>
        <w:jc w:val="left"/>
        <w:rPr>
          <w:rFonts w:ascii="宋体" w:hAnsi="宋体" w:cs="宋体"/>
          <w:kern w:val="0"/>
        </w:rPr>
      </w:pPr>
      <w:r>
        <w:rPr>
          <w:rFonts w:hint="eastAsia" w:ascii="宋体" w:hAnsi="宋体" w:cs="宋体"/>
          <w:kern w:val="0"/>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14:paraId="14315086">
      <w:pPr>
        <w:spacing w:line="360" w:lineRule="exact"/>
        <w:ind w:firstLine="420" w:firstLineChars="200"/>
        <w:jc w:val="left"/>
        <w:rPr>
          <w:rFonts w:ascii="宋体" w:hAnsi="宋体" w:cs="宋体"/>
          <w:kern w:val="0"/>
        </w:rPr>
      </w:pPr>
      <w:r>
        <w:rPr>
          <w:rFonts w:hint="eastAsia" w:ascii="宋体" w:hAnsi="宋体" w:cs="宋体"/>
          <w:kern w:val="0"/>
        </w:rPr>
        <w:t>13.3.2 试车中的责任</w:t>
      </w:r>
    </w:p>
    <w:p w14:paraId="1AB4EE48">
      <w:pPr>
        <w:spacing w:line="360" w:lineRule="exact"/>
        <w:ind w:firstLine="420" w:firstLineChars="200"/>
        <w:jc w:val="left"/>
        <w:rPr>
          <w:rFonts w:ascii="宋体" w:hAnsi="宋体" w:cs="宋体"/>
          <w:kern w:val="0"/>
        </w:rPr>
      </w:pPr>
      <w:r>
        <w:rPr>
          <w:rFonts w:hint="eastAsia" w:ascii="宋体" w:hAnsi="宋体" w:cs="宋体"/>
          <w:kern w:val="0"/>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14:paraId="6178397D">
      <w:pPr>
        <w:spacing w:line="360" w:lineRule="exact"/>
        <w:ind w:firstLine="420" w:firstLineChars="200"/>
        <w:jc w:val="left"/>
        <w:rPr>
          <w:rFonts w:ascii="宋体" w:hAnsi="宋体" w:cs="宋体"/>
          <w:kern w:val="0"/>
        </w:rPr>
      </w:pPr>
      <w:r>
        <w:rPr>
          <w:rFonts w:hint="eastAsia" w:ascii="宋体" w:hAnsi="宋体" w:cs="宋体"/>
          <w:kern w:val="0"/>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14:paraId="4962B5EF">
      <w:pPr>
        <w:spacing w:line="360" w:lineRule="exact"/>
        <w:ind w:firstLine="420" w:firstLineChars="200"/>
        <w:jc w:val="left"/>
        <w:rPr>
          <w:rFonts w:ascii="宋体" w:hAnsi="宋体" w:cs="宋体"/>
          <w:kern w:val="0"/>
        </w:rPr>
      </w:pPr>
      <w:r>
        <w:rPr>
          <w:rFonts w:hint="eastAsia" w:ascii="宋体" w:hAnsi="宋体" w:cs="宋体"/>
          <w:kern w:val="0"/>
        </w:rPr>
        <w:t>13.3.3 投料试车</w:t>
      </w:r>
    </w:p>
    <w:p w14:paraId="52E16BE5">
      <w:pPr>
        <w:spacing w:line="360" w:lineRule="exact"/>
        <w:ind w:firstLine="420" w:firstLineChars="200"/>
        <w:jc w:val="left"/>
        <w:rPr>
          <w:rFonts w:ascii="宋体" w:hAnsi="宋体" w:cs="宋体"/>
          <w:kern w:val="0"/>
        </w:rPr>
      </w:pPr>
      <w:r>
        <w:rPr>
          <w:rFonts w:hint="eastAsia" w:ascii="宋体" w:hAnsi="宋体" w:cs="宋体"/>
          <w:kern w:val="0"/>
        </w:rPr>
        <w:t>如需进行投料试车的，发包人应在工程竣工验收后组织投料试车。发包人要求在工程竣工验收前进行或需要承包人配合时，应征得承包人同意，并在专用合同条款中约定有关事项。</w:t>
      </w:r>
    </w:p>
    <w:p w14:paraId="799DF0A4">
      <w:pPr>
        <w:spacing w:line="360" w:lineRule="exact"/>
        <w:ind w:firstLine="420" w:firstLineChars="200"/>
        <w:jc w:val="left"/>
        <w:rPr>
          <w:rFonts w:ascii="宋体" w:hAnsi="宋体" w:cs="宋体"/>
          <w:kern w:val="0"/>
        </w:rPr>
      </w:pPr>
      <w:r>
        <w:rPr>
          <w:rFonts w:hint="eastAsia" w:ascii="宋体" w:hAnsi="宋体" w:cs="宋体"/>
          <w:kern w:val="0"/>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14:paraId="0FE3123B">
      <w:pPr>
        <w:pStyle w:val="8"/>
        <w:overflowPunct/>
        <w:spacing w:before="120" w:after="120" w:line="360" w:lineRule="exact"/>
        <w:rPr>
          <w:rFonts w:ascii="宋体" w:hAnsi="宋体" w:cs="宋体"/>
          <w:b w:val="0"/>
          <w:sz w:val="21"/>
          <w:szCs w:val="21"/>
        </w:rPr>
      </w:pPr>
      <w:bookmarkStart w:id="472" w:name="_Toc337558808"/>
      <w:r>
        <w:rPr>
          <w:rFonts w:hint="eastAsia" w:ascii="宋体" w:hAnsi="宋体" w:cs="宋体"/>
          <w:b w:val="0"/>
          <w:sz w:val="21"/>
          <w:szCs w:val="21"/>
        </w:rPr>
        <w:t xml:space="preserve">    </w:t>
      </w:r>
      <w:bookmarkStart w:id="473" w:name="_Toc351203590"/>
      <w:r>
        <w:rPr>
          <w:rFonts w:hint="eastAsia" w:ascii="宋体" w:hAnsi="宋体" w:cs="宋体"/>
          <w:b w:val="0"/>
          <w:sz w:val="21"/>
          <w:szCs w:val="21"/>
        </w:rPr>
        <w:t>13.4提前交付单位工程的验收</w:t>
      </w:r>
      <w:bookmarkEnd w:id="473"/>
    </w:p>
    <w:bookmarkEnd w:id="472"/>
    <w:p w14:paraId="7244B440">
      <w:pPr>
        <w:spacing w:line="360" w:lineRule="exact"/>
        <w:ind w:firstLine="420" w:firstLineChars="200"/>
        <w:jc w:val="left"/>
        <w:rPr>
          <w:rFonts w:ascii="宋体" w:hAnsi="宋体" w:cs="宋体"/>
          <w:kern w:val="0"/>
        </w:rPr>
      </w:pPr>
      <w:r>
        <w:rPr>
          <w:rFonts w:hint="eastAsia" w:ascii="宋体" w:hAnsi="宋体" w:cs="宋体"/>
          <w:kern w:val="0"/>
        </w:rPr>
        <w:t>13.4.1 发包人需要在工程竣工前使用单位工程的，或承包人提出提前交付已经竣工的单位工程且经发包人同意的，可进行单位工程验收，验收的程序按照第13.2款〔竣工验收〕的约定进行。</w:t>
      </w:r>
    </w:p>
    <w:p w14:paraId="7291F482">
      <w:pPr>
        <w:spacing w:line="360" w:lineRule="exact"/>
        <w:ind w:firstLine="420" w:firstLineChars="200"/>
        <w:jc w:val="left"/>
        <w:rPr>
          <w:rFonts w:ascii="宋体" w:hAnsi="宋体" w:cs="宋体"/>
          <w:kern w:val="0"/>
        </w:rPr>
      </w:pPr>
      <w:r>
        <w:rPr>
          <w:rFonts w:hint="eastAsia" w:ascii="宋体" w:hAnsi="宋体" w:cs="宋体"/>
          <w:kern w:val="0"/>
        </w:rPr>
        <w:t>验收合格后，由监理人向承包人出具经发包人签认的单位工程接收证书。已签发单位工程接收证书的单位工程由发包人负责照管。单位工程的验收成果和结论作为整体工程竣工验收申请报告的附件。</w:t>
      </w:r>
    </w:p>
    <w:p w14:paraId="04B3B88C">
      <w:pPr>
        <w:spacing w:line="360" w:lineRule="exact"/>
        <w:ind w:firstLine="420" w:firstLineChars="200"/>
        <w:jc w:val="left"/>
        <w:rPr>
          <w:rFonts w:ascii="宋体" w:hAnsi="宋体" w:cs="宋体"/>
          <w:kern w:val="0"/>
        </w:rPr>
      </w:pPr>
      <w:r>
        <w:rPr>
          <w:rFonts w:hint="eastAsia" w:ascii="宋体" w:hAnsi="宋体" w:cs="宋体"/>
          <w:kern w:val="0"/>
        </w:rPr>
        <w:t>13.4.2 发包人要求在工程竣工前交付单位工程，由此导致承包人费用增加和（或）工期延误的，由发包人承担由此增加的费用和（或）延误的工期，并支付承包人合理的利润。</w:t>
      </w:r>
    </w:p>
    <w:p w14:paraId="0D6C4518">
      <w:pPr>
        <w:pStyle w:val="8"/>
        <w:overflowPunct/>
        <w:spacing w:before="120" w:after="120" w:line="360" w:lineRule="exact"/>
        <w:ind w:firstLine="420" w:firstLineChars="200"/>
        <w:rPr>
          <w:rFonts w:ascii="宋体" w:hAnsi="宋体" w:cs="宋体"/>
          <w:b w:val="0"/>
          <w:sz w:val="21"/>
          <w:szCs w:val="21"/>
        </w:rPr>
      </w:pPr>
      <w:bookmarkStart w:id="474" w:name="_Toc351203591"/>
      <w:r>
        <w:rPr>
          <w:rFonts w:hint="eastAsia" w:ascii="宋体" w:hAnsi="宋体" w:cs="宋体"/>
          <w:b w:val="0"/>
          <w:sz w:val="21"/>
          <w:szCs w:val="21"/>
        </w:rPr>
        <w:t>13.5 施工期运行</w:t>
      </w:r>
      <w:bookmarkEnd w:id="474"/>
    </w:p>
    <w:p w14:paraId="79683F0B">
      <w:pPr>
        <w:spacing w:line="360" w:lineRule="exact"/>
        <w:ind w:firstLine="420" w:firstLineChars="200"/>
        <w:jc w:val="left"/>
        <w:rPr>
          <w:rFonts w:ascii="宋体" w:hAnsi="宋体" w:cs="宋体"/>
          <w:kern w:val="0"/>
        </w:rPr>
      </w:pPr>
      <w:r>
        <w:rPr>
          <w:rFonts w:hint="eastAsia" w:ascii="宋体" w:hAnsi="宋体" w:cs="宋体"/>
          <w:kern w:val="0"/>
        </w:rPr>
        <w:t>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p>
    <w:p w14:paraId="0C4848A4">
      <w:pPr>
        <w:spacing w:line="360" w:lineRule="exact"/>
        <w:ind w:firstLine="420" w:firstLineChars="200"/>
        <w:jc w:val="left"/>
        <w:rPr>
          <w:rFonts w:ascii="宋体" w:hAnsi="宋体" w:cs="宋体"/>
          <w:kern w:val="0"/>
        </w:rPr>
      </w:pPr>
      <w:r>
        <w:rPr>
          <w:rFonts w:hint="eastAsia" w:ascii="宋体" w:hAnsi="宋体" w:cs="宋体"/>
          <w:kern w:val="0"/>
        </w:rPr>
        <w:t>13.5.2 在施工期运行中发现工程或工程设备损坏或存在缺陷的，由承包人按第15.2款〔缺陷责任期〕约定进行修复。</w:t>
      </w:r>
    </w:p>
    <w:p w14:paraId="75F6A47C">
      <w:pPr>
        <w:pStyle w:val="8"/>
        <w:overflowPunct/>
        <w:spacing w:before="120" w:after="120" w:line="360" w:lineRule="exact"/>
        <w:ind w:firstLine="420" w:firstLineChars="200"/>
        <w:rPr>
          <w:rFonts w:ascii="宋体" w:hAnsi="宋体" w:cs="宋体"/>
          <w:b w:val="0"/>
          <w:sz w:val="21"/>
          <w:szCs w:val="21"/>
        </w:rPr>
      </w:pPr>
      <w:bookmarkStart w:id="475" w:name="_Toc296346613"/>
      <w:bookmarkStart w:id="476" w:name="_Toc296503112"/>
      <w:bookmarkStart w:id="477" w:name="_Toc351203592"/>
      <w:bookmarkStart w:id="478" w:name="_Toc337558809"/>
      <w:r>
        <w:rPr>
          <w:rFonts w:hint="eastAsia" w:ascii="宋体" w:hAnsi="宋体" w:cs="宋体"/>
          <w:b w:val="0"/>
          <w:sz w:val="21"/>
          <w:szCs w:val="21"/>
        </w:rPr>
        <w:t>13.6 竣工退</w:t>
      </w:r>
      <w:bookmarkEnd w:id="475"/>
      <w:bookmarkEnd w:id="476"/>
      <w:r>
        <w:rPr>
          <w:rFonts w:hint="eastAsia" w:ascii="宋体" w:hAnsi="宋体" w:cs="宋体"/>
          <w:b w:val="0"/>
          <w:sz w:val="21"/>
          <w:szCs w:val="21"/>
        </w:rPr>
        <w:t>场</w:t>
      </w:r>
      <w:bookmarkEnd w:id="477"/>
    </w:p>
    <w:bookmarkEnd w:id="478"/>
    <w:p w14:paraId="70E0B618">
      <w:pPr>
        <w:spacing w:line="360" w:lineRule="exact"/>
        <w:ind w:firstLine="420" w:firstLineChars="200"/>
        <w:jc w:val="left"/>
        <w:rPr>
          <w:rFonts w:ascii="宋体" w:hAnsi="宋体" w:cs="宋体"/>
          <w:kern w:val="0"/>
        </w:rPr>
      </w:pPr>
      <w:r>
        <w:rPr>
          <w:rFonts w:hint="eastAsia" w:ascii="宋体" w:hAnsi="宋体" w:cs="宋体"/>
          <w:kern w:val="0"/>
        </w:rPr>
        <w:t>13.6.1 竣工退场</w:t>
      </w:r>
    </w:p>
    <w:p w14:paraId="1C9811B2">
      <w:pPr>
        <w:spacing w:line="360" w:lineRule="exact"/>
        <w:ind w:firstLine="420" w:firstLineChars="200"/>
        <w:jc w:val="left"/>
        <w:rPr>
          <w:rFonts w:ascii="宋体" w:hAnsi="宋体" w:cs="宋体"/>
          <w:kern w:val="0"/>
        </w:rPr>
      </w:pPr>
      <w:r>
        <w:rPr>
          <w:rFonts w:hint="eastAsia" w:ascii="宋体" w:hAnsi="宋体" w:cs="宋体"/>
          <w:kern w:val="0"/>
        </w:rPr>
        <w:t>颁发工程接收证书后，承包人应按以下要求对施工现场进行清理：</w:t>
      </w:r>
    </w:p>
    <w:p w14:paraId="364EA04E">
      <w:pPr>
        <w:spacing w:line="360" w:lineRule="exact"/>
        <w:ind w:firstLine="420" w:firstLineChars="200"/>
        <w:jc w:val="left"/>
        <w:rPr>
          <w:rFonts w:ascii="宋体" w:hAnsi="宋体" w:cs="宋体"/>
          <w:kern w:val="0"/>
        </w:rPr>
      </w:pPr>
      <w:r>
        <w:rPr>
          <w:rFonts w:hint="eastAsia" w:ascii="宋体" w:hAnsi="宋体" w:cs="宋体"/>
          <w:kern w:val="0"/>
        </w:rPr>
        <w:t>（1）施工现场内残留的垃圾已全部清除出场；</w:t>
      </w:r>
    </w:p>
    <w:p w14:paraId="4C5EF8B4">
      <w:pPr>
        <w:spacing w:line="360" w:lineRule="exact"/>
        <w:ind w:firstLine="420" w:firstLineChars="200"/>
        <w:jc w:val="left"/>
        <w:rPr>
          <w:rFonts w:ascii="宋体" w:hAnsi="宋体" w:cs="宋体"/>
          <w:kern w:val="0"/>
        </w:rPr>
      </w:pPr>
      <w:r>
        <w:rPr>
          <w:rFonts w:hint="eastAsia" w:ascii="宋体" w:hAnsi="宋体" w:cs="宋体"/>
          <w:kern w:val="0"/>
        </w:rPr>
        <w:t>（2）临时工程已拆除，场地已进行清理、平整或复原；</w:t>
      </w:r>
    </w:p>
    <w:p w14:paraId="648DB1C5">
      <w:pPr>
        <w:spacing w:line="360" w:lineRule="exact"/>
        <w:ind w:firstLine="420" w:firstLineChars="200"/>
        <w:jc w:val="left"/>
        <w:rPr>
          <w:rFonts w:ascii="宋体" w:hAnsi="宋体" w:cs="宋体"/>
          <w:kern w:val="0"/>
        </w:rPr>
      </w:pPr>
      <w:r>
        <w:rPr>
          <w:rFonts w:hint="eastAsia" w:ascii="宋体" w:hAnsi="宋体" w:cs="宋体"/>
          <w:kern w:val="0"/>
        </w:rPr>
        <w:t>（3）按合同约定应撤离的人员、承包人施工设备和剩余的材料，包括废弃的施工设备和材料，已按计划撤离施工现场；</w:t>
      </w:r>
    </w:p>
    <w:p w14:paraId="59E35DDA">
      <w:pPr>
        <w:spacing w:line="360" w:lineRule="exact"/>
        <w:ind w:firstLine="420" w:firstLineChars="200"/>
        <w:jc w:val="left"/>
        <w:rPr>
          <w:rFonts w:ascii="宋体" w:hAnsi="宋体" w:cs="宋体"/>
          <w:kern w:val="0"/>
        </w:rPr>
      </w:pPr>
      <w:r>
        <w:rPr>
          <w:rFonts w:hint="eastAsia" w:ascii="宋体" w:hAnsi="宋体" w:cs="宋体"/>
          <w:kern w:val="0"/>
        </w:rPr>
        <w:t>（4）施工现场周边及其附近道路、河道的施工堆积物，已全部清理；</w:t>
      </w:r>
    </w:p>
    <w:p w14:paraId="680A3CEC">
      <w:pPr>
        <w:spacing w:line="360" w:lineRule="exact"/>
        <w:ind w:firstLine="420" w:firstLineChars="200"/>
        <w:jc w:val="left"/>
        <w:rPr>
          <w:rFonts w:ascii="宋体" w:hAnsi="宋体" w:cs="宋体"/>
          <w:kern w:val="0"/>
        </w:rPr>
      </w:pPr>
      <w:r>
        <w:rPr>
          <w:rFonts w:hint="eastAsia" w:ascii="宋体" w:hAnsi="宋体" w:cs="宋体"/>
          <w:kern w:val="0"/>
        </w:rPr>
        <w:t>（5）施工现场其他场地清理工作已全部完成。</w:t>
      </w:r>
    </w:p>
    <w:p w14:paraId="09ECA44A">
      <w:pPr>
        <w:spacing w:line="360" w:lineRule="exact"/>
        <w:ind w:firstLine="420" w:firstLineChars="200"/>
        <w:jc w:val="left"/>
        <w:rPr>
          <w:rFonts w:ascii="宋体" w:hAnsi="宋体" w:cs="宋体"/>
          <w:kern w:val="0"/>
        </w:rPr>
      </w:pPr>
      <w:r>
        <w:rPr>
          <w:rFonts w:hint="eastAsia" w:ascii="宋体" w:hAnsi="宋体" w:cs="宋体"/>
          <w:kern w:val="0"/>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14:paraId="64BB9434">
      <w:pPr>
        <w:spacing w:line="360" w:lineRule="exact"/>
        <w:ind w:firstLine="420" w:firstLineChars="200"/>
        <w:jc w:val="left"/>
        <w:rPr>
          <w:rFonts w:ascii="宋体" w:hAnsi="宋体" w:cs="宋体"/>
          <w:kern w:val="0"/>
        </w:rPr>
      </w:pPr>
      <w:r>
        <w:rPr>
          <w:rFonts w:hint="eastAsia" w:ascii="宋体" w:hAnsi="宋体" w:cs="宋体"/>
          <w:kern w:val="0"/>
        </w:rPr>
        <w:t>13.6.2 地表还原</w:t>
      </w:r>
    </w:p>
    <w:p w14:paraId="3077BB5E">
      <w:pPr>
        <w:spacing w:line="360" w:lineRule="exact"/>
        <w:ind w:firstLine="420" w:firstLineChars="200"/>
        <w:jc w:val="left"/>
        <w:rPr>
          <w:rFonts w:ascii="宋体" w:hAnsi="宋体" w:cs="宋体"/>
          <w:kern w:val="0"/>
        </w:rPr>
      </w:pPr>
      <w:r>
        <w:rPr>
          <w:rFonts w:hint="eastAsia" w:ascii="宋体" w:hAnsi="宋体" w:cs="宋体"/>
          <w:kern w:val="0"/>
        </w:rPr>
        <w:t>承包人应按发包人要求恢复临时占地及清理场地，承包人未按发包人的要求恢复临时占地，或者场地清理未达到合同约定要求的，发包人有权委托其他人恢复或清理，所发生的费用由承包人承担。</w:t>
      </w:r>
    </w:p>
    <w:p w14:paraId="523A9603">
      <w:pPr>
        <w:pStyle w:val="7"/>
        <w:spacing w:before="120" w:after="120" w:line="360" w:lineRule="exact"/>
        <w:rPr>
          <w:rFonts w:ascii="宋体" w:hAnsi="宋体" w:cs="宋体"/>
          <w:b w:val="0"/>
          <w:sz w:val="21"/>
          <w:szCs w:val="21"/>
        </w:rPr>
      </w:pPr>
      <w:bookmarkStart w:id="479" w:name="_Toc351203593"/>
      <w:bookmarkStart w:id="480" w:name="_Toc337558810"/>
      <w:bookmarkStart w:id="481" w:name="_Toc296346614"/>
      <w:bookmarkStart w:id="482" w:name="_Toc296503113"/>
      <w:r>
        <w:rPr>
          <w:rFonts w:hint="eastAsia" w:ascii="宋体" w:hAnsi="宋体" w:cs="宋体"/>
          <w:b w:val="0"/>
          <w:sz w:val="21"/>
          <w:szCs w:val="21"/>
        </w:rPr>
        <w:t>14. 竣工结算</w:t>
      </w:r>
      <w:bookmarkEnd w:id="479"/>
    </w:p>
    <w:bookmarkEnd w:id="480"/>
    <w:p w14:paraId="5DCE2D3E">
      <w:pPr>
        <w:pStyle w:val="8"/>
        <w:overflowPunct/>
        <w:spacing w:before="120" w:after="120" w:line="360" w:lineRule="exact"/>
        <w:ind w:firstLine="420" w:firstLineChars="200"/>
        <w:rPr>
          <w:rFonts w:ascii="宋体" w:hAnsi="宋体" w:cs="宋体"/>
          <w:b w:val="0"/>
          <w:sz w:val="21"/>
          <w:szCs w:val="21"/>
        </w:rPr>
      </w:pPr>
      <w:bookmarkStart w:id="483" w:name="_Toc351203594"/>
      <w:bookmarkStart w:id="484" w:name="_Toc337558811"/>
      <w:r>
        <w:rPr>
          <w:rFonts w:hint="eastAsia" w:ascii="宋体" w:hAnsi="宋体" w:cs="宋体"/>
          <w:b w:val="0"/>
          <w:sz w:val="21"/>
          <w:szCs w:val="21"/>
        </w:rPr>
        <w:t>14.1 竣工结算申请</w:t>
      </w:r>
      <w:bookmarkEnd w:id="483"/>
    </w:p>
    <w:bookmarkEnd w:id="484"/>
    <w:p w14:paraId="6A3C53AC">
      <w:pPr>
        <w:autoSpaceDE w:val="0"/>
        <w:autoSpaceDN w:val="0"/>
        <w:adjustRightInd w:val="0"/>
        <w:spacing w:line="360" w:lineRule="exact"/>
        <w:ind w:firstLine="420" w:firstLineChars="200"/>
        <w:jc w:val="left"/>
        <w:rPr>
          <w:rFonts w:ascii="宋体" w:hAnsi="宋体" w:cs="宋体"/>
        </w:rPr>
      </w:pPr>
      <w:r>
        <w:rPr>
          <w:rFonts w:hint="eastAsia" w:ascii="宋体" w:hAnsi="宋体" w:cs="宋体"/>
          <w:kern w:val="0"/>
        </w:rPr>
        <w:t>除专用合同条款另有约定外，</w:t>
      </w:r>
      <w:r>
        <w:rPr>
          <w:rFonts w:hint="eastAsia" w:ascii="宋体" w:hAnsi="宋体" w:cs="宋体"/>
        </w:rPr>
        <w:t>承包人应在工程竣工验收合格后28天内向发包人和监理人提交竣工结算申请单，并提交完整的结算资料，有关竣工结算申请单的资料清单和份数等要求由合同当事人在专用合同条款中约定。</w:t>
      </w:r>
    </w:p>
    <w:p w14:paraId="07B4A359">
      <w:pPr>
        <w:autoSpaceDE w:val="0"/>
        <w:autoSpaceDN w:val="0"/>
        <w:adjustRightInd w:val="0"/>
        <w:spacing w:line="360" w:lineRule="exact"/>
        <w:ind w:firstLine="420" w:firstLineChars="200"/>
        <w:jc w:val="left"/>
        <w:rPr>
          <w:rFonts w:ascii="宋体" w:hAnsi="宋体" w:cs="宋体"/>
        </w:rPr>
      </w:pPr>
      <w:r>
        <w:rPr>
          <w:rFonts w:hint="eastAsia" w:ascii="宋体" w:hAnsi="宋体" w:cs="宋体"/>
        </w:rPr>
        <w:t>除专用合同条款另有约定外，竣工结算申请单应包括以下内容：</w:t>
      </w:r>
    </w:p>
    <w:p w14:paraId="3BC226FC">
      <w:pPr>
        <w:autoSpaceDE w:val="0"/>
        <w:autoSpaceDN w:val="0"/>
        <w:adjustRightInd w:val="0"/>
        <w:spacing w:line="360" w:lineRule="exact"/>
        <w:ind w:firstLine="420" w:firstLineChars="200"/>
        <w:jc w:val="left"/>
        <w:rPr>
          <w:rFonts w:ascii="宋体" w:hAnsi="宋体" w:cs="宋体"/>
        </w:rPr>
      </w:pPr>
      <w:r>
        <w:rPr>
          <w:rFonts w:hint="eastAsia" w:ascii="宋体" w:hAnsi="宋体" w:cs="宋体"/>
        </w:rPr>
        <w:t>（1）竣工结算合同价格；</w:t>
      </w:r>
    </w:p>
    <w:p w14:paraId="11628E08">
      <w:pPr>
        <w:autoSpaceDE w:val="0"/>
        <w:autoSpaceDN w:val="0"/>
        <w:adjustRightInd w:val="0"/>
        <w:spacing w:line="360" w:lineRule="exact"/>
        <w:ind w:firstLine="420" w:firstLineChars="200"/>
        <w:jc w:val="left"/>
        <w:rPr>
          <w:rFonts w:ascii="宋体" w:hAnsi="宋体" w:cs="宋体"/>
        </w:rPr>
      </w:pPr>
      <w:r>
        <w:rPr>
          <w:rFonts w:hint="eastAsia" w:ascii="宋体" w:hAnsi="宋体" w:cs="宋体"/>
        </w:rPr>
        <w:t>（2）发包人已支付承包人的款项；</w:t>
      </w:r>
    </w:p>
    <w:p w14:paraId="7CC9EB7C">
      <w:pPr>
        <w:autoSpaceDE w:val="0"/>
        <w:autoSpaceDN w:val="0"/>
        <w:adjustRightInd w:val="0"/>
        <w:spacing w:line="360" w:lineRule="exact"/>
        <w:ind w:firstLine="420" w:firstLineChars="200"/>
        <w:jc w:val="left"/>
        <w:rPr>
          <w:rFonts w:ascii="宋体" w:hAnsi="宋体" w:cs="宋体"/>
        </w:rPr>
      </w:pPr>
      <w:r>
        <w:rPr>
          <w:rFonts w:hint="eastAsia" w:ascii="宋体" w:hAnsi="宋体" w:cs="宋体"/>
        </w:rPr>
        <w:t xml:space="preserve">（3）应扣留的质量保证金。已交纳履约保证金的或提供其他工程质量担保方式的除外； </w:t>
      </w:r>
    </w:p>
    <w:p w14:paraId="450F9DD6">
      <w:pPr>
        <w:autoSpaceDE w:val="0"/>
        <w:autoSpaceDN w:val="0"/>
        <w:adjustRightInd w:val="0"/>
        <w:spacing w:line="360" w:lineRule="exact"/>
        <w:ind w:firstLine="420" w:firstLineChars="200"/>
        <w:jc w:val="left"/>
        <w:rPr>
          <w:rFonts w:ascii="宋体" w:hAnsi="宋体" w:cs="宋体"/>
        </w:rPr>
      </w:pPr>
      <w:r>
        <w:rPr>
          <w:rFonts w:hint="eastAsia" w:ascii="宋体" w:hAnsi="宋体" w:cs="宋体"/>
        </w:rPr>
        <w:t>（4）发包人应支付承包人的合同价款。</w:t>
      </w:r>
    </w:p>
    <w:p w14:paraId="17EE399D">
      <w:pPr>
        <w:pStyle w:val="8"/>
        <w:overflowPunct/>
        <w:spacing w:before="120" w:after="120" w:line="360" w:lineRule="exact"/>
        <w:ind w:firstLine="420" w:firstLineChars="200"/>
        <w:rPr>
          <w:rFonts w:ascii="宋体" w:hAnsi="宋体" w:cs="宋体"/>
          <w:b w:val="0"/>
          <w:sz w:val="21"/>
          <w:szCs w:val="21"/>
        </w:rPr>
      </w:pPr>
      <w:bookmarkStart w:id="485" w:name="_Toc351203595"/>
      <w:bookmarkStart w:id="486" w:name="_Toc337558812"/>
      <w:r>
        <w:rPr>
          <w:rFonts w:hint="eastAsia" w:ascii="宋体" w:hAnsi="宋体" w:cs="宋体"/>
          <w:b w:val="0"/>
          <w:sz w:val="21"/>
          <w:szCs w:val="21"/>
        </w:rPr>
        <w:t>14.2 竣工结算审核</w:t>
      </w:r>
      <w:bookmarkEnd w:id="485"/>
    </w:p>
    <w:bookmarkEnd w:id="486"/>
    <w:p w14:paraId="70F26350">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w:t>
      </w:r>
      <w:r>
        <w:rPr>
          <w:rFonts w:hint="eastAsia" w:ascii="宋体" w:hAnsi="宋体" w:cs="宋体"/>
        </w:rPr>
        <w:t>发包人对竣工</w:t>
      </w:r>
      <w:r>
        <w:rPr>
          <w:rFonts w:hint="eastAsia" w:ascii="宋体" w:hAnsi="宋体" w:cs="宋体"/>
          <w:kern w:val="0"/>
        </w:rPr>
        <w:t>结算</w:t>
      </w:r>
      <w:r>
        <w:rPr>
          <w:rFonts w:hint="eastAsia" w:ascii="宋体" w:hAnsi="宋体" w:cs="宋体"/>
        </w:rPr>
        <w:t>申请单有异议的，有权要求承包人进行修正和提供补充资料，承包人应提交修正后的竣工</w:t>
      </w:r>
      <w:r>
        <w:rPr>
          <w:rFonts w:hint="eastAsia" w:ascii="宋体" w:hAnsi="宋体" w:cs="宋体"/>
          <w:kern w:val="0"/>
        </w:rPr>
        <w:t>结算</w:t>
      </w:r>
      <w:r>
        <w:rPr>
          <w:rFonts w:hint="eastAsia" w:ascii="宋体" w:hAnsi="宋体" w:cs="宋体"/>
        </w:rPr>
        <w:t>申请单。</w:t>
      </w:r>
    </w:p>
    <w:p w14:paraId="2832E48C">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14:paraId="7AD397E8">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14:paraId="79ACF3FF">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p>
    <w:p w14:paraId="31D31A49">
      <w:pPr>
        <w:pStyle w:val="8"/>
        <w:overflowPunct/>
        <w:spacing w:before="120" w:after="120" w:line="360" w:lineRule="exact"/>
        <w:ind w:firstLine="420" w:firstLineChars="200"/>
        <w:rPr>
          <w:rFonts w:ascii="宋体" w:hAnsi="宋体" w:cs="宋体"/>
          <w:b w:val="0"/>
          <w:sz w:val="21"/>
          <w:szCs w:val="21"/>
        </w:rPr>
      </w:pPr>
      <w:bookmarkStart w:id="487" w:name="_Toc351203596"/>
      <w:bookmarkStart w:id="488" w:name="_Toc337558813"/>
      <w:r>
        <w:rPr>
          <w:rFonts w:hint="eastAsia" w:ascii="宋体" w:hAnsi="宋体" w:cs="宋体"/>
          <w:b w:val="0"/>
          <w:sz w:val="21"/>
          <w:szCs w:val="21"/>
        </w:rPr>
        <w:t>14.3 甩项竣工协议</w:t>
      </w:r>
      <w:bookmarkEnd w:id="487"/>
    </w:p>
    <w:bookmarkEnd w:id="488"/>
    <w:p w14:paraId="22602430">
      <w:pPr>
        <w:autoSpaceDE w:val="0"/>
        <w:autoSpaceDN w:val="0"/>
        <w:adjustRightInd w:val="0"/>
        <w:spacing w:line="360" w:lineRule="exact"/>
        <w:ind w:firstLine="411" w:firstLineChars="196"/>
        <w:jc w:val="left"/>
        <w:rPr>
          <w:rFonts w:ascii="宋体" w:hAnsi="宋体" w:cs="宋体"/>
          <w:kern w:val="0"/>
        </w:rPr>
      </w:pPr>
      <w:r>
        <w:rPr>
          <w:rFonts w:hint="eastAsia" w:ascii="宋体" w:hAnsi="宋体" w:cs="宋体"/>
        </w:rPr>
        <w:t>发包人要求甩项竣工的，合同当事人应签订甩项竣工协议。在甩项竣工协议中应明确，合同当事人按照第14.1款〔竣工结算申请〕及14.2款〔竣工结算审核〕的约定，对已完合格工程进行结算，并支付相应合同价款。</w:t>
      </w:r>
    </w:p>
    <w:p w14:paraId="62ED5F84">
      <w:pPr>
        <w:pStyle w:val="8"/>
        <w:overflowPunct/>
        <w:spacing w:before="120" w:after="120" w:line="360" w:lineRule="exact"/>
        <w:ind w:firstLine="420" w:firstLineChars="200"/>
        <w:rPr>
          <w:rFonts w:ascii="宋体" w:hAnsi="宋体" w:cs="宋体"/>
          <w:b w:val="0"/>
          <w:sz w:val="21"/>
          <w:szCs w:val="21"/>
        </w:rPr>
      </w:pPr>
      <w:bookmarkStart w:id="489" w:name="_Toc351203597"/>
      <w:bookmarkStart w:id="490" w:name="_Toc337558814"/>
      <w:r>
        <w:rPr>
          <w:rFonts w:hint="eastAsia" w:ascii="宋体" w:hAnsi="宋体" w:cs="宋体"/>
          <w:b w:val="0"/>
          <w:sz w:val="21"/>
          <w:szCs w:val="21"/>
        </w:rPr>
        <w:t>14.4 最终结清</w:t>
      </w:r>
      <w:bookmarkEnd w:id="489"/>
    </w:p>
    <w:bookmarkEnd w:id="490"/>
    <w:p w14:paraId="3E73102E">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14.4.1 最终结清申请单</w:t>
      </w:r>
    </w:p>
    <w:p w14:paraId="4940B83E">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（1）除专用合同条款另有约定外，承包人应在缺陷责任期终止证书颁发后7天内，按专用合同条款约定的份数向发包人提交最终结清申请单，并提供相关证明材料。</w:t>
      </w:r>
    </w:p>
    <w:p w14:paraId="38C53CF2">
      <w:pPr>
        <w:autoSpaceDE w:val="0"/>
        <w:autoSpaceDN w:val="0"/>
        <w:adjustRightInd w:val="0"/>
        <w:spacing w:line="360" w:lineRule="exact"/>
        <w:ind w:firstLine="420" w:firstLineChars="200"/>
        <w:jc w:val="left"/>
        <w:rPr>
          <w:rFonts w:ascii="宋体" w:hAnsi="宋体" w:cs="宋体"/>
        </w:rPr>
      </w:pPr>
      <w:r>
        <w:rPr>
          <w:rFonts w:hint="eastAsia" w:ascii="宋体" w:hAnsi="宋体" w:cs="宋体"/>
        </w:rPr>
        <w:t>除专用合同条款另有约定外，</w:t>
      </w:r>
      <w:r>
        <w:rPr>
          <w:rFonts w:hint="eastAsia" w:ascii="宋体" w:hAnsi="宋体" w:cs="宋体"/>
          <w:kern w:val="0"/>
        </w:rPr>
        <w:t>最终结清申请单</w:t>
      </w:r>
      <w:r>
        <w:rPr>
          <w:rFonts w:hint="eastAsia" w:ascii="宋体" w:hAnsi="宋体" w:cs="宋体"/>
        </w:rPr>
        <w:t>应列明质量保证金、应扣除的质量保证金、缺陷责任期内发生的增减费用。</w:t>
      </w:r>
    </w:p>
    <w:p w14:paraId="21AAB450">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（2）发包人对最终结清申请单内容有异议的，有权要求承包人进行修正和提供补充资料，承包人应向发包人提交修正后的最终结清申请单。</w:t>
      </w:r>
    </w:p>
    <w:p w14:paraId="7B6BE3C4">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14.4.2 最终结清证书和支付</w:t>
      </w:r>
    </w:p>
    <w:p w14:paraId="07EA09C6">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434B95AA">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14:paraId="702BE53E">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（3）承包人对发包人颁发的最终结清证书有异议的，按第20条〔争议解决〕的约定办理。</w:t>
      </w:r>
    </w:p>
    <w:p w14:paraId="02E1905C">
      <w:pPr>
        <w:pStyle w:val="7"/>
        <w:spacing w:before="120" w:after="120" w:line="360" w:lineRule="exact"/>
        <w:rPr>
          <w:rFonts w:ascii="宋体" w:hAnsi="宋体" w:cs="宋体"/>
          <w:b w:val="0"/>
          <w:sz w:val="21"/>
          <w:szCs w:val="21"/>
        </w:rPr>
      </w:pPr>
      <w:bookmarkStart w:id="491" w:name="_Toc351203598"/>
      <w:bookmarkStart w:id="492" w:name="_Toc337558815"/>
      <w:r>
        <w:rPr>
          <w:rFonts w:hint="eastAsia" w:ascii="宋体" w:hAnsi="宋体" w:cs="宋体"/>
          <w:b w:val="0"/>
          <w:sz w:val="21"/>
          <w:szCs w:val="21"/>
        </w:rPr>
        <w:t>15. 缺陷责任与保修</w:t>
      </w:r>
      <w:bookmarkEnd w:id="491"/>
    </w:p>
    <w:bookmarkEnd w:id="481"/>
    <w:bookmarkEnd w:id="482"/>
    <w:bookmarkEnd w:id="492"/>
    <w:p w14:paraId="04743FF9">
      <w:pPr>
        <w:pStyle w:val="8"/>
        <w:overflowPunct/>
        <w:spacing w:before="120" w:after="120" w:line="360" w:lineRule="exact"/>
        <w:ind w:firstLine="420" w:firstLineChars="200"/>
        <w:rPr>
          <w:rFonts w:ascii="宋体" w:hAnsi="宋体" w:cs="宋体"/>
          <w:b w:val="0"/>
          <w:sz w:val="21"/>
          <w:szCs w:val="21"/>
        </w:rPr>
      </w:pPr>
      <w:bookmarkStart w:id="493" w:name="_Toc351203599"/>
      <w:bookmarkStart w:id="494" w:name="_Toc337558816"/>
      <w:bookmarkStart w:id="495" w:name="_Toc296503114"/>
      <w:bookmarkStart w:id="496" w:name="_Toc296346615"/>
      <w:r>
        <w:rPr>
          <w:rFonts w:hint="eastAsia" w:ascii="宋体" w:hAnsi="宋体" w:cs="宋体"/>
          <w:b w:val="0"/>
          <w:sz w:val="21"/>
          <w:szCs w:val="21"/>
        </w:rPr>
        <w:t>15.1 工程保修的原则</w:t>
      </w:r>
      <w:bookmarkEnd w:id="493"/>
    </w:p>
    <w:bookmarkEnd w:id="494"/>
    <w:p w14:paraId="414BA0C4">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在工程移交发包人后，因承包人原因产生的质量缺陷，承包人应承担质量缺陷责任和保修义务。缺陷责任期届满，承包人仍应按合同约定的工程各部位保修年限承担保修义务。</w:t>
      </w:r>
    </w:p>
    <w:p w14:paraId="49BC452F">
      <w:pPr>
        <w:pStyle w:val="8"/>
        <w:overflowPunct/>
        <w:spacing w:before="120" w:after="120" w:line="360" w:lineRule="exact"/>
        <w:ind w:firstLine="420" w:firstLineChars="200"/>
        <w:rPr>
          <w:rFonts w:ascii="宋体" w:hAnsi="宋体" w:cs="宋体"/>
          <w:b w:val="0"/>
          <w:sz w:val="21"/>
          <w:szCs w:val="21"/>
        </w:rPr>
      </w:pPr>
      <w:bookmarkStart w:id="497" w:name="_Toc351203600"/>
      <w:bookmarkStart w:id="498" w:name="_Toc337558817"/>
      <w:r>
        <w:rPr>
          <w:rFonts w:hint="eastAsia" w:ascii="宋体" w:hAnsi="宋体" w:cs="宋体"/>
          <w:b w:val="0"/>
          <w:sz w:val="21"/>
          <w:szCs w:val="21"/>
        </w:rPr>
        <w:t>15.2 缺陷责任期</w:t>
      </w:r>
      <w:bookmarkEnd w:id="495"/>
      <w:bookmarkEnd w:id="496"/>
      <w:bookmarkEnd w:id="497"/>
    </w:p>
    <w:bookmarkEnd w:id="498"/>
    <w:p w14:paraId="41026683">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15.2.1 缺陷责任期从工程通过竣工验收之日起计算，合同当事人应在专用合同条款约定缺陷责任期的具体期限，但该期限最长不超过24个月。</w:t>
      </w:r>
    </w:p>
    <w:p w14:paraId="31AA4C00">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p>
    <w:p w14:paraId="0FE0F0F0">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w:t>
      </w:r>
      <w:r>
        <w:rPr>
          <w:rFonts w:hint="eastAsia" w:ascii="宋体" w:hAnsi="宋体" w:cs="宋体"/>
          <w:bCs/>
        </w:rPr>
        <w:t>包人延长缺陷责任期，</w:t>
      </w:r>
      <w:r>
        <w:rPr>
          <w:rFonts w:hint="eastAsia" w:ascii="宋体" w:hAnsi="宋体" w:cs="宋体"/>
          <w:kern w:val="0"/>
        </w:rPr>
        <w:t>并应在原缺陷责任期届满前发出延长通知。</w:t>
      </w:r>
      <w:r>
        <w:rPr>
          <w:rFonts w:hint="eastAsia" w:ascii="宋体" w:hAnsi="宋体" w:cs="宋体"/>
          <w:bCs/>
        </w:rPr>
        <w:t>但缺陷责任期（含延长部分）最长</w:t>
      </w:r>
      <w:r>
        <w:rPr>
          <w:rFonts w:hint="eastAsia" w:ascii="宋体" w:hAnsi="宋体" w:cs="宋体"/>
          <w:kern w:val="0"/>
        </w:rPr>
        <w:t>不能超过24个月。</w:t>
      </w:r>
    </w:p>
    <w:p w14:paraId="56F8F4B9">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由他人原因造成的缺陷，发包人负责组织维修，承包人不承担费用，且发包人不得从保证金中扣除费用。</w:t>
      </w:r>
    </w:p>
    <w:p w14:paraId="58793CA9">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15.2.3 任何一项缺陷或损坏修复后，经检查证明其影响了工程或工程设备的使用性能，承包人应重新进行合同约定的试验和试运行，试验和试运行的全部费用应由责任方承担。</w:t>
      </w:r>
    </w:p>
    <w:p w14:paraId="0AC34BE4">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p>
    <w:p w14:paraId="2005D37A">
      <w:pPr>
        <w:pStyle w:val="8"/>
        <w:overflowPunct/>
        <w:spacing w:before="120" w:after="120" w:line="360" w:lineRule="exact"/>
        <w:ind w:firstLine="420" w:firstLineChars="200"/>
        <w:rPr>
          <w:rFonts w:ascii="宋体" w:hAnsi="宋体" w:cs="宋体"/>
          <w:b w:val="0"/>
          <w:sz w:val="21"/>
          <w:szCs w:val="21"/>
        </w:rPr>
      </w:pPr>
      <w:bookmarkStart w:id="499" w:name="_Toc351203601"/>
      <w:bookmarkStart w:id="500" w:name="_Toc337558818"/>
      <w:bookmarkStart w:id="501" w:name="_Toc296503115"/>
      <w:bookmarkStart w:id="502" w:name="_Toc296346616"/>
      <w:r>
        <w:rPr>
          <w:rFonts w:hint="eastAsia" w:ascii="宋体" w:hAnsi="宋体" w:cs="宋体"/>
          <w:b w:val="0"/>
          <w:sz w:val="21"/>
          <w:szCs w:val="21"/>
        </w:rPr>
        <w:t>15.3 质量保证金</w:t>
      </w:r>
      <w:bookmarkEnd w:id="499"/>
    </w:p>
    <w:bookmarkEnd w:id="500"/>
    <w:p w14:paraId="35803C41">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经合同当事人协商一致扣留质量保证金的，应在专用合同条款中予以明确。</w:t>
      </w:r>
    </w:p>
    <w:p w14:paraId="49432090">
      <w:pPr>
        <w:spacing w:line="360" w:lineRule="exact"/>
        <w:ind w:firstLine="420" w:firstLineChars="200"/>
        <w:jc w:val="left"/>
        <w:rPr>
          <w:rFonts w:ascii="宋体" w:hAnsi="宋体" w:cs="宋体"/>
        </w:rPr>
      </w:pPr>
      <w:r>
        <w:rPr>
          <w:rFonts w:hint="eastAsia" w:ascii="宋体" w:hAnsi="宋体" w:cs="宋体"/>
        </w:rPr>
        <w:t>在工程项目竣工前，承包人已经提供履约担保的，发包人不得同时预留工程质量保证金。</w:t>
      </w:r>
    </w:p>
    <w:p w14:paraId="5CB6CAD0">
      <w:pPr>
        <w:autoSpaceDE w:val="0"/>
        <w:autoSpaceDN w:val="0"/>
        <w:adjustRightInd w:val="0"/>
        <w:spacing w:line="360" w:lineRule="exact"/>
        <w:ind w:firstLine="420" w:firstLineChars="200"/>
        <w:jc w:val="left"/>
        <w:rPr>
          <w:rFonts w:ascii="宋体" w:hAnsi="宋体" w:cs="宋体"/>
          <w:kern w:val="0"/>
        </w:rPr>
      </w:pPr>
    </w:p>
    <w:p w14:paraId="0106E930">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15.3.1 承包人提供质量保证金的方式</w:t>
      </w:r>
    </w:p>
    <w:p w14:paraId="600C4A2C">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承包人提供质量保证金有以下三种方式：</w:t>
      </w:r>
    </w:p>
    <w:p w14:paraId="33E7DE12">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 xml:space="preserve">（1）质量保证金保函； </w:t>
      </w:r>
    </w:p>
    <w:p w14:paraId="48F23778">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（2）相应比例的工程款；</w:t>
      </w:r>
    </w:p>
    <w:p w14:paraId="63483456">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（3）双方约定的其他方式。</w:t>
      </w:r>
    </w:p>
    <w:p w14:paraId="752B211E">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除专用合同条款另有约定外，质量保证金原则上采用上述第（1）种方式。</w:t>
      </w:r>
    </w:p>
    <w:p w14:paraId="6782AD8C">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15.3.2 质量保证金的扣留</w:t>
      </w:r>
    </w:p>
    <w:p w14:paraId="74C171D6">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质量保证金的扣留有以下三种方式：</w:t>
      </w:r>
    </w:p>
    <w:p w14:paraId="2158FD5E">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（1）在支付工程进度款时逐次扣留，在此情形下，质量保证金的计算基数不包括预付款的支付、扣回以及价格调整的金额；</w:t>
      </w:r>
    </w:p>
    <w:p w14:paraId="3C56CEA2">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（2）工</w:t>
      </w:r>
      <w:bookmarkStart w:id="503" w:name="#go6"/>
      <w:bookmarkEnd w:id="503"/>
      <w:r>
        <w:rPr>
          <w:rFonts w:hint="eastAsia" w:ascii="宋体" w:hAnsi="宋体" w:cs="宋体"/>
          <w:kern w:val="0"/>
        </w:rPr>
        <w:t>程竣工结算时一次性扣留质量保证金；</w:t>
      </w:r>
    </w:p>
    <w:p w14:paraId="01871098">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（3）双方约定的其他扣留方式。</w:t>
      </w:r>
    </w:p>
    <w:p w14:paraId="69AC67A7">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除专用合同条款另有约定外，质量保证金的扣留原则上采用上述第（1）种方式。</w:t>
      </w:r>
    </w:p>
    <w:p w14:paraId="31503EDE">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w:t>
      </w:r>
      <w:bookmarkStart w:id="504" w:name="#go4"/>
      <w:bookmarkEnd w:id="504"/>
      <w:r>
        <w:rPr>
          <w:rFonts w:hint="eastAsia" w:ascii="宋体" w:hAnsi="宋体" w:cs="宋体"/>
          <w:kern w:val="0"/>
        </w:rPr>
        <w:t>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p>
    <w:p w14:paraId="36A44BC0">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发包人在退还质量保证金的同时按照中国人民银行发布的同期同类贷款基准利率支付利息。</w:t>
      </w:r>
    </w:p>
    <w:p w14:paraId="6628FEAF">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 xml:space="preserve">15.3.3 </w:t>
      </w:r>
      <w:r>
        <w:rPr>
          <w:rFonts w:hint="eastAsia" w:ascii="宋体" w:hAnsi="宋体" w:cs="宋体"/>
        </w:rPr>
        <w:t>质量保证金</w:t>
      </w:r>
      <w:r>
        <w:rPr>
          <w:rFonts w:hint="eastAsia" w:ascii="宋体" w:hAnsi="宋体" w:cs="宋体"/>
          <w:kern w:val="0"/>
        </w:rPr>
        <w:t>的退还</w:t>
      </w:r>
    </w:p>
    <w:p w14:paraId="7162D4FF">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缺陷责任期内，承包人认真履行合同约定的责任，到期后，承包人可向发包人申请返还保证金。</w:t>
      </w:r>
    </w:p>
    <w:p w14:paraId="78C210AC">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p>
    <w:p w14:paraId="77BECE94">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发包人和承包人对保证金预留、返还以及工程维修质量、费用有争议的，按本合同第20条约定的争议和纠纷解决程序处理。</w:t>
      </w:r>
    </w:p>
    <w:p w14:paraId="3A847814">
      <w:pPr>
        <w:pStyle w:val="8"/>
        <w:overflowPunct/>
        <w:spacing w:before="120" w:after="120" w:line="360" w:lineRule="exact"/>
        <w:ind w:firstLine="420" w:firstLineChars="200"/>
        <w:rPr>
          <w:rFonts w:ascii="宋体" w:hAnsi="宋体" w:cs="宋体"/>
          <w:b w:val="0"/>
          <w:sz w:val="21"/>
          <w:szCs w:val="21"/>
        </w:rPr>
      </w:pPr>
      <w:bookmarkStart w:id="505" w:name="_Toc351203602"/>
      <w:bookmarkStart w:id="506" w:name="_Toc337558819"/>
      <w:r>
        <w:rPr>
          <w:rFonts w:hint="eastAsia" w:ascii="宋体" w:hAnsi="宋体" w:cs="宋体"/>
          <w:b w:val="0"/>
          <w:sz w:val="21"/>
          <w:szCs w:val="21"/>
        </w:rPr>
        <w:t>15.4 保修</w:t>
      </w:r>
      <w:bookmarkEnd w:id="505"/>
    </w:p>
    <w:bookmarkEnd w:id="501"/>
    <w:bookmarkEnd w:id="502"/>
    <w:bookmarkEnd w:id="506"/>
    <w:p w14:paraId="0739994E">
      <w:pPr>
        <w:spacing w:line="360" w:lineRule="exact"/>
        <w:ind w:firstLine="420" w:firstLineChars="200"/>
        <w:jc w:val="left"/>
        <w:rPr>
          <w:rFonts w:ascii="宋体" w:hAnsi="宋体" w:cs="宋体"/>
          <w:kern w:val="0"/>
        </w:rPr>
      </w:pPr>
      <w:r>
        <w:rPr>
          <w:rFonts w:hint="eastAsia" w:ascii="宋体" w:hAnsi="宋体" w:cs="宋体"/>
          <w:kern w:val="0"/>
        </w:rPr>
        <w:t>15.4.1保修责任</w:t>
      </w:r>
    </w:p>
    <w:p w14:paraId="291CD682">
      <w:pPr>
        <w:spacing w:line="360" w:lineRule="exact"/>
        <w:ind w:firstLine="420" w:firstLineChars="200"/>
        <w:jc w:val="left"/>
        <w:rPr>
          <w:rFonts w:ascii="宋体" w:hAnsi="宋体" w:cs="宋体"/>
          <w:kern w:val="0"/>
        </w:rPr>
      </w:pPr>
      <w:r>
        <w:rPr>
          <w:rFonts w:hint="eastAsia" w:ascii="宋体" w:hAnsi="宋体" w:cs="宋体"/>
          <w:kern w:val="0"/>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14:paraId="68237B1E">
      <w:pPr>
        <w:spacing w:line="360" w:lineRule="exact"/>
        <w:ind w:firstLine="420" w:firstLineChars="200"/>
        <w:jc w:val="left"/>
        <w:rPr>
          <w:rFonts w:ascii="宋体" w:hAnsi="宋体" w:cs="宋体"/>
        </w:rPr>
      </w:pPr>
      <w:r>
        <w:rPr>
          <w:rFonts w:hint="eastAsia" w:ascii="宋体" w:hAnsi="宋体" w:cs="宋体"/>
        </w:rPr>
        <w:t>发包人未经竣工验收擅自使用工程的，保修期自</w:t>
      </w:r>
      <w:r>
        <w:rPr>
          <w:rFonts w:hint="eastAsia" w:ascii="宋体" w:hAnsi="宋体" w:cs="宋体"/>
          <w:kern w:val="0"/>
        </w:rPr>
        <w:t>转移占有之日起算</w:t>
      </w:r>
      <w:r>
        <w:rPr>
          <w:rFonts w:hint="eastAsia" w:ascii="宋体" w:hAnsi="宋体" w:cs="宋体"/>
        </w:rPr>
        <w:t>。</w:t>
      </w:r>
    </w:p>
    <w:p w14:paraId="76C5604D">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15.4.2 修复费用</w:t>
      </w:r>
    </w:p>
    <w:p w14:paraId="5DFF52AC">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保修期内，修复的费用按照以下约定处理：</w:t>
      </w:r>
    </w:p>
    <w:p w14:paraId="102F7CCC">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（1）保修期内，因承包人原因造成工程的缺陷、损坏，承包人应负责修复，并承担修复的费用以及因工程的缺陷、损坏造成的人身伤害和财产损失；</w:t>
      </w:r>
    </w:p>
    <w:p w14:paraId="3F0C2903">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（2）保修期内，因发包人使用不当造成工程的缺陷、损坏，可以委托承包人修复，但发包人应承担修复的费用，并支付承包人合理利润；</w:t>
      </w:r>
    </w:p>
    <w:p w14:paraId="603994F8">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（3）因其他原因造成工程的缺陷、损坏，可以委托承包人修复，发包人应承担修复的费用，并支付承包人合理的利润，因工程的缺陷、损坏造成的人身伤害和财产损失由责任方承担。</w:t>
      </w:r>
    </w:p>
    <w:p w14:paraId="3BBCA84B">
      <w:pPr>
        <w:spacing w:line="360" w:lineRule="exact"/>
        <w:ind w:firstLine="420" w:firstLineChars="200"/>
        <w:jc w:val="left"/>
        <w:rPr>
          <w:rFonts w:ascii="宋体" w:hAnsi="宋体" w:cs="宋体"/>
          <w:kern w:val="0"/>
        </w:rPr>
      </w:pPr>
      <w:r>
        <w:rPr>
          <w:rFonts w:hint="eastAsia" w:ascii="宋体" w:hAnsi="宋体" w:cs="宋体"/>
          <w:kern w:val="0"/>
        </w:rPr>
        <w:t>15.4.3 修复通知</w:t>
      </w:r>
    </w:p>
    <w:p w14:paraId="1BCC7CD8">
      <w:pPr>
        <w:spacing w:line="360" w:lineRule="exact"/>
        <w:ind w:firstLine="420" w:firstLineChars="200"/>
        <w:jc w:val="left"/>
        <w:rPr>
          <w:rFonts w:ascii="宋体" w:hAnsi="宋体" w:cs="宋体"/>
          <w:kern w:val="0"/>
        </w:rPr>
      </w:pPr>
      <w:r>
        <w:rPr>
          <w:rFonts w:hint="eastAsia" w:ascii="宋体" w:hAnsi="宋体" w:cs="宋体"/>
          <w:kern w:val="0"/>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14:paraId="38021FFD">
      <w:pPr>
        <w:spacing w:line="360" w:lineRule="exact"/>
        <w:ind w:firstLine="420" w:firstLineChars="200"/>
        <w:jc w:val="left"/>
        <w:rPr>
          <w:rFonts w:ascii="宋体" w:hAnsi="宋体" w:cs="宋体"/>
          <w:kern w:val="0"/>
        </w:rPr>
      </w:pPr>
      <w:r>
        <w:rPr>
          <w:rFonts w:hint="eastAsia" w:ascii="宋体" w:hAnsi="宋体" w:cs="宋体"/>
          <w:kern w:val="0"/>
        </w:rPr>
        <w:t>15.4.4 未能修复</w:t>
      </w:r>
    </w:p>
    <w:p w14:paraId="3744C912">
      <w:pPr>
        <w:spacing w:line="360" w:lineRule="exact"/>
        <w:ind w:firstLine="420" w:firstLineChars="200"/>
        <w:jc w:val="left"/>
        <w:rPr>
          <w:rFonts w:ascii="宋体" w:hAnsi="宋体" w:cs="宋体"/>
          <w:kern w:val="0"/>
        </w:rPr>
      </w:pPr>
      <w:r>
        <w:rPr>
          <w:rFonts w:hint="eastAsia" w:ascii="宋体" w:hAnsi="宋体" w:cs="宋体"/>
          <w:kern w:val="0"/>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502A5D7F">
      <w:pPr>
        <w:spacing w:line="360" w:lineRule="exact"/>
        <w:ind w:firstLine="420" w:firstLineChars="200"/>
        <w:jc w:val="left"/>
        <w:rPr>
          <w:rFonts w:ascii="宋体" w:hAnsi="宋体" w:cs="宋体"/>
          <w:kern w:val="0"/>
        </w:rPr>
      </w:pPr>
      <w:r>
        <w:rPr>
          <w:rFonts w:hint="eastAsia" w:ascii="宋体" w:hAnsi="宋体" w:cs="宋体"/>
          <w:kern w:val="0"/>
        </w:rPr>
        <w:t>15.4.5 承包人出入权</w:t>
      </w:r>
    </w:p>
    <w:p w14:paraId="588EA62A">
      <w:pPr>
        <w:spacing w:line="360" w:lineRule="exact"/>
        <w:ind w:firstLine="420" w:firstLineChars="200"/>
        <w:jc w:val="left"/>
        <w:rPr>
          <w:rFonts w:ascii="宋体" w:hAnsi="宋体" w:cs="宋体"/>
          <w:kern w:val="0"/>
        </w:rPr>
      </w:pPr>
      <w:r>
        <w:rPr>
          <w:rFonts w:hint="eastAsia" w:ascii="宋体" w:hAnsi="宋体" w:cs="宋体"/>
          <w:kern w:val="0"/>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14:paraId="42E69032">
      <w:pPr>
        <w:pStyle w:val="7"/>
        <w:spacing w:before="120" w:after="120" w:line="360" w:lineRule="exact"/>
        <w:rPr>
          <w:rFonts w:ascii="宋体" w:hAnsi="宋体" w:cs="宋体"/>
          <w:b w:val="0"/>
          <w:sz w:val="21"/>
          <w:szCs w:val="21"/>
        </w:rPr>
      </w:pPr>
      <w:bookmarkStart w:id="507" w:name="_Toc351203603"/>
      <w:bookmarkStart w:id="508" w:name="_Toc337558820"/>
      <w:r>
        <w:rPr>
          <w:rFonts w:hint="eastAsia" w:ascii="宋体" w:hAnsi="宋体" w:cs="宋体"/>
          <w:b w:val="0"/>
          <w:sz w:val="21"/>
          <w:szCs w:val="21"/>
        </w:rPr>
        <w:t>16. 违约</w:t>
      </w:r>
      <w:bookmarkEnd w:id="507"/>
    </w:p>
    <w:bookmarkEnd w:id="508"/>
    <w:p w14:paraId="6D908D44">
      <w:pPr>
        <w:pStyle w:val="8"/>
        <w:overflowPunct/>
        <w:spacing w:before="120" w:after="120" w:line="360" w:lineRule="exact"/>
        <w:ind w:firstLine="420" w:firstLineChars="200"/>
        <w:rPr>
          <w:rFonts w:ascii="宋体" w:hAnsi="宋体" w:cs="宋体"/>
          <w:b w:val="0"/>
          <w:sz w:val="21"/>
          <w:szCs w:val="21"/>
        </w:rPr>
      </w:pPr>
      <w:bookmarkStart w:id="509" w:name="_Toc296503129"/>
      <w:bookmarkStart w:id="510" w:name="_Toc296346630"/>
      <w:bookmarkStart w:id="511" w:name="_Toc351203604"/>
      <w:bookmarkStart w:id="512" w:name="_Toc337558821"/>
      <w:r>
        <w:rPr>
          <w:rFonts w:hint="eastAsia" w:ascii="宋体" w:hAnsi="宋体" w:cs="宋体"/>
          <w:b w:val="0"/>
          <w:sz w:val="21"/>
          <w:szCs w:val="21"/>
        </w:rPr>
        <w:t>16.1 发</w:t>
      </w:r>
      <w:bookmarkEnd w:id="509"/>
      <w:bookmarkEnd w:id="510"/>
      <w:r>
        <w:rPr>
          <w:rFonts w:hint="eastAsia" w:ascii="宋体" w:hAnsi="宋体" w:cs="宋体"/>
          <w:b w:val="0"/>
          <w:sz w:val="21"/>
          <w:szCs w:val="21"/>
        </w:rPr>
        <w:t>包人违约</w:t>
      </w:r>
      <w:bookmarkEnd w:id="511"/>
    </w:p>
    <w:bookmarkEnd w:id="512"/>
    <w:p w14:paraId="67F7A90D">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16.1.1 发包人违约的情形</w:t>
      </w:r>
    </w:p>
    <w:p w14:paraId="37370004">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在合同履行过程中发生的下列情形，属于发包人违约：</w:t>
      </w:r>
    </w:p>
    <w:p w14:paraId="52811831">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（1）因发包人原因未能在计划开工日期前7天内下达开工通知的；</w:t>
      </w:r>
    </w:p>
    <w:p w14:paraId="3DBDBEBA">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（2）因发包人原因未能按合同约定支付合同价款的；</w:t>
      </w:r>
    </w:p>
    <w:p w14:paraId="60809001">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（3）发包人违反第10.1款〔变更的范围〕第（2）项约定，自行实施被取消的工作或转由他人实施的；</w:t>
      </w:r>
    </w:p>
    <w:p w14:paraId="0FE3788B">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（4）发包人提供的材料、工程设备的规格、数量或质量不符合合同约定，或因发包人原因导致交货日期延误或交货地点变更等情况的；</w:t>
      </w:r>
    </w:p>
    <w:p w14:paraId="0B43139F">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（5）因发包人违反合同约定造成暂停施工的；</w:t>
      </w:r>
    </w:p>
    <w:p w14:paraId="52C0278F">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（6）发包人无正当理由没有在约定期限内发出复工指示，导致承包人无法复工的；</w:t>
      </w:r>
    </w:p>
    <w:p w14:paraId="06DFB76C">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（7）发包人明确表示或者以其行为表明不履行合同主要义务的；</w:t>
      </w:r>
    </w:p>
    <w:p w14:paraId="708FA08A">
      <w:pPr>
        <w:autoSpaceDE w:val="0"/>
        <w:autoSpaceDN w:val="0"/>
        <w:adjustRightInd w:val="0"/>
        <w:spacing w:line="360" w:lineRule="exact"/>
        <w:ind w:firstLine="420" w:firstLineChars="200"/>
        <w:jc w:val="left"/>
      </w:pPr>
      <w:r>
        <w:rPr>
          <w:rFonts w:hint="eastAsia" w:ascii="宋体" w:hAnsi="宋体" w:cs="宋体"/>
          <w:kern w:val="0"/>
        </w:rPr>
        <w:t>（8）发包人未能按照合同约定履行其他义务的。</w:t>
      </w:r>
    </w:p>
    <w:p w14:paraId="1724B315">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14:paraId="5D2C0AE7">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16.1.2 发包人违约的责任</w:t>
      </w:r>
    </w:p>
    <w:p w14:paraId="42E30AEF">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发包人应承担因其违约给承包人增加的费用和（或）延误的工期，并支付承包人合理的利润。此外，合同当事人可在专用合同条款中另行约定发包人违约责任的承担方式和计算方法。</w:t>
      </w:r>
    </w:p>
    <w:p w14:paraId="0EBAB270">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16.1.3 因发包人违约解除合同</w:t>
      </w:r>
    </w:p>
    <w:p w14:paraId="304474F8">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p>
    <w:p w14:paraId="2BA66F9E">
      <w:pPr>
        <w:autoSpaceDE w:val="0"/>
        <w:autoSpaceDN w:val="0"/>
        <w:adjustRightInd w:val="0"/>
        <w:spacing w:line="360" w:lineRule="exact"/>
        <w:ind w:firstLine="420" w:firstLineChars="200"/>
        <w:jc w:val="left"/>
        <w:rPr>
          <w:rFonts w:ascii="宋体" w:hAnsi="宋体" w:cs="宋体"/>
        </w:rPr>
      </w:pPr>
      <w:r>
        <w:rPr>
          <w:rFonts w:hint="eastAsia" w:ascii="宋体" w:hAnsi="宋体" w:cs="宋体"/>
          <w:kern w:val="0"/>
        </w:rPr>
        <w:t>16.1.4 因发包人违约解除合同后的付款</w:t>
      </w:r>
    </w:p>
    <w:p w14:paraId="43AC8284">
      <w:pPr>
        <w:spacing w:line="360" w:lineRule="exact"/>
        <w:ind w:firstLine="420" w:firstLineChars="200"/>
        <w:jc w:val="left"/>
        <w:rPr>
          <w:rFonts w:ascii="宋体" w:hAnsi="宋体" w:cs="宋体"/>
          <w:kern w:val="0"/>
        </w:rPr>
      </w:pPr>
      <w:r>
        <w:rPr>
          <w:rFonts w:hint="eastAsia" w:ascii="宋体" w:hAnsi="宋体" w:cs="宋体"/>
          <w:kern w:val="0"/>
        </w:rPr>
        <w:t>承包人按照本款约定解除合同的，发包人应在解除合同后28天内支付下列款项，并解除履约担保：</w:t>
      </w:r>
    </w:p>
    <w:p w14:paraId="0A2DBEAC">
      <w:pPr>
        <w:spacing w:line="360" w:lineRule="exact"/>
        <w:ind w:firstLine="420" w:firstLineChars="200"/>
        <w:jc w:val="left"/>
        <w:rPr>
          <w:rFonts w:ascii="宋体" w:hAnsi="宋体" w:cs="宋体"/>
          <w:kern w:val="0"/>
        </w:rPr>
      </w:pPr>
      <w:r>
        <w:rPr>
          <w:rFonts w:hint="eastAsia" w:ascii="宋体" w:hAnsi="宋体" w:cs="宋体"/>
          <w:kern w:val="0"/>
        </w:rPr>
        <w:t>（1）合同解除前所完成工作的价款；</w:t>
      </w:r>
    </w:p>
    <w:p w14:paraId="6D8D775F">
      <w:pPr>
        <w:spacing w:line="360" w:lineRule="exact"/>
        <w:ind w:firstLine="420" w:firstLineChars="200"/>
        <w:jc w:val="left"/>
        <w:rPr>
          <w:rFonts w:ascii="宋体" w:hAnsi="宋体" w:cs="宋体"/>
          <w:kern w:val="0"/>
        </w:rPr>
      </w:pPr>
      <w:r>
        <w:rPr>
          <w:rFonts w:hint="eastAsia" w:ascii="宋体" w:hAnsi="宋体" w:cs="宋体"/>
          <w:kern w:val="0"/>
        </w:rPr>
        <w:t>（2）承包人为工程施工订购并已付款的材料、工程设备和其他物品的价款；</w:t>
      </w:r>
    </w:p>
    <w:p w14:paraId="5983E470">
      <w:pPr>
        <w:spacing w:line="360" w:lineRule="exact"/>
        <w:ind w:firstLine="420" w:firstLineChars="200"/>
        <w:jc w:val="left"/>
        <w:rPr>
          <w:rFonts w:ascii="宋体" w:hAnsi="宋体" w:cs="宋体"/>
          <w:kern w:val="0"/>
        </w:rPr>
      </w:pPr>
      <w:r>
        <w:rPr>
          <w:rFonts w:hint="eastAsia" w:ascii="宋体" w:hAnsi="宋体" w:cs="宋体"/>
          <w:kern w:val="0"/>
        </w:rPr>
        <w:t>（3）承包人撤离施工现场以及遣散承包人人员的款项；</w:t>
      </w:r>
    </w:p>
    <w:p w14:paraId="72386BB2">
      <w:pPr>
        <w:spacing w:line="360" w:lineRule="exact"/>
        <w:ind w:firstLine="420" w:firstLineChars="200"/>
        <w:jc w:val="left"/>
        <w:rPr>
          <w:rFonts w:ascii="宋体" w:hAnsi="宋体" w:cs="宋体"/>
          <w:kern w:val="0"/>
        </w:rPr>
      </w:pPr>
      <w:r>
        <w:rPr>
          <w:rFonts w:hint="eastAsia" w:ascii="宋体" w:hAnsi="宋体" w:cs="宋体"/>
          <w:kern w:val="0"/>
        </w:rPr>
        <w:t>（4）按照合同约定在合同解除前应支付的违约金；</w:t>
      </w:r>
    </w:p>
    <w:p w14:paraId="373360D9">
      <w:pPr>
        <w:spacing w:line="360" w:lineRule="exact"/>
        <w:ind w:firstLine="420" w:firstLineChars="200"/>
        <w:jc w:val="left"/>
        <w:rPr>
          <w:rFonts w:ascii="宋体" w:hAnsi="宋体" w:cs="宋体"/>
          <w:kern w:val="0"/>
        </w:rPr>
      </w:pPr>
      <w:r>
        <w:rPr>
          <w:rFonts w:hint="eastAsia" w:ascii="宋体" w:hAnsi="宋体" w:cs="宋体"/>
          <w:kern w:val="0"/>
        </w:rPr>
        <w:t>（5）按照合同约定应当支付给承包人的其他款项；</w:t>
      </w:r>
    </w:p>
    <w:p w14:paraId="3DE95638">
      <w:pPr>
        <w:spacing w:line="360" w:lineRule="exact"/>
        <w:ind w:firstLine="420" w:firstLineChars="200"/>
        <w:jc w:val="left"/>
        <w:rPr>
          <w:rFonts w:ascii="宋体" w:hAnsi="宋体" w:cs="宋体"/>
          <w:kern w:val="0"/>
        </w:rPr>
      </w:pPr>
      <w:r>
        <w:rPr>
          <w:rFonts w:hint="eastAsia" w:ascii="宋体" w:hAnsi="宋体" w:cs="宋体"/>
          <w:kern w:val="0"/>
        </w:rPr>
        <w:t>（6）按照合同约定应退还的质量保证金；</w:t>
      </w:r>
    </w:p>
    <w:p w14:paraId="33E6550E">
      <w:pPr>
        <w:spacing w:line="360" w:lineRule="exact"/>
        <w:ind w:firstLine="420" w:firstLineChars="200"/>
        <w:jc w:val="left"/>
        <w:rPr>
          <w:rFonts w:ascii="宋体" w:hAnsi="宋体" w:cs="宋体"/>
          <w:kern w:val="0"/>
        </w:rPr>
      </w:pPr>
      <w:r>
        <w:rPr>
          <w:rFonts w:hint="eastAsia" w:ascii="宋体" w:hAnsi="宋体" w:cs="宋体"/>
          <w:kern w:val="0"/>
        </w:rPr>
        <w:t>（7）因解除合同给承包人造成的损失。</w:t>
      </w:r>
    </w:p>
    <w:p w14:paraId="570FB5CD">
      <w:pPr>
        <w:spacing w:line="360" w:lineRule="exact"/>
        <w:ind w:firstLine="420" w:firstLineChars="200"/>
        <w:jc w:val="left"/>
        <w:rPr>
          <w:rFonts w:ascii="宋体" w:hAnsi="宋体" w:cs="宋体"/>
          <w:kern w:val="0"/>
        </w:rPr>
      </w:pPr>
      <w:r>
        <w:rPr>
          <w:rFonts w:hint="eastAsia" w:ascii="宋体" w:hAnsi="宋体" w:cs="宋体"/>
          <w:kern w:val="0"/>
        </w:rPr>
        <w:t>合同当事人未能就解除合同后的结清达成一致的，按照第20条〔争议解决〕的约定处理。</w:t>
      </w:r>
    </w:p>
    <w:p w14:paraId="0F28867E">
      <w:pPr>
        <w:spacing w:line="360" w:lineRule="exact"/>
        <w:ind w:firstLine="420" w:firstLineChars="200"/>
        <w:jc w:val="left"/>
        <w:rPr>
          <w:rFonts w:ascii="宋体" w:hAnsi="宋体" w:cs="宋体"/>
          <w:kern w:val="0"/>
        </w:rPr>
      </w:pPr>
      <w:r>
        <w:rPr>
          <w:rFonts w:hint="eastAsia" w:ascii="宋体" w:hAnsi="宋体" w:cs="宋体"/>
          <w:kern w:val="0"/>
        </w:rPr>
        <w:t>承包人应妥善做好已完工程和与工程有关的已购材料、工程设备的保护和移交工作，并将施工设备和人员撤出施工现场，发包人应为承包人撤出提供必要条件。</w:t>
      </w:r>
    </w:p>
    <w:p w14:paraId="5BC9F003">
      <w:pPr>
        <w:pStyle w:val="8"/>
        <w:overflowPunct/>
        <w:spacing w:before="120" w:after="120" w:line="360" w:lineRule="exact"/>
        <w:ind w:firstLine="420" w:firstLineChars="200"/>
        <w:rPr>
          <w:rFonts w:ascii="宋体" w:hAnsi="宋体" w:cs="宋体"/>
          <w:b w:val="0"/>
          <w:sz w:val="21"/>
          <w:szCs w:val="21"/>
        </w:rPr>
      </w:pPr>
      <w:bookmarkStart w:id="513" w:name="_Toc351203605"/>
      <w:bookmarkStart w:id="514" w:name="_Toc296346632"/>
      <w:bookmarkStart w:id="515" w:name="_Toc337558822"/>
      <w:bookmarkStart w:id="516" w:name="_Toc296503131"/>
      <w:r>
        <w:rPr>
          <w:rFonts w:hint="eastAsia" w:ascii="宋体" w:hAnsi="宋体" w:cs="宋体"/>
          <w:b w:val="0"/>
          <w:sz w:val="21"/>
          <w:szCs w:val="21"/>
        </w:rPr>
        <w:t>16.2 承包人违约</w:t>
      </w:r>
      <w:bookmarkEnd w:id="513"/>
    </w:p>
    <w:bookmarkEnd w:id="514"/>
    <w:bookmarkEnd w:id="515"/>
    <w:bookmarkEnd w:id="516"/>
    <w:p w14:paraId="16EDEDD3">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16.2.1 承包人违约的情形</w:t>
      </w:r>
    </w:p>
    <w:p w14:paraId="051C80E5">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在合同履行过程中发生的下列情形，属于承包人违约：</w:t>
      </w:r>
    </w:p>
    <w:p w14:paraId="46ADACBE">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（1）承包人违反合同约定进行转包或违法分包的；</w:t>
      </w:r>
    </w:p>
    <w:p w14:paraId="1A1FD8B4">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（2）承包人违反合同约定采购和使用不合格的材料和工程设备的；</w:t>
      </w:r>
    </w:p>
    <w:p w14:paraId="3C615932">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 xml:space="preserve">（3）因承包人原因导致工程质量不符合合同要求的； </w:t>
      </w:r>
    </w:p>
    <w:p w14:paraId="70396F60">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（4）承包人违反第8.9款〔材料与设备专用要求〕的约定，未经批准，私自将已按照合同约定进入施工现场的材料或设备撤离施工现场的；</w:t>
      </w:r>
    </w:p>
    <w:p w14:paraId="4F481622">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（5）承包人未能按施工进度计划及时完成合同约定的工作，造成工期延误的；</w:t>
      </w:r>
    </w:p>
    <w:p w14:paraId="4EBA1E88">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（6）承包人在缺陷责任期及保修期内，未能在合理期限对工程缺陷进行修复，或拒绝按发包人要求进行修复的；</w:t>
      </w:r>
    </w:p>
    <w:p w14:paraId="0EF9DBC7">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（7）承包人明确表示或者以其行为表明不履行合同主要义务的；</w:t>
      </w:r>
    </w:p>
    <w:p w14:paraId="39597825">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（8）承包人未能按照合同约定履行其他义务的。</w:t>
      </w:r>
    </w:p>
    <w:p w14:paraId="4F553776">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承包人发生除本项第（7）目约定以外的其他违约情况时，监理人可向承包人发出整改通知，要求其在指定的期限内改正。</w:t>
      </w:r>
    </w:p>
    <w:p w14:paraId="4973DD97">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16.2.2 承包人违约的责任</w:t>
      </w:r>
    </w:p>
    <w:p w14:paraId="7BD1EBD6">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承包人应承担因其违约行为而增加的费用和（或）延误的工期。此外，合同当事人可在专用合同条款中另行约定承包人违约责任的承担方式和计算方法。</w:t>
      </w:r>
    </w:p>
    <w:p w14:paraId="2F6B86FD">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16.2.3 因承包人违约解除合同</w:t>
      </w:r>
    </w:p>
    <w:p w14:paraId="4D82B8C2">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14:paraId="555BDD82">
      <w:pPr>
        <w:spacing w:line="360" w:lineRule="exact"/>
        <w:ind w:firstLine="420" w:firstLineChars="200"/>
        <w:jc w:val="left"/>
        <w:rPr>
          <w:rFonts w:ascii="宋体" w:hAnsi="宋体" w:cs="宋体"/>
          <w:kern w:val="0"/>
        </w:rPr>
      </w:pPr>
      <w:r>
        <w:rPr>
          <w:rFonts w:hint="eastAsia" w:ascii="宋体" w:hAnsi="宋体" w:cs="宋体"/>
          <w:kern w:val="0"/>
        </w:rPr>
        <w:t>16.2.4因承包人违约解除合同后的处理</w:t>
      </w:r>
    </w:p>
    <w:p w14:paraId="738EB83B">
      <w:pPr>
        <w:spacing w:line="360" w:lineRule="exact"/>
        <w:ind w:firstLine="420" w:firstLineChars="200"/>
        <w:jc w:val="left"/>
        <w:rPr>
          <w:rFonts w:ascii="宋体" w:hAnsi="宋体" w:cs="宋体"/>
          <w:kern w:val="0"/>
        </w:rPr>
      </w:pPr>
      <w:r>
        <w:rPr>
          <w:rFonts w:hint="eastAsia" w:ascii="宋体" w:hAnsi="宋体" w:cs="宋体"/>
          <w:kern w:val="0"/>
        </w:rPr>
        <w:t>因承包人原因导致合同解除的，则合同当事人应在合同解除后28天内完成估价、付款和清算，并按以下约定执行：</w:t>
      </w:r>
    </w:p>
    <w:p w14:paraId="3B7BD349">
      <w:pPr>
        <w:spacing w:line="360" w:lineRule="exact"/>
        <w:ind w:firstLine="420" w:firstLineChars="200"/>
        <w:jc w:val="left"/>
        <w:rPr>
          <w:rFonts w:ascii="宋体" w:hAnsi="宋体" w:cs="宋体"/>
          <w:kern w:val="0"/>
        </w:rPr>
      </w:pPr>
      <w:r>
        <w:rPr>
          <w:rFonts w:hint="eastAsia" w:ascii="宋体" w:hAnsi="宋体" w:cs="宋体"/>
          <w:kern w:val="0"/>
        </w:rPr>
        <w:t>（1）合同解除后，按第4.4款〔商定或确定〕商定或确定承包人实际完成工作对应的合同价款，以及承包人已提供的材料、工程设备、施工设备和临时工程等的价值；</w:t>
      </w:r>
    </w:p>
    <w:p w14:paraId="5AD0C530">
      <w:pPr>
        <w:spacing w:line="360" w:lineRule="exact"/>
        <w:ind w:firstLine="420" w:firstLineChars="200"/>
        <w:jc w:val="left"/>
        <w:rPr>
          <w:rFonts w:ascii="宋体" w:hAnsi="宋体" w:cs="宋体"/>
          <w:kern w:val="0"/>
        </w:rPr>
      </w:pPr>
      <w:r>
        <w:rPr>
          <w:rFonts w:hint="eastAsia" w:ascii="宋体" w:hAnsi="宋体" w:cs="宋体"/>
          <w:kern w:val="0"/>
        </w:rPr>
        <w:t>（2）合同解除后，承包人应支付的违约金；</w:t>
      </w:r>
    </w:p>
    <w:p w14:paraId="67027504">
      <w:pPr>
        <w:spacing w:line="360" w:lineRule="exact"/>
        <w:ind w:firstLine="420" w:firstLineChars="200"/>
        <w:jc w:val="left"/>
        <w:rPr>
          <w:rFonts w:ascii="宋体" w:hAnsi="宋体" w:cs="宋体"/>
          <w:kern w:val="0"/>
        </w:rPr>
      </w:pPr>
      <w:r>
        <w:rPr>
          <w:rFonts w:hint="eastAsia" w:ascii="宋体" w:hAnsi="宋体" w:cs="宋体"/>
          <w:kern w:val="0"/>
        </w:rPr>
        <w:t>（3）合同解除后，因解除合同给发包人造成的损失；</w:t>
      </w:r>
    </w:p>
    <w:p w14:paraId="7E1D5994">
      <w:pPr>
        <w:spacing w:line="360" w:lineRule="exact"/>
        <w:ind w:firstLine="420" w:firstLineChars="200"/>
        <w:jc w:val="left"/>
        <w:rPr>
          <w:rFonts w:ascii="宋体" w:hAnsi="宋体" w:cs="宋体"/>
          <w:kern w:val="0"/>
        </w:rPr>
      </w:pPr>
      <w:r>
        <w:rPr>
          <w:rFonts w:hint="eastAsia" w:ascii="宋体" w:hAnsi="宋体" w:cs="宋体"/>
          <w:kern w:val="0"/>
        </w:rPr>
        <w:t>（4）合同解除后，承包人应按照发包人要求和监理人的指示完成现场的清理和撤离；</w:t>
      </w:r>
    </w:p>
    <w:p w14:paraId="3E8627F2">
      <w:pPr>
        <w:spacing w:line="360" w:lineRule="exact"/>
        <w:ind w:firstLine="420" w:firstLineChars="200"/>
        <w:jc w:val="left"/>
        <w:rPr>
          <w:rFonts w:ascii="宋体" w:hAnsi="宋体" w:cs="宋体"/>
          <w:kern w:val="0"/>
        </w:rPr>
      </w:pPr>
      <w:r>
        <w:rPr>
          <w:rFonts w:hint="eastAsia" w:ascii="宋体" w:hAnsi="宋体" w:cs="宋体"/>
          <w:kern w:val="0"/>
        </w:rPr>
        <w:t>（5）发包人和承包人应在合同解除后进行清算，出具最终结清付款证书，结清全部款项。</w:t>
      </w:r>
    </w:p>
    <w:p w14:paraId="406F1C55">
      <w:pPr>
        <w:spacing w:line="360" w:lineRule="exact"/>
        <w:ind w:firstLine="420" w:firstLineChars="200"/>
        <w:jc w:val="left"/>
        <w:rPr>
          <w:rFonts w:ascii="宋体" w:hAnsi="宋体" w:cs="宋体"/>
          <w:kern w:val="0"/>
        </w:rPr>
      </w:pPr>
      <w:r>
        <w:rPr>
          <w:rFonts w:hint="eastAsia" w:ascii="宋体" w:hAnsi="宋体" w:cs="宋体"/>
          <w:kern w:val="0"/>
        </w:rPr>
        <w:t>因承包人违约解除合同的，发包人有权暂停对承包人的付款，查清各项付款和已扣款项。发包人和承包人未能就合同解除后的清算和款项支付达成一致的，按照第20条〔争议解决〕的约定处理。</w:t>
      </w:r>
    </w:p>
    <w:p w14:paraId="4673DCE2">
      <w:pPr>
        <w:spacing w:line="360" w:lineRule="exact"/>
        <w:ind w:firstLine="420" w:firstLineChars="200"/>
        <w:jc w:val="left"/>
        <w:rPr>
          <w:rFonts w:ascii="宋体" w:hAnsi="宋体" w:cs="宋体"/>
          <w:kern w:val="0"/>
        </w:rPr>
      </w:pPr>
      <w:r>
        <w:rPr>
          <w:rFonts w:hint="eastAsia" w:ascii="宋体" w:hAnsi="宋体" w:cs="宋体"/>
          <w:kern w:val="0"/>
        </w:rPr>
        <w:t>16.2.5采购合同权益转让</w:t>
      </w:r>
    </w:p>
    <w:p w14:paraId="4376CED9">
      <w:pPr>
        <w:spacing w:line="360" w:lineRule="exact"/>
        <w:ind w:firstLine="420" w:firstLineChars="200"/>
        <w:jc w:val="left"/>
        <w:rPr>
          <w:rFonts w:ascii="宋体" w:hAnsi="宋体" w:cs="宋体"/>
          <w:kern w:val="0"/>
        </w:rPr>
      </w:pPr>
      <w:r>
        <w:rPr>
          <w:rFonts w:hint="eastAsia" w:ascii="宋体" w:hAnsi="宋体" w:cs="宋体"/>
          <w:kern w:val="0"/>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14:paraId="5803CBF1">
      <w:pPr>
        <w:pStyle w:val="8"/>
        <w:overflowPunct/>
        <w:spacing w:before="120" w:after="120" w:line="360" w:lineRule="exact"/>
        <w:ind w:firstLine="420" w:firstLineChars="200"/>
        <w:rPr>
          <w:rFonts w:ascii="宋体" w:hAnsi="宋体" w:cs="宋体"/>
          <w:b w:val="0"/>
          <w:sz w:val="21"/>
          <w:szCs w:val="21"/>
        </w:rPr>
      </w:pPr>
      <w:bookmarkStart w:id="517" w:name="_Toc351203606"/>
      <w:r>
        <w:rPr>
          <w:rFonts w:hint="eastAsia" w:ascii="宋体" w:hAnsi="宋体" w:cs="宋体"/>
          <w:b w:val="0"/>
          <w:sz w:val="21"/>
          <w:szCs w:val="21"/>
        </w:rPr>
        <w:t>16.3 第三人造成的违约</w:t>
      </w:r>
      <w:bookmarkEnd w:id="517"/>
    </w:p>
    <w:p w14:paraId="7962FE65">
      <w:pPr>
        <w:spacing w:line="360" w:lineRule="exact"/>
        <w:ind w:firstLine="420" w:firstLineChars="200"/>
        <w:jc w:val="left"/>
        <w:rPr>
          <w:rFonts w:ascii="宋体" w:hAnsi="宋体" w:cs="宋体"/>
          <w:kern w:val="0"/>
        </w:rPr>
      </w:pPr>
      <w:r>
        <w:rPr>
          <w:rFonts w:hint="eastAsia" w:ascii="宋体" w:hAnsi="宋体" w:cs="宋体"/>
          <w:kern w:val="0"/>
        </w:rPr>
        <w:t>在履行合同过程中，一方当事人因第三人的原因造成违约的，应当向对方当事人承担违约责任。一方当事人和第三人之间的纠纷，依照法律规定或者按照约定解决。</w:t>
      </w:r>
    </w:p>
    <w:p w14:paraId="46137531">
      <w:pPr>
        <w:pStyle w:val="7"/>
        <w:spacing w:before="120" w:after="120" w:line="360" w:lineRule="exact"/>
        <w:rPr>
          <w:rFonts w:ascii="宋体" w:hAnsi="宋体" w:cs="宋体"/>
          <w:b w:val="0"/>
          <w:sz w:val="21"/>
          <w:szCs w:val="21"/>
        </w:rPr>
      </w:pPr>
      <w:bookmarkStart w:id="518" w:name="_Toc351203607"/>
      <w:bookmarkStart w:id="519" w:name="_Toc296503116"/>
      <w:bookmarkStart w:id="520" w:name="_Toc337558823"/>
      <w:bookmarkStart w:id="521" w:name="_Toc296346617"/>
      <w:r>
        <w:rPr>
          <w:rFonts w:hint="eastAsia" w:ascii="宋体" w:hAnsi="宋体" w:cs="宋体"/>
          <w:b w:val="0"/>
          <w:sz w:val="21"/>
          <w:szCs w:val="21"/>
        </w:rPr>
        <w:t>17. 不可抗力</w:t>
      </w:r>
      <w:bookmarkEnd w:id="518"/>
      <w:r>
        <w:rPr>
          <w:rFonts w:hint="eastAsia" w:ascii="宋体" w:hAnsi="宋体" w:cs="宋体"/>
          <w:b w:val="0"/>
          <w:sz w:val="21"/>
          <w:szCs w:val="21"/>
        </w:rPr>
        <w:t xml:space="preserve"> </w:t>
      </w:r>
      <w:bookmarkEnd w:id="519"/>
      <w:bookmarkEnd w:id="520"/>
      <w:bookmarkEnd w:id="521"/>
    </w:p>
    <w:p w14:paraId="0F3BD383">
      <w:pPr>
        <w:pStyle w:val="8"/>
        <w:overflowPunct/>
        <w:spacing w:before="120" w:after="120" w:line="360" w:lineRule="exact"/>
        <w:ind w:firstLine="420" w:firstLineChars="200"/>
        <w:rPr>
          <w:rFonts w:ascii="宋体" w:hAnsi="宋体" w:cs="宋体"/>
          <w:b w:val="0"/>
          <w:sz w:val="21"/>
          <w:szCs w:val="21"/>
        </w:rPr>
      </w:pPr>
      <w:bookmarkStart w:id="522" w:name="_Toc351203608"/>
      <w:bookmarkStart w:id="523" w:name="_Toc296346618"/>
      <w:bookmarkStart w:id="524" w:name="_Toc337558824"/>
      <w:bookmarkStart w:id="525" w:name="_Toc296503117"/>
      <w:r>
        <w:rPr>
          <w:rFonts w:hint="eastAsia" w:ascii="宋体" w:hAnsi="宋体" w:cs="宋体"/>
          <w:b w:val="0"/>
          <w:sz w:val="21"/>
          <w:szCs w:val="21"/>
        </w:rPr>
        <w:t>17.1 不可抗力的确认</w:t>
      </w:r>
      <w:bookmarkEnd w:id="522"/>
    </w:p>
    <w:bookmarkEnd w:id="523"/>
    <w:bookmarkEnd w:id="524"/>
    <w:bookmarkEnd w:id="525"/>
    <w:p w14:paraId="4B94AE9A">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不可抗力是指合同当事人在签订合同时不可预见，在合同履行过程中不可避免且不能克服的自然灾害和社会性突发事件，如地震、海啸、瘟疫、骚乱、戒严、暴动、战争和专用合同条款中约定的其他情形。</w:t>
      </w:r>
    </w:p>
    <w:p w14:paraId="69153D48">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p>
    <w:p w14:paraId="5A33F9E5">
      <w:pPr>
        <w:pStyle w:val="8"/>
        <w:overflowPunct/>
        <w:spacing w:before="120" w:after="120" w:line="360" w:lineRule="exact"/>
        <w:ind w:firstLine="420" w:firstLineChars="200"/>
        <w:rPr>
          <w:rFonts w:ascii="宋体" w:hAnsi="宋体" w:cs="宋体"/>
          <w:b w:val="0"/>
          <w:sz w:val="21"/>
          <w:szCs w:val="21"/>
        </w:rPr>
      </w:pPr>
      <w:bookmarkStart w:id="526" w:name="_Toc351203609"/>
      <w:bookmarkStart w:id="527" w:name="_Toc296346619"/>
      <w:bookmarkStart w:id="528" w:name="_Toc296503118"/>
      <w:bookmarkStart w:id="529" w:name="_Toc337558825"/>
      <w:r>
        <w:rPr>
          <w:rFonts w:hint="eastAsia" w:ascii="宋体" w:hAnsi="宋体" w:cs="宋体"/>
          <w:b w:val="0"/>
          <w:sz w:val="21"/>
          <w:szCs w:val="21"/>
        </w:rPr>
        <w:t>17.2 不可抗力的通知</w:t>
      </w:r>
      <w:bookmarkEnd w:id="526"/>
    </w:p>
    <w:bookmarkEnd w:id="527"/>
    <w:bookmarkEnd w:id="528"/>
    <w:bookmarkEnd w:id="529"/>
    <w:p w14:paraId="4FFC3E88">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合同一方当事人遇到不可抗力事件，使其履行合同义务受到阻碍时，应立即通知合同另一方当事人和监理人，书面说明不可抗力和受阻碍的详细情况，并提供必要的证明。</w:t>
      </w:r>
    </w:p>
    <w:p w14:paraId="4CCA0130">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不可抗力持续发生的，合同一方当事人应及时向合同另一方当事人和监理人提交中间报告，说明不可抗力和履行合同受阻的情况，并于不可抗力事件结束后28天内提交最终报告及有关资料。</w:t>
      </w:r>
    </w:p>
    <w:p w14:paraId="5F3EC798">
      <w:pPr>
        <w:pStyle w:val="8"/>
        <w:overflowPunct/>
        <w:spacing w:before="120" w:after="120" w:line="360" w:lineRule="exact"/>
        <w:ind w:firstLine="420" w:firstLineChars="200"/>
        <w:rPr>
          <w:rFonts w:ascii="宋体" w:hAnsi="宋体" w:cs="宋体"/>
          <w:b w:val="0"/>
          <w:sz w:val="21"/>
          <w:szCs w:val="21"/>
        </w:rPr>
      </w:pPr>
      <w:bookmarkStart w:id="530" w:name="_Toc351203610"/>
      <w:bookmarkStart w:id="531" w:name="_Toc337558826"/>
      <w:bookmarkStart w:id="532" w:name="_Toc296503119"/>
      <w:bookmarkStart w:id="533" w:name="_Toc296346620"/>
      <w:r>
        <w:rPr>
          <w:rFonts w:hint="eastAsia" w:ascii="宋体" w:hAnsi="宋体" w:cs="宋体"/>
          <w:b w:val="0"/>
          <w:sz w:val="21"/>
          <w:szCs w:val="21"/>
        </w:rPr>
        <w:t>17.3 不可抗力后果的承担</w:t>
      </w:r>
      <w:bookmarkEnd w:id="530"/>
    </w:p>
    <w:bookmarkEnd w:id="531"/>
    <w:bookmarkEnd w:id="532"/>
    <w:bookmarkEnd w:id="533"/>
    <w:p w14:paraId="58E8C4B4">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17.3.1 不可抗力引起的后果及造成的损失由合同当事人按照法律规定及合同约定各自承担。不可抗力发生前已完成的工程应当按照合同约定进行计量支付。</w:t>
      </w:r>
    </w:p>
    <w:p w14:paraId="3E7C730E">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17.3.2 不可抗力导致的人员伤亡、财产损失、费用增加和（或）工期延误等后果，由合同当事人按以下原则承担：</w:t>
      </w:r>
    </w:p>
    <w:p w14:paraId="78EAFB96">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（1）永久工程、已运至施工现场的材料和工程设备的损坏，以及因工程损坏造成的第三人人员伤亡和财产损失由发包人承担；</w:t>
      </w:r>
    </w:p>
    <w:p w14:paraId="1F42A06F">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（2）承包人施工设备的损坏由承包人承担；</w:t>
      </w:r>
    </w:p>
    <w:p w14:paraId="1781F367">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（3）发包人和承包人承担各自人员伤亡和财产的损失；</w:t>
      </w:r>
    </w:p>
    <w:p w14:paraId="6507D1F6">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（4）因不可抗力影响承包人履行合同约定的义务，已经引起或将引起工期延误的，应当顺延工期，由此导致承包人停工的费用损失由发包人和承包人合理分担，停工期间必须支付的工人工资由发包人承担；</w:t>
      </w:r>
    </w:p>
    <w:p w14:paraId="3D87AE1D">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（5）因不可抗力引起或将引起工期延误，发包人要求赶工的，由此增加的赶工费用由发包人承担；</w:t>
      </w:r>
    </w:p>
    <w:p w14:paraId="7ECC0E17">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（6）承包人在停工期间按照发包人要求照管、清理和修复工程的费用由发包人承担。</w:t>
      </w:r>
    </w:p>
    <w:p w14:paraId="773F388F">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不可抗力发生后，合同当事人均应采取措施尽量避免和减少损失的扩大，任何一方当事人没有采取有效措施导致损失扩大的，应对扩大的损失承担责任。</w:t>
      </w:r>
    </w:p>
    <w:p w14:paraId="5486E1F0">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因合同一方迟延履行合同义务，在迟延履行期间遭遇不可抗力的，不免除其违约责任。</w:t>
      </w:r>
    </w:p>
    <w:p w14:paraId="31D10933">
      <w:pPr>
        <w:pStyle w:val="8"/>
        <w:overflowPunct/>
        <w:spacing w:before="120" w:after="120" w:line="360" w:lineRule="exact"/>
        <w:ind w:firstLine="420" w:firstLineChars="200"/>
        <w:rPr>
          <w:rFonts w:ascii="宋体" w:hAnsi="宋体" w:cs="宋体"/>
          <w:b w:val="0"/>
          <w:sz w:val="21"/>
          <w:szCs w:val="21"/>
        </w:rPr>
      </w:pPr>
      <w:bookmarkStart w:id="534" w:name="_Toc351203611"/>
      <w:bookmarkStart w:id="535" w:name="_Toc337558827"/>
      <w:r>
        <w:rPr>
          <w:rFonts w:hint="eastAsia" w:ascii="宋体" w:hAnsi="宋体" w:cs="宋体"/>
          <w:b w:val="0"/>
          <w:sz w:val="21"/>
          <w:szCs w:val="21"/>
        </w:rPr>
        <w:t>17.4 因不可抗力解除合同</w:t>
      </w:r>
      <w:bookmarkEnd w:id="534"/>
    </w:p>
    <w:bookmarkEnd w:id="535"/>
    <w:p w14:paraId="02F24E4D">
      <w:pPr>
        <w:spacing w:line="360" w:lineRule="exact"/>
        <w:ind w:firstLine="420" w:firstLineChars="200"/>
        <w:jc w:val="left"/>
        <w:rPr>
          <w:rFonts w:ascii="宋体" w:hAnsi="宋体" w:cs="宋体"/>
          <w:kern w:val="0"/>
        </w:rPr>
      </w:pPr>
      <w:r>
        <w:rPr>
          <w:rFonts w:hint="eastAsia" w:ascii="宋体" w:hAnsi="宋体" w:cs="宋体"/>
          <w:kern w:val="0"/>
        </w:rPr>
        <w:t>因不可抗力导致合同无法履行连续超过84天或累计超过140天的，发包人和承包人均有权解除合同。合同解除后，由双方当事人按照第4.4款〔商定或确定〕商定或确定发包人应支付的款项，该款项包括：</w:t>
      </w:r>
    </w:p>
    <w:p w14:paraId="715724CA">
      <w:pPr>
        <w:spacing w:line="360" w:lineRule="exact"/>
        <w:ind w:firstLine="420" w:firstLineChars="200"/>
        <w:jc w:val="left"/>
        <w:rPr>
          <w:rFonts w:ascii="宋体" w:hAnsi="宋体" w:cs="宋体"/>
          <w:kern w:val="0"/>
        </w:rPr>
      </w:pPr>
      <w:r>
        <w:rPr>
          <w:rFonts w:hint="eastAsia" w:ascii="宋体" w:hAnsi="宋体" w:cs="宋体"/>
          <w:kern w:val="0"/>
        </w:rPr>
        <w:t>（1）合同解除前承包人已完成工作的价款；</w:t>
      </w:r>
    </w:p>
    <w:p w14:paraId="093BBC70">
      <w:pPr>
        <w:spacing w:line="360" w:lineRule="exact"/>
        <w:ind w:firstLine="420" w:firstLineChars="200"/>
        <w:jc w:val="left"/>
        <w:rPr>
          <w:rFonts w:ascii="宋体" w:hAnsi="宋体" w:cs="宋体"/>
          <w:kern w:val="0"/>
        </w:rPr>
      </w:pPr>
      <w:r>
        <w:rPr>
          <w:rFonts w:hint="eastAsia" w:ascii="宋体" w:hAnsi="宋体" w:cs="宋体"/>
          <w:kern w:val="0"/>
        </w:rPr>
        <w:t>（2）承包人为工程订购的并已交付给承包人，或承包人有责任接受交付的材料、工程设备和其他物品的价款；</w:t>
      </w:r>
    </w:p>
    <w:p w14:paraId="45F143C6">
      <w:pPr>
        <w:spacing w:line="360" w:lineRule="exact"/>
        <w:ind w:firstLine="420" w:firstLineChars="200"/>
        <w:jc w:val="left"/>
        <w:rPr>
          <w:rFonts w:ascii="宋体" w:hAnsi="宋体" w:cs="宋体"/>
          <w:kern w:val="0"/>
        </w:rPr>
      </w:pPr>
      <w:r>
        <w:rPr>
          <w:rFonts w:hint="eastAsia" w:ascii="宋体" w:hAnsi="宋体" w:cs="宋体"/>
          <w:kern w:val="0"/>
        </w:rPr>
        <w:t>（3）发包人要求承包人退货或解除订货合同而产生的费用，或因不能退货或解除合同而产生的损失；</w:t>
      </w:r>
    </w:p>
    <w:p w14:paraId="7C2DA9B9">
      <w:pPr>
        <w:spacing w:line="360" w:lineRule="exact"/>
        <w:ind w:firstLine="420" w:firstLineChars="200"/>
        <w:jc w:val="left"/>
        <w:rPr>
          <w:rFonts w:ascii="宋体" w:hAnsi="宋体" w:cs="宋体"/>
          <w:kern w:val="0"/>
        </w:rPr>
      </w:pPr>
      <w:r>
        <w:rPr>
          <w:rFonts w:hint="eastAsia" w:ascii="宋体" w:hAnsi="宋体" w:cs="宋体"/>
          <w:kern w:val="0"/>
        </w:rPr>
        <w:t>（4）承包人撤离施工现场以及遣散承包人人员的费用；</w:t>
      </w:r>
    </w:p>
    <w:p w14:paraId="63C74539">
      <w:pPr>
        <w:spacing w:line="360" w:lineRule="exact"/>
        <w:ind w:firstLine="420" w:firstLineChars="200"/>
        <w:jc w:val="left"/>
        <w:rPr>
          <w:rFonts w:ascii="宋体" w:hAnsi="宋体" w:cs="宋体"/>
          <w:kern w:val="0"/>
        </w:rPr>
      </w:pPr>
      <w:r>
        <w:rPr>
          <w:rFonts w:hint="eastAsia" w:ascii="宋体" w:hAnsi="宋体" w:cs="宋体"/>
          <w:kern w:val="0"/>
        </w:rPr>
        <w:t>（5）按照合同约定在合同解除前应支付给承包人的其他款项；</w:t>
      </w:r>
    </w:p>
    <w:p w14:paraId="18BF1A28">
      <w:pPr>
        <w:spacing w:line="360" w:lineRule="exact"/>
        <w:ind w:firstLine="420" w:firstLineChars="200"/>
        <w:jc w:val="left"/>
        <w:rPr>
          <w:rFonts w:ascii="宋体" w:hAnsi="宋体" w:cs="宋体"/>
          <w:kern w:val="0"/>
        </w:rPr>
      </w:pPr>
      <w:r>
        <w:rPr>
          <w:rFonts w:hint="eastAsia" w:ascii="宋体" w:hAnsi="宋体" w:cs="宋体"/>
          <w:kern w:val="0"/>
        </w:rPr>
        <w:t>（6）扣减承包人按照合同约定应向发包人支付的款项；</w:t>
      </w:r>
    </w:p>
    <w:p w14:paraId="4985140E">
      <w:pPr>
        <w:spacing w:line="360" w:lineRule="exact"/>
        <w:ind w:firstLine="420" w:firstLineChars="200"/>
        <w:jc w:val="left"/>
        <w:rPr>
          <w:rFonts w:ascii="宋体" w:hAnsi="宋体" w:cs="宋体"/>
          <w:kern w:val="0"/>
        </w:rPr>
      </w:pPr>
      <w:r>
        <w:rPr>
          <w:rFonts w:hint="eastAsia" w:ascii="宋体" w:hAnsi="宋体" w:cs="宋体"/>
          <w:kern w:val="0"/>
        </w:rPr>
        <w:t>（7）双方商定或确定的其他款项。</w:t>
      </w:r>
    </w:p>
    <w:p w14:paraId="198C741B">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除专用合同条款另有约定外，合同解除后，发包人应在商定或确定上述款项后28天内完成上述款项的支付。</w:t>
      </w:r>
    </w:p>
    <w:p w14:paraId="2211E2EB">
      <w:pPr>
        <w:pStyle w:val="7"/>
        <w:spacing w:before="120" w:after="120" w:line="360" w:lineRule="exact"/>
        <w:rPr>
          <w:rFonts w:ascii="宋体" w:hAnsi="宋体" w:cs="宋体"/>
          <w:b w:val="0"/>
          <w:sz w:val="21"/>
          <w:szCs w:val="21"/>
        </w:rPr>
      </w:pPr>
      <w:bookmarkStart w:id="536" w:name="_Toc351203612"/>
      <w:bookmarkStart w:id="537" w:name="_Toc296503120"/>
      <w:bookmarkStart w:id="538" w:name="_Toc296346621"/>
      <w:bookmarkStart w:id="539" w:name="_Toc337558828"/>
      <w:r>
        <w:rPr>
          <w:rFonts w:hint="eastAsia" w:ascii="宋体" w:hAnsi="宋体" w:cs="宋体"/>
          <w:b w:val="0"/>
          <w:sz w:val="21"/>
          <w:szCs w:val="21"/>
        </w:rPr>
        <w:t>18. 保险</w:t>
      </w:r>
      <w:bookmarkEnd w:id="536"/>
    </w:p>
    <w:bookmarkEnd w:id="537"/>
    <w:bookmarkEnd w:id="538"/>
    <w:bookmarkEnd w:id="539"/>
    <w:p w14:paraId="6228A502">
      <w:pPr>
        <w:pStyle w:val="8"/>
        <w:overflowPunct/>
        <w:spacing w:before="120" w:after="120" w:line="360" w:lineRule="exact"/>
        <w:ind w:firstLine="420" w:firstLineChars="200"/>
        <w:rPr>
          <w:rFonts w:ascii="宋体" w:hAnsi="宋体" w:cs="宋体"/>
          <w:b w:val="0"/>
          <w:sz w:val="21"/>
          <w:szCs w:val="21"/>
        </w:rPr>
      </w:pPr>
      <w:bookmarkStart w:id="540" w:name="_Toc351203613"/>
      <w:bookmarkStart w:id="541" w:name="_Toc337558829"/>
      <w:bookmarkStart w:id="542" w:name="_Toc296503121"/>
      <w:bookmarkStart w:id="543" w:name="_Toc296346622"/>
      <w:r>
        <w:rPr>
          <w:rFonts w:hint="eastAsia" w:ascii="宋体" w:hAnsi="宋体" w:cs="宋体"/>
          <w:b w:val="0"/>
          <w:sz w:val="21"/>
          <w:szCs w:val="21"/>
        </w:rPr>
        <w:t>18.1 工程保险</w:t>
      </w:r>
      <w:bookmarkEnd w:id="540"/>
    </w:p>
    <w:bookmarkEnd w:id="541"/>
    <w:bookmarkEnd w:id="542"/>
    <w:bookmarkEnd w:id="543"/>
    <w:p w14:paraId="7E11BBA6">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除专用合同条款另有约定外，发包人应投保建筑工程一切险或安装工程一切险；发包人委托承包人投保的，因投保产生的保险费和其他相关费用由发包人承担。</w:t>
      </w:r>
    </w:p>
    <w:p w14:paraId="01B4EC5F">
      <w:pPr>
        <w:pStyle w:val="8"/>
        <w:overflowPunct/>
        <w:spacing w:before="120" w:after="120" w:line="360" w:lineRule="exact"/>
        <w:ind w:firstLine="420" w:firstLineChars="200"/>
        <w:rPr>
          <w:rFonts w:ascii="宋体" w:hAnsi="宋体" w:cs="宋体"/>
          <w:b w:val="0"/>
          <w:sz w:val="21"/>
          <w:szCs w:val="21"/>
        </w:rPr>
      </w:pPr>
      <w:bookmarkStart w:id="544" w:name="_Toc351203614"/>
      <w:bookmarkStart w:id="545" w:name="_Toc337558830"/>
      <w:bookmarkStart w:id="546" w:name="_Toc296346623"/>
      <w:bookmarkStart w:id="547" w:name="_Toc296503122"/>
      <w:r>
        <w:rPr>
          <w:rFonts w:hint="eastAsia" w:ascii="宋体" w:hAnsi="宋体" w:cs="宋体"/>
          <w:b w:val="0"/>
          <w:sz w:val="21"/>
          <w:szCs w:val="21"/>
        </w:rPr>
        <w:t>18.2 工伤保险</w:t>
      </w:r>
      <w:bookmarkEnd w:id="544"/>
    </w:p>
    <w:bookmarkEnd w:id="545"/>
    <w:bookmarkEnd w:id="546"/>
    <w:bookmarkEnd w:id="547"/>
    <w:p w14:paraId="6FC6041E">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18.2.1 发包人应依照法律规定参加工伤保险，并为在施工现场的全部员工办理工伤保险，交纳工伤保险费，并要求监理人及由发包人为履行合同聘请的第三方依法参加工伤保险。</w:t>
      </w:r>
    </w:p>
    <w:p w14:paraId="547B0D61">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18.2.2 承包人应依照法律规定参加工伤保险，并为其履行合同的全部员工办理工伤保险，交纳工伤保险费，并要求分包人及由承包人为履行合同聘请的第三方依法参加工伤保险。</w:t>
      </w:r>
    </w:p>
    <w:p w14:paraId="2F7C9E67">
      <w:pPr>
        <w:pStyle w:val="8"/>
        <w:overflowPunct/>
        <w:spacing w:before="120" w:after="120" w:line="360" w:lineRule="exact"/>
        <w:ind w:firstLine="420" w:firstLineChars="200"/>
        <w:rPr>
          <w:rFonts w:ascii="宋体" w:hAnsi="宋体" w:cs="宋体"/>
          <w:b w:val="0"/>
          <w:sz w:val="21"/>
          <w:szCs w:val="21"/>
        </w:rPr>
      </w:pPr>
      <w:bookmarkStart w:id="548" w:name="_Toc351203615"/>
      <w:bookmarkStart w:id="549" w:name="_Toc296503125"/>
      <w:bookmarkStart w:id="550" w:name="_Toc337558831"/>
      <w:bookmarkStart w:id="551" w:name="_Toc296346626"/>
      <w:r>
        <w:rPr>
          <w:rFonts w:hint="eastAsia" w:ascii="宋体" w:hAnsi="宋体" w:cs="宋体"/>
          <w:b w:val="0"/>
          <w:sz w:val="21"/>
          <w:szCs w:val="21"/>
        </w:rPr>
        <w:t>18.3其他保险</w:t>
      </w:r>
      <w:bookmarkEnd w:id="548"/>
    </w:p>
    <w:bookmarkEnd w:id="549"/>
    <w:bookmarkEnd w:id="550"/>
    <w:bookmarkEnd w:id="551"/>
    <w:p w14:paraId="010E9845">
      <w:pPr>
        <w:spacing w:line="360" w:lineRule="exact"/>
        <w:ind w:firstLine="420" w:firstLineChars="200"/>
        <w:jc w:val="left"/>
        <w:rPr>
          <w:rFonts w:ascii="宋体" w:hAnsi="宋体" w:cs="宋体"/>
        </w:rPr>
      </w:pPr>
      <w:r>
        <w:rPr>
          <w:rFonts w:hint="eastAsia" w:ascii="宋体" w:hAnsi="宋体" w:cs="宋体"/>
        </w:rPr>
        <w:t>发包人和承包人可以为其施工现场的全部人员办理意外伤害保险并支付保险费，包括其员工及为履行合同聘请的第三方的人员，具体事项由合同当事人在专用合同条款约定。</w:t>
      </w:r>
    </w:p>
    <w:p w14:paraId="243B807A">
      <w:pPr>
        <w:spacing w:line="360" w:lineRule="exact"/>
        <w:ind w:firstLine="420" w:firstLineChars="200"/>
        <w:jc w:val="left"/>
        <w:rPr>
          <w:rFonts w:ascii="宋体" w:hAnsi="宋体" w:cs="宋体"/>
        </w:rPr>
      </w:pPr>
      <w:r>
        <w:rPr>
          <w:rFonts w:hint="eastAsia" w:ascii="宋体" w:hAnsi="宋体" w:cs="宋体"/>
        </w:rPr>
        <w:t>除专用合同条款另有约定外，承包人应为其施工设备等办理财产保险。</w:t>
      </w:r>
    </w:p>
    <w:p w14:paraId="32FA4983">
      <w:pPr>
        <w:pStyle w:val="8"/>
        <w:overflowPunct/>
        <w:spacing w:before="120" w:after="120" w:line="360" w:lineRule="exact"/>
        <w:ind w:firstLine="420" w:firstLineChars="200"/>
        <w:rPr>
          <w:rFonts w:ascii="宋体" w:hAnsi="宋体" w:cs="宋体"/>
          <w:b w:val="0"/>
          <w:sz w:val="21"/>
          <w:szCs w:val="21"/>
        </w:rPr>
      </w:pPr>
      <w:bookmarkStart w:id="552" w:name="_Toc351203616"/>
      <w:r>
        <w:rPr>
          <w:rFonts w:hint="eastAsia" w:ascii="宋体" w:hAnsi="宋体" w:cs="宋体"/>
          <w:b w:val="0"/>
          <w:sz w:val="21"/>
          <w:szCs w:val="21"/>
        </w:rPr>
        <w:t>18.4持续保险</w:t>
      </w:r>
      <w:bookmarkEnd w:id="552"/>
    </w:p>
    <w:p w14:paraId="0882C30B">
      <w:pPr>
        <w:spacing w:line="360" w:lineRule="exact"/>
        <w:ind w:firstLine="420" w:firstLineChars="200"/>
        <w:jc w:val="left"/>
        <w:rPr>
          <w:rFonts w:ascii="宋体" w:hAnsi="宋体" w:cs="宋体"/>
        </w:rPr>
      </w:pPr>
      <w:r>
        <w:rPr>
          <w:rFonts w:hint="eastAsia" w:ascii="宋体" w:hAnsi="宋体" w:cs="宋体"/>
        </w:rPr>
        <w:t>合同当事人应与保险人保持联系，使保险人能够随时了解工程实施中的变动，并确保按保险合同条款要求持续保险。</w:t>
      </w:r>
    </w:p>
    <w:p w14:paraId="147A2FAB">
      <w:pPr>
        <w:pStyle w:val="8"/>
        <w:overflowPunct/>
        <w:spacing w:before="120" w:after="120" w:line="360" w:lineRule="exact"/>
        <w:ind w:firstLine="420" w:firstLineChars="200"/>
        <w:rPr>
          <w:rFonts w:ascii="宋体" w:hAnsi="宋体" w:cs="宋体"/>
          <w:b w:val="0"/>
          <w:sz w:val="21"/>
          <w:szCs w:val="21"/>
        </w:rPr>
      </w:pPr>
      <w:bookmarkStart w:id="553" w:name="_Toc351203617"/>
      <w:bookmarkStart w:id="554" w:name="_Toc337558832"/>
      <w:bookmarkStart w:id="555" w:name="_Toc296503126"/>
      <w:bookmarkStart w:id="556" w:name="_Toc296346627"/>
      <w:r>
        <w:rPr>
          <w:rFonts w:hint="eastAsia" w:ascii="宋体" w:hAnsi="宋体" w:cs="宋体"/>
          <w:b w:val="0"/>
          <w:sz w:val="21"/>
          <w:szCs w:val="21"/>
        </w:rPr>
        <w:t>18.5 保险凭证</w:t>
      </w:r>
      <w:bookmarkEnd w:id="553"/>
    </w:p>
    <w:bookmarkEnd w:id="554"/>
    <w:bookmarkEnd w:id="555"/>
    <w:bookmarkEnd w:id="556"/>
    <w:p w14:paraId="6EF3D2FD">
      <w:pPr>
        <w:spacing w:line="360" w:lineRule="exact"/>
        <w:ind w:firstLine="420" w:firstLineChars="200"/>
        <w:jc w:val="left"/>
        <w:rPr>
          <w:rFonts w:ascii="宋体" w:hAnsi="宋体" w:cs="宋体"/>
        </w:rPr>
      </w:pPr>
      <w:r>
        <w:rPr>
          <w:rFonts w:hint="eastAsia" w:ascii="宋体" w:hAnsi="宋体" w:cs="宋体"/>
        </w:rPr>
        <w:t>合同当事人应及时向另一方当事人提交其已投保的各项保险的凭证和保险单复印件。</w:t>
      </w:r>
    </w:p>
    <w:p w14:paraId="345514B3">
      <w:pPr>
        <w:pStyle w:val="8"/>
        <w:overflowPunct/>
        <w:spacing w:before="120" w:after="120" w:line="360" w:lineRule="exact"/>
        <w:ind w:firstLine="420" w:firstLineChars="200"/>
        <w:rPr>
          <w:rFonts w:ascii="宋体" w:hAnsi="宋体" w:cs="宋体"/>
          <w:b w:val="0"/>
          <w:sz w:val="21"/>
          <w:szCs w:val="21"/>
        </w:rPr>
      </w:pPr>
      <w:bookmarkStart w:id="557" w:name="_Toc351203618"/>
      <w:bookmarkStart w:id="558" w:name="_Toc296503127"/>
      <w:bookmarkStart w:id="559" w:name="_Toc296346628"/>
      <w:bookmarkStart w:id="560" w:name="_Toc337558833"/>
      <w:r>
        <w:rPr>
          <w:rFonts w:hint="eastAsia" w:ascii="宋体" w:hAnsi="宋体" w:cs="宋体"/>
          <w:b w:val="0"/>
          <w:sz w:val="21"/>
          <w:szCs w:val="21"/>
        </w:rPr>
        <w:t>18.6 未按约定投保的补救</w:t>
      </w:r>
      <w:bookmarkEnd w:id="557"/>
    </w:p>
    <w:bookmarkEnd w:id="558"/>
    <w:bookmarkEnd w:id="559"/>
    <w:bookmarkEnd w:id="560"/>
    <w:p w14:paraId="7EC1484A">
      <w:pPr>
        <w:spacing w:line="360" w:lineRule="exact"/>
        <w:ind w:firstLine="420" w:firstLineChars="200"/>
        <w:jc w:val="left"/>
        <w:rPr>
          <w:rFonts w:ascii="宋体" w:hAnsi="宋体" w:cs="宋体"/>
        </w:rPr>
      </w:pPr>
      <w:r>
        <w:rPr>
          <w:rFonts w:hint="eastAsia" w:ascii="宋体" w:hAnsi="宋体" w:cs="宋体"/>
        </w:rPr>
        <w:t>18.6.1发包人未按合同约定办理保险，或未能使保险持续有效的，则承包人可代为办理，所需费用由发包人承担。发包人未按合同约定办理保险，导致未能得到足额赔偿的，由发包人负责补足。</w:t>
      </w:r>
    </w:p>
    <w:p w14:paraId="05B82480">
      <w:pPr>
        <w:spacing w:line="360" w:lineRule="exact"/>
        <w:ind w:firstLine="420" w:firstLineChars="200"/>
        <w:jc w:val="left"/>
        <w:rPr>
          <w:rFonts w:ascii="宋体" w:hAnsi="宋体" w:cs="宋体"/>
        </w:rPr>
      </w:pPr>
      <w:r>
        <w:rPr>
          <w:rFonts w:hint="eastAsia" w:ascii="宋体" w:hAnsi="宋体" w:cs="宋体"/>
        </w:rPr>
        <w:t>18.6.2承包人未按合同约定办理保险，或未能使保险持续有效的，则发包人可代为办理，所需费用由承包人承担。承包人未按合同约定办理保险，导致未能得到足额赔偿的，由承包人负责补足。</w:t>
      </w:r>
    </w:p>
    <w:p w14:paraId="77CFD1AD">
      <w:pPr>
        <w:pStyle w:val="8"/>
        <w:overflowPunct/>
        <w:spacing w:before="120" w:after="120" w:line="360" w:lineRule="exact"/>
        <w:ind w:firstLine="420" w:firstLineChars="200"/>
        <w:rPr>
          <w:rFonts w:ascii="宋体" w:hAnsi="宋体" w:cs="宋体"/>
          <w:b w:val="0"/>
          <w:sz w:val="21"/>
          <w:szCs w:val="21"/>
        </w:rPr>
      </w:pPr>
      <w:bookmarkStart w:id="561" w:name="_Toc351203619"/>
      <w:bookmarkStart w:id="562" w:name="_Toc337558834"/>
      <w:r>
        <w:rPr>
          <w:rFonts w:hint="eastAsia" w:ascii="宋体" w:hAnsi="宋体" w:cs="宋体"/>
          <w:b w:val="0"/>
          <w:sz w:val="21"/>
          <w:szCs w:val="21"/>
        </w:rPr>
        <w:t>18.7 通知义务</w:t>
      </w:r>
      <w:bookmarkEnd w:id="561"/>
    </w:p>
    <w:bookmarkEnd w:id="562"/>
    <w:p w14:paraId="13B45972">
      <w:pPr>
        <w:spacing w:line="360" w:lineRule="exact"/>
        <w:ind w:firstLine="420" w:firstLineChars="200"/>
        <w:jc w:val="left"/>
        <w:rPr>
          <w:rFonts w:ascii="宋体" w:hAnsi="宋体" w:cs="宋体"/>
        </w:rPr>
      </w:pPr>
      <w:r>
        <w:rPr>
          <w:rFonts w:hint="eastAsia" w:ascii="宋体" w:hAnsi="宋体" w:cs="宋体"/>
        </w:rPr>
        <w:t>除专用合同条款另有约定外，发包人变更除工伤保险之外的保险合同时，应事先征得承包人同意，并通知监理人；承包人变更除工伤保险之外的保险合同时，应事先征得发包人同意，并通知监理人。</w:t>
      </w:r>
    </w:p>
    <w:p w14:paraId="3AC5B9C9">
      <w:pPr>
        <w:spacing w:line="360" w:lineRule="exact"/>
        <w:ind w:firstLine="420" w:firstLineChars="200"/>
        <w:jc w:val="left"/>
        <w:rPr>
          <w:rFonts w:ascii="宋体" w:hAnsi="宋体" w:cs="宋体"/>
        </w:rPr>
      </w:pPr>
      <w:r>
        <w:rPr>
          <w:rFonts w:hint="eastAsia" w:ascii="宋体" w:hAnsi="宋体" w:cs="宋体"/>
        </w:rPr>
        <w:t>保险事故发生时，投保人应按照保险合同规定的条件和期限及时向保险人报告。发包人和承包人应当在知道保险事故发生后及时通知对方。</w:t>
      </w:r>
    </w:p>
    <w:p w14:paraId="03FDF4AC">
      <w:pPr>
        <w:pStyle w:val="7"/>
        <w:spacing w:line="360" w:lineRule="exact"/>
        <w:rPr>
          <w:rFonts w:ascii="宋体" w:hAnsi="宋体" w:cs="宋体"/>
          <w:b w:val="0"/>
          <w:sz w:val="21"/>
          <w:szCs w:val="21"/>
        </w:rPr>
      </w:pPr>
      <w:bookmarkStart w:id="563" w:name="_Toc351203620"/>
      <w:bookmarkStart w:id="564" w:name="_Toc296503140"/>
      <w:bookmarkStart w:id="565" w:name="_Toc337558835"/>
      <w:bookmarkStart w:id="566" w:name="_Toc296346641"/>
      <w:r>
        <w:rPr>
          <w:rFonts w:hint="eastAsia" w:ascii="宋体" w:hAnsi="宋体" w:cs="宋体"/>
          <w:b w:val="0"/>
          <w:sz w:val="21"/>
          <w:szCs w:val="21"/>
        </w:rPr>
        <w:t>19. 索赔</w:t>
      </w:r>
      <w:bookmarkEnd w:id="563"/>
    </w:p>
    <w:bookmarkEnd w:id="564"/>
    <w:bookmarkEnd w:id="565"/>
    <w:bookmarkEnd w:id="566"/>
    <w:p w14:paraId="44C1ECB4">
      <w:pPr>
        <w:spacing w:line="360" w:lineRule="exact"/>
        <w:rPr>
          <w:rFonts w:ascii="宋体" w:hAnsi="宋体" w:cs="宋体"/>
        </w:rPr>
      </w:pPr>
      <w:bookmarkStart w:id="567" w:name="_Toc351203621"/>
      <w:bookmarkStart w:id="568" w:name="_Toc337558836"/>
      <w:bookmarkStart w:id="569" w:name="_Toc296503141"/>
      <w:bookmarkStart w:id="570" w:name="_Toc296346642"/>
      <w:r>
        <w:rPr>
          <w:rFonts w:hint="eastAsia" w:ascii="宋体" w:hAnsi="宋体" w:cs="宋体"/>
        </w:rPr>
        <w:t>19.1承包人的索赔</w:t>
      </w:r>
      <w:bookmarkEnd w:id="567"/>
    </w:p>
    <w:bookmarkEnd w:id="568"/>
    <w:bookmarkEnd w:id="569"/>
    <w:bookmarkEnd w:id="570"/>
    <w:p w14:paraId="1032A049">
      <w:pPr>
        <w:spacing w:line="360" w:lineRule="exact"/>
        <w:rPr>
          <w:rFonts w:ascii="宋体" w:hAnsi="宋体" w:cs="宋体"/>
          <w:kern w:val="0"/>
        </w:rPr>
      </w:pPr>
      <w:r>
        <w:rPr>
          <w:rFonts w:hint="eastAsia" w:ascii="宋体" w:hAnsi="宋体" w:cs="宋体"/>
          <w:kern w:val="0"/>
        </w:rPr>
        <w:t>根据合同约定，承包人认为有权得到追加付款和（或）延长工期的，应按以下程序向发包人提出索赔：</w:t>
      </w:r>
    </w:p>
    <w:p w14:paraId="3AA0704E">
      <w:pPr>
        <w:spacing w:line="360" w:lineRule="exact"/>
        <w:rPr>
          <w:rFonts w:ascii="宋体" w:hAnsi="宋体" w:cs="宋体"/>
          <w:kern w:val="0"/>
        </w:rPr>
      </w:pPr>
      <w:r>
        <w:rPr>
          <w:rFonts w:hint="eastAsia" w:ascii="宋体" w:hAnsi="宋体" w:cs="宋体"/>
          <w:kern w:val="0"/>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5F9D8E3A">
      <w:pPr>
        <w:spacing w:line="360" w:lineRule="exact"/>
        <w:rPr>
          <w:rFonts w:ascii="宋体" w:hAnsi="宋体" w:cs="宋体"/>
          <w:kern w:val="0"/>
        </w:rPr>
      </w:pPr>
      <w:r>
        <w:rPr>
          <w:rFonts w:hint="eastAsia" w:ascii="宋体" w:hAnsi="宋体" w:cs="宋体"/>
          <w:kern w:val="0"/>
        </w:rPr>
        <w:t>（2）承包人应在发出索赔意向通知书后28天内，向监理人正式递交索赔报告；索赔报告应详细说明索赔理由以及要求追加的付款金额和（或）延长的工期，并附必要的记录和证明材料；</w:t>
      </w:r>
    </w:p>
    <w:p w14:paraId="5FB14FB2">
      <w:pPr>
        <w:spacing w:line="360" w:lineRule="exact"/>
        <w:rPr>
          <w:rFonts w:ascii="宋体" w:hAnsi="宋体" w:cs="宋体"/>
          <w:kern w:val="0"/>
        </w:rPr>
      </w:pPr>
      <w:r>
        <w:rPr>
          <w:rFonts w:hint="eastAsia" w:ascii="宋体" w:hAnsi="宋体" w:cs="宋体"/>
          <w:kern w:val="0"/>
        </w:rPr>
        <w:t>（3）索赔事件具有持续影响的，承包人应按合理时间间隔继续递交延续索赔通知，说明持续影响的实际情况和记录，列出累计的追加付款金额和（或）工期延长天数；</w:t>
      </w:r>
    </w:p>
    <w:p w14:paraId="741CF9C1">
      <w:pPr>
        <w:spacing w:line="360" w:lineRule="exact"/>
        <w:rPr>
          <w:rFonts w:ascii="宋体" w:hAnsi="宋体" w:cs="宋体"/>
          <w:kern w:val="0"/>
        </w:rPr>
      </w:pPr>
      <w:r>
        <w:rPr>
          <w:rFonts w:hint="eastAsia" w:ascii="宋体" w:hAnsi="宋体" w:cs="宋体"/>
          <w:kern w:val="0"/>
        </w:rPr>
        <w:t>（4）在索赔事件影响结束后28天内，承包人应向监理人递交最终索赔报告，说明最终要求索赔的追加付款金额和（或）延长的工期，并附必要的记录和证明材料。</w:t>
      </w:r>
    </w:p>
    <w:p w14:paraId="33C894B5">
      <w:pPr>
        <w:spacing w:line="360" w:lineRule="exact"/>
        <w:rPr>
          <w:rFonts w:ascii="宋体" w:hAnsi="宋体" w:cs="宋体"/>
        </w:rPr>
      </w:pPr>
      <w:bookmarkStart w:id="571" w:name="_Toc351203622"/>
      <w:bookmarkStart w:id="572" w:name="_Toc296346643"/>
      <w:bookmarkStart w:id="573" w:name="_Toc337558837"/>
      <w:bookmarkStart w:id="574" w:name="_Toc296503142"/>
      <w:r>
        <w:rPr>
          <w:rFonts w:hint="eastAsia" w:ascii="宋体" w:hAnsi="宋体" w:cs="宋体"/>
        </w:rPr>
        <w:t>19.2 对承包人索赔的处理</w:t>
      </w:r>
      <w:bookmarkEnd w:id="571"/>
    </w:p>
    <w:bookmarkEnd w:id="572"/>
    <w:bookmarkEnd w:id="573"/>
    <w:bookmarkEnd w:id="574"/>
    <w:p w14:paraId="2CA94772">
      <w:pPr>
        <w:spacing w:line="360" w:lineRule="exact"/>
        <w:rPr>
          <w:rFonts w:ascii="宋体" w:hAnsi="宋体" w:cs="宋体"/>
          <w:kern w:val="0"/>
        </w:rPr>
      </w:pPr>
      <w:r>
        <w:rPr>
          <w:rFonts w:hint="eastAsia" w:ascii="宋体" w:hAnsi="宋体" w:cs="宋体"/>
          <w:kern w:val="0"/>
        </w:rPr>
        <w:t>对承包人索赔的处理如下：</w:t>
      </w:r>
    </w:p>
    <w:p w14:paraId="45A4BD2C">
      <w:pPr>
        <w:spacing w:line="360" w:lineRule="exact"/>
        <w:rPr>
          <w:rFonts w:ascii="宋体" w:hAnsi="宋体" w:cs="宋体"/>
          <w:kern w:val="0"/>
        </w:rPr>
      </w:pPr>
      <w:r>
        <w:rPr>
          <w:rFonts w:hint="eastAsia" w:ascii="宋体" w:hAnsi="宋体" w:cs="宋体"/>
          <w:kern w:val="0"/>
        </w:rPr>
        <w:t>（1）监理人应在收到索赔报告后14天内完成审查并报送发包人。监理人对索赔报告存在异议的，有权要求承包人提交全部原始记录副本；</w:t>
      </w:r>
    </w:p>
    <w:p w14:paraId="23D36FBF">
      <w:pPr>
        <w:spacing w:line="360" w:lineRule="exact"/>
        <w:rPr>
          <w:rFonts w:ascii="宋体" w:hAnsi="宋体" w:cs="宋体"/>
          <w:kern w:val="0"/>
        </w:rPr>
      </w:pPr>
      <w:r>
        <w:rPr>
          <w:rFonts w:hint="eastAsia" w:ascii="宋体" w:hAnsi="宋体" w:cs="宋体"/>
          <w:kern w:val="0"/>
        </w:rPr>
        <w:t>（2）发包人应在监理人收到索赔报告或有关索赔的进一步证明材料后的28天内，由监理人向承包人出具经发包人签认的索赔处理结果。发包人逾期答复的，则视为认可承包人的索赔要求；</w:t>
      </w:r>
    </w:p>
    <w:p w14:paraId="61A43F44">
      <w:pPr>
        <w:spacing w:line="360" w:lineRule="exact"/>
        <w:rPr>
          <w:rFonts w:ascii="宋体" w:hAnsi="宋体" w:cs="宋体"/>
          <w:kern w:val="0"/>
        </w:rPr>
      </w:pPr>
      <w:r>
        <w:rPr>
          <w:rFonts w:hint="eastAsia" w:ascii="宋体" w:hAnsi="宋体" w:cs="宋体"/>
          <w:kern w:val="0"/>
        </w:rPr>
        <w:t>（3）承包人接受索赔处理结果的，索赔款项在当期进度款中进行支付；承包人不接受索赔处理结果的，按照第20条〔争议解决〕约定处理。</w:t>
      </w:r>
    </w:p>
    <w:p w14:paraId="646A85E0">
      <w:pPr>
        <w:spacing w:line="360" w:lineRule="exact"/>
        <w:rPr>
          <w:rFonts w:ascii="宋体" w:hAnsi="宋体" w:cs="宋体"/>
        </w:rPr>
      </w:pPr>
      <w:bookmarkStart w:id="575" w:name="_Toc351203623"/>
      <w:bookmarkStart w:id="576" w:name="_Toc337558838"/>
      <w:bookmarkStart w:id="577" w:name="_Toc296503143"/>
      <w:bookmarkStart w:id="578" w:name="_Toc296346644"/>
      <w:r>
        <w:rPr>
          <w:rFonts w:hint="eastAsia" w:ascii="宋体" w:hAnsi="宋体" w:cs="宋体"/>
        </w:rPr>
        <w:t>19.3发包人的索赔</w:t>
      </w:r>
      <w:bookmarkEnd w:id="575"/>
    </w:p>
    <w:bookmarkEnd w:id="576"/>
    <w:bookmarkEnd w:id="577"/>
    <w:bookmarkEnd w:id="578"/>
    <w:p w14:paraId="7C79FB9B">
      <w:pPr>
        <w:spacing w:line="360" w:lineRule="exact"/>
        <w:rPr>
          <w:rFonts w:ascii="宋体" w:hAnsi="宋体" w:cs="宋体"/>
          <w:kern w:val="0"/>
        </w:rPr>
      </w:pPr>
      <w:r>
        <w:rPr>
          <w:rFonts w:hint="eastAsia" w:ascii="宋体" w:hAnsi="宋体" w:cs="宋体"/>
          <w:kern w:val="0"/>
        </w:rPr>
        <w:t>根据合同约定，发包人认为有权得到赔付金额和（或）延长缺陷责任期的，监理人应向承包人发出通知并附有详细的证明。</w:t>
      </w:r>
    </w:p>
    <w:p w14:paraId="38E8C845">
      <w:pPr>
        <w:spacing w:line="360" w:lineRule="exact"/>
        <w:rPr>
          <w:rFonts w:ascii="宋体" w:hAnsi="宋体" w:cs="宋体"/>
          <w:kern w:val="0"/>
        </w:rPr>
      </w:pPr>
      <w:r>
        <w:rPr>
          <w:rFonts w:hint="eastAsia" w:ascii="宋体" w:hAnsi="宋体" w:cs="宋体"/>
          <w:kern w:val="0"/>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14:paraId="529F579B">
      <w:pPr>
        <w:spacing w:line="360" w:lineRule="exact"/>
        <w:rPr>
          <w:rFonts w:ascii="宋体" w:hAnsi="宋体" w:cs="宋体"/>
        </w:rPr>
      </w:pPr>
      <w:bookmarkStart w:id="579" w:name="_Toc351203624"/>
      <w:bookmarkStart w:id="580" w:name="_Toc296503144"/>
      <w:bookmarkStart w:id="581" w:name="_Toc337558839"/>
      <w:bookmarkStart w:id="582" w:name="_Toc296346645"/>
      <w:r>
        <w:rPr>
          <w:rFonts w:hint="eastAsia" w:ascii="宋体" w:hAnsi="宋体" w:cs="宋体"/>
        </w:rPr>
        <w:t>19.4 对发包人索赔的处理</w:t>
      </w:r>
      <w:bookmarkEnd w:id="579"/>
    </w:p>
    <w:bookmarkEnd w:id="580"/>
    <w:bookmarkEnd w:id="581"/>
    <w:bookmarkEnd w:id="582"/>
    <w:p w14:paraId="625666EF">
      <w:pPr>
        <w:spacing w:line="360" w:lineRule="exact"/>
        <w:rPr>
          <w:rFonts w:ascii="宋体" w:hAnsi="宋体" w:cs="宋体"/>
          <w:kern w:val="0"/>
        </w:rPr>
      </w:pPr>
      <w:r>
        <w:rPr>
          <w:rFonts w:hint="eastAsia" w:ascii="宋体" w:hAnsi="宋体" w:cs="宋体"/>
          <w:kern w:val="0"/>
        </w:rPr>
        <w:t>对发包人索赔的处理如下：</w:t>
      </w:r>
    </w:p>
    <w:p w14:paraId="51162745">
      <w:pPr>
        <w:spacing w:line="360" w:lineRule="exact"/>
        <w:rPr>
          <w:rFonts w:ascii="宋体" w:hAnsi="宋体" w:cs="宋体"/>
          <w:kern w:val="0"/>
        </w:rPr>
      </w:pPr>
      <w:r>
        <w:rPr>
          <w:rFonts w:hint="eastAsia" w:ascii="宋体" w:hAnsi="宋体" w:cs="宋体"/>
          <w:kern w:val="0"/>
        </w:rPr>
        <w:t>（1）承包人收到发包人提交的索赔报告后，应及时审查索赔报告的内容、查验发包人证明材料；</w:t>
      </w:r>
    </w:p>
    <w:p w14:paraId="122CD188">
      <w:pPr>
        <w:spacing w:line="360" w:lineRule="exact"/>
        <w:rPr>
          <w:rFonts w:ascii="宋体" w:hAnsi="宋体" w:cs="宋体"/>
          <w:kern w:val="0"/>
        </w:rPr>
      </w:pPr>
      <w:r>
        <w:rPr>
          <w:rFonts w:hint="eastAsia" w:ascii="宋体" w:hAnsi="宋体" w:cs="宋体"/>
          <w:kern w:val="0"/>
        </w:rPr>
        <w:t>（2）承包人应在收到索赔报告或有关索赔的进一步证明材料后28天内，将索赔处理结果答复发包人。如果承包人未在上述期限内作出答复的，则视为对发包人索赔要求的认可；</w:t>
      </w:r>
    </w:p>
    <w:p w14:paraId="262C7882">
      <w:pPr>
        <w:spacing w:line="360" w:lineRule="exact"/>
        <w:rPr>
          <w:rFonts w:ascii="宋体" w:hAnsi="宋体" w:cs="宋体"/>
          <w:kern w:val="0"/>
        </w:rPr>
      </w:pPr>
      <w:r>
        <w:rPr>
          <w:rFonts w:hint="eastAsia" w:ascii="宋体" w:hAnsi="宋体" w:cs="宋体"/>
          <w:kern w:val="0"/>
        </w:rPr>
        <w:t>（3）承包人接受索赔处理结果的，发包人可从应支付给承包人的合同价款中扣除赔付的金额或延长缺陷责任期；发包人不接受索赔处理结果的，按第20条〔争议解决〕约定处理。</w:t>
      </w:r>
    </w:p>
    <w:p w14:paraId="13022623">
      <w:pPr>
        <w:spacing w:line="360" w:lineRule="exact"/>
        <w:rPr>
          <w:rFonts w:ascii="宋体" w:hAnsi="宋体" w:cs="宋体"/>
        </w:rPr>
      </w:pPr>
      <w:bookmarkStart w:id="583" w:name="_Toc351203625"/>
      <w:r>
        <w:rPr>
          <w:rFonts w:hint="eastAsia" w:ascii="宋体" w:hAnsi="宋体" w:cs="宋体"/>
        </w:rPr>
        <w:t>19.5 提出索赔的期限</w:t>
      </w:r>
      <w:bookmarkEnd w:id="583"/>
    </w:p>
    <w:p w14:paraId="1A40B7B9">
      <w:pPr>
        <w:spacing w:line="360" w:lineRule="exact"/>
        <w:rPr>
          <w:rFonts w:ascii="宋体" w:hAnsi="宋体" w:cs="宋体"/>
          <w:kern w:val="0"/>
        </w:rPr>
      </w:pPr>
      <w:r>
        <w:rPr>
          <w:rFonts w:hint="eastAsia" w:ascii="宋体" w:hAnsi="宋体" w:cs="宋体"/>
          <w:kern w:val="0"/>
        </w:rPr>
        <w:t>（1）承包人按第14.2款〔竣工结算审核〕约定接收竣工付款证书后，应被视为已无权再提出在工程接收证书颁发前所发生的任何索赔。</w:t>
      </w:r>
    </w:p>
    <w:p w14:paraId="07AAD30A">
      <w:pPr>
        <w:spacing w:line="360" w:lineRule="exact"/>
        <w:rPr>
          <w:rFonts w:ascii="宋体" w:hAnsi="宋体" w:cs="宋体"/>
          <w:kern w:val="0"/>
        </w:rPr>
      </w:pPr>
      <w:r>
        <w:rPr>
          <w:rFonts w:hint="eastAsia" w:ascii="宋体" w:hAnsi="宋体" w:cs="宋体"/>
          <w:kern w:val="0"/>
        </w:rPr>
        <w:t>（2）承包人按第14.4款〔最终结清〕提交的最终结清申请单中，只限于提出工程接收证书颁发后发生的索赔。提出索赔的期限自接受最终结清证书时终止。</w:t>
      </w:r>
    </w:p>
    <w:p w14:paraId="6745496E">
      <w:pPr>
        <w:pStyle w:val="6"/>
        <w:spacing w:line="360" w:lineRule="exact"/>
        <w:rPr>
          <w:rFonts w:ascii="宋体" w:hAnsi="宋体" w:cs="宋体"/>
          <w:sz w:val="21"/>
          <w:szCs w:val="21"/>
        </w:rPr>
      </w:pPr>
      <w:bookmarkStart w:id="584" w:name="_Toc351203626"/>
      <w:r>
        <w:rPr>
          <w:rFonts w:hint="eastAsia" w:ascii="宋体" w:hAnsi="宋体" w:cs="宋体"/>
          <w:sz w:val="21"/>
          <w:szCs w:val="21"/>
        </w:rPr>
        <w:t>20</w:t>
      </w:r>
      <w:bookmarkStart w:id="585" w:name="_Toc337558840"/>
      <w:bookmarkStart w:id="586" w:name="_Toc296503146"/>
      <w:bookmarkStart w:id="587" w:name="_Toc296346647"/>
      <w:r>
        <w:rPr>
          <w:rFonts w:hint="eastAsia" w:ascii="宋体" w:hAnsi="宋体" w:cs="宋体"/>
          <w:sz w:val="21"/>
          <w:szCs w:val="21"/>
        </w:rPr>
        <w:t>. 争议解决</w:t>
      </w:r>
      <w:bookmarkEnd w:id="584"/>
    </w:p>
    <w:bookmarkEnd w:id="585"/>
    <w:bookmarkEnd w:id="586"/>
    <w:bookmarkEnd w:id="587"/>
    <w:p w14:paraId="11484D85">
      <w:pPr>
        <w:spacing w:line="360" w:lineRule="exact"/>
        <w:rPr>
          <w:rFonts w:ascii="宋体" w:hAnsi="宋体" w:cs="宋体"/>
        </w:rPr>
      </w:pPr>
      <w:bookmarkStart w:id="588" w:name="_Toc351203627"/>
      <w:bookmarkStart w:id="589" w:name="_Toc337558841"/>
      <w:bookmarkStart w:id="590" w:name="_Toc296346648"/>
      <w:bookmarkStart w:id="591" w:name="_Toc296503147"/>
      <w:r>
        <w:rPr>
          <w:rFonts w:hint="eastAsia" w:ascii="宋体" w:hAnsi="宋体" w:cs="宋体"/>
        </w:rPr>
        <w:t>20.1和解</w:t>
      </w:r>
      <w:bookmarkEnd w:id="588"/>
    </w:p>
    <w:bookmarkEnd w:id="589"/>
    <w:bookmarkEnd w:id="590"/>
    <w:bookmarkEnd w:id="591"/>
    <w:p w14:paraId="100DC9EA">
      <w:pPr>
        <w:spacing w:line="360" w:lineRule="exact"/>
        <w:rPr>
          <w:rFonts w:ascii="宋体" w:hAnsi="宋体" w:cs="宋体"/>
          <w:kern w:val="0"/>
        </w:rPr>
      </w:pPr>
      <w:r>
        <w:rPr>
          <w:rFonts w:hint="eastAsia" w:ascii="宋体" w:hAnsi="宋体" w:cs="宋体"/>
          <w:kern w:val="0"/>
        </w:rPr>
        <w:t>合同当事人可以就争议自行和解，自行和解达成协议的经双方签字并盖章后作为合同补充文件，双方均应遵照执行。</w:t>
      </w:r>
    </w:p>
    <w:p w14:paraId="0A0D9AB9">
      <w:pPr>
        <w:spacing w:line="360" w:lineRule="exact"/>
        <w:rPr>
          <w:rFonts w:ascii="宋体" w:hAnsi="宋体" w:cs="宋体"/>
        </w:rPr>
      </w:pPr>
      <w:bookmarkStart w:id="592" w:name="_Toc351203628"/>
      <w:r>
        <w:rPr>
          <w:rFonts w:hint="eastAsia" w:ascii="宋体" w:hAnsi="宋体" w:cs="宋体"/>
        </w:rPr>
        <w:t>20</w:t>
      </w:r>
      <w:bookmarkStart w:id="593" w:name="_Toc296346649"/>
      <w:bookmarkStart w:id="594" w:name="_Toc296503148"/>
      <w:bookmarkStart w:id="595" w:name="_Toc337558842"/>
      <w:r>
        <w:rPr>
          <w:rFonts w:hint="eastAsia" w:ascii="宋体" w:hAnsi="宋体" w:cs="宋体"/>
        </w:rPr>
        <w:t>.2调解</w:t>
      </w:r>
      <w:bookmarkEnd w:id="592"/>
    </w:p>
    <w:bookmarkEnd w:id="593"/>
    <w:bookmarkEnd w:id="594"/>
    <w:bookmarkEnd w:id="595"/>
    <w:p w14:paraId="3C924231">
      <w:pPr>
        <w:spacing w:line="360" w:lineRule="exact"/>
        <w:rPr>
          <w:rFonts w:ascii="宋体" w:hAnsi="宋体" w:cs="宋体"/>
          <w:kern w:val="0"/>
        </w:rPr>
      </w:pPr>
      <w:r>
        <w:rPr>
          <w:rFonts w:hint="eastAsia" w:ascii="宋体" w:hAnsi="宋体" w:cs="宋体"/>
          <w:kern w:val="0"/>
        </w:rPr>
        <w:t>合同当事人可以就争议请求建设行政主管部门、行业协会或其他第三方进行调解，调解达成协议的，经双方签字并盖章后作为合同补充文件，双方均应遵照执行。</w:t>
      </w:r>
    </w:p>
    <w:p w14:paraId="765D0F83">
      <w:pPr>
        <w:spacing w:line="360" w:lineRule="exact"/>
        <w:rPr>
          <w:rFonts w:ascii="宋体" w:hAnsi="宋体" w:cs="宋体"/>
        </w:rPr>
      </w:pPr>
      <w:bookmarkStart w:id="596" w:name="_Toc351203629"/>
      <w:bookmarkStart w:id="597" w:name="_Toc337558843"/>
      <w:bookmarkStart w:id="598" w:name="_Toc296346650"/>
      <w:bookmarkStart w:id="599" w:name="_Toc296503149"/>
      <w:r>
        <w:rPr>
          <w:rFonts w:hint="eastAsia" w:ascii="宋体" w:hAnsi="宋体" w:cs="宋体"/>
        </w:rPr>
        <w:t>20.3争议评审</w:t>
      </w:r>
      <w:bookmarkEnd w:id="596"/>
    </w:p>
    <w:bookmarkEnd w:id="597"/>
    <w:bookmarkEnd w:id="598"/>
    <w:bookmarkEnd w:id="599"/>
    <w:p w14:paraId="3F2E6A55">
      <w:pPr>
        <w:spacing w:line="360" w:lineRule="exact"/>
        <w:rPr>
          <w:rFonts w:ascii="宋体" w:hAnsi="宋体" w:cs="宋体"/>
          <w:kern w:val="0"/>
        </w:rPr>
      </w:pPr>
      <w:r>
        <w:rPr>
          <w:rFonts w:hint="eastAsia" w:ascii="宋体" w:hAnsi="宋体" w:cs="宋体"/>
          <w:kern w:val="0"/>
        </w:rPr>
        <w:t xml:space="preserve">合同当事人在专用合同条款中约定采取争议评审方式解决争议以及评审规则，并按下列约定执行： </w:t>
      </w:r>
    </w:p>
    <w:p w14:paraId="550B44C5">
      <w:pPr>
        <w:spacing w:line="360" w:lineRule="exact"/>
        <w:rPr>
          <w:rFonts w:ascii="宋体" w:hAnsi="宋体" w:cs="宋体"/>
          <w:kern w:val="0"/>
        </w:rPr>
      </w:pPr>
      <w:r>
        <w:rPr>
          <w:rFonts w:hint="eastAsia" w:ascii="宋体" w:hAnsi="宋体" w:cs="宋体"/>
          <w:kern w:val="0"/>
        </w:rPr>
        <w:t>20.3.1 争议评审小组的确定</w:t>
      </w:r>
    </w:p>
    <w:p w14:paraId="1E8759E9">
      <w:pPr>
        <w:spacing w:line="360" w:lineRule="exact"/>
        <w:rPr>
          <w:rFonts w:ascii="宋体" w:hAnsi="宋体" w:cs="宋体"/>
          <w:kern w:val="0"/>
        </w:rPr>
      </w:pPr>
      <w:r>
        <w:rPr>
          <w:rFonts w:hint="eastAsia" w:ascii="宋体" w:hAnsi="宋体" w:cs="宋体"/>
          <w:kern w:val="0"/>
        </w:rPr>
        <w:t>合同当事人可以共同选择一名或三名争议评审员，组成争议评审小组。除专用合同条款另有约定外，合同当事人应当自合同签订后28天内，或者争议发生后14天内，选定争议评审员。</w:t>
      </w:r>
    </w:p>
    <w:p w14:paraId="270A6FF2">
      <w:pPr>
        <w:spacing w:line="360" w:lineRule="exact"/>
        <w:rPr>
          <w:rFonts w:ascii="宋体" w:hAnsi="宋体" w:cs="宋体"/>
          <w:kern w:val="0"/>
        </w:rPr>
      </w:pPr>
      <w:r>
        <w:rPr>
          <w:rFonts w:hint="eastAsia" w:ascii="宋体" w:hAnsi="宋体" w:cs="宋体"/>
          <w:kern w:val="0"/>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p>
    <w:p w14:paraId="63D228A8">
      <w:pPr>
        <w:spacing w:line="360" w:lineRule="exact"/>
        <w:rPr>
          <w:rFonts w:ascii="宋体" w:hAnsi="宋体" w:cs="宋体"/>
          <w:kern w:val="0"/>
        </w:rPr>
      </w:pPr>
      <w:r>
        <w:rPr>
          <w:rFonts w:hint="eastAsia" w:ascii="宋体" w:hAnsi="宋体" w:cs="宋体"/>
          <w:kern w:val="0"/>
        </w:rPr>
        <w:t>除专用合同条款另有约定外，评审员报酬由发包人和承包人各承担一半。</w:t>
      </w:r>
    </w:p>
    <w:p w14:paraId="6AA13360">
      <w:pPr>
        <w:spacing w:line="360" w:lineRule="exact"/>
        <w:rPr>
          <w:rFonts w:ascii="宋体" w:hAnsi="宋体" w:cs="宋体"/>
          <w:kern w:val="0"/>
        </w:rPr>
      </w:pPr>
      <w:r>
        <w:rPr>
          <w:rFonts w:hint="eastAsia" w:ascii="宋体" w:hAnsi="宋体" w:cs="宋体"/>
          <w:kern w:val="0"/>
        </w:rPr>
        <w:t>20.3.2 争议评审小组的决定</w:t>
      </w:r>
    </w:p>
    <w:p w14:paraId="23F9CB12">
      <w:pPr>
        <w:spacing w:line="360" w:lineRule="exact"/>
        <w:rPr>
          <w:rFonts w:ascii="宋体" w:hAnsi="宋体" w:cs="宋体"/>
          <w:kern w:val="0"/>
        </w:rPr>
      </w:pPr>
      <w:r>
        <w:rPr>
          <w:rFonts w:hint="eastAsia" w:ascii="宋体" w:hAnsi="宋体" w:cs="宋体"/>
          <w:kern w:val="0"/>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14:paraId="608C6800">
      <w:pPr>
        <w:spacing w:line="360" w:lineRule="exact"/>
        <w:rPr>
          <w:rFonts w:ascii="宋体" w:hAnsi="宋体" w:cs="宋体"/>
          <w:kern w:val="0"/>
        </w:rPr>
      </w:pPr>
      <w:r>
        <w:rPr>
          <w:rFonts w:hint="eastAsia" w:ascii="宋体" w:hAnsi="宋体" w:cs="宋体"/>
          <w:kern w:val="0"/>
        </w:rPr>
        <w:t>20.3.3 争议评审小组决定的效力</w:t>
      </w:r>
    </w:p>
    <w:p w14:paraId="21645DFE">
      <w:pPr>
        <w:spacing w:line="360" w:lineRule="exact"/>
        <w:rPr>
          <w:rFonts w:ascii="宋体" w:hAnsi="宋体" w:cs="宋体"/>
          <w:kern w:val="0"/>
        </w:rPr>
      </w:pPr>
      <w:r>
        <w:rPr>
          <w:rFonts w:hint="eastAsia" w:ascii="宋体" w:hAnsi="宋体" w:cs="宋体"/>
          <w:kern w:val="0"/>
        </w:rPr>
        <w:t>争议评审小组作出的书面决定经合同当事人签字确认后，对双方具有约束力，双方应遵照执行。</w:t>
      </w:r>
    </w:p>
    <w:p w14:paraId="66792F58">
      <w:pPr>
        <w:spacing w:line="360" w:lineRule="exact"/>
        <w:rPr>
          <w:rFonts w:ascii="宋体" w:hAnsi="宋体" w:cs="宋体"/>
          <w:kern w:val="0"/>
        </w:rPr>
      </w:pPr>
      <w:r>
        <w:rPr>
          <w:rFonts w:hint="eastAsia" w:ascii="宋体" w:hAnsi="宋体" w:cs="宋体"/>
          <w:kern w:val="0"/>
        </w:rPr>
        <w:t>任何一方当事人不接受争议评审小组决定或不履行争议评审小组决定的，双方可选择采用其他争议解决方式。</w:t>
      </w:r>
    </w:p>
    <w:p w14:paraId="59151CB2">
      <w:pPr>
        <w:spacing w:line="360" w:lineRule="exact"/>
        <w:rPr>
          <w:rFonts w:ascii="宋体" w:hAnsi="宋体" w:cs="宋体"/>
        </w:rPr>
      </w:pPr>
      <w:bookmarkStart w:id="600" w:name="_Toc351203630"/>
      <w:bookmarkStart w:id="601" w:name="_Toc337558844"/>
      <w:bookmarkStart w:id="602" w:name="_Toc296346651"/>
      <w:bookmarkStart w:id="603" w:name="_Toc296503150"/>
      <w:r>
        <w:rPr>
          <w:rFonts w:hint="eastAsia" w:ascii="宋体" w:hAnsi="宋体" w:cs="宋体"/>
        </w:rPr>
        <w:t>20.4仲裁或诉讼</w:t>
      </w:r>
      <w:bookmarkEnd w:id="600"/>
    </w:p>
    <w:bookmarkEnd w:id="601"/>
    <w:bookmarkEnd w:id="602"/>
    <w:bookmarkEnd w:id="603"/>
    <w:p w14:paraId="2F736937">
      <w:pPr>
        <w:spacing w:line="360" w:lineRule="exact"/>
        <w:rPr>
          <w:rFonts w:ascii="宋体" w:hAnsi="宋体" w:cs="宋体"/>
          <w:kern w:val="0"/>
        </w:rPr>
      </w:pPr>
      <w:r>
        <w:rPr>
          <w:rFonts w:hint="eastAsia" w:ascii="宋体" w:hAnsi="宋体" w:cs="宋体"/>
          <w:kern w:val="0"/>
        </w:rPr>
        <w:t>因合同及合同有关事项产生的争议，合同当事人可以在专用合同条款中约定以下一种方式解决争议：</w:t>
      </w:r>
    </w:p>
    <w:p w14:paraId="2D2B4E21">
      <w:pPr>
        <w:spacing w:line="360" w:lineRule="exact"/>
        <w:rPr>
          <w:rFonts w:ascii="宋体" w:hAnsi="宋体" w:cs="宋体"/>
          <w:kern w:val="0"/>
        </w:rPr>
      </w:pPr>
      <w:r>
        <w:rPr>
          <w:rFonts w:hint="eastAsia" w:ascii="宋体" w:hAnsi="宋体" w:cs="宋体"/>
          <w:kern w:val="0"/>
        </w:rPr>
        <w:t>（1）向约定的仲裁委员会申请仲裁；</w:t>
      </w:r>
    </w:p>
    <w:p w14:paraId="2B6673FF">
      <w:pPr>
        <w:spacing w:line="360" w:lineRule="exact"/>
        <w:rPr>
          <w:rFonts w:ascii="宋体" w:hAnsi="宋体" w:cs="宋体"/>
          <w:kern w:val="0"/>
        </w:rPr>
      </w:pPr>
      <w:r>
        <w:rPr>
          <w:rFonts w:hint="eastAsia" w:ascii="宋体" w:hAnsi="宋体" w:cs="宋体"/>
          <w:kern w:val="0"/>
        </w:rPr>
        <w:t>（2）向有管辖权的人民法院起诉。</w:t>
      </w:r>
    </w:p>
    <w:p w14:paraId="42C08102">
      <w:pPr>
        <w:spacing w:line="360" w:lineRule="exact"/>
        <w:rPr>
          <w:rFonts w:ascii="宋体" w:hAnsi="宋体" w:cs="宋体"/>
        </w:rPr>
      </w:pPr>
      <w:bookmarkStart w:id="604" w:name="_Toc351203631"/>
      <w:bookmarkStart w:id="605" w:name="_Toc296503152"/>
      <w:bookmarkStart w:id="606" w:name="_Toc337558845"/>
      <w:bookmarkStart w:id="607" w:name="_Toc296346653"/>
      <w:r>
        <w:rPr>
          <w:rFonts w:hint="eastAsia" w:ascii="宋体" w:hAnsi="宋体" w:cs="宋体"/>
        </w:rPr>
        <w:t>20.5争议解决条款效力</w:t>
      </w:r>
      <w:bookmarkEnd w:id="604"/>
    </w:p>
    <w:bookmarkEnd w:id="605"/>
    <w:bookmarkEnd w:id="606"/>
    <w:bookmarkEnd w:id="607"/>
    <w:p w14:paraId="73BD5B37">
      <w:pPr>
        <w:spacing w:line="360" w:lineRule="exact"/>
        <w:rPr>
          <w:rFonts w:ascii="宋体" w:hAnsi="宋体" w:cs="宋体"/>
          <w:kern w:val="0"/>
        </w:rPr>
      </w:pPr>
      <w:r>
        <w:rPr>
          <w:rFonts w:hint="eastAsia" w:ascii="宋体" w:hAnsi="宋体" w:cs="宋体"/>
          <w:kern w:val="0"/>
        </w:rPr>
        <w:t xml:space="preserve">合同有关争议解决的条款独立存在，合同的变更、解除、终止、无效或者被撤销均不影响其效力。 </w:t>
      </w:r>
    </w:p>
    <w:p w14:paraId="40C51914">
      <w:pPr>
        <w:pStyle w:val="5"/>
        <w:spacing w:line="360" w:lineRule="exact"/>
        <w:jc w:val="center"/>
        <w:rPr>
          <w:rFonts w:ascii="宋体" w:hAnsi="宋体" w:cs="宋体"/>
          <w:sz w:val="21"/>
          <w:szCs w:val="21"/>
        </w:rPr>
      </w:pPr>
      <w:r>
        <w:rPr>
          <w:rFonts w:hint="eastAsia" w:ascii="宋体" w:hAnsi="宋体" w:cs="宋体"/>
          <w:sz w:val="21"/>
          <w:szCs w:val="21"/>
        </w:rPr>
        <w:br w:type="page"/>
      </w:r>
      <w:bookmarkStart w:id="608" w:name="_Toc11227979"/>
      <w:r>
        <w:rPr>
          <w:rFonts w:hint="eastAsia" w:ascii="宋体" w:hAnsi="宋体" w:cs="宋体"/>
          <w:sz w:val="32"/>
        </w:rPr>
        <w:t>第三部分 专用合同条款</w:t>
      </w:r>
      <w:bookmarkEnd w:id="608"/>
    </w:p>
    <w:p w14:paraId="078BE4EE">
      <w:pPr>
        <w:pStyle w:val="7"/>
        <w:spacing w:before="120" w:after="120" w:line="360" w:lineRule="exact"/>
        <w:rPr>
          <w:rFonts w:ascii="宋体" w:hAnsi="宋体" w:cs="宋体"/>
          <w:sz w:val="21"/>
          <w:szCs w:val="21"/>
        </w:rPr>
      </w:pPr>
      <w:r>
        <w:rPr>
          <w:rFonts w:hint="eastAsia" w:ascii="宋体" w:hAnsi="宋体" w:cs="宋体"/>
          <w:sz w:val="21"/>
          <w:szCs w:val="21"/>
        </w:rPr>
        <w:t>1. 一般约定</w:t>
      </w:r>
    </w:p>
    <w:p w14:paraId="36E06F50">
      <w:pPr>
        <w:pStyle w:val="6"/>
        <w:spacing w:line="360" w:lineRule="exact"/>
        <w:rPr>
          <w:rFonts w:ascii="宋体" w:hAnsi="宋体" w:cs="宋体"/>
          <w:sz w:val="21"/>
          <w:szCs w:val="21"/>
        </w:rPr>
      </w:pPr>
      <w:r>
        <w:rPr>
          <w:rFonts w:hint="eastAsia" w:ascii="宋体" w:hAnsi="宋体" w:cs="宋体"/>
          <w:sz w:val="21"/>
          <w:szCs w:val="21"/>
        </w:rPr>
        <w:t>1.1 词语定义</w:t>
      </w:r>
    </w:p>
    <w:p w14:paraId="05EB9EF7">
      <w:pPr>
        <w:spacing w:line="360" w:lineRule="exact"/>
        <w:ind w:firstLine="420" w:firstLineChars="200"/>
        <w:rPr>
          <w:rFonts w:ascii="宋体" w:hAnsi="宋体" w:cs="宋体"/>
          <w:kern w:val="0"/>
        </w:rPr>
      </w:pPr>
      <w:r>
        <w:rPr>
          <w:rFonts w:hint="eastAsia" w:ascii="宋体" w:hAnsi="宋体" w:cs="宋体"/>
          <w:kern w:val="0"/>
        </w:rPr>
        <w:t>1.1.1合同</w:t>
      </w:r>
    </w:p>
    <w:p w14:paraId="58DF443E">
      <w:pPr>
        <w:spacing w:line="360" w:lineRule="exact"/>
        <w:ind w:firstLine="420" w:firstLineChars="200"/>
        <w:rPr>
          <w:rFonts w:ascii="宋体" w:hAnsi="宋体" w:cs="宋体"/>
          <w:kern w:val="0"/>
        </w:rPr>
      </w:pPr>
      <w:r>
        <w:rPr>
          <w:rFonts w:hint="eastAsia" w:ascii="宋体" w:hAnsi="宋体" w:cs="宋体"/>
          <w:kern w:val="0"/>
        </w:rPr>
        <w:t>1.1.1.10其他合同文件包括：</w:t>
      </w:r>
      <w:r>
        <w:rPr>
          <w:rFonts w:hint="eastAsia" w:ascii="宋体" w:hAnsi="宋体" w:cs="宋体"/>
          <w:u w:val="single"/>
        </w:rPr>
        <w:t xml:space="preserve">（1）本合同协议书；（2）中标通知书；（3）投标书及其附件；（4）本合同专用条款及补充条款；（5）本合同通用条款；（6）标准、规范及有关技术文件；（7）图纸（含图纸修改通知单及图纸设计变更文件）；（8）工程量清单；（9）本工程预算控制价造价成果文件及其他合同文件  </w:t>
      </w:r>
      <w:r>
        <w:rPr>
          <w:rFonts w:hint="eastAsia" w:ascii="宋体" w:hAnsi="宋体" w:cs="宋体"/>
        </w:rPr>
        <w:t>。</w:t>
      </w:r>
    </w:p>
    <w:p w14:paraId="2364DA05">
      <w:pPr>
        <w:spacing w:line="360" w:lineRule="exact"/>
        <w:ind w:firstLine="420" w:firstLineChars="200"/>
        <w:rPr>
          <w:rFonts w:ascii="宋体" w:hAnsi="宋体" w:cs="宋体"/>
        </w:rPr>
      </w:pPr>
      <w:r>
        <w:rPr>
          <w:rFonts w:hint="eastAsia" w:ascii="宋体" w:hAnsi="宋体" w:cs="宋体"/>
        </w:rPr>
        <w:t>1.1.2 合同当事人及其他相关方</w:t>
      </w:r>
    </w:p>
    <w:p w14:paraId="7CF992C6">
      <w:pPr>
        <w:spacing w:line="360" w:lineRule="exact"/>
        <w:ind w:firstLine="420" w:firstLineChars="200"/>
        <w:rPr>
          <w:rFonts w:ascii="宋体" w:hAnsi="宋体" w:cs="宋体"/>
        </w:rPr>
      </w:pPr>
      <w:r>
        <w:rPr>
          <w:rFonts w:hint="eastAsia" w:ascii="宋体" w:hAnsi="宋体" w:cs="宋体"/>
        </w:rPr>
        <w:t>1.1.2.4监理人：</w:t>
      </w:r>
    </w:p>
    <w:p w14:paraId="06024B3C">
      <w:pPr>
        <w:spacing w:line="360" w:lineRule="exact"/>
        <w:ind w:firstLine="420" w:firstLineChars="200"/>
        <w:rPr>
          <w:rFonts w:ascii="宋体" w:hAnsi="宋体" w:cs="宋体"/>
        </w:rPr>
      </w:pPr>
      <w:r>
        <w:rPr>
          <w:rFonts w:hint="eastAsia" w:ascii="宋体" w:hAnsi="宋体" w:cs="宋体"/>
        </w:rPr>
        <w:t>名    称：</w:t>
      </w:r>
      <w:r>
        <w:rPr>
          <w:rFonts w:hint="eastAsia" w:ascii="宋体" w:hAnsi="宋体" w:cs="宋体"/>
          <w:u w:val="single"/>
        </w:rPr>
        <w:t xml:space="preserve">成交后填写          </w:t>
      </w:r>
      <w:r>
        <w:rPr>
          <w:rFonts w:hint="eastAsia" w:ascii="宋体" w:hAnsi="宋体" w:cs="宋体"/>
        </w:rPr>
        <w:t>；</w:t>
      </w:r>
    </w:p>
    <w:p w14:paraId="55539521">
      <w:pPr>
        <w:spacing w:line="360" w:lineRule="exact"/>
        <w:ind w:firstLine="420" w:firstLineChars="200"/>
        <w:rPr>
          <w:rFonts w:ascii="宋体" w:hAnsi="宋体" w:cs="宋体"/>
        </w:rPr>
      </w:pPr>
      <w:r>
        <w:rPr>
          <w:rFonts w:hint="eastAsia" w:ascii="宋体" w:hAnsi="宋体" w:cs="宋体"/>
        </w:rPr>
        <w:t>资质类别和等级：</w:t>
      </w:r>
      <w:r>
        <w:rPr>
          <w:rFonts w:hint="eastAsia" w:ascii="宋体" w:hAnsi="宋体" w:cs="宋体"/>
          <w:u w:val="single"/>
        </w:rPr>
        <w:t>成交后填写             </w:t>
      </w:r>
      <w:r>
        <w:rPr>
          <w:rFonts w:hint="eastAsia" w:ascii="宋体" w:hAnsi="宋体" w:cs="宋体"/>
        </w:rPr>
        <w:t>；</w:t>
      </w:r>
    </w:p>
    <w:p w14:paraId="4B9CE9E1">
      <w:pPr>
        <w:spacing w:line="360" w:lineRule="exact"/>
        <w:ind w:firstLine="420" w:firstLineChars="200"/>
        <w:rPr>
          <w:rFonts w:ascii="宋体" w:hAnsi="宋体" w:cs="宋体"/>
        </w:rPr>
      </w:pPr>
      <w:r>
        <w:rPr>
          <w:rFonts w:hint="eastAsia" w:ascii="宋体" w:hAnsi="宋体" w:cs="宋体"/>
        </w:rPr>
        <w:t>联系电话：</w:t>
      </w:r>
      <w:r>
        <w:rPr>
          <w:rFonts w:hint="eastAsia" w:ascii="宋体" w:hAnsi="宋体" w:cs="宋体"/>
          <w:u w:val="single"/>
        </w:rPr>
        <w:t>成交后填写              </w:t>
      </w:r>
      <w:r>
        <w:rPr>
          <w:rFonts w:hint="eastAsia" w:ascii="宋体" w:hAnsi="宋体" w:cs="宋体"/>
        </w:rPr>
        <w:t>；</w:t>
      </w:r>
    </w:p>
    <w:p w14:paraId="56C6BE89">
      <w:pPr>
        <w:spacing w:line="360" w:lineRule="exact"/>
        <w:ind w:firstLine="420" w:firstLineChars="200"/>
        <w:rPr>
          <w:rFonts w:ascii="宋体" w:hAnsi="宋体" w:cs="宋体"/>
        </w:rPr>
      </w:pPr>
      <w:r>
        <w:rPr>
          <w:rFonts w:hint="eastAsia" w:ascii="宋体" w:hAnsi="宋体" w:cs="宋体"/>
        </w:rPr>
        <w:t>电子信箱：</w:t>
      </w:r>
      <w:r>
        <w:rPr>
          <w:rFonts w:hint="eastAsia" w:ascii="宋体" w:hAnsi="宋体" w:cs="宋体"/>
          <w:u w:val="single"/>
        </w:rPr>
        <w:t>成交后填写            </w:t>
      </w:r>
      <w:r>
        <w:rPr>
          <w:rFonts w:hint="eastAsia" w:ascii="宋体" w:hAnsi="宋体" w:cs="宋体"/>
        </w:rPr>
        <w:t>；</w:t>
      </w:r>
    </w:p>
    <w:p w14:paraId="59468497">
      <w:pPr>
        <w:spacing w:line="360" w:lineRule="exact"/>
        <w:ind w:firstLine="420" w:firstLineChars="200"/>
        <w:rPr>
          <w:rFonts w:ascii="宋体" w:hAnsi="宋体" w:cs="宋体"/>
        </w:rPr>
      </w:pPr>
      <w:r>
        <w:rPr>
          <w:rFonts w:hint="eastAsia" w:ascii="宋体" w:hAnsi="宋体" w:cs="宋体"/>
        </w:rPr>
        <w:t>通信地址：</w:t>
      </w:r>
      <w:r>
        <w:rPr>
          <w:rFonts w:hint="eastAsia" w:ascii="宋体" w:hAnsi="宋体" w:cs="宋体"/>
          <w:u w:val="single"/>
        </w:rPr>
        <w:t>   成交后填写            </w:t>
      </w:r>
      <w:r>
        <w:rPr>
          <w:rFonts w:hint="eastAsia" w:ascii="宋体" w:hAnsi="宋体" w:cs="宋体"/>
        </w:rPr>
        <w:t>。</w:t>
      </w:r>
    </w:p>
    <w:p w14:paraId="4FC51880">
      <w:pPr>
        <w:spacing w:line="360" w:lineRule="exact"/>
        <w:ind w:firstLine="420" w:firstLineChars="200"/>
        <w:rPr>
          <w:rFonts w:ascii="宋体" w:hAnsi="宋体" w:cs="宋体"/>
        </w:rPr>
      </w:pPr>
      <w:r>
        <w:rPr>
          <w:rFonts w:hint="eastAsia" w:ascii="宋体" w:hAnsi="宋体" w:cs="宋体"/>
        </w:rPr>
        <w:t>1.1.2.5 设计人：</w:t>
      </w:r>
    </w:p>
    <w:p w14:paraId="6652606E">
      <w:pPr>
        <w:spacing w:line="360" w:lineRule="exact"/>
        <w:ind w:firstLine="420" w:firstLineChars="200"/>
        <w:rPr>
          <w:rFonts w:ascii="宋体" w:hAnsi="宋体" w:cs="宋体"/>
        </w:rPr>
      </w:pPr>
      <w:r>
        <w:rPr>
          <w:rFonts w:hint="eastAsia" w:ascii="宋体" w:hAnsi="宋体" w:cs="宋体"/>
        </w:rPr>
        <w:t>名    称：</w:t>
      </w:r>
      <w:r>
        <w:rPr>
          <w:rFonts w:hint="eastAsia" w:ascii="宋体" w:hAnsi="宋体" w:cs="宋体"/>
          <w:u w:val="single"/>
        </w:rPr>
        <w:t xml:space="preserve">成交后填写             </w:t>
      </w:r>
      <w:r>
        <w:rPr>
          <w:rFonts w:hint="eastAsia" w:ascii="宋体" w:hAnsi="宋体" w:cs="宋体"/>
        </w:rPr>
        <w:t>；</w:t>
      </w:r>
    </w:p>
    <w:p w14:paraId="668F612F">
      <w:pPr>
        <w:spacing w:line="360" w:lineRule="exact"/>
        <w:ind w:firstLine="420" w:firstLineChars="200"/>
        <w:rPr>
          <w:rFonts w:ascii="宋体" w:hAnsi="宋体" w:cs="宋体"/>
        </w:rPr>
      </w:pPr>
      <w:r>
        <w:rPr>
          <w:rFonts w:hint="eastAsia" w:ascii="宋体" w:hAnsi="宋体" w:cs="宋体"/>
        </w:rPr>
        <w:t>资质类别和等级：</w:t>
      </w:r>
      <w:r>
        <w:rPr>
          <w:rFonts w:hint="eastAsia" w:ascii="宋体" w:hAnsi="宋体" w:cs="宋体"/>
          <w:u w:val="single"/>
        </w:rPr>
        <w:t>成交后填写          </w:t>
      </w:r>
      <w:r>
        <w:rPr>
          <w:rFonts w:hint="eastAsia" w:ascii="宋体" w:hAnsi="宋体" w:cs="宋体"/>
        </w:rPr>
        <w:t>；</w:t>
      </w:r>
    </w:p>
    <w:p w14:paraId="6E7D150E">
      <w:pPr>
        <w:spacing w:line="360" w:lineRule="exact"/>
        <w:ind w:firstLine="420" w:firstLineChars="200"/>
        <w:rPr>
          <w:rFonts w:ascii="宋体" w:hAnsi="宋体" w:cs="宋体"/>
        </w:rPr>
      </w:pPr>
      <w:r>
        <w:rPr>
          <w:rFonts w:hint="eastAsia" w:ascii="宋体" w:hAnsi="宋体" w:cs="宋体"/>
        </w:rPr>
        <w:t>联系电话：</w:t>
      </w:r>
      <w:r>
        <w:rPr>
          <w:rFonts w:hint="eastAsia" w:ascii="宋体" w:hAnsi="宋体" w:cs="宋体"/>
          <w:u w:val="single"/>
        </w:rPr>
        <w:t>成交后填写          </w:t>
      </w:r>
      <w:r>
        <w:rPr>
          <w:rFonts w:hint="eastAsia" w:ascii="宋体" w:hAnsi="宋体" w:cs="宋体"/>
        </w:rPr>
        <w:t>；</w:t>
      </w:r>
    </w:p>
    <w:p w14:paraId="0DE82CE5">
      <w:pPr>
        <w:spacing w:line="360" w:lineRule="exact"/>
        <w:ind w:firstLine="420" w:firstLineChars="200"/>
        <w:rPr>
          <w:rFonts w:ascii="宋体" w:hAnsi="宋体" w:cs="宋体"/>
        </w:rPr>
      </w:pPr>
      <w:r>
        <w:rPr>
          <w:rFonts w:hint="eastAsia" w:ascii="宋体" w:hAnsi="宋体" w:cs="宋体"/>
        </w:rPr>
        <w:t>电子信箱：</w:t>
      </w:r>
      <w:r>
        <w:rPr>
          <w:rFonts w:hint="eastAsia" w:ascii="宋体" w:hAnsi="宋体" w:cs="宋体"/>
          <w:u w:val="single"/>
        </w:rPr>
        <w:t xml:space="preserve">成交后填写                </w:t>
      </w:r>
      <w:r>
        <w:rPr>
          <w:rFonts w:hint="eastAsia" w:ascii="宋体" w:hAnsi="宋体" w:cs="宋体"/>
        </w:rPr>
        <w:t>；</w:t>
      </w:r>
    </w:p>
    <w:p w14:paraId="3967B5FF">
      <w:pPr>
        <w:spacing w:line="360" w:lineRule="exact"/>
        <w:ind w:firstLine="420" w:firstLineChars="200"/>
        <w:rPr>
          <w:rFonts w:ascii="宋体" w:hAnsi="宋体" w:cs="宋体"/>
        </w:rPr>
      </w:pPr>
      <w:r>
        <w:rPr>
          <w:rFonts w:hint="eastAsia" w:ascii="宋体" w:hAnsi="宋体" w:cs="宋体"/>
        </w:rPr>
        <w:t>通信地址：</w:t>
      </w:r>
      <w:r>
        <w:rPr>
          <w:rFonts w:hint="eastAsia" w:ascii="宋体" w:hAnsi="宋体" w:cs="宋体"/>
          <w:u w:val="single"/>
        </w:rPr>
        <w:t>    成交后填写            </w:t>
      </w:r>
      <w:r>
        <w:rPr>
          <w:rFonts w:hint="eastAsia" w:ascii="宋体" w:hAnsi="宋体" w:cs="宋体"/>
        </w:rPr>
        <w:t>。</w:t>
      </w:r>
    </w:p>
    <w:p w14:paraId="36A36974">
      <w:pPr>
        <w:spacing w:line="360" w:lineRule="exact"/>
        <w:ind w:firstLine="420" w:firstLineChars="200"/>
        <w:rPr>
          <w:rFonts w:ascii="宋体" w:hAnsi="宋体" w:cs="宋体"/>
        </w:rPr>
      </w:pPr>
      <w:r>
        <w:rPr>
          <w:rFonts w:hint="eastAsia" w:ascii="宋体" w:hAnsi="宋体" w:cs="宋体"/>
        </w:rPr>
        <w:t>1.1.3 工程和设备</w:t>
      </w:r>
    </w:p>
    <w:p w14:paraId="599FD3D4">
      <w:pPr>
        <w:spacing w:line="360" w:lineRule="exact"/>
        <w:ind w:firstLine="420" w:firstLineChars="200"/>
        <w:rPr>
          <w:rFonts w:ascii="宋体" w:hAnsi="宋体" w:cs="宋体"/>
        </w:rPr>
      </w:pPr>
      <w:r>
        <w:rPr>
          <w:rFonts w:hint="eastAsia" w:ascii="宋体" w:hAnsi="宋体" w:cs="宋体"/>
        </w:rPr>
        <w:t>1.1.3.7 作为施工现场组成部分的其他场所包括：</w:t>
      </w:r>
      <w:r>
        <w:rPr>
          <w:rFonts w:hint="eastAsia" w:ascii="宋体" w:hAnsi="宋体" w:cs="宋体"/>
          <w:u w:val="single"/>
        </w:rPr>
        <w:t xml:space="preserve">  临时设施和临时用地 </w:t>
      </w:r>
      <w:r>
        <w:rPr>
          <w:rFonts w:hint="eastAsia" w:ascii="宋体" w:hAnsi="宋体" w:cs="宋体"/>
        </w:rPr>
        <w:t>。</w:t>
      </w:r>
    </w:p>
    <w:p w14:paraId="64351F05">
      <w:pPr>
        <w:spacing w:line="360" w:lineRule="exact"/>
        <w:ind w:firstLine="420" w:firstLineChars="200"/>
        <w:jc w:val="left"/>
        <w:rPr>
          <w:rFonts w:ascii="宋体" w:hAnsi="宋体" w:cs="宋体"/>
          <w:kern w:val="0"/>
        </w:rPr>
      </w:pPr>
      <w:r>
        <w:rPr>
          <w:rFonts w:hint="eastAsia" w:ascii="宋体" w:hAnsi="宋体" w:cs="宋体"/>
          <w:kern w:val="0"/>
        </w:rPr>
        <w:t>1.1.3.9 永久占地包括：</w:t>
      </w:r>
      <w:r>
        <w:rPr>
          <w:rFonts w:hint="eastAsia" w:ascii="宋体" w:hAnsi="宋体" w:cs="宋体"/>
          <w:u w:val="single"/>
        </w:rPr>
        <w:t xml:space="preserve">      建、构筑物用地     </w:t>
      </w:r>
      <w:r>
        <w:rPr>
          <w:rFonts w:hint="eastAsia" w:ascii="宋体" w:hAnsi="宋体" w:cs="宋体"/>
          <w:kern w:val="0"/>
        </w:rPr>
        <w:t>。</w:t>
      </w:r>
    </w:p>
    <w:p w14:paraId="77A92E67">
      <w:pPr>
        <w:spacing w:line="360" w:lineRule="exact"/>
        <w:ind w:firstLine="420" w:firstLineChars="200"/>
        <w:jc w:val="left"/>
        <w:rPr>
          <w:rFonts w:ascii="宋体" w:hAnsi="宋体" w:cs="宋体"/>
        </w:rPr>
      </w:pPr>
      <w:r>
        <w:rPr>
          <w:rFonts w:hint="eastAsia" w:ascii="宋体" w:hAnsi="宋体" w:cs="宋体"/>
          <w:kern w:val="0"/>
        </w:rPr>
        <w:t>1.1.3.10 临时占地包括：</w:t>
      </w:r>
      <w:r>
        <w:rPr>
          <w:rFonts w:hint="eastAsia" w:ascii="宋体" w:hAnsi="宋体" w:cs="宋体"/>
          <w:u w:val="single"/>
        </w:rPr>
        <w:t xml:space="preserve">     临时设施和临时用地   </w:t>
      </w:r>
      <w:r>
        <w:rPr>
          <w:rFonts w:hint="eastAsia" w:ascii="宋体" w:hAnsi="宋体" w:cs="宋体"/>
          <w:kern w:val="0"/>
        </w:rPr>
        <w:t>。</w:t>
      </w:r>
    </w:p>
    <w:p w14:paraId="4456118B">
      <w:pPr>
        <w:spacing w:after="120" w:line="360" w:lineRule="exact"/>
        <w:ind w:firstLine="420" w:firstLineChars="200"/>
        <w:rPr>
          <w:rFonts w:ascii="宋体" w:hAnsi="宋体" w:cs="宋体"/>
        </w:rPr>
      </w:pPr>
      <w:r>
        <w:rPr>
          <w:rFonts w:hint="eastAsia" w:ascii="宋体" w:hAnsi="宋体" w:cs="宋体"/>
        </w:rPr>
        <w:t xml:space="preserve">1.3法律 </w:t>
      </w:r>
    </w:p>
    <w:p w14:paraId="6B014A06">
      <w:pPr>
        <w:autoSpaceDE w:val="0"/>
        <w:autoSpaceDN w:val="0"/>
        <w:adjustRightInd w:val="0"/>
        <w:spacing w:line="360" w:lineRule="exact"/>
        <w:ind w:left="596" w:leftChars="284"/>
        <w:jc w:val="left"/>
        <w:rPr>
          <w:rFonts w:ascii="宋体" w:hAnsi="宋体" w:cs="宋体"/>
        </w:rPr>
      </w:pPr>
      <w:r>
        <w:rPr>
          <w:rFonts w:hint="eastAsia" w:ascii="宋体" w:hAnsi="宋体" w:cs="宋体"/>
        </w:rPr>
        <w:t>适用于合同的其他规范性文件：</w:t>
      </w:r>
      <w:r>
        <w:rPr>
          <w:rFonts w:hint="eastAsia" w:ascii="宋体" w:hAnsi="宋体" w:cs="宋体"/>
          <w:u w:val="single"/>
        </w:rPr>
        <w:t xml:space="preserve">建筑安装相关文件  </w:t>
      </w:r>
      <w:r>
        <w:rPr>
          <w:rFonts w:hint="eastAsia" w:ascii="宋体" w:hAnsi="宋体" w:cs="宋体"/>
        </w:rPr>
        <w:t>。</w:t>
      </w:r>
    </w:p>
    <w:p w14:paraId="5C9C52C5">
      <w:pPr>
        <w:spacing w:after="120" w:line="360" w:lineRule="exact"/>
        <w:ind w:firstLine="420" w:firstLineChars="200"/>
        <w:rPr>
          <w:rFonts w:ascii="宋体" w:hAnsi="宋体" w:cs="宋体"/>
        </w:rPr>
      </w:pPr>
      <w:r>
        <w:rPr>
          <w:rFonts w:hint="eastAsia" w:ascii="宋体" w:hAnsi="宋体" w:cs="宋体"/>
        </w:rPr>
        <w:t>1.4 标准和规范</w:t>
      </w:r>
    </w:p>
    <w:p w14:paraId="705D695D">
      <w:pPr>
        <w:spacing w:line="360" w:lineRule="exact"/>
        <w:ind w:left="596" w:leftChars="284"/>
        <w:rPr>
          <w:rFonts w:ascii="宋体" w:hAnsi="宋体" w:cs="宋体"/>
        </w:rPr>
      </w:pPr>
      <w:r>
        <w:rPr>
          <w:rFonts w:hint="eastAsia" w:ascii="宋体" w:hAnsi="宋体" w:cs="宋体"/>
        </w:rPr>
        <w:t>1.4.1适用于工程的标准规范包括：</w:t>
      </w:r>
      <w:r>
        <w:rPr>
          <w:rFonts w:hint="eastAsia" w:ascii="宋体" w:hAnsi="宋体" w:cs="宋体"/>
          <w:u w:val="single"/>
        </w:rPr>
        <w:t>国家和地方性规范</w:t>
      </w:r>
      <w:r>
        <w:rPr>
          <w:rFonts w:hint="eastAsia" w:ascii="宋体" w:hAnsi="宋体" w:cs="宋体"/>
        </w:rPr>
        <w:t>。</w:t>
      </w:r>
    </w:p>
    <w:p w14:paraId="2403F0FB">
      <w:pPr>
        <w:pStyle w:val="6"/>
        <w:spacing w:line="360" w:lineRule="exact"/>
        <w:rPr>
          <w:rFonts w:ascii="宋体" w:hAnsi="宋体" w:cs="宋体"/>
          <w:sz w:val="21"/>
          <w:szCs w:val="21"/>
        </w:rPr>
      </w:pPr>
      <w:r>
        <w:rPr>
          <w:rFonts w:hint="eastAsia" w:ascii="宋体" w:hAnsi="宋体" w:cs="宋体"/>
          <w:sz w:val="21"/>
          <w:szCs w:val="21"/>
        </w:rPr>
        <w:t>1.4.2 发包人提供国外标准、规范的名称：</w:t>
      </w:r>
      <w:r>
        <w:rPr>
          <w:rFonts w:hint="eastAsia" w:ascii="宋体" w:hAnsi="宋体" w:cs="宋体"/>
          <w:sz w:val="21"/>
          <w:szCs w:val="21"/>
          <w:u w:val="single"/>
        </w:rPr>
        <w:t xml:space="preserve">    无     </w:t>
      </w:r>
      <w:r>
        <w:rPr>
          <w:rFonts w:hint="eastAsia" w:ascii="宋体" w:hAnsi="宋体" w:cs="宋体"/>
          <w:sz w:val="21"/>
          <w:szCs w:val="21"/>
        </w:rPr>
        <w:t>；</w:t>
      </w:r>
    </w:p>
    <w:p w14:paraId="27EAB471">
      <w:pPr>
        <w:spacing w:line="360" w:lineRule="exact"/>
        <w:ind w:firstLine="420" w:firstLineChars="200"/>
        <w:rPr>
          <w:rFonts w:ascii="宋体" w:hAnsi="宋体" w:cs="宋体"/>
          <w:kern w:val="0"/>
        </w:rPr>
      </w:pPr>
      <w:r>
        <w:rPr>
          <w:rFonts w:hint="eastAsia" w:ascii="宋体" w:hAnsi="宋体" w:cs="宋体"/>
          <w:kern w:val="0"/>
        </w:rPr>
        <w:t>发包人提供国外标准、规范的份数：</w:t>
      </w:r>
      <w:r>
        <w:rPr>
          <w:rFonts w:hint="eastAsia" w:ascii="宋体" w:hAnsi="宋体" w:cs="宋体"/>
          <w:kern w:val="0"/>
          <w:u w:val="single"/>
        </w:rPr>
        <w:t xml:space="preserve">         无     </w:t>
      </w:r>
      <w:r>
        <w:rPr>
          <w:rFonts w:hint="eastAsia" w:ascii="宋体" w:hAnsi="宋体" w:cs="宋体"/>
          <w:kern w:val="0"/>
        </w:rPr>
        <w:t>；</w:t>
      </w:r>
    </w:p>
    <w:p w14:paraId="38126991">
      <w:pPr>
        <w:spacing w:line="360" w:lineRule="exact"/>
        <w:ind w:firstLine="420" w:firstLineChars="200"/>
        <w:rPr>
          <w:rFonts w:ascii="宋体" w:hAnsi="宋体" w:cs="宋体"/>
        </w:rPr>
      </w:pPr>
      <w:r>
        <w:rPr>
          <w:rFonts w:hint="eastAsia" w:ascii="宋体" w:hAnsi="宋体" w:cs="宋体"/>
          <w:kern w:val="0"/>
        </w:rPr>
        <w:t>发包人提供国外标准、规范的名称：</w:t>
      </w:r>
      <w:r>
        <w:rPr>
          <w:rFonts w:hint="eastAsia" w:ascii="宋体" w:hAnsi="宋体" w:cs="宋体"/>
          <w:kern w:val="0"/>
          <w:u w:val="single"/>
        </w:rPr>
        <w:t xml:space="preserve">         无     </w:t>
      </w:r>
      <w:r>
        <w:rPr>
          <w:rFonts w:hint="eastAsia" w:ascii="宋体" w:hAnsi="宋体" w:cs="宋体"/>
          <w:kern w:val="0"/>
        </w:rPr>
        <w:t>。</w:t>
      </w:r>
    </w:p>
    <w:p w14:paraId="11AA2686">
      <w:pPr>
        <w:spacing w:line="360" w:lineRule="exact"/>
        <w:ind w:left="596" w:leftChars="284"/>
        <w:rPr>
          <w:rFonts w:ascii="宋体" w:hAnsi="宋体" w:cs="宋体"/>
        </w:rPr>
      </w:pPr>
      <w:r>
        <w:rPr>
          <w:rFonts w:hint="eastAsia" w:ascii="宋体" w:hAnsi="宋体" w:cs="宋体"/>
        </w:rPr>
        <w:t>1.4.3发包人对工程的技术标准和功能要求的特殊要求：</w:t>
      </w:r>
      <w:r>
        <w:rPr>
          <w:rFonts w:hint="eastAsia" w:ascii="宋体" w:hAnsi="宋体" w:cs="宋体"/>
          <w:u w:val="single"/>
        </w:rPr>
        <w:t xml:space="preserve">  无  </w:t>
      </w:r>
      <w:r>
        <w:rPr>
          <w:rFonts w:hint="eastAsia" w:ascii="宋体" w:hAnsi="宋体" w:cs="宋体"/>
        </w:rPr>
        <w:t>。</w:t>
      </w:r>
    </w:p>
    <w:p w14:paraId="5F72DF2A">
      <w:pPr>
        <w:pStyle w:val="6"/>
        <w:spacing w:line="360" w:lineRule="exact"/>
        <w:rPr>
          <w:rFonts w:ascii="宋体" w:hAnsi="宋体" w:cs="宋体"/>
          <w:sz w:val="21"/>
          <w:szCs w:val="21"/>
        </w:rPr>
      </w:pPr>
      <w:r>
        <w:rPr>
          <w:rFonts w:hint="eastAsia" w:ascii="宋体" w:hAnsi="宋体" w:cs="宋体"/>
          <w:sz w:val="21"/>
          <w:szCs w:val="21"/>
        </w:rPr>
        <w:t>1.5 合同文件的优先顺序</w:t>
      </w:r>
    </w:p>
    <w:p w14:paraId="480114C6">
      <w:pPr>
        <w:spacing w:line="360" w:lineRule="exact"/>
        <w:ind w:firstLine="420" w:firstLineChars="200"/>
        <w:rPr>
          <w:rFonts w:ascii="宋体" w:hAnsi="宋体" w:cs="宋体"/>
        </w:rPr>
      </w:pPr>
      <w:r>
        <w:rPr>
          <w:rFonts w:hint="eastAsia" w:ascii="宋体" w:hAnsi="宋体" w:cs="宋体"/>
        </w:rPr>
        <w:t>合同文件组成及优先顺序为：</w:t>
      </w:r>
      <w:r>
        <w:rPr>
          <w:rFonts w:hint="eastAsia" w:ascii="宋体" w:hAnsi="宋体" w:cs="宋体"/>
          <w:u w:val="single"/>
        </w:rPr>
        <w:t>（1）本合同协议书；（2）中标通知书；（3）投标书及其附件；（4）本合同专用条款及补充条款；（5）本合同通用条款；（6）标准、规范及有关技术文件；（7）图纸（含图纸修改通知单及图纸设计变更文件）；（8）工程量清单；（9）本工程最高投标限价造价成果文件及其他合同文件</w:t>
      </w:r>
      <w:r>
        <w:rPr>
          <w:rFonts w:hint="eastAsia" w:ascii="宋体" w:hAnsi="宋体" w:cs="宋体"/>
        </w:rPr>
        <w:t>。</w:t>
      </w:r>
    </w:p>
    <w:p w14:paraId="092D642B">
      <w:pPr>
        <w:pStyle w:val="6"/>
        <w:spacing w:line="360" w:lineRule="exact"/>
        <w:rPr>
          <w:rFonts w:ascii="宋体" w:hAnsi="宋体" w:cs="宋体"/>
          <w:sz w:val="21"/>
          <w:szCs w:val="21"/>
        </w:rPr>
      </w:pPr>
      <w:r>
        <w:rPr>
          <w:rFonts w:hint="eastAsia" w:ascii="宋体" w:hAnsi="宋体" w:cs="宋体"/>
          <w:sz w:val="21"/>
          <w:szCs w:val="21"/>
        </w:rPr>
        <w:t>1.6 图纸和承包人文件</w:t>
      </w:r>
      <w:r>
        <w:rPr>
          <w:rFonts w:hint="eastAsia" w:ascii="宋体" w:hAnsi="宋体" w:cs="宋体"/>
          <w:sz w:val="21"/>
          <w:szCs w:val="21"/>
        </w:rPr>
        <w:tab/>
      </w:r>
    </w:p>
    <w:p w14:paraId="61A5F022">
      <w:pPr>
        <w:spacing w:line="360" w:lineRule="exact"/>
        <w:ind w:firstLine="420" w:firstLineChars="200"/>
        <w:rPr>
          <w:rFonts w:ascii="宋体" w:hAnsi="宋体" w:cs="宋体"/>
        </w:rPr>
      </w:pPr>
      <w:r>
        <w:rPr>
          <w:rFonts w:hint="eastAsia" w:ascii="宋体" w:hAnsi="宋体" w:cs="宋体"/>
        </w:rPr>
        <w:t>1.6.1 图纸的提供</w:t>
      </w:r>
    </w:p>
    <w:p w14:paraId="72D3E914">
      <w:pPr>
        <w:spacing w:line="360" w:lineRule="exact"/>
        <w:ind w:firstLine="420" w:firstLineChars="200"/>
        <w:rPr>
          <w:rFonts w:ascii="宋体" w:hAnsi="宋体" w:cs="宋体"/>
        </w:rPr>
      </w:pPr>
      <w:r>
        <w:rPr>
          <w:rFonts w:hint="eastAsia" w:ascii="宋体" w:hAnsi="宋体" w:cs="宋体"/>
        </w:rPr>
        <w:t>发包人向承包人提供图纸的期限：</w:t>
      </w:r>
      <w:r>
        <w:rPr>
          <w:rFonts w:hint="eastAsia" w:ascii="宋体" w:hAnsi="宋体" w:cs="宋体"/>
          <w:u w:val="single"/>
        </w:rPr>
        <w:t>合同生效后7天内</w:t>
      </w:r>
      <w:r>
        <w:rPr>
          <w:rFonts w:hint="eastAsia" w:ascii="宋体" w:hAnsi="宋体" w:cs="宋体"/>
        </w:rPr>
        <w:t>；</w:t>
      </w:r>
    </w:p>
    <w:p w14:paraId="6B996A89">
      <w:pPr>
        <w:spacing w:line="360" w:lineRule="exact"/>
        <w:ind w:firstLine="420" w:firstLineChars="200"/>
        <w:rPr>
          <w:rFonts w:ascii="宋体" w:hAnsi="宋体" w:cs="宋体"/>
        </w:rPr>
      </w:pPr>
      <w:r>
        <w:rPr>
          <w:rFonts w:hint="eastAsia" w:ascii="宋体" w:hAnsi="宋体" w:cs="宋体"/>
        </w:rPr>
        <w:t>发包人向承包人提供图纸的数量：</w:t>
      </w:r>
      <w:r>
        <w:rPr>
          <w:rFonts w:hint="eastAsia" w:ascii="宋体" w:hAnsi="宋体" w:cs="宋体"/>
          <w:u w:val="single"/>
        </w:rPr>
        <w:t>图纸和其他技术资料壹份（标准图集由承包人自备）</w:t>
      </w:r>
      <w:r>
        <w:rPr>
          <w:rFonts w:hint="eastAsia" w:ascii="宋体" w:hAnsi="宋体" w:cs="宋体"/>
        </w:rPr>
        <w:t>；</w:t>
      </w:r>
    </w:p>
    <w:p w14:paraId="03A01B61">
      <w:pPr>
        <w:spacing w:line="360" w:lineRule="exact"/>
        <w:ind w:firstLine="420" w:firstLineChars="200"/>
        <w:rPr>
          <w:rFonts w:ascii="宋体" w:hAnsi="宋体" w:cs="宋体"/>
        </w:rPr>
      </w:pPr>
      <w:r>
        <w:rPr>
          <w:rFonts w:hint="eastAsia" w:ascii="宋体" w:hAnsi="宋体" w:cs="宋体"/>
        </w:rPr>
        <w:t>发包人向承包人提供图纸的内容：</w:t>
      </w:r>
      <w:r>
        <w:rPr>
          <w:rFonts w:hint="eastAsia" w:ascii="宋体" w:hAnsi="宋体" w:cs="宋体"/>
          <w:u w:val="single"/>
        </w:rPr>
        <w:t>与本项目相关</w:t>
      </w:r>
      <w:r>
        <w:rPr>
          <w:rFonts w:hint="eastAsia" w:ascii="宋体" w:hAnsi="宋体" w:cs="宋体"/>
        </w:rPr>
        <w:t>。</w:t>
      </w:r>
    </w:p>
    <w:p w14:paraId="1D124097">
      <w:pPr>
        <w:spacing w:line="360" w:lineRule="exact"/>
        <w:ind w:firstLine="420" w:firstLineChars="200"/>
        <w:rPr>
          <w:rFonts w:ascii="宋体" w:hAnsi="宋体" w:cs="宋体"/>
        </w:rPr>
      </w:pPr>
      <w:r>
        <w:rPr>
          <w:rFonts w:hint="eastAsia" w:ascii="宋体" w:hAnsi="宋体" w:cs="宋体"/>
        </w:rPr>
        <w:t>1.6.4 承包人文件</w:t>
      </w:r>
    </w:p>
    <w:p w14:paraId="3C20AF8A">
      <w:pPr>
        <w:spacing w:line="360" w:lineRule="exact"/>
        <w:ind w:left="596" w:leftChars="284"/>
        <w:jc w:val="left"/>
        <w:rPr>
          <w:rFonts w:ascii="宋体" w:hAnsi="宋体" w:cs="宋体"/>
        </w:rPr>
      </w:pPr>
      <w:r>
        <w:rPr>
          <w:rFonts w:hint="eastAsia" w:ascii="宋体" w:hAnsi="宋体" w:cs="宋体"/>
        </w:rPr>
        <w:t>需要由承包人提供的文件，包括：</w:t>
      </w:r>
      <w:r>
        <w:rPr>
          <w:rFonts w:hint="eastAsia" w:ascii="宋体" w:hAnsi="宋体" w:cs="宋体"/>
          <w:u w:val="single"/>
        </w:rPr>
        <w:t>除专用合同条款约定的由承包人提供的设计文件外，本项约定的其他应由承包人提供的文件，包括必要的加工图和大样图，均不是合同计量与支付的依据文件。由承包人提供的文件范围：施工图以外的大样图、加工图、标准图等</w:t>
      </w:r>
      <w:r>
        <w:rPr>
          <w:rFonts w:hint="eastAsia" w:ascii="宋体" w:hAnsi="宋体" w:cs="宋体"/>
        </w:rPr>
        <w:t>；</w:t>
      </w:r>
    </w:p>
    <w:p w14:paraId="477CDFA4">
      <w:pPr>
        <w:spacing w:line="360" w:lineRule="exact"/>
        <w:ind w:firstLine="420" w:firstLineChars="200"/>
        <w:rPr>
          <w:rFonts w:ascii="宋体" w:hAnsi="宋体" w:cs="宋体"/>
        </w:rPr>
      </w:pPr>
      <w:r>
        <w:rPr>
          <w:rFonts w:hint="eastAsia" w:ascii="宋体" w:hAnsi="宋体" w:cs="宋体"/>
        </w:rPr>
        <w:t>承包人提供的文件的期限为：</w:t>
      </w:r>
      <w:r>
        <w:rPr>
          <w:rFonts w:hint="eastAsia" w:ascii="宋体" w:hAnsi="宋体" w:cs="宋体"/>
          <w:u w:val="single"/>
        </w:rPr>
        <w:t>构件开始施工前7天内</w:t>
      </w:r>
      <w:r>
        <w:rPr>
          <w:rFonts w:hint="eastAsia" w:ascii="宋体" w:hAnsi="宋体" w:cs="宋体"/>
        </w:rPr>
        <w:t>；</w:t>
      </w:r>
    </w:p>
    <w:p w14:paraId="2C244123">
      <w:pPr>
        <w:spacing w:line="360" w:lineRule="exact"/>
        <w:ind w:firstLine="420" w:firstLineChars="200"/>
        <w:rPr>
          <w:rFonts w:ascii="宋体" w:hAnsi="宋体" w:cs="宋体"/>
        </w:rPr>
      </w:pPr>
      <w:r>
        <w:rPr>
          <w:rFonts w:hint="eastAsia" w:ascii="宋体" w:hAnsi="宋体" w:cs="宋体"/>
        </w:rPr>
        <w:t>承包人提供的文件的数量为：</w:t>
      </w:r>
      <w:r>
        <w:rPr>
          <w:rFonts w:hint="eastAsia" w:ascii="宋体" w:hAnsi="宋体" w:cs="宋体"/>
          <w:u w:val="single"/>
        </w:rPr>
        <w:t>5份           </w:t>
      </w:r>
      <w:r>
        <w:rPr>
          <w:rFonts w:hint="eastAsia" w:ascii="宋体" w:hAnsi="宋体" w:cs="宋体"/>
        </w:rPr>
        <w:t>；</w:t>
      </w:r>
    </w:p>
    <w:p w14:paraId="109AAB5E">
      <w:pPr>
        <w:spacing w:line="360" w:lineRule="exact"/>
        <w:ind w:firstLine="420" w:firstLineChars="200"/>
        <w:rPr>
          <w:rFonts w:ascii="宋体" w:hAnsi="宋体" w:cs="宋体"/>
        </w:rPr>
      </w:pPr>
      <w:r>
        <w:rPr>
          <w:rFonts w:hint="eastAsia" w:ascii="宋体" w:hAnsi="宋体" w:cs="宋体"/>
        </w:rPr>
        <w:t>承包人提供的文件的形式为：</w:t>
      </w:r>
      <w:r>
        <w:rPr>
          <w:rFonts w:hint="eastAsia" w:ascii="宋体" w:hAnsi="宋体" w:cs="宋体"/>
          <w:u w:val="single"/>
        </w:rPr>
        <w:t>书面      </w:t>
      </w:r>
      <w:r>
        <w:rPr>
          <w:rFonts w:hint="eastAsia" w:ascii="宋体" w:hAnsi="宋体" w:cs="宋体"/>
        </w:rPr>
        <w:t>；</w:t>
      </w:r>
    </w:p>
    <w:p w14:paraId="6247D9B1">
      <w:pPr>
        <w:spacing w:line="360" w:lineRule="exact"/>
        <w:ind w:firstLine="420" w:firstLineChars="200"/>
        <w:rPr>
          <w:rFonts w:ascii="宋体" w:hAnsi="宋体" w:cs="宋体"/>
        </w:rPr>
      </w:pPr>
      <w:r>
        <w:rPr>
          <w:rFonts w:hint="eastAsia" w:ascii="宋体" w:hAnsi="宋体" w:cs="宋体"/>
        </w:rPr>
        <w:t>发包人审批承包人文件的期限：</w:t>
      </w:r>
      <w:r>
        <w:rPr>
          <w:rFonts w:hint="eastAsia" w:ascii="宋体" w:hAnsi="宋体" w:cs="宋体"/>
          <w:u w:val="single"/>
        </w:rPr>
        <w:t>15天内  </w:t>
      </w:r>
      <w:r>
        <w:rPr>
          <w:rFonts w:hint="eastAsia" w:ascii="宋体" w:hAnsi="宋体" w:cs="宋体"/>
        </w:rPr>
        <w:t>。</w:t>
      </w:r>
    </w:p>
    <w:p w14:paraId="1B003D0A">
      <w:pPr>
        <w:spacing w:line="360" w:lineRule="exact"/>
        <w:ind w:firstLine="420" w:firstLineChars="200"/>
        <w:rPr>
          <w:rFonts w:ascii="宋体" w:hAnsi="宋体" w:cs="宋体"/>
        </w:rPr>
      </w:pPr>
      <w:r>
        <w:rPr>
          <w:rFonts w:hint="eastAsia" w:ascii="宋体" w:hAnsi="宋体" w:cs="宋体"/>
        </w:rPr>
        <w:t>1.6.5 现场图纸准备</w:t>
      </w:r>
    </w:p>
    <w:p w14:paraId="69AA4F8D">
      <w:pPr>
        <w:spacing w:line="360" w:lineRule="exact"/>
        <w:ind w:firstLine="420" w:firstLineChars="200"/>
        <w:rPr>
          <w:rFonts w:ascii="宋体" w:hAnsi="宋体" w:cs="宋体"/>
        </w:rPr>
      </w:pPr>
      <w:r>
        <w:rPr>
          <w:rFonts w:hint="eastAsia" w:ascii="宋体" w:hAnsi="宋体" w:cs="宋体"/>
        </w:rPr>
        <w:t>关于现场图纸准备的约定：</w:t>
      </w:r>
      <w:r>
        <w:rPr>
          <w:rFonts w:hint="eastAsia" w:ascii="宋体" w:hAnsi="宋体" w:cs="宋体"/>
          <w:u w:val="single"/>
        </w:rPr>
        <w:t>  按相关规定   </w:t>
      </w:r>
      <w:r>
        <w:rPr>
          <w:rFonts w:hint="eastAsia" w:ascii="宋体" w:hAnsi="宋体" w:cs="宋体"/>
        </w:rPr>
        <w:t>。</w:t>
      </w:r>
    </w:p>
    <w:p w14:paraId="1E792118">
      <w:pPr>
        <w:pStyle w:val="6"/>
        <w:spacing w:line="360" w:lineRule="exact"/>
        <w:rPr>
          <w:rFonts w:ascii="宋体" w:hAnsi="宋体" w:cs="宋体"/>
          <w:sz w:val="21"/>
          <w:szCs w:val="21"/>
        </w:rPr>
      </w:pPr>
      <w:r>
        <w:rPr>
          <w:rFonts w:hint="eastAsia" w:ascii="宋体" w:hAnsi="宋体" w:cs="宋体"/>
          <w:sz w:val="21"/>
          <w:szCs w:val="21"/>
        </w:rPr>
        <w:t>1.7 联络</w:t>
      </w:r>
    </w:p>
    <w:p w14:paraId="4778B3A6">
      <w:pPr>
        <w:spacing w:line="360" w:lineRule="exact"/>
        <w:ind w:firstLine="420" w:firstLineChars="200"/>
        <w:rPr>
          <w:rFonts w:ascii="宋体" w:hAnsi="宋体" w:cs="宋体"/>
          <w:kern w:val="0"/>
        </w:rPr>
      </w:pPr>
      <w:r>
        <w:rPr>
          <w:rFonts w:hint="eastAsia" w:ascii="宋体" w:hAnsi="宋体" w:cs="宋体"/>
          <w:kern w:val="0"/>
        </w:rPr>
        <w:t>1.7.1发包人和承包人应当在</w:t>
      </w:r>
      <w:r>
        <w:rPr>
          <w:rFonts w:hint="eastAsia" w:ascii="宋体" w:hAnsi="宋体" w:cs="宋体"/>
          <w:u w:val="single"/>
        </w:rPr>
        <w:t xml:space="preserve">（成交后填写） </w:t>
      </w:r>
      <w:r>
        <w:rPr>
          <w:rFonts w:hint="eastAsia" w:ascii="宋体" w:hAnsi="宋体" w:cs="宋体"/>
          <w:kern w:val="0"/>
        </w:rPr>
        <w:t>天内将与合同有关的通知、批准、证明、证书、指示、指令、要求、请求、同意、意见、确定和决定等书面函件送达对方当事人。</w:t>
      </w:r>
    </w:p>
    <w:p w14:paraId="53D0C2D5">
      <w:pPr>
        <w:spacing w:line="360" w:lineRule="exact"/>
        <w:ind w:firstLine="420" w:firstLineChars="200"/>
        <w:rPr>
          <w:rFonts w:ascii="宋体" w:hAnsi="宋体" w:cs="宋体"/>
          <w:kern w:val="0"/>
        </w:rPr>
      </w:pPr>
      <w:r>
        <w:rPr>
          <w:rFonts w:hint="eastAsia" w:ascii="宋体" w:hAnsi="宋体" w:cs="宋体"/>
          <w:kern w:val="0"/>
        </w:rPr>
        <w:t>1.7.2 发包人接收文件的地点：</w:t>
      </w:r>
      <w:r>
        <w:rPr>
          <w:rFonts w:hint="eastAsia" w:ascii="宋体" w:hAnsi="宋体" w:cs="宋体"/>
          <w:u w:val="single"/>
        </w:rPr>
        <w:t>（成交后填写） </w:t>
      </w:r>
      <w:r>
        <w:rPr>
          <w:rFonts w:hint="eastAsia" w:ascii="宋体" w:hAnsi="宋体" w:cs="宋体"/>
          <w:kern w:val="0"/>
        </w:rPr>
        <w:t>；</w:t>
      </w:r>
    </w:p>
    <w:p w14:paraId="1B16FED3">
      <w:pPr>
        <w:spacing w:line="360" w:lineRule="exact"/>
        <w:ind w:firstLine="420" w:firstLineChars="200"/>
        <w:rPr>
          <w:rFonts w:ascii="宋体" w:hAnsi="宋体" w:cs="宋体"/>
          <w:kern w:val="0"/>
        </w:rPr>
      </w:pPr>
      <w:r>
        <w:rPr>
          <w:rFonts w:hint="eastAsia" w:ascii="宋体" w:hAnsi="宋体" w:cs="宋体"/>
          <w:kern w:val="0"/>
        </w:rPr>
        <w:t>发包人指定的接收人为：</w:t>
      </w:r>
      <w:r>
        <w:rPr>
          <w:rFonts w:hint="eastAsia" w:ascii="宋体" w:hAnsi="宋体" w:cs="宋体"/>
          <w:u w:val="single"/>
        </w:rPr>
        <w:t>双方按实际情况现场约定</w:t>
      </w:r>
      <w:r>
        <w:rPr>
          <w:rFonts w:hint="eastAsia" w:ascii="宋体" w:hAnsi="宋体" w:cs="宋体"/>
          <w:kern w:val="0"/>
        </w:rPr>
        <w:t>。</w:t>
      </w:r>
    </w:p>
    <w:p w14:paraId="1C030422">
      <w:pPr>
        <w:spacing w:line="360" w:lineRule="exact"/>
        <w:ind w:firstLine="420" w:firstLineChars="200"/>
        <w:rPr>
          <w:rFonts w:ascii="宋体" w:hAnsi="宋体" w:cs="宋体"/>
          <w:kern w:val="0"/>
        </w:rPr>
      </w:pPr>
      <w:r>
        <w:rPr>
          <w:rFonts w:hint="eastAsia" w:ascii="宋体" w:hAnsi="宋体" w:cs="宋体"/>
          <w:kern w:val="0"/>
        </w:rPr>
        <w:t>承包人接收文件的地点：</w:t>
      </w:r>
      <w:r>
        <w:rPr>
          <w:rFonts w:hint="eastAsia" w:ascii="宋体" w:hAnsi="宋体" w:cs="宋体"/>
          <w:u w:val="single"/>
        </w:rPr>
        <w:t>发包人资料室        </w:t>
      </w:r>
      <w:r>
        <w:rPr>
          <w:rFonts w:hint="eastAsia" w:ascii="宋体" w:hAnsi="宋体" w:cs="宋体"/>
          <w:kern w:val="0"/>
        </w:rPr>
        <w:t>；</w:t>
      </w:r>
    </w:p>
    <w:p w14:paraId="24146FB6">
      <w:pPr>
        <w:spacing w:line="360" w:lineRule="exact"/>
        <w:ind w:firstLine="420" w:firstLineChars="200"/>
        <w:rPr>
          <w:rFonts w:ascii="宋体" w:hAnsi="宋体" w:cs="宋体"/>
          <w:kern w:val="0"/>
        </w:rPr>
      </w:pPr>
      <w:r>
        <w:rPr>
          <w:rFonts w:hint="eastAsia" w:ascii="宋体" w:hAnsi="宋体" w:cs="宋体"/>
          <w:kern w:val="0"/>
        </w:rPr>
        <w:t>承包人指定的接收人为：</w:t>
      </w:r>
      <w:r>
        <w:rPr>
          <w:rFonts w:hint="eastAsia" w:ascii="宋体" w:hAnsi="宋体" w:cs="宋体"/>
          <w:u w:val="single"/>
        </w:rPr>
        <w:t>成交后填写          </w:t>
      </w:r>
      <w:r>
        <w:rPr>
          <w:rFonts w:hint="eastAsia" w:ascii="宋体" w:hAnsi="宋体" w:cs="宋体"/>
          <w:kern w:val="0"/>
        </w:rPr>
        <w:t>。</w:t>
      </w:r>
    </w:p>
    <w:p w14:paraId="783E7170">
      <w:pPr>
        <w:spacing w:line="360" w:lineRule="exact"/>
        <w:ind w:firstLine="420" w:firstLineChars="200"/>
        <w:rPr>
          <w:rFonts w:ascii="宋体" w:hAnsi="宋体" w:cs="宋体"/>
          <w:kern w:val="0"/>
        </w:rPr>
      </w:pPr>
      <w:r>
        <w:rPr>
          <w:rFonts w:hint="eastAsia" w:ascii="宋体" w:hAnsi="宋体" w:cs="宋体"/>
          <w:kern w:val="0"/>
        </w:rPr>
        <w:t>监理人接收文件的地点：</w:t>
      </w:r>
      <w:r>
        <w:rPr>
          <w:rFonts w:hint="eastAsia" w:ascii="宋体" w:hAnsi="宋体" w:cs="宋体"/>
          <w:u w:val="single"/>
        </w:rPr>
        <w:t>发包人资料室          </w:t>
      </w:r>
      <w:r>
        <w:rPr>
          <w:rFonts w:hint="eastAsia" w:ascii="宋体" w:hAnsi="宋体" w:cs="宋体"/>
          <w:kern w:val="0"/>
        </w:rPr>
        <w:t>；</w:t>
      </w:r>
    </w:p>
    <w:p w14:paraId="2BCCF94D">
      <w:pPr>
        <w:spacing w:line="360" w:lineRule="exact"/>
        <w:ind w:firstLine="420" w:firstLineChars="200"/>
        <w:rPr>
          <w:rFonts w:ascii="宋体" w:hAnsi="宋体" w:cs="宋体"/>
          <w:kern w:val="0"/>
        </w:rPr>
      </w:pPr>
      <w:r>
        <w:rPr>
          <w:rFonts w:hint="eastAsia" w:ascii="宋体" w:hAnsi="宋体" w:cs="宋体"/>
          <w:kern w:val="0"/>
        </w:rPr>
        <w:t>监理人指定的接收人为：</w:t>
      </w:r>
      <w:r>
        <w:rPr>
          <w:rFonts w:hint="eastAsia" w:ascii="宋体" w:hAnsi="宋体" w:cs="宋体"/>
          <w:u w:val="single"/>
        </w:rPr>
        <w:t>成交后填写          </w:t>
      </w:r>
      <w:r>
        <w:rPr>
          <w:rFonts w:hint="eastAsia" w:ascii="宋体" w:hAnsi="宋体" w:cs="宋体"/>
          <w:kern w:val="0"/>
        </w:rPr>
        <w:t>。</w:t>
      </w:r>
    </w:p>
    <w:p w14:paraId="6D698B87">
      <w:pPr>
        <w:pStyle w:val="6"/>
        <w:spacing w:line="360" w:lineRule="exact"/>
        <w:rPr>
          <w:rFonts w:ascii="宋体" w:hAnsi="宋体" w:cs="宋体"/>
          <w:sz w:val="21"/>
          <w:szCs w:val="21"/>
        </w:rPr>
      </w:pPr>
      <w:r>
        <w:rPr>
          <w:rFonts w:hint="eastAsia" w:ascii="宋体" w:hAnsi="宋体" w:cs="宋体"/>
          <w:sz w:val="21"/>
          <w:szCs w:val="21"/>
        </w:rPr>
        <w:t>1.10 交通运输</w:t>
      </w:r>
    </w:p>
    <w:p w14:paraId="6A520D43">
      <w:pPr>
        <w:pStyle w:val="6"/>
        <w:spacing w:line="360" w:lineRule="exact"/>
        <w:rPr>
          <w:rFonts w:ascii="宋体" w:hAnsi="宋体" w:cs="宋体"/>
          <w:sz w:val="21"/>
          <w:szCs w:val="21"/>
        </w:rPr>
      </w:pPr>
      <w:r>
        <w:rPr>
          <w:rFonts w:hint="eastAsia" w:ascii="宋体" w:hAnsi="宋体" w:cs="宋体"/>
          <w:sz w:val="21"/>
          <w:szCs w:val="21"/>
        </w:rPr>
        <w:t>1.10.1 出入现场的权利</w:t>
      </w:r>
    </w:p>
    <w:p w14:paraId="79A2268A">
      <w:pPr>
        <w:spacing w:line="360" w:lineRule="exact"/>
        <w:ind w:left="596" w:leftChars="284"/>
        <w:rPr>
          <w:rFonts w:ascii="宋体" w:hAnsi="宋体" w:cs="宋体"/>
        </w:rPr>
      </w:pPr>
      <w:r>
        <w:rPr>
          <w:rFonts w:hint="eastAsia" w:ascii="宋体" w:hAnsi="宋体" w:cs="宋体"/>
        </w:rPr>
        <w:t>关于出入现场的权利的约定：</w:t>
      </w:r>
      <w:r>
        <w:rPr>
          <w:rFonts w:hint="eastAsia" w:ascii="宋体" w:hAnsi="宋体" w:cs="宋体"/>
          <w:u w:val="single"/>
        </w:rPr>
        <w:t>成交后填写</w:t>
      </w:r>
      <w:r>
        <w:rPr>
          <w:rFonts w:hint="eastAsia" w:ascii="宋体" w:hAnsi="宋体" w:cs="宋体"/>
        </w:rPr>
        <w:t>。</w:t>
      </w:r>
    </w:p>
    <w:p w14:paraId="2D691C33">
      <w:pPr>
        <w:pStyle w:val="6"/>
        <w:spacing w:line="360" w:lineRule="exact"/>
        <w:rPr>
          <w:rFonts w:ascii="宋体" w:hAnsi="宋体" w:cs="宋体"/>
          <w:sz w:val="21"/>
          <w:szCs w:val="21"/>
        </w:rPr>
      </w:pPr>
      <w:r>
        <w:rPr>
          <w:rFonts w:hint="eastAsia" w:ascii="宋体" w:hAnsi="宋体" w:cs="宋体"/>
          <w:sz w:val="21"/>
          <w:szCs w:val="21"/>
        </w:rPr>
        <w:t>1.10.3 场内交通</w:t>
      </w:r>
    </w:p>
    <w:p w14:paraId="0DBFA0B6">
      <w:pPr>
        <w:spacing w:line="360" w:lineRule="exact"/>
        <w:ind w:firstLine="420" w:firstLineChars="200"/>
        <w:jc w:val="left"/>
        <w:rPr>
          <w:rFonts w:ascii="宋体" w:hAnsi="宋体" w:cs="宋体"/>
          <w:kern w:val="0"/>
        </w:rPr>
      </w:pPr>
      <w:r>
        <w:rPr>
          <w:rFonts w:hint="eastAsia" w:ascii="宋体" w:hAnsi="宋体" w:cs="宋体"/>
          <w:kern w:val="0"/>
        </w:rPr>
        <w:t>关于场外交通和场内交通的边界的约定：</w:t>
      </w:r>
      <w:r>
        <w:rPr>
          <w:rFonts w:hint="eastAsia" w:ascii="宋体" w:hAnsi="宋体" w:cs="宋体"/>
          <w:u w:val="single"/>
        </w:rPr>
        <w:t>规划用地线  </w:t>
      </w:r>
      <w:r>
        <w:rPr>
          <w:rFonts w:hint="eastAsia" w:ascii="宋体" w:hAnsi="宋体" w:cs="宋体"/>
        </w:rPr>
        <w:t>。</w:t>
      </w:r>
    </w:p>
    <w:p w14:paraId="2A82BE16">
      <w:pPr>
        <w:spacing w:line="360" w:lineRule="exact"/>
        <w:ind w:firstLine="420" w:firstLineChars="200"/>
        <w:jc w:val="left"/>
        <w:rPr>
          <w:rFonts w:ascii="宋体" w:hAnsi="宋体" w:cs="宋体"/>
        </w:rPr>
      </w:pPr>
      <w:r>
        <w:rPr>
          <w:rFonts w:hint="eastAsia" w:ascii="宋体" w:hAnsi="宋体" w:cs="宋体"/>
        </w:rPr>
        <w:t>关于发包人向承包人免费提供满足工程施工需要的场内道路和交通设施的约定：</w:t>
      </w:r>
      <w:r>
        <w:rPr>
          <w:rFonts w:hint="eastAsia" w:ascii="宋体" w:hAnsi="宋体" w:cs="宋体"/>
          <w:u w:val="single"/>
        </w:rPr>
        <w:t>货运通道及相关设施</w:t>
      </w:r>
      <w:r>
        <w:rPr>
          <w:rFonts w:hint="eastAsia" w:ascii="宋体" w:hAnsi="宋体" w:cs="宋体"/>
        </w:rPr>
        <w:t xml:space="preserve">。  </w:t>
      </w:r>
    </w:p>
    <w:p w14:paraId="014BDEA1">
      <w:pPr>
        <w:spacing w:line="360" w:lineRule="exact"/>
        <w:ind w:firstLine="420" w:firstLineChars="200"/>
        <w:jc w:val="left"/>
        <w:rPr>
          <w:rFonts w:ascii="宋体" w:hAnsi="宋体" w:cs="宋体"/>
        </w:rPr>
      </w:pPr>
      <w:r>
        <w:rPr>
          <w:rFonts w:hint="eastAsia" w:ascii="宋体" w:hAnsi="宋体" w:cs="宋体"/>
        </w:rPr>
        <w:t>1.10.4超大件和超重件的运输</w:t>
      </w:r>
    </w:p>
    <w:p w14:paraId="3E78D0CF">
      <w:pPr>
        <w:spacing w:line="360" w:lineRule="exact"/>
        <w:ind w:firstLine="420" w:firstLineChars="200"/>
        <w:jc w:val="left"/>
        <w:rPr>
          <w:rFonts w:ascii="宋体" w:hAnsi="宋体" w:cs="宋体"/>
        </w:rPr>
      </w:pPr>
      <w:r>
        <w:rPr>
          <w:rFonts w:hint="eastAsia" w:ascii="宋体" w:hAnsi="宋体" w:cs="宋体"/>
        </w:rPr>
        <w:t>运输超大件或超重件所需的道路和桥梁临时加固改造费用和其他有关费用由</w:t>
      </w:r>
      <w:r>
        <w:rPr>
          <w:rFonts w:hint="eastAsia" w:ascii="宋体" w:hAnsi="宋体" w:cs="宋体"/>
          <w:u w:val="single"/>
        </w:rPr>
        <w:t xml:space="preserve">   承包人  </w:t>
      </w:r>
      <w:r>
        <w:rPr>
          <w:rFonts w:hint="eastAsia" w:ascii="宋体" w:hAnsi="宋体" w:cs="宋体"/>
        </w:rPr>
        <w:t>承担。</w:t>
      </w:r>
    </w:p>
    <w:p w14:paraId="18526155">
      <w:pPr>
        <w:pStyle w:val="6"/>
        <w:spacing w:line="360" w:lineRule="exact"/>
        <w:rPr>
          <w:rFonts w:ascii="宋体" w:hAnsi="宋体" w:cs="宋体"/>
          <w:sz w:val="21"/>
          <w:szCs w:val="21"/>
        </w:rPr>
      </w:pPr>
      <w:r>
        <w:rPr>
          <w:rFonts w:hint="eastAsia" w:ascii="宋体" w:hAnsi="宋体" w:cs="宋体"/>
          <w:sz w:val="21"/>
          <w:szCs w:val="21"/>
        </w:rPr>
        <w:t>1.11 知识产权</w:t>
      </w:r>
    </w:p>
    <w:p w14:paraId="0B54EE46">
      <w:pPr>
        <w:spacing w:line="360" w:lineRule="exact"/>
        <w:ind w:firstLine="420" w:firstLineChars="200"/>
        <w:rPr>
          <w:rFonts w:ascii="宋体" w:hAnsi="宋体" w:cs="宋体"/>
        </w:rPr>
      </w:pPr>
      <w:r>
        <w:rPr>
          <w:rFonts w:hint="eastAsia" w:ascii="宋体" w:hAnsi="宋体" w:cs="宋体"/>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u w:val="single"/>
        </w:rPr>
        <w:t xml:space="preserve">发包人    </w:t>
      </w:r>
      <w:r>
        <w:rPr>
          <w:rFonts w:hint="eastAsia" w:ascii="宋体" w:hAnsi="宋体" w:cs="宋体"/>
        </w:rPr>
        <w:t>。</w:t>
      </w:r>
    </w:p>
    <w:p w14:paraId="20E56E96">
      <w:pPr>
        <w:spacing w:line="360" w:lineRule="exact"/>
        <w:ind w:left="596" w:leftChars="284"/>
        <w:rPr>
          <w:rFonts w:ascii="宋体" w:hAnsi="宋体" w:cs="宋体"/>
        </w:rPr>
      </w:pPr>
      <w:r>
        <w:rPr>
          <w:rFonts w:hint="eastAsia" w:ascii="宋体" w:hAnsi="宋体" w:cs="宋体"/>
        </w:rPr>
        <w:t>关于发包人提供的上述文件的使用限制的要求：</w:t>
      </w:r>
      <w:r>
        <w:rPr>
          <w:rFonts w:hint="eastAsia" w:ascii="宋体" w:hAnsi="宋体" w:cs="宋体"/>
          <w:u w:val="single"/>
        </w:rPr>
        <w:t xml:space="preserve">  本项目   </w:t>
      </w:r>
      <w:r>
        <w:rPr>
          <w:rFonts w:hint="eastAsia" w:ascii="宋体" w:hAnsi="宋体" w:cs="宋体"/>
        </w:rPr>
        <w:t>。</w:t>
      </w:r>
    </w:p>
    <w:p w14:paraId="674368EF">
      <w:pPr>
        <w:pStyle w:val="6"/>
        <w:spacing w:line="360" w:lineRule="exact"/>
        <w:rPr>
          <w:rFonts w:ascii="宋体" w:hAnsi="宋体" w:cs="宋体"/>
          <w:sz w:val="21"/>
          <w:szCs w:val="21"/>
        </w:rPr>
      </w:pPr>
      <w:r>
        <w:rPr>
          <w:rFonts w:hint="eastAsia" w:ascii="宋体" w:hAnsi="宋体" w:cs="宋体"/>
          <w:sz w:val="21"/>
          <w:szCs w:val="21"/>
        </w:rPr>
        <w:t>1.11.2 关于承包人为实施工程所编制文件的著作权的归属：</w:t>
      </w:r>
      <w:r>
        <w:rPr>
          <w:rFonts w:hint="eastAsia" w:ascii="宋体" w:hAnsi="宋体" w:cs="宋体"/>
          <w:sz w:val="21"/>
          <w:szCs w:val="21"/>
          <w:u w:val="single"/>
        </w:rPr>
        <w:t>发包人</w:t>
      </w:r>
      <w:r>
        <w:rPr>
          <w:rFonts w:hint="eastAsia" w:ascii="宋体" w:hAnsi="宋体" w:cs="宋体"/>
          <w:sz w:val="21"/>
          <w:szCs w:val="21"/>
        </w:rPr>
        <w:t>。</w:t>
      </w:r>
    </w:p>
    <w:p w14:paraId="1CE9A2CB">
      <w:pPr>
        <w:spacing w:line="360" w:lineRule="exact"/>
        <w:ind w:firstLine="420" w:firstLineChars="200"/>
        <w:rPr>
          <w:rFonts w:ascii="宋体" w:hAnsi="宋体" w:cs="宋体"/>
        </w:rPr>
      </w:pPr>
      <w:r>
        <w:rPr>
          <w:rFonts w:hint="eastAsia" w:ascii="宋体" w:hAnsi="宋体" w:cs="宋体"/>
        </w:rPr>
        <w:t>关于承包人提供的上述文件的使用限制的要求：</w:t>
      </w:r>
      <w:r>
        <w:rPr>
          <w:rFonts w:hint="eastAsia" w:ascii="宋体" w:hAnsi="宋体" w:cs="宋体"/>
          <w:u w:val="single"/>
        </w:rPr>
        <w:t xml:space="preserve">本项目  </w:t>
      </w:r>
      <w:r>
        <w:rPr>
          <w:rFonts w:hint="eastAsia" w:ascii="宋体" w:hAnsi="宋体" w:cs="宋体"/>
        </w:rPr>
        <w:t>。</w:t>
      </w:r>
    </w:p>
    <w:p w14:paraId="03BAE82C">
      <w:pPr>
        <w:pStyle w:val="6"/>
        <w:spacing w:line="360" w:lineRule="exact"/>
        <w:rPr>
          <w:rFonts w:ascii="宋体" w:hAnsi="宋体" w:cs="宋体"/>
          <w:sz w:val="21"/>
          <w:szCs w:val="21"/>
        </w:rPr>
      </w:pPr>
      <w:r>
        <w:rPr>
          <w:rFonts w:hint="eastAsia" w:ascii="宋体" w:hAnsi="宋体" w:cs="宋体"/>
          <w:sz w:val="21"/>
          <w:szCs w:val="21"/>
        </w:rPr>
        <w:t>1.11.4 承包人在施工过程中所采用的专利、专有技术、技术秘密的使用费的承担方式：</w:t>
      </w:r>
      <w:r>
        <w:rPr>
          <w:rFonts w:hint="eastAsia" w:ascii="宋体" w:hAnsi="宋体" w:cs="宋体"/>
          <w:sz w:val="21"/>
          <w:szCs w:val="21"/>
          <w:u w:val="single"/>
        </w:rPr>
        <w:t xml:space="preserve">无       </w:t>
      </w:r>
      <w:r>
        <w:rPr>
          <w:rFonts w:hint="eastAsia" w:ascii="宋体" w:hAnsi="宋体" w:cs="宋体"/>
          <w:sz w:val="21"/>
          <w:szCs w:val="21"/>
        </w:rPr>
        <w:t>。</w:t>
      </w:r>
    </w:p>
    <w:p w14:paraId="1405620A">
      <w:pPr>
        <w:spacing w:after="120" w:line="360" w:lineRule="exact"/>
        <w:ind w:firstLine="420" w:firstLineChars="200"/>
        <w:rPr>
          <w:rFonts w:ascii="宋体" w:hAnsi="宋体" w:cs="宋体"/>
        </w:rPr>
      </w:pPr>
      <w:r>
        <w:rPr>
          <w:rFonts w:hint="eastAsia" w:ascii="宋体" w:hAnsi="宋体" w:cs="宋体"/>
        </w:rPr>
        <w:t>1.13工程量清单错误的修正</w:t>
      </w:r>
    </w:p>
    <w:p w14:paraId="2E78019E">
      <w:pPr>
        <w:spacing w:line="360" w:lineRule="exact"/>
        <w:ind w:firstLine="420" w:firstLineChars="200"/>
        <w:rPr>
          <w:rFonts w:ascii="宋体" w:hAnsi="宋体" w:cs="宋体"/>
        </w:rPr>
      </w:pPr>
      <w:r>
        <w:rPr>
          <w:rFonts w:hint="eastAsia" w:ascii="宋体" w:hAnsi="宋体" w:cs="宋体"/>
        </w:rPr>
        <w:t>出现工程量清单错误时，是否调整合同价格：</w:t>
      </w:r>
      <w:r>
        <w:rPr>
          <w:rFonts w:hint="eastAsia" w:ascii="宋体" w:hAnsi="宋体" w:cs="宋体"/>
          <w:u w:val="single"/>
        </w:rPr>
        <w:t xml:space="preserve">   调整  </w:t>
      </w:r>
      <w:r>
        <w:rPr>
          <w:rFonts w:hint="eastAsia" w:ascii="宋体" w:hAnsi="宋体" w:cs="宋体"/>
          <w:kern w:val="0"/>
        </w:rPr>
        <w:t>。</w:t>
      </w:r>
    </w:p>
    <w:p w14:paraId="06FB2273">
      <w:pPr>
        <w:spacing w:line="360" w:lineRule="exact"/>
        <w:ind w:firstLine="420" w:firstLineChars="200"/>
        <w:rPr>
          <w:rFonts w:ascii="宋体" w:hAnsi="宋体" w:cs="宋体"/>
        </w:rPr>
      </w:pPr>
      <w:r>
        <w:rPr>
          <w:rFonts w:hint="eastAsia" w:ascii="宋体" w:hAnsi="宋体" w:cs="宋体"/>
        </w:rPr>
        <w:t>允许调整合同价格的工程量偏差范围：</w:t>
      </w:r>
      <w:r>
        <w:rPr>
          <w:rFonts w:hint="eastAsia" w:ascii="宋体" w:hAnsi="宋体" w:cs="宋体"/>
          <w:u w:val="single"/>
        </w:rPr>
        <w:t xml:space="preserve">按实际工程量计算  </w:t>
      </w:r>
      <w:r>
        <w:rPr>
          <w:rFonts w:hint="eastAsia" w:ascii="宋体" w:hAnsi="宋体" w:cs="宋体"/>
          <w:kern w:val="0"/>
        </w:rPr>
        <w:t>。</w:t>
      </w:r>
    </w:p>
    <w:p w14:paraId="42E43D8F">
      <w:pPr>
        <w:pStyle w:val="7"/>
        <w:spacing w:before="120" w:after="120" w:line="360" w:lineRule="exact"/>
        <w:rPr>
          <w:rFonts w:ascii="宋体" w:hAnsi="宋体" w:cs="宋体"/>
          <w:b w:val="0"/>
          <w:sz w:val="21"/>
          <w:szCs w:val="21"/>
        </w:rPr>
      </w:pPr>
      <w:r>
        <w:rPr>
          <w:rFonts w:hint="eastAsia" w:ascii="宋体" w:hAnsi="宋体" w:cs="宋体"/>
          <w:b w:val="0"/>
          <w:sz w:val="21"/>
          <w:szCs w:val="21"/>
        </w:rPr>
        <w:t>2. 发包人</w:t>
      </w:r>
    </w:p>
    <w:p w14:paraId="215207CB">
      <w:pPr>
        <w:pStyle w:val="6"/>
        <w:spacing w:line="360" w:lineRule="exact"/>
        <w:rPr>
          <w:rFonts w:ascii="宋体" w:hAnsi="宋体" w:cs="宋体"/>
          <w:sz w:val="21"/>
          <w:szCs w:val="21"/>
        </w:rPr>
      </w:pPr>
      <w:r>
        <w:rPr>
          <w:rFonts w:hint="eastAsia" w:ascii="宋体" w:hAnsi="宋体" w:cs="宋体"/>
          <w:sz w:val="21"/>
          <w:szCs w:val="21"/>
        </w:rPr>
        <w:t>2.2 发包人代表</w:t>
      </w:r>
    </w:p>
    <w:p w14:paraId="1E69FD56">
      <w:pPr>
        <w:spacing w:line="360" w:lineRule="exact"/>
        <w:ind w:firstLine="420" w:firstLineChars="200"/>
        <w:rPr>
          <w:rFonts w:ascii="宋体" w:hAnsi="宋体" w:cs="宋体"/>
        </w:rPr>
      </w:pPr>
      <w:r>
        <w:rPr>
          <w:rFonts w:hint="eastAsia" w:ascii="宋体" w:hAnsi="宋体" w:cs="宋体"/>
        </w:rPr>
        <w:t>发包人代表：</w:t>
      </w:r>
    </w:p>
    <w:p w14:paraId="0F79BF88">
      <w:pPr>
        <w:spacing w:line="360" w:lineRule="exact"/>
        <w:ind w:firstLine="420" w:firstLineChars="200"/>
        <w:rPr>
          <w:rFonts w:ascii="宋体" w:hAnsi="宋体" w:cs="宋体"/>
        </w:rPr>
      </w:pPr>
      <w:r>
        <w:rPr>
          <w:rFonts w:hint="eastAsia" w:ascii="宋体" w:hAnsi="宋体" w:cs="宋体"/>
        </w:rPr>
        <w:t>姓    名：</w:t>
      </w:r>
      <w:r>
        <w:rPr>
          <w:rFonts w:hint="eastAsia" w:ascii="宋体" w:hAnsi="宋体" w:cs="宋体"/>
          <w:u w:val="single"/>
        </w:rPr>
        <w:t>成交后填写     </w:t>
      </w:r>
      <w:r>
        <w:rPr>
          <w:rFonts w:hint="eastAsia" w:ascii="宋体" w:hAnsi="宋体" w:cs="宋体"/>
        </w:rPr>
        <w:t>；</w:t>
      </w:r>
    </w:p>
    <w:p w14:paraId="3ECBDAFF">
      <w:pPr>
        <w:spacing w:line="360" w:lineRule="exact"/>
        <w:ind w:firstLine="420" w:firstLineChars="200"/>
        <w:rPr>
          <w:rFonts w:ascii="宋体" w:hAnsi="宋体" w:cs="宋体"/>
        </w:rPr>
      </w:pPr>
      <w:r>
        <w:rPr>
          <w:rFonts w:hint="eastAsia" w:ascii="宋体" w:hAnsi="宋体" w:cs="宋体"/>
        </w:rPr>
        <w:t>身份证号：</w:t>
      </w:r>
      <w:r>
        <w:rPr>
          <w:rFonts w:hint="eastAsia" w:ascii="宋体" w:hAnsi="宋体" w:cs="宋体"/>
          <w:u w:val="single"/>
        </w:rPr>
        <w:t>成交后填写    </w:t>
      </w:r>
      <w:r>
        <w:rPr>
          <w:rFonts w:hint="eastAsia" w:ascii="宋体" w:hAnsi="宋体" w:cs="宋体"/>
        </w:rPr>
        <w:t>；</w:t>
      </w:r>
    </w:p>
    <w:p w14:paraId="3F0A4AF6">
      <w:pPr>
        <w:spacing w:line="360" w:lineRule="exact"/>
        <w:ind w:firstLine="420" w:firstLineChars="200"/>
        <w:rPr>
          <w:rFonts w:ascii="宋体" w:hAnsi="宋体" w:cs="宋体"/>
        </w:rPr>
      </w:pPr>
      <w:r>
        <w:rPr>
          <w:rFonts w:hint="eastAsia" w:ascii="宋体" w:hAnsi="宋体" w:cs="宋体"/>
        </w:rPr>
        <w:t>职    务：</w:t>
      </w:r>
      <w:r>
        <w:rPr>
          <w:rFonts w:hint="eastAsia" w:ascii="宋体" w:hAnsi="宋体" w:cs="宋体"/>
          <w:u w:val="single"/>
        </w:rPr>
        <w:t>成交后填写  </w:t>
      </w:r>
      <w:r>
        <w:rPr>
          <w:rFonts w:hint="eastAsia" w:ascii="宋体" w:hAnsi="宋体" w:cs="宋体"/>
        </w:rPr>
        <w:t>；</w:t>
      </w:r>
    </w:p>
    <w:p w14:paraId="3ADCE4B2">
      <w:pPr>
        <w:spacing w:line="360" w:lineRule="exact"/>
        <w:ind w:firstLine="420" w:firstLineChars="200"/>
        <w:rPr>
          <w:rFonts w:ascii="宋体" w:hAnsi="宋体" w:cs="宋体"/>
        </w:rPr>
      </w:pPr>
      <w:r>
        <w:rPr>
          <w:rFonts w:hint="eastAsia" w:ascii="宋体" w:hAnsi="宋体" w:cs="宋体"/>
        </w:rPr>
        <w:t>联系电话：</w:t>
      </w:r>
      <w:r>
        <w:rPr>
          <w:rFonts w:hint="eastAsia" w:ascii="宋体" w:hAnsi="宋体" w:cs="宋体"/>
          <w:u w:val="single"/>
        </w:rPr>
        <w:t>  成交后填写  </w:t>
      </w:r>
      <w:r>
        <w:rPr>
          <w:rFonts w:hint="eastAsia" w:ascii="宋体" w:hAnsi="宋体" w:cs="宋体"/>
        </w:rPr>
        <w:t>；</w:t>
      </w:r>
    </w:p>
    <w:p w14:paraId="24DE1F6D">
      <w:pPr>
        <w:spacing w:line="360" w:lineRule="exact"/>
        <w:ind w:firstLine="420" w:firstLineChars="200"/>
        <w:rPr>
          <w:rFonts w:ascii="宋体" w:hAnsi="宋体" w:cs="宋体"/>
        </w:rPr>
      </w:pPr>
      <w:r>
        <w:rPr>
          <w:rFonts w:hint="eastAsia" w:ascii="宋体" w:hAnsi="宋体" w:cs="宋体"/>
        </w:rPr>
        <w:t>电子信箱：</w:t>
      </w:r>
      <w:r>
        <w:rPr>
          <w:rFonts w:hint="eastAsia" w:ascii="宋体" w:hAnsi="宋体" w:cs="宋体"/>
          <w:u w:val="single"/>
        </w:rPr>
        <w:t>成交后填写   </w:t>
      </w:r>
      <w:r>
        <w:rPr>
          <w:rFonts w:hint="eastAsia" w:ascii="宋体" w:hAnsi="宋体" w:cs="宋体"/>
        </w:rPr>
        <w:t>；</w:t>
      </w:r>
    </w:p>
    <w:p w14:paraId="06D7E3F7">
      <w:pPr>
        <w:spacing w:line="360" w:lineRule="exact"/>
        <w:ind w:firstLine="420" w:firstLineChars="200"/>
        <w:rPr>
          <w:rFonts w:ascii="宋体" w:hAnsi="宋体" w:cs="宋体"/>
        </w:rPr>
      </w:pPr>
      <w:r>
        <w:rPr>
          <w:rFonts w:hint="eastAsia" w:ascii="宋体" w:hAnsi="宋体" w:cs="宋体"/>
        </w:rPr>
        <w:t>通信地址：</w:t>
      </w:r>
      <w:r>
        <w:rPr>
          <w:rFonts w:hint="eastAsia" w:ascii="宋体" w:hAnsi="宋体" w:cs="宋体"/>
          <w:u w:val="single"/>
        </w:rPr>
        <w:t>成交后填写  </w:t>
      </w:r>
      <w:r>
        <w:rPr>
          <w:rFonts w:hint="eastAsia" w:ascii="宋体" w:hAnsi="宋体" w:cs="宋体"/>
        </w:rPr>
        <w:t>。</w:t>
      </w:r>
    </w:p>
    <w:p w14:paraId="06310790">
      <w:pPr>
        <w:spacing w:line="360" w:lineRule="exact"/>
        <w:ind w:firstLine="420" w:firstLineChars="200"/>
        <w:rPr>
          <w:rFonts w:ascii="宋体" w:hAnsi="宋体" w:cs="宋体"/>
          <w:b/>
        </w:rPr>
      </w:pPr>
      <w:r>
        <w:rPr>
          <w:rFonts w:hint="eastAsia" w:ascii="宋体" w:hAnsi="宋体" w:cs="宋体"/>
        </w:rPr>
        <w:t>发包人对发包人代表的授权范围如下：</w:t>
      </w:r>
      <w:r>
        <w:rPr>
          <w:rFonts w:hint="eastAsia" w:ascii="宋体" w:hAnsi="宋体" w:cs="宋体"/>
          <w:u w:val="single"/>
        </w:rPr>
        <w:t xml:space="preserve">成交后填写  </w:t>
      </w:r>
      <w:r>
        <w:rPr>
          <w:rFonts w:hint="eastAsia" w:ascii="宋体" w:hAnsi="宋体" w:cs="宋体"/>
        </w:rPr>
        <w:t>。</w:t>
      </w:r>
    </w:p>
    <w:p w14:paraId="7971FB22">
      <w:pPr>
        <w:pStyle w:val="6"/>
        <w:spacing w:line="360" w:lineRule="exact"/>
        <w:rPr>
          <w:rFonts w:ascii="宋体" w:hAnsi="宋体" w:cs="宋体"/>
          <w:sz w:val="21"/>
          <w:szCs w:val="21"/>
        </w:rPr>
      </w:pPr>
      <w:r>
        <w:rPr>
          <w:rFonts w:hint="eastAsia" w:ascii="宋体" w:hAnsi="宋体" w:cs="宋体"/>
          <w:sz w:val="21"/>
          <w:szCs w:val="21"/>
        </w:rPr>
        <w:t>2.4 施工现场、施工条件和基础资料的提供</w:t>
      </w:r>
    </w:p>
    <w:p w14:paraId="4845A8F6">
      <w:pPr>
        <w:spacing w:line="360" w:lineRule="exact"/>
        <w:ind w:firstLine="420" w:firstLineChars="200"/>
        <w:rPr>
          <w:rFonts w:ascii="宋体" w:hAnsi="宋体" w:cs="宋体"/>
        </w:rPr>
      </w:pPr>
      <w:r>
        <w:rPr>
          <w:rFonts w:hint="eastAsia" w:ascii="宋体" w:hAnsi="宋体" w:cs="宋体"/>
        </w:rPr>
        <w:t>2.4.1 提供施工现场</w:t>
      </w:r>
    </w:p>
    <w:p w14:paraId="14387990">
      <w:pPr>
        <w:spacing w:line="360" w:lineRule="exact"/>
        <w:ind w:firstLine="420" w:firstLineChars="200"/>
        <w:jc w:val="left"/>
        <w:rPr>
          <w:rFonts w:ascii="宋体" w:hAnsi="宋体" w:cs="宋体"/>
        </w:rPr>
      </w:pPr>
      <w:r>
        <w:rPr>
          <w:rFonts w:hint="eastAsia" w:ascii="宋体" w:hAnsi="宋体" w:cs="宋体"/>
        </w:rPr>
        <w:t>关于发包人移交施工现场的期限要求：</w:t>
      </w:r>
      <w:r>
        <w:rPr>
          <w:rFonts w:hint="eastAsia" w:ascii="宋体" w:hAnsi="宋体" w:cs="宋体"/>
          <w:u w:val="single"/>
        </w:rPr>
        <w:t xml:space="preserve">以发包人发出的开工令为准  </w:t>
      </w:r>
      <w:r>
        <w:rPr>
          <w:rFonts w:hint="eastAsia" w:ascii="宋体" w:hAnsi="宋体" w:cs="宋体"/>
        </w:rPr>
        <w:t>。</w:t>
      </w:r>
    </w:p>
    <w:p w14:paraId="52358ADA">
      <w:pPr>
        <w:spacing w:line="360" w:lineRule="exact"/>
        <w:ind w:firstLine="420" w:firstLineChars="200"/>
        <w:rPr>
          <w:rFonts w:ascii="宋体" w:hAnsi="宋体" w:cs="宋体"/>
        </w:rPr>
      </w:pPr>
      <w:r>
        <w:rPr>
          <w:rFonts w:hint="eastAsia" w:ascii="宋体" w:hAnsi="宋体" w:cs="宋体"/>
        </w:rPr>
        <w:t>2.4.2 提供施工条件</w:t>
      </w:r>
    </w:p>
    <w:p w14:paraId="66510AAE">
      <w:pPr>
        <w:spacing w:line="360" w:lineRule="exact"/>
        <w:ind w:firstLine="420" w:firstLineChars="200"/>
        <w:rPr>
          <w:rFonts w:ascii="宋体" w:hAnsi="宋体" w:cs="宋体"/>
          <w:u w:val="single"/>
        </w:rPr>
      </w:pPr>
      <w:r>
        <w:rPr>
          <w:rFonts w:hint="eastAsia" w:ascii="宋体" w:hAnsi="宋体" w:cs="宋体"/>
        </w:rPr>
        <w:t>关于发包人应负责提供施工所需要的条件，包括：</w:t>
      </w:r>
      <w:r>
        <w:rPr>
          <w:rFonts w:hint="eastAsia" w:ascii="宋体" w:hAnsi="宋体" w:cs="宋体"/>
          <w:u w:val="single"/>
        </w:rPr>
        <w:t>发包人按承包人的施工现场总平面布置图的要求于开工7日前达到三通一平的施工要求，将水、电接至距拟建建筑物外墙（或构筑物外边线）200米范围内。电讯线路的接通由承包人自费解决；电气管线的接通由承包人自费解决；承包人施工期间的生活用水、电、电讯、电气费用由承包人支付；承包人负责在发包人指定的部位安装计量表，水电费按表计量度数</w:t>
      </w:r>
      <w:r>
        <w:rPr>
          <w:rFonts w:hint="eastAsia" w:ascii="宋体" w:hAnsi="宋体" w:cs="宋体"/>
        </w:rPr>
        <w:t>。</w:t>
      </w:r>
    </w:p>
    <w:p w14:paraId="464FAE13">
      <w:pPr>
        <w:pStyle w:val="6"/>
        <w:spacing w:line="360" w:lineRule="exact"/>
        <w:rPr>
          <w:rFonts w:ascii="宋体" w:hAnsi="宋体" w:cs="宋体"/>
          <w:sz w:val="21"/>
          <w:szCs w:val="21"/>
        </w:rPr>
      </w:pPr>
      <w:r>
        <w:rPr>
          <w:rFonts w:hint="eastAsia" w:ascii="宋体" w:hAnsi="宋体" w:cs="宋体"/>
          <w:sz w:val="21"/>
          <w:szCs w:val="21"/>
        </w:rPr>
        <w:t>2.5 资金来源证明及支付担保</w:t>
      </w:r>
    </w:p>
    <w:p w14:paraId="56DC3FC2">
      <w:pPr>
        <w:spacing w:line="360" w:lineRule="exact"/>
        <w:ind w:firstLine="420" w:firstLineChars="200"/>
        <w:rPr>
          <w:rFonts w:ascii="宋体" w:hAnsi="宋体" w:cs="宋体"/>
        </w:rPr>
      </w:pPr>
      <w:r>
        <w:rPr>
          <w:rFonts w:hint="eastAsia" w:ascii="宋体" w:hAnsi="宋体" w:cs="宋体"/>
        </w:rPr>
        <w:t>发包人提供资金来源证明的期限要求：</w:t>
      </w:r>
      <w:r>
        <w:rPr>
          <w:rFonts w:hint="eastAsia" w:ascii="宋体" w:hAnsi="宋体" w:cs="宋体"/>
          <w:u w:val="single"/>
        </w:rPr>
        <w:t>本合同生效之日起至发包人实际支付竣工付款之日止</w:t>
      </w:r>
      <w:r>
        <w:rPr>
          <w:rFonts w:hint="eastAsia" w:ascii="宋体" w:hAnsi="宋体" w:cs="宋体"/>
        </w:rPr>
        <w:t>。</w:t>
      </w:r>
    </w:p>
    <w:p w14:paraId="4F521624">
      <w:pPr>
        <w:spacing w:line="360" w:lineRule="exact"/>
        <w:ind w:firstLine="420" w:firstLineChars="200"/>
        <w:rPr>
          <w:rFonts w:ascii="宋体" w:hAnsi="宋体" w:cs="宋体"/>
        </w:rPr>
      </w:pPr>
      <w:r>
        <w:rPr>
          <w:rFonts w:hint="eastAsia" w:ascii="宋体" w:hAnsi="宋体" w:cs="宋体"/>
        </w:rPr>
        <w:t>发包人是否提供支付担保：</w:t>
      </w:r>
      <w:r>
        <w:rPr>
          <w:rFonts w:hint="eastAsia" w:ascii="宋体" w:hAnsi="宋体" w:cs="宋体"/>
          <w:u w:val="single"/>
        </w:rPr>
        <w:t xml:space="preserve">不提供    </w:t>
      </w:r>
      <w:r>
        <w:rPr>
          <w:rFonts w:hint="eastAsia" w:ascii="宋体" w:hAnsi="宋体" w:cs="宋体"/>
        </w:rPr>
        <w:t>。</w:t>
      </w:r>
    </w:p>
    <w:p w14:paraId="52F6A173">
      <w:pPr>
        <w:spacing w:line="360" w:lineRule="exact"/>
        <w:ind w:firstLine="420" w:firstLineChars="200"/>
        <w:rPr>
          <w:rFonts w:ascii="宋体" w:hAnsi="宋体" w:cs="宋体"/>
          <w:u w:val="single"/>
        </w:rPr>
      </w:pPr>
      <w:r>
        <w:rPr>
          <w:rFonts w:hint="eastAsia" w:ascii="宋体" w:hAnsi="宋体" w:cs="宋体"/>
        </w:rPr>
        <w:t>发包人提供支付担保的形式：</w:t>
      </w:r>
      <w:r>
        <w:rPr>
          <w:rFonts w:hint="eastAsia" w:ascii="宋体" w:hAnsi="宋体" w:cs="宋体"/>
          <w:u w:val="single"/>
        </w:rPr>
        <w:t>无      </w:t>
      </w:r>
      <w:r>
        <w:rPr>
          <w:rFonts w:hint="eastAsia" w:ascii="宋体" w:hAnsi="宋体" w:cs="宋体"/>
        </w:rPr>
        <w:t>。</w:t>
      </w:r>
    </w:p>
    <w:p w14:paraId="41A5E447">
      <w:pPr>
        <w:pStyle w:val="7"/>
        <w:spacing w:before="120" w:after="120" w:line="360" w:lineRule="exact"/>
        <w:rPr>
          <w:rFonts w:ascii="宋体" w:hAnsi="宋体" w:cs="宋体"/>
          <w:b w:val="0"/>
          <w:sz w:val="21"/>
          <w:szCs w:val="21"/>
        </w:rPr>
      </w:pPr>
      <w:r>
        <w:rPr>
          <w:rFonts w:hint="eastAsia" w:ascii="宋体" w:hAnsi="宋体" w:cs="宋体"/>
          <w:b w:val="0"/>
          <w:sz w:val="21"/>
          <w:szCs w:val="21"/>
        </w:rPr>
        <w:t>3. 承包人</w:t>
      </w:r>
    </w:p>
    <w:p w14:paraId="58861540">
      <w:pPr>
        <w:spacing w:after="120" w:line="360" w:lineRule="exact"/>
        <w:ind w:firstLine="420" w:firstLineChars="200"/>
        <w:rPr>
          <w:rFonts w:ascii="宋体" w:hAnsi="宋体" w:cs="宋体"/>
        </w:rPr>
      </w:pPr>
      <w:r>
        <w:rPr>
          <w:rFonts w:hint="eastAsia" w:ascii="宋体" w:hAnsi="宋体" w:cs="宋体"/>
        </w:rPr>
        <w:t>3.1 承包人的一般义务</w:t>
      </w:r>
    </w:p>
    <w:p w14:paraId="3F56BBB7">
      <w:pPr>
        <w:spacing w:line="360" w:lineRule="exact"/>
        <w:ind w:firstLine="420" w:firstLineChars="200"/>
        <w:jc w:val="left"/>
        <w:rPr>
          <w:rFonts w:ascii="宋体" w:hAnsi="宋体" w:cs="宋体"/>
        </w:rPr>
      </w:pPr>
      <w:r>
        <w:rPr>
          <w:rFonts w:hint="eastAsia" w:ascii="宋体" w:hAnsi="宋体" w:cs="宋体"/>
          <w:kern w:val="0"/>
        </w:rPr>
        <w:t>（9）</w:t>
      </w:r>
      <w:r>
        <w:rPr>
          <w:rFonts w:hint="eastAsia" w:ascii="宋体" w:hAnsi="宋体" w:cs="宋体"/>
        </w:rPr>
        <w:t>承包人提交的竣工资料的内容：</w:t>
      </w:r>
      <w:r>
        <w:rPr>
          <w:rFonts w:hint="eastAsia" w:ascii="宋体" w:hAnsi="宋体" w:cs="宋体"/>
          <w:u w:val="single"/>
        </w:rPr>
        <w:t xml:space="preserve">   按相关规定  </w:t>
      </w:r>
      <w:r>
        <w:rPr>
          <w:rFonts w:hint="eastAsia" w:ascii="宋体" w:hAnsi="宋体" w:cs="宋体"/>
        </w:rPr>
        <w:t>。</w:t>
      </w:r>
    </w:p>
    <w:p w14:paraId="19F77B0F">
      <w:pPr>
        <w:spacing w:line="360" w:lineRule="exact"/>
        <w:ind w:firstLine="630" w:firstLineChars="300"/>
        <w:jc w:val="left"/>
        <w:rPr>
          <w:rFonts w:ascii="宋体" w:hAnsi="宋体" w:cs="宋体"/>
        </w:rPr>
      </w:pPr>
      <w:r>
        <w:rPr>
          <w:rFonts w:hint="eastAsia" w:ascii="宋体" w:hAnsi="宋体" w:cs="宋体"/>
        </w:rPr>
        <w:t>承包人需要提交的竣工资料套数：</w:t>
      </w:r>
      <w:r>
        <w:rPr>
          <w:rFonts w:hint="eastAsia" w:ascii="宋体" w:hAnsi="宋体" w:cs="宋体"/>
          <w:u w:val="single"/>
        </w:rPr>
        <w:t xml:space="preserve">       8份        </w:t>
      </w:r>
      <w:r>
        <w:rPr>
          <w:rFonts w:hint="eastAsia" w:ascii="宋体" w:hAnsi="宋体" w:cs="宋体"/>
        </w:rPr>
        <w:t>。</w:t>
      </w:r>
    </w:p>
    <w:p w14:paraId="17D8DFB0">
      <w:pPr>
        <w:spacing w:line="360" w:lineRule="exact"/>
        <w:ind w:left="638" w:leftChars="304"/>
        <w:jc w:val="left"/>
        <w:rPr>
          <w:rFonts w:ascii="宋体" w:hAnsi="宋体" w:cs="宋体"/>
        </w:rPr>
      </w:pPr>
      <w:r>
        <w:rPr>
          <w:rFonts w:hint="eastAsia" w:ascii="宋体" w:hAnsi="宋体" w:cs="宋体"/>
        </w:rPr>
        <w:t>承包人提交的竣工资料的费用承担：</w:t>
      </w:r>
      <w:r>
        <w:rPr>
          <w:rFonts w:hint="eastAsia" w:ascii="宋体" w:hAnsi="宋体" w:cs="宋体"/>
          <w:u w:val="single"/>
        </w:rPr>
        <w:t xml:space="preserve">    由承包人自行承担  </w:t>
      </w:r>
      <w:r>
        <w:rPr>
          <w:rFonts w:hint="eastAsia" w:ascii="宋体" w:hAnsi="宋体" w:cs="宋体"/>
        </w:rPr>
        <w:t>。</w:t>
      </w:r>
    </w:p>
    <w:p w14:paraId="2EEF1590">
      <w:pPr>
        <w:spacing w:line="360" w:lineRule="exact"/>
        <w:ind w:left="638" w:leftChars="304"/>
        <w:jc w:val="left"/>
        <w:rPr>
          <w:rFonts w:ascii="宋体" w:hAnsi="宋体" w:cs="宋体"/>
        </w:rPr>
      </w:pPr>
      <w:r>
        <w:rPr>
          <w:rFonts w:hint="eastAsia" w:ascii="宋体" w:hAnsi="宋体" w:cs="宋体"/>
        </w:rPr>
        <w:t>承包人提交的竣工资料移交时间：</w:t>
      </w:r>
      <w:r>
        <w:rPr>
          <w:rFonts w:hint="eastAsia" w:ascii="宋体" w:hAnsi="宋体" w:cs="宋体"/>
          <w:u w:val="single"/>
        </w:rPr>
        <w:t xml:space="preserve">   竣工验收15天内   </w:t>
      </w:r>
      <w:r>
        <w:rPr>
          <w:rFonts w:hint="eastAsia" w:ascii="宋体" w:hAnsi="宋体" w:cs="宋体"/>
        </w:rPr>
        <w:t>。</w:t>
      </w:r>
    </w:p>
    <w:p w14:paraId="5A73454F">
      <w:pPr>
        <w:spacing w:line="360" w:lineRule="exact"/>
        <w:ind w:firstLine="630" w:firstLineChars="300"/>
        <w:jc w:val="left"/>
        <w:rPr>
          <w:rFonts w:ascii="宋体" w:hAnsi="宋体" w:cs="宋体"/>
        </w:rPr>
      </w:pPr>
      <w:r>
        <w:rPr>
          <w:rFonts w:hint="eastAsia" w:ascii="宋体" w:hAnsi="宋体" w:cs="宋体"/>
        </w:rPr>
        <w:t>承包人提交的竣工资料形式要求：</w:t>
      </w:r>
      <w:r>
        <w:rPr>
          <w:rFonts w:hint="eastAsia" w:ascii="宋体" w:hAnsi="宋体" w:cs="宋体"/>
          <w:u w:val="single"/>
        </w:rPr>
        <w:t xml:space="preserve">   纸质和电子文档    </w:t>
      </w:r>
      <w:r>
        <w:rPr>
          <w:rFonts w:hint="eastAsia" w:ascii="宋体" w:hAnsi="宋体" w:cs="宋体"/>
        </w:rPr>
        <w:t>。</w:t>
      </w:r>
    </w:p>
    <w:p w14:paraId="15A95E6C">
      <w:pPr>
        <w:spacing w:line="360" w:lineRule="exact"/>
        <w:ind w:firstLine="420" w:firstLineChars="200"/>
        <w:rPr>
          <w:rFonts w:ascii="宋体" w:hAnsi="宋体" w:cs="宋体"/>
        </w:rPr>
      </w:pPr>
      <w:r>
        <w:rPr>
          <w:rFonts w:hint="eastAsia" w:ascii="宋体" w:hAnsi="宋体" w:cs="宋体"/>
          <w:kern w:val="0"/>
        </w:rPr>
        <w:t>（10）承包人应履行的其他义务：</w:t>
      </w:r>
      <w:r>
        <w:rPr>
          <w:rFonts w:hint="eastAsia" w:ascii="宋体" w:hAnsi="宋体" w:cs="宋体"/>
          <w:u w:val="single"/>
        </w:rPr>
        <w:t xml:space="preserve">承包人应当主动配合发包人协调相关关系，确保项目施工顺利进行；为发包人依法发包的专业工程承包商提供一切施工方便    </w:t>
      </w:r>
      <w:r>
        <w:rPr>
          <w:rFonts w:hint="eastAsia" w:ascii="宋体" w:hAnsi="宋体" w:cs="宋体"/>
        </w:rPr>
        <w:t>。</w:t>
      </w:r>
    </w:p>
    <w:p w14:paraId="5346F812">
      <w:pPr>
        <w:spacing w:after="120" w:line="360" w:lineRule="exact"/>
        <w:ind w:firstLine="420" w:firstLineChars="200"/>
        <w:rPr>
          <w:rFonts w:ascii="宋体" w:hAnsi="宋体" w:cs="宋体"/>
        </w:rPr>
      </w:pPr>
      <w:r>
        <w:rPr>
          <w:rFonts w:hint="eastAsia" w:ascii="宋体" w:hAnsi="宋体" w:cs="宋体"/>
        </w:rPr>
        <w:t>3.2 项目经理</w:t>
      </w:r>
    </w:p>
    <w:p w14:paraId="0612F578">
      <w:pPr>
        <w:spacing w:line="360" w:lineRule="exact"/>
        <w:ind w:firstLine="420" w:firstLineChars="200"/>
        <w:rPr>
          <w:rFonts w:ascii="宋体" w:hAnsi="宋体" w:cs="宋体"/>
        </w:rPr>
      </w:pPr>
      <w:r>
        <w:rPr>
          <w:rFonts w:hint="eastAsia" w:ascii="宋体" w:hAnsi="宋体" w:cs="宋体"/>
          <w:kern w:val="0"/>
        </w:rPr>
        <w:t xml:space="preserve">3.2.1 </w:t>
      </w:r>
      <w:r>
        <w:rPr>
          <w:rFonts w:hint="eastAsia" w:ascii="宋体" w:hAnsi="宋体" w:cs="宋体"/>
        </w:rPr>
        <w:t>项目经理：</w:t>
      </w:r>
    </w:p>
    <w:p w14:paraId="24B79824">
      <w:pPr>
        <w:spacing w:line="360" w:lineRule="exact"/>
        <w:ind w:firstLine="420" w:firstLineChars="200"/>
        <w:rPr>
          <w:rFonts w:ascii="宋体" w:hAnsi="宋体" w:cs="宋体"/>
        </w:rPr>
      </w:pPr>
      <w:r>
        <w:rPr>
          <w:rFonts w:hint="eastAsia" w:ascii="宋体" w:hAnsi="宋体" w:cs="宋体"/>
        </w:rPr>
        <w:t>姓    名：</w:t>
      </w:r>
      <w:r>
        <w:rPr>
          <w:rFonts w:hint="eastAsia" w:ascii="宋体" w:hAnsi="宋体" w:cs="宋体"/>
          <w:u w:val="single"/>
        </w:rPr>
        <w:t>成交后填写          </w:t>
      </w:r>
      <w:r>
        <w:rPr>
          <w:rFonts w:hint="eastAsia" w:ascii="宋体" w:hAnsi="宋体" w:cs="宋体"/>
        </w:rPr>
        <w:t>；</w:t>
      </w:r>
    </w:p>
    <w:p w14:paraId="0004D237">
      <w:pPr>
        <w:spacing w:line="360" w:lineRule="exact"/>
        <w:ind w:firstLine="420" w:firstLineChars="200"/>
        <w:rPr>
          <w:rFonts w:ascii="宋体" w:hAnsi="宋体" w:cs="宋体"/>
        </w:rPr>
      </w:pPr>
      <w:r>
        <w:rPr>
          <w:rFonts w:hint="eastAsia" w:ascii="宋体" w:hAnsi="宋体" w:cs="宋体"/>
        </w:rPr>
        <w:t>身份证号：</w:t>
      </w:r>
      <w:r>
        <w:rPr>
          <w:rFonts w:hint="eastAsia" w:ascii="宋体" w:hAnsi="宋体" w:cs="宋体"/>
          <w:u w:val="single"/>
        </w:rPr>
        <w:t>成交后填写              </w:t>
      </w:r>
      <w:r>
        <w:rPr>
          <w:rFonts w:hint="eastAsia" w:ascii="宋体" w:hAnsi="宋体" w:cs="宋体"/>
        </w:rPr>
        <w:t>；</w:t>
      </w:r>
    </w:p>
    <w:p w14:paraId="1F8AF4FF">
      <w:pPr>
        <w:spacing w:line="360" w:lineRule="exact"/>
        <w:ind w:firstLine="420" w:firstLineChars="200"/>
        <w:rPr>
          <w:rFonts w:ascii="宋体" w:hAnsi="宋体" w:cs="宋体"/>
        </w:rPr>
      </w:pPr>
      <w:r>
        <w:rPr>
          <w:rFonts w:hint="eastAsia" w:ascii="宋体" w:hAnsi="宋体" w:cs="宋体"/>
        </w:rPr>
        <w:t>建造师执业资格等级：</w:t>
      </w:r>
      <w:r>
        <w:rPr>
          <w:rFonts w:hint="eastAsia" w:ascii="宋体" w:hAnsi="宋体" w:cs="宋体"/>
          <w:u w:val="single"/>
        </w:rPr>
        <w:t>成交后填写   </w:t>
      </w:r>
      <w:r>
        <w:rPr>
          <w:rFonts w:hint="eastAsia" w:ascii="宋体" w:hAnsi="宋体" w:cs="宋体"/>
        </w:rPr>
        <w:t>；</w:t>
      </w:r>
    </w:p>
    <w:p w14:paraId="5EE4E67D">
      <w:pPr>
        <w:spacing w:line="360" w:lineRule="exact"/>
        <w:ind w:firstLine="420" w:firstLineChars="200"/>
        <w:rPr>
          <w:rFonts w:ascii="宋体" w:hAnsi="宋体" w:cs="宋体"/>
        </w:rPr>
      </w:pPr>
      <w:r>
        <w:rPr>
          <w:rFonts w:hint="eastAsia" w:ascii="宋体" w:hAnsi="宋体" w:cs="宋体"/>
        </w:rPr>
        <w:t>建造师注册证书号：</w:t>
      </w:r>
      <w:r>
        <w:rPr>
          <w:rFonts w:hint="eastAsia" w:ascii="宋体" w:hAnsi="宋体" w:cs="宋体"/>
          <w:u w:val="single"/>
        </w:rPr>
        <w:t>成交后填写 </w:t>
      </w:r>
      <w:r>
        <w:rPr>
          <w:rFonts w:hint="eastAsia" w:ascii="宋体" w:hAnsi="宋体" w:cs="宋体"/>
        </w:rPr>
        <w:t>；</w:t>
      </w:r>
    </w:p>
    <w:p w14:paraId="110EA407">
      <w:pPr>
        <w:spacing w:line="360" w:lineRule="exact"/>
        <w:ind w:firstLine="420" w:firstLineChars="200"/>
        <w:rPr>
          <w:rFonts w:ascii="宋体" w:hAnsi="宋体" w:cs="宋体"/>
        </w:rPr>
      </w:pPr>
      <w:r>
        <w:rPr>
          <w:rFonts w:hint="eastAsia" w:ascii="宋体" w:hAnsi="宋体" w:cs="宋体"/>
        </w:rPr>
        <w:t>建造师执业印章号：</w:t>
      </w:r>
      <w:r>
        <w:rPr>
          <w:rFonts w:hint="eastAsia" w:ascii="宋体" w:hAnsi="宋体" w:cs="宋体"/>
          <w:u w:val="single"/>
        </w:rPr>
        <w:t>成交后填写     </w:t>
      </w:r>
      <w:r>
        <w:rPr>
          <w:rFonts w:hint="eastAsia" w:ascii="宋体" w:hAnsi="宋体" w:cs="宋体"/>
        </w:rPr>
        <w:t>；</w:t>
      </w:r>
    </w:p>
    <w:p w14:paraId="1AA140B1">
      <w:pPr>
        <w:spacing w:line="360" w:lineRule="exact"/>
        <w:ind w:firstLine="420" w:firstLineChars="200"/>
        <w:rPr>
          <w:rFonts w:ascii="宋体" w:hAnsi="宋体" w:cs="宋体"/>
        </w:rPr>
      </w:pPr>
      <w:r>
        <w:rPr>
          <w:rFonts w:hint="eastAsia" w:ascii="宋体" w:hAnsi="宋体" w:cs="宋体"/>
        </w:rPr>
        <w:t>安全生产考核合格证书号：</w:t>
      </w:r>
      <w:r>
        <w:rPr>
          <w:rFonts w:hint="eastAsia" w:ascii="宋体" w:hAnsi="宋体" w:cs="宋体"/>
          <w:u w:val="single"/>
        </w:rPr>
        <w:t>成交后填写 </w:t>
      </w:r>
      <w:r>
        <w:rPr>
          <w:rFonts w:hint="eastAsia" w:ascii="宋体" w:hAnsi="宋体" w:cs="宋体"/>
        </w:rPr>
        <w:t>；</w:t>
      </w:r>
    </w:p>
    <w:p w14:paraId="1B501826">
      <w:pPr>
        <w:spacing w:line="360" w:lineRule="exact"/>
        <w:ind w:firstLine="420" w:firstLineChars="200"/>
        <w:rPr>
          <w:rFonts w:ascii="宋体" w:hAnsi="宋体" w:cs="宋体"/>
        </w:rPr>
      </w:pPr>
      <w:r>
        <w:rPr>
          <w:rFonts w:hint="eastAsia" w:ascii="宋体" w:hAnsi="宋体" w:cs="宋体"/>
        </w:rPr>
        <w:t>联系电话：</w:t>
      </w:r>
      <w:r>
        <w:rPr>
          <w:rFonts w:hint="eastAsia" w:ascii="宋体" w:hAnsi="宋体" w:cs="宋体"/>
          <w:u w:val="single"/>
        </w:rPr>
        <w:t>成交后填写     </w:t>
      </w:r>
      <w:r>
        <w:rPr>
          <w:rFonts w:hint="eastAsia" w:ascii="宋体" w:hAnsi="宋体" w:cs="宋体"/>
        </w:rPr>
        <w:t>；</w:t>
      </w:r>
    </w:p>
    <w:p w14:paraId="76DA0B79">
      <w:pPr>
        <w:spacing w:line="360" w:lineRule="exact"/>
        <w:ind w:firstLine="420" w:firstLineChars="200"/>
        <w:rPr>
          <w:rFonts w:ascii="宋体" w:hAnsi="宋体" w:cs="宋体"/>
        </w:rPr>
      </w:pPr>
      <w:r>
        <w:rPr>
          <w:rFonts w:hint="eastAsia" w:ascii="宋体" w:hAnsi="宋体" w:cs="宋体"/>
        </w:rPr>
        <w:t>电子信箱：</w:t>
      </w:r>
      <w:r>
        <w:rPr>
          <w:rFonts w:hint="eastAsia" w:ascii="宋体" w:hAnsi="宋体" w:cs="宋体"/>
          <w:u w:val="single"/>
        </w:rPr>
        <w:t>成交后填写   </w:t>
      </w:r>
      <w:r>
        <w:rPr>
          <w:rFonts w:hint="eastAsia" w:ascii="宋体" w:hAnsi="宋体" w:cs="宋体"/>
        </w:rPr>
        <w:t>；</w:t>
      </w:r>
    </w:p>
    <w:p w14:paraId="16F26598">
      <w:pPr>
        <w:spacing w:line="360" w:lineRule="exact"/>
        <w:ind w:firstLine="420" w:firstLineChars="200"/>
        <w:rPr>
          <w:rFonts w:ascii="宋体" w:hAnsi="宋体" w:cs="宋体"/>
        </w:rPr>
      </w:pPr>
      <w:r>
        <w:rPr>
          <w:rFonts w:hint="eastAsia" w:ascii="宋体" w:hAnsi="宋体" w:cs="宋体"/>
        </w:rPr>
        <w:t>通信地址：</w:t>
      </w:r>
      <w:r>
        <w:rPr>
          <w:rFonts w:hint="eastAsia" w:ascii="宋体" w:hAnsi="宋体" w:cs="宋体"/>
          <w:u w:val="single"/>
        </w:rPr>
        <w:t>成交后填写   </w:t>
      </w:r>
      <w:r>
        <w:rPr>
          <w:rFonts w:hint="eastAsia" w:ascii="宋体" w:hAnsi="宋体" w:cs="宋体"/>
        </w:rPr>
        <w:t>；</w:t>
      </w:r>
    </w:p>
    <w:p w14:paraId="31A21C18">
      <w:pPr>
        <w:spacing w:line="360" w:lineRule="exact"/>
        <w:ind w:firstLine="420" w:firstLineChars="200"/>
        <w:rPr>
          <w:rFonts w:ascii="宋体" w:hAnsi="宋体" w:cs="宋体"/>
        </w:rPr>
      </w:pPr>
      <w:r>
        <w:rPr>
          <w:rFonts w:hint="eastAsia" w:ascii="宋体" w:hAnsi="宋体" w:cs="宋体"/>
        </w:rPr>
        <w:t>承包人对项目经理的授权范围如下：</w:t>
      </w:r>
      <w:r>
        <w:rPr>
          <w:rFonts w:hint="eastAsia" w:ascii="宋体" w:hAnsi="宋体" w:cs="宋体"/>
          <w:u w:val="single"/>
        </w:rPr>
        <w:t xml:space="preserve">成交后填写     </w:t>
      </w:r>
      <w:r>
        <w:rPr>
          <w:rFonts w:hint="eastAsia" w:ascii="宋体" w:hAnsi="宋体" w:cs="宋体"/>
        </w:rPr>
        <w:t>。</w:t>
      </w:r>
    </w:p>
    <w:p w14:paraId="3F197763">
      <w:pPr>
        <w:spacing w:line="360" w:lineRule="exact"/>
        <w:ind w:firstLine="420" w:firstLineChars="200"/>
        <w:jc w:val="left"/>
        <w:rPr>
          <w:rFonts w:ascii="宋体" w:hAnsi="宋体" w:cs="宋体"/>
          <w:kern w:val="0"/>
        </w:rPr>
      </w:pPr>
      <w:r>
        <w:rPr>
          <w:rFonts w:hint="eastAsia" w:ascii="宋体" w:hAnsi="宋体" w:cs="宋体"/>
          <w:kern w:val="0"/>
        </w:rPr>
        <w:t>关于项目经理每月在施工现场的时间要求：</w:t>
      </w:r>
      <w:r>
        <w:rPr>
          <w:rFonts w:hint="eastAsia" w:ascii="宋体" w:hAnsi="宋体" w:cs="宋体"/>
          <w:u w:val="single"/>
        </w:rPr>
        <w:t xml:space="preserve">  22天</w:t>
      </w:r>
      <w:r>
        <w:rPr>
          <w:rFonts w:hint="eastAsia" w:ascii="宋体" w:hAnsi="宋体" w:cs="宋体"/>
        </w:rPr>
        <w:t>。</w:t>
      </w:r>
    </w:p>
    <w:p w14:paraId="6317887D">
      <w:pPr>
        <w:spacing w:line="360" w:lineRule="exact"/>
        <w:ind w:firstLine="420" w:firstLineChars="200"/>
        <w:rPr>
          <w:rFonts w:ascii="宋体" w:hAnsi="宋体" w:cs="宋体"/>
          <w:kern w:val="0"/>
        </w:rPr>
      </w:pPr>
      <w:r>
        <w:rPr>
          <w:rFonts w:hint="eastAsia" w:ascii="宋体" w:hAnsi="宋体" w:cs="宋体"/>
          <w:kern w:val="0"/>
        </w:rPr>
        <w:t>承包人未提交劳动合同，以及没有为项目经理交纳社会保险证明的违约责任：</w:t>
      </w:r>
      <w:r>
        <w:rPr>
          <w:rFonts w:hint="eastAsia" w:ascii="宋体" w:hAnsi="宋体" w:cs="宋体"/>
          <w:u w:val="single"/>
        </w:rPr>
        <w:t xml:space="preserve">  若经发包人检查发现承包人违约则扣款2万元，若承包人不按要求及时整改，发包人有权解除合同  </w:t>
      </w:r>
      <w:r>
        <w:rPr>
          <w:rFonts w:hint="eastAsia" w:ascii="宋体" w:hAnsi="宋体" w:cs="宋体"/>
        </w:rPr>
        <w:t>。</w:t>
      </w:r>
    </w:p>
    <w:p w14:paraId="430694A6">
      <w:pPr>
        <w:spacing w:line="360" w:lineRule="exact"/>
        <w:ind w:firstLine="420" w:firstLineChars="200"/>
        <w:rPr>
          <w:rFonts w:ascii="宋体" w:hAnsi="宋体" w:cs="宋体"/>
          <w:u w:val="single"/>
        </w:rPr>
      </w:pPr>
      <w:r>
        <w:rPr>
          <w:rFonts w:hint="eastAsia" w:ascii="宋体" w:hAnsi="宋体" w:cs="宋体"/>
          <w:kern w:val="0"/>
        </w:rPr>
        <w:t>项目经理未经批准，擅自离开施工现场的违约责任：</w:t>
      </w:r>
      <w:r>
        <w:rPr>
          <w:rFonts w:hint="eastAsia" w:ascii="宋体" w:hAnsi="宋体" w:cs="宋体"/>
          <w:u w:val="single"/>
        </w:rPr>
        <w:t xml:space="preserve"> 项目经理每月在岗带班时间不得少于当月施工时间的80%。未经发包人同意或正当理由，项目经理每月在岗带班时间少于当月施工时间80%的，少在岗带班一天，发包人有权处违约金 500元/日（人民币）</w:t>
      </w:r>
      <w:r>
        <w:rPr>
          <w:rFonts w:hint="eastAsia" w:ascii="宋体" w:hAnsi="宋体" w:cs="宋体"/>
        </w:rPr>
        <w:t>。</w:t>
      </w:r>
    </w:p>
    <w:p w14:paraId="60916986">
      <w:pPr>
        <w:spacing w:line="360" w:lineRule="exact"/>
        <w:ind w:firstLine="420" w:firstLineChars="200"/>
        <w:rPr>
          <w:rFonts w:ascii="宋体" w:hAnsi="宋体" w:cs="宋体"/>
        </w:rPr>
      </w:pPr>
      <w:r>
        <w:rPr>
          <w:rFonts w:hint="eastAsia" w:ascii="宋体" w:hAnsi="宋体" w:cs="宋体"/>
        </w:rPr>
        <w:t>3.2.3 承包人擅自更换项目经理的违约责任：</w:t>
      </w:r>
      <w:r>
        <w:rPr>
          <w:rFonts w:hint="eastAsia" w:ascii="宋体" w:hAnsi="宋体" w:cs="宋体"/>
          <w:u w:val="single"/>
        </w:rPr>
        <w:t xml:space="preserve">  承包人项目经理必须与承包人投标时所承诺的人员一致，并在约定开工日期前到任。在监理人向承包人颁发竣工证明材料名称前，项目经理不得同时兼任其他任何项目的项目经理（符合桂建管﹝2013﹞17号和桂建管﹝2014﹞25号文除外）。未经发包人书面同意，承包人擅自更换项目经理的视为违约，违约金处500元/人•次（人民币）</w:t>
      </w:r>
      <w:r>
        <w:rPr>
          <w:rFonts w:hint="eastAsia" w:ascii="宋体" w:hAnsi="宋体" w:cs="宋体"/>
        </w:rPr>
        <w:t>。</w:t>
      </w:r>
    </w:p>
    <w:p w14:paraId="594D5411">
      <w:pPr>
        <w:pStyle w:val="6"/>
        <w:spacing w:line="360" w:lineRule="exact"/>
        <w:rPr>
          <w:rFonts w:ascii="宋体" w:hAnsi="宋体" w:cs="宋体"/>
          <w:b w:val="0"/>
          <w:sz w:val="21"/>
          <w:szCs w:val="21"/>
        </w:rPr>
      </w:pPr>
      <w:r>
        <w:rPr>
          <w:rFonts w:hint="eastAsia" w:ascii="宋体" w:hAnsi="宋体" w:cs="宋体"/>
          <w:sz w:val="21"/>
          <w:szCs w:val="21"/>
        </w:rPr>
        <w:t xml:space="preserve">   </w:t>
      </w:r>
      <w:r>
        <w:rPr>
          <w:rFonts w:hint="eastAsia" w:ascii="宋体" w:hAnsi="宋体" w:cs="宋体"/>
          <w:b w:val="0"/>
          <w:sz w:val="21"/>
          <w:szCs w:val="21"/>
        </w:rPr>
        <w:t xml:space="preserve"> 3.2.4 承包人无正当理由拒绝更换项目经理的违约责任：</w:t>
      </w:r>
      <w:r>
        <w:rPr>
          <w:rFonts w:hint="eastAsia" w:ascii="宋体" w:hAnsi="宋体" w:cs="宋体"/>
          <w:b w:val="0"/>
          <w:sz w:val="21"/>
          <w:szCs w:val="21"/>
          <w:u w:val="single"/>
        </w:rPr>
        <w:t>因承包人项目经理不称职，发包人要求调换而未及时调换的，视为承包人违约，必须向发包人交纳处罚金500元/人•次（人民币）</w:t>
      </w:r>
      <w:r>
        <w:rPr>
          <w:rFonts w:hint="eastAsia" w:ascii="宋体" w:hAnsi="宋体" w:cs="宋体"/>
          <w:b w:val="0"/>
          <w:sz w:val="21"/>
          <w:szCs w:val="21"/>
        </w:rPr>
        <w:t>。</w:t>
      </w:r>
    </w:p>
    <w:p w14:paraId="2F76FE29">
      <w:pPr>
        <w:spacing w:after="120" w:line="360" w:lineRule="exact"/>
        <w:ind w:firstLine="420" w:firstLineChars="200"/>
        <w:rPr>
          <w:rFonts w:ascii="宋体" w:hAnsi="宋体" w:cs="宋体"/>
          <w:szCs w:val="21"/>
        </w:rPr>
      </w:pPr>
      <w:r>
        <w:rPr>
          <w:rFonts w:hint="eastAsia" w:ascii="宋体" w:hAnsi="宋体" w:cs="宋体"/>
          <w:szCs w:val="21"/>
        </w:rPr>
        <w:t>3.3 承包人人员</w:t>
      </w:r>
    </w:p>
    <w:p w14:paraId="0A50F258">
      <w:pPr>
        <w:spacing w:line="360" w:lineRule="exact"/>
        <w:ind w:firstLine="420" w:firstLineChars="200"/>
        <w:rPr>
          <w:rFonts w:ascii="宋体" w:hAnsi="宋体" w:cs="宋体"/>
        </w:rPr>
      </w:pPr>
      <w:r>
        <w:rPr>
          <w:rFonts w:hint="eastAsia" w:ascii="宋体" w:hAnsi="宋体" w:cs="宋体"/>
        </w:rPr>
        <w:t>3.3.1 承包人提交项目管理机构及施工现场管理人员安排报告的期限：</w:t>
      </w:r>
      <w:r>
        <w:rPr>
          <w:rFonts w:hint="eastAsia" w:ascii="宋体" w:hAnsi="宋体" w:cs="宋体"/>
          <w:u w:val="single"/>
        </w:rPr>
        <w:t xml:space="preserve">  合同签订后3天内  </w:t>
      </w:r>
      <w:r>
        <w:rPr>
          <w:rFonts w:hint="eastAsia" w:ascii="宋体" w:hAnsi="宋体" w:cs="宋体"/>
        </w:rPr>
        <w:t>。</w:t>
      </w:r>
    </w:p>
    <w:p w14:paraId="7BADB69B">
      <w:pPr>
        <w:spacing w:line="360" w:lineRule="exact"/>
        <w:ind w:firstLine="420" w:firstLineChars="200"/>
        <w:rPr>
          <w:rFonts w:ascii="宋体" w:hAnsi="宋体" w:cs="宋体"/>
        </w:rPr>
      </w:pPr>
      <w:r>
        <w:rPr>
          <w:rFonts w:hint="eastAsia" w:ascii="宋体" w:hAnsi="宋体" w:cs="宋体"/>
        </w:rPr>
        <w:t>3.3.3 承包人无正当理由拒绝撤换主要施工管理人员的违约责任：</w:t>
      </w:r>
      <w:r>
        <w:rPr>
          <w:rFonts w:hint="eastAsia" w:ascii="宋体" w:hAnsi="宋体" w:cs="宋体"/>
          <w:u w:val="single"/>
        </w:rPr>
        <w:t xml:space="preserve">  因承包人主要施工管理人员不称职，发包人要求调换而无正当理由拒绝撤换或未及时调换的，视为承包人违约，必须向发包人交纳处罚金，处罚标准：技术负责人500元/人•次（人民币）；专业工程师200元/人•次（人民币） </w:t>
      </w:r>
      <w:r>
        <w:rPr>
          <w:rFonts w:hint="eastAsia" w:ascii="宋体" w:hAnsi="宋体" w:cs="宋体"/>
        </w:rPr>
        <w:t>。</w:t>
      </w:r>
    </w:p>
    <w:p w14:paraId="7A2251E4">
      <w:pPr>
        <w:spacing w:line="360" w:lineRule="exact"/>
        <w:ind w:firstLine="420" w:firstLineChars="200"/>
        <w:rPr>
          <w:rFonts w:ascii="宋体" w:hAnsi="宋体" w:cs="宋体"/>
          <w:u w:val="single"/>
        </w:rPr>
      </w:pPr>
      <w:r>
        <w:rPr>
          <w:rFonts w:hint="eastAsia" w:ascii="宋体" w:hAnsi="宋体" w:cs="宋体"/>
        </w:rPr>
        <w:t xml:space="preserve">3.3.4 承包人主要施工管理人员离开施工现场的批准要求：   </w:t>
      </w:r>
      <w:r>
        <w:rPr>
          <w:rFonts w:hint="eastAsia" w:ascii="宋体" w:hAnsi="宋体" w:cs="宋体"/>
          <w:u w:val="single"/>
        </w:rPr>
        <w:t xml:space="preserve">向发包人书面申请    </w:t>
      </w:r>
      <w:r>
        <w:rPr>
          <w:rFonts w:hint="eastAsia" w:ascii="宋体" w:hAnsi="宋体" w:cs="宋体"/>
        </w:rPr>
        <w:t>。</w:t>
      </w:r>
    </w:p>
    <w:p w14:paraId="37005EDB">
      <w:pPr>
        <w:spacing w:line="360" w:lineRule="exact"/>
        <w:ind w:firstLine="420" w:firstLineChars="200"/>
        <w:rPr>
          <w:rFonts w:ascii="宋体" w:hAnsi="宋体" w:cs="宋体"/>
        </w:rPr>
      </w:pPr>
      <w:r>
        <w:rPr>
          <w:rFonts w:hint="eastAsia" w:ascii="宋体" w:hAnsi="宋体" w:cs="宋体"/>
        </w:rPr>
        <w:t>3.3.5承包人擅自更换主要施工管理人员的违约责任：</w:t>
      </w:r>
      <w:r>
        <w:rPr>
          <w:rFonts w:hint="eastAsia" w:ascii="宋体" w:hAnsi="宋体" w:cs="宋体"/>
          <w:u w:val="single"/>
        </w:rPr>
        <w:t xml:space="preserve">项目技术负责人、专职安全员及其承诺的其它在场管理人员未经发包人书面同意不准擅自更换，擅自更换项目技术负责人处 500元/人•次（人民币）违约金；擅自更换专职安全员处200元/人•次（人民币）违约金；擅自更换其它在场管理人员处500元/人•次（人民币）违约金 </w:t>
      </w:r>
      <w:r>
        <w:rPr>
          <w:rFonts w:hint="eastAsia" w:ascii="宋体" w:hAnsi="宋体" w:cs="宋体"/>
        </w:rPr>
        <w:t>。</w:t>
      </w:r>
    </w:p>
    <w:p w14:paraId="3CFD6771">
      <w:pPr>
        <w:spacing w:line="360" w:lineRule="exact"/>
        <w:ind w:firstLine="420" w:firstLineChars="200"/>
        <w:rPr>
          <w:rFonts w:ascii="宋体" w:hAnsi="宋体" w:cs="宋体"/>
        </w:rPr>
      </w:pPr>
      <w:r>
        <w:rPr>
          <w:rFonts w:hint="eastAsia" w:ascii="宋体" w:hAnsi="宋体" w:cs="宋体"/>
        </w:rPr>
        <w:t>承包人主要施工管理人员擅自离开施工现场的违约责任：</w:t>
      </w:r>
      <w:r>
        <w:rPr>
          <w:rFonts w:hint="eastAsia" w:ascii="宋体" w:hAnsi="宋体" w:cs="宋体"/>
          <w:u w:val="single"/>
        </w:rPr>
        <w:t>未经发包人同意，项目技术负责人擅自离岗的，视为承包人违约，发包人有权处违约金500元/人•次（人民币）；未经发包人同意，专职安全员擅自离岗的，视为承包人违约，发包人有权处违约金500元/人•次（人民币）；其它在场管理人员擅自离岗的，视为承包人违约，发包人有权处违约金500元/人•次（人民币）</w:t>
      </w:r>
      <w:r>
        <w:rPr>
          <w:rFonts w:hint="eastAsia" w:ascii="宋体" w:hAnsi="宋体" w:cs="宋体"/>
        </w:rPr>
        <w:t>。</w:t>
      </w:r>
    </w:p>
    <w:p w14:paraId="358A096F">
      <w:pPr>
        <w:spacing w:after="120" w:line="360" w:lineRule="exact"/>
        <w:ind w:firstLine="420" w:firstLineChars="200"/>
        <w:rPr>
          <w:rFonts w:ascii="宋体" w:hAnsi="宋体" w:cs="宋体"/>
        </w:rPr>
      </w:pPr>
      <w:r>
        <w:rPr>
          <w:rFonts w:hint="eastAsia" w:ascii="宋体" w:hAnsi="宋体" w:cs="宋体"/>
        </w:rPr>
        <w:t>3.5 分包</w:t>
      </w:r>
    </w:p>
    <w:p w14:paraId="62AB5C42">
      <w:pPr>
        <w:spacing w:line="360" w:lineRule="exact"/>
        <w:ind w:firstLine="420" w:firstLineChars="200"/>
        <w:rPr>
          <w:rFonts w:ascii="宋体" w:hAnsi="宋体" w:cs="宋体"/>
        </w:rPr>
      </w:pPr>
      <w:r>
        <w:rPr>
          <w:rFonts w:hint="eastAsia" w:ascii="宋体" w:hAnsi="宋体" w:cs="宋体"/>
        </w:rPr>
        <w:t>3.5.1 分包的一般约定</w:t>
      </w:r>
    </w:p>
    <w:p w14:paraId="62952E8D">
      <w:pPr>
        <w:spacing w:line="360" w:lineRule="exact"/>
        <w:ind w:firstLine="420" w:firstLineChars="200"/>
        <w:jc w:val="left"/>
        <w:rPr>
          <w:rFonts w:ascii="宋体" w:hAnsi="宋体" w:cs="宋体"/>
        </w:rPr>
      </w:pPr>
      <w:r>
        <w:rPr>
          <w:rFonts w:hint="eastAsia" w:ascii="宋体" w:hAnsi="宋体" w:cs="宋体"/>
        </w:rPr>
        <w:t>禁止分包的工程包括：</w:t>
      </w:r>
      <w:r>
        <w:rPr>
          <w:rFonts w:hint="eastAsia" w:ascii="宋体" w:hAnsi="宋体" w:cs="宋体"/>
          <w:u w:val="single"/>
        </w:rPr>
        <w:t>中标项目的部分非主体、非关键性工作</w:t>
      </w:r>
      <w:r>
        <w:rPr>
          <w:rFonts w:hint="eastAsia" w:ascii="宋体" w:hAnsi="宋体" w:cs="宋体"/>
        </w:rPr>
        <w:t>。</w:t>
      </w:r>
    </w:p>
    <w:p w14:paraId="5A56AD5D">
      <w:pPr>
        <w:spacing w:line="360" w:lineRule="exact"/>
        <w:ind w:firstLine="420" w:firstLineChars="200"/>
        <w:jc w:val="left"/>
        <w:rPr>
          <w:rFonts w:ascii="宋体" w:hAnsi="宋体" w:cs="宋体"/>
          <w:u w:val="single"/>
        </w:rPr>
      </w:pPr>
      <w:r>
        <w:rPr>
          <w:rFonts w:hint="eastAsia" w:ascii="宋体" w:hAnsi="宋体" w:cs="宋体"/>
        </w:rPr>
        <w:t>主体结构、关键性工作的范围：</w:t>
      </w:r>
      <w:r>
        <w:rPr>
          <w:rFonts w:hint="eastAsia" w:ascii="宋体" w:hAnsi="宋体" w:cs="宋体"/>
          <w:u w:val="single"/>
        </w:rPr>
        <w:t xml:space="preserve">不允许分包  </w:t>
      </w:r>
      <w:r>
        <w:rPr>
          <w:rFonts w:hint="eastAsia" w:ascii="宋体" w:hAnsi="宋体" w:cs="宋体"/>
        </w:rPr>
        <w:t>。</w:t>
      </w:r>
      <w:bookmarkStart w:id="609" w:name="_Toc296890989"/>
      <w:bookmarkStart w:id="610" w:name="_Toc296346662"/>
      <w:bookmarkStart w:id="611" w:name="_Toc304295525"/>
      <w:bookmarkStart w:id="612" w:name="_Toc296891201"/>
      <w:bookmarkStart w:id="613" w:name="_Toc303539104"/>
      <w:bookmarkStart w:id="614" w:name="_Toc296944500"/>
      <w:bookmarkStart w:id="615" w:name="_Toc297048347"/>
      <w:bookmarkStart w:id="616" w:name="_Toc297123494"/>
      <w:bookmarkStart w:id="617" w:name="_Toc297216153"/>
      <w:bookmarkStart w:id="618" w:name="_Toc300934947"/>
      <w:bookmarkStart w:id="619" w:name="_Toc296503161"/>
      <w:bookmarkStart w:id="620" w:name="_Toc297120461"/>
      <w:bookmarkStart w:id="621" w:name="_Toc296347160"/>
    </w:p>
    <w:bookmarkEnd w:id="609"/>
    <w:bookmarkEnd w:id="610"/>
    <w:bookmarkEnd w:id="611"/>
    <w:bookmarkEnd w:id="612"/>
    <w:bookmarkEnd w:id="613"/>
    <w:bookmarkEnd w:id="614"/>
    <w:bookmarkEnd w:id="615"/>
    <w:bookmarkEnd w:id="616"/>
    <w:bookmarkEnd w:id="617"/>
    <w:bookmarkEnd w:id="618"/>
    <w:bookmarkEnd w:id="619"/>
    <w:bookmarkEnd w:id="620"/>
    <w:bookmarkEnd w:id="621"/>
    <w:p w14:paraId="56387764">
      <w:pPr>
        <w:spacing w:line="360" w:lineRule="exact"/>
        <w:rPr>
          <w:rFonts w:ascii="宋体" w:hAnsi="宋体" w:cs="宋体"/>
        </w:rPr>
      </w:pPr>
      <w:r>
        <w:rPr>
          <w:rFonts w:hint="eastAsia" w:ascii="宋体" w:hAnsi="宋体" w:cs="宋体"/>
        </w:rPr>
        <w:t xml:space="preserve">    3.5.2分包的确定</w:t>
      </w:r>
    </w:p>
    <w:p w14:paraId="1CADC1E9">
      <w:pPr>
        <w:spacing w:line="360" w:lineRule="exact"/>
        <w:ind w:firstLine="420" w:firstLineChars="200"/>
        <w:rPr>
          <w:rFonts w:ascii="宋体" w:hAnsi="宋体" w:cs="宋体"/>
          <w:u w:val="single"/>
        </w:rPr>
      </w:pPr>
      <w:r>
        <w:rPr>
          <w:rFonts w:hint="eastAsia" w:ascii="宋体" w:hAnsi="宋体" w:cs="宋体"/>
        </w:rPr>
        <w:t>允许分包的专业工程包括：</w:t>
      </w:r>
      <w:r>
        <w:rPr>
          <w:rFonts w:hint="eastAsia" w:ascii="宋体" w:hAnsi="宋体" w:cs="宋体"/>
          <w:u w:val="single"/>
        </w:rPr>
        <w:t xml:space="preserve">无       </w:t>
      </w:r>
      <w:r>
        <w:rPr>
          <w:rFonts w:hint="eastAsia" w:ascii="宋体" w:hAnsi="宋体" w:cs="宋体"/>
        </w:rPr>
        <w:t>。</w:t>
      </w:r>
    </w:p>
    <w:p w14:paraId="06B1BE45">
      <w:pPr>
        <w:spacing w:line="360" w:lineRule="exact"/>
        <w:ind w:firstLine="420" w:firstLineChars="200"/>
        <w:rPr>
          <w:rFonts w:ascii="宋体" w:hAnsi="宋体" w:cs="宋体"/>
        </w:rPr>
      </w:pPr>
      <w:r>
        <w:rPr>
          <w:rFonts w:hint="eastAsia" w:ascii="宋体" w:hAnsi="宋体" w:cs="宋体"/>
        </w:rPr>
        <w:t>其他关于分包的约定：</w:t>
      </w:r>
      <w:r>
        <w:rPr>
          <w:rFonts w:hint="eastAsia" w:ascii="宋体" w:hAnsi="宋体" w:cs="宋体"/>
          <w:u w:val="single"/>
        </w:rPr>
        <w:t xml:space="preserve">      /         </w:t>
      </w:r>
      <w:r>
        <w:rPr>
          <w:rFonts w:hint="eastAsia" w:ascii="宋体" w:hAnsi="宋体" w:cs="宋体"/>
        </w:rPr>
        <w:t>。</w:t>
      </w:r>
    </w:p>
    <w:p w14:paraId="51CAEB8A">
      <w:pPr>
        <w:spacing w:line="360" w:lineRule="exact"/>
        <w:ind w:firstLine="420" w:firstLineChars="200"/>
        <w:rPr>
          <w:rFonts w:ascii="宋体" w:hAnsi="宋体" w:cs="宋体"/>
        </w:rPr>
      </w:pPr>
      <w:r>
        <w:rPr>
          <w:rFonts w:hint="eastAsia" w:ascii="宋体" w:hAnsi="宋体" w:cs="宋体"/>
        </w:rPr>
        <w:t>3.5.4 分包合同价款</w:t>
      </w:r>
    </w:p>
    <w:p w14:paraId="245C2875">
      <w:pPr>
        <w:spacing w:line="360" w:lineRule="exact"/>
        <w:ind w:firstLine="420" w:firstLineChars="200"/>
        <w:rPr>
          <w:rFonts w:ascii="宋体" w:hAnsi="宋体" w:cs="宋体"/>
        </w:rPr>
      </w:pPr>
      <w:r>
        <w:rPr>
          <w:rFonts w:hint="eastAsia" w:ascii="宋体" w:hAnsi="宋体" w:cs="宋体"/>
        </w:rPr>
        <w:t>关于分包合同价款支付的约定：</w:t>
      </w:r>
      <w:r>
        <w:rPr>
          <w:rFonts w:hint="eastAsia" w:ascii="宋体" w:hAnsi="宋体" w:cs="宋体"/>
          <w:u w:val="single"/>
        </w:rPr>
        <w:t>分包工程价款由承包人与分包人（包括专业分包人）结算。发包人未经承包人同意不得以任何形式向分包人（包括专业分包人）支付相关分包合同项下的任何工程款项。因发包人未经承包人同意直接向分包人（包括专业分包人）支付相关分包合同项下的任何工程款项而影响承包人工作的，所造成的承包人费用增加和（或）延误的工期由发包人承担</w:t>
      </w:r>
      <w:r>
        <w:rPr>
          <w:rFonts w:hint="eastAsia" w:ascii="宋体" w:hAnsi="宋体" w:cs="宋体"/>
        </w:rPr>
        <w:t>。</w:t>
      </w:r>
    </w:p>
    <w:p w14:paraId="24FCD4C8">
      <w:pPr>
        <w:spacing w:after="120" w:line="360" w:lineRule="exact"/>
        <w:ind w:firstLine="420" w:firstLineChars="200"/>
        <w:rPr>
          <w:rFonts w:ascii="宋体" w:hAnsi="宋体" w:cs="宋体"/>
        </w:rPr>
      </w:pPr>
      <w:r>
        <w:rPr>
          <w:rFonts w:hint="eastAsia" w:ascii="宋体" w:hAnsi="宋体" w:cs="宋体"/>
        </w:rPr>
        <w:t>3.6 工程照管与成品、半成品保护</w:t>
      </w:r>
    </w:p>
    <w:p w14:paraId="5AA090DA">
      <w:pPr>
        <w:spacing w:before="120" w:after="120" w:line="360" w:lineRule="exact"/>
        <w:ind w:firstLine="420" w:firstLineChars="200"/>
        <w:rPr>
          <w:rFonts w:ascii="宋体" w:hAnsi="宋体" w:cs="宋体"/>
          <w:kern w:val="0"/>
          <w:u w:val="single"/>
        </w:rPr>
      </w:pPr>
      <w:r>
        <w:rPr>
          <w:rFonts w:hint="eastAsia" w:ascii="宋体" w:hAnsi="宋体" w:cs="宋体"/>
          <w:kern w:val="0"/>
        </w:rPr>
        <w:t>承包人负责照管工程及工程相关的材料、工程设备的起始时间：</w:t>
      </w:r>
      <w:r>
        <w:rPr>
          <w:rFonts w:hint="eastAsia" w:ascii="宋体" w:hAnsi="宋体" w:cs="宋体"/>
          <w:kern w:val="0"/>
          <w:u w:val="single"/>
        </w:rPr>
        <w:t xml:space="preserve">  验收交付发包人使用前  </w:t>
      </w:r>
      <w:r>
        <w:rPr>
          <w:rFonts w:hint="eastAsia" w:ascii="宋体" w:hAnsi="宋体" w:cs="宋体"/>
          <w:kern w:val="0"/>
        </w:rPr>
        <w:t>。</w:t>
      </w:r>
    </w:p>
    <w:p w14:paraId="5463C853">
      <w:pPr>
        <w:spacing w:after="120" w:line="360" w:lineRule="exact"/>
        <w:ind w:firstLine="420" w:firstLineChars="200"/>
        <w:rPr>
          <w:rFonts w:ascii="宋体" w:hAnsi="宋体" w:cs="宋体"/>
        </w:rPr>
      </w:pPr>
      <w:r>
        <w:rPr>
          <w:rFonts w:hint="eastAsia" w:ascii="宋体" w:hAnsi="宋体" w:cs="宋体"/>
        </w:rPr>
        <w:t>3.7 履约担保</w:t>
      </w:r>
    </w:p>
    <w:p w14:paraId="11614DD7">
      <w:pPr>
        <w:spacing w:line="360" w:lineRule="exact"/>
        <w:ind w:firstLine="420" w:firstLineChars="200"/>
        <w:jc w:val="left"/>
        <w:rPr>
          <w:rFonts w:ascii="宋体" w:hAnsi="宋体" w:cs="宋体"/>
        </w:rPr>
      </w:pPr>
      <w:r>
        <w:rPr>
          <w:rFonts w:hint="eastAsia" w:ascii="宋体" w:hAnsi="宋体" w:cs="宋体"/>
        </w:rPr>
        <w:t>承包人是否提供履约担保：</w:t>
      </w:r>
      <w:r>
        <w:rPr>
          <w:rFonts w:hint="eastAsia" w:ascii="宋体" w:hAnsi="宋体" w:cs="宋体"/>
          <w:u w:val="single"/>
        </w:rPr>
        <w:t xml:space="preserve">   提供     </w:t>
      </w:r>
      <w:r>
        <w:rPr>
          <w:rFonts w:hint="eastAsia" w:ascii="宋体" w:hAnsi="宋体" w:cs="宋体"/>
        </w:rPr>
        <w:t>。</w:t>
      </w:r>
    </w:p>
    <w:p w14:paraId="5F284A16">
      <w:pPr>
        <w:spacing w:line="360" w:lineRule="exact"/>
        <w:ind w:firstLine="420" w:firstLineChars="200"/>
        <w:jc w:val="left"/>
        <w:rPr>
          <w:rFonts w:ascii="宋体" w:hAnsi="宋体" w:cs="宋体"/>
        </w:rPr>
      </w:pPr>
      <w:r>
        <w:rPr>
          <w:rFonts w:hint="eastAsia" w:ascii="宋体" w:hAnsi="宋体" w:cs="宋体"/>
        </w:rPr>
        <w:t>承包人提供履约担保的形式、金额及期限的：</w:t>
      </w:r>
      <w:r>
        <w:rPr>
          <w:rFonts w:hint="eastAsia" w:ascii="宋体" w:hAnsi="宋体" w:cs="宋体"/>
          <w:u w:val="single"/>
        </w:rPr>
        <w:t xml:space="preserve"> </w:t>
      </w:r>
      <w:r>
        <w:rPr>
          <w:rFonts w:ascii="宋体" w:hAnsi="宋体" w:cs="宋体"/>
          <w:u w:val="single"/>
        </w:rPr>
        <w:t xml:space="preserve"> / </w:t>
      </w:r>
      <w:r>
        <w:rPr>
          <w:rFonts w:hint="eastAsia" w:ascii="宋体" w:hAnsi="宋体" w:cs="宋体"/>
        </w:rPr>
        <w:t xml:space="preserve"> 。</w:t>
      </w:r>
    </w:p>
    <w:p w14:paraId="274962C5">
      <w:pPr>
        <w:spacing w:line="360" w:lineRule="exact"/>
        <w:ind w:firstLine="420" w:firstLineChars="200"/>
        <w:jc w:val="left"/>
        <w:rPr>
          <w:rFonts w:ascii="宋体" w:hAnsi="宋体" w:cs="宋体"/>
        </w:rPr>
      </w:pPr>
      <w:r>
        <w:rPr>
          <w:rFonts w:hint="eastAsia" w:ascii="宋体" w:hAnsi="宋体" w:cs="宋体"/>
          <w:u w:val="single"/>
        </w:rPr>
        <w:t>投标人在收到中标通知书后，须在 10 日内向采购人足额提交履约保证金，否则采购人可以取消其中标资格</w:t>
      </w:r>
      <w:r>
        <w:rPr>
          <w:rFonts w:hint="eastAsia" w:ascii="宋体" w:hAnsi="宋体" w:cs="宋体"/>
        </w:rPr>
        <w:t>。</w:t>
      </w:r>
    </w:p>
    <w:p w14:paraId="646B18BD">
      <w:pPr>
        <w:spacing w:line="360" w:lineRule="exact"/>
        <w:ind w:firstLine="420" w:firstLineChars="200"/>
        <w:jc w:val="left"/>
        <w:rPr>
          <w:rFonts w:ascii="宋体" w:hAnsi="宋体" w:cs="宋体"/>
          <w:u w:val="single"/>
        </w:rPr>
      </w:pPr>
      <w:r>
        <w:rPr>
          <w:rFonts w:hint="eastAsia" w:ascii="宋体" w:hAnsi="宋体" w:cs="宋体"/>
          <w:u w:val="single"/>
        </w:rPr>
        <w:t xml:space="preserve">承包人在收到中标通知书后，须在 30 日内向发包人提交合同价款扣除建安劳保费、发包人材料价款、暂估专业工程、暂列金额后的 （合同价* </w:t>
      </w:r>
      <w:r>
        <w:rPr>
          <w:rFonts w:ascii="宋体" w:hAnsi="宋体" w:cs="宋体"/>
          <w:u w:val="single"/>
        </w:rPr>
        <w:t xml:space="preserve">    </w:t>
      </w:r>
      <w:r>
        <w:rPr>
          <w:rFonts w:hint="eastAsia" w:ascii="宋体" w:hAnsi="宋体" w:cs="宋体"/>
          <w:u w:val="single"/>
        </w:rPr>
        <w:t>%）的履约担保（格式见合同附件5）。履约担保的有效期应当自本合同生效之日起至发包人签认并由监理人向承包人出具本工程竣工证明材料之日止。如果承包人无法获得一份不带具体截止日期的担保，履约担保中应当有“变更工程竣工日期的，保证期间按照变更后的竣工日期做相应调整”或类似约定的条款。</w:t>
      </w:r>
    </w:p>
    <w:p w14:paraId="025F5129">
      <w:pPr>
        <w:spacing w:line="360" w:lineRule="exact"/>
        <w:ind w:firstLine="420" w:firstLineChars="200"/>
        <w:jc w:val="left"/>
        <w:rPr>
          <w:rFonts w:ascii="宋体" w:hAnsi="宋体" w:cs="宋体"/>
          <w:u w:val="single"/>
        </w:rPr>
      </w:pPr>
      <w:r>
        <w:rPr>
          <w:rFonts w:hint="eastAsia" w:ascii="宋体" w:hAnsi="宋体" w:cs="宋体"/>
          <w:u w:val="single"/>
        </w:rPr>
        <w:t>工程竣工验收合格并对验收发现的问题完成整改后的7个日历天内，发包人支付履约保证金的50%；承包人向发包人完成（施工）竣工资料移交手续后，可向发包人申请退还剩余履约保证金，发包人应在收到申请之日起28个日历天内扣减承包人赔偿金和其他应从承包人扣回的款项后，将履约保证金的余额退还给承包人（无息）。</w:t>
      </w:r>
    </w:p>
    <w:p w14:paraId="5AD338E4">
      <w:pPr>
        <w:spacing w:line="360" w:lineRule="exact"/>
        <w:ind w:firstLine="420" w:firstLineChars="200"/>
        <w:jc w:val="left"/>
        <w:rPr>
          <w:rFonts w:ascii="宋体" w:hAnsi="宋体" w:cs="宋体"/>
        </w:rPr>
      </w:pPr>
      <w:r>
        <w:rPr>
          <w:rFonts w:hint="eastAsia" w:ascii="宋体" w:hAnsi="宋体" w:cs="宋体"/>
          <w:u w:val="single"/>
        </w:rPr>
        <w:t>承包人在中标后7个工作日内，按住房城乡建设行政主管部门规定将农民工工资保障金存入帐户。工程竣工验收结算经审定后，按照规定程序，将农民工工资保障金没有使用或剩余的金额退还给承包人。</w:t>
      </w:r>
    </w:p>
    <w:p w14:paraId="15174F7A">
      <w:pPr>
        <w:pStyle w:val="7"/>
        <w:spacing w:before="120" w:after="120" w:line="360" w:lineRule="exact"/>
        <w:rPr>
          <w:rFonts w:ascii="宋体" w:hAnsi="宋体" w:cs="宋体"/>
          <w:b w:val="0"/>
          <w:sz w:val="21"/>
          <w:szCs w:val="21"/>
        </w:rPr>
      </w:pPr>
      <w:r>
        <w:rPr>
          <w:rFonts w:hint="eastAsia" w:ascii="宋体" w:hAnsi="宋体" w:cs="宋体"/>
          <w:b w:val="0"/>
          <w:sz w:val="21"/>
          <w:szCs w:val="21"/>
        </w:rPr>
        <w:t>4. 监理人</w:t>
      </w:r>
    </w:p>
    <w:p w14:paraId="768E8C03">
      <w:pPr>
        <w:spacing w:after="120" w:line="360" w:lineRule="exact"/>
        <w:ind w:firstLine="420" w:firstLineChars="200"/>
        <w:rPr>
          <w:rFonts w:ascii="宋体" w:hAnsi="宋体" w:cs="宋体"/>
        </w:rPr>
      </w:pPr>
      <w:r>
        <w:rPr>
          <w:rFonts w:hint="eastAsia" w:ascii="宋体" w:hAnsi="宋体" w:cs="宋体"/>
        </w:rPr>
        <w:t>4.1监理人的一般规定</w:t>
      </w:r>
    </w:p>
    <w:p w14:paraId="555B4A91">
      <w:pPr>
        <w:spacing w:line="360" w:lineRule="exact"/>
        <w:ind w:firstLine="420" w:firstLineChars="200"/>
        <w:jc w:val="left"/>
        <w:rPr>
          <w:rFonts w:ascii="宋体" w:hAnsi="宋体" w:cs="宋体"/>
        </w:rPr>
      </w:pPr>
      <w:r>
        <w:rPr>
          <w:rFonts w:hint="eastAsia" w:ascii="宋体" w:hAnsi="宋体" w:cs="宋体"/>
        </w:rPr>
        <w:t>关于监理人的监理内容：</w:t>
      </w:r>
      <w:r>
        <w:rPr>
          <w:rFonts w:hint="eastAsia" w:ascii="宋体" w:hAnsi="宋体" w:cs="宋体"/>
          <w:u w:val="single"/>
        </w:rPr>
        <w:t xml:space="preserve">     成交后填写               </w:t>
      </w:r>
      <w:r>
        <w:rPr>
          <w:rFonts w:hint="eastAsia" w:ascii="宋体" w:hAnsi="宋体" w:cs="宋体"/>
        </w:rPr>
        <w:t>。</w:t>
      </w:r>
    </w:p>
    <w:p w14:paraId="0FA5E386">
      <w:pPr>
        <w:spacing w:line="360" w:lineRule="exact"/>
        <w:ind w:firstLine="420" w:firstLineChars="200"/>
        <w:jc w:val="left"/>
        <w:rPr>
          <w:rFonts w:ascii="宋体" w:hAnsi="宋体" w:cs="宋体"/>
        </w:rPr>
      </w:pPr>
      <w:r>
        <w:rPr>
          <w:rFonts w:hint="eastAsia" w:ascii="宋体" w:hAnsi="宋体" w:cs="宋体"/>
        </w:rPr>
        <w:t>关于监理人的监理权限：</w:t>
      </w:r>
      <w:r>
        <w:rPr>
          <w:rFonts w:hint="eastAsia" w:ascii="宋体" w:hAnsi="宋体" w:cs="宋体"/>
          <w:u w:val="single"/>
        </w:rPr>
        <w:t xml:space="preserve">     成交后填写                </w:t>
      </w:r>
      <w:r>
        <w:rPr>
          <w:rFonts w:hint="eastAsia" w:ascii="宋体" w:hAnsi="宋体" w:cs="宋体"/>
        </w:rPr>
        <w:t xml:space="preserve">。 </w:t>
      </w:r>
    </w:p>
    <w:p w14:paraId="6C48213B">
      <w:pPr>
        <w:spacing w:line="360" w:lineRule="exact"/>
        <w:ind w:firstLine="420" w:firstLineChars="200"/>
        <w:rPr>
          <w:rFonts w:ascii="宋体" w:hAnsi="宋体" w:cs="宋体"/>
        </w:rPr>
      </w:pPr>
      <w:r>
        <w:rPr>
          <w:rFonts w:hint="eastAsia" w:ascii="宋体" w:hAnsi="宋体" w:cs="宋体"/>
        </w:rPr>
        <w:t>关于监理人在施工现场的办公场所、生活场所的提供和费用承担的约定：</w:t>
      </w:r>
      <w:r>
        <w:rPr>
          <w:rFonts w:hint="eastAsia" w:ascii="宋体" w:hAnsi="宋体" w:cs="宋体"/>
          <w:u w:val="single"/>
        </w:rPr>
        <w:t>成交后填写</w:t>
      </w:r>
      <w:r>
        <w:rPr>
          <w:rFonts w:hint="eastAsia" w:ascii="宋体" w:hAnsi="宋体" w:cs="宋体"/>
        </w:rPr>
        <w:t>。</w:t>
      </w:r>
    </w:p>
    <w:p w14:paraId="1E046A1B">
      <w:pPr>
        <w:spacing w:after="120" w:line="360" w:lineRule="exact"/>
        <w:ind w:firstLine="420" w:firstLineChars="200"/>
        <w:rPr>
          <w:rFonts w:ascii="宋体" w:hAnsi="宋体" w:cs="宋体"/>
        </w:rPr>
      </w:pPr>
      <w:r>
        <w:rPr>
          <w:rFonts w:hint="eastAsia" w:ascii="宋体" w:hAnsi="宋体" w:cs="宋体"/>
        </w:rPr>
        <w:t>4.2 监理人员</w:t>
      </w:r>
    </w:p>
    <w:p w14:paraId="0D413EB7">
      <w:pPr>
        <w:spacing w:line="360" w:lineRule="exact"/>
        <w:ind w:firstLine="420" w:firstLineChars="200"/>
        <w:rPr>
          <w:rFonts w:ascii="宋体" w:hAnsi="宋体" w:cs="宋体"/>
        </w:rPr>
      </w:pPr>
      <w:r>
        <w:rPr>
          <w:rFonts w:hint="eastAsia" w:ascii="宋体" w:hAnsi="宋体" w:cs="宋体"/>
        </w:rPr>
        <w:t>总监理工程师：</w:t>
      </w:r>
    </w:p>
    <w:p w14:paraId="73C263C8">
      <w:pPr>
        <w:spacing w:line="360" w:lineRule="exact"/>
        <w:ind w:firstLine="420" w:firstLineChars="200"/>
        <w:rPr>
          <w:rFonts w:ascii="宋体" w:hAnsi="宋体" w:cs="宋体"/>
        </w:rPr>
      </w:pPr>
      <w:r>
        <w:rPr>
          <w:rFonts w:hint="eastAsia" w:ascii="宋体" w:hAnsi="宋体" w:cs="宋体"/>
        </w:rPr>
        <w:t>姓    名：</w:t>
      </w:r>
      <w:r>
        <w:rPr>
          <w:rFonts w:hint="eastAsia" w:ascii="宋体" w:hAnsi="宋体" w:cs="宋体"/>
          <w:u w:val="single"/>
        </w:rPr>
        <w:t>成交后填写 </w:t>
      </w:r>
      <w:r>
        <w:rPr>
          <w:rFonts w:hint="eastAsia" w:ascii="宋体" w:hAnsi="宋体" w:cs="宋体"/>
        </w:rPr>
        <w:t>；</w:t>
      </w:r>
    </w:p>
    <w:p w14:paraId="1AC580A9">
      <w:pPr>
        <w:spacing w:line="360" w:lineRule="exact"/>
        <w:ind w:firstLine="420" w:firstLineChars="200"/>
        <w:rPr>
          <w:rFonts w:ascii="宋体" w:hAnsi="宋体" w:cs="宋体"/>
        </w:rPr>
      </w:pPr>
      <w:r>
        <w:rPr>
          <w:rFonts w:hint="eastAsia" w:ascii="宋体" w:hAnsi="宋体" w:cs="宋体"/>
        </w:rPr>
        <w:t>职    务：</w:t>
      </w:r>
      <w:r>
        <w:rPr>
          <w:rFonts w:hint="eastAsia" w:ascii="宋体" w:hAnsi="宋体" w:cs="宋体"/>
          <w:u w:val="single"/>
        </w:rPr>
        <w:t>成交后填写 </w:t>
      </w:r>
      <w:r>
        <w:rPr>
          <w:rFonts w:hint="eastAsia" w:ascii="宋体" w:hAnsi="宋体" w:cs="宋体"/>
        </w:rPr>
        <w:t>；</w:t>
      </w:r>
    </w:p>
    <w:p w14:paraId="6308EB24">
      <w:pPr>
        <w:spacing w:line="360" w:lineRule="exact"/>
        <w:ind w:firstLine="420" w:firstLineChars="200"/>
        <w:rPr>
          <w:rFonts w:ascii="宋体" w:hAnsi="宋体" w:cs="宋体"/>
        </w:rPr>
      </w:pPr>
      <w:r>
        <w:rPr>
          <w:rFonts w:hint="eastAsia" w:ascii="宋体" w:hAnsi="宋体" w:cs="宋体"/>
        </w:rPr>
        <w:t>监理工程师执业资格证书号：</w:t>
      </w:r>
      <w:r>
        <w:rPr>
          <w:rFonts w:hint="eastAsia" w:ascii="宋体" w:hAnsi="宋体" w:cs="宋体"/>
          <w:u w:val="single"/>
        </w:rPr>
        <w:t>成交后填写 </w:t>
      </w:r>
      <w:r>
        <w:rPr>
          <w:rFonts w:hint="eastAsia" w:ascii="宋体" w:hAnsi="宋体" w:cs="宋体"/>
        </w:rPr>
        <w:t>；</w:t>
      </w:r>
    </w:p>
    <w:p w14:paraId="759D5519">
      <w:pPr>
        <w:spacing w:line="360" w:lineRule="exact"/>
        <w:ind w:firstLine="420" w:firstLineChars="200"/>
        <w:rPr>
          <w:rFonts w:ascii="宋体" w:hAnsi="宋体" w:cs="宋体"/>
        </w:rPr>
      </w:pPr>
      <w:r>
        <w:rPr>
          <w:rFonts w:hint="eastAsia" w:ascii="宋体" w:hAnsi="宋体" w:cs="宋体"/>
        </w:rPr>
        <w:t>联系电话：</w:t>
      </w:r>
      <w:r>
        <w:rPr>
          <w:rFonts w:hint="eastAsia" w:ascii="宋体" w:hAnsi="宋体" w:cs="宋体"/>
          <w:u w:val="single"/>
        </w:rPr>
        <w:t>成交后填写 </w:t>
      </w:r>
      <w:r>
        <w:rPr>
          <w:rFonts w:hint="eastAsia" w:ascii="宋体" w:hAnsi="宋体" w:cs="宋体"/>
        </w:rPr>
        <w:t>；</w:t>
      </w:r>
    </w:p>
    <w:p w14:paraId="7759D1D5">
      <w:pPr>
        <w:spacing w:line="360" w:lineRule="exact"/>
        <w:ind w:firstLine="420" w:firstLineChars="200"/>
        <w:rPr>
          <w:rFonts w:ascii="宋体" w:hAnsi="宋体" w:cs="宋体"/>
        </w:rPr>
      </w:pPr>
      <w:r>
        <w:rPr>
          <w:rFonts w:hint="eastAsia" w:ascii="宋体" w:hAnsi="宋体" w:cs="宋体"/>
        </w:rPr>
        <w:t>电子信箱：</w:t>
      </w:r>
      <w:r>
        <w:rPr>
          <w:rFonts w:hint="eastAsia" w:ascii="宋体" w:hAnsi="宋体" w:cs="宋体"/>
          <w:u w:val="single"/>
        </w:rPr>
        <w:t>成交后填写 </w:t>
      </w:r>
      <w:r>
        <w:rPr>
          <w:rFonts w:hint="eastAsia" w:ascii="宋体" w:hAnsi="宋体" w:cs="宋体"/>
        </w:rPr>
        <w:t>；</w:t>
      </w:r>
    </w:p>
    <w:p w14:paraId="195FBAA2">
      <w:pPr>
        <w:spacing w:line="360" w:lineRule="exact"/>
        <w:ind w:firstLine="420" w:firstLineChars="200"/>
        <w:rPr>
          <w:rFonts w:ascii="宋体" w:hAnsi="宋体" w:cs="宋体"/>
        </w:rPr>
      </w:pPr>
      <w:r>
        <w:rPr>
          <w:rFonts w:hint="eastAsia" w:ascii="宋体" w:hAnsi="宋体" w:cs="宋体"/>
        </w:rPr>
        <w:t>通信地址：</w:t>
      </w:r>
      <w:r>
        <w:rPr>
          <w:rFonts w:hint="eastAsia" w:ascii="宋体" w:hAnsi="宋体" w:cs="宋体"/>
          <w:u w:val="single"/>
        </w:rPr>
        <w:t>成交后填写 </w:t>
      </w:r>
      <w:r>
        <w:rPr>
          <w:rFonts w:hint="eastAsia" w:ascii="宋体" w:hAnsi="宋体" w:cs="宋体"/>
        </w:rPr>
        <w:t>；</w:t>
      </w:r>
    </w:p>
    <w:p w14:paraId="3EE92CC3">
      <w:pPr>
        <w:spacing w:line="360" w:lineRule="exact"/>
        <w:ind w:firstLine="420" w:firstLineChars="200"/>
        <w:rPr>
          <w:rFonts w:ascii="宋体" w:hAnsi="宋体" w:cs="宋体"/>
        </w:rPr>
      </w:pPr>
      <w:r>
        <w:rPr>
          <w:rFonts w:hint="eastAsia" w:ascii="宋体" w:hAnsi="宋体" w:cs="宋体"/>
        </w:rPr>
        <w:t>关于监理人的其他约定：</w:t>
      </w:r>
      <w:r>
        <w:rPr>
          <w:rFonts w:hint="eastAsia" w:ascii="宋体" w:hAnsi="宋体" w:cs="宋体"/>
          <w:u w:val="single"/>
        </w:rPr>
        <w:t>成交后填写 </w:t>
      </w:r>
      <w:r>
        <w:rPr>
          <w:rFonts w:hint="eastAsia" w:ascii="宋体" w:hAnsi="宋体" w:cs="宋体"/>
        </w:rPr>
        <w:t>。</w:t>
      </w:r>
    </w:p>
    <w:p w14:paraId="0A5C5D2E">
      <w:pPr>
        <w:spacing w:after="120" w:line="360" w:lineRule="exact"/>
        <w:ind w:firstLine="420" w:firstLineChars="200"/>
        <w:rPr>
          <w:rFonts w:ascii="宋体" w:hAnsi="宋体" w:cs="宋体"/>
        </w:rPr>
      </w:pPr>
      <w:r>
        <w:rPr>
          <w:rFonts w:hint="eastAsia" w:ascii="宋体" w:hAnsi="宋体" w:cs="宋体"/>
        </w:rPr>
        <w:t>4.4 商定或确定</w:t>
      </w:r>
    </w:p>
    <w:p w14:paraId="36998BA0">
      <w:pPr>
        <w:spacing w:line="360" w:lineRule="exact"/>
        <w:ind w:firstLine="420" w:firstLineChars="200"/>
        <w:rPr>
          <w:rFonts w:ascii="宋体" w:hAnsi="宋体" w:cs="宋体"/>
        </w:rPr>
      </w:pPr>
      <w:r>
        <w:rPr>
          <w:rFonts w:hint="eastAsia" w:ascii="宋体" w:hAnsi="宋体" w:cs="宋体"/>
        </w:rPr>
        <w:t>在发包人和承包人不能通过协商达成一致意见时，发包人授权监理人对以下事项进行确定：</w:t>
      </w:r>
    </w:p>
    <w:p w14:paraId="75A2B8CA">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w:t>
      </w:r>
      <w:r>
        <w:rPr>
          <w:rFonts w:hint="eastAsia" w:ascii="宋体" w:hAnsi="宋体" w:cs="宋体"/>
          <w:u w:val="single"/>
        </w:rPr>
        <w:t xml:space="preserve">  成交后填写 </w:t>
      </w:r>
      <w:r>
        <w:rPr>
          <w:rFonts w:hint="eastAsia" w:ascii="宋体" w:hAnsi="宋体" w:cs="宋体"/>
        </w:rPr>
        <w:t>；</w:t>
      </w:r>
    </w:p>
    <w:p w14:paraId="3F177EFB">
      <w:pPr>
        <w:autoSpaceDE w:val="0"/>
        <w:autoSpaceDN w:val="0"/>
        <w:adjustRightInd w:val="0"/>
        <w:spacing w:line="360" w:lineRule="exact"/>
        <w:ind w:firstLine="420" w:firstLineChars="200"/>
        <w:jc w:val="left"/>
        <w:rPr>
          <w:rFonts w:ascii="宋体" w:hAnsi="宋体" w:cs="宋体"/>
        </w:rPr>
      </w:pPr>
      <w:r>
        <w:rPr>
          <w:rFonts w:hint="eastAsia" w:ascii="宋体" w:hAnsi="宋体" w:cs="宋体"/>
          <w:kern w:val="0"/>
        </w:rPr>
        <w:t>（2）</w:t>
      </w:r>
      <w:r>
        <w:rPr>
          <w:rFonts w:hint="eastAsia" w:ascii="宋体" w:hAnsi="宋体" w:cs="宋体"/>
          <w:u w:val="single"/>
        </w:rPr>
        <w:t xml:space="preserve">  成交后填写 </w:t>
      </w:r>
      <w:r>
        <w:rPr>
          <w:rFonts w:hint="eastAsia" w:ascii="宋体" w:hAnsi="宋体" w:cs="宋体"/>
        </w:rPr>
        <w:t>；</w:t>
      </w:r>
    </w:p>
    <w:p w14:paraId="62865D5B">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w:t>
      </w:r>
      <w:r>
        <w:rPr>
          <w:rFonts w:hint="eastAsia" w:ascii="宋体" w:hAnsi="宋体" w:cs="宋体"/>
          <w:u w:val="single"/>
        </w:rPr>
        <w:t xml:space="preserve">      成交后填写 </w:t>
      </w:r>
      <w:r>
        <w:rPr>
          <w:rFonts w:hint="eastAsia" w:ascii="宋体" w:hAnsi="宋体" w:cs="宋体"/>
        </w:rPr>
        <w:t>。</w:t>
      </w:r>
    </w:p>
    <w:p w14:paraId="47C02FE9">
      <w:pPr>
        <w:pStyle w:val="7"/>
        <w:spacing w:before="120" w:after="120" w:line="360" w:lineRule="exact"/>
        <w:rPr>
          <w:rFonts w:ascii="宋体" w:hAnsi="宋体" w:cs="宋体"/>
          <w:b w:val="0"/>
          <w:sz w:val="21"/>
          <w:szCs w:val="21"/>
        </w:rPr>
      </w:pPr>
      <w:r>
        <w:rPr>
          <w:rFonts w:hint="eastAsia" w:ascii="宋体" w:hAnsi="宋体" w:cs="宋体"/>
          <w:b w:val="0"/>
          <w:sz w:val="21"/>
          <w:szCs w:val="21"/>
        </w:rPr>
        <w:t>5. 工程质量</w:t>
      </w:r>
    </w:p>
    <w:p w14:paraId="0E9641AE">
      <w:pPr>
        <w:pStyle w:val="6"/>
        <w:spacing w:line="360" w:lineRule="exact"/>
        <w:rPr>
          <w:rFonts w:ascii="宋体" w:hAnsi="宋体" w:cs="宋体"/>
          <w:sz w:val="21"/>
          <w:szCs w:val="21"/>
        </w:rPr>
      </w:pPr>
      <w:r>
        <w:rPr>
          <w:rFonts w:hint="eastAsia" w:ascii="宋体" w:hAnsi="宋体" w:cs="宋体"/>
          <w:sz w:val="21"/>
          <w:szCs w:val="21"/>
        </w:rPr>
        <w:t>5.1 质量要求</w:t>
      </w:r>
    </w:p>
    <w:p w14:paraId="537A4918">
      <w:pPr>
        <w:spacing w:line="360" w:lineRule="exact"/>
        <w:ind w:firstLine="420" w:firstLineChars="200"/>
        <w:jc w:val="left"/>
        <w:rPr>
          <w:rFonts w:ascii="宋体" w:hAnsi="宋体" w:cs="宋体"/>
        </w:rPr>
      </w:pPr>
      <w:r>
        <w:rPr>
          <w:rFonts w:hint="eastAsia" w:ascii="宋体" w:hAnsi="宋体" w:cs="宋体"/>
        </w:rPr>
        <w:t>5.1.1 特殊质量标准和要求：</w:t>
      </w:r>
      <w:r>
        <w:rPr>
          <w:rFonts w:hint="eastAsia" w:ascii="宋体" w:hAnsi="宋体" w:cs="宋体"/>
          <w:u w:val="single"/>
        </w:rPr>
        <w:t xml:space="preserve">   按国家规定   </w:t>
      </w:r>
      <w:r>
        <w:rPr>
          <w:rFonts w:hint="eastAsia" w:ascii="宋体" w:hAnsi="宋体" w:cs="宋体"/>
        </w:rPr>
        <w:t>。</w:t>
      </w:r>
    </w:p>
    <w:p w14:paraId="6B125A22">
      <w:pPr>
        <w:spacing w:line="360" w:lineRule="exact"/>
        <w:ind w:firstLine="420" w:firstLineChars="200"/>
        <w:jc w:val="left"/>
        <w:rPr>
          <w:rFonts w:ascii="宋体" w:hAnsi="宋体" w:cs="宋体"/>
        </w:rPr>
      </w:pPr>
      <w:r>
        <w:rPr>
          <w:rFonts w:hint="eastAsia" w:ascii="宋体" w:hAnsi="宋体" w:cs="宋体"/>
        </w:rPr>
        <w:t>关于工程奖项的约定：</w:t>
      </w:r>
      <w:r>
        <w:rPr>
          <w:rFonts w:hint="eastAsia" w:ascii="宋体" w:hAnsi="宋体" w:cs="宋体"/>
          <w:u w:val="single"/>
        </w:rPr>
        <w:t xml:space="preserve">     无              </w:t>
      </w:r>
      <w:r>
        <w:rPr>
          <w:rFonts w:hint="eastAsia" w:ascii="宋体" w:hAnsi="宋体" w:cs="宋体"/>
        </w:rPr>
        <w:t>。</w:t>
      </w:r>
    </w:p>
    <w:p w14:paraId="7D07CA75">
      <w:pPr>
        <w:pStyle w:val="6"/>
        <w:spacing w:line="360" w:lineRule="exact"/>
        <w:rPr>
          <w:rFonts w:ascii="宋体" w:hAnsi="宋体" w:cs="宋体"/>
          <w:sz w:val="21"/>
          <w:szCs w:val="21"/>
        </w:rPr>
      </w:pPr>
      <w:r>
        <w:rPr>
          <w:rFonts w:hint="eastAsia" w:ascii="宋体" w:hAnsi="宋体" w:cs="宋体"/>
          <w:sz w:val="21"/>
          <w:szCs w:val="21"/>
        </w:rPr>
        <w:t>5.3 隐蔽工程检查</w:t>
      </w:r>
    </w:p>
    <w:p w14:paraId="0E5AF25C">
      <w:pPr>
        <w:spacing w:line="360" w:lineRule="exact"/>
        <w:ind w:firstLine="420" w:firstLineChars="200"/>
        <w:jc w:val="left"/>
        <w:rPr>
          <w:rFonts w:ascii="宋体" w:hAnsi="宋体" w:cs="宋体"/>
        </w:rPr>
      </w:pPr>
      <w:r>
        <w:rPr>
          <w:rFonts w:hint="eastAsia" w:ascii="宋体" w:hAnsi="宋体" w:cs="宋体"/>
        </w:rPr>
        <w:t>5.3.2承包人提前通知监理人隐蔽工程检查的期限的约定：</w:t>
      </w:r>
      <w:r>
        <w:rPr>
          <w:rFonts w:hint="eastAsia" w:ascii="宋体" w:hAnsi="宋体" w:cs="宋体"/>
          <w:u w:val="single"/>
        </w:rPr>
        <w:t>提前7天</w:t>
      </w:r>
      <w:r>
        <w:rPr>
          <w:rFonts w:hint="eastAsia" w:ascii="宋体" w:hAnsi="宋体" w:cs="宋体"/>
        </w:rPr>
        <w:t>。</w:t>
      </w:r>
    </w:p>
    <w:p w14:paraId="70B27F30">
      <w:pPr>
        <w:spacing w:line="360" w:lineRule="exact"/>
        <w:ind w:firstLine="420" w:firstLineChars="200"/>
        <w:jc w:val="left"/>
        <w:rPr>
          <w:rFonts w:ascii="宋体" w:hAnsi="宋体" w:cs="宋体"/>
        </w:rPr>
      </w:pPr>
      <w:r>
        <w:rPr>
          <w:rFonts w:hint="eastAsia" w:ascii="宋体" w:hAnsi="宋体" w:cs="宋体"/>
        </w:rPr>
        <w:t>监理人不能按时进行检查时，应提前</w:t>
      </w:r>
      <w:r>
        <w:rPr>
          <w:rFonts w:hint="eastAsia" w:ascii="宋体" w:hAnsi="宋体" w:cs="宋体"/>
          <w:u w:val="single"/>
        </w:rPr>
        <w:t xml:space="preserve"> 24  </w:t>
      </w:r>
      <w:r>
        <w:rPr>
          <w:rFonts w:hint="eastAsia" w:ascii="宋体" w:hAnsi="宋体" w:cs="宋体"/>
        </w:rPr>
        <w:t>小时提交书面延期要求。</w:t>
      </w:r>
    </w:p>
    <w:p w14:paraId="0BC6D1BD">
      <w:pPr>
        <w:spacing w:line="360" w:lineRule="exact"/>
        <w:ind w:firstLine="420" w:firstLineChars="200"/>
        <w:jc w:val="left"/>
        <w:rPr>
          <w:rFonts w:ascii="宋体" w:hAnsi="宋体" w:cs="宋体"/>
        </w:rPr>
      </w:pPr>
      <w:r>
        <w:rPr>
          <w:rFonts w:hint="eastAsia" w:ascii="宋体" w:hAnsi="宋体" w:cs="宋体"/>
        </w:rPr>
        <w:t>关于延期最长不得超过：</w:t>
      </w:r>
      <w:r>
        <w:rPr>
          <w:rFonts w:hint="eastAsia" w:ascii="宋体" w:hAnsi="宋体" w:cs="宋体"/>
          <w:u w:val="single"/>
        </w:rPr>
        <w:t xml:space="preserve"> 48  </w:t>
      </w:r>
      <w:r>
        <w:rPr>
          <w:rFonts w:hint="eastAsia" w:ascii="宋体" w:hAnsi="宋体" w:cs="宋体"/>
        </w:rPr>
        <w:t>小时。</w:t>
      </w:r>
    </w:p>
    <w:p w14:paraId="29D1C113">
      <w:pPr>
        <w:pStyle w:val="7"/>
        <w:spacing w:before="120" w:after="120" w:line="360" w:lineRule="exact"/>
        <w:rPr>
          <w:rFonts w:ascii="宋体" w:hAnsi="宋体" w:cs="宋体"/>
          <w:b w:val="0"/>
          <w:sz w:val="21"/>
          <w:szCs w:val="21"/>
        </w:rPr>
      </w:pPr>
      <w:r>
        <w:rPr>
          <w:rFonts w:hint="eastAsia" w:ascii="宋体" w:hAnsi="宋体" w:cs="宋体"/>
          <w:b w:val="0"/>
          <w:sz w:val="21"/>
          <w:szCs w:val="21"/>
        </w:rPr>
        <w:t>6. 安全文明施工与环境保护</w:t>
      </w:r>
    </w:p>
    <w:p w14:paraId="058D1964">
      <w:pPr>
        <w:spacing w:after="120" w:line="360" w:lineRule="exact"/>
        <w:ind w:firstLine="420" w:firstLineChars="200"/>
        <w:rPr>
          <w:rFonts w:ascii="宋体" w:hAnsi="宋体" w:cs="宋体"/>
        </w:rPr>
      </w:pPr>
      <w:r>
        <w:rPr>
          <w:rFonts w:hint="eastAsia" w:ascii="宋体" w:hAnsi="宋体" w:cs="宋体"/>
        </w:rPr>
        <w:t>6.1安全文明施工</w:t>
      </w:r>
    </w:p>
    <w:p w14:paraId="2240C9C3">
      <w:pPr>
        <w:spacing w:line="360" w:lineRule="exact"/>
        <w:ind w:firstLine="420" w:firstLineChars="200"/>
        <w:jc w:val="left"/>
        <w:rPr>
          <w:rFonts w:ascii="宋体" w:hAnsi="宋体" w:cs="宋体"/>
        </w:rPr>
      </w:pPr>
      <w:r>
        <w:rPr>
          <w:rFonts w:hint="eastAsia" w:ascii="宋体" w:hAnsi="宋体" w:cs="宋体"/>
        </w:rPr>
        <w:t>6.1.1 项目安全生产的达标目标及相应事项的约定：</w:t>
      </w:r>
      <w:r>
        <w:rPr>
          <w:rFonts w:hint="eastAsia" w:ascii="宋体" w:hAnsi="宋体" w:cs="宋体"/>
          <w:u w:val="single"/>
        </w:rPr>
        <w:t>按国家规定</w:t>
      </w:r>
      <w:r>
        <w:rPr>
          <w:rFonts w:hint="eastAsia" w:ascii="宋体" w:hAnsi="宋体" w:cs="宋体"/>
        </w:rPr>
        <w:t>。</w:t>
      </w:r>
    </w:p>
    <w:p w14:paraId="280E8123">
      <w:pPr>
        <w:spacing w:line="360" w:lineRule="exact"/>
        <w:ind w:firstLine="420" w:firstLineChars="200"/>
        <w:jc w:val="left"/>
        <w:rPr>
          <w:rFonts w:ascii="宋体" w:hAnsi="宋体" w:cs="宋体"/>
        </w:rPr>
      </w:pPr>
      <w:r>
        <w:rPr>
          <w:rFonts w:hint="eastAsia" w:ascii="宋体" w:hAnsi="宋体" w:cs="宋体"/>
        </w:rPr>
        <w:t>6.1.4 关于治安保卫的特别约定：</w:t>
      </w:r>
      <w:r>
        <w:rPr>
          <w:rFonts w:hint="eastAsia" w:ascii="宋体" w:hAnsi="宋体" w:cs="宋体"/>
          <w:u w:val="single"/>
        </w:rPr>
        <w:t xml:space="preserve">  承包人应承担施工安全保卫工作及非夜间施工照明的责任，承包人应采取一切合理的预防措施，防止人员伤亡、财产损失事故，费用由承包人承担。承包人生活设施及施工场应自费配备消防设备，防止火灾发生</w:t>
      </w:r>
      <w:r>
        <w:rPr>
          <w:rFonts w:hint="eastAsia" w:ascii="宋体" w:hAnsi="宋体" w:cs="宋体"/>
        </w:rPr>
        <w:t>。</w:t>
      </w:r>
    </w:p>
    <w:p w14:paraId="3ED661E6">
      <w:pPr>
        <w:spacing w:line="360" w:lineRule="exact"/>
        <w:ind w:firstLine="420" w:firstLineChars="200"/>
        <w:jc w:val="left"/>
        <w:rPr>
          <w:rFonts w:ascii="宋体" w:hAnsi="宋体" w:cs="宋体"/>
        </w:rPr>
      </w:pPr>
      <w:r>
        <w:rPr>
          <w:rFonts w:hint="eastAsia" w:ascii="宋体" w:hAnsi="宋体" w:cs="宋体"/>
        </w:rPr>
        <w:t xml:space="preserve">关于编制施工场地治安管理计划的约定： </w:t>
      </w:r>
      <w:r>
        <w:rPr>
          <w:rFonts w:hint="eastAsia" w:ascii="宋体" w:hAnsi="宋体" w:cs="宋体"/>
          <w:u w:val="single"/>
        </w:rPr>
        <w:t xml:space="preserve">合同签订后7天内   </w:t>
      </w:r>
      <w:r>
        <w:rPr>
          <w:rFonts w:hint="eastAsia" w:ascii="宋体" w:hAnsi="宋体" w:cs="宋体"/>
        </w:rPr>
        <w:t>。</w:t>
      </w:r>
    </w:p>
    <w:p w14:paraId="76074EF8">
      <w:pPr>
        <w:spacing w:line="360" w:lineRule="exact"/>
        <w:ind w:firstLine="420" w:firstLineChars="200"/>
        <w:jc w:val="left"/>
        <w:rPr>
          <w:rFonts w:ascii="宋体" w:hAnsi="宋体" w:cs="宋体"/>
        </w:rPr>
      </w:pPr>
      <w:r>
        <w:rPr>
          <w:rFonts w:hint="eastAsia" w:ascii="宋体" w:hAnsi="宋体" w:cs="宋体"/>
        </w:rPr>
        <w:t>6.1.5 文明施工</w:t>
      </w:r>
    </w:p>
    <w:p w14:paraId="5D70A6DB">
      <w:pPr>
        <w:spacing w:line="360" w:lineRule="exact"/>
        <w:ind w:firstLine="420" w:firstLineChars="200"/>
        <w:jc w:val="left"/>
        <w:rPr>
          <w:rFonts w:ascii="宋体" w:hAnsi="宋体" w:cs="宋体"/>
        </w:rPr>
      </w:pPr>
      <w:r>
        <w:rPr>
          <w:rFonts w:hint="eastAsia" w:ascii="宋体" w:hAnsi="宋体" w:cs="宋体"/>
        </w:rPr>
        <w:t>合同当事人对文明施工的要求：</w:t>
      </w:r>
      <w:r>
        <w:rPr>
          <w:rFonts w:hint="eastAsia" w:ascii="宋体" w:hAnsi="宋体" w:cs="宋体"/>
          <w:u w:val="single"/>
        </w:rPr>
        <w:t xml:space="preserve">  按规范要求   </w:t>
      </w:r>
      <w:r>
        <w:rPr>
          <w:rFonts w:hint="eastAsia" w:ascii="宋体" w:hAnsi="宋体" w:cs="宋体"/>
        </w:rPr>
        <w:t>。</w:t>
      </w:r>
    </w:p>
    <w:p w14:paraId="703CCA00">
      <w:pPr>
        <w:spacing w:line="360" w:lineRule="exact"/>
        <w:ind w:firstLine="420" w:firstLineChars="200"/>
        <w:jc w:val="left"/>
        <w:rPr>
          <w:rFonts w:ascii="宋体" w:hAnsi="宋体" w:cs="宋体"/>
        </w:rPr>
      </w:pPr>
      <w:r>
        <w:rPr>
          <w:rFonts w:hint="eastAsia" w:ascii="宋体" w:hAnsi="宋体" w:cs="宋体"/>
        </w:rPr>
        <w:t>6.1.6 关于安全文明施工费支付比例和支付期限的约定：</w:t>
      </w:r>
      <w:r>
        <w:rPr>
          <w:rFonts w:hint="eastAsia" w:ascii="宋体" w:hAnsi="宋体" w:cs="宋体"/>
          <w:u w:val="single"/>
        </w:rPr>
        <w:t>使用要求：专款专用。具体按《广西壮族自治区建筑工程安全防护、文明施工措施费及管理细则》（桂建质〔2006〕22号）和桂林市建规[2007]131号文及市建规[2008]224号文相关规定执行</w:t>
      </w:r>
      <w:r>
        <w:rPr>
          <w:rFonts w:hint="eastAsia" w:ascii="宋体" w:hAnsi="宋体" w:cs="宋体"/>
        </w:rPr>
        <w:t>。</w:t>
      </w:r>
    </w:p>
    <w:p w14:paraId="7C6587DF">
      <w:pPr>
        <w:spacing w:line="360" w:lineRule="exact"/>
        <w:ind w:firstLine="420" w:firstLineChars="200"/>
        <w:jc w:val="left"/>
        <w:rPr>
          <w:rFonts w:ascii="宋体" w:hAnsi="宋体" w:cs="宋体"/>
        </w:rPr>
      </w:pPr>
      <w:r>
        <w:rPr>
          <w:rFonts w:hint="eastAsia" w:ascii="宋体" w:hAnsi="宋体" w:cs="宋体"/>
        </w:rPr>
        <w:t>6.2职业健康</w:t>
      </w:r>
    </w:p>
    <w:p w14:paraId="0EDD99C3">
      <w:pPr>
        <w:pStyle w:val="7"/>
        <w:spacing w:before="120" w:after="120" w:line="360" w:lineRule="exact"/>
        <w:rPr>
          <w:rFonts w:ascii="宋体" w:hAnsi="宋体" w:cs="宋体"/>
          <w:b w:val="0"/>
          <w:sz w:val="21"/>
          <w:szCs w:val="21"/>
        </w:rPr>
      </w:pPr>
      <w:r>
        <w:rPr>
          <w:rFonts w:hint="eastAsia" w:ascii="宋体" w:hAnsi="宋体" w:cs="宋体"/>
          <w:b w:val="0"/>
          <w:sz w:val="21"/>
          <w:szCs w:val="21"/>
        </w:rPr>
        <w:t>7. 工期和进度</w:t>
      </w:r>
    </w:p>
    <w:p w14:paraId="1DA0F114">
      <w:pPr>
        <w:spacing w:after="120" w:line="360" w:lineRule="exact"/>
        <w:ind w:firstLine="420" w:firstLineChars="200"/>
        <w:rPr>
          <w:rFonts w:ascii="宋体" w:hAnsi="宋体" w:cs="宋体"/>
        </w:rPr>
      </w:pPr>
      <w:r>
        <w:rPr>
          <w:rFonts w:hint="eastAsia" w:ascii="宋体" w:hAnsi="宋体" w:cs="宋体"/>
        </w:rPr>
        <w:t>7.1 施工组织设计</w:t>
      </w:r>
    </w:p>
    <w:p w14:paraId="2DA0370D">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rPr>
        <w:t>7.1.1 合</w:t>
      </w:r>
      <w:r>
        <w:rPr>
          <w:rFonts w:hint="eastAsia" w:ascii="宋体" w:hAnsi="宋体" w:cs="宋体"/>
          <w:kern w:val="0"/>
        </w:rPr>
        <w:t>同当事人约定的施工组织设计应包括的其他内容：</w:t>
      </w:r>
      <w:r>
        <w:rPr>
          <w:rFonts w:hint="eastAsia" w:ascii="宋体" w:hAnsi="宋体" w:cs="宋体"/>
          <w:u w:val="single"/>
        </w:rPr>
        <w:t>按规范要求</w:t>
      </w:r>
      <w:r>
        <w:rPr>
          <w:rFonts w:hint="eastAsia" w:ascii="宋体" w:hAnsi="宋体" w:cs="宋体"/>
        </w:rPr>
        <w:t>。</w:t>
      </w:r>
    </w:p>
    <w:p w14:paraId="72F6043C">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rPr>
        <w:t xml:space="preserve">7.1.2 </w:t>
      </w:r>
      <w:r>
        <w:rPr>
          <w:rFonts w:hint="eastAsia" w:ascii="宋体" w:hAnsi="宋体" w:cs="宋体"/>
          <w:kern w:val="0"/>
        </w:rPr>
        <w:t>施工组织设计的提交和修改</w:t>
      </w:r>
    </w:p>
    <w:p w14:paraId="60CE1ADC">
      <w:pPr>
        <w:autoSpaceDE w:val="0"/>
        <w:autoSpaceDN w:val="0"/>
        <w:adjustRightInd w:val="0"/>
        <w:spacing w:line="360" w:lineRule="exact"/>
        <w:ind w:firstLine="420" w:firstLineChars="200"/>
        <w:jc w:val="left"/>
        <w:rPr>
          <w:rFonts w:ascii="宋体" w:hAnsi="宋体" w:cs="宋体"/>
        </w:rPr>
      </w:pPr>
      <w:r>
        <w:rPr>
          <w:rFonts w:hint="eastAsia" w:ascii="宋体" w:hAnsi="宋体" w:cs="宋体"/>
          <w:kern w:val="0"/>
        </w:rPr>
        <w:t>承包人提交详细施工组织设计的期限的约定：</w:t>
      </w:r>
      <w:r>
        <w:rPr>
          <w:rFonts w:hint="eastAsia" w:ascii="宋体" w:hAnsi="宋体" w:cs="宋体"/>
          <w:u w:val="single"/>
        </w:rPr>
        <w:t>合同签订后7天内</w:t>
      </w:r>
      <w:r>
        <w:rPr>
          <w:rFonts w:hint="eastAsia" w:ascii="宋体" w:hAnsi="宋体" w:cs="宋体"/>
        </w:rPr>
        <w:t>。</w:t>
      </w:r>
    </w:p>
    <w:p w14:paraId="149DBF73">
      <w:pPr>
        <w:spacing w:line="360" w:lineRule="exact"/>
        <w:ind w:firstLine="420" w:firstLineChars="200"/>
        <w:jc w:val="left"/>
        <w:rPr>
          <w:rFonts w:ascii="宋体" w:hAnsi="宋体" w:cs="宋体"/>
        </w:rPr>
      </w:pPr>
      <w:r>
        <w:rPr>
          <w:rFonts w:hint="eastAsia" w:ascii="宋体" w:hAnsi="宋体" w:cs="宋体"/>
        </w:rPr>
        <w:t>发包人和监理人在收到详细的施工组织设计后确认或提出修改意见的期限：</w:t>
      </w:r>
      <w:r>
        <w:rPr>
          <w:rFonts w:hint="eastAsia" w:ascii="宋体" w:hAnsi="宋体" w:cs="宋体"/>
          <w:u w:val="single"/>
        </w:rPr>
        <w:t xml:space="preserve">     7天内    </w:t>
      </w:r>
      <w:r>
        <w:rPr>
          <w:rFonts w:hint="eastAsia" w:ascii="宋体" w:hAnsi="宋体" w:cs="宋体"/>
        </w:rPr>
        <w:t>。</w:t>
      </w:r>
    </w:p>
    <w:p w14:paraId="66A69A06">
      <w:pPr>
        <w:spacing w:after="120" w:line="360" w:lineRule="exact"/>
        <w:ind w:firstLine="420" w:firstLineChars="200"/>
        <w:rPr>
          <w:rFonts w:ascii="宋体" w:hAnsi="宋体" w:cs="宋体"/>
        </w:rPr>
      </w:pPr>
      <w:r>
        <w:rPr>
          <w:rFonts w:hint="eastAsia" w:ascii="宋体" w:hAnsi="宋体" w:cs="宋体"/>
        </w:rPr>
        <w:t>7.2 施工进度计划</w:t>
      </w:r>
    </w:p>
    <w:p w14:paraId="6A0292F1">
      <w:pPr>
        <w:spacing w:line="360" w:lineRule="exact"/>
        <w:ind w:firstLine="420" w:firstLineChars="200"/>
        <w:jc w:val="left"/>
        <w:rPr>
          <w:rFonts w:ascii="宋体" w:hAnsi="宋体" w:cs="宋体"/>
        </w:rPr>
      </w:pPr>
      <w:r>
        <w:rPr>
          <w:rFonts w:hint="eastAsia" w:ascii="宋体" w:hAnsi="宋体" w:cs="宋体"/>
        </w:rPr>
        <w:t>7.2.2 施工进度计划的修订</w:t>
      </w:r>
    </w:p>
    <w:p w14:paraId="3971C730">
      <w:pPr>
        <w:spacing w:line="360" w:lineRule="exact"/>
        <w:ind w:firstLine="420" w:firstLineChars="200"/>
        <w:jc w:val="left"/>
        <w:rPr>
          <w:rFonts w:ascii="宋体" w:hAnsi="宋体" w:cs="宋体"/>
        </w:rPr>
      </w:pPr>
      <w:r>
        <w:rPr>
          <w:rFonts w:hint="eastAsia" w:ascii="宋体" w:hAnsi="宋体" w:cs="宋体"/>
        </w:rPr>
        <w:t>发包人和监理人在收到修订的施工进度计划后确认或提出修改意见的期限：</w:t>
      </w:r>
      <w:r>
        <w:rPr>
          <w:rFonts w:hint="eastAsia" w:ascii="宋体" w:hAnsi="宋体" w:cs="宋体"/>
          <w:u w:val="single"/>
        </w:rPr>
        <w:t xml:space="preserve">   收到修订合同进度计划后7天  </w:t>
      </w:r>
      <w:r>
        <w:rPr>
          <w:rFonts w:hint="eastAsia" w:ascii="宋体" w:hAnsi="宋体" w:cs="宋体"/>
        </w:rPr>
        <w:t>。</w:t>
      </w:r>
    </w:p>
    <w:p w14:paraId="05CC48DC">
      <w:pPr>
        <w:spacing w:after="120" w:line="360" w:lineRule="exact"/>
        <w:ind w:firstLine="420" w:firstLineChars="200"/>
        <w:rPr>
          <w:rFonts w:ascii="宋体" w:hAnsi="宋体" w:cs="宋体"/>
        </w:rPr>
      </w:pPr>
      <w:r>
        <w:rPr>
          <w:rFonts w:hint="eastAsia" w:ascii="宋体" w:hAnsi="宋体" w:cs="宋体"/>
        </w:rPr>
        <w:t>7.3 开工</w:t>
      </w:r>
    </w:p>
    <w:p w14:paraId="472A3113">
      <w:pPr>
        <w:spacing w:line="360" w:lineRule="exact"/>
        <w:ind w:firstLine="420" w:firstLineChars="200"/>
        <w:jc w:val="left"/>
        <w:rPr>
          <w:rFonts w:ascii="宋体" w:hAnsi="宋体" w:cs="宋体"/>
        </w:rPr>
      </w:pPr>
      <w:r>
        <w:rPr>
          <w:rFonts w:hint="eastAsia" w:ascii="宋体" w:hAnsi="宋体" w:cs="宋体"/>
        </w:rPr>
        <w:t>7.3.1 开工准备</w:t>
      </w:r>
    </w:p>
    <w:p w14:paraId="1E0FE57F">
      <w:pPr>
        <w:spacing w:line="360" w:lineRule="exact"/>
        <w:ind w:firstLine="645"/>
        <w:jc w:val="left"/>
        <w:rPr>
          <w:rFonts w:ascii="宋体" w:hAnsi="宋体" w:cs="宋体"/>
          <w:u w:val="single"/>
        </w:rPr>
      </w:pPr>
      <w:r>
        <w:rPr>
          <w:rFonts w:hint="eastAsia" w:ascii="宋体" w:hAnsi="宋体" w:cs="宋体"/>
        </w:rPr>
        <w:t>关于承包人提交</w:t>
      </w:r>
      <w:r>
        <w:rPr>
          <w:rFonts w:hint="eastAsia" w:ascii="宋体" w:hAnsi="宋体" w:cs="宋体"/>
          <w:kern w:val="0"/>
        </w:rPr>
        <w:t>工程开工报审表的期限：</w:t>
      </w:r>
      <w:r>
        <w:rPr>
          <w:rFonts w:hint="eastAsia" w:ascii="宋体" w:hAnsi="宋体" w:cs="宋体"/>
          <w:u w:val="single"/>
        </w:rPr>
        <w:t xml:space="preserve">  合同签订后7天  </w:t>
      </w:r>
      <w:r>
        <w:rPr>
          <w:rFonts w:hint="eastAsia" w:ascii="宋体" w:hAnsi="宋体" w:cs="宋体"/>
        </w:rPr>
        <w:t>。</w:t>
      </w:r>
    </w:p>
    <w:p w14:paraId="0E41F0D5">
      <w:pPr>
        <w:spacing w:line="360" w:lineRule="exact"/>
        <w:ind w:firstLine="645"/>
        <w:jc w:val="left"/>
        <w:rPr>
          <w:rFonts w:ascii="宋体" w:hAnsi="宋体" w:cs="宋体"/>
        </w:rPr>
      </w:pPr>
      <w:r>
        <w:rPr>
          <w:rFonts w:hint="eastAsia" w:ascii="宋体" w:hAnsi="宋体" w:cs="宋体"/>
        </w:rPr>
        <w:t>关于发包人应完成的其他开工准备工作及期限：</w:t>
      </w:r>
      <w:r>
        <w:rPr>
          <w:rFonts w:hint="eastAsia" w:ascii="宋体" w:hAnsi="宋体" w:cs="宋体"/>
          <w:u w:val="single"/>
        </w:rPr>
        <w:t xml:space="preserve">合同签订后7天  </w:t>
      </w:r>
      <w:r>
        <w:rPr>
          <w:rFonts w:hint="eastAsia" w:ascii="宋体" w:hAnsi="宋体" w:cs="宋体"/>
        </w:rPr>
        <w:t>。</w:t>
      </w:r>
    </w:p>
    <w:p w14:paraId="4AA407EE">
      <w:pPr>
        <w:spacing w:line="360" w:lineRule="exact"/>
        <w:ind w:firstLine="420" w:firstLineChars="200"/>
        <w:jc w:val="left"/>
        <w:rPr>
          <w:rFonts w:ascii="宋体" w:hAnsi="宋体" w:cs="宋体"/>
        </w:rPr>
      </w:pPr>
      <w:r>
        <w:rPr>
          <w:rFonts w:hint="eastAsia" w:ascii="宋体" w:hAnsi="宋体" w:cs="宋体"/>
        </w:rPr>
        <w:t>关于承包人应完成的其他开工准备工作及期限：</w:t>
      </w:r>
      <w:r>
        <w:rPr>
          <w:rFonts w:hint="eastAsia" w:ascii="宋体" w:hAnsi="宋体" w:cs="宋体"/>
          <w:u w:val="single"/>
        </w:rPr>
        <w:t xml:space="preserve">   合同签订后7天   </w:t>
      </w:r>
      <w:r>
        <w:rPr>
          <w:rFonts w:hint="eastAsia" w:ascii="宋体" w:hAnsi="宋体" w:cs="宋体"/>
        </w:rPr>
        <w:t>。</w:t>
      </w:r>
    </w:p>
    <w:p w14:paraId="02606A6B">
      <w:pPr>
        <w:spacing w:line="360" w:lineRule="exact"/>
        <w:ind w:firstLine="420" w:firstLineChars="200"/>
        <w:jc w:val="left"/>
        <w:rPr>
          <w:rFonts w:ascii="宋体" w:hAnsi="宋体" w:cs="宋体"/>
        </w:rPr>
      </w:pPr>
      <w:r>
        <w:rPr>
          <w:rFonts w:hint="eastAsia" w:ascii="宋体" w:hAnsi="宋体" w:cs="宋体"/>
        </w:rPr>
        <w:t>7.3.2开工通知</w:t>
      </w:r>
    </w:p>
    <w:p w14:paraId="7B2FC52A">
      <w:pPr>
        <w:spacing w:line="360" w:lineRule="exact"/>
        <w:ind w:firstLine="420" w:firstLineChars="200"/>
        <w:jc w:val="left"/>
        <w:rPr>
          <w:rFonts w:ascii="宋体" w:hAnsi="宋体" w:cs="宋体"/>
        </w:rPr>
      </w:pPr>
      <w:r>
        <w:rPr>
          <w:rFonts w:hint="eastAsia" w:ascii="宋体" w:hAnsi="宋体" w:cs="宋体"/>
        </w:rPr>
        <w:t>因发包人原因造成监理人未能在计划开工日期之日起</w:t>
      </w:r>
      <w:r>
        <w:rPr>
          <w:rFonts w:hint="eastAsia" w:ascii="宋体" w:hAnsi="宋体" w:cs="宋体"/>
          <w:u w:val="single"/>
        </w:rPr>
        <w:t xml:space="preserve"> 180 </w:t>
      </w:r>
      <w:r>
        <w:rPr>
          <w:rFonts w:hint="eastAsia" w:ascii="宋体" w:hAnsi="宋体" w:cs="宋体"/>
        </w:rPr>
        <w:t>天内发出开工通知的，承包人有权提出价格调整要求，或者解除合同。</w:t>
      </w:r>
    </w:p>
    <w:p w14:paraId="32DCBD68">
      <w:pPr>
        <w:spacing w:after="120" w:line="360" w:lineRule="exact"/>
        <w:ind w:firstLine="420" w:firstLineChars="200"/>
        <w:rPr>
          <w:rFonts w:ascii="宋体" w:hAnsi="宋体" w:cs="宋体"/>
        </w:rPr>
      </w:pPr>
      <w:r>
        <w:rPr>
          <w:rFonts w:hint="eastAsia" w:ascii="宋体" w:hAnsi="宋体" w:cs="宋体"/>
        </w:rPr>
        <w:t>7.4 测量放线</w:t>
      </w:r>
    </w:p>
    <w:p w14:paraId="182F72C8">
      <w:pPr>
        <w:spacing w:line="360" w:lineRule="exact"/>
        <w:ind w:firstLine="420" w:firstLineChars="200"/>
        <w:jc w:val="left"/>
        <w:rPr>
          <w:rFonts w:ascii="宋体" w:hAnsi="宋体" w:cs="宋体"/>
          <w:u w:val="single"/>
        </w:rPr>
      </w:pPr>
      <w:r>
        <w:rPr>
          <w:rFonts w:hint="eastAsia" w:ascii="宋体" w:hAnsi="宋体" w:cs="宋体"/>
        </w:rPr>
        <w:t>7.4.1发包人通过监理人向承包人提供测量基准点、基准线和水准点及其书面资料的期限：</w:t>
      </w:r>
      <w:r>
        <w:rPr>
          <w:rFonts w:hint="eastAsia" w:ascii="宋体" w:hAnsi="宋体" w:cs="宋体"/>
          <w:u w:val="single"/>
        </w:rPr>
        <w:t xml:space="preserve">  合同签订后14天   </w:t>
      </w:r>
      <w:r>
        <w:rPr>
          <w:rFonts w:hint="eastAsia" w:ascii="宋体" w:hAnsi="宋体" w:cs="宋体"/>
        </w:rPr>
        <w:t>。</w:t>
      </w:r>
    </w:p>
    <w:p w14:paraId="0C02A71E">
      <w:pPr>
        <w:spacing w:after="120" w:line="360" w:lineRule="exact"/>
        <w:ind w:firstLine="420" w:firstLineChars="200"/>
        <w:rPr>
          <w:rFonts w:ascii="宋体" w:hAnsi="宋体" w:cs="宋体"/>
        </w:rPr>
      </w:pPr>
      <w:r>
        <w:rPr>
          <w:rFonts w:hint="eastAsia" w:ascii="宋体" w:hAnsi="宋体" w:cs="宋体"/>
        </w:rPr>
        <w:t>7.5 工期延误</w:t>
      </w:r>
    </w:p>
    <w:p w14:paraId="5FDE0BB0">
      <w:pPr>
        <w:spacing w:line="360" w:lineRule="exact"/>
        <w:ind w:firstLine="420" w:firstLineChars="200"/>
        <w:jc w:val="left"/>
        <w:rPr>
          <w:rFonts w:ascii="宋体" w:hAnsi="宋体" w:cs="宋体"/>
        </w:rPr>
      </w:pPr>
      <w:r>
        <w:rPr>
          <w:rFonts w:hint="eastAsia" w:ascii="宋体" w:hAnsi="宋体" w:cs="宋体"/>
        </w:rPr>
        <w:t>7.5.1 因发包人原因导致工期延误</w:t>
      </w:r>
    </w:p>
    <w:p w14:paraId="1E404818">
      <w:pPr>
        <w:spacing w:line="360" w:lineRule="exact"/>
        <w:ind w:firstLine="420" w:firstLineChars="200"/>
        <w:jc w:val="left"/>
        <w:rPr>
          <w:rFonts w:ascii="宋体" w:hAnsi="宋体" w:cs="宋体"/>
          <w:u w:val="single"/>
        </w:rPr>
      </w:pPr>
      <w:r>
        <w:rPr>
          <w:rFonts w:hint="eastAsia" w:ascii="宋体" w:hAnsi="宋体" w:cs="宋体"/>
        </w:rPr>
        <w:t>（7）因发包人原因导致工期延误的其他情形：</w:t>
      </w:r>
      <w:r>
        <w:rPr>
          <w:rFonts w:hint="eastAsia" w:ascii="宋体" w:hAnsi="宋体" w:cs="宋体"/>
          <w:u w:val="single"/>
        </w:rPr>
        <w:t xml:space="preserve">  1重大图纸变更影响关健线路工序施工或关键线路上 的工程量变化超过合同工程量 30%及以上的;2施工期间如因停电、停水连续 8 小时以上或一周内间歇性 停水、停电累计 8 小时(含 8 小时)影响正常施工的。3政府指令性停工。4在施工过程中遇到地下障碍 物、溶洞、岩石、文物或地下管线的。5因甲供材料提供延误的。6不可抗力;7非承包人的责任造成的工期延误其他情形 。</w:t>
      </w:r>
    </w:p>
    <w:p w14:paraId="7A43AC2D">
      <w:pPr>
        <w:spacing w:line="360" w:lineRule="exact"/>
        <w:ind w:firstLine="420" w:firstLineChars="200"/>
        <w:jc w:val="left"/>
        <w:rPr>
          <w:rFonts w:ascii="宋体" w:hAnsi="宋体" w:cs="宋体"/>
        </w:rPr>
      </w:pPr>
      <w:r>
        <w:rPr>
          <w:rFonts w:hint="eastAsia" w:ascii="宋体" w:hAnsi="宋体" w:cs="宋体"/>
          <w:u w:val="single"/>
        </w:rPr>
        <w:t xml:space="preserve">当发生上述导致工期延误的情况时，承包人应在情况发生后 7 天内，就工期调整的理由以书面形式向 发包人报告，经发包人确认，除给予工期顺延的签证外，发包人不承担任何责任和不增加任何费用。   </w:t>
      </w:r>
      <w:r>
        <w:rPr>
          <w:rFonts w:hint="eastAsia" w:ascii="宋体" w:hAnsi="宋体" w:cs="宋体"/>
        </w:rPr>
        <w:t>。</w:t>
      </w:r>
    </w:p>
    <w:p w14:paraId="60184A54">
      <w:pPr>
        <w:spacing w:line="360" w:lineRule="exact"/>
        <w:ind w:firstLine="420" w:firstLineChars="200"/>
        <w:jc w:val="left"/>
        <w:rPr>
          <w:rFonts w:ascii="宋体" w:hAnsi="宋体" w:cs="宋体"/>
        </w:rPr>
      </w:pPr>
      <w:r>
        <w:rPr>
          <w:rFonts w:hint="eastAsia" w:ascii="宋体" w:hAnsi="宋体" w:cs="宋体"/>
        </w:rPr>
        <w:t>7.5.2 因承包人原因导致工期延误</w:t>
      </w:r>
    </w:p>
    <w:p w14:paraId="36BE0952">
      <w:pPr>
        <w:spacing w:line="360" w:lineRule="exact"/>
        <w:ind w:firstLine="420" w:firstLineChars="200"/>
        <w:jc w:val="left"/>
        <w:rPr>
          <w:rFonts w:ascii="宋体" w:hAnsi="宋体" w:cs="宋体"/>
        </w:rPr>
      </w:pPr>
      <w:r>
        <w:rPr>
          <w:rFonts w:hint="eastAsia" w:ascii="宋体" w:hAnsi="宋体" w:cs="宋体"/>
        </w:rPr>
        <w:t>因承包人原因造成工期延误，逾期竣工违约金的计算方法为：</w:t>
      </w:r>
      <w:r>
        <w:rPr>
          <w:rFonts w:hint="eastAsia" w:ascii="宋体" w:hAnsi="宋体" w:cs="宋体"/>
          <w:u w:val="single"/>
        </w:rPr>
        <w:t xml:space="preserve">非上述原因，承包人不能按合同约定的时间竣工，承包人应承担违约责任。应向发包人支付误期赔偿费（每天赔偿金额为合同价款扣除社会保险费、发包人材料价款、暂估专业工程、暂列金额后的万分之四 ），误期时间从规定竣工日期起直到全部工程或相应部分工程竣工验收各方签章日期之间的天数（扣除发包人批准顺延的工期）。发包人可从应向承包人支付的任何金额中扣除此项赔款费或其他方式收回此款，此赔偿款的支付并不能解除承包人应完成工程的责任或合同规定的其他责任  </w:t>
      </w:r>
      <w:r>
        <w:rPr>
          <w:rFonts w:hint="eastAsia" w:ascii="宋体" w:hAnsi="宋体" w:cs="宋体"/>
        </w:rPr>
        <w:t>。</w:t>
      </w:r>
    </w:p>
    <w:p w14:paraId="13452D9C">
      <w:pPr>
        <w:spacing w:line="360" w:lineRule="exact"/>
        <w:ind w:firstLine="420" w:firstLineChars="200"/>
        <w:jc w:val="left"/>
        <w:rPr>
          <w:rFonts w:ascii="宋体" w:hAnsi="宋体" w:cs="宋体"/>
        </w:rPr>
      </w:pPr>
      <w:r>
        <w:rPr>
          <w:rFonts w:hint="eastAsia" w:ascii="宋体" w:hAnsi="宋体" w:cs="宋体"/>
        </w:rPr>
        <w:t>因承包人原因造成工期延误，逾期竣工违约金的上限：</w:t>
      </w:r>
      <w:r>
        <w:rPr>
          <w:rFonts w:hint="eastAsia" w:ascii="宋体" w:hAnsi="宋体" w:cs="宋体"/>
          <w:u w:val="single"/>
        </w:rPr>
        <w:t xml:space="preserve">  以合同总价的</w:t>
      </w:r>
      <w:r>
        <w:rPr>
          <w:rFonts w:ascii="宋体" w:hAnsi="宋体" w:cs="宋体"/>
          <w:u w:val="single"/>
        </w:rPr>
        <w:t>1</w:t>
      </w:r>
      <w:r>
        <w:rPr>
          <w:rFonts w:hint="eastAsia" w:ascii="宋体" w:hAnsi="宋体" w:cs="宋体"/>
          <w:u w:val="single"/>
        </w:rPr>
        <w:t>%为上限</w:t>
      </w:r>
      <w:r>
        <w:rPr>
          <w:rFonts w:hint="eastAsia" w:ascii="宋体" w:hAnsi="宋体" w:cs="宋体"/>
        </w:rPr>
        <w:t>。</w:t>
      </w:r>
    </w:p>
    <w:p w14:paraId="21589C7F">
      <w:pPr>
        <w:spacing w:after="120" w:line="360" w:lineRule="exact"/>
        <w:ind w:firstLine="420" w:firstLineChars="200"/>
        <w:rPr>
          <w:rFonts w:ascii="宋体" w:hAnsi="宋体" w:cs="宋体"/>
        </w:rPr>
      </w:pPr>
      <w:r>
        <w:rPr>
          <w:rFonts w:hint="eastAsia" w:ascii="宋体" w:hAnsi="宋体" w:cs="宋体"/>
        </w:rPr>
        <w:t>7.6 不利物质条件</w:t>
      </w:r>
    </w:p>
    <w:p w14:paraId="72A5732C">
      <w:pPr>
        <w:spacing w:line="360" w:lineRule="exact"/>
        <w:ind w:firstLine="420" w:firstLineChars="200"/>
        <w:jc w:val="left"/>
        <w:rPr>
          <w:rFonts w:ascii="宋体" w:hAnsi="宋体" w:cs="宋体"/>
        </w:rPr>
      </w:pPr>
      <w:r>
        <w:rPr>
          <w:rFonts w:hint="eastAsia" w:ascii="宋体" w:hAnsi="宋体" w:cs="宋体"/>
        </w:rPr>
        <w:t>不利物质条件的其他情形和有关约定：</w:t>
      </w:r>
      <w:r>
        <w:rPr>
          <w:rFonts w:hint="eastAsia" w:ascii="宋体" w:hAnsi="宋体" w:cs="宋体"/>
          <w:u w:val="single"/>
        </w:rPr>
        <w:t xml:space="preserve">一周内非承包人原因，停水、停电、停气造成停工连续超过8小时；重大设计变更和工程量增加；发包人手续不全致使施工不能正常进行；发包人未能按约定时间支付工程款致使施工不能正常进行的；非承包人原因的政府及发包人有关的停工通知，以上不利物质条件延误工期的相应延长工期，因发包人原因给承包人造成损失的由发包人相应赔偿承包人，属政府和环境等原因的，双方协商处理  </w:t>
      </w:r>
      <w:r>
        <w:rPr>
          <w:rFonts w:hint="eastAsia" w:ascii="宋体" w:hAnsi="宋体" w:cs="宋体"/>
        </w:rPr>
        <w:t>。</w:t>
      </w:r>
    </w:p>
    <w:p w14:paraId="2C9ECD17">
      <w:pPr>
        <w:spacing w:after="120" w:line="360" w:lineRule="exact"/>
        <w:ind w:firstLine="420" w:firstLineChars="200"/>
        <w:rPr>
          <w:rFonts w:ascii="宋体" w:hAnsi="宋体" w:cs="宋体"/>
        </w:rPr>
      </w:pPr>
      <w:r>
        <w:rPr>
          <w:rFonts w:hint="eastAsia" w:ascii="宋体" w:hAnsi="宋体" w:cs="宋体"/>
        </w:rPr>
        <w:t>7.7异常恶劣的气候条件</w:t>
      </w:r>
    </w:p>
    <w:p w14:paraId="45E43BE3">
      <w:pPr>
        <w:spacing w:line="360" w:lineRule="exact"/>
        <w:ind w:firstLine="420" w:firstLineChars="200"/>
        <w:jc w:val="left"/>
        <w:rPr>
          <w:rFonts w:ascii="宋体" w:hAnsi="宋体" w:cs="宋体"/>
        </w:rPr>
      </w:pPr>
      <w:r>
        <w:rPr>
          <w:rFonts w:hint="eastAsia" w:ascii="宋体" w:hAnsi="宋体" w:cs="宋体"/>
        </w:rPr>
        <w:t>发包人和承包人同意以下情形视为异常恶劣的气候条件：</w:t>
      </w:r>
    </w:p>
    <w:p w14:paraId="3D88EC18">
      <w:pPr>
        <w:spacing w:line="360" w:lineRule="exact"/>
        <w:ind w:firstLine="420" w:firstLineChars="200"/>
        <w:jc w:val="left"/>
        <w:rPr>
          <w:rFonts w:ascii="宋体" w:hAnsi="宋体" w:cs="宋体"/>
        </w:rPr>
      </w:pPr>
      <w:r>
        <w:rPr>
          <w:rFonts w:hint="eastAsia" w:ascii="宋体" w:hAnsi="宋体" w:cs="宋体"/>
        </w:rPr>
        <w:t>（1）</w:t>
      </w:r>
      <w:r>
        <w:rPr>
          <w:rFonts w:hint="eastAsia" w:ascii="宋体" w:hAnsi="宋体" w:cs="宋体"/>
          <w:u w:val="single"/>
        </w:rPr>
        <w:t xml:space="preserve">  10级及以上持续3天的大风  </w:t>
      </w:r>
      <w:r>
        <w:rPr>
          <w:rFonts w:hint="eastAsia" w:ascii="宋体" w:hAnsi="宋体" w:cs="宋体"/>
        </w:rPr>
        <w:t>；</w:t>
      </w:r>
    </w:p>
    <w:p w14:paraId="6442ADD2">
      <w:pPr>
        <w:spacing w:line="360" w:lineRule="exact"/>
        <w:ind w:firstLine="420" w:firstLineChars="200"/>
        <w:jc w:val="left"/>
        <w:rPr>
          <w:rFonts w:ascii="宋体" w:hAnsi="宋体" w:cs="宋体"/>
        </w:rPr>
      </w:pPr>
      <w:r>
        <w:rPr>
          <w:rFonts w:hint="eastAsia" w:ascii="宋体" w:hAnsi="宋体" w:cs="宋体"/>
        </w:rPr>
        <w:t>（2）</w:t>
      </w:r>
      <w:r>
        <w:rPr>
          <w:rFonts w:hint="eastAsia" w:ascii="宋体" w:hAnsi="宋体" w:cs="宋体"/>
          <w:u w:val="single"/>
        </w:rPr>
        <w:t xml:space="preserve">  暴雨级以上持续3天的大雨天 </w:t>
      </w:r>
      <w:r>
        <w:rPr>
          <w:rFonts w:hint="eastAsia" w:ascii="宋体" w:hAnsi="宋体" w:cs="宋体"/>
        </w:rPr>
        <w:t>；</w:t>
      </w:r>
    </w:p>
    <w:p w14:paraId="7203EE65">
      <w:pPr>
        <w:spacing w:line="360" w:lineRule="exact"/>
        <w:ind w:firstLine="420" w:firstLineChars="200"/>
        <w:jc w:val="left"/>
        <w:rPr>
          <w:rFonts w:ascii="宋体" w:hAnsi="宋体" w:cs="宋体"/>
        </w:rPr>
      </w:pPr>
      <w:r>
        <w:rPr>
          <w:rFonts w:hint="eastAsia" w:ascii="宋体" w:hAnsi="宋体" w:cs="宋体"/>
        </w:rPr>
        <w:t>（3）</w:t>
      </w:r>
      <w:r>
        <w:rPr>
          <w:rFonts w:hint="eastAsia" w:ascii="宋体" w:hAnsi="宋体" w:cs="宋体"/>
          <w:u w:val="single"/>
        </w:rPr>
        <w:t xml:space="preserve">  5年及以上未发生过，持续5天的高温天气或者持续5天的低温天气   </w:t>
      </w:r>
      <w:r>
        <w:rPr>
          <w:rFonts w:hint="eastAsia" w:ascii="宋体" w:hAnsi="宋体" w:cs="宋体"/>
        </w:rPr>
        <w:t>。</w:t>
      </w:r>
    </w:p>
    <w:p w14:paraId="6F0771AF">
      <w:pPr>
        <w:pStyle w:val="6"/>
        <w:spacing w:line="360" w:lineRule="exact"/>
        <w:rPr>
          <w:rFonts w:ascii="宋体" w:hAnsi="宋体" w:cs="宋体"/>
          <w:sz w:val="21"/>
          <w:szCs w:val="21"/>
        </w:rPr>
      </w:pPr>
      <w:r>
        <w:rPr>
          <w:rFonts w:hint="eastAsia" w:ascii="宋体" w:hAnsi="宋体" w:cs="宋体"/>
          <w:sz w:val="21"/>
          <w:szCs w:val="21"/>
        </w:rPr>
        <w:t>7.9 提前竣工的奖励</w:t>
      </w:r>
    </w:p>
    <w:p w14:paraId="6D491103">
      <w:pPr>
        <w:spacing w:line="360" w:lineRule="exact"/>
        <w:ind w:firstLine="420" w:firstLineChars="200"/>
        <w:jc w:val="left"/>
        <w:rPr>
          <w:rFonts w:ascii="宋体" w:hAnsi="宋体" w:cs="宋体"/>
        </w:rPr>
      </w:pPr>
      <w:r>
        <w:rPr>
          <w:rFonts w:hint="eastAsia" w:ascii="宋体" w:hAnsi="宋体" w:cs="宋体"/>
        </w:rPr>
        <w:t>7.9.2提前竣工的奖励：</w:t>
      </w:r>
      <w:r>
        <w:rPr>
          <w:rFonts w:hint="eastAsia" w:ascii="宋体" w:hAnsi="宋体" w:cs="宋体"/>
          <w:u w:val="single"/>
        </w:rPr>
        <w:t xml:space="preserve">      无       </w:t>
      </w:r>
      <w:r>
        <w:rPr>
          <w:rFonts w:hint="eastAsia" w:ascii="宋体" w:hAnsi="宋体" w:cs="宋体"/>
        </w:rPr>
        <w:t>。</w:t>
      </w:r>
    </w:p>
    <w:p w14:paraId="0B45A804">
      <w:pPr>
        <w:pStyle w:val="7"/>
        <w:spacing w:before="120" w:after="120" w:line="360" w:lineRule="exact"/>
        <w:rPr>
          <w:rFonts w:ascii="宋体" w:hAnsi="宋体" w:cs="宋体"/>
          <w:b w:val="0"/>
          <w:sz w:val="21"/>
          <w:szCs w:val="21"/>
        </w:rPr>
      </w:pPr>
      <w:r>
        <w:rPr>
          <w:rFonts w:hint="eastAsia" w:ascii="宋体" w:hAnsi="宋体" w:cs="宋体"/>
          <w:b w:val="0"/>
          <w:sz w:val="21"/>
          <w:szCs w:val="21"/>
        </w:rPr>
        <w:t>8. 材料与设备</w:t>
      </w:r>
    </w:p>
    <w:p w14:paraId="70FBAD56">
      <w:pPr>
        <w:spacing w:after="120" w:line="360" w:lineRule="exact"/>
        <w:ind w:firstLine="420" w:firstLineChars="200"/>
        <w:rPr>
          <w:rFonts w:ascii="宋体" w:hAnsi="宋体" w:cs="宋体"/>
        </w:rPr>
      </w:pPr>
      <w:r>
        <w:rPr>
          <w:rFonts w:hint="eastAsia" w:ascii="宋体" w:hAnsi="宋体" w:cs="宋体"/>
        </w:rPr>
        <w:t>8.4材料与工程设备的保管与使用</w:t>
      </w:r>
    </w:p>
    <w:p w14:paraId="6F285D79">
      <w:pPr>
        <w:spacing w:line="360" w:lineRule="exact"/>
        <w:ind w:firstLine="420" w:firstLineChars="200"/>
        <w:jc w:val="left"/>
        <w:rPr>
          <w:rFonts w:ascii="宋体" w:hAnsi="宋体" w:cs="宋体"/>
        </w:rPr>
      </w:pPr>
      <w:r>
        <w:rPr>
          <w:rFonts w:hint="eastAsia" w:ascii="宋体" w:hAnsi="宋体" w:cs="宋体"/>
        </w:rPr>
        <w:t>8.4.1发包人供应的材料设备的保管费用的承担：</w:t>
      </w:r>
      <w:r>
        <w:rPr>
          <w:rFonts w:hint="eastAsia" w:ascii="宋体" w:hAnsi="宋体" w:cs="宋体"/>
          <w:u w:val="single"/>
        </w:rPr>
        <w:t xml:space="preserve"> 承包人承担 </w:t>
      </w:r>
      <w:r>
        <w:rPr>
          <w:rFonts w:hint="eastAsia" w:ascii="宋体" w:hAnsi="宋体" w:cs="宋体"/>
        </w:rPr>
        <w:t>。</w:t>
      </w:r>
    </w:p>
    <w:p w14:paraId="6E7E019D">
      <w:pPr>
        <w:pStyle w:val="6"/>
        <w:spacing w:line="360" w:lineRule="exact"/>
        <w:rPr>
          <w:rFonts w:ascii="宋体" w:hAnsi="宋体" w:cs="宋体"/>
          <w:sz w:val="21"/>
          <w:szCs w:val="21"/>
        </w:rPr>
      </w:pPr>
      <w:r>
        <w:rPr>
          <w:rFonts w:hint="eastAsia" w:ascii="宋体" w:hAnsi="宋体" w:cs="宋体"/>
          <w:sz w:val="21"/>
          <w:szCs w:val="21"/>
        </w:rPr>
        <w:t>8.6 样品</w:t>
      </w:r>
    </w:p>
    <w:p w14:paraId="4C9FD8C2">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8.6.1</w:t>
      </w:r>
      <w:r>
        <w:rPr>
          <w:rFonts w:hint="eastAsia" w:ascii="宋体" w:hAnsi="宋体" w:cs="宋体"/>
          <w:kern w:val="0"/>
        </w:rPr>
        <w:tab/>
      </w:r>
      <w:r>
        <w:rPr>
          <w:rFonts w:hint="eastAsia" w:ascii="宋体" w:hAnsi="宋体" w:cs="宋体"/>
          <w:kern w:val="0"/>
        </w:rPr>
        <w:t>样品的报送与封存</w:t>
      </w:r>
    </w:p>
    <w:p w14:paraId="4D4F97EB">
      <w:pPr>
        <w:autoSpaceDE w:val="0"/>
        <w:autoSpaceDN w:val="0"/>
        <w:adjustRightInd w:val="0"/>
        <w:spacing w:line="360" w:lineRule="exact"/>
        <w:ind w:firstLine="420" w:firstLineChars="200"/>
        <w:jc w:val="left"/>
        <w:rPr>
          <w:rFonts w:ascii="宋体" w:hAnsi="宋体" w:cs="宋体"/>
        </w:rPr>
      </w:pPr>
      <w:r>
        <w:rPr>
          <w:rFonts w:hint="eastAsia" w:ascii="宋体" w:hAnsi="宋体" w:cs="宋体"/>
          <w:kern w:val="0"/>
        </w:rPr>
        <w:t>需要承包人报送样品的材料或工程设备，样品的种类、名称、规格、数量要求：</w:t>
      </w:r>
      <w:r>
        <w:rPr>
          <w:rFonts w:hint="eastAsia" w:ascii="宋体" w:hAnsi="宋体" w:cs="宋体"/>
          <w:u w:val="single"/>
        </w:rPr>
        <w:t xml:space="preserve">  主要材料涉及品种、款式、颜色等方面内容的，承包人应提交准备合格的材料样品送发包人选定  </w:t>
      </w:r>
      <w:r>
        <w:rPr>
          <w:rFonts w:hint="eastAsia" w:ascii="宋体" w:hAnsi="宋体" w:cs="宋体"/>
        </w:rPr>
        <w:t>。</w:t>
      </w:r>
    </w:p>
    <w:p w14:paraId="69F1A134">
      <w:pPr>
        <w:pStyle w:val="6"/>
        <w:spacing w:line="360" w:lineRule="exact"/>
        <w:rPr>
          <w:rFonts w:ascii="宋体" w:hAnsi="宋体" w:cs="宋体"/>
          <w:sz w:val="21"/>
          <w:szCs w:val="21"/>
        </w:rPr>
      </w:pPr>
      <w:r>
        <w:rPr>
          <w:rFonts w:hint="eastAsia" w:ascii="宋体" w:hAnsi="宋体" w:cs="宋体"/>
          <w:sz w:val="21"/>
          <w:szCs w:val="21"/>
        </w:rPr>
        <w:t>8.8 施工设备和临时设施</w:t>
      </w:r>
    </w:p>
    <w:p w14:paraId="16C775C1">
      <w:pPr>
        <w:autoSpaceDE w:val="0"/>
        <w:autoSpaceDN w:val="0"/>
        <w:adjustRightInd w:val="0"/>
        <w:spacing w:line="360" w:lineRule="exact"/>
        <w:ind w:firstLine="420" w:firstLineChars="200"/>
        <w:jc w:val="left"/>
        <w:rPr>
          <w:rFonts w:ascii="宋体" w:hAnsi="宋体" w:cs="宋体"/>
        </w:rPr>
      </w:pPr>
      <w:r>
        <w:rPr>
          <w:rFonts w:hint="eastAsia" w:ascii="宋体" w:hAnsi="宋体" w:cs="宋体"/>
        </w:rPr>
        <w:t>8.8.1 承包人提供的施工设备和临时设施</w:t>
      </w:r>
    </w:p>
    <w:p w14:paraId="4DE4D157">
      <w:pPr>
        <w:autoSpaceDE w:val="0"/>
        <w:autoSpaceDN w:val="0"/>
        <w:adjustRightInd w:val="0"/>
        <w:spacing w:line="360" w:lineRule="exact"/>
        <w:ind w:firstLine="420" w:firstLineChars="200"/>
        <w:jc w:val="left"/>
        <w:rPr>
          <w:rFonts w:ascii="宋体" w:hAnsi="宋体" w:cs="宋体"/>
        </w:rPr>
      </w:pPr>
      <w:r>
        <w:rPr>
          <w:rFonts w:hint="eastAsia" w:ascii="宋体" w:hAnsi="宋体" w:cs="宋体"/>
        </w:rPr>
        <w:t>关于修建临时设施费用承担的约定：</w:t>
      </w:r>
      <w:r>
        <w:rPr>
          <w:rFonts w:hint="eastAsia" w:ascii="宋体" w:hAnsi="宋体" w:cs="宋体"/>
          <w:u w:val="single"/>
        </w:rPr>
        <w:t xml:space="preserve"> ①承包人的临时用地（含项目部驻地等）租用费（含拆迁补偿）、临时用地的环保、恢复、临时用地的青苗补偿及地面附着物拆除等费用均由承包人负责，以上费用在投标报价中综合考虑。②承包人负责合同实施期间其合同段内临时交通道路（含场内外连接公共交通道路）和交通设施的修建、维修、养护和交通管理工作，并承担一切费用。③承包人修建的临时道路和交通设施，应免费提供给发包人、监理工程师和其他合同段的承包人使用，如共同使用的路基损坏严重，发包人或监理工程师将负责通知有关承包人共同出资修复，若使用频率相差悬殊，则按比例分摊</w:t>
      </w:r>
      <w:r>
        <w:rPr>
          <w:rFonts w:hint="eastAsia" w:ascii="宋体" w:hAnsi="宋体" w:cs="宋体"/>
        </w:rPr>
        <w:t>。</w:t>
      </w:r>
    </w:p>
    <w:p w14:paraId="5D2D1F5E">
      <w:pPr>
        <w:pStyle w:val="7"/>
        <w:spacing w:before="120" w:after="120" w:line="360" w:lineRule="exact"/>
        <w:rPr>
          <w:rFonts w:ascii="宋体" w:hAnsi="宋体" w:cs="宋体"/>
          <w:b w:val="0"/>
          <w:sz w:val="21"/>
          <w:szCs w:val="21"/>
        </w:rPr>
      </w:pPr>
      <w:r>
        <w:rPr>
          <w:rFonts w:hint="eastAsia" w:ascii="宋体" w:hAnsi="宋体" w:cs="宋体"/>
          <w:b w:val="0"/>
          <w:sz w:val="21"/>
          <w:szCs w:val="21"/>
        </w:rPr>
        <w:t>9. 试验与检验</w:t>
      </w:r>
    </w:p>
    <w:p w14:paraId="05AF73DA">
      <w:pPr>
        <w:spacing w:after="120" w:line="360" w:lineRule="exact"/>
        <w:ind w:firstLine="420" w:firstLineChars="200"/>
        <w:rPr>
          <w:rFonts w:ascii="宋体" w:hAnsi="宋体" w:cs="宋体"/>
        </w:rPr>
      </w:pPr>
      <w:r>
        <w:rPr>
          <w:rFonts w:hint="eastAsia" w:ascii="宋体" w:hAnsi="宋体" w:cs="宋体"/>
        </w:rPr>
        <w:t>9.1试验设备与试验人员</w:t>
      </w:r>
    </w:p>
    <w:p w14:paraId="71F8DA71">
      <w:pPr>
        <w:spacing w:line="360" w:lineRule="exact"/>
        <w:ind w:firstLine="420" w:firstLineChars="200"/>
        <w:jc w:val="left"/>
        <w:rPr>
          <w:rFonts w:ascii="宋体" w:hAnsi="宋体" w:cs="宋体"/>
        </w:rPr>
      </w:pPr>
      <w:r>
        <w:rPr>
          <w:rFonts w:hint="eastAsia" w:ascii="宋体" w:hAnsi="宋体" w:cs="宋体"/>
        </w:rPr>
        <w:t>9.1.2 试验设备</w:t>
      </w:r>
    </w:p>
    <w:p w14:paraId="54793A5C">
      <w:pPr>
        <w:spacing w:line="360" w:lineRule="exact"/>
        <w:ind w:firstLine="420" w:firstLineChars="200"/>
        <w:jc w:val="left"/>
        <w:rPr>
          <w:rFonts w:ascii="宋体" w:hAnsi="宋体" w:cs="宋体"/>
        </w:rPr>
      </w:pPr>
      <w:r>
        <w:rPr>
          <w:rFonts w:hint="eastAsia" w:ascii="宋体" w:hAnsi="宋体" w:cs="宋体"/>
        </w:rPr>
        <w:t>施工现场需要配置的试验场所：</w:t>
      </w:r>
      <w:r>
        <w:rPr>
          <w:rFonts w:hint="eastAsia" w:ascii="宋体" w:hAnsi="宋体" w:cs="宋体"/>
          <w:u w:val="single"/>
        </w:rPr>
        <w:t xml:space="preserve">根据国家及地方有关规定和现场实际情况配置  </w:t>
      </w:r>
      <w:r>
        <w:rPr>
          <w:rFonts w:hint="eastAsia" w:ascii="宋体" w:hAnsi="宋体" w:cs="宋体"/>
        </w:rPr>
        <w:t xml:space="preserve">。 </w:t>
      </w:r>
    </w:p>
    <w:p w14:paraId="4B7AAFD9">
      <w:pPr>
        <w:spacing w:line="360" w:lineRule="exact"/>
        <w:ind w:firstLine="420" w:firstLineChars="200"/>
        <w:jc w:val="left"/>
        <w:rPr>
          <w:rFonts w:ascii="宋体" w:hAnsi="宋体" w:cs="宋体"/>
        </w:rPr>
      </w:pPr>
      <w:r>
        <w:rPr>
          <w:rFonts w:hint="eastAsia" w:ascii="宋体" w:hAnsi="宋体" w:cs="宋体"/>
        </w:rPr>
        <w:t>施工现场需要配备的试验设备：</w:t>
      </w:r>
      <w:r>
        <w:rPr>
          <w:rFonts w:hint="eastAsia" w:ascii="宋体" w:hAnsi="宋体" w:cs="宋体"/>
          <w:u w:val="single"/>
        </w:rPr>
        <w:t>根据国家及地方有关规定和现场实际情况配置</w:t>
      </w:r>
      <w:r>
        <w:rPr>
          <w:rFonts w:hint="eastAsia" w:ascii="宋体" w:hAnsi="宋体" w:cs="宋体"/>
        </w:rPr>
        <w:t>。</w:t>
      </w:r>
    </w:p>
    <w:p w14:paraId="2FB51403">
      <w:pPr>
        <w:spacing w:line="360" w:lineRule="exact"/>
        <w:ind w:firstLine="420" w:firstLineChars="200"/>
        <w:jc w:val="left"/>
        <w:rPr>
          <w:rFonts w:ascii="宋体" w:hAnsi="宋体" w:cs="宋体"/>
        </w:rPr>
      </w:pPr>
      <w:r>
        <w:rPr>
          <w:rFonts w:hint="eastAsia" w:ascii="宋体" w:hAnsi="宋体" w:cs="宋体"/>
        </w:rPr>
        <w:t>施工现场需要具备的其他试验条件：</w:t>
      </w:r>
      <w:r>
        <w:rPr>
          <w:rFonts w:hint="eastAsia" w:ascii="宋体" w:hAnsi="宋体" w:cs="宋体"/>
          <w:u w:val="single"/>
        </w:rPr>
        <w:t xml:space="preserve">  根据国家及地方有关规定和现场实际情况配置  </w:t>
      </w:r>
      <w:r>
        <w:rPr>
          <w:rFonts w:hint="eastAsia" w:ascii="宋体" w:hAnsi="宋体" w:cs="宋体"/>
        </w:rPr>
        <w:t>。</w:t>
      </w:r>
    </w:p>
    <w:p w14:paraId="23F835E6">
      <w:pPr>
        <w:pStyle w:val="6"/>
        <w:spacing w:line="360" w:lineRule="exact"/>
        <w:rPr>
          <w:rFonts w:ascii="宋体" w:hAnsi="宋体" w:cs="宋体"/>
          <w:sz w:val="21"/>
          <w:szCs w:val="21"/>
        </w:rPr>
      </w:pPr>
      <w:r>
        <w:rPr>
          <w:rFonts w:hint="eastAsia" w:ascii="宋体" w:hAnsi="宋体" w:cs="宋体"/>
          <w:sz w:val="21"/>
          <w:szCs w:val="21"/>
        </w:rPr>
        <w:t xml:space="preserve">9.4 现场工艺试验 </w:t>
      </w:r>
    </w:p>
    <w:p w14:paraId="552E7881">
      <w:pPr>
        <w:spacing w:line="360" w:lineRule="exact"/>
        <w:ind w:firstLine="420" w:firstLineChars="200"/>
        <w:jc w:val="left"/>
        <w:rPr>
          <w:rFonts w:ascii="宋体" w:hAnsi="宋体" w:cs="宋体"/>
        </w:rPr>
      </w:pPr>
      <w:r>
        <w:rPr>
          <w:rFonts w:hint="eastAsia" w:ascii="宋体" w:hAnsi="宋体" w:cs="宋体"/>
        </w:rPr>
        <w:t>现场工艺试验的有关约定：</w:t>
      </w:r>
      <w:r>
        <w:rPr>
          <w:rFonts w:hint="eastAsia" w:ascii="宋体" w:hAnsi="宋体" w:cs="宋体"/>
          <w:u w:val="single"/>
        </w:rPr>
        <w:t xml:space="preserve">  按通用条款执行   </w:t>
      </w:r>
      <w:r>
        <w:rPr>
          <w:rFonts w:hint="eastAsia" w:ascii="宋体" w:hAnsi="宋体" w:cs="宋体"/>
        </w:rPr>
        <w:t>。</w:t>
      </w:r>
    </w:p>
    <w:p w14:paraId="072879C7">
      <w:pPr>
        <w:pStyle w:val="7"/>
        <w:spacing w:before="120" w:after="120" w:line="360" w:lineRule="exact"/>
        <w:rPr>
          <w:rFonts w:ascii="宋体" w:hAnsi="宋体" w:cs="宋体"/>
          <w:b w:val="0"/>
          <w:sz w:val="21"/>
          <w:szCs w:val="21"/>
        </w:rPr>
      </w:pPr>
      <w:r>
        <w:rPr>
          <w:rFonts w:hint="eastAsia" w:ascii="宋体" w:hAnsi="宋体" w:cs="宋体"/>
          <w:b w:val="0"/>
          <w:sz w:val="21"/>
          <w:szCs w:val="21"/>
        </w:rPr>
        <w:t>10. 变更</w:t>
      </w:r>
    </w:p>
    <w:p w14:paraId="46DECC38">
      <w:pPr>
        <w:spacing w:after="120" w:line="360" w:lineRule="exact"/>
        <w:ind w:firstLine="420" w:firstLineChars="200"/>
        <w:rPr>
          <w:rFonts w:ascii="宋体" w:hAnsi="宋体" w:cs="宋体"/>
        </w:rPr>
      </w:pPr>
      <w:r>
        <w:rPr>
          <w:rFonts w:hint="eastAsia" w:ascii="宋体" w:hAnsi="宋体" w:cs="宋体"/>
        </w:rPr>
        <w:t>10.1变更的范围</w:t>
      </w:r>
    </w:p>
    <w:p w14:paraId="2AA5045F">
      <w:pPr>
        <w:spacing w:line="360" w:lineRule="exact"/>
        <w:ind w:firstLine="600"/>
        <w:jc w:val="left"/>
        <w:rPr>
          <w:rFonts w:ascii="宋体" w:hAnsi="宋体" w:cs="宋体"/>
        </w:rPr>
      </w:pPr>
      <w:r>
        <w:rPr>
          <w:rFonts w:hint="eastAsia" w:ascii="宋体" w:hAnsi="宋体" w:cs="宋体"/>
        </w:rPr>
        <w:t>关于变更的范围的约定：</w:t>
      </w:r>
      <w:r>
        <w:rPr>
          <w:rFonts w:hint="eastAsia" w:ascii="宋体" w:hAnsi="宋体" w:cs="宋体"/>
          <w:u w:val="single"/>
        </w:rPr>
        <w:t xml:space="preserve">   按通用条款执行   </w:t>
      </w:r>
      <w:r>
        <w:rPr>
          <w:rFonts w:hint="eastAsia" w:ascii="宋体" w:hAnsi="宋体" w:cs="宋体"/>
        </w:rPr>
        <w:t>。</w:t>
      </w:r>
    </w:p>
    <w:p w14:paraId="50EDB528">
      <w:pPr>
        <w:pStyle w:val="6"/>
        <w:spacing w:line="360" w:lineRule="exact"/>
        <w:rPr>
          <w:rFonts w:ascii="宋体" w:hAnsi="宋体" w:cs="宋体"/>
          <w:sz w:val="21"/>
          <w:szCs w:val="21"/>
        </w:rPr>
      </w:pPr>
      <w:r>
        <w:rPr>
          <w:rFonts w:hint="eastAsia" w:ascii="宋体" w:hAnsi="宋体" w:cs="宋体"/>
          <w:sz w:val="21"/>
          <w:szCs w:val="21"/>
        </w:rPr>
        <w:t>10.4 变更估价</w:t>
      </w:r>
    </w:p>
    <w:p w14:paraId="0C7120EF">
      <w:pPr>
        <w:spacing w:line="360" w:lineRule="exact"/>
        <w:ind w:firstLine="420" w:firstLineChars="200"/>
        <w:jc w:val="left"/>
        <w:rPr>
          <w:rFonts w:ascii="宋体" w:hAnsi="宋体" w:cs="宋体"/>
        </w:rPr>
      </w:pPr>
      <w:r>
        <w:rPr>
          <w:rFonts w:hint="eastAsia" w:ascii="宋体" w:hAnsi="宋体" w:cs="宋体"/>
        </w:rPr>
        <w:t>10.4.1 变更估价原则</w:t>
      </w:r>
    </w:p>
    <w:p w14:paraId="49F0DF61">
      <w:pPr>
        <w:spacing w:line="360" w:lineRule="exact"/>
        <w:ind w:firstLine="420" w:firstLineChars="200"/>
        <w:jc w:val="left"/>
        <w:rPr>
          <w:rFonts w:ascii="宋体" w:hAnsi="宋体" w:cs="宋体"/>
          <w:u w:val="single"/>
        </w:rPr>
      </w:pPr>
      <w:r>
        <w:rPr>
          <w:rFonts w:hint="eastAsia" w:ascii="宋体" w:hAnsi="宋体" w:cs="宋体"/>
        </w:rPr>
        <w:t xml:space="preserve">关于变更估价的约定: </w:t>
      </w:r>
      <w:r>
        <w:rPr>
          <w:rFonts w:hint="eastAsia" w:ascii="宋体" w:hAnsi="宋体" w:cs="宋体"/>
          <w:u w:val="single"/>
        </w:rPr>
        <w:t>（1）投标报价中已有适用于变更工程的综合单价，按已有的综合单价，综合单价不随工程量的增减而变化，（2）投标报价中有类似变更工程的综合单价，可参照投标报价中类似的综合单价确定（3）投标报价中没有适用或类似于变更工程的综合单价，则有定额的套定额计算，执行本工程编制招标控制价的参考依据，其中材料价格有信息价的按合同该新增子项实施期间《桂林市建设工程造价信息》</w:t>
      </w:r>
      <w:r>
        <w:rPr>
          <w:rFonts w:hint="eastAsia" w:ascii="宋体" w:hAnsi="宋体" w:cs="宋体"/>
          <w:szCs w:val="21"/>
          <w:u w:val="single"/>
        </w:rPr>
        <w:t>平乐</w:t>
      </w:r>
      <w:r>
        <w:rPr>
          <w:rFonts w:hint="eastAsia" w:ascii="宋体" w:hAnsi="宋体" w:cs="宋体"/>
          <w:kern w:val="0"/>
          <w:szCs w:val="21"/>
          <w:u w:val="single"/>
          <w:lang w:bidi="zh-CN"/>
        </w:rPr>
        <w:t>县的平均价和运距计取</w:t>
      </w:r>
      <w:r>
        <w:rPr>
          <w:rFonts w:hint="eastAsia" w:ascii="宋体" w:hAnsi="宋体" w:cs="宋体"/>
          <w:szCs w:val="21"/>
          <w:u w:val="single"/>
        </w:rPr>
        <w:t>，</w:t>
      </w:r>
      <w:r>
        <w:rPr>
          <w:rFonts w:hint="eastAsia" w:ascii="宋体" w:hAnsi="宋体" w:cs="宋体"/>
          <w:u w:val="single"/>
        </w:rPr>
        <w:t>无信息价的，按市场价格由发包人、承包人、发包人委托的造价咨询机构、现场监管代表及监理协商确定材料价，不在下浮范围之内；新增结算综合单价=定额计算的综合单价×（中标的投标报价/招标控制价），新增项目无定额可套时，由发包人、承包人驻现场代表（包括发包人委托的造价咨询机构）及监理三方共同协商确定包干价，不在下浮范围之内。暂定价调整方法为：暂定材料价格部分仅调整合同实施期间材料市场价与暂定价之间的价差并计相应的规费和增值税，投标书中相应的综合单价不再调整。本工程最终结算经发包人委托的中介机构审定并经甲乙双方签字确认为准</w:t>
      </w:r>
      <w:r>
        <w:rPr>
          <w:rFonts w:hint="eastAsia" w:ascii="宋体" w:hAnsi="宋体" w:cs="宋体"/>
        </w:rPr>
        <w:t>。</w:t>
      </w:r>
    </w:p>
    <w:p w14:paraId="3A60F9A0">
      <w:pPr>
        <w:spacing w:after="120" w:line="360" w:lineRule="exact"/>
        <w:ind w:firstLine="420" w:firstLineChars="200"/>
        <w:rPr>
          <w:rFonts w:ascii="宋体" w:hAnsi="宋体" w:cs="宋体"/>
        </w:rPr>
      </w:pPr>
      <w:r>
        <w:rPr>
          <w:rFonts w:hint="eastAsia" w:ascii="宋体" w:hAnsi="宋体" w:cs="宋体"/>
        </w:rPr>
        <w:t>10.5承包人的合理化建议</w:t>
      </w:r>
    </w:p>
    <w:p w14:paraId="0FDB3DC6">
      <w:pPr>
        <w:spacing w:line="360" w:lineRule="exact"/>
        <w:ind w:firstLine="420" w:firstLineChars="200"/>
        <w:jc w:val="left"/>
        <w:rPr>
          <w:rFonts w:ascii="宋体" w:hAnsi="宋体" w:cs="宋体"/>
        </w:rPr>
      </w:pPr>
      <w:r>
        <w:rPr>
          <w:rFonts w:hint="eastAsia" w:ascii="宋体" w:hAnsi="宋体" w:cs="宋体"/>
        </w:rPr>
        <w:t>监理人审查承包人合理化建议的期限：</w:t>
      </w:r>
      <w:r>
        <w:rPr>
          <w:rFonts w:hint="eastAsia" w:ascii="宋体" w:hAnsi="宋体" w:cs="宋体"/>
          <w:u w:val="single"/>
        </w:rPr>
        <w:t xml:space="preserve">    7天内       </w:t>
      </w:r>
      <w:r>
        <w:rPr>
          <w:rFonts w:hint="eastAsia" w:ascii="宋体" w:hAnsi="宋体" w:cs="宋体"/>
        </w:rPr>
        <w:t>。</w:t>
      </w:r>
    </w:p>
    <w:p w14:paraId="33E5C62E">
      <w:pPr>
        <w:spacing w:line="360" w:lineRule="exact"/>
        <w:ind w:firstLine="420" w:firstLineChars="200"/>
        <w:jc w:val="left"/>
        <w:rPr>
          <w:rFonts w:ascii="宋体" w:hAnsi="宋体" w:cs="宋体"/>
        </w:rPr>
      </w:pPr>
      <w:r>
        <w:rPr>
          <w:rFonts w:hint="eastAsia" w:ascii="宋体" w:hAnsi="宋体" w:cs="宋体"/>
        </w:rPr>
        <w:t>发包人审批承包人合理化建议的期限：</w:t>
      </w:r>
      <w:r>
        <w:rPr>
          <w:rFonts w:hint="eastAsia" w:ascii="宋体" w:hAnsi="宋体" w:cs="宋体"/>
          <w:u w:val="single"/>
        </w:rPr>
        <w:t xml:space="preserve">    7天内       </w:t>
      </w:r>
      <w:r>
        <w:rPr>
          <w:rFonts w:hint="eastAsia" w:ascii="宋体" w:hAnsi="宋体" w:cs="宋体"/>
        </w:rPr>
        <w:t>。</w:t>
      </w:r>
    </w:p>
    <w:p w14:paraId="06AE2BC2">
      <w:pPr>
        <w:spacing w:line="360" w:lineRule="exact"/>
        <w:ind w:firstLine="420" w:firstLineChars="200"/>
        <w:jc w:val="left"/>
        <w:rPr>
          <w:rFonts w:ascii="宋体" w:hAnsi="宋体" w:cs="宋体"/>
          <w:u w:val="single"/>
        </w:rPr>
      </w:pPr>
      <w:r>
        <w:rPr>
          <w:rFonts w:hint="eastAsia" w:ascii="宋体" w:hAnsi="宋体" w:cs="宋体"/>
        </w:rPr>
        <w:t>承包人提出的合理化建议降低了合同价格或者提高了工程经济效益的奖励的方法和金额为：</w:t>
      </w:r>
      <w:r>
        <w:rPr>
          <w:rFonts w:hint="eastAsia" w:ascii="宋体" w:hAnsi="宋体" w:cs="宋体"/>
          <w:u w:val="single"/>
        </w:rPr>
        <w:t xml:space="preserve"> 无  </w:t>
      </w:r>
      <w:r>
        <w:rPr>
          <w:rFonts w:hint="eastAsia" w:ascii="宋体" w:hAnsi="宋体" w:cs="宋体"/>
        </w:rPr>
        <w:t>。</w:t>
      </w:r>
    </w:p>
    <w:p w14:paraId="33DDC004">
      <w:pPr>
        <w:pStyle w:val="6"/>
        <w:spacing w:line="360" w:lineRule="exact"/>
        <w:rPr>
          <w:rFonts w:ascii="宋体" w:hAnsi="宋体" w:cs="宋体"/>
          <w:sz w:val="21"/>
          <w:szCs w:val="21"/>
        </w:rPr>
      </w:pPr>
      <w:r>
        <w:rPr>
          <w:rFonts w:hint="eastAsia" w:ascii="宋体" w:hAnsi="宋体" w:cs="宋体"/>
          <w:sz w:val="21"/>
          <w:szCs w:val="21"/>
        </w:rPr>
        <w:t>10.7 暂估价</w:t>
      </w:r>
    </w:p>
    <w:p w14:paraId="24A789F4">
      <w:pPr>
        <w:spacing w:line="360" w:lineRule="exact"/>
        <w:ind w:firstLine="420" w:firstLineChars="200"/>
        <w:jc w:val="left"/>
        <w:rPr>
          <w:rFonts w:ascii="宋体" w:hAnsi="宋体" w:cs="宋体"/>
        </w:rPr>
      </w:pPr>
      <w:r>
        <w:rPr>
          <w:rFonts w:hint="eastAsia" w:ascii="宋体" w:hAnsi="宋体" w:cs="宋体"/>
          <w:kern w:val="0"/>
        </w:rPr>
        <w:t>暂估价材料和工程设备的明细详见附件11：《</w:t>
      </w:r>
      <w:r>
        <w:rPr>
          <w:rFonts w:hint="eastAsia" w:ascii="宋体" w:hAnsi="宋体" w:cs="宋体"/>
        </w:rPr>
        <w:t>暂估价一览表》</w:t>
      </w:r>
      <w:r>
        <w:rPr>
          <w:rFonts w:hint="eastAsia" w:ascii="宋体" w:hAnsi="宋体" w:cs="宋体"/>
          <w:kern w:val="0"/>
        </w:rPr>
        <w:t>。</w:t>
      </w:r>
    </w:p>
    <w:p w14:paraId="561C184C">
      <w:pPr>
        <w:spacing w:line="360" w:lineRule="exact"/>
        <w:ind w:firstLine="420" w:firstLineChars="200"/>
        <w:jc w:val="left"/>
        <w:rPr>
          <w:rFonts w:ascii="宋体" w:hAnsi="宋体" w:cs="宋体"/>
        </w:rPr>
      </w:pPr>
      <w:r>
        <w:rPr>
          <w:rFonts w:hint="eastAsia" w:ascii="宋体" w:hAnsi="宋体" w:cs="宋体"/>
        </w:rPr>
        <w:t>10.7.1 依法必须招标的暂估价项目</w:t>
      </w:r>
    </w:p>
    <w:p w14:paraId="7EDC8C08">
      <w:pPr>
        <w:spacing w:line="360" w:lineRule="exact"/>
        <w:ind w:firstLine="420" w:firstLineChars="200"/>
        <w:jc w:val="left"/>
        <w:rPr>
          <w:rFonts w:ascii="宋体" w:hAnsi="宋体" w:cs="宋体"/>
        </w:rPr>
      </w:pPr>
      <w:r>
        <w:rPr>
          <w:rFonts w:hint="eastAsia" w:ascii="宋体" w:hAnsi="宋体" w:cs="宋体"/>
        </w:rPr>
        <w:t>对于依法必须招标的暂估价项目的确认和批准采取第</w:t>
      </w:r>
      <w:r>
        <w:rPr>
          <w:rFonts w:hint="eastAsia" w:ascii="宋体" w:hAnsi="宋体" w:cs="宋体"/>
          <w:u w:val="single"/>
        </w:rPr>
        <w:t>双方协定</w:t>
      </w:r>
      <w:r>
        <w:rPr>
          <w:rFonts w:hint="eastAsia" w:ascii="宋体" w:hAnsi="宋体" w:cs="宋体"/>
        </w:rPr>
        <w:t>种方式确定。</w:t>
      </w:r>
    </w:p>
    <w:p w14:paraId="5A8126C5">
      <w:pPr>
        <w:spacing w:line="360" w:lineRule="exact"/>
        <w:ind w:firstLine="420" w:firstLineChars="200"/>
        <w:jc w:val="left"/>
        <w:rPr>
          <w:rFonts w:ascii="宋体" w:hAnsi="宋体" w:cs="宋体"/>
        </w:rPr>
      </w:pPr>
      <w:r>
        <w:rPr>
          <w:rFonts w:hint="eastAsia" w:ascii="宋体" w:hAnsi="宋体" w:cs="宋体"/>
        </w:rPr>
        <w:t>10.7.2 不属于依法必须招标的暂估价项目</w:t>
      </w:r>
    </w:p>
    <w:p w14:paraId="441F1861">
      <w:pPr>
        <w:spacing w:line="360" w:lineRule="exact"/>
        <w:ind w:firstLine="420" w:firstLineChars="200"/>
        <w:jc w:val="left"/>
        <w:rPr>
          <w:rFonts w:ascii="宋体" w:hAnsi="宋体" w:cs="宋体"/>
        </w:rPr>
      </w:pPr>
      <w:r>
        <w:rPr>
          <w:rFonts w:hint="eastAsia" w:ascii="宋体" w:hAnsi="宋体" w:cs="宋体"/>
        </w:rPr>
        <w:t>对于不属于依法必须招标的暂估价项目的确认和批准采取第</w:t>
      </w:r>
      <w:r>
        <w:rPr>
          <w:rFonts w:hint="eastAsia" w:ascii="宋体" w:hAnsi="宋体" w:cs="宋体"/>
          <w:u w:val="single"/>
        </w:rPr>
        <w:t xml:space="preserve"> 3  </w:t>
      </w:r>
      <w:r>
        <w:rPr>
          <w:rFonts w:hint="eastAsia" w:ascii="宋体" w:hAnsi="宋体" w:cs="宋体"/>
        </w:rPr>
        <w:t xml:space="preserve"> 种方式确定。</w:t>
      </w:r>
    </w:p>
    <w:p w14:paraId="0F6BCF9A">
      <w:pPr>
        <w:spacing w:line="360" w:lineRule="exact"/>
        <w:ind w:firstLine="420" w:firstLineChars="200"/>
        <w:jc w:val="left"/>
        <w:rPr>
          <w:rFonts w:ascii="宋体" w:hAnsi="宋体" w:cs="宋体"/>
          <w:kern w:val="0"/>
        </w:rPr>
      </w:pPr>
      <w:r>
        <w:rPr>
          <w:rFonts w:hint="eastAsia" w:ascii="宋体" w:hAnsi="宋体" w:cs="宋体"/>
        </w:rPr>
        <w:t>第3种方式：</w:t>
      </w:r>
      <w:r>
        <w:rPr>
          <w:rFonts w:hint="eastAsia" w:ascii="宋体" w:hAnsi="宋体" w:cs="宋体"/>
          <w:kern w:val="0"/>
        </w:rPr>
        <w:t>承包人直接实施的暂估价项目</w:t>
      </w:r>
    </w:p>
    <w:p w14:paraId="37253697">
      <w:pPr>
        <w:spacing w:line="360" w:lineRule="exact"/>
        <w:ind w:firstLine="420" w:firstLineChars="200"/>
        <w:jc w:val="left"/>
        <w:rPr>
          <w:rFonts w:ascii="宋体" w:hAnsi="宋体" w:cs="宋体"/>
        </w:rPr>
      </w:pPr>
      <w:r>
        <w:rPr>
          <w:rFonts w:hint="eastAsia" w:ascii="宋体" w:hAnsi="宋体" w:cs="宋体"/>
        </w:rPr>
        <w:t>承包人直接实施的暂估价项目的约定：</w:t>
      </w:r>
      <w:r>
        <w:rPr>
          <w:rFonts w:hint="eastAsia" w:ascii="宋体" w:hAnsi="宋体" w:cs="宋体"/>
          <w:u w:val="single"/>
        </w:rPr>
        <w:t xml:space="preserve"> 按市场价格由发包人、承包人、发包人委托的造价咨询机构、现场监管代表及监理协商确定材料价 </w:t>
      </w:r>
      <w:r>
        <w:rPr>
          <w:rFonts w:hint="eastAsia" w:ascii="宋体" w:hAnsi="宋体" w:cs="宋体"/>
        </w:rPr>
        <w:t>。</w:t>
      </w:r>
    </w:p>
    <w:p w14:paraId="47374F70">
      <w:pPr>
        <w:spacing w:after="120" w:line="360" w:lineRule="exact"/>
        <w:ind w:firstLine="420" w:firstLineChars="200"/>
        <w:rPr>
          <w:rFonts w:ascii="宋体" w:hAnsi="宋体" w:cs="宋体"/>
        </w:rPr>
      </w:pPr>
      <w:r>
        <w:rPr>
          <w:rFonts w:hint="eastAsia" w:ascii="宋体" w:hAnsi="宋体" w:cs="宋体"/>
        </w:rPr>
        <w:t>10.8 暂列金额</w:t>
      </w:r>
    </w:p>
    <w:p w14:paraId="0956DD9C">
      <w:pPr>
        <w:autoSpaceDE w:val="0"/>
        <w:autoSpaceDN w:val="0"/>
        <w:adjustRightInd w:val="0"/>
        <w:spacing w:line="360" w:lineRule="exact"/>
        <w:ind w:firstLine="420" w:firstLineChars="200"/>
        <w:jc w:val="left"/>
        <w:rPr>
          <w:rFonts w:ascii="宋体" w:hAnsi="宋体" w:cs="宋体"/>
          <w:kern w:val="0"/>
          <w:u w:val="single"/>
        </w:rPr>
      </w:pPr>
      <w:r>
        <w:rPr>
          <w:rFonts w:hint="eastAsia" w:ascii="宋体" w:hAnsi="宋体" w:cs="宋体"/>
          <w:kern w:val="0"/>
        </w:rPr>
        <w:t>合同当事人关于暂列金额使用的约定：</w:t>
      </w:r>
      <w:r>
        <w:rPr>
          <w:rFonts w:hint="eastAsia" w:ascii="宋体" w:hAnsi="宋体" w:cs="宋体"/>
          <w:u w:val="single"/>
        </w:rPr>
        <w:t>暂列金是采购人自行确定设立的，承包方无权使用此笔费用，根据发包方需要进行使用，此费用按实际发生经采购人签证后确定全部使用、部分使用或不使用。暂列金不计入程款付款的基数</w:t>
      </w:r>
      <w:r>
        <w:rPr>
          <w:rFonts w:hint="eastAsia" w:ascii="宋体" w:hAnsi="宋体" w:cs="宋体"/>
          <w:kern w:val="0"/>
          <w:u w:val="single"/>
        </w:rPr>
        <w:t>。</w:t>
      </w:r>
    </w:p>
    <w:p w14:paraId="40FBF8FA">
      <w:pPr>
        <w:pStyle w:val="7"/>
        <w:spacing w:before="120" w:after="120" w:line="360" w:lineRule="exact"/>
        <w:rPr>
          <w:rFonts w:ascii="宋体" w:hAnsi="宋体" w:cs="宋体"/>
          <w:b w:val="0"/>
          <w:sz w:val="21"/>
          <w:szCs w:val="21"/>
        </w:rPr>
      </w:pPr>
      <w:r>
        <w:rPr>
          <w:rFonts w:hint="eastAsia" w:ascii="宋体" w:hAnsi="宋体" w:cs="宋体"/>
          <w:b w:val="0"/>
          <w:sz w:val="21"/>
          <w:szCs w:val="21"/>
        </w:rPr>
        <w:t>11. 价格调整</w:t>
      </w:r>
    </w:p>
    <w:p w14:paraId="2FBA7349">
      <w:pPr>
        <w:spacing w:after="120" w:line="360" w:lineRule="exact"/>
        <w:ind w:firstLine="420" w:firstLineChars="200"/>
        <w:rPr>
          <w:rFonts w:ascii="宋体" w:hAnsi="宋体" w:cs="宋体"/>
        </w:rPr>
      </w:pPr>
      <w:r>
        <w:rPr>
          <w:rFonts w:hint="eastAsia" w:ascii="宋体" w:hAnsi="宋体" w:cs="宋体"/>
        </w:rPr>
        <w:t>11.1 市场价格波动引起的调整</w:t>
      </w:r>
    </w:p>
    <w:p w14:paraId="140FB8F9">
      <w:pPr>
        <w:spacing w:line="360" w:lineRule="exact"/>
        <w:ind w:firstLine="420" w:firstLineChars="200"/>
        <w:jc w:val="left"/>
        <w:rPr>
          <w:rFonts w:ascii="宋体" w:hAnsi="宋体" w:cs="宋体"/>
        </w:rPr>
      </w:pPr>
      <w:r>
        <w:rPr>
          <w:rFonts w:hint="eastAsia" w:ascii="宋体" w:hAnsi="宋体" w:cs="宋体"/>
          <w:kern w:val="0"/>
        </w:rPr>
        <w:t>市场价格波动是否调整合同价格的约定：</w:t>
      </w:r>
      <w:r>
        <w:rPr>
          <w:rFonts w:hint="eastAsia" w:ascii="宋体" w:hAnsi="宋体" w:cs="宋体"/>
          <w:u w:val="single"/>
        </w:rPr>
        <w:t xml:space="preserve">  调整    </w:t>
      </w:r>
      <w:r>
        <w:rPr>
          <w:rFonts w:hint="eastAsia" w:ascii="宋体" w:hAnsi="宋体" w:cs="宋体"/>
        </w:rPr>
        <w:t>。</w:t>
      </w:r>
    </w:p>
    <w:p w14:paraId="14925047">
      <w:pPr>
        <w:spacing w:line="360" w:lineRule="exact"/>
        <w:ind w:firstLine="420" w:firstLineChars="200"/>
        <w:jc w:val="left"/>
        <w:rPr>
          <w:rFonts w:ascii="宋体" w:hAnsi="宋体" w:cs="宋体"/>
        </w:rPr>
      </w:pPr>
      <w:r>
        <w:rPr>
          <w:rFonts w:hint="eastAsia" w:ascii="宋体" w:hAnsi="宋体" w:cs="宋体"/>
        </w:rPr>
        <w:t>因市场价格波动调整合同价格，采用以下第</w:t>
      </w:r>
      <w:r>
        <w:rPr>
          <w:rFonts w:hint="eastAsia" w:ascii="宋体" w:hAnsi="宋体" w:cs="宋体"/>
          <w:u w:val="single"/>
        </w:rPr>
        <w:t xml:space="preserve">  3 </w:t>
      </w:r>
      <w:r>
        <w:rPr>
          <w:rFonts w:hint="eastAsia" w:ascii="宋体" w:hAnsi="宋体" w:cs="宋体"/>
        </w:rPr>
        <w:t>种方式对合同价格进行调整：</w:t>
      </w:r>
    </w:p>
    <w:p w14:paraId="1BEEE9C2">
      <w:pPr>
        <w:spacing w:line="360" w:lineRule="exact"/>
        <w:ind w:firstLine="420" w:firstLineChars="200"/>
        <w:jc w:val="left"/>
        <w:rPr>
          <w:rFonts w:ascii="宋体" w:hAnsi="宋体" w:cs="宋体"/>
        </w:rPr>
      </w:pPr>
      <w:r>
        <w:rPr>
          <w:rFonts w:hint="eastAsia" w:ascii="宋体" w:hAnsi="宋体" w:cs="宋体"/>
        </w:rPr>
        <w:t>第1种方式：采用价格指数进行价格调整。</w:t>
      </w:r>
    </w:p>
    <w:p w14:paraId="3F7FABBC">
      <w:pPr>
        <w:spacing w:line="360" w:lineRule="exact"/>
        <w:ind w:firstLine="420" w:firstLineChars="200"/>
        <w:jc w:val="left"/>
        <w:rPr>
          <w:rFonts w:ascii="宋体" w:hAnsi="宋体" w:cs="宋体"/>
          <w:u w:val="single"/>
        </w:rPr>
      </w:pPr>
      <w:r>
        <w:rPr>
          <w:rFonts w:hint="eastAsia" w:ascii="宋体" w:hAnsi="宋体" w:cs="宋体"/>
        </w:rPr>
        <w:t>关于各可调因子、定值和变值权重，以及基本价格指数及其来源的约定：</w:t>
      </w:r>
      <w:r>
        <w:rPr>
          <w:rFonts w:hint="eastAsia" w:ascii="宋体" w:hAnsi="宋体" w:cs="宋体"/>
          <w:u w:val="single"/>
        </w:rPr>
        <w:t xml:space="preserve">    无        </w:t>
      </w:r>
      <w:r>
        <w:rPr>
          <w:rFonts w:hint="eastAsia" w:ascii="宋体" w:hAnsi="宋体" w:cs="宋体"/>
        </w:rPr>
        <w:t xml:space="preserve">；  </w:t>
      </w:r>
    </w:p>
    <w:p w14:paraId="70B73586">
      <w:pPr>
        <w:spacing w:line="360" w:lineRule="exact"/>
        <w:ind w:firstLine="420" w:firstLineChars="200"/>
        <w:jc w:val="left"/>
        <w:rPr>
          <w:rFonts w:ascii="宋体" w:hAnsi="宋体" w:cs="宋体"/>
        </w:rPr>
      </w:pPr>
      <w:r>
        <w:rPr>
          <w:rFonts w:hint="eastAsia" w:ascii="宋体" w:hAnsi="宋体" w:cs="宋体"/>
        </w:rPr>
        <w:t>第2种方式：采用造价信息进行价格调整。</w:t>
      </w:r>
    </w:p>
    <w:p w14:paraId="2176F091">
      <w:pPr>
        <w:spacing w:line="360" w:lineRule="exact"/>
        <w:ind w:firstLine="420" w:firstLineChars="200"/>
        <w:jc w:val="left"/>
        <w:rPr>
          <w:rFonts w:ascii="宋体" w:hAnsi="宋体" w:cs="宋体"/>
        </w:rPr>
      </w:pPr>
      <w:r>
        <w:rPr>
          <w:rFonts w:hint="eastAsia" w:ascii="宋体" w:hAnsi="宋体" w:cs="宋体"/>
        </w:rPr>
        <w:t>（2）关于基准价格的约定：</w:t>
      </w:r>
      <w:r>
        <w:rPr>
          <w:rFonts w:hint="eastAsia" w:ascii="宋体" w:hAnsi="宋体" w:cs="宋体"/>
          <w:u w:val="single"/>
        </w:rPr>
        <w:t xml:space="preserve">    无     </w:t>
      </w:r>
      <w:r>
        <w:rPr>
          <w:rFonts w:hint="eastAsia" w:ascii="宋体" w:hAnsi="宋体" w:cs="宋体"/>
        </w:rPr>
        <w:t>。</w:t>
      </w:r>
    </w:p>
    <w:p w14:paraId="3B27B918">
      <w:pPr>
        <w:spacing w:line="360" w:lineRule="exact"/>
        <w:ind w:firstLine="420" w:firstLineChars="200"/>
        <w:jc w:val="left"/>
        <w:rPr>
          <w:rFonts w:ascii="宋体" w:hAnsi="宋体" w:cs="宋体"/>
        </w:rPr>
      </w:pPr>
      <w:r>
        <w:rPr>
          <w:rFonts w:hint="eastAsia" w:ascii="宋体" w:hAnsi="宋体" w:cs="宋体"/>
        </w:rPr>
        <w:t>专用合同条款①承包人在已标价工程量清单或预算书中载明的材料单价低于基准价格的：专用合同条款合同履行期间材料单价涨幅以基准价格为基础超过</w:t>
      </w:r>
      <w:r>
        <w:rPr>
          <w:rFonts w:hint="eastAsia" w:ascii="宋体" w:hAnsi="宋体" w:cs="宋体"/>
          <w:u w:val="single"/>
        </w:rPr>
        <w:t xml:space="preserve"> </w:t>
      </w:r>
      <w:r>
        <w:rPr>
          <w:rFonts w:ascii="宋体" w:hAnsi="宋体" w:cs="宋体"/>
          <w:u w:val="single"/>
        </w:rPr>
        <w:t>5</w:t>
      </w:r>
      <w:r>
        <w:rPr>
          <w:rFonts w:hint="eastAsia" w:ascii="宋体" w:hAnsi="宋体" w:cs="宋体"/>
          <w:u w:val="single"/>
        </w:rPr>
        <w:t xml:space="preserve">  </w:t>
      </w:r>
      <w:r>
        <w:rPr>
          <w:rFonts w:hint="eastAsia" w:ascii="宋体" w:hAnsi="宋体" w:cs="宋体"/>
        </w:rPr>
        <w:t>%时，或材料单价跌幅以已标价工程量清单或预算书中载明材料单价为基础超过</w:t>
      </w:r>
      <w:r>
        <w:rPr>
          <w:rFonts w:hint="eastAsia" w:ascii="宋体" w:hAnsi="宋体" w:cs="宋体"/>
          <w:u w:val="single"/>
        </w:rPr>
        <w:t xml:space="preserve"> </w:t>
      </w:r>
      <w:r>
        <w:rPr>
          <w:rFonts w:ascii="宋体" w:hAnsi="宋体" w:cs="宋体"/>
          <w:u w:val="single"/>
        </w:rPr>
        <w:t>5</w:t>
      </w:r>
      <w:r>
        <w:rPr>
          <w:rFonts w:hint="eastAsia" w:ascii="宋体" w:hAnsi="宋体" w:cs="宋体"/>
          <w:u w:val="single"/>
        </w:rPr>
        <w:t xml:space="preserve">  </w:t>
      </w:r>
      <w:r>
        <w:rPr>
          <w:rFonts w:hint="eastAsia" w:ascii="宋体" w:hAnsi="宋体" w:cs="宋体"/>
        </w:rPr>
        <w:t>%时，其超过部分据实调整。</w:t>
      </w:r>
    </w:p>
    <w:p w14:paraId="3C1D1E17">
      <w:pPr>
        <w:spacing w:line="360" w:lineRule="exact"/>
        <w:ind w:firstLine="420" w:firstLineChars="200"/>
        <w:jc w:val="left"/>
        <w:rPr>
          <w:rFonts w:ascii="宋体" w:hAnsi="宋体" w:cs="宋体"/>
        </w:rPr>
      </w:pPr>
      <w:r>
        <w:rPr>
          <w:rFonts w:hint="eastAsia" w:ascii="宋体" w:hAnsi="宋体" w:cs="宋体"/>
        </w:rPr>
        <w:t>②承包人在已标价工程量清单或预算书中载明的材料单价高于基准价格的：专用合同条款合同履行期间材料单价跌幅以基准价格为基础超过</w:t>
      </w:r>
      <w:r>
        <w:rPr>
          <w:rFonts w:hint="eastAsia" w:ascii="宋体" w:hAnsi="宋体" w:cs="宋体"/>
          <w:u w:val="single"/>
        </w:rPr>
        <w:t xml:space="preserve"> </w:t>
      </w:r>
      <w:r>
        <w:rPr>
          <w:rFonts w:ascii="宋体" w:hAnsi="宋体" w:cs="宋体"/>
          <w:u w:val="single"/>
        </w:rPr>
        <w:t>5</w:t>
      </w:r>
      <w:r>
        <w:rPr>
          <w:rFonts w:hint="eastAsia" w:ascii="宋体" w:hAnsi="宋体" w:cs="宋体"/>
          <w:u w:val="single"/>
        </w:rPr>
        <w:t xml:space="preserve"> </w:t>
      </w:r>
      <w:r>
        <w:rPr>
          <w:rFonts w:hint="eastAsia" w:ascii="宋体" w:hAnsi="宋体" w:cs="宋体"/>
        </w:rPr>
        <w:t>%时，材料单价涨幅以已标价工程量清单或预算书中载明材料单价为基础超过</w:t>
      </w:r>
      <w:r>
        <w:rPr>
          <w:rFonts w:hint="eastAsia" w:ascii="宋体" w:hAnsi="宋体" w:cs="宋体"/>
          <w:u w:val="single"/>
        </w:rPr>
        <w:t xml:space="preserve"> </w:t>
      </w:r>
      <w:r>
        <w:rPr>
          <w:rFonts w:ascii="宋体" w:hAnsi="宋体" w:cs="宋体"/>
          <w:u w:val="single"/>
        </w:rPr>
        <w:t>5</w:t>
      </w:r>
      <w:r>
        <w:rPr>
          <w:rFonts w:hint="eastAsia" w:ascii="宋体" w:hAnsi="宋体" w:cs="宋体"/>
          <w:u w:val="single"/>
        </w:rPr>
        <w:t xml:space="preserve"> </w:t>
      </w:r>
      <w:r>
        <w:rPr>
          <w:rFonts w:hint="eastAsia" w:ascii="宋体" w:hAnsi="宋体" w:cs="宋体"/>
        </w:rPr>
        <w:t>%时，其超过部分据实调整。</w:t>
      </w:r>
    </w:p>
    <w:p w14:paraId="1108C599">
      <w:pPr>
        <w:spacing w:line="360" w:lineRule="exact"/>
        <w:ind w:firstLine="645"/>
        <w:jc w:val="left"/>
        <w:rPr>
          <w:rFonts w:ascii="宋体" w:hAnsi="宋体" w:cs="宋体"/>
        </w:rPr>
      </w:pPr>
      <w:r>
        <w:rPr>
          <w:rFonts w:hint="eastAsia" w:ascii="宋体" w:hAnsi="宋体" w:cs="宋体"/>
        </w:rPr>
        <w:t>③承包人在已标价工程量清单或预算书中载明的材料单价等于基准单价的：专用合同条款合同履行期间材料单价涨跌幅以基准单价为基础超过±</w:t>
      </w:r>
      <w:r>
        <w:rPr>
          <w:rFonts w:hint="eastAsia" w:ascii="宋体" w:hAnsi="宋体" w:cs="宋体"/>
          <w:u w:val="single"/>
        </w:rPr>
        <w:t>5</w:t>
      </w:r>
      <w:r>
        <w:rPr>
          <w:rFonts w:hint="eastAsia" w:ascii="宋体" w:hAnsi="宋体" w:cs="宋体"/>
        </w:rPr>
        <w:t>%时，其超过部分据实调整。</w:t>
      </w:r>
    </w:p>
    <w:p w14:paraId="410CA644">
      <w:pPr>
        <w:spacing w:line="360" w:lineRule="exact"/>
        <w:ind w:firstLine="645"/>
        <w:jc w:val="left"/>
        <w:rPr>
          <w:rFonts w:ascii="宋体" w:hAnsi="宋体" w:cs="宋体"/>
        </w:rPr>
      </w:pPr>
      <w:r>
        <w:rPr>
          <w:rFonts w:hint="eastAsia" w:ascii="宋体" w:hAnsi="宋体" w:cs="宋体"/>
        </w:rPr>
        <w:t>第3种方式：其他价格调整方式：</w:t>
      </w:r>
      <w:r>
        <w:rPr>
          <w:rFonts w:hint="eastAsia" w:ascii="宋体" w:hAnsi="宋体" w:cs="宋体"/>
          <w:u w:val="single"/>
        </w:rPr>
        <w:t xml:space="preserve">  在合同工期施工期间中，若工程所在地的工程造价管理机构《造价信息》上发布的市场材料价格上涨（或下跌）幅度超过基准价格的±5%（含5%）以上时，对于超过±5% 幅度以外的部分，可以调整价格差额。调整部分费用仅计差额*（中标的投标报价/招标预算价）及相应增值税。在工程施工期间，国家如有新的人工费调整政策出台，可按国家相关文件进行人工费调差   </w:t>
      </w:r>
      <w:r>
        <w:rPr>
          <w:rFonts w:hint="eastAsia" w:ascii="宋体" w:hAnsi="宋体" w:cs="宋体"/>
        </w:rPr>
        <w:t>。</w:t>
      </w:r>
    </w:p>
    <w:p w14:paraId="25D27075">
      <w:pPr>
        <w:pStyle w:val="7"/>
        <w:spacing w:before="120" w:after="120" w:line="360" w:lineRule="exact"/>
        <w:rPr>
          <w:rFonts w:ascii="宋体" w:hAnsi="宋体" w:cs="宋体"/>
          <w:b w:val="0"/>
          <w:sz w:val="21"/>
          <w:szCs w:val="21"/>
        </w:rPr>
      </w:pPr>
      <w:r>
        <w:rPr>
          <w:rFonts w:hint="eastAsia" w:ascii="宋体" w:hAnsi="宋体" w:cs="宋体"/>
          <w:b w:val="0"/>
          <w:sz w:val="21"/>
          <w:szCs w:val="21"/>
        </w:rPr>
        <w:t>12. 合同价格、计量与支付</w:t>
      </w:r>
    </w:p>
    <w:p w14:paraId="36C979D7">
      <w:pPr>
        <w:spacing w:after="120" w:line="360" w:lineRule="exact"/>
        <w:ind w:firstLine="420" w:firstLineChars="200"/>
        <w:rPr>
          <w:rFonts w:ascii="宋体" w:hAnsi="宋体" w:cs="宋体"/>
        </w:rPr>
      </w:pPr>
      <w:r>
        <w:rPr>
          <w:rFonts w:hint="eastAsia" w:ascii="宋体" w:hAnsi="宋体" w:cs="宋体"/>
        </w:rPr>
        <w:t>12.1 合同价格形式</w:t>
      </w:r>
    </w:p>
    <w:p w14:paraId="58B40919">
      <w:pPr>
        <w:spacing w:line="360" w:lineRule="exact"/>
        <w:ind w:firstLine="420" w:firstLineChars="200"/>
        <w:jc w:val="left"/>
        <w:rPr>
          <w:rFonts w:ascii="宋体" w:hAnsi="宋体" w:cs="宋体"/>
        </w:rPr>
      </w:pPr>
      <w:r>
        <w:rPr>
          <w:rFonts w:hint="eastAsia" w:ascii="宋体" w:hAnsi="宋体" w:cs="宋体"/>
        </w:rPr>
        <w:t>1、单价合同。</w:t>
      </w:r>
    </w:p>
    <w:p w14:paraId="2DA5DD31">
      <w:pPr>
        <w:spacing w:line="360" w:lineRule="exact"/>
        <w:ind w:firstLine="420" w:firstLineChars="200"/>
        <w:jc w:val="left"/>
        <w:rPr>
          <w:rFonts w:ascii="宋体" w:hAnsi="宋体" w:cs="宋体"/>
        </w:rPr>
      </w:pPr>
      <w:r>
        <w:rPr>
          <w:rFonts w:hint="eastAsia" w:ascii="宋体" w:hAnsi="宋体" w:cs="宋体"/>
        </w:rPr>
        <w:t>综合单价包含的风险范围：</w:t>
      </w:r>
      <w:r>
        <w:rPr>
          <w:rFonts w:hint="eastAsia" w:ascii="宋体" w:hAnsi="宋体" w:cs="宋体"/>
          <w:u w:val="single"/>
        </w:rPr>
        <w:t xml:space="preserve">除工程变更、政策性调整、《承包人提供主要材料和设备一览表》约定的材料、设备价格变动风险以外因素   </w:t>
      </w:r>
      <w:r>
        <w:rPr>
          <w:rFonts w:hint="eastAsia" w:ascii="宋体" w:hAnsi="宋体" w:cs="宋体"/>
        </w:rPr>
        <w:t>。</w:t>
      </w:r>
    </w:p>
    <w:p w14:paraId="4A61F818">
      <w:pPr>
        <w:spacing w:line="360" w:lineRule="exact"/>
        <w:ind w:firstLine="420" w:firstLineChars="200"/>
        <w:jc w:val="left"/>
        <w:rPr>
          <w:rFonts w:ascii="宋体" w:hAnsi="宋体" w:cs="宋体"/>
        </w:rPr>
      </w:pPr>
      <w:r>
        <w:rPr>
          <w:rFonts w:hint="eastAsia" w:ascii="宋体" w:hAnsi="宋体" w:cs="宋体"/>
        </w:rPr>
        <w:t>风险费用的计算方法：</w:t>
      </w:r>
      <w:r>
        <w:rPr>
          <w:rFonts w:hint="eastAsia" w:ascii="宋体" w:hAnsi="宋体" w:cs="宋体"/>
          <w:u w:val="single"/>
        </w:rPr>
        <w:t xml:space="preserve">   无         </w:t>
      </w:r>
      <w:r>
        <w:rPr>
          <w:rFonts w:hint="eastAsia" w:ascii="宋体" w:hAnsi="宋体" w:cs="宋体"/>
        </w:rPr>
        <w:t>。</w:t>
      </w:r>
    </w:p>
    <w:p w14:paraId="775FA535">
      <w:pPr>
        <w:spacing w:line="360" w:lineRule="exact"/>
        <w:ind w:firstLine="420" w:firstLineChars="200"/>
        <w:jc w:val="left"/>
        <w:rPr>
          <w:rFonts w:ascii="宋体" w:hAnsi="宋体" w:cs="宋体"/>
        </w:rPr>
      </w:pPr>
      <w:r>
        <w:rPr>
          <w:rFonts w:hint="eastAsia" w:ascii="宋体" w:hAnsi="宋体" w:cs="宋体"/>
        </w:rPr>
        <w:t>风险范围以外合同价格的调整方法：</w:t>
      </w:r>
      <w:r>
        <w:rPr>
          <w:rFonts w:hint="eastAsia" w:ascii="宋体" w:hAnsi="宋体" w:cs="宋体"/>
          <w:u w:val="single"/>
        </w:rPr>
        <w:t xml:space="preserve">    无       </w:t>
      </w:r>
      <w:r>
        <w:rPr>
          <w:rFonts w:hint="eastAsia" w:ascii="宋体" w:hAnsi="宋体" w:cs="宋体"/>
        </w:rPr>
        <w:t>。</w:t>
      </w:r>
    </w:p>
    <w:p w14:paraId="01D484D4">
      <w:pPr>
        <w:spacing w:line="360" w:lineRule="exact"/>
        <w:ind w:firstLine="420" w:firstLineChars="200"/>
        <w:jc w:val="left"/>
        <w:rPr>
          <w:rFonts w:ascii="宋体" w:hAnsi="宋体" w:cs="宋体"/>
        </w:rPr>
      </w:pPr>
      <w:r>
        <w:rPr>
          <w:rFonts w:hint="eastAsia" w:ascii="宋体" w:hAnsi="宋体" w:cs="宋体"/>
        </w:rPr>
        <w:t>2、总价合同。</w:t>
      </w:r>
    </w:p>
    <w:p w14:paraId="7B7955B5">
      <w:pPr>
        <w:spacing w:line="360" w:lineRule="exact"/>
        <w:ind w:firstLine="420" w:firstLineChars="200"/>
        <w:jc w:val="left"/>
        <w:rPr>
          <w:rFonts w:ascii="宋体" w:hAnsi="宋体" w:cs="宋体"/>
        </w:rPr>
      </w:pPr>
      <w:r>
        <w:rPr>
          <w:rFonts w:hint="eastAsia" w:ascii="宋体" w:hAnsi="宋体" w:cs="宋体"/>
        </w:rPr>
        <w:t>总价包含的风险范围：</w:t>
      </w:r>
      <w:r>
        <w:rPr>
          <w:rFonts w:hint="eastAsia" w:ascii="宋体" w:hAnsi="宋体" w:cs="宋体"/>
          <w:u w:val="single"/>
        </w:rPr>
        <w:t xml:space="preserve">         无       </w:t>
      </w:r>
      <w:r>
        <w:rPr>
          <w:rFonts w:hint="eastAsia" w:ascii="宋体" w:hAnsi="宋体" w:cs="宋体"/>
        </w:rPr>
        <w:t>。</w:t>
      </w:r>
    </w:p>
    <w:p w14:paraId="5C224626">
      <w:pPr>
        <w:spacing w:line="360" w:lineRule="exact"/>
        <w:ind w:firstLine="420" w:firstLineChars="200"/>
        <w:jc w:val="left"/>
        <w:rPr>
          <w:rFonts w:ascii="宋体" w:hAnsi="宋体" w:cs="宋体"/>
        </w:rPr>
      </w:pPr>
      <w:r>
        <w:rPr>
          <w:rFonts w:hint="eastAsia" w:ascii="宋体" w:hAnsi="宋体" w:cs="宋体"/>
        </w:rPr>
        <w:t>风险费用的计算方法：</w:t>
      </w:r>
      <w:r>
        <w:rPr>
          <w:rFonts w:hint="eastAsia" w:ascii="宋体" w:hAnsi="宋体" w:cs="宋体"/>
          <w:u w:val="single"/>
        </w:rPr>
        <w:t xml:space="preserve">        无        </w:t>
      </w:r>
      <w:r>
        <w:rPr>
          <w:rFonts w:hint="eastAsia" w:ascii="宋体" w:hAnsi="宋体" w:cs="宋体"/>
        </w:rPr>
        <w:t>。</w:t>
      </w:r>
    </w:p>
    <w:p w14:paraId="61D1F7C6">
      <w:pPr>
        <w:spacing w:line="360" w:lineRule="exact"/>
        <w:ind w:firstLine="420" w:firstLineChars="200"/>
        <w:jc w:val="left"/>
        <w:rPr>
          <w:rFonts w:ascii="宋体" w:hAnsi="宋体" w:cs="宋体"/>
        </w:rPr>
      </w:pPr>
      <w:r>
        <w:rPr>
          <w:rFonts w:hint="eastAsia" w:ascii="宋体" w:hAnsi="宋体" w:cs="宋体"/>
        </w:rPr>
        <w:t>风险范围以外合同价格的调整方法：</w:t>
      </w:r>
      <w:r>
        <w:rPr>
          <w:rFonts w:hint="eastAsia" w:ascii="宋体" w:hAnsi="宋体" w:cs="宋体"/>
          <w:u w:val="single"/>
        </w:rPr>
        <w:t xml:space="preserve">    无      </w:t>
      </w:r>
      <w:r>
        <w:rPr>
          <w:rFonts w:hint="eastAsia" w:ascii="宋体" w:hAnsi="宋体" w:cs="宋体"/>
        </w:rPr>
        <w:t>。</w:t>
      </w:r>
    </w:p>
    <w:p w14:paraId="35D32C60">
      <w:pPr>
        <w:spacing w:line="360" w:lineRule="exact"/>
        <w:ind w:firstLine="420" w:firstLineChars="200"/>
        <w:jc w:val="left"/>
        <w:rPr>
          <w:rFonts w:ascii="宋体" w:hAnsi="宋体" w:cs="宋体"/>
        </w:rPr>
      </w:pPr>
      <w:r>
        <w:rPr>
          <w:rFonts w:hint="eastAsia" w:ascii="宋体" w:hAnsi="宋体" w:cs="宋体"/>
        </w:rPr>
        <w:t>3、其他价格方式：</w:t>
      </w:r>
      <w:r>
        <w:rPr>
          <w:rFonts w:hint="eastAsia" w:ascii="宋体" w:hAnsi="宋体" w:cs="宋体"/>
          <w:u w:val="single"/>
        </w:rPr>
        <w:t xml:space="preserve">               无      </w:t>
      </w:r>
      <w:r>
        <w:rPr>
          <w:rFonts w:hint="eastAsia" w:ascii="宋体" w:hAnsi="宋体" w:cs="宋体"/>
        </w:rPr>
        <w:t>。</w:t>
      </w:r>
    </w:p>
    <w:p w14:paraId="5524B576">
      <w:pPr>
        <w:spacing w:after="120" w:line="360" w:lineRule="exact"/>
        <w:ind w:firstLine="420" w:firstLineChars="200"/>
        <w:rPr>
          <w:rFonts w:ascii="宋体" w:hAnsi="宋体" w:cs="宋体"/>
        </w:rPr>
      </w:pPr>
      <w:r>
        <w:rPr>
          <w:rFonts w:hint="eastAsia" w:ascii="宋体" w:hAnsi="宋体" w:cs="宋体"/>
        </w:rPr>
        <w:t>12.2 预付款</w:t>
      </w:r>
    </w:p>
    <w:p w14:paraId="25B7E1A4">
      <w:pPr>
        <w:spacing w:line="360" w:lineRule="exact"/>
        <w:ind w:firstLine="420" w:firstLineChars="200"/>
        <w:jc w:val="left"/>
        <w:rPr>
          <w:rFonts w:ascii="宋体" w:hAnsi="宋体" w:cs="宋体"/>
        </w:rPr>
      </w:pPr>
      <w:r>
        <w:rPr>
          <w:rFonts w:hint="eastAsia" w:ascii="宋体" w:hAnsi="宋体" w:cs="宋体"/>
        </w:rPr>
        <w:t>12.2.1 预付款的支付</w:t>
      </w:r>
    </w:p>
    <w:p w14:paraId="783E1CFB">
      <w:pPr>
        <w:spacing w:line="360" w:lineRule="exact"/>
        <w:ind w:firstLine="420" w:firstLineChars="200"/>
        <w:jc w:val="left"/>
        <w:rPr>
          <w:rFonts w:ascii="宋体" w:hAnsi="宋体" w:cs="宋体"/>
        </w:rPr>
      </w:pPr>
      <w:r>
        <w:rPr>
          <w:rFonts w:hint="eastAsia" w:ascii="宋体" w:hAnsi="宋体" w:cs="宋体"/>
        </w:rPr>
        <w:t>预付款支付比例或金额：</w:t>
      </w:r>
      <w:r>
        <w:rPr>
          <w:rFonts w:hint="eastAsia" w:ascii="宋体" w:hAnsi="宋体" w:cs="宋体"/>
          <w:u w:val="single"/>
        </w:rPr>
        <w:t xml:space="preserve">     合同价款的1</w:t>
      </w:r>
      <w:r>
        <w:rPr>
          <w:rFonts w:ascii="宋体" w:hAnsi="宋体" w:cs="宋体"/>
          <w:u w:val="single"/>
        </w:rPr>
        <w:t>0%</w:t>
      </w:r>
      <w:r>
        <w:rPr>
          <w:rFonts w:hint="eastAsia" w:ascii="宋体" w:hAnsi="宋体" w:cs="宋体"/>
          <w:u w:val="single"/>
        </w:rPr>
        <w:t xml:space="preserve">         </w:t>
      </w:r>
      <w:r>
        <w:rPr>
          <w:rFonts w:hint="eastAsia" w:ascii="宋体" w:hAnsi="宋体" w:cs="宋体"/>
        </w:rPr>
        <w:t>。</w:t>
      </w:r>
    </w:p>
    <w:p w14:paraId="350516B4">
      <w:pPr>
        <w:spacing w:line="360" w:lineRule="exact"/>
        <w:ind w:firstLine="420" w:firstLineChars="200"/>
        <w:jc w:val="left"/>
        <w:rPr>
          <w:rFonts w:ascii="宋体" w:hAnsi="宋体" w:cs="宋体"/>
        </w:rPr>
      </w:pPr>
      <w:r>
        <w:rPr>
          <w:rFonts w:hint="eastAsia" w:ascii="宋体" w:hAnsi="宋体" w:cs="宋体"/>
        </w:rPr>
        <w:t>预付款支付期限：</w:t>
      </w:r>
      <w:r>
        <w:rPr>
          <w:rFonts w:hint="eastAsia" w:ascii="宋体" w:hAnsi="宋体" w:cs="宋体"/>
          <w:u w:val="single"/>
        </w:rPr>
        <w:t xml:space="preserve">   合同签订后1</w:t>
      </w:r>
      <w:r>
        <w:rPr>
          <w:rFonts w:ascii="宋体" w:hAnsi="宋体" w:cs="宋体"/>
          <w:u w:val="single"/>
        </w:rPr>
        <w:t>0</w:t>
      </w:r>
      <w:r>
        <w:rPr>
          <w:rFonts w:hint="eastAsia" w:ascii="宋体" w:hAnsi="宋体" w:cs="宋体"/>
          <w:u w:val="single"/>
        </w:rPr>
        <w:t xml:space="preserve">日内    </w:t>
      </w:r>
      <w:r>
        <w:rPr>
          <w:rFonts w:hint="eastAsia" w:ascii="宋体" w:hAnsi="宋体" w:cs="宋体"/>
        </w:rPr>
        <w:t>。</w:t>
      </w:r>
    </w:p>
    <w:p w14:paraId="6C948DF8">
      <w:pPr>
        <w:spacing w:line="360" w:lineRule="exact"/>
        <w:ind w:firstLine="420" w:firstLineChars="200"/>
        <w:jc w:val="left"/>
        <w:rPr>
          <w:rFonts w:ascii="宋体" w:hAnsi="宋体" w:cs="宋体"/>
        </w:rPr>
      </w:pPr>
      <w:r>
        <w:rPr>
          <w:rFonts w:hint="eastAsia" w:ascii="宋体" w:hAnsi="宋体" w:cs="宋体"/>
        </w:rPr>
        <w:t>预付款扣回的方式：</w:t>
      </w:r>
      <w:r>
        <w:rPr>
          <w:rFonts w:hint="eastAsia" w:ascii="宋体" w:hAnsi="宋体" w:cs="宋体"/>
          <w:u w:val="single"/>
        </w:rPr>
        <w:t xml:space="preserve">              无                    </w:t>
      </w:r>
      <w:r>
        <w:rPr>
          <w:rFonts w:hint="eastAsia" w:ascii="宋体" w:hAnsi="宋体" w:cs="宋体"/>
        </w:rPr>
        <w:t>。</w:t>
      </w:r>
    </w:p>
    <w:p w14:paraId="2859523B">
      <w:pPr>
        <w:spacing w:line="36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12.2.2 预付款担保</w:t>
      </w:r>
    </w:p>
    <w:p w14:paraId="793916E9">
      <w:pPr>
        <w:spacing w:line="36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承包人提交预付款担保的期限：</w:t>
      </w:r>
      <w:r>
        <w:rPr>
          <w:rFonts w:hint="eastAsia" w:ascii="宋体" w:hAnsi="宋体" w:cs="宋体"/>
          <w:color w:val="000000" w:themeColor="text1"/>
          <w:u w:val="single"/>
          <w14:textFill>
            <w14:solidFill>
              <w14:schemeClr w14:val="tx1"/>
            </w14:solidFill>
          </w14:textFill>
        </w:rPr>
        <w:t xml:space="preserve">     无                   </w:t>
      </w:r>
      <w:r>
        <w:rPr>
          <w:rFonts w:hint="eastAsia" w:ascii="宋体" w:hAnsi="宋体" w:cs="宋体"/>
          <w:color w:val="000000" w:themeColor="text1"/>
          <w14:textFill>
            <w14:solidFill>
              <w14:schemeClr w14:val="tx1"/>
            </w14:solidFill>
          </w14:textFill>
        </w:rPr>
        <w:t>。</w:t>
      </w:r>
    </w:p>
    <w:p w14:paraId="417D9F63">
      <w:pPr>
        <w:spacing w:line="360" w:lineRule="exact"/>
        <w:ind w:firstLine="420" w:firstLineChars="200"/>
        <w:jc w:val="left"/>
        <w:rPr>
          <w:rFonts w:ascii="宋体" w:hAnsi="宋体" w:cs="宋体"/>
          <w:color w:val="FF0000"/>
        </w:rPr>
      </w:pPr>
      <w:r>
        <w:rPr>
          <w:rFonts w:hint="eastAsia" w:ascii="宋体" w:hAnsi="宋体" w:cs="宋体"/>
          <w:color w:val="000000" w:themeColor="text1"/>
          <w14:textFill>
            <w14:solidFill>
              <w14:schemeClr w14:val="tx1"/>
            </w14:solidFill>
          </w14:textFill>
        </w:rPr>
        <w:t>预付款担保的形式为：</w:t>
      </w:r>
      <w:r>
        <w:rPr>
          <w:rFonts w:hint="eastAsia" w:ascii="宋体" w:hAnsi="宋体" w:cs="宋体"/>
          <w:color w:val="000000" w:themeColor="text1"/>
          <w:u w:val="single"/>
          <w14:textFill>
            <w14:solidFill>
              <w14:schemeClr w14:val="tx1"/>
            </w14:solidFill>
          </w14:textFill>
        </w:rPr>
        <w:t xml:space="preserve">             无                   </w:t>
      </w:r>
      <w:r>
        <w:rPr>
          <w:rFonts w:hint="eastAsia" w:ascii="宋体" w:hAnsi="宋体" w:cs="宋体"/>
          <w:color w:val="000000" w:themeColor="text1"/>
          <w14:textFill>
            <w14:solidFill>
              <w14:schemeClr w14:val="tx1"/>
            </w14:solidFill>
          </w14:textFill>
        </w:rPr>
        <w:t>。</w:t>
      </w:r>
    </w:p>
    <w:p w14:paraId="0B591729">
      <w:pPr>
        <w:spacing w:after="120" w:line="360" w:lineRule="exact"/>
        <w:ind w:firstLine="420" w:firstLineChars="200"/>
        <w:rPr>
          <w:rFonts w:ascii="宋体" w:hAnsi="宋体" w:cs="宋体"/>
        </w:rPr>
      </w:pPr>
      <w:r>
        <w:rPr>
          <w:rFonts w:hint="eastAsia" w:ascii="宋体" w:hAnsi="宋体" w:cs="宋体"/>
        </w:rPr>
        <w:t>12.3 计量</w:t>
      </w:r>
    </w:p>
    <w:p w14:paraId="3E99576D">
      <w:pPr>
        <w:pStyle w:val="28"/>
        <w:numPr>
          <w:ilvl w:val="2"/>
          <w:numId w:val="5"/>
        </w:numPr>
        <w:spacing w:line="360" w:lineRule="exact"/>
        <w:ind w:firstLineChars="0"/>
        <w:jc w:val="left"/>
        <w:rPr>
          <w:rFonts w:ascii="宋体" w:hAnsi="宋体" w:cs="宋体"/>
        </w:rPr>
      </w:pPr>
      <w:r>
        <w:rPr>
          <w:rFonts w:hint="eastAsia" w:ascii="宋体" w:hAnsi="宋体" w:cs="宋体"/>
        </w:rPr>
        <w:t>计量原则</w:t>
      </w:r>
    </w:p>
    <w:p w14:paraId="75CCCD4D">
      <w:pPr>
        <w:numPr>
          <w:ilvl w:val="0"/>
          <w:numId w:val="0"/>
        </w:numPr>
        <w:spacing w:line="360" w:lineRule="auto"/>
        <w:ind w:firstLine="420" w:firstLineChars="200"/>
        <w:rPr>
          <w:rFonts w:hint="eastAsia" w:ascii="宋体" w:hAnsi="宋体" w:cs="宋体"/>
          <w:spacing w:val="10"/>
          <w:szCs w:val="21"/>
        </w:rPr>
      </w:pPr>
      <w:r>
        <w:rPr>
          <w:rFonts w:hint="eastAsia" w:ascii="宋体" w:hAnsi="宋体" w:cs="宋体"/>
          <w:szCs w:val="21"/>
        </w:rPr>
        <w:t>工程量计算规则：</w:t>
      </w:r>
      <w:r>
        <w:rPr>
          <w:rFonts w:hint="eastAsia" w:ascii="宋体" w:hAnsi="宋体" w:eastAsia="宋体" w:cs="宋体"/>
          <w:sz w:val="21"/>
          <w:szCs w:val="21"/>
          <w:lang w:val="en-US" w:eastAsia="zh-CN"/>
        </w:rPr>
        <w:t>国家有关法律、法规和规范性文件；</w:t>
      </w:r>
      <w:r>
        <w:rPr>
          <w:rFonts w:hint="eastAsia" w:ascii="宋体" w:hAnsi="宋体" w:eastAsia="宋体" w:cs="宋体"/>
          <w:sz w:val="21"/>
          <w:szCs w:val="21"/>
        </w:rPr>
        <w:t>《公路工程建设项目概算预算编制办法》（JTG3830-2018）</w:t>
      </w:r>
      <w:r>
        <w:rPr>
          <w:rFonts w:hint="eastAsia" w:ascii="宋体" w:hAnsi="宋体" w:eastAsia="宋体" w:cs="宋体"/>
          <w:sz w:val="21"/>
          <w:szCs w:val="21"/>
          <w:lang w:eastAsia="zh-CN"/>
        </w:rPr>
        <w:t>；</w:t>
      </w:r>
      <w:r>
        <w:rPr>
          <w:rFonts w:hint="eastAsia" w:ascii="宋体" w:hAnsi="宋体" w:eastAsia="宋体" w:cs="宋体"/>
          <w:sz w:val="21"/>
          <w:szCs w:val="21"/>
        </w:rPr>
        <w:t>《公路工程预算定额》（JTG/T 3832-2018）</w:t>
      </w:r>
      <w:r>
        <w:rPr>
          <w:rFonts w:hint="eastAsia" w:ascii="宋体" w:hAnsi="宋体" w:eastAsia="宋体" w:cs="宋体"/>
          <w:sz w:val="21"/>
          <w:szCs w:val="21"/>
          <w:lang w:eastAsia="zh-CN"/>
        </w:rPr>
        <w:t>；</w:t>
      </w:r>
      <w:r>
        <w:rPr>
          <w:rFonts w:hint="eastAsia" w:ascii="宋体" w:hAnsi="宋体" w:eastAsia="宋体" w:cs="宋体"/>
          <w:sz w:val="21"/>
          <w:szCs w:val="21"/>
        </w:rPr>
        <w:t>《公路工程机械台班费用定额》（JTG/T 3833-2018）</w:t>
      </w:r>
      <w:r>
        <w:rPr>
          <w:rFonts w:hint="eastAsia" w:ascii="宋体" w:hAnsi="宋体" w:eastAsia="宋体" w:cs="宋体"/>
          <w:sz w:val="21"/>
          <w:szCs w:val="21"/>
          <w:lang w:eastAsia="zh-CN"/>
        </w:rPr>
        <w:t>；</w:t>
      </w:r>
      <w:r>
        <w:rPr>
          <w:rFonts w:hint="eastAsia" w:ascii="宋体" w:hAnsi="宋体"/>
          <w:sz w:val="21"/>
          <w:szCs w:val="21"/>
        </w:rPr>
        <w:t>《广西公路养护定额》（DB45/T2228.1-2020）；《公路工程机械台班费用定额》（2022版）</w:t>
      </w:r>
      <w:r>
        <w:rPr>
          <w:rFonts w:hint="eastAsia" w:ascii="宋体" w:hAnsi="宋体"/>
          <w:sz w:val="21"/>
          <w:szCs w:val="21"/>
          <w:lang w:val="en-US" w:eastAsia="zh-CN"/>
        </w:rPr>
        <w:t>；</w:t>
      </w:r>
      <w:r>
        <w:rPr>
          <w:rFonts w:hint="eastAsia" w:ascii="宋体" w:hAnsi="宋体" w:eastAsia="宋体" w:cs="宋体"/>
          <w:sz w:val="21"/>
          <w:szCs w:val="21"/>
          <w:lang w:val="en-US" w:eastAsia="zh-CN"/>
        </w:rPr>
        <w:t>交通运输部关于调整《公路工程建设项目投资估算编制办法》（JTG3820-2018）和《公路工程建设项目概算预算编制办法》（JTG3830-2018）中“税金”有关规定的公告[交通运输部公告第26号文]；</w:t>
      </w:r>
      <w:r>
        <w:rPr>
          <w:rFonts w:hint="eastAsia" w:ascii="宋体" w:hAnsi="宋体" w:eastAsia="宋体" w:cs="宋体"/>
          <w:sz w:val="21"/>
          <w:szCs w:val="21"/>
        </w:rPr>
        <w:t>广西壮族自治区交通工程造价管理站《关于发布广西公路工程机械台班车船使用税标准的函》 桂交监造价函〔2019〕16号</w:t>
      </w:r>
      <w:r>
        <w:rPr>
          <w:rFonts w:hint="eastAsia" w:ascii="宋体" w:hAnsi="宋体" w:eastAsia="宋体" w:cs="宋体"/>
          <w:sz w:val="21"/>
          <w:szCs w:val="21"/>
          <w:lang w:val="en-US" w:eastAsia="zh-CN"/>
        </w:rPr>
        <w:t>文；</w:t>
      </w:r>
      <w:r>
        <w:rPr>
          <w:rFonts w:hint="eastAsia" w:ascii="宋体" w:hAnsi="宋体" w:eastAsia="宋体" w:cs="宋体"/>
          <w:sz w:val="21"/>
          <w:szCs w:val="21"/>
        </w:rPr>
        <w:t>《广西壮族自治区交通运输厅关于印发公路工程建设项目估算概算预算编制办法广西补充规定的通知》（桂交建管发〔2019〕39号</w:t>
      </w:r>
      <w:r>
        <w:rPr>
          <w:rFonts w:hint="eastAsia" w:ascii="宋体" w:hAnsi="宋体" w:eastAsia="宋体" w:cs="宋体"/>
          <w:sz w:val="21"/>
          <w:szCs w:val="21"/>
          <w:lang w:val="en-US" w:eastAsia="zh-CN"/>
        </w:rPr>
        <w:t>文</w:t>
      </w:r>
      <w:r>
        <w:rPr>
          <w:rFonts w:hint="eastAsia" w:ascii="宋体" w:hAnsi="宋体" w:eastAsia="宋体" w:cs="宋体"/>
          <w:sz w:val="21"/>
          <w:szCs w:val="21"/>
        </w:rPr>
        <w:t>）</w:t>
      </w:r>
      <w:r>
        <w:rPr>
          <w:rFonts w:hint="eastAsia" w:ascii="宋体" w:hAnsi="宋体" w:eastAsia="宋体" w:cs="宋体"/>
          <w:sz w:val="21"/>
          <w:szCs w:val="21"/>
          <w:lang w:eastAsia="zh-CN"/>
        </w:rPr>
        <w:t>；</w:t>
      </w:r>
      <w:r>
        <w:rPr>
          <w:rFonts w:hint="eastAsia" w:ascii="宋体" w:hAnsi="宋体" w:eastAsia="宋体" w:cs="宋体"/>
          <w:color w:val="auto"/>
          <w:sz w:val="21"/>
          <w:szCs w:val="21"/>
          <w:lang w:val="en-US" w:eastAsia="zh-CN"/>
        </w:rPr>
        <w:t>材料价格按《桂林市建设工程造价信息》平乐县材料信息202</w:t>
      </w:r>
      <w:r>
        <w:rPr>
          <w:rFonts w:hint="eastAsia" w:ascii="宋体" w:hAnsi="宋体" w:cs="宋体"/>
          <w:color w:val="auto"/>
          <w:sz w:val="21"/>
          <w:szCs w:val="21"/>
          <w:lang w:val="en-US" w:eastAsia="zh-CN"/>
        </w:rPr>
        <w:t>6</w:t>
      </w:r>
      <w:r>
        <w:rPr>
          <w:rFonts w:hint="eastAsia" w:ascii="宋体" w:hAnsi="宋体" w:eastAsia="宋体" w:cs="宋体"/>
          <w:color w:val="auto"/>
          <w:sz w:val="21"/>
          <w:szCs w:val="21"/>
          <w:lang w:val="en-US" w:eastAsia="zh-CN"/>
        </w:rPr>
        <w:t>年第</w:t>
      </w:r>
      <w:r>
        <w:rPr>
          <w:rFonts w:hint="eastAsia" w:ascii="宋体" w:hAnsi="宋体" w:cs="宋体"/>
          <w:color w:val="auto"/>
          <w:sz w:val="21"/>
          <w:szCs w:val="21"/>
          <w:lang w:val="en-US" w:eastAsia="zh-CN"/>
        </w:rPr>
        <w:t>7</w:t>
      </w:r>
      <w:r>
        <w:rPr>
          <w:rFonts w:hint="eastAsia" w:ascii="宋体" w:hAnsi="宋体" w:eastAsia="宋体" w:cs="宋体"/>
          <w:color w:val="auto"/>
          <w:sz w:val="21"/>
          <w:szCs w:val="21"/>
          <w:lang w:val="en-US" w:eastAsia="zh-CN"/>
        </w:rPr>
        <w:t>期调整，无信息价按同期《桂林市建设工程造价信息》桂林信息价计算及市场询价；</w:t>
      </w:r>
      <w:r>
        <w:rPr>
          <w:rFonts w:hint="eastAsia" w:ascii="宋体" w:hAnsi="宋体" w:cs="宋体"/>
          <w:spacing w:val="10"/>
          <w:szCs w:val="21"/>
        </w:rPr>
        <w:t>本工程补充项目清单为准。</w:t>
      </w:r>
    </w:p>
    <w:p w14:paraId="19924097">
      <w:pPr>
        <w:pStyle w:val="13"/>
      </w:pPr>
    </w:p>
    <w:p w14:paraId="2E14919B">
      <w:pPr>
        <w:spacing w:line="360" w:lineRule="exact"/>
        <w:ind w:firstLine="420" w:firstLineChars="200"/>
        <w:jc w:val="left"/>
        <w:rPr>
          <w:rFonts w:ascii="宋体" w:hAnsi="宋体" w:cs="宋体"/>
        </w:rPr>
      </w:pPr>
      <w:r>
        <w:rPr>
          <w:rFonts w:hint="eastAsia" w:ascii="宋体" w:hAnsi="宋体" w:cs="宋体"/>
        </w:rPr>
        <w:t>12.3.2 计量周期</w:t>
      </w:r>
    </w:p>
    <w:p w14:paraId="6F3EC514">
      <w:pPr>
        <w:spacing w:line="360" w:lineRule="exact"/>
        <w:ind w:firstLine="420" w:firstLineChars="200"/>
        <w:jc w:val="left"/>
        <w:rPr>
          <w:rFonts w:ascii="宋体" w:hAnsi="宋体" w:cs="宋体"/>
        </w:rPr>
      </w:pPr>
      <w:r>
        <w:rPr>
          <w:rFonts w:hint="eastAsia" w:ascii="宋体" w:hAnsi="宋体" w:cs="宋体"/>
        </w:rPr>
        <w:t>关于计量周期的约定：</w:t>
      </w:r>
      <w:r>
        <w:rPr>
          <w:rFonts w:hint="eastAsia" w:ascii="宋体" w:hAnsi="宋体" w:cs="宋体"/>
          <w:u w:val="single"/>
        </w:rPr>
        <w:t xml:space="preserve">     每月25日前        </w:t>
      </w:r>
      <w:r>
        <w:rPr>
          <w:rFonts w:hint="eastAsia" w:ascii="宋体" w:hAnsi="宋体" w:cs="宋体"/>
        </w:rPr>
        <w:t>。</w:t>
      </w:r>
    </w:p>
    <w:p w14:paraId="69271F9A">
      <w:pPr>
        <w:spacing w:line="360" w:lineRule="exact"/>
        <w:ind w:firstLine="420" w:firstLineChars="200"/>
        <w:jc w:val="left"/>
        <w:rPr>
          <w:rFonts w:ascii="宋体" w:hAnsi="宋体" w:cs="宋体"/>
        </w:rPr>
      </w:pPr>
      <w:r>
        <w:rPr>
          <w:rFonts w:hint="eastAsia" w:ascii="宋体" w:hAnsi="宋体" w:cs="宋体"/>
        </w:rPr>
        <w:t>12.3.3 单价合同的计量</w:t>
      </w:r>
    </w:p>
    <w:p w14:paraId="72EB12D4">
      <w:pPr>
        <w:spacing w:line="360" w:lineRule="exact"/>
        <w:ind w:firstLine="420" w:firstLineChars="200"/>
        <w:jc w:val="left"/>
        <w:rPr>
          <w:rFonts w:ascii="宋体" w:hAnsi="宋体" w:cs="宋体"/>
        </w:rPr>
      </w:pPr>
      <w:r>
        <w:rPr>
          <w:rFonts w:hint="eastAsia" w:ascii="宋体" w:hAnsi="宋体" w:cs="宋体"/>
        </w:rPr>
        <w:t>关于单价合同计量的约定：</w:t>
      </w:r>
      <w:r>
        <w:rPr>
          <w:rFonts w:hint="eastAsia" w:ascii="宋体" w:hAnsi="宋体" w:cs="宋体"/>
          <w:u w:val="single"/>
        </w:rPr>
        <w:t xml:space="preserve">   工程量清单所列的工程量，不能作为承包人按合同履行其责任依据，实际施工中发生的工程量增加或减少并不影响承包人履行合同的责任，工程结算以完成的实际工程量为准    </w:t>
      </w:r>
      <w:r>
        <w:rPr>
          <w:rFonts w:hint="eastAsia" w:ascii="宋体" w:hAnsi="宋体" w:cs="宋体"/>
        </w:rPr>
        <w:t>。</w:t>
      </w:r>
    </w:p>
    <w:p w14:paraId="0C0FBC81">
      <w:pPr>
        <w:spacing w:line="360" w:lineRule="exact"/>
        <w:ind w:firstLine="420" w:firstLineChars="200"/>
        <w:jc w:val="left"/>
        <w:rPr>
          <w:rFonts w:ascii="宋体" w:hAnsi="宋体" w:cs="宋体"/>
        </w:rPr>
      </w:pPr>
      <w:r>
        <w:rPr>
          <w:rFonts w:hint="eastAsia" w:ascii="宋体" w:hAnsi="宋体" w:cs="宋体"/>
        </w:rPr>
        <w:t>12.3.4 总价合同的计量</w:t>
      </w:r>
    </w:p>
    <w:p w14:paraId="725348BA">
      <w:pPr>
        <w:spacing w:line="360" w:lineRule="exact"/>
        <w:ind w:firstLine="420" w:firstLineChars="200"/>
        <w:jc w:val="left"/>
        <w:rPr>
          <w:rFonts w:ascii="宋体" w:hAnsi="宋体" w:cs="宋体"/>
        </w:rPr>
      </w:pPr>
      <w:r>
        <w:rPr>
          <w:rFonts w:hint="eastAsia" w:ascii="宋体" w:hAnsi="宋体" w:cs="宋体"/>
        </w:rPr>
        <w:t>关于总价合同计量的约定：</w:t>
      </w:r>
      <w:r>
        <w:rPr>
          <w:rFonts w:hint="eastAsia" w:ascii="宋体" w:hAnsi="宋体" w:cs="宋体"/>
          <w:u w:val="single"/>
        </w:rPr>
        <w:t xml:space="preserve">         无                </w:t>
      </w:r>
      <w:r>
        <w:rPr>
          <w:rFonts w:hint="eastAsia" w:ascii="宋体" w:hAnsi="宋体" w:cs="宋体"/>
        </w:rPr>
        <w:t>。</w:t>
      </w:r>
    </w:p>
    <w:p w14:paraId="700E20EB">
      <w:pPr>
        <w:spacing w:line="360" w:lineRule="exact"/>
        <w:ind w:firstLine="420" w:firstLineChars="200"/>
        <w:jc w:val="left"/>
        <w:rPr>
          <w:rFonts w:ascii="宋体" w:hAnsi="宋体" w:cs="宋体"/>
        </w:rPr>
      </w:pPr>
      <w:r>
        <w:rPr>
          <w:rFonts w:hint="eastAsia" w:ascii="宋体" w:hAnsi="宋体" w:cs="宋体"/>
        </w:rPr>
        <w:t>12.3.5总价合同采用支付分解表计量支付的，是否适用第</w:t>
      </w:r>
      <w:r>
        <w:rPr>
          <w:rFonts w:hint="eastAsia" w:ascii="宋体" w:hAnsi="宋体" w:cs="宋体"/>
          <w:kern w:val="0"/>
        </w:rPr>
        <w:t xml:space="preserve">12.3.4 </w:t>
      </w:r>
      <w:r>
        <w:rPr>
          <w:rFonts w:hint="eastAsia" w:ascii="宋体" w:hAnsi="宋体" w:cs="宋体"/>
        </w:rPr>
        <w:t>项</w:t>
      </w:r>
      <w:r>
        <w:rPr>
          <w:rFonts w:hint="eastAsia" w:ascii="宋体" w:hAnsi="宋体" w:cs="宋体"/>
          <w:kern w:val="0"/>
        </w:rPr>
        <w:t>〔总价合同的计量〕</w:t>
      </w:r>
      <w:r>
        <w:rPr>
          <w:rFonts w:hint="eastAsia" w:ascii="宋体" w:hAnsi="宋体" w:cs="宋体"/>
        </w:rPr>
        <w:t>约定进行计量：</w:t>
      </w:r>
      <w:r>
        <w:rPr>
          <w:rFonts w:hint="eastAsia" w:ascii="宋体" w:hAnsi="宋体" w:cs="宋体"/>
          <w:u w:val="single"/>
        </w:rPr>
        <w:t xml:space="preserve">   无               </w:t>
      </w:r>
      <w:r>
        <w:rPr>
          <w:rFonts w:hint="eastAsia" w:ascii="宋体" w:hAnsi="宋体" w:cs="宋体"/>
        </w:rPr>
        <w:t>。</w:t>
      </w:r>
    </w:p>
    <w:p w14:paraId="10D76BBF">
      <w:pPr>
        <w:spacing w:line="360" w:lineRule="exact"/>
        <w:ind w:firstLine="420" w:firstLineChars="200"/>
        <w:jc w:val="left"/>
        <w:rPr>
          <w:rFonts w:ascii="宋体" w:hAnsi="宋体" w:cs="宋体"/>
        </w:rPr>
      </w:pPr>
      <w:r>
        <w:rPr>
          <w:rFonts w:hint="eastAsia" w:ascii="宋体" w:hAnsi="宋体" w:cs="宋体"/>
        </w:rPr>
        <w:t>12.3.6 其他价格形式合同的计量</w:t>
      </w:r>
    </w:p>
    <w:p w14:paraId="1AC96A2A">
      <w:pPr>
        <w:spacing w:line="360" w:lineRule="exact"/>
        <w:ind w:firstLine="420" w:firstLineChars="200"/>
        <w:jc w:val="left"/>
        <w:rPr>
          <w:rFonts w:ascii="宋体" w:hAnsi="宋体" w:cs="宋体"/>
        </w:rPr>
      </w:pPr>
      <w:r>
        <w:rPr>
          <w:rFonts w:hint="eastAsia" w:ascii="宋体" w:hAnsi="宋体" w:cs="宋体"/>
        </w:rPr>
        <w:t>其他价格形式的计量方式和程序：</w:t>
      </w:r>
      <w:r>
        <w:rPr>
          <w:rFonts w:hint="eastAsia" w:ascii="宋体" w:hAnsi="宋体" w:cs="宋体"/>
          <w:u w:val="single"/>
        </w:rPr>
        <w:t xml:space="preserve">      无           </w:t>
      </w:r>
      <w:r>
        <w:rPr>
          <w:rFonts w:hint="eastAsia" w:ascii="宋体" w:hAnsi="宋体" w:cs="宋体"/>
        </w:rPr>
        <w:t>。</w:t>
      </w:r>
    </w:p>
    <w:p w14:paraId="1641E086">
      <w:pPr>
        <w:spacing w:after="120" w:line="360" w:lineRule="exact"/>
        <w:ind w:firstLine="420" w:firstLineChars="200"/>
        <w:rPr>
          <w:rFonts w:ascii="宋体" w:hAnsi="宋体" w:cs="宋体"/>
        </w:rPr>
      </w:pPr>
      <w:r>
        <w:rPr>
          <w:rFonts w:hint="eastAsia" w:ascii="宋体" w:hAnsi="宋体" w:cs="宋体"/>
        </w:rPr>
        <w:t>12.4 工程进度款支付</w:t>
      </w:r>
    </w:p>
    <w:p w14:paraId="11BD2918">
      <w:pPr>
        <w:spacing w:line="360" w:lineRule="exact"/>
        <w:ind w:firstLine="420" w:firstLineChars="200"/>
        <w:jc w:val="left"/>
        <w:rPr>
          <w:rFonts w:ascii="宋体" w:hAnsi="宋体" w:cs="宋体"/>
        </w:rPr>
      </w:pPr>
      <w:r>
        <w:rPr>
          <w:rFonts w:hint="eastAsia" w:ascii="宋体" w:hAnsi="宋体" w:cs="宋体"/>
        </w:rPr>
        <w:t>12.4.1 付款周期</w:t>
      </w:r>
    </w:p>
    <w:p w14:paraId="74FF4482">
      <w:pPr>
        <w:spacing w:line="360" w:lineRule="exact"/>
        <w:ind w:firstLine="420" w:firstLineChars="200"/>
        <w:jc w:val="left"/>
        <w:rPr>
          <w:rFonts w:ascii="宋体" w:hAnsi="宋体" w:cs="宋体"/>
          <w:u w:val="single"/>
        </w:rPr>
      </w:pPr>
      <w:r>
        <w:rPr>
          <w:rFonts w:hint="eastAsia" w:ascii="宋体" w:hAnsi="宋体" w:cs="宋体"/>
        </w:rPr>
        <w:t xml:space="preserve">关于付款周期的约定： </w:t>
      </w:r>
      <w:r>
        <w:rPr>
          <w:rFonts w:hint="eastAsia" w:ascii="宋体" w:hAnsi="宋体" w:cs="宋体"/>
          <w:u w:val="single"/>
        </w:rPr>
        <w:t xml:space="preserve"> 主要材料到场且工程量完工70%以上(附经业主审定认可的完工工程量清单)</w:t>
      </w:r>
    </w:p>
    <w:p w14:paraId="74729417">
      <w:pPr>
        <w:spacing w:line="360" w:lineRule="exact"/>
        <w:ind w:firstLine="420" w:firstLineChars="200"/>
        <w:jc w:val="left"/>
        <w:rPr>
          <w:rFonts w:ascii="宋体" w:hAnsi="宋体" w:cs="宋体"/>
          <w:u w:val="single"/>
        </w:rPr>
      </w:pPr>
      <w:r>
        <w:rPr>
          <w:rFonts w:hint="eastAsia" w:ascii="宋体" w:hAnsi="宋体" w:cs="宋体"/>
          <w:u w:val="single"/>
        </w:rPr>
        <w:t>按规定程序付给乙方50%的合同价款:工程完工后，按规定程序付至乙方85%的合同价款；结算经业主指定的审核单位审核确认最终造价后，工程款付至工程审核造价的97%；发包人按工程价款结算总额的3%预留工程质量保修金，待缺陷责任期满后返还。</w:t>
      </w:r>
    </w:p>
    <w:p w14:paraId="2331F00E">
      <w:pPr>
        <w:spacing w:line="360" w:lineRule="exact"/>
        <w:ind w:firstLine="420" w:firstLineChars="200"/>
        <w:jc w:val="left"/>
        <w:rPr>
          <w:rFonts w:ascii="宋体" w:hAnsi="宋体" w:cs="宋体"/>
        </w:rPr>
      </w:pPr>
      <w:r>
        <w:rPr>
          <w:rFonts w:hint="eastAsia" w:ascii="宋体" w:hAnsi="宋体" w:cs="宋体"/>
        </w:rPr>
        <w:t>12.4.2 进度付款申请单的编制</w:t>
      </w:r>
    </w:p>
    <w:p w14:paraId="18A2D9CA">
      <w:pPr>
        <w:spacing w:line="360" w:lineRule="exact"/>
        <w:ind w:firstLine="420" w:firstLineChars="200"/>
        <w:jc w:val="left"/>
        <w:rPr>
          <w:rFonts w:ascii="宋体" w:hAnsi="宋体" w:cs="宋体"/>
        </w:rPr>
      </w:pPr>
      <w:r>
        <w:rPr>
          <w:rFonts w:hint="eastAsia" w:ascii="宋体" w:hAnsi="宋体" w:cs="宋体"/>
        </w:rPr>
        <w:t>关于进度付款申请单编制的约定：</w:t>
      </w:r>
      <w:r>
        <w:rPr>
          <w:rFonts w:hint="eastAsia" w:ascii="宋体" w:hAnsi="宋体" w:cs="宋体"/>
          <w:u w:val="single"/>
        </w:rPr>
        <w:t xml:space="preserve">   按通用条款执行    </w:t>
      </w:r>
      <w:r>
        <w:rPr>
          <w:rFonts w:hint="eastAsia" w:ascii="宋体" w:hAnsi="宋体" w:cs="宋体"/>
        </w:rPr>
        <w:t>。</w:t>
      </w:r>
    </w:p>
    <w:p w14:paraId="28CDDCAB">
      <w:pPr>
        <w:spacing w:line="360" w:lineRule="exact"/>
        <w:ind w:firstLine="420" w:firstLineChars="200"/>
        <w:jc w:val="left"/>
        <w:rPr>
          <w:rFonts w:ascii="宋体" w:hAnsi="宋体" w:cs="宋体"/>
        </w:rPr>
      </w:pPr>
      <w:r>
        <w:rPr>
          <w:rFonts w:hint="eastAsia" w:ascii="宋体" w:hAnsi="宋体" w:cs="宋体"/>
        </w:rPr>
        <w:t>12.4.3 进度付款申请单的提交</w:t>
      </w:r>
    </w:p>
    <w:p w14:paraId="0787B494">
      <w:pPr>
        <w:spacing w:line="360" w:lineRule="exact"/>
        <w:ind w:firstLine="420" w:firstLineChars="200"/>
        <w:jc w:val="left"/>
        <w:rPr>
          <w:rFonts w:ascii="宋体" w:hAnsi="宋体" w:cs="宋体"/>
        </w:rPr>
      </w:pPr>
      <w:r>
        <w:rPr>
          <w:rFonts w:hint="eastAsia" w:ascii="宋体" w:hAnsi="宋体" w:cs="宋体"/>
        </w:rPr>
        <w:t>（1）单价合同进度付款申请单提交的约定：</w:t>
      </w:r>
      <w:r>
        <w:rPr>
          <w:rFonts w:hint="eastAsia" w:ascii="宋体" w:hAnsi="宋体" w:cs="宋体"/>
          <w:u w:val="single"/>
        </w:rPr>
        <w:t xml:space="preserve">按通用条款执行  </w:t>
      </w:r>
      <w:r>
        <w:rPr>
          <w:rFonts w:hint="eastAsia" w:ascii="宋体" w:hAnsi="宋体" w:cs="宋体"/>
        </w:rPr>
        <w:t>。</w:t>
      </w:r>
    </w:p>
    <w:p w14:paraId="0ED9D54B">
      <w:pPr>
        <w:spacing w:line="360" w:lineRule="exact"/>
        <w:ind w:firstLine="420" w:firstLineChars="200"/>
        <w:jc w:val="left"/>
        <w:rPr>
          <w:rFonts w:ascii="宋体" w:hAnsi="宋体" w:cs="宋体"/>
        </w:rPr>
      </w:pPr>
      <w:r>
        <w:rPr>
          <w:rFonts w:hint="eastAsia" w:ascii="宋体" w:hAnsi="宋体" w:cs="宋体"/>
        </w:rPr>
        <w:t>（2）总价合同进度付款申请单提交的约定：</w:t>
      </w:r>
      <w:r>
        <w:rPr>
          <w:rFonts w:hint="eastAsia" w:ascii="宋体" w:hAnsi="宋体" w:cs="宋体"/>
          <w:u w:val="single"/>
        </w:rPr>
        <w:t>按通用条款执行</w:t>
      </w:r>
      <w:r>
        <w:rPr>
          <w:rFonts w:hint="eastAsia" w:ascii="宋体" w:hAnsi="宋体" w:cs="宋体"/>
        </w:rPr>
        <w:t>。</w:t>
      </w:r>
    </w:p>
    <w:p w14:paraId="0C5FDD36">
      <w:pPr>
        <w:spacing w:line="360" w:lineRule="exact"/>
        <w:ind w:firstLine="420" w:firstLineChars="200"/>
        <w:jc w:val="left"/>
        <w:rPr>
          <w:rFonts w:ascii="宋体" w:hAnsi="宋体" w:cs="宋体"/>
        </w:rPr>
      </w:pPr>
      <w:r>
        <w:rPr>
          <w:rFonts w:hint="eastAsia" w:ascii="宋体" w:hAnsi="宋体" w:cs="宋体"/>
        </w:rPr>
        <w:t>（3）其他价格形式合同进度付款申请单提交的约定：</w:t>
      </w:r>
      <w:r>
        <w:rPr>
          <w:rFonts w:hint="eastAsia" w:ascii="宋体" w:hAnsi="宋体" w:cs="宋体"/>
          <w:u w:val="single"/>
        </w:rPr>
        <w:t xml:space="preserve">按通用条款执行  </w:t>
      </w:r>
      <w:r>
        <w:rPr>
          <w:rFonts w:hint="eastAsia" w:ascii="宋体" w:hAnsi="宋体" w:cs="宋体"/>
        </w:rPr>
        <w:t>。</w:t>
      </w:r>
    </w:p>
    <w:p w14:paraId="37C349FE">
      <w:pPr>
        <w:spacing w:line="360" w:lineRule="exact"/>
        <w:ind w:firstLine="420" w:firstLineChars="200"/>
        <w:jc w:val="left"/>
        <w:rPr>
          <w:rFonts w:ascii="宋体" w:hAnsi="宋体" w:cs="宋体"/>
        </w:rPr>
      </w:pPr>
      <w:r>
        <w:rPr>
          <w:rFonts w:hint="eastAsia" w:ascii="宋体" w:hAnsi="宋体" w:cs="宋体"/>
        </w:rPr>
        <w:t>12.4.4 进度款审核和支付</w:t>
      </w:r>
    </w:p>
    <w:p w14:paraId="22D0981C">
      <w:pPr>
        <w:spacing w:line="360" w:lineRule="exact"/>
        <w:ind w:firstLine="420" w:firstLineChars="200"/>
        <w:jc w:val="left"/>
        <w:rPr>
          <w:rFonts w:ascii="宋体" w:hAnsi="宋体" w:cs="宋体"/>
          <w:u w:val="single"/>
        </w:rPr>
      </w:pPr>
      <w:r>
        <w:rPr>
          <w:rFonts w:hint="eastAsia" w:ascii="宋体" w:hAnsi="宋体" w:cs="宋体"/>
        </w:rPr>
        <w:t>（1）监理人审查并报送发包人的期限：</w:t>
      </w:r>
      <w:r>
        <w:rPr>
          <w:rFonts w:hint="eastAsia" w:ascii="宋体" w:hAnsi="宋体" w:cs="宋体"/>
          <w:u w:val="single"/>
        </w:rPr>
        <w:t>收到相关资料后7天内</w:t>
      </w:r>
      <w:r>
        <w:rPr>
          <w:rFonts w:hint="eastAsia" w:ascii="宋体" w:hAnsi="宋体" w:cs="宋体"/>
        </w:rPr>
        <w:t>。</w:t>
      </w:r>
    </w:p>
    <w:p w14:paraId="5A85B375">
      <w:pPr>
        <w:spacing w:line="360" w:lineRule="exact"/>
        <w:ind w:firstLine="420" w:firstLineChars="200"/>
        <w:jc w:val="left"/>
        <w:rPr>
          <w:rFonts w:ascii="宋体" w:hAnsi="宋体" w:cs="宋体"/>
        </w:rPr>
      </w:pPr>
      <w:r>
        <w:rPr>
          <w:rFonts w:hint="eastAsia" w:ascii="宋体" w:hAnsi="宋体" w:cs="宋体"/>
        </w:rPr>
        <w:t>发包人完成审批并签发进度款支付证书的期限：</w:t>
      </w:r>
      <w:r>
        <w:rPr>
          <w:rFonts w:hint="eastAsia" w:ascii="宋体" w:hAnsi="宋体" w:cs="宋体"/>
          <w:u w:val="single"/>
        </w:rPr>
        <w:t xml:space="preserve">  收到相关资料后7天内   </w:t>
      </w:r>
      <w:r>
        <w:rPr>
          <w:rFonts w:hint="eastAsia" w:ascii="宋体" w:hAnsi="宋体" w:cs="宋体"/>
        </w:rPr>
        <w:t>。</w:t>
      </w:r>
    </w:p>
    <w:p w14:paraId="188FBAA9">
      <w:pPr>
        <w:spacing w:line="360" w:lineRule="exact"/>
        <w:ind w:firstLine="420" w:firstLineChars="200"/>
        <w:jc w:val="left"/>
        <w:rPr>
          <w:rFonts w:ascii="宋体" w:hAnsi="宋体" w:cs="宋体"/>
        </w:rPr>
      </w:pPr>
      <w:r>
        <w:rPr>
          <w:rFonts w:hint="eastAsia" w:ascii="宋体" w:hAnsi="宋体" w:cs="宋体"/>
        </w:rPr>
        <w:t>（2）发包人支付进度款的期限：</w:t>
      </w:r>
      <w:r>
        <w:rPr>
          <w:rFonts w:hint="eastAsia" w:ascii="宋体" w:hAnsi="宋体" w:cs="宋体"/>
          <w:u w:val="single"/>
        </w:rPr>
        <w:t xml:space="preserve">办理相关付款手续后的7天内  </w:t>
      </w:r>
      <w:r>
        <w:rPr>
          <w:rFonts w:hint="eastAsia" w:ascii="宋体" w:hAnsi="宋体" w:cs="宋体"/>
        </w:rPr>
        <w:t>。</w:t>
      </w:r>
    </w:p>
    <w:p w14:paraId="454E2673">
      <w:pPr>
        <w:spacing w:line="360" w:lineRule="exact"/>
        <w:ind w:firstLine="525" w:firstLineChars="250"/>
        <w:jc w:val="left"/>
        <w:rPr>
          <w:rFonts w:ascii="宋体" w:hAnsi="宋体" w:cs="宋体"/>
        </w:rPr>
      </w:pPr>
      <w:r>
        <w:rPr>
          <w:rFonts w:hint="eastAsia" w:ascii="宋体" w:hAnsi="宋体" w:cs="宋体"/>
        </w:rPr>
        <w:t>发包人逾期支付进度款的违约金的计算方式：</w:t>
      </w:r>
      <w:r>
        <w:rPr>
          <w:rFonts w:hint="eastAsia" w:ascii="宋体" w:hAnsi="宋体" w:cs="宋体"/>
          <w:u w:val="single"/>
        </w:rPr>
        <w:t xml:space="preserve">  无   </w:t>
      </w:r>
      <w:r>
        <w:rPr>
          <w:rFonts w:hint="eastAsia" w:ascii="宋体" w:hAnsi="宋体" w:cs="宋体"/>
        </w:rPr>
        <w:t>。</w:t>
      </w:r>
    </w:p>
    <w:p w14:paraId="63F37E41">
      <w:pPr>
        <w:spacing w:line="360" w:lineRule="exact"/>
        <w:ind w:firstLine="525" w:firstLineChars="250"/>
        <w:jc w:val="left"/>
        <w:rPr>
          <w:rFonts w:ascii="宋体" w:hAnsi="宋体" w:cs="宋体"/>
        </w:rPr>
      </w:pPr>
      <w:r>
        <w:rPr>
          <w:rFonts w:hint="eastAsia" w:ascii="宋体" w:hAnsi="宋体" w:cs="宋体"/>
        </w:rPr>
        <w:t>12.4.6 支付分解表的编制</w:t>
      </w:r>
    </w:p>
    <w:p w14:paraId="2771F6DF">
      <w:pPr>
        <w:spacing w:line="360" w:lineRule="exact"/>
        <w:ind w:firstLine="420" w:firstLineChars="200"/>
        <w:jc w:val="left"/>
        <w:rPr>
          <w:rFonts w:ascii="宋体" w:hAnsi="宋体" w:cs="宋体"/>
        </w:rPr>
      </w:pPr>
      <w:r>
        <w:rPr>
          <w:rFonts w:hint="eastAsia" w:ascii="宋体" w:hAnsi="宋体" w:cs="宋体"/>
        </w:rPr>
        <w:t>2、总价合同支付分解表的编制与审批：</w:t>
      </w:r>
      <w:r>
        <w:rPr>
          <w:rFonts w:hint="eastAsia" w:ascii="宋体" w:hAnsi="宋体" w:cs="宋体"/>
          <w:u w:val="single"/>
        </w:rPr>
        <w:t xml:space="preserve">   无    </w:t>
      </w:r>
      <w:r>
        <w:rPr>
          <w:rFonts w:hint="eastAsia" w:ascii="宋体" w:hAnsi="宋体" w:cs="宋体"/>
        </w:rPr>
        <w:t>。</w:t>
      </w:r>
    </w:p>
    <w:p w14:paraId="5ECD8F5D">
      <w:pPr>
        <w:numPr>
          <w:ilvl w:val="0"/>
          <w:numId w:val="0"/>
        </w:numPr>
        <w:spacing w:line="360" w:lineRule="auto"/>
        <w:ind w:firstLine="420" w:firstLineChars="200"/>
        <w:rPr>
          <w:rFonts w:ascii="宋体" w:hAnsi="宋体" w:cs="宋体"/>
          <w:spacing w:val="10"/>
          <w:szCs w:val="21"/>
        </w:rPr>
      </w:pPr>
      <w:r>
        <w:rPr>
          <w:rFonts w:hint="eastAsia" w:ascii="宋体" w:hAnsi="宋体" w:cs="宋体"/>
        </w:rPr>
        <w:t>3、单价合同的总价项目支付分解表的编制与审批：总价项目不采用支付分解表的方式计算，而按</w:t>
      </w:r>
      <w:r>
        <w:rPr>
          <w:rFonts w:hint="eastAsia" w:ascii="宋体" w:hAnsi="宋体" w:cs="宋体"/>
          <w:szCs w:val="21"/>
        </w:rPr>
        <w:t>工程量计算规则：</w:t>
      </w:r>
      <w:r>
        <w:rPr>
          <w:rFonts w:hint="eastAsia" w:ascii="宋体" w:hAnsi="宋体" w:eastAsia="宋体" w:cs="宋体"/>
          <w:sz w:val="21"/>
          <w:szCs w:val="21"/>
          <w:lang w:val="en-US" w:eastAsia="zh-CN"/>
        </w:rPr>
        <w:t>国家有关法律、法规和规范性文件；</w:t>
      </w:r>
      <w:r>
        <w:rPr>
          <w:rFonts w:hint="eastAsia" w:ascii="宋体" w:hAnsi="宋体" w:eastAsia="宋体" w:cs="宋体"/>
          <w:sz w:val="21"/>
          <w:szCs w:val="21"/>
        </w:rPr>
        <w:t>《公路工程建设项目概算预算编制办法》（JTG3830-2018）</w:t>
      </w:r>
      <w:r>
        <w:rPr>
          <w:rFonts w:hint="eastAsia" w:ascii="宋体" w:hAnsi="宋体" w:eastAsia="宋体" w:cs="宋体"/>
          <w:sz w:val="21"/>
          <w:szCs w:val="21"/>
          <w:lang w:eastAsia="zh-CN"/>
        </w:rPr>
        <w:t>；</w:t>
      </w:r>
      <w:r>
        <w:rPr>
          <w:rFonts w:hint="eastAsia" w:ascii="宋体" w:hAnsi="宋体" w:eastAsia="宋体" w:cs="宋体"/>
          <w:sz w:val="21"/>
          <w:szCs w:val="21"/>
        </w:rPr>
        <w:t>《公路工程预算定额》（JTG/T 3832-2018）</w:t>
      </w:r>
      <w:r>
        <w:rPr>
          <w:rFonts w:hint="eastAsia" w:ascii="宋体" w:hAnsi="宋体" w:eastAsia="宋体" w:cs="宋体"/>
          <w:sz w:val="21"/>
          <w:szCs w:val="21"/>
          <w:lang w:eastAsia="zh-CN"/>
        </w:rPr>
        <w:t>；</w:t>
      </w:r>
      <w:r>
        <w:rPr>
          <w:rFonts w:hint="eastAsia" w:ascii="宋体" w:hAnsi="宋体" w:eastAsia="宋体" w:cs="宋体"/>
          <w:sz w:val="21"/>
          <w:szCs w:val="21"/>
        </w:rPr>
        <w:t>《公路工程机械台班费用定额》（JTG/T 3833-2018）</w:t>
      </w:r>
      <w:r>
        <w:rPr>
          <w:rFonts w:hint="eastAsia" w:ascii="宋体" w:hAnsi="宋体" w:eastAsia="宋体" w:cs="宋体"/>
          <w:sz w:val="21"/>
          <w:szCs w:val="21"/>
          <w:lang w:eastAsia="zh-CN"/>
        </w:rPr>
        <w:t>；</w:t>
      </w:r>
      <w:r>
        <w:rPr>
          <w:rFonts w:hint="eastAsia" w:ascii="宋体" w:hAnsi="宋体"/>
          <w:sz w:val="21"/>
          <w:szCs w:val="21"/>
        </w:rPr>
        <w:t>《广西公路养护定额》（DB45/T2228.1-2020）；《公路工程机械台班费用定额》（2022版）</w:t>
      </w:r>
      <w:r>
        <w:rPr>
          <w:rFonts w:hint="eastAsia" w:ascii="宋体" w:hAnsi="宋体"/>
          <w:sz w:val="21"/>
          <w:szCs w:val="21"/>
          <w:lang w:eastAsia="zh-CN"/>
        </w:rPr>
        <w:t>，</w:t>
      </w:r>
      <w:r>
        <w:rPr>
          <w:rFonts w:hint="eastAsia" w:ascii="宋体" w:hAnsi="宋体" w:eastAsia="宋体" w:cs="宋体"/>
          <w:sz w:val="21"/>
          <w:szCs w:val="21"/>
          <w:lang w:val="en-US" w:eastAsia="zh-CN"/>
        </w:rPr>
        <w:t>交通运输部关于调整《公路工程建设项目投资估算编制办法》（JTG3820-2018）和《公路工程建设项目概算预算编制办法》（JTG3830-2018）中“税金”有关规定的公告[交通运输部公告第26号文]；</w:t>
      </w:r>
      <w:r>
        <w:rPr>
          <w:rFonts w:hint="eastAsia" w:ascii="宋体" w:hAnsi="宋体" w:eastAsia="宋体" w:cs="宋体"/>
          <w:sz w:val="21"/>
          <w:szCs w:val="21"/>
        </w:rPr>
        <w:t>广西壮族自治区交通工程造价管理站《关于发布广西公路工程机械台班车船使用税标准的函》 桂交监造价函〔2019〕16号</w:t>
      </w:r>
      <w:r>
        <w:rPr>
          <w:rFonts w:hint="eastAsia" w:ascii="宋体" w:hAnsi="宋体" w:eastAsia="宋体" w:cs="宋体"/>
          <w:sz w:val="21"/>
          <w:szCs w:val="21"/>
          <w:lang w:val="en-US" w:eastAsia="zh-CN"/>
        </w:rPr>
        <w:t>文；</w:t>
      </w:r>
      <w:r>
        <w:rPr>
          <w:rFonts w:hint="eastAsia" w:ascii="宋体" w:hAnsi="宋体" w:eastAsia="宋体" w:cs="宋体"/>
          <w:sz w:val="21"/>
          <w:szCs w:val="21"/>
        </w:rPr>
        <w:t>《广西壮族自治区交通运输厅关于印发公路工程建设项目估算概算预算编制办法广西补充规定的通知》（桂交建管发〔2019〕39号</w:t>
      </w:r>
      <w:r>
        <w:rPr>
          <w:rFonts w:hint="eastAsia" w:ascii="宋体" w:hAnsi="宋体" w:eastAsia="宋体" w:cs="宋体"/>
          <w:sz w:val="21"/>
          <w:szCs w:val="21"/>
          <w:lang w:val="en-US" w:eastAsia="zh-CN"/>
        </w:rPr>
        <w:t>文</w:t>
      </w:r>
      <w:r>
        <w:rPr>
          <w:rFonts w:hint="eastAsia" w:ascii="宋体" w:hAnsi="宋体" w:eastAsia="宋体" w:cs="宋体"/>
          <w:sz w:val="21"/>
          <w:szCs w:val="21"/>
        </w:rPr>
        <w:t>）</w:t>
      </w:r>
      <w:r>
        <w:rPr>
          <w:rFonts w:hint="eastAsia" w:ascii="宋体" w:hAnsi="宋体" w:eastAsia="宋体" w:cs="宋体"/>
          <w:sz w:val="21"/>
          <w:szCs w:val="21"/>
          <w:lang w:eastAsia="zh-CN"/>
        </w:rPr>
        <w:t>；</w:t>
      </w:r>
      <w:r>
        <w:rPr>
          <w:rFonts w:hint="eastAsia" w:ascii="宋体" w:hAnsi="宋体" w:eastAsia="宋体" w:cs="宋体"/>
          <w:color w:val="auto"/>
          <w:sz w:val="21"/>
          <w:szCs w:val="21"/>
          <w:lang w:val="en-US" w:eastAsia="zh-CN"/>
        </w:rPr>
        <w:t>材料价格按《桂林市建设工程造价信息》平乐县材料信息202</w:t>
      </w:r>
      <w:r>
        <w:rPr>
          <w:rFonts w:hint="eastAsia" w:ascii="宋体" w:hAnsi="宋体" w:cs="宋体"/>
          <w:color w:val="auto"/>
          <w:sz w:val="21"/>
          <w:szCs w:val="21"/>
          <w:lang w:val="en-US" w:eastAsia="zh-CN"/>
        </w:rPr>
        <w:t>6</w:t>
      </w:r>
      <w:r>
        <w:rPr>
          <w:rFonts w:hint="eastAsia" w:ascii="宋体" w:hAnsi="宋体" w:eastAsia="宋体" w:cs="宋体"/>
          <w:color w:val="auto"/>
          <w:sz w:val="21"/>
          <w:szCs w:val="21"/>
          <w:lang w:val="en-US" w:eastAsia="zh-CN"/>
        </w:rPr>
        <w:t>年第</w:t>
      </w:r>
      <w:r>
        <w:rPr>
          <w:rFonts w:hint="eastAsia" w:ascii="宋体" w:hAnsi="宋体" w:cs="宋体"/>
          <w:color w:val="auto"/>
          <w:sz w:val="21"/>
          <w:szCs w:val="21"/>
          <w:lang w:val="en-US" w:eastAsia="zh-CN"/>
        </w:rPr>
        <w:t>7</w:t>
      </w:r>
      <w:r>
        <w:rPr>
          <w:rFonts w:hint="eastAsia" w:ascii="宋体" w:hAnsi="宋体" w:eastAsia="宋体" w:cs="宋体"/>
          <w:color w:val="auto"/>
          <w:sz w:val="21"/>
          <w:szCs w:val="21"/>
          <w:lang w:val="en-US" w:eastAsia="zh-CN"/>
        </w:rPr>
        <w:t>期调整，无信息价按同期《桂林市建设工程造价信息》桂林信息价计算及市场询价；</w:t>
      </w:r>
      <w:r>
        <w:rPr>
          <w:rFonts w:hint="eastAsia" w:ascii="宋体" w:hAnsi="宋体" w:cs="宋体"/>
          <w:spacing w:val="10"/>
          <w:szCs w:val="21"/>
        </w:rPr>
        <w:t>本工程补充项目清单为准。</w:t>
      </w:r>
    </w:p>
    <w:p w14:paraId="53B1F69A">
      <w:pPr>
        <w:pStyle w:val="7"/>
        <w:spacing w:before="120" w:after="120" w:line="360" w:lineRule="exact"/>
        <w:rPr>
          <w:rFonts w:ascii="宋体" w:hAnsi="宋体" w:cs="宋体"/>
          <w:b w:val="0"/>
          <w:sz w:val="21"/>
          <w:szCs w:val="21"/>
        </w:rPr>
      </w:pPr>
      <w:r>
        <w:rPr>
          <w:rFonts w:hint="eastAsia" w:ascii="宋体" w:hAnsi="宋体" w:cs="宋体"/>
          <w:b w:val="0"/>
          <w:sz w:val="21"/>
          <w:szCs w:val="21"/>
        </w:rPr>
        <w:t>13. 验收和工程试车</w:t>
      </w:r>
    </w:p>
    <w:p w14:paraId="1A40BCA3">
      <w:pPr>
        <w:spacing w:after="120" w:line="360" w:lineRule="exact"/>
        <w:ind w:firstLine="420" w:firstLineChars="200"/>
        <w:rPr>
          <w:rFonts w:ascii="宋体" w:hAnsi="宋体" w:cs="宋体"/>
        </w:rPr>
      </w:pPr>
      <w:r>
        <w:rPr>
          <w:rFonts w:hint="eastAsia" w:ascii="宋体" w:hAnsi="宋体" w:cs="宋体"/>
        </w:rPr>
        <w:t>13.1 分部分项工程验收</w:t>
      </w:r>
    </w:p>
    <w:p w14:paraId="55E7DD98">
      <w:pPr>
        <w:spacing w:line="360" w:lineRule="exact"/>
        <w:ind w:firstLine="420" w:firstLineChars="200"/>
        <w:jc w:val="left"/>
        <w:rPr>
          <w:rFonts w:ascii="宋体" w:hAnsi="宋体" w:cs="宋体"/>
        </w:rPr>
      </w:pPr>
      <w:r>
        <w:rPr>
          <w:rFonts w:hint="eastAsia" w:ascii="宋体" w:hAnsi="宋体" w:cs="宋体"/>
        </w:rPr>
        <w:t>13.1.2监理人不能按时进行验收时，应提前</w:t>
      </w:r>
      <w:r>
        <w:rPr>
          <w:rFonts w:hint="eastAsia" w:ascii="宋体" w:hAnsi="宋体" w:cs="宋体"/>
          <w:u w:val="single"/>
        </w:rPr>
        <w:t xml:space="preserve"> 24  </w:t>
      </w:r>
      <w:r>
        <w:rPr>
          <w:rFonts w:hint="eastAsia" w:ascii="宋体" w:hAnsi="宋体" w:cs="宋体"/>
        </w:rPr>
        <w:t>小时提交书面延期要求。</w:t>
      </w:r>
    </w:p>
    <w:p w14:paraId="141F0675">
      <w:pPr>
        <w:spacing w:line="360" w:lineRule="exact"/>
        <w:ind w:firstLine="420" w:firstLineChars="200"/>
        <w:jc w:val="left"/>
        <w:rPr>
          <w:rFonts w:ascii="宋体" w:hAnsi="宋体" w:cs="宋体"/>
          <w:b/>
        </w:rPr>
      </w:pPr>
      <w:r>
        <w:rPr>
          <w:rFonts w:hint="eastAsia" w:ascii="宋体" w:hAnsi="宋体" w:cs="宋体"/>
        </w:rPr>
        <w:t>关于延期最长不得超过：</w:t>
      </w:r>
      <w:r>
        <w:rPr>
          <w:rFonts w:hint="eastAsia" w:ascii="宋体" w:hAnsi="宋体" w:cs="宋体"/>
          <w:u w:val="single"/>
        </w:rPr>
        <w:t xml:space="preserve">  48  </w:t>
      </w:r>
      <w:r>
        <w:rPr>
          <w:rFonts w:hint="eastAsia" w:ascii="宋体" w:hAnsi="宋体" w:cs="宋体"/>
        </w:rPr>
        <w:t>小时。</w:t>
      </w:r>
    </w:p>
    <w:p w14:paraId="509962FD">
      <w:pPr>
        <w:spacing w:after="120" w:line="360" w:lineRule="exact"/>
        <w:ind w:firstLine="420" w:firstLineChars="200"/>
        <w:rPr>
          <w:rFonts w:ascii="宋体" w:hAnsi="宋体" w:cs="宋体"/>
        </w:rPr>
      </w:pPr>
      <w:r>
        <w:rPr>
          <w:rFonts w:hint="eastAsia" w:ascii="宋体" w:hAnsi="宋体" w:cs="宋体"/>
        </w:rPr>
        <w:t>13.2 竣工验收</w:t>
      </w:r>
    </w:p>
    <w:p w14:paraId="57EA5648">
      <w:pPr>
        <w:spacing w:line="360" w:lineRule="exact"/>
        <w:ind w:firstLine="420" w:firstLineChars="200"/>
        <w:jc w:val="left"/>
        <w:rPr>
          <w:rFonts w:ascii="宋体" w:hAnsi="宋体" w:cs="宋体"/>
        </w:rPr>
      </w:pPr>
      <w:r>
        <w:rPr>
          <w:rFonts w:hint="eastAsia" w:ascii="宋体" w:hAnsi="宋体" w:cs="宋体"/>
        </w:rPr>
        <w:t>13.2.2竣工验收程序</w:t>
      </w:r>
    </w:p>
    <w:p w14:paraId="3503A9B8">
      <w:pPr>
        <w:spacing w:line="360" w:lineRule="exact"/>
        <w:ind w:firstLine="420" w:firstLineChars="200"/>
        <w:jc w:val="left"/>
        <w:rPr>
          <w:rFonts w:ascii="宋体" w:hAnsi="宋体" w:cs="宋体"/>
        </w:rPr>
      </w:pPr>
      <w:r>
        <w:rPr>
          <w:rFonts w:hint="eastAsia" w:ascii="宋体" w:hAnsi="宋体" w:cs="宋体"/>
          <w:kern w:val="0"/>
        </w:rPr>
        <w:t>关于竣工验收程序的约定：</w:t>
      </w:r>
      <w:r>
        <w:rPr>
          <w:rFonts w:hint="eastAsia" w:ascii="宋体" w:hAnsi="宋体" w:cs="宋体"/>
          <w:u w:val="single"/>
        </w:rPr>
        <w:t xml:space="preserve">按通用条款执行      </w:t>
      </w:r>
      <w:r>
        <w:rPr>
          <w:rFonts w:hint="eastAsia" w:ascii="宋体" w:hAnsi="宋体" w:cs="宋体"/>
        </w:rPr>
        <w:t>。</w:t>
      </w:r>
    </w:p>
    <w:p w14:paraId="011BDC11">
      <w:pPr>
        <w:spacing w:line="360" w:lineRule="exact"/>
        <w:ind w:firstLine="420" w:firstLineChars="200"/>
        <w:jc w:val="left"/>
        <w:rPr>
          <w:rFonts w:ascii="宋体" w:hAnsi="宋体" w:cs="宋体"/>
        </w:rPr>
      </w:pPr>
      <w:r>
        <w:rPr>
          <w:rFonts w:hint="eastAsia" w:ascii="宋体" w:hAnsi="宋体" w:cs="宋体"/>
          <w:kern w:val="0"/>
        </w:rPr>
        <w:t>发包人不按照本项约定组织竣工验收、颁发工程接收证书的违约金的计算方法：</w:t>
      </w:r>
      <w:r>
        <w:rPr>
          <w:rFonts w:hint="eastAsia" w:ascii="宋体" w:hAnsi="宋体" w:cs="宋体"/>
          <w:u w:val="single"/>
        </w:rPr>
        <w:t xml:space="preserve">    无     </w:t>
      </w:r>
      <w:r>
        <w:rPr>
          <w:rFonts w:hint="eastAsia" w:ascii="宋体" w:hAnsi="宋体" w:cs="宋体"/>
        </w:rPr>
        <w:t>。</w:t>
      </w:r>
    </w:p>
    <w:p w14:paraId="32EF9E96">
      <w:pPr>
        <w:spacing w:line="360" w:lineRule="exact"/>
        <w:ind w:firstLine="420" w:firstLineChars="200"/>
        <w:jc w:val="left"/>
        <w:rPr>
          <w:rFonts w:ascii="宋体" w:hAnsi="宋体" w:cs="宋体"/>
        </w:rPr>
      </w:pPr>
      <w:r>
        <w:rPr>
          <w:rFonts w:hint="eastAsia" w:ascii="宋体" w:hAnsi="宋体" w:cs="宋体"/>
        </w:rPr>
        <w:t>13.2.5移交、接收全部与部分工程</w:t>
      </w:r>
    </w:p>
    <w:p w14:paraId="6CE5EE86">
      <w:pPr>
        <w:spacing w:line="360" w:lineRule="exact"/>
        <w:ind w:firstLine="420" w:firstLineChars="200"/>
        <w:jc w:val="left"/>
        <w:rPr>
          <w:rFonts w:ascii="宋体" w:hAnsi="宋体" w:cs="宋体"/>
          <w:kern w:val="0"/>
        </w:rPr>
      </w:pPr>
      <w:r>
        <w:rPr>
          <w:rFonts w:hint="eastAsia" w:ascii="宋体" w:hAnsi="宋体" w:cs="宋体"/>
          <w:kern w:val="0"/>
        </w:rPr>
        <w:t>承包人向发包人移交工程的期限：</w:t>
      </w:r>
      <w:r>
        <w:rPr>
          <w:rFonts w:hint="eastAsia" w:ascii="宋体" w:hAnsi="宋体" w:cs="宋体"/>
          <w:u w:val="single"/>
        </w:rPr>
        <w:t xml:space="preserve">  按通用条款执行    </w:t>
      </w:r>
      <w:r>
        <w:rPr>
          <w:rFonts w:hint="eastAsia" w:ascii="宋体" w:hAnsi="宋体" w:cs="宋体"/>
        </w:rPr>
        <w:t>。</w:t>
      </w:r>
    </w:p>
    <w:p w14:paraId="4FFFF368">
      <w:pPr>
        <w:spacing w:line="360" w:lineRule="exact"/>
        <w:ind w:firstLine="420" w:firstLineChars="200"/>
        <w:jc w:val="left"/>
        <w:rPr>
          <w:rFonts w:ascii="宋体" w:hAnsi="宋体" w:cs="宋体"/>
          <w:u w:val="single"/>
        </w:rPr>
      </w:pPr>
      <w:r>
        <w:rPr>
          <w:rFonts w:hint="eastAsia" w:ascii="宋体" w:hAnsi="宋体" w:cs="宋体"/>
          <w:kern w:val="0"/>
        </w:rPr>
        <w:t>发包人未按本合同约定接收全部或部分工程的，违约金的计算方法为：</w:t>
      </w:r>
      <w:r>
        <w:rPr>
          <w:rFonts w:hint="eastAsia" w:ascii="宋体" w:hAnsi="宋体" w:cs="宋体"/>
          <w:u w:val="single"/>
        </w:rPr>
        <w:t xml:space="preserve">    按通用条款执行      </w:t>
      </w:r>
      <w:r>
        <w:rPr>
          <w:rFonts w:hint="eastAsia" w:ascii="宋体" w:hAnsi="宋体" w:cs="宋体"/>
        </w:rPr>
        <w:t>。</w:t>
      </w:r>
    </w:p>
    <w:p w14:paraId="32382A65">
      <w:pPr>
        <w:spacing w:line="360" w:lineRule="exact"/>
        <w:ind w:firstLine="420" w:firstLineChars="200"/>
        <w:jc w:val="left"/>
        <w:rPr>
          <w:rFonts w:ascii="宋体" w:hAnsi="宋体" w:cs="宋体"/>
        </w:rPr>
      </w:pPr>
      <w:r>
        <w:rPr>
          <w:rFonts w:hint="eastAsia" w:ascii="宋体" w:hAnsi="宋体" w:cs="宋体"/>
        </w:rPr>
        <w:t>承包人未按时移交工程的，违约金的计算方法为：</w:t>
      </w:r>
      <w:r>
        <w:rPr>
          <w:rFonts w:hint="eastAsia" w:ascii="宋体" w:hAnsi="宋体" w:cs="宋体"/>
          <w:u w:val="single"/>
        </w:rPr>
        <w:t xml:space="preserve">  按本合同专用条款7.5.2条约定执行   </w:t>
      </w:r>
      <w:r>
        <w:rPr>
          <w:rFonts w:hint="eastAsia" w:ascii="宋体" w:hAnsi="宋体" w:cs="宋体"/>
        </w:rPr>
        <w:t>。</w:t>
      </w:r>
    </w:p>
    <w:p w14:paraId="0B8D27BA">
      <w:pPr>
        <w:spacing w:after="120" w:line="360" w:lineRule="exact"/>
        <w:ind w:firstLine="420" w:firstLineChars="200"/>
        <w:rPr>
          <w:rFonts w:ascii="宋体" w:hAnsi="宋体" w:cs="宋体"/>
        </w:rPr>
      </w:pPr>
      <w:r>
        <w:rPr>
          <w:rFonts w:hint="eastAsia" w:ascii="宋体" w:hAnsi="宋体" w:cs="宋体"/>
        </w:rPr>
        <w:t>13.3 工程试车</w:t>
      </w:r>
    </w:p>
    <w:p w14:paraId="0492D892">
      <w:pPr>
        <w:spacing w:line="360" w:lineRule="exact"/>
        <w:ind w:firstLine="420" w:firstLineChars="200"/>
        <w:jc w:val="left"/>
        <w:rPr>
          <w:rFonts w:ascii="宋体" w:hAnsi="宋体" w:cs="宋体"/>
          <w:kern w:val="0"/>
        </w:rPr>
      </w:pPr>
      <w:r>
        <w:rPr>
          <w:rFonts w:hint="eastAsia" w:ascii="宋体" w:hAnsi="宋体" w:cs="宋体"/>
          <w:kern w:val="0"/>
        </w:rPr>
        <w:t>13.3.1 试车程序</w:t>
      </w:r>
    </w:p>
    <w:p w14:paraId="695A2C6E">
      <w:pPr>
        <w:spacing w:line="360" w:lineRule="exact"/>
        <w:ind w:firstLine="420" w:firstLineChars="200"/>
        <w:jc w:val="left"/>
        <w:rPr>
          <w:rFonts w:ascii="宋体" w:hAnsi="宋体" w:cs="宋体"/>
          <w:kern w:val="0"/>
        </w:rPr>
      </w:pPr>
      <w:r>
        <w:rPr>
          <w:rFonts w:hint="eastAsia" w:ascii="宋体" w:hAnsi="宋体" w:cs="宋体"/>
          <w:kern w:val="0"/>
        </w:rPr>
        <w:t>工程试车内容：</w:t>
      </w:r>
      <w:r>
        <w:rPr>
          <w:rFonts w:hint="eastAsia" w:ascii="宋体" w:hAnsi="宋体" w:cs="宋体"/>
          <w:u w:val="single"/>
        </w:rPr>
        <w:t xml:space="preserve">  按通用条款执行    </w:t>
      </w:r>
      <w:r>
        <w:rPr>
          <w:rFonts w:hint="eastAsia" w:ascii="宋体" w:hAnsi="宋体" w:cs="宋体"/>
        </w:rPr>
        <w:t>。</w:t>
      </w:r>
    </w:p>
    <w:p w14:paraId="171204AD">
      <w:pPr>
        <w:spacing w:line="360" w:lineRule="exact"/>
        <w:ind w:firstLine="420" w:firstLineChars="200"/>
        <w:jc w:val="left"/>
        <w:rPr>
          <w:rFonts w:ascii="宋体" w:hAnsi="宋体" w:cs="宋体"/>
          <w:kern w:val="0"/>
        </w:rPr>
      </w:pPr>
      <w:r>
        <w:rPr>
          <w:rFonts w:hint="eastAsia" w:ascii="宋体" w:hAnsi="宋体" w:cs="宋体"/>
          <w:kern w:val="0"/>
        </w:rPr>
        <w:t>（1）单机无负荷试车费用由</w:t>
      </w:r>
      <w:r>
        <w:rPr>
          <w:rFonts w:hint="eastAsia" w:ascii="宋体" w:hAnsi="宋体" w:cs="宋体"/>
          <w:u w:val="single"/>
        </w:rPr>
        <w:t xml:space="preserve">    承包人       </w:t>
      </w:r>
      <w:r>
        <w:rPr>
          <w:rFonts w:hint="eastAsia" w:ascii="宋体" w:hAnsi="宋体" w:cs="宋体"/>
          <w:kern w:val="0"/>
        </w:rPr>
        <w:t>承担；</w:t>
      </w:r>
    </w:p>
    <w:p w14:paraId="631CA1A2">
      <w:pPr>
        <w:spacing w:line="360" w:lineRule="exact"/>
        <w:ind w:firstLine="420" w:firstLineChars="200"/>
        <w:jc w:val="left"/>
        <w:rPr>
          <w:rFonts w:ascii="宋体" w:hAnsi="宋体" w:cs="宋体"/>
          <w:kern w:val="0"/>
        </w:rPr>
      </w:pPr>
      <w:r>
        <w:rPr>
          <w:rFonts w:hint="eastAsia" w:ascii="宋体" w:hAnsi="宋体" w:cs="宋体"/>
          <w:kern w:val="0"/>
        </w:rPr>
        <w:t>（2）无负荷联动试车费用由</w:t>
      </w:r>
      <w:r>
        <w:rPr>
          <w:rFonts w:hint="eastAsia" w:ascii="宋体" w:hAnsi="宋体" w:cs="宋体"/>
          <w:u w:val="single"/>
        </w:rPr>
        <w:t xml:space="preserve">    承包人       </w:t>
      </w:r>
      <w:r>
        <w:rPr>
          <w:rFonts w:hint="eastAsia" w:ascii="宋体" w:hAnsi="宋体" w:cs="宋体"/>
          <w:kern w:val="0"/>
        </w:rPr>
        <w:t>承担。</w:t>
      </w:r>
    </w:p>
    <w:p w14:paraId="2910CEB2">
      <w:pPr>
        <w:spacing w:line="360" w:lineRule="exact"/>
        <w:ind w:firstLine="420" w:firstLineChars="200"/>
        <w:jc w:val="left"/>
        <w:rPr>
          <w:rFonts w:ascii="宋体" w:hAnsi="宋体" w:cs="宋体"/>
          <w:kern w:val="0"/>
        </w:rPr>
      </w:pPr>
      <w:r>
        <w:rPr>
          <w:rFonts w:hint="eastAsia" w:ascii="宋体" w:hAnsi="宋体" w:cs="宋体"/>
          <w:kern w:val="0"/>
        </w:rPr>
        <w:t>13.3.3 投料试车</w:t>
      </w:r>
    </w:p>
    <w:p w14:paraId="0756A359">
      <w:pPr>
        <w:spacing w:line="360" w:lineRule="exact"/>
        <w:ind w:firstLine="420" w:firstLineChars="200"/>
        <w:jc w:val="left"/>
        <w:rPr>
          <w:rFonts w:ascii="宋体" w:hAnsi="宋体" w:cs="宋体"/>
          <w:kern w:val="0"/>
        </w:rPr>
      </w:pPr>
      <w:r>
        <w:rPr>
          <w:rFonts w:hint="eastAsia" w:ascii="宋体" w:hAnsi="宋体" w:cs="宋体"/>
          <w:kern w:val="0"/>
        </w:rPr>
        <w:t>关于投料试车相关事项的约定：</w:t>
      </w:r>
      <w:r>
        <w:rPr>
          <w:rFonts w:hint="eastAsia" w:ascii="宋体" w:hAnsi="宋体" w:cs="宋体"/>
          <w:u w:val="single"/>
        </w:rPr>
        <w:t xml:space="preserve">  无    </w:t>
      </w:r>
      <w:r>
        <w:rPr>
          <w:rFonts w:hint="eastAsia" w:ascii="宋体" w:hAnsi="宋体" w:cs="宋体"/>
        </w:rPr>
        <w:t>。</w:t>
      </w:r>
    </w:p>
    <w:p w14:paraId="3F856F06">
      <w:pPr>
        <w:pStyle w:val="6"/>
        <w:spacing w:line="360" w:lineRule="exact"/>
        <w:rPr>
          <w:rFonts w:ascii="宋体" w:hAnsi="宋体" w:cs="宋体"/>
          <w:sz w:val="21"/>
          <w:szCs w:val="21"/>
        </w:rPr>
      </w:pPr>
      <w:r>
        <w:rPr>
          <w:rFonts w:hint="eastAsia" w:ascii="宋体" w:hAnsi="宋体" w:cs="宋体"/>
          <w:sz w:val="21"/>
          <w:szCs w:val="21"/>
        </w:rPr>
        <w:t>13.6 竣工退场</w:t>
      </w:r>
    </w:p>
    <w:p w14:paraId="2EA8547F">
      <w:pPr>
        <w:spacing w:line="360" w:lineRule="exact"/>
        <w:ind w:firstLine="420" w:firstLineChars="200"/>
        <w:jc w:val="left"/>
        <w:rPr>
          <w:rFonts w:ascii="宋体" w:hAnsi="宋体" w:cs="宋体"/>
          <w:kern w:val="0"/>
        </w:rPr>
      </w:pPr>
      <w:r>
        <w:rPr>
          <w:rFonts w:hint="eastAsia" w:ascii="宋体" w:hAnsi="宋体" w:cs="宋体"/>
          <w:kern w:val="0"/>
        </w:rPr>
        <w:t>13.6.1 竣工退场</w:t>
      </w:r>
    </w:p>
    <w:p w14:paraId="63C40CBC">
      <w:pPr>
        <w:spacing w:line="360" w:lineRule="exact"/>
        <w:ind w:firstLine="420" w:firstLineChars="200"/>
        <w:jc w:val="left"/>
        <w:rPr>
          <w:rFonts w:ascii="宋体" w:hAnsi="宋体" w:cs="宋体"/>
          <w:kern w:val="0"/>
        </w:rPr>
      </w:pPr>
      <w:r>
        <w:rPr>
          <w:rFonts w:hint="eastAsia" w:ascii="宋体" w:hAnsi="宋体" w:cs="宋体"/>
          <w:kern w:val="0"/>
        </w:rPr>
        <w:t>承包人完成竣工退场的期限：</w:t>
      </w:r>
      <w:r>
        <w:rPr>
          <w:rFonts w:hint="eastAsia" w:ascii="宋体" w:hAnsi="宋体" w:cs="宋体"/>
          <w:u w:val="single"/>
        </w:rPr>
        <w:t xml:space="preserve">   竣工验收合格后15日内  </w:t>
      </w:r>
      <w:r>
        <w:rPr>
          <w:rFonts w:hint="eastAsia" w:ascii="宋体" w:hAnsi="宋体" w:cs="宋体"/>
          <w:kern w:val="0"/>
        </w:rPr>
        <w:t>。</w:t>
      </w:r>
    </w:p>
    <w:p w14:paraId="7AE17F47">
      <w:pPr>
        <w:pStyle w:val="7"/>
        <w:spacing w:before="120" w:after="120" w:line="360" w:lineRule="exact"/>
        <w:rPr>
          <w:rFonts w:ascii="宋体" w:hAnsi="宋体" w:cs="宋体"/>
          <w:b w:val="0"/>
          <w:sz w:val="21"/>
          <w:szCs w:val="21"/>
        </w:rPr>
      </w:pPr>
      <w:r>
        <w:rPr>
          <w:rFonts w:hint="eastAsia" w:ascii="宋体" w:hAnsi="宋体" w:cs="宋体"/>
          <w:b w:val="0"/>
          <w:sz w:val="21"/>
          <w:szCs w:val="21"/>
        </w:rPr>
        <w:t>14. 竣工结算</w:t>
      </w:r>
    </w:p>
    <w:p w14:paraId="5D1C8E03">
      <w:pPr>
        <w:spacing w:after="120" w:line="360" w:lineRule="exact"/>
        <w:ind w:firstLine="420" w:firstLineChars="200"/>
        <w:rPr>
          <w:rFonts w:ascii="宋体" w:hAnsi="宋体" w:cs="宋体"/>
        </w:rPr>
      </w:pPr>
      <w:r>
        <w:rPr>
          <w:rFonts w:hint="eastAsia" w:ascii="宋体" w:hAnsi="宋体" w:cs="宋体"/>
        </w:rPr>
        <w:t>14.1 竣工结算申请</w:t>
      </w:r>
    </w:p>
    <w:p w14:paraId="5A0A98AB">
      <w:pPr>
        <w:spacing w:line="360" w:lineRule="exact"/>
        <w:ind w:firstLine="420" w:firstLineChars="200"/>
        <w:jc w:val="left"/>
        <w:rPr>
          <w:rFonts w:ascii="宋体" w:hAnsi="宋体" w:cs="宋体"/>
        </w:rPr>
      </w:pPr>
      <w:r>
        <w:rPr>
          <w:rFonts w:hint="eastAsia" w:ascii="宋体" w:hAnsi="宋体" w:cs="宋体"/>
        </w:rPr>
        <w:t>承包人提交竣工结算申请单的期限：</w:t>
      </w:r>
      <w:r>
        <w:rPr>
          <w:rFonts w:hint="eastAsia" w:ascii="宋体" w:hAnsi="宋体" w:cs="宋体"/>
          <w:u w:val="single"/>
        </w:rPr>
        <w:t>具备竣工验收条件后28天内</w:t>
      </w:r>
      <w:r>
        <w:rPr>
          <w:rFonts w:hint="eastAsia" w:ascii="宋体" w:hAnsi="宋体" w:cs="宋体"/>
        </w:rPr>
        <w:t>。</w:t>
      </w:r>
    </w:p>
    <w:p w14:paraId="1C62D2DF">
      <w:pPr>
        <w:spacing w:line="360" w:lineRule="exact"/>
        <w:ind w:firstLine="420" w:firstLineChars="200"/>
        <w:jc w:val="left"/>
        <w:rPr>
          <w:rFonts w:ascii="宋体" w:hAnsi="宋体" w:cs="宋体"/>
        </w:rPr>
      </w:pPr>
      <w:r>
        <w:rPr>
          <w:rFonts w:hint="eastAsia" w:ascii="宋体" w:hAnsi="宋体" w:cs="宋体"/>
        </w:rPr>
        <w:t>竣工结算申请单应包括的内容：</w:t>
      </w:r>
      <w:r>
        <w:rPr>
          <w:rFonts w:hint="eastAsia" w:ascii="宋体" w:hAnsi="宋体" w:cs="宋体"/>
          <w:u w:val="single"/>
        </w:rPr>
        <w:t>竣工结算由承包人提交相关结算资料（主要包括合同、工程量计算书、结算书、变更设计通知单、签证单、竣工图）齐全后经监理初审、发包人审核后，必须经发包人审定后方可办理工程结算或竣工决算</w:t>
      </w:r>
      <w:r>
        <w:rPr>
          <w:rFonts w:hint="eastAsia" w:ascii="宋体" w:hAnsi="宋体" w:cs="宋体"/>
        </w:rPr>
        <w:t>。</w:t>
      </w:r>
    </w:p>
    <w:p w14:paraId="045CD723">
      <w:pPr>
        <w:pStyle w:val="6"/>
        <w:spacing w:line="360" w:lineRule="exact"/>
        <w:rPr>
          <w:rFonts w:ascii="宋体" w:hAnsi="宋体" w:cs="宋体"/>
          <w:sz w:val="21"/>
          <w:szCs w:val="21"/>
        </w:rPr>
      </w:pPr>
      <w:r>
        <w:rPr>
          <w:rFonts w:hint="eastAsia" w:ascii="宋体" w:hAnsi="宋体" w:cs="宋体"/>
          <w:sz w:val="21"/>
          <w:szCs w:val="21"/>
        </w:rPr>
        <w:t>14.2 竣工结算审核</w:t>
      </w:r>
    </w:p>
    <w:p w14:paraId="4A6BA734">
      <w:pPr>
        <w:spacing w:line="360" w:lineRule="exact"/>
        <w:ind w:firstLine="420" w:firstLineChars="200"/>
        <w:jc w:val="left"/>
        <w:rPr>
          <w:rFonts w:ascii="宋体" w:hAnsi="宋体" w:cs="宋体"/>
        </w:rPr>
      </w:pPr>
      <w:r>
        <w:rPr>
          <w:rFonts w:hint="eastAsia" w:ascii="宋体" w:hAnsi="宋体" w:cs="宋体"/>
        </w:rPr>
        <w:t>发包人审批竣工付款申请单的期限：</w:t>
      </w:r>
      <w:r>
        <w:rPr>
          <w:rFonts w:hint="eastAsia" w:ascii="宋体" w:hAnsi="宋体" w:cs="宋体"/>
          <w:u w:val="single"/>
        </w:rPr>
        <w:t>从接到竣工结算报告和完整的竣工结算资料之日起45天</w:t>
      </w:r>
      <w:r>
        <w:rPr>
          <w:rFonts w:hint="eastAsia" w:ascii="宋体" w:hAnsi="宋体" w:cs="宋体"/>
        </w:rPr>
        <w:t>。</w:t>
      </w:r>
    </w:p>
    <w:p w14:paraId="2047A0A6">
      <w:pPr>
        <w:spacing w:line="360" w:lineRule="exact"/>
        <w:ind w:firstLine="420" w:firstLineChars="200"/>
        <w:jc w:val="left"/>
        <w:rPr>
          <w:rFonts w:ascii="宋体" w:hAnsi="宋体" w:cs="宋体"/>
        </w:rPr>
      </w:pPr>
      <w:r>
        <w:rPr>
          <w:rFonts w:hint="eastAsia" w:ascii="宋体" w:hAnsi="宋体" w:cs="宋体"/>
        </w:rPr>
        <w:t>发包人完成竣工付款的期限：</w:t>
      </w:r>
      <w:r>
        <w:rPr>
          <w:rFonts w:hint="eastAsia" w:ascii="宋体" w:hAnsi="宋体" w:cs="宋体"/>
          <w:u w:val="single"/>
        </w:rPr>
        <w:t>在签发竣工付款证书后的30天内</w:t>
      </w:r>
      <w:r>
        <w:rPr>
          <w:rFonts w:hint="eastAsia" w:ascii="宋体" w:hAnsi="宋体" w:cs="宋体"/>
        </w:rPr>
        <w:t>。</w:t>
      </w:r>
    </w:p>
    <w:p w14:paraId="4A55E898">
      <w:pPr>
        <w:spacing w:line="360" w:lineRule="exact"/>
        <w:ind w:firstLine="420" w:firstLineChars="200"/>
        <w:jc w:val="left"/>
        <w:rPr>
          <w:rFonts w:ascii="宋体" w:hAnsi="宋体" w:cs="宋体"/>
        </w:rPr>
      </w:pPr>
      <w:r>
        <w:rPr>
          <w:rFonts w:hint="eastAsia" w:ascii="宋体" w:hAnsi="宋体" w:cs="宋体"/>
        </w:rPr>
        <w:t>关于竣工付款证书异议部分复核的方式和程序：</w:t>
      </w:r>
      <w:r>
        <w:rPr>
          <w:rFonts w:hint="eastAsia" w:ascii="宋体" w:hAnsi="宋体" w:cs="宋体"/>
          <w:u w:val="single"/>
        </w:rPr>
        <w:t>竣工结算时若双方在合同约定的时间内对结算报告及结算资料不能完全达成意见一致，则对无异议的部分先行结算（暂留3%的作为保修金等费用），或暂按发包人审定的结果先行结算（暂留3%的做为保修金费用），同时双方就结算报告及结算资料持不同意见的部分继续进行审定，直至双方取得一致意见；最终审定后的结算价若与已支付的价款有出入，其差额按银行同类同期利率支付利息</w:t>
      </w:r>
      <w:r>
        <w:rPr>
          <w:rFonts w:hint="eastAsia" w:ascii="宋体" w:hAnsi="宋体" w:cs="宋体"/>
        </w:rPr>
        <w:t>。</w:t>
      </w:r>
    </w:p>
    <w:p w14:paraId="6684E1FD">
      <w:pPr>
        <w:spacing w:after="120" w:line="360" w:lineRule="exact"/>
        <w:ind w:firstLine="420" w:firstLineChars="200"/>
        <w:rPr>
          <w:rFonts w:ascii="宋体" w:hAnsi="宋体" w:cs="宋体"/>
        </w:rPr>
      </w:pPr>
      <w:r>
        <w:rPr>
          <w:rFonts w:hint="eastAsia" w:ascii="宋体" w:hAnsi="宋体" w:cs="宋体"/>
        </w:rPr>
        <w:t>14.4 最终结清</w:t>
      </w:r>
    </w:p>
    <w:p w14:paraId="3DBEB696">
      <w:pPr>
        <w:spacing w:line="360" w:lineRule="exact"/>
        <w:ind w:firstLine="420" w:firstLineChars="200"/>
        <w:jc w:val="left"/>
        <w:rPr>
          <w:rFonts w:ascii="宋体" w:hAnsi="宋体" w:cs="宋体"/>
          <w:kern w:val="0"/>
        </w:rPr>
      </w:pPr>
      <w:r>
        <w:rPr>
          <w:rFonts w:hint="eastAsia" w:ascii="宋体" w:hAnsi="宋体" w:cs="宋体"/>
          <w:kern w:val="0"/>
        </w:rPr>
        <w:t>14.4.1 最终结清申请单</w:t>
      </w:r>
    </w:p>
    <w:p w14:paraId="34E8D4B5">
      <w:pPr>
        <w:spacing w:line="360" w:lineRule="exact"/>
        <w:ind w:firstLine="420" w:firstLineChars="200"/>
        <w:jc w:val="left"/>
        <w:rPr>
          <w:rFonts w:ascii="宋体" w:hAnsi="宋体" w:cs="宋体"/>
          <w:kern w:val="0"/>
        </w:rPr>
      </w:pPr>
      <w:r>
        <w:rPr>
          <w:rFonts w:hint="eastAsia" w:ascii="宋体" w:hAnsi="宋体" w:cs="宋体"/>
          <w:kern w:val="0"/>
        </w:rPr>
        <w:t>承包人提交最终结清申请单的份数：</w:t>
      </w:r>
      <w:r>
        <w:rPr>
          <w:rFonts w:hint="eastAsia" w:ascii="宋体" w:hAnsi="宋体" w:cs="宋体"/>
          <w:u w:val="single"/>
        </w:rPr>
        <w:t xml:space="preserve">   一式四份     </w:t>
      </w:r>
      <w:r>
        <w:rPr>
          <w:rFonts w:hint="eastAsia" w:ascii="宋体" w:hAnsi="宋体" w:cs="宋体"/>
        </w:rPr>
        <w:t>。</w:t>
      </w:r>
    </w:p>
    <w:p w14:paraId="6C261979">
      <w:pPr>
        <w:spacing w:line="360" w:lineRule="exact"/>
        <w:ind w:firstLine="420" w:firstLineChars="200"/>
        <w:jc w:val="left"/>
        <w:rPr>
          <w:rFonts w:ascii="宋体" w:hAnsi="宋体" w:cs="宋体"/>
        </w:rPr>
      </w:pPr>
      <w:r>
        <w:rPr>
          <w:rFonts w:hint="eastAsia" w:ascii="宋体" w:hAnsi="宋体" w:cs="宋体"/>
          <w:kern w:val="0"/>
        </w:rPr>
        <w:t>承包人提交最终结算申请单的期限：</w:t>
      </w:r>
      <w:r>
        <w:rPr>
          <w:rFonts w:hint="eastAsia" w:ascii="宋体" w:hAnsi="宋体" w:cs="宋体"/>
          <w:u w:val="single"/>
        </w:rPr>
        <w:t xml:space="preserve">缺陷责任期终止证书签发后14天内向监理人提交4份竣工付款申请单及相关证明材料  </w:t>
      </w:r>
      <w:r>
        <w:rPr>
          <w:rFonts w:hint="eastAsia" w:ascii="宋体" w:hAnsi="宋体" w:cs="宋体"/>
        </w:rPr>
        <w:t xml:space="preserve">。 </w:t>
      </w:r>
    </w:p>
    <w:p w14:paraId="73589911">
      <w:pPr>
        <w:spacing w:line="360" w:lineRule="exact"/>
        <w:ind w:firstLine="420" w:firstLineChars="200"/>
        <w:jc w:val="left"/>
        <w:rPr>
          <w:rFonts w:ascii="宋体" w:hAnsi="宋体" w:cs="宋体"/>
        </w:rPr>
      </w:pPr>
      <w:r>
        <w:rPr>
          <w:rFonts w:hint="eastAsia" w:ascii="宋体" w:hAnsi="宋体" w:cs="宋体"/>
        </w:rPr>
        <w:t>14.4.2 最终结清证书和支付</w:t>
      </w:r>
    </w:p>
    <w:p w14:paraId="3F81EB37">
      <w:pPr>
        <w:spacing w:line="360" w:lineRule="exact"/>
        <w:ind w:firstLine="420" w:firstLineChars="200"/>
        <w:jc w:val="left"/>
        <w:rPr>
          <w:rFonts w:ascii="宋体" w:hAnsi="宋体" w:cs="宋体"/>
        </w:rPr>
      </w:pPr>
      <w:r>
        <w:rPr>
          <w:rFonts w:hint="eastAsia" w:ascii="宋体" w:hAnsi="宋体" w:cs="宋体"/>
        </w:rPr>
        <w:t>（1）发包人完成最终结清申请单的审批并颁发最终结清证书的期限：</w:t>
      </w:r>
      <w:r>
        <w:rPr>
          <w:rFonts w:hint="eastAsia" w:ascii="宋体" w:hAnsi="宋体" w:cs="宋体"/>
          <w:u w:val="single"/>
        </w:rPr>
        <w:t xml:space="preserve">  按通用条款执行</w:t>
      </w:r>
      <w:r>
        <w:rPr>
          <w:rFonts w:hint="eastAsia" w:ascii="宋体" w:hAnsi="宋体" w:cs="宋体"/>
        </w:rPr>
        <w:t>。</w:t>
      </w:r>
    </w:p>
    <w:p w14:paraId="082202D9">
      <w:pPr>
        <w:spacing w:line="360" w:lineRule="exact"/>
        <w:ind w:firstLine="420" w:firstLineChars="200"/>
        <w:jc w:val="left"/>
        <w:rPr>
          <w:rFonts w:ascii="宋体" w:hAnsi="宋体" w:cs="宋体"/>
        </w:rPr>
      </w:pPr>
      <w:r>
        <w:rPr>
          <w:rFonts w:hint="eastAsia" w:ascii="宋体" w:hAnsi="宋体" w:cs="宋体"/>
        </w:rPr>
        <w:t>（2）发包人完成支付的期限：</w:t>
      </w:r>
      <w:r>
        <w:rPr>
          <w:rFonts w:hint="eastAsia" w:ascii="宋体" w:hAnsi="宋体" w:cs="宋体"/>
          <w:u w:val="single"/>
        </w:rPr>
        <w:t>在颁发最终结清证书后的30天内</w:t>
      </w:r>
      <w:r>
        <w:rPr>
          <w:rFonts w:hint="eastAsia" w:ascii="宋体" w:hAnsi="宋体" w:cs="宋体"/>
        </w:rPr>
        <w:t>。</w:t>
      </w:r>
    </w:p>
    <w:p w14:paraId="17122583">
      <w:pPr>
        <w:pStyle w:val="7"/>
        <w:spacing w:before="120" w:after="120" w:line="360" w:lineRule="exact"/>
        <w:rPr>
          <w:rFonts w:ascii="宋体" w:hAnsi="宋体" w:cs="宋体"/>
          <w:b w:val="0"/>
          <w:sz w:val="21"/>
          <w:szCs w:val="21"/>
        </w:rPr>
      </w:pPr>
      <w:r>
        <w:rPr>
          <w:rFonts w:hint="eastAsia" w:ascii="宋体" w:hAnsi="宋体" w:cs="宋体"/>
          <w:b w:val="0"/>
          <w:sz w:val="21"/>
          <w:szCs w:val="21"/>
        </w:rPr>
        <w:t>15. 缺陷责任期与保修</w:t>
      </w:r>
    </w:p>
    <w:p w14:paraId="549E9241">
      <w:pPr>
        <w:spacing w:after="120" w:line="360" w:lineRule="exact"/>
        <w:ind w:firstLine="420" w:firstLineChars="200"/>
        <w:rPr>
          <w:rFonts w:ascii="宋体" w:hAnsi="宋体" w:cs="宋体"/>
        </w:rPr>
      </w:pPr>
      <w:r>
        <w:rPr>
          <w:rFonts w:hint="eastAsia" w:ascii="宋体" w:hAnsi="宋体" w:cs="宋体"/>
        </w:rPr>
        <w:t>15.2缺陷责任期</w:t>
      </w:r>
    </w:p>
    <w:p w14:paraId="3DA3B301">
      <w:pPr>
        <w:spacing w:line="360" w:lineRule="exact"/>
        <w:ind w:firstLine="420" w:firstLineChars="200"/>
        <w:jc w:val="left"/>
        <w:rPr>
          <w:rFonts w:ascii="宋体" w:hAnsi="宋体" w:cs="宋体"/>
        </w:rPr>
      </w:pPr>
      <w:r>
        <w:rPr>
          <w:rFonts w:hint="eastAsia" w:ascii="宋体" w:hAnsi="宋体" w:cs="宋体"/>
        </w:rPr>
        <w:t>缺陷责任期的具体期限：</w:t>
      </w:r>
      <w:r>
        <w:rPr>
          <w:rFonts w:hint="eastAsia" w:ascii="宋体" w:hAnsi="宋体" w:cs="宋体"/>
          <w:u w:val="single"/>
        </w:rPr>
        <w:t xml:space="preserve">  24个月   </w:t>
      </w:r>
      <w:r>
        <w:rPr>
          <w:rFonts w:hint="eastAsia" w:ascii="宋体" w:hAnsi="宋体" w:cs="宋体"/>
        </w:rPr>
        <w:t>。</w:t>
      </w:r>
    </w:p>
    <w:p w14:paraId="604D7983">
      <w:pPr>
        <w:pStyle w:val="6"/>
        <w:spacing w:line="360" w:lineRule="exact"/>
        <w:rPr>
          <w:rFonts w:ascii="宋体" w:hAnsi="宋体" w:cs="宋体"/>
          <w:sz w:val="21"/>
          <w:szCs w:val="21"/>
        </w:rPr>
      </w:pPr>
      <w:r>
        <w:rPr>
          <w:rFonts w:hint="eastAsia" w:ascii="宋体" w:hAnsi="宋体" w:cs="宋体"/>
          <w:sz w:val="21"/>
          <w:szCs w:val="21"/>
        </w:rPr>
        <w:t>15.3 质量保证金</w:t>
      </w:r>
    </w:p>
    <w:p w14:paraId="3C614146">
      <w:pPr>
        <w:spacing w:line="360" w:lineRule="exact"/>
        <w:ind w:firstLine="420" w:firstLineChars="200"/>
        <w:jc w:val="left"/>
        <w:rPr>
          <w:rFonts w:ascii="宋体" w:hAnsi="宋体" w:cs="宋体"/>
        </w:rPr>
      </w:pPr>
      <w:r>
        <w:rPr>
          <w:rFonts w:hint="eastAsia" w:ascii="宋体" w:hAnsi="宋体" w:cs="宋体"/>
        </w:rPr>
        <w:t>关于是否扣留质量保证金的约定：</w:t>
      </w:r>
      <w:r>
        <w:rPr>
          <w:rFonts w:hint="eastAsia" w:ascii="宋体" w:hAnsi="宋体" w:cs="宋体"/>
          <w:u w:val="single"/>
        </w:rPr>
        <w:t xml:space="preserve">  按工程最终结算审核造价金额的3%作为质保金  </w:t>
      </w:r>
      <w:r>
        <w:rPr>
          <w:rFonts w:hint="eastAsia" w:ascii="宋体" w:hAnsi="宋体" w:cs="宋体"/>
        </w:rPr>
        <w:t>。在工程项目竣工前，承包人按专用合同条款第3.7条提供履约担保的，发包人不得同时预留工程质量保证金。</w:t>
      </w:r>
    </w:p>
    <w:p w14:paraId="115BE5A9">
      <w:pPr>
        <w:spacing w:line="360" w:lineRule="exact"/>
        <w:ind w:firstLine="420" w:firstLineChars="200"/>
        <w:jc w:val="left"/>
        <w:rPr>
          <w:rFonts w:ascii="宋体" w:hAnsi="宋体" w:cs="宋体"/>
        </w:rPr>
      </w:pPr>
    </w:p>
    <w:p w14:paraId="34DEC555">
      <w:pPr>
        <w:pStyle w:val="6"/>
        <w:spacing w:line="360" w:lineRule="exact"/>
        <w:rPr>
          <w:rFonts w:ascii="宋体" w:hAnsi="宋体" w:cs="宋体"/>
          <w:sz w:val="21"/>
          <w:szCs w:val="21"/>
        </w:rPr>
      </w:pPr>
      <w:r>
        <w:rPr>
          <w:rFonts w:hint="eastAsia" w:ascii="宋体" w:hAnsi="宋体" w:cs="宋体"/>
          <w:sz w:val="21"/>
          <w:szCs w:val="21"/>
        </w:rPr>
        <w:t>15.3.1 承包人提供质量保证金的方式</w:t>
      </w:r>
    </w:p>
    <w:p w14:paraId="24182C06">
      <w:pPr>
        <w:spacing w:line="360" w:lineRule="exact"/>
        <w:ind w:firstLine="420" w:firstLineChars="200"/>
        <w:jc w:val="left"/>
        <w:rPr>
          <w:rFonts w:ascii="宋体" w:hAnsi="宋体" w:cs="宋体"/>
        </w:rPr>
      </w:pPr>
      <w:r>
        <w:rPr>
          <w:rFonts w:hint="eastAsia" w:ascii="宋体" w:hAnsi="宋体" w:cs="宋体"/>
        </w:rPr>
        <w:t>质量保证金采用以下第</w:t>
      </w:r>
      <w:r>
        <w:rPr>
          <w:rFonts w:hint="eastAsia" w:ascii="宋体" w:hAnsi="宋体" w:cs="宋体"/>
          <w:u w:val="single"/>
        </w:rPr>
        <w:t xml:space="preserve"> （2） </w:t>
      </w:r>
      <w:r>
        <w:rPr>
          <w:rFonts w:hint="eastAsia" w:ascii="宋体" w:hAnsi="宋体" w:cs="宋体"/>
        </w:rPr>
        <w:t>种方式：</w:t>
      </w:r>
    </w:p>
    <w:p w14:paraId="0FCA06AB">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（1）质量保证金保函，保证金额为：</w:t>
      </w:r>
      <w:r>
        <w:rPr>
          <w:rFonts w:hint="eastAsia" w:ascii="宋体" w:hAnsi="宋体" w:cs="宋体"/>
          <w:kern w:val="0"/>
          <w:u w:val="single"/>
        </w:rPr>
        <w:t xml:space="preserve">                   </w:t>
      </w:r>
      <w:r>
        <w:rPr>
          <w:rFonts w:hint="eastAsia" w:ascii="宋体" w:hAnsi="宋体" w:cs="宋体"/>
          <w:kern w:val="0"/>
        </w:rPr>
        <w:t xml:space="preserve">； </w:t>
      </w:r>
    </w:p>
    <w:p w14:paraId="51492B7D">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w:t>
      </w:r>
      <w:r>
        <w:rPr>
          <w:rFonts w:hint="eastAsia" w:ascii="宋体" w:hAnsi="宋体" w:cs="宋体"/>
          <w:kern w:val="0"/>
          <w:u w:val="single"/>
        </w:rPr>
        <w:t xml:space="preserve">   3   </w:t>
      </w:r>
      <w:r>
        <w:rPr>
          <w:rFonts w:hint="eastAsia" w:ascii="宋体" w:hAnsi="宋体" w:cs="宋体"/>
          <w:kern w:val="0"/>
        </w:rPr>
        <w:t>%的工程款；</w:t>
      </w:r>
    </w:p>
    <w:p w14:paraId="6D17E6FD">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（3）其他方式:</w:t>
      </w:r>
      <w:r>
        <w:rPr>
          <w:rFonts w:hint="eastAsia" w:ascii="宋体" w:hAnsi="宋体" w:cs="宋体"/>
          <w:kern w:val="0"/>
          <w:u w:val="single"/>
        </w:rPr>
        <w:t xml:space="preserve">                /                       </w:t>
      </w:r>
      <w:r>
        <w:rPr>
          <w:rFonts w:hint="eastAsia" w:ascii="宋体" w:hAnsi="宋体" w:cs="宋体"/>
          <w:kern w:val="0"/>
        </w:rPr>
        <w:t>。</w:t>
      </w:r>
    </w:p>
    <w:p w14:paraId="40221434">
      <w:pPr>
        <w:pStyle w:val="6"/>
        <w:spacing w:line="360" w:lineRule="exact"/>
        <w:rPr>
          <w:rFonts w:ascii="宋体" w:hAnsi="宋体" w:cs="宋体"/>
          <w:sz w:val="21"/>
          <w:szCs w:val="21"/>
        </w:rPr>
      </w:pPr>
      <w:r>
        <w:rPr>
          <w:rFonts w:hint="eastAsia" w:ascii="宋体" w:hAnsi="宋体" w:cs="宋体"/>
          <w:sz w:val="21"/>
          <w:szCs w:val="21"/>
        </w:rPr>
        <w:t xml:space="preserve">15.3.2 质量保证金的扣留 </w:t>
      </w:r>
    </w:p>
    <w:p w14:paraId="366668A7">
      <w:pPr>
        <w:spacing w:line="360" w:lineRule="exact"/>
        <w:ind w:firstLine="420" w:firstLineChars="200"/>
        <w:jc w:val="left"/>
        <w:rPr>
          <w:rFonts w:ascii="宋体" w:hAnsi="宋体" w:cs="宋体"/>
        </w:rPr>
      </w:pPr>
      <w:r>
        <w:rPr>
          <w:rFonts w:hint="eastAsia" w:ascii="宋体" w:hAnsi="宋体" w:cs="宋体"/>
        </w:rPr>
        <w:t>质量保证金的扣留采取以下第</w:t>
      </w:r>
      <w:r>
        <w:rPr>
          <w:rFonts w:hint="eastAsia" w:ascii="宋体" w:hAnsi="宋体" w:cs="宋体"/>
          <w:u w:val="single"/>
        </w:rPr>
        <w:t xml:space="preserve"> （2） </w:t>
      </w:r>
      <w:r>
        <w:rPr>
          <w:rFonts w:hint="eastAsia" w:ascii="宋体" w:hAnsi="宋体" w:cs="宋体"/>
        </w:rPr>
        <w:t>种方式：</w:t>
      </w:r>
    </w:p>
    <w:p w14:paraId="482F7C11">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（1）在支付工程进度款时逐次扣留，在此情形下，质量保证金的计算基数不包括预付款的支付、扣回以及价格调整的金额；</w:t>
      </w:r>
    </w:p>
    <w:p w14:paraId="0BA9A039">
      <w:pPr>
        <w:pStyle w:val="6"/>
        <w:spacing w:line="360" w:lineRule="exact"/>
        <w:rPr>
          <w:rFonts w:ascii="宋体" w:hAnsi="宋体" w:cs="宋体"/>
          <w:sz w:val="21"/>
          <w:szCs w:val="21"/>
        </w:rPr>
      </w:pPr>
      <w:r>
        <w:rPr>
          <w:rFonts w:hint="eastAsia" w:ascii="宋体" w:hAnsi="宋体" w:cs="宋体"/>
          <w:sz w:val="21"/>
          <w:szCs w:val="21"/>
        </w:rPr>
        <w:t>（2）工程竣工结算时一次性扣留质量保证金；</w:t>
      </w:r>
    </w:p>
    <w:p w14:paraId="0F2E01C8">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（3）其他扣留方式:</w:t>
      </w:r>
      <w:r>
        <w:rPr>
          <w:rFonts w:hint="eastAsia" w:ascii="宋体" w:hAnsi="宋体" w:cs="宋体"/>
          <w:kern w:val="0"/>
          <w:u w:val="single"/>
        </w:rPr>
        <w:t xml:space="preserve">      无     </w:t>
      </w:r>
      <w:r>
        <w:rPr>
          <w:rFonts w:hint="eastAsia" w:ascii="宋体" w:hAnsi="宋体" w:cs="宋体"/>
          <w:kern w:val="0"/>
        </w:rPr>
        <w:t>。</w:t>
      </w:r>
    </w:p>
    <w:p w14:paraId="219F3C61">
      <w:pPr>
        <w:spacing w:line="360" w:lineRule="exact"/>
        <w:ind w:firstLine="420" w:firstLineChars="200"/>
        <w:jc w:val="left"/>
        <w:rPr>
          <w:rFonts w:ascii="宋体" w:hAnsi="宋体" w:cs="宋体"/>
        </w:rPr>
      </w:pPr>
      <w:r>
        <w:rPr>
          <w:rFonts w:hint="eastAsia" w:ascii="宋体" w:hAnsi="宋体" w:cs="宋体"/>
        </w:rPr>
        <w:t>关于质量保证金的补充约定：</w:t>
      </w:r>
      <w:r>
        <w:rPr>
          <w:rFonts w:hint="eastAsia" w:ascii="宋体" w:hAnsi="宋体" w:cs="宋体"/>
          <w:kern w:val="0"/>
          <w:u w:val="single"/>
        </w:rPr>
        <w:t xml:space="preserve">缺陷责任期内，承包人认真履行合同约定的责任，到期后，承包人可向发包人申请返还保证金。发包人在接到承包人返还保证金申请后，于14天内会同承包人按照合同约定的内容进行核实。如无异议，按照约定将保证金返还（无息）给承包人；质量保修金的返还，并不能免除承包人按照合同约定应承担的质量保修责任和应履行的质量保修义务   </w:t>
      </w:r>
      <w:r>
        <w:rPr>
          <w:rFonts w:hint="eastAsia" w:ascii="宋体" w:hAnsi="宋体" w:cs="宋体"/>
          <w:kern w:val="0"/>
        </w:rPr>
        <w:t>。</w:t>
      </w:r>
    </w:p>
    <w:p w14:paraId="5CB7BDE7">
      <w:pPr>
        <w:spacing w:after="120" w:line="360" w:lineRule="exact"/>
        <w:ind w:firstLine="420" w:firstLineChars="200"/>
        <w:rPr>
          <w:rFonts w:ascii="宋体" w:hAnsi="宋体" w:cs="宋体"/>
        </w:rPr>
      </w:pPr>
      <w:r>
        <w:rPr>
          <w:rFonts w:hint="eastAsia" w:ascii="宋体" w:hAnsi="宋体" w:cs="宋体"/>
        </w:rPr>
        <w:t>15.4保修</w:t>
      </w:r>
    </w:p>
    <w:p w14:paraId="2949C698">
      <w:pPr>
        <w:spacing w:line="360" w:lineRule="exact"/>
        <w:ind w:firstLine="409" w:firstLineChars="195"/>
        <w:jc w:val="left"/>
        <w:rPr>
          <w:rFonts w:ascii="宋体" w:hAnsi="宋体" w:cs="宋体"/>
        </w:rPr>
      </w:pPr>
      <w:r>
        <w:rPr>
          <w:rFonts w:hint="eastAsia" w:ascii="宋体" w:hAnsi="宋体" w:cs="宋体"/>
        </w:rPr>
        <w:t>15.4.1 保修责任</w:t>
      </w:r>
    </w:p>
    <w:p w14:paraId="6CC64838">
      <w:pPr>
        <w:spacing w:line="360" w:lineRule="exact"/>
        <w:ind w:firstLine="409" w:firstLineChars="195"/>
        <w:jc w:val="left"/>
        <w:rPr>
          <w:rFonts w:ascii="宋体" w:hAnsi="宋体" w:cs="宋体"/>
          <w:kern w:val="0"/>
        </w:rPr>
      </w:pPr>
      <w:r>
        <w:rPr>
          <w:rFonts w:hint="eastAsia" w:ascii="宋体" w:hAnsi="宋体" w:cs="宋体"/>
        </w:rPr>
        <w:t>工程保修期为：</w:t>
      </w:r>
      <w:r>
        <w:rPr>
          <w:rFonts w:hint="eastAsia" w:ascii="宋体" w:hAnsi="宋体" w:cs="宋体"/>
          <w:kern w:val="0"/>
          <w:u w:val="single"/>
        </w:rPr>
        <w:t>根据《建设工程质量管理条例》及有关规定，约定本工程的保修期如下：⒈地基基础工程和主体结构工程为设计文件规定的该工程合理使用年限；⒉屋面防水工程、有防水要求的卫生间、房间和外墙面的防渗漏为五年；⒊装修工程为两年；⒋电气管线、给排水管道、设备安装工程为两年；⒌供热与供冷系统为两个采暖期、供冷期；⒍住宅小区内的给排水设施、道路等配套工程为两年</w:t>
      </w:r>
      <w:r>
        <w:rPr>
          <w:rFonts w:hint="eastAsia" w:ascii="宋体" w:hAnsi="宋体" w:cs="宋体"/>
          <w:kern w:val="0"/>
        </w:rPr>
        <w:t>。</w:t>
      </w:r>
    </w:p>
    <w:p w14:paraId="0D74560D">
      <w:pPr>
        <w:spacing w:line="360" w:lineRule="exact"/>
        <w:ind w:firstLine="409" w:firstLineChars="195"/>
        <w:jc w:val="left"/>
        <w:rPr>
          <w:rFonts w:ascii="宋体" w:hAnsi="宋体" w:cs="宋体"/>
        </w:rPr>
      </w:pPr>
      <w:r>
        <w:rPr>
          <w:rFonts w:hint="eastAsia" w:ascii="宋体" w:hAnsi="宋体" w:cs="宋体"/>
        </w:rPr>
        <w:t>15.4.3 修复通知</w:t>
      </w:r>
    </w:p>
    <w:p w14:paraId="2987FA97">
      <w:pPr>
        <w:spacing w:line="360" w:lineRule="exact"/>
        <w:ind w:firstLine="409" w:firstLineChars="195"/>
        <w:jc w:val="left"/>
        <w:rPr>
          <w:rFonts w:ascii="宋体" w:hAnsi="宋体" w:cs="宋体"/>
          <w:kern w:val="0"/>
        </w:rPr>
      </w:pPr>
      <w:r>
        <w:rPr>
          <w:rFonts w:hint="eastAsia" w:ascii="宋体" w:hAnsi="宋体" w:cs="宋体"/>
          <w:kern w:val="0"/>
        </w:rPr>
        <w:t>承包人收到保修通知并到达工程现场的合理时间：</w:t>
      </w:r>
      <w:r>
        <w:rPr>
          <w:rFonts w:hint="eastAsia" w:ascii="宋体" w:hAnsi="宋体" w:cs="宋体"/>
          <w:kern w:val="0"/>
          <w:u w:val="single"/>
        </w:rPr>
        <w:t xml:space="preserve"> 七天内  </w:t>
      </w:r>
      <w:r>
        <w:rPr>
          <w:rFonts w:hint="eastAsia" w:ascii="宋体" w:hAnsi="宋体" w:cs="宋体"/>
          <w:kern w:val="0"/>
        </w:rPr>
        <w:t>。</w:t>
      </w:r>
    </w:p>
    <w:p w14:paraId="320B7900">
      <w:pPr>
        <w:pStyle w:val="7"/>
        <w:spacing w:before="120" w:after="120" w:line="360" w:lineRule="exact"/>
        <w:rPr>
          <w:rFonts w:ascii="宋体" w:hAnsi="宋体" w:cs="宋体"/>
          <w:b w:val="0"/>
          <w:sz w:val="21"/>
          <w:szCs w:val="21"/>
        </w:rPr>
      </w:pPr>
      <w:r>
        <w:rPr>
          <w:rFonts w:hint="eastAsia" w:ascii="宋体" w:hAnsi="宋体" w:cs="宋体"/>
          <w:b w:val="0"/>
          <w:sz w:val="21"/>
          <w:szCs w:val="21"/>
        </w:rPr>
        <w:t>16. 违约</w:t>
      </w:r>
    </w:p>
    <w:p w14:paraId="478D6214">
      <w:pPr>
        <w:spacing w:after="120" w:line="360" w:lineRule="exact"/>
        <w:ind w:firstLine="420" w:firstLineChars="200"/>
        <w:outlineLvl w:val="2"/>
        <w:rPr>
          <w:rFonts w:ascii="宋体" w:hAnsi="宋体" w:cs="宋体"/>
        </w:rPr>
      </w:pPr>
      <w:r>
        <w:rPr>
          <w:rFonts w:hint="eastAsia" w:ascii="宋体" w:hAnsi="宋体" w:cs="宋体"/>
        </w:rPr>
        <w:t>16.1 发包人违约</w:t>
      </w:r>
    </w:p>
    <w:p w14:paraId="1D4D0B45">
      <w:pPr>
        <w:spacing w:line="360" w:lineRule="exact"/>
        <w:ind w:firstLine="420" w:firstLineChars="200"/>
        <w:jc w:val="left"/>
        <w:rPr>
          <w:rFonts w:ascii="宋体" w:hAnsi="宋体" w:cs="宋体"/>
        </w:rPr>
      </w:pPr>
      <w:r>
        <w:rPr>
          <w:rFonts w:hint="eastAsia" w:ascii="宋体" w:hAnsi="宋体" w:cs="宋体"/>
        </w:rPr>
        <w:t>16.1.1发包人违约的情形</w:t>
      </w:r>
    </w:p>
    <w:p w14:paraId="60B98E0D">
      <w:pPr>
        <w:spacing w:line="360" w:lineRule="exact"/>
        <w:ind w:firstLine="420" w:firstLineChars="200"/>
        <w:jc w:val="left"/>
        <w:rPr>
          <w:rFonts w:ascii="宋体" w:hAnsi="宋体" w:cs="宋体"/>
          <w:kern w:val="0"/>
        </w:rPr>
      </w:pPr>
      <w:r>
        <w:rPr>
          <w:rFonts w:hint="eastAsia" w:ascii="宋体" w:hAnsi="宋体" w:cs="宋体"/>
          <w:kern w:val="0"/>
        </w:rPr>
        <w:t>发包人违约的其他情形：</w:t>
      </w:r>
      <w:r>
        <w:rPr>
          <w:rFonts w:hint="eastAsia" w:ascii="宋体" w:hAnsi="宋体" w:cs="宋体"/>
          <w:kern w:val="0"/>
          <w:u w:val="single"/>
        </w:rPr>
        <w:t xml:space="preserve">  按通用条款执行   </w:t>
      </w:r>
      <w:r>
        <w:rPr>
          <w:rFonts w:hint="eastAsia" w:ascii="宋体" w:hAnsi="宋体" w:cs="宋体"/>
          <w:kern w:val="0"/>
        </w:rPr>
        <w:t>。</w:t>
      </w:r>
    </w:p>
    <w:p w14:paraId="01465BB8">
      <w:pPr>
        <w:spacing w:line="360" w:lineRule="exact"/>
        <w:ind w:left="1050" w:hanging="1050" w:hangingChars="500"/>
        <w:jc w:val="left"/>
        <w:rPr>
          <w:rFonts w:ascii="宋体" w:hAnsi="宋体" w:cs="宋体"/>
          <w:kern w:val="0"/>
        </w:rPr>
      </w:pPr>
      <w:r>
        <w:rPr>
          <w:rFonts w:hint="eastAsia" w:ascii="宋体" w:hAnsi="宋体" w:cs="宋体"/>
          <w:kern w:val="0"/>
        </w:rPr>
        <w:t xml:space="preserve">    16.1.2 发包人违约的责任</w:t>
      </w:r>
    </w:p>
    <w:p w14:paraId="20984B45">
      <w:pPr>
        <w:spacing w:line="360" w:lineRule="exact"/>
        <w:ind w:firstLine="420" w:firstLineChars="200"/>
        <w:jc w:val="left"/>
        <w:rPr>
          <w:rFonts w:ascii="宋体" w:hAnsi="宋体" w:cs="宋体"/>
          <w:kern w:val="0"/>
        </w:rPr>
      </w:pPr>
      <w:r>
        <w:rPr>
          <w:rFonts w:hint="eastAsia" w:ascii="宋体" w:hAnsi="宋体" w:cs="宋体"/>
          <w:kern w:val="0"/>
        </w:rPr>
        <w:t>发包人违约责任的承担方式和计算方法：</w:t>
      </w:r>
    </w:p>
    <w:p w14:paraId="63E32335">
      <w:pPr>
        <w:spacing w:line="360" w:lineRule="exact"/>
        <w:ind w:firstLine="420" w:firstLineChars="200"/>
        <w:jc w:val="left"/>
        <w:rPr>
          <w:rFonts w:ascii="宋体" w:hAnsi="宋体" w:cs="宋体"/>
          <w:kern w:val="0"/>
          <w:u w:val="single"/>
        </w:rPr>
      </w:pPr>
      <w:r>
        <w:rPr>
          <w:rFonts w:hint="eastAsia" w:ascii="宋体" w:hAnsi="宋体" w:cs="宋体"/>
          <w:kern w:val="0"/>
        </w:rPr>
        <w:t>（1）因发包人原因未能在计划开工日期前7天内下达开工通知的违约责任：</w:t>
      </w:r>
      <w:r>
        <w:rPr>
          <w:rFonts w:hint="eastAsia" w:ascii="宋体" w:hAnsi="宋体" w:cs="宋体"/>
          <w:kern w:val="0"/>
          <w:u w:val="single"/>
        </w:rPr>
        <w:t xml:space="preserve">  按通用条款执行   </w:t>
      </w:r>
      <w:r>
        <w:rPr>
          <w:rFonts w:hint="eastAsia" w:ascii="宋体" w:hAnsi="宋体" w:cs="宋体"/>
          <w:kern w:val="0"/>
        </w:rPr>
        <w:t>。</w:t>
      </w:r>
    </w:p>
    <w:p w14:paraId="2AACBF17">
      <w:pPr>
        <w:spacing w:line="360" w:lineRule="exact"/>
        <w:ind w:firstLine="420" w:firstLineChars="200"/>
        <w:jc w:val="left"/>
        <w:rPr>
          <w:rFonts w:ascii="宋体" w:hAnsi="宋体" w:cs="宋体"/>
          <w:kern w:val="0"/>
        </w:rPr>
      </w:pPr>
      <w:r>
        <w:rPr>
          <w:rFonts w:hint="eastAsia" w:ascii="宋体" w:hAnsi="宋体" w:cs="宋体"/>
          <w:kern w:val="0"/>
        </w:rPr>
        <w:t>（2）因发包人原因未能按合同约定支付合同价款的违约责任：</w:t>
      </w:r>
      <w:r>
        <w:rPr>
          <w:rFonts w:hint="eastAsia" w:ascii="宋体" w:hAnsi="宋体" w:cs="宋体"/>
          <w:kern w:val="0"/>
          <w:u w:val="single"/>
        </w:rPr>
        <w:t xml:space="preserve">      按通用条款执行      </w:t>
      </w:r>
      <w:r>
        <w:rPr>
          <w:rFonts w:hint="eastAsia" w:ascii="宋体" w:hAnsi="宋体" w:cs="宋体"/>
          <w:kern w:val="0"/>
        </w:rPr>
        <w:t>。</w:t>
      </w:r>
    </w:p>
    <w:p w14:paraId="68E0060C">
      <w:pPr>
        <w:spacing w:line="360" w:lineRule="exact"/>
        <w:ind w:firstLine="420" w:firstLineChars="200"/>
        <w:jc w:val="left"/>
        <w:rPr>
          <w:rFonts w:ascii="宋体" w:hAnsi="宋体" w:cs="宋体"/>
          <w:kern w:val="0"/>
        </w:rPr>
      </w:pPr>
      <w:r>
        <w:rPr>
          <w:rFonts w:hint="eastAsia" w:ascii="宋体" w:hAnsi="宋体" w:cs="宋体"/>
          <w:kern w:val="0"/>
        </w:rPr>
        <w:t>（3）发包人违反第10.1款〔变更的范围〕第（2）项约定，自行实施被取消的工作或转由他人实施的违约责任：</w:t>
      </w:r>
      <w:r>
        <w:rPr>
          <w:rFonts w:hint="eastAsia" w:ascii="宋体" w:hAnsi="宋体" w:cs="宋体"/>
          <w:kern w:val="0"/>
          <w:u w:val="single"/>
        </w:rPr>
        <w:t>按通用条款执行</w:t>
      </w:r>
      <w:r>
        <w:rPr>
          <w:rFonts w:hint="eastAsia" w:ascii="宋体" w:hAnsi="宋体" w:cs="宋体"/>
          <w:kern w:val="0"/>
        </w:rPr>
        <w:t>。</w:t>
      </w:r>
    </w:p>
    <w:p w14:paraId="200C19B6">
      <w:pPr>
        <w:spacing w:line="360" w:lineRule="exact"/>
        <w:ind w:firstLine="420" w:firstLineChars="200"/>
        <w:jc w:val="left"/>
        <w:rPr>
          <w:rFonts w:ascii="宋体" w:hAnsi="宋体" w:cs="宋体"/>
          <w:kern w:val="0"/>
        </w:rPr>
      </w:pPr>
      <w:r>
        <w:rPr>
          <w:rFonts w:hint="eastAsia" w:ascii="宋体" w:hAnsi="宋体" w:cs="宋体"/>
          <w:kern w:val="0"/>
        </w:rPr>
        <w:t>（4）发包人提供的材料、工程设备的规格、数量或质量不符合合同约定，或因发包人原因导致交货日期延误或交货地点变更等情况的违约责任：</w:t>
      </w:r>
      <w:r>
        <w:rPr>
          <w:rFonts w:hint="eastAsia" w:ascii="宋体" w:hAnsi="宋体" w:cs="宋体"/>
          <w:kern w:val="0"/>
          <w:u w:val="single"/>
        </w:rPr>
        <w:t xml:space="preserve">  按通用条款执行  </w:t>
      </w:r>
      <w:r>
        <w:rPr>
          <w:rFonts w:hint="eastAsia" w:ascii="宋体" w:hAnsi="宋体" w:cs="宋体"/>
          <w:kern w:val="0"/>
        </w:rPr>
        <w:t>。</w:t>
      </w:r>
    </w:p>
    <w:p w14:paraId="5674ECED">
      <w:pPr>
        <w:spacing w:line="360" w:lineRule="exact"/>
        <w:ind w:firstLine="420" w:firstLineChars="200"/>
        <w:jc w:val="left"/>
        <w:rPr>
          <w:rFonts w:ascii="宋体" w:hAnsi="宋体" w:cs="宋体"/>
          <w:kern w:val="0"/>
        </w:rPr>
      </w:pPr>
      <w:r>
        <w:rPr>
          <w:rFonts w:hint="eastAsia" w:ascii="宋体" w:hAnsi="宋体" w:cs="宋体"/>
          <w:kern w:val="0"/>
        </w:rPr>
        <w:t>（5）因发包人违反合同约定造成暂停施工的违约责任：</w:t>
      </w:r>
      <w:r>
        <w:rPr>
          <w:rFonts w:hint="eastAsia" w:ascii="宋体" w:hAnsi="宋体" w:cs="宋体"/>
          <w:kern w:val="0"/>
          <w:u w:val="single"/>
        </w:rPr>
        <w:t>按通用条款执行</w:t>
      </w:r>
      <w:r>
        <w:rPr>
          <w:rFonts w:hint="eastAsia" w:ascii="宋体" w:hAnsi="宋体" w:cs="宋体"/>
          <w:kern w:val="0"/>
        </w:rPr>
        <w:t>。</w:t>
      </w:r>
    </w:p>
    <w:p w14:paraId="23807B16">
      <w:pPr>
        <w:spacing w:line="360" w:lineRule="exact"/>
        <w:ind w:firstLine="420" w:firstLineChars="200"/>
        <w:jc w:val="left"/>
        <w:rPr>
          <w:rFonts w:ascii="宋体" w:hAnsi="宋体" w:cs="宋体"/>
          <w:kern w:val="0"/>
        </w:rPr>
      </w:pPr>
      <w:r>
        <w:rPr>
          <w:rFonts w:hint="eastAsia" w:ascii="宋体" w:hAnsi="宋体" w:cs="宋体"/>
          <w:kern w:val="0"/>
        </w:rPr>
        <w:t>（6）发包人无正当理由没有在约定期限内发出复工指示，导致承包人无法复工的违约责任：</w:t>
      </w:r>
      <w:r>
        <w:rPr>
          <w:rFonts w:hint="eastAsia" w:ascii="宋体" w:hAnsi="宋体" w:cs="宋体"/>
          <w:kern w:val="0"/>
          <w:u w:val="single"/>
        </w:rPr>
        <w:t xml:space="preserve">按通用条款执行  </w:t>
      </w:r>
      <w:r>
        <w:rPr>
          <w:rFonts w:hint="eastAsia" w:ascii="宋体" w:hAnsi="宋体" w:cs="宋体"/>
          <w:kern w:val="0"/>
        </w:rPr>
        <w:t>。</w:t>
      </w:r>
    </w:p>
    <w:p w14:paraId="323C6EE5">
      <w:pPr>
        <w:spacing w:line="360" w:lineRule="exact"/>
        <w:ind w:firstLine="420" w:firstLineChars="200"/>
        <w:jc w:val="left"/>
        <w:rPr>
          <w:rFonts w:ascii="宋体" w:hAnsi="宋体" w:cs="宋体"/>
          <w:kern w:val="0"/>
        </w:rPr>
      </w:pPr>
      <w:r>
        <w:rPr>
          <w:rFonts w:hint="eastAsia" w:ascii="宋体" w:hAnsi="宋体" w:cs="宋体"/>
          <w:kern w:val="0"/>
        </w:rPr>
        <w:t>（7）其他：</w:t>
      </w:r>
      <w:r>
        <w:rPr>
          <w:rFonts w:hint="eastAsia" w:ascii="宋体" w:hAnsi="宋体" w:cs="宋体"/>
          <w:kern w:val="0"/>
          <w:u w:val="single"/>
        </w:rPr>
        <w:t xml:space="preserve">      无             </w:t>
      </w:r>
      <w:r>
        <w:rPr>
          <w:rFonts w:hint="eastAsia" w:ascii="宋体" w:hAnsi="宋体" w:cs="宋体"/>
          <w:kern w:val="0"/>
        </w:rPr>
        <w:t>。</w:t>
      </w:r>
    </w:p>
    <w:p w14:paraId="70E84C6D">
      <w:pPr>
        <w:spacing w:line="360" w:lineRule="exact"/>
        <w:ind w:firstLine="420" w:firstLineChars="200"/>
        <w:jc w:val="left"/>
        <w:rPr>
          <w:rFonts w:ascii="宋体" w:hAnsi="宋体" w:cs="宋体"/>
        </w:rPr>
      </w:pPr>
      <w:r>
        <w:rPr>
          <w:rFonts w:hint="eastAsia" w:ascii="宋体" w:hAnsi="宋体" w:cs="宋体"/>
        </w:rPr>
        <w:t>16.1.3 因发包人违约解除合同</w:t>
      </w:r>
    </w:p>
    <w:p w14:paraId="2C9AD7BF">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承包人按16.1.1项〔发包人违约的情形〕约定暂停施工满</w:t>
      </w:r>
      <w:r>
        <w:rPr>
          <w:rFonts w:hint="eastAsia" w:ascii="宋体" w:hAnsi="宋体" w:cs="宋体"/>
          <w:kern w:val="0"/>
          <w:u w:val="single"/>
        </w:rPr>
        <w:t xml:space="preserve"> 按通用条款执行 </w:t>
      </w:r>
      <w:r>
        <w:rPr>
          <w:rFonts w:hint="eastAsia" w:ascii="宋体" w:hAnsi="宋体" w:cs="宋体"/>
          <w:kern w:val="0"/>
        </w:rPr>
        <w:t>天后发包人仍不纠正其违约行为并致使合同目的不能实现的，承包人有权解除合同。</w:t>
      </w:r>
    </w:p>
    <w:p w14:paraId="2662BCAD">
      <w:pPr>
        <w:spacing w:after="120" w:line="360" w:lineRule="exact"/>
        <w:ind w:firstLine="420" w:firstLineChars="200"/>
        <w:outlineLvl w:val="2"/>
        <w:rPr>
          <w:rFonts w:ascii="宋体" w:hAnsi="宋体" w:cs="宋体"/>
        </w:rPr>
      </w:pPr>
      <w:r>
        <w:rPr>
          <w:rFonts w:hint="eastAsia" w:ascii="宋体" w:hAnsi="宋体" w:cs="宋体"/>
        </w:rPr>
        <w:t>16.2 承包人违约</w:t>
      </w:r>
    </w:p>
    <w:p w14:paraId="574F329D">
      <w:pPr>
        <w:spacing w:line="360" w:lineRule="exact"/>
        <w:ind w:firstLine="420" w:firstLineChars="200"/>
        <w:jc w:val="left"/>
        <w:rPr>
          <w:rFonts w:ascii="宋体" w:hAnsi="宋体" w:cs="宋体"/>
          <w:kern w:val="0"/>
        </w:rPr>
      </w:pPr>
      <w:r>
        <w:rPr>
          <w:rFonts w:hint="eastAsia" w:ascii="宋体" w:hAnsi="宋体" w:cs="宋体"/>
          <w:kern w:val="0"/>
        </w:rPr>
        <w:t>16.2.1 承包人违约的情形</w:t>
      </w:r>
    </w:p>
    <w:p w14:paraId="001DD6E4">
      <w:pPr>
        <w:spacing w:line="360" w:lineRule="exact"/>
        <w:ind w:firstLine="420" w:firstLineChars="200"/>
        <w:jc w:val="left"/>
        <w:rPr>
          <w:rFonts w:ascii="宋体" w:hAnsi="宋体" w:cs="宋体"/>
          <w:kern w:val="0"/>
        </w:rPr>
      </w:pPr>
      <w:r>
        <w:rPr>
          <w:rFonts w:hint="eastAsia" w:ascii="宋体" w:hAnsi="宋体" w:cs="宋体"/>
          <w:kern w:val="0"/>
        </w:rPr>
        <w:t>承包人违约的其他情形：</w:t>
      </w:r>
      <w:r>
        <w:rPr>
          <w:rFonts w:hint="eastAsia" w:ascii="宋体" w:hAnsi="宋体" w:cs="宋体"/>
          <w:kern w:val="0"/>
          <w:u w:val="single"/>
        </w:rPr>
        <w:t xml:space="preserve">   按通用条款执行     </w:t>
      </w:r>
      <w:r>
        <w:rPr>
          <w:rFonts w:hint="eastAsia" w:ascii="宋体" w:hAnsi="宋体" w:cs="宋体"/>
          <w:kern w:val="0"/>
        </w:rPr>
        <w:t>。</w:t>
      </w:r>
    </w:p>
    <w:p w14:paraId="7EFEC839">
      <w:pPr>
        <w:spacing w:line="360" w:lineRule="exact"/>
        <w:ind w:firstLine="420" w:firstLineChars="200"/>
        <w:jc w:val="left"/>
        <w:rPr>
          <w:rFonts w:ascii="宋体" w:hAnsi="宋体" w:cs="宋体"/>
          <w:kern w:val="0"/>
        </w:rPr>
      </w:pPr>
      <w:r>
        <w:rPr>
          <w:rFonts w:hint="eastAsia" w:ascii="宋体" w:hAnsi="宋体" w:cs="宋体"/>
          <w:kern w:val="0"/>
        </w:rPr>
        <w:t>16.2.2承包人违约的责任</w:t>
      </w:r>
    </w:p>
    <w:p w14:paraId="0542AD94">
      <w:pPr>
        <w:spacing w:line="360" w:lineRule="exact"/>
        <w:ind w:firstLine="420" w:firstLineChars="200"/>
        <w:jc w:val="left"/>
        <w:rPr>
          <w:rFonts w:ascii="宋体" w:hAnsi="宋体" w:cs="宋体"/>
          <w:kern w:val="0"/>
          <w:u w:val="single"/>
        </w:rPr>
      </w:pPr>
      <w:r>
        <w:rPr>
          <w:rFonts w:hint="eastAsia" w:ascii="宋体" w:hAnsi="宋体" w:cs="宋体"/>
          <w:kern w:val="0"/>
        </w:rPr>
        <w:t>承包人违约责任的承担方式和计算方法：</w:t>
      </w:r>
      <w:r>
        <w:rPr>
          <w:rFonts w:hint="eastAsia" w:ascii="宋体" w:hAnsi="宋体" w:cs="宋体"/>
          <w:kern w:val="0"/>
          <w:u w:val="single"/>
        </w:rPr>
        <w:t xml:space="preserve">  （1）承包人有本合同通用条款第16.2.1（1）条违约责任的，发包人有权扣除承包人的履约保证金并解除施工承包合同。（2）承包人未按本合同通用条款第16.2.1（2）、（3）条内容完成的，承包人无条件返工处理，修复至工程质量要求并承担相关费用，并在发包人规定的时间内完成返工，否则发包人有权扣罚该分项工程5%的工程款作为处罚。（3）承包人有本合同通用条款第16.2.1（6）条情形的，或经监理人检验认为修复质量不合格而承包人拒绝再进行修补的，发包人将扣除承包人全部质量保修金。（4）承包人有本专用合同条款3.2、3.3条违约责任的，发包人有权扣除承包人的违约金。违约金金额均在承包人的履约保证金及计量支付款内扣除。监理人预先下发含有罚款意向的指令，如承包人不及时采取措施纠正，则在指令下达后十五天下发罚款通知书（不再陈述罚款理由）。承包人履约保证金被罚款后由发包人从最后一次计量支付时扣除相应金额补足履约保证金。承包人在合同期内，完成合同规定的全部工程，且质量合格，在本工程施工竣工验收后十五天内可申请返还全部或部分罚款，返还金额由监理人审核，发包人批准。罚款金额返还时不包括银行利息   </w:t>
      </w:r>
      <w:r>
        <w:rPr>
          <w:rFonts w:hint="eastAsia" w:ascii="宋体" w:hAnsi="宋体" w:cs="宋体"/>
          <w:kern w:val="0"/>
        </w:rPr>
        <w:t>。</w:t>
      </w:r>
      <w:r>
        <w:rPr>
          <w:rFonts w:hint="eastAsia" w:ascii="宋体" w:hAnsi="宋体" w:cs="宋体"/>
        </w:rPr>
        <w:t xml:space="preserve">    </w:t>
      </w:r>
    </w:p>
    <w:p w14:paraId="365584A1">
      <w:pPr>
        <w:spacing w:line="360" w:lineRule="exact"/>
        <w:ind w:firstLine="420" w:firstLineChars="200"/>
        <w:jc w:val="left"/>
        <w:rPr>
          <w:rFonts w:ascii="宋体" w:hAnsi="宋体" w:cs="宋体"/>
        </w:rPr>
      </w:pPr>
      <w:r>
        <w:rPr>
          <w:rFonts w:hint="eastAsia" w:ascii="宋体" w:hAnsi="宋体" w:cs="宋体"/>
        </w:rPr>
        <w:t>16.2.3 因承包人违约解除合同</w:t>
      </w:r>
    </w:p>
    <w:p w14:paraId="329A9FAF">
      <w:pPr>
        <w:spacing w:before="120" w:after="120" w:line="360" w:lineRule="exact"/>
        <w:ind w:firstLine="420" w:firstLineChars="200"/>
        <w:rPr>
          <w:rFonts w:ascii="宋体" w:hAnsi="宋体" w:cs="宋体"/>
          <w:kern w:val="0"/>
        </w:rPr>
      </w:pPr>
      <w:r>
        <w:rPr>
          <w:rFonts w:hint="eastAsia" w:ascii="宋体" w:hAnsi="宋体" w:cs="宋体"/>
          <w:kern w:val="0"/>
        </w:rPr>
        <w:t>关于承包人违约解除合同的特别约定：</w:t>
      </w:r>
      <w:r>
        <w:rPr>
          <w:rFonts w:hint="eastAsia" w:ascii="宋体" w:hAnsi="宋体" w:cs="宋体"/>
          <w:kern w:val="0"/>
          <w:u w:val="single"/>
        </w:rPr>
        <w:t xml:space="preserve">  无    </w:t>
      </w:r>
      <w:r>
        <w:rPr>
          <w:rFonts w:hint="eastAsia" w:ascii="宋体" w:hAnsi="宋体" w:cs="宋体"/>
          <w:kern w:val="0"/>
        </w:rPr>
        <w:t>。</w:t>
      </w:r>
    </w:p>
    <w:p w14:paraId="78A91FFD">
      <w:pPr>
        <w:spacing w:before="120" w:after="120" w:line="360" w:lineRule="exact"/>
        <w:ind w:firstLine="420" w:firstLineChars="200"/>
        <w:rPr>
          <w:rFonts w:ascii="宋体" w:hAnsi="宋体" w:cs="宋体"/>
          <w:kern w:val="0"/>
        </w:rPr>
      </w:pPr>
      <w:r>
        <w:rPr>
          <w:rFonts w:hint="eastAsia" w:ascii="宋体" w:hAnsi="宋体" w:cs="宋体"/>
          <w:kern w:val="0"/>
        </w:rPr>
        <w:t>发包人继续使用承包人在施工现场的材料、设备、临时工程、承包人文件和由承包人或以其名义编制的其他文件的费用承担方式：</w:t>
      </w:r>
      <w:r>
        <w:rPr>
          <w:rFonts w:hint="eastAsia" w:ascii="宋体" w:hAnsi="宋体" w:cs="宋体"/>
          <w:kern w:val="0"/>
          <w:u w:val="single"/>
        </w:rPr>
        <w:t xml:space="preserve">      协商决定       </w:t>
      </w:r>
      <w:r>
        <w:rPr>
          <w:rFonts w:hint="eastAsia" w:ascii="宋体" w:hAnsi="宋体" w:cs="宋体"/>
          <w:kern w:val="0"/>
        </w:rPr>
        <w:t>。</w:t>
      </w:r>
    </w:p>
    <w:p w14:paraId="4FC55E37">
      <w:pPr>
        <w:pStyle w:val="7"/>
        <w:spacing w:before="120" w:after="120" w:line="360" w:lineRule="exact"/>
        <w:rPr>
          <w:rFonts w:ascii="宋体" w:hAnsi="宋体" w:cs="宋体"/>
          <w:b w:val="0"/>
          <w:sz w:val="21"/>
          <w:szCs w:val="21"/>
        </w:rPr>
      </w:pPr>
      <w:r>
        <w:rPr>
          <w:rFonts w:hint="eastAsia" w:ascii="宋体" w:hAnsi="宋体" w:cs="宋体"/>
          <w:b w:val="0"/>
          <w:sz w:val="21"/>
          <w:szCs w:val="21"/>
        </w:rPr>
        <w:t xml:space="preserve">17. 不可抗力 </w:t>
      </w:r>
    </w:p>
    <w:p w14:paraId="643E8B82">
      <w:pPr>
        <w:spacing w:after="120" w:line="360" w:lineRule="exact"/>
        <w:ind w:firstLine="420" w:firstLineChars="200"/>
        <w:rPr>
          <w:rFonts w:ascii="宋体" w:hAnsi="宋体" w:cs="宋体"/>
        </w:rPr>
      </w:pPr>
      <w:r>
        <w:rPr>
          <w:rFonts w:hint="eastAsia" w:ascii="宋体" w:hAnsi="宋体" w:cs="宋体"/>
        </w:rPr>
        <w:t>17.1 不可抗力的确认</w:t>
      </w:r>
    </w:p>
    <w:p w14:paraId="43A82051">
      <w:pPr>
        <w:spacing w:line="360" w:lineRule="exact"/>
        <w:ind w:firstLine="420" w:firstLineChars="200"/>
        <w:jc w:val="left"/>
        <w:rPr>
          <w:rFonts w:ascii="宋体" w:hAnsi="宋体" w:cs="宋体"/>
          <w:kern w:val="0"/>
          <w:u w:val="single"/>
        </w:rPr>
      </w:pPr>
      <w:r>
        <w:rPr>
          <w:rFonts w:hint="eastAsia" w:ascii="宋体" w:hAnsi="宋体" w:cs="宋体"/>
        </w:rPr>
        <w:t xml:space="preserve">除通用合同条款约定的不可抗力事件之外，视为不可抗力的其他情形： </w:t>
      </w:r>
      <w:r>
        <w:rPr>
          <w:rFonts w:hint="eastAsia" w:ascii="宋体" w:hAnsi="宋体" w:cs="宋体"/>
          <w:kern w:val="0"/>
          <w:u w:val="single"/>
        </w:rPr>
        <w:t xml:space="preserve">   不可抗力包括因战争、恐怖主义、动乱、空中飞行物体坠落或其他非发包人、承包人责任造成的爆炸、停工、火灾，以及：1、当地气象部门规定的情形；2、当地地震部门规定的情形；3、当地卫生部门规定的情形；4、提供政府相关部门对不可抗力的证明材料  </w:t>
      </w:r>
      <w:r>
        <w:rPr>
          <w:rFonts w:hint="eastAsia" w:ascii="宋体" w:hAnsi="宋体" w:cs="宋体"/>
          <w:kern w:val="0"/>
        </w:rPr>
        <w:t>。</w:t>
      </w:r>
    </w:p>
    <w:p w14:paraId="2893C034">
      <w:pPr>
        <w:spacing w:after="120" w:line="360" w:lineRule="exact"/>
        <w:ind w:firstLine="420" w:firstLineChars="200"/>
        <w:outlineLvl w:val="2"/>
        <w:rPr>
          <w:rFonts w:ascii="宋体" w:hAnsi="宋体" w:cs="宋体"/>
        </w:rPr>
      </w:pPr>
      <w:r>
        <w:rPr>
          <w:rFonts w:hint="eastAsia" w:ascii="宋体" w:hAnsi="宋体" w:cs="宋体"/>
        </w:rPr>
        <w:t>17.4 因不可抗力解除合同</w:t>
      </w:r>
    </w:p>
    <w:p w14:paraId="4DF12D31">
      <w:pPr>
        <w:spacing w:line="360" w:lineRule="exact"/>
        <w:ind w:firstLine="420" w:firstLineChars="200"/>
        <w:jc w:val="left"/>
        <w:rPr>
          <w:rFonts w:ascii="宋体" w:hAnsi="宋体" w:cs="宋体"/>
        </w:rPr>
      </w:pPr>
      <w:r>
        <w:rPr>
          <w:rFonts w:hint="eastAsia" w:ascii="宋体" w:hAnsi="宋体" w:cs="宋体"/>
        </w:rPr>
        <w:t>合同解除后，发包人应在商定或确定发包人应支付款项后</w:t>
      </w:r>
      <w:r>
        <w:rPr>
          <w:rFonts w:hint="eastAsia" w:ascii="宋体" w:hAnsi="宋体" w:cs="宋体"/>
          <w:u w:val="single"/>
        </w:rPr>
        <w:t xml:space="preserve"> 14 </w:t>
      </w:r>
      <w:r>
        <w:rPr>
          <w:rFonts w:hint="eastAsia" w:ascii="宋体" w:hAnsi="宋体" w:cs="宋体"/>
        </w:rPr>
        <w:t>天内完成款项的支付。</w:t>
      </w:r>
    </w:p>
    <w:p w14:paraId="55E435F6">
      <w:pPr>
        <w:pStyle w:val="7"/>
        <w:spacing w:before="120" w:after="120" w:line="360" w:lineRule="exact"/>
        <w:rPr>
          <w:rFonts w:ascii="宋体" w:hAnsi="宋体" w:cs="宋体"/>
          <w:b w:val="0"/>
          <w:sz w:val="21"/>
          <w:szCs w:val="21"/>
        </w:rPr>
      </w:pPr>
      <w:r>
        <w:rPr>
          <w:rFonts w:hint="eastAsia" w:ascii="宋体" w:hAnsi="宋体" w:cs="宋体"/>
          <w:b w:val="0"/>
          <w:sz w:val="21"/>
          <w:szCs w:val="21"/>
        </w:rPr>
        <w:t>18. 保险</w:t>
      </w:r>
    </w:p>
    <w:p w14:paraId="0A51E9B5">
      <w:pPr>
        <w:spacing w:after="120" w:line="360" w:lineRule="exact"/>
        <w:ind w:firstLine="420" w:firstLineChars="200"/>
        <w:rPr>
          <w:rFonts w:ascii="宋体" w:hAnsi="宋体" w:cs="宋体"/>
        </w:rPr>
      </w:pPr>
      <w:r>
        <w:rPr>
          <w:rFonts w:hint="eastAsia" w:ascii="宋体" w:hAnsi="宋体" w:cs="宋体"/>
        </w:rPr>
        <w:t>18.1 工程保险</w:t>
      </w:r>
    </w:p>
    <w:p w14:paraId="4651CF24">
      <w:pPr>
        <w:spacing w:line="360" w:lineRule="exact"/>
        <w:ind w:firstLine="420" w:firstLineChars="200"/>
        <w:jc w:val="left"/>
        <w:rPr>
          <w:rFonts w:ascii="宋体" w:hAnsi="宋体" w:cs="宋体"/>
        </w:rPr>
      </w:pPr>
      <w:r>
        <w:rPr>
          <w:rFonts w:hint="eastAsia" w:ascii="宋体" w:hAnsi="宋体" w:cs="宋体"/>
        </w:rPr>
        <w:t>关于工程保险的特别约定：</w:t>
      </w:r>
      <w:r>
        <w:rPr>
          <w:rFonts w:hint="eastAsia" w:ascii="宋体" w:hAnsi="宋体" w:cs="宋体"/>
          <w:kern w:val="0"/>
          <w:u w:val="single"/>
        </w:rPr>
        <w:t>承包人应投保建筑工程一切险并承担相关费用</w:t>
      </w:r>
      <w:r>
        <w:rPr>
          <w:rFonts w:hint="eastAsia" w:ascii="宋体" w:hAnsi="宋体" w:cs="宋体"/>
          <w:kern w:val="0"/>
        </w:rPr>
        <w:t>。</w:t>
      </w:r>
    </w:p>
    <w:p w14:paraId="795F3738">
      <w:pPr>
        <w:spacing w:after="120" w:line="360" w:lineRule="exact"/>
        <w:ind w:firstLine="420" w:firstLineChars="200"/>
        <w:outlineLvl w:val="2"/>
        <w:rPr>
          <w:rFonts w:ascii="宋体" w:hAnsi="宋体" w:cs="宋体"/>
        </w:rPr>
      </w:pPr>
      <w:r>
        <w:rPr>
          <w:rFonts w:hint="eastAsia" w:ascii="宋体" w:hAnsi="宋体" w:cs="宋体"/>
        </w:rPr>
        <w:t>18.3 其他保险</w:t>
      </w:r>
    </w:p>
    <w:p w14:paraId="63FAB857">
      <w:pPr>
        <w:spacing w:line="360" w:lineRule="exact"/>
        <w:ind w:firstLine="420" w:firstLineChars="200"/>
        <w:jc w:val="left"/>
        <w:rPr>
          <w:rFonts w:ascii="宋体" w:hAnsi="宋体" w:cs="宋体"/>
          <w:kern w:val="0"/>
        </w:rPr>
      </w:pPr>
      <w:r>
        <w:rPr>
          <w:rFonts w:hint="eastAsia" w:ascii="宋体" w:hAnsi="宋体" w:cs="宋体"/>
        </w:rPr>
        <w:t>关于其他保险的约定：</w:t>
      </w:r>
      <w:r>
        <w:rPr>
          <w:rFonts w:hint="eastAsia" w:ascii="宋体" w:hAnsi="宋体" w:cs="宋体"/>
          <w:kern w:val="0"/>
          <w:u w:val="single"/>
        </w:rPr>
        <w:t xml:space="preserve">  承包人根据市建协字【2009】3号文须交纳建筑意外伤害保险费</w:t>
      </w:r>
      <w:r>
        <w:rPr>
          <w:rFonts w:hint="eastAsia" w:ascii="宋体" w:hAnsi="宋体" w:cs="宋体"/>
          <w:kern w:val="0"/>
        </w:rPr>
        <w:t>。</w:t>
      </w:r>
    </w:p>
    <w:p w14:paraId="5B5C6AA1">
      <w:pPr>
        <w:spacing w:line="360" w:lineRule="exact"/>
        <w:ind w:firstLine="420" w:firstLineChars="200"/>
        <w:jc w:val="left"/>
        <w:rPr>
          <w:rFonts w:ascii="宋体" w:hAnsi="宋体" w:cs="宋体"/>
          <w:kern w:val="0"/>
        </w:rPr>
      </w:pPr>
      <w:r>
        <w:rPr>
          <w:rFonts w:hint="eastAsia" w:ascii="宋体" w:hAnsi="宋体" w:cs="宋体"/>
        </w:rPr>
        <w:t>承包人是否应为其施工设备等办理财产保险：</w:t>
      </w:r>
      <w:r>
        <w:rPr>
          <w:rFonts w:hint="eastAsia" w:ascii="宋体" w:hAnsi="宋体" w:cs="宋体"/>
          <w:u w:val="single"/>
        </w:rPr>
        <w:t>按通用条款执行</w:t>
      </w:r>
      <w:r>
        <w:rPr>
          <w:rFonts w:hint="eastAsia" w:ascii="宋体" w:hAnsi="宋体" w:cs="宋体"/>
        </w:rPr>
        <w:t>。</w:t>
      </w:r>
    </w:p>
    <w:p w14:paraId="74370452">
      <w:pPr>
        <w:spacing w:after="120" w:line="360" w:lineRule="exact"/>
        <w:ind w:firstLine="420" w:firstLineChars="200"/>
        <w:rPr>
          <w:rFonts w:ascii="宋体" w:hAnsi="宋体" w:cs="宋体"/>
        </w:rPr>
      </w:pPr>
      <w:r>
        <w:rPr>
          <w:rFonts w:hint="eastAsia" w:ascii="宋体" w:hAnsi="宋体" w:cs="宋体"/>
        </w:rPr>
        <w:t>18.7 通知义务</w:t>
      </w:r>
    </w:p>
    <w:p w14:paraId="4A6CFF53">
      <w:pPr>
        <w:spacing w:line="360" w:lineRule="exact"/>
        <w:ind w:firstLine="420" w:firstLineChars="200"/>
        <w:jc w:val="left"/>
        <w:rPr>
          <w:rFonts w:ascii="宋体" w:hAnsi="宋体" w:cs="宋体"/>
        </w:rPr>
      </w:pPr>
      <w:r>
        <w:rPr>
          <w:rFonts w:hint="eastAsia" w:ascii="宋体" w:hAnsi="宋体" w:cs="宋体"/>
          <w:kern w:val="0"/>
        </w:rPr>
        <w:t>关于变更保险合同时的通知义务的约定：</w:t>
      </w:r>
      <w:r>
        <w:rPr>
          <w:rFonts w:hint="eastAsia" w:ascii="宋体" w:hAnsi="宋体" w:cs="宋体"/>
          <w:u w:val="single"/>
        </w:rPr>
        <w:t xml:space="preserve">按通用条款执行  </w:t>
      </w:r>
      <w:r>
        <w:rPr>
          <w:rFonts w:hint="eastAsia" w:ascii="宋体" w:hAnsi="宋体" w:cs="宋体"/>
        </w:rPr>
        <w:t>。</w:t>
      </w:r>
    </w:p>
    <w:p w14:paraId="057C76F7">
      <w:pPr>
        <w:pStyle w:val="7"/>
        <w:spacing w:before="120" w:after="120" w:line="360" w:lineRule="exact"/>
        <w:rPr>
          <w:rFonts w:ascii="宋体" w:hAnsi="宋体" w:cs="宋体"/>
          <w:b w:val="0"/>
          <w:sz w:val="21"/>
          <w:szCs w:val="21"/>
        </w:rPr>
      </w:pPr>
      <w:r>
        <w:rPr>
          <w:rFonts w:hint="eastAsia" w:ascii="宋体" w:hAnsi="宋体" w:cs="宋体"/>
          <w:b w:val="0"/>
          <w:sz w:val="21"/>
          <w:szCs w:val="21"/>
        </w:rPr>
        <w:t>20. 争议解决</w:t>
      </w:r>
    </w:p>
    <w:p w14:paraId="6324530A">
      <w:pPr>
        <w:spacing w:after="120" w:line="360" w:lineRule="exact"/>
        <w:ind w:firstLine="420" w:firstLineChars="200"/>
        <w:outlineLvl w:val="2"/>
        <w:rPr>
          <w:rFonts w:ascii="宋体" w:hAnsi="宋体" w:cs="宋体"/>
        </w:rPr>
      </w:pPr>
      <w:r>
        <w:rPr>
          <w:rFonts w:hint="eastAsia" w:ascii="宋体" w:hAnsi="宋体" w:cs="宋体"/>
        </w:rPr>
        <w:t>20.3 争议评审</w:t>
      </w:r>
    </w:p>
    <w:p w14:paraId="46106DE5">
      <w:pPr>
        <w:spacing w:line="360" w:lineRule="exact"/>
        <w:ind w:left="149" w:leftChars="71" w:firstLine="315" w:firstLineChars="150"/>
        <w:jc w:val="left"/>
        <w:rPr>
          <w:rFonts w:ascii="宋体" w:hAnsi="宋体" w:cs="宋体"/>
        </w:rPr>
      </w:pPr>
      <w:r>
        <w:rPr>
          <w:rFonts w:hint="eastAsia" w:ascii="宋体" w:hAnsi="宋体" w:cs="宋体"/>
        </w:rPr>
        <w:t>合同当事人是否同意将工程争议提交争议评审小组决定：</w:t>
      </w:r>
      <w:r>
        <w:rPr>
          <w:rFonts w:hint="eastAsia" w:ascii="宋体" w:hAnsi="宋体" w:cs="宋体"/>
          <w:u w:val="single"/>
        </w:rPr>
        <w:t xml:space="preserve">  不同意  </w:t>
      </w:r>
      <w:r>
        <w:rPr>
          <w:rFonts w:hint="eastAsia" w:ascii="宋体" w:hAnsi="宋体" w:cs="宋体"/>
        </w:rPr>
        <w:t xml:space="preserve">。  </w:t>
      </w:r>
    </w:p>
    <w:p w14:paraId="40C9D583">
      <w:pPr>
        <w:spacing w:line="360" w:lineRule="exact"/>
        <w:ind w:firstLine="420" w:firstLineChars="200"/>
        <w:jc w:val="left"/>
        <w:outlineLvl w:val="2"/>
        <w:rPr>
          <w:rFonts w:ascii="宋体" w:hAnsi="宋体" w:cs="宋体"/>
        </w:rPr>
      </w:pPr>
      <w:r>
        <w:rPr>
          <w:rFonts w:hint="eastAsia" w:ascii="宋体" w:hAnsi="宋体" w:cs="宋体"/>
        </w:rPr>
        <w:t>20.3.1 争议评审小组的确定</w:t>
      </w:r>
    </w:p>
    <w:p w14:paraId="14F95F72">
      <w:pPr>
        <w:spacing w:line="360" w:lineRule="exact"/>
        <w:ind w:firstLine="420" w:firstLineChars="200"/>
        <w:jc w:val="left"/>
        <w:rPr>
          <w:rFonts w:ascii="宋体" w:hAnsi="宋体" w:cs="宋体"/>
          <w:u w:val="single"/>
        </w:rPr>
      </w:pPr>
      <w:r>
        <w:rPr>
          <w:rFonts w:hint="eastAsia" w:ascii="宋体" w:hAnsi="宋体" w:cs="宋体"/>
        </w:rPr>
        <w:t>争议评审小组成员的确定：</w:t>
      </w:r>
      <w:r>
        <w:rPr>
          <w:rFonts w:hint="eastAsia" w:ascii="宋体" w:hAnsi="宋体" w:cs="宋体"/>
          <w:u w:val="single"/>
        </w:rPr>
        <w:t xml:space="preserve">             无               </w:t>
      </w:r>
      <w:r>
        <w:rPr>
          <w:rFonts w:hint="eastAsia" w:ascii="宋体" w:hAnsi="宋体" w:cs="宋体"/>
        </w:rPr>
        <w:t>。</w:t>
      </w:r>
    </w:p>
    <w:p w14:paraId="7AC3DA2E">
      <w:pPr>
        <w:spacing w:line="360" w:lineRule="exact"/>
        <w:ind w:firstLine="420" w:firstLineChars="200"/>
        <w:jc w:val="left"/>
        <w:rPr>
          <w:rFonts w:ascii="宋体" w:hAnsi="宋体" w:cs="宋体"/>
        </w:rPr>
      </w:pPr>
      <w:r>
        <w:rPr>
          <w:rFonts w:hint="eastAsia" w:ascii="宋体" w:hAnsi="宋体" w:cs="宋体"/>
        </w:rPr>
        <w:t>选定争议评审员的期限：</w:t>
      </w:r>
      <w:r>
        <w:rPr>
          <w:rFonts w:hint="eastAsia" w:ascii="宋体" w:hAnsi="宋体" w:cs="宋体"/>
          <w:u w:val="single"/>
        </w:rPr>
        <w:t xml:space="preserve">               无              </w:t>
      </w:r>
      <w:r>
        <w:rPr>
          <w:rFonts w:hint="eastAsia" w:ascii="宋体" w:hAnsi="宋体" w:cs="宋体"/>
        </w:rPr>
        <w:t>。</w:t>
      </w:r>
    </w:p>
    <w:p w14:paraId="0E2B2C81">
      <w:pPr>
        <w:spacing w:line="360" w:lineRule="exact"/>
        <w:ind w:firstLine="420" w:firstLineChars="200"/>
        <w:jc w:val="left"/>
        <w:rPr>
          <w:rFonts w:ascii="宋体" w:hAnsi="宋体" w:cs="宋体"/>
        </w:rPr>
      </w:pPr>
      <w:r>
        <w:rPr>
          <w:rFonts w:hint="eastAsia" w:ascii="宋体" w:hAnsi="宋体" w:cs="宋体"/>
        </w:rPr>
        <w:t>争议评审小组成员的报酬承担方式：</w:t>
      </w:r>
      <w:r>
        <w:rPr>
          <w:rFonts w:hint="eastAsia" w:ascii="宋体" w:hAnsi="宋体" w:cs="宋体"/>
          <w:u w:val="single"/>
        </w:rPr>
        <w:t xml:space="preserve">     无              </w:t>
      </w:r>
      <w:r>
        <w:rPr>
          <w:rFonts w:hint="eastAsia" w:ascii="宋体" w:hAnsi="宋体" w:cs="宋体"/>
        </w:rPr>
        <w:t>。</w:t>
      </w:r>
    </w:p>
    <w:p w14:paraId="22EB9370">
      <w:pPr>
        <w:spacing w:line="360" w:lineRule="exact"/>
        <w:ind w:firstLine="420" w:firstLineChars="200"/>
        <w:jc w:val="left"/>
        <w:rPr>
          <w:rFonts w:ascii="宋体" w:hAnsi="宋体" w:cs="宋体"/>
        </w:rPr>
      </w:pPr>
      <w:r>
        <w:rPr>
          <w:rFonts w:hint="eastAsia" w:ascii="宋体" w:hAnsi="宋体" w:cs="宋体"/>
        </w:rPr>
        <w:t>其他事项的约定：</w:t>
      </w:r>
      <w:r>
        <w:rPr>
          <w:rFonts w:hint="eastAsia" w:ascii="宋体" w:hAnsi="宋体" w:cs="宋体"/>
          <w:u w:val="single"/>
        </w:rPr>
        <w:t xml:space="preserve">                     无             </w:t>
      </w:r>
      <w:r>
        <w:rPr>
          <w:rFonts w:hint="eastAsia" w:ascii="宋体" w:hAnsi="宋体" w:cs="宋体"/>
        </w:rPr>
        <w:t>。</w:t>
      </w:r>
    </w:p>
    <w:p w14:paraId="2ADD1356">
      <w:pPr>
        <w:autoSpaceDE w:val="0"/>
        <w:autoSpaceDN w:val="0"/>
        <w:adjustRightInd w:val="0"/>
        <w:spacing w:line="360" w:lineRule="exact"/>
        <w:ind w:firstLine="420" w:firstLineChars="200"/>
        <w:jc w:val="left"/>
        <w:outlineLvl w:val="2"/>
        <w:rPr>
          <w:rFonts w:ascii="宋体" w:hAnsi="宋体" w:cs="宋体"/>
          <w:kern w:val="0"/>
        </w:rPr>
      </w:pPr>
      <w:r>
        <w:rPr>
          <w:rFonts w:hint="eastAsia" w:ascii="宋体" w:hAnsi="宋体" w:cs="宋体"/>
          <w:kern w:val="0"/>
        </w:rPr>
        <w:t>20.3.2 争议评审小组的决定</w:t>
      </w:r>
    </w:p>
    <w:p w14:paraId="16FED1F2">
      <w:pPr>
        <w:spacing w:line="360" w:lineRule="exact"/>
        <w:ind w:firstLine="420" w:firstLineChars="200"/>
        <w:jc w:val="left"/>
        <w:rPr>
          <w:rFonts w:ascii="宋体" w:hAnsi="宋体" w:cs="宋体"/>
        </w:rPr>
      </w:pPr>
      <w:r>
        <w:rPr>
          <w:rFonts w:hint="eastAsia" w:ascii="宋体" w:hAnsi="宋体" w:cs="宋体"/>
        </w:rPr>
        <w:t>合同当事人关于本项的约定：</w:t>
      </w:r>
      <w:r>
        <w:rPr>
          <w:rFonts w:hint="eastAsia" w:ascii="宋体" w:hAnsi="宋体" w:cs="宋体"/>
          <w:u w:val="single"/>
        </w:rPr>
        <w:t xml:space="preserve">           无             </w:t>
      </w:r>
      <w:r>
        <w:rPr>
          <w:rFonts w:hint="eastAsia" w:ascii="宋体" w:hAnsi="宋体" w:cs="宋体"/>
        </w:rPr>
        <w:t>。</w:t>
      </w:r>
    </w:p>
    <w:p w14:paraId="2F98D17E">
      <w:pPr>
        <w:spacing w:after="120" w:line="360" w:lineRule="exact"/>
        <w:ind w:firstLine="420" w:firstLineChars="200"/>
        <w:outlineLvl w:val="2"/>
        <w:rPr>
          <w:rFonts w:ascii="宋体" w:hAnsi="宋体" w:cs="宋体"/>
        </w:rPr>
      </w:pPr>
      <w:r>
        <w:rPr>
          <w:rFonts w:hint="eastAsia" w:ascii="宋体" w:hAnsi="宋体" w:cs="宋体"/>
        </w:rPr>
        <w:t>20.4仲裁或诉讼</w:t>
      </w:r>
    </w:p>
    <w:p w14:paraId="37169DBE">
      <w:pPr>
        <w:spacing w:after="120" w:line="360" w:lineRule="exact"/>
        <w:ind w:firstLine="420" w:firstLineChars="200"/>
        <w:rPr>
          <w:rFonts w:ascii="宋体" w:hAnsi="宋体" w:cs="宋体"/>
        </w:rPr>
      </w:pPr>
      <w:r>
        <w:rPr>
          <w:rFonts w:hint="eastAsia" w:ascii="宋体" w:hAnsi="宋体" w:cs="宋体"/>
        </w:rPr>
        <w:t>因合同及合同有关事项发生的争议，按下列第</w:t>
      </w:r>
      <w:r>
        <w:rPr>
          <w:rFonts w:hint="eastAsia" w:ascii="宋体" w:hAnsi="宋体" w:cs="宋体"/>
          <w:u w:val="single"/>
        </w:rPr>
        <w:t xml:space="preserve"> （2） </w:t>
      </w:r>
      <w:r>
        <w:rPr>
          <w:rFonts w:hint="eastAsia" w:ascii="宋体" w:hAnsi="宋体" w:cs="宋体"/>
        </w:rPr>
        <w:t>种方式解决：</w:t>
      </w:r>
    </w:p>
    <w:p w14:paraId="29371924">
      <w:pPr>
        <w:spacing w:line="360" w:lineRule="exact"/>
        <w:ind w:firstLine="420" w:firstLineChars="200"/>
        <w:jc w:val="left"/>
        <w:rPr>
          <w:rFonts w:ascii="宋体" w:hAnsi="宋体" w:cs="宋体"/>
        </w:rPr>
      </w:pPr>
      <w:r>
        <w:rPr>
          <w:rFonts w:hint="eastAsia" w:ascii="宋体" w:hAnsi="宋体" w:cs="宋体"/>
        </w:rPr>
        <w:t>（1）向</w:t>
      </w:r>
      <w:r>
        <w:rPr>
          <w:rFonts w:hint="eastAsia" w:ascii="宋体" w:hAnsi="宋体" w:cs="宋体"/>
          <w:u w:val="single"/>
        </w:rPr>
        <w:t xml:space="preserve">          /          </w:t>
      </w:r>
      <w:r>
        <w:rPr>
          <w:rFonts w:hint="eastAsia" w:ascii="宋体" w:hAnsi="宋体" w:cs="宋体"/>
        </w:rPr>
        <w:t>仲裁委员会申请仲裁；</w:t>
      </w:r>
    </w:p>
    <w:p w14:paraId="0C12FA1F">
      <w:pPr>
        <w:spacing w:line="360" w:lineRule="exact"/>
        <w:ind w:firstLine="420" w:firstLineChars="200"/>
        <w:jc w:val="left"/>
        <w:rPr>
          <w:rFonts w:ascii="宋体" w:hAnsi="宋体" w:cs="宋体"/>
        </w:rPr>
      </w:pPr>
      <w:r>
        <w:rPr>
          <w:rFonts w:hint="eastAsia" w:ascii="宋体" w:hAnsi="宋体" w:cs="宋体"/>
        </w:rPr>
        <w:t>（2）向</w:t>
      </w:r>
      <w:r>
        <w:rPr>
          <w:rFonts w:hint="eastAsia" w:ascii="宋体" w:hAnsi="宋体" w:cs="宋体"/>
          <w:u w:val="single"/>
        </w:rPr>
        <w:t xml:space="preserve">   本工程辖区内  </w:t>
      </w:r>
      <w:r>
        <w:rPr>
          <w:rFonts w:hint="eastAsia" w:ascii="宋体" w:hAnsi="宋体" w:cs="宋体"/>
        </w:rPr>
        <w:t>人民法院起诉。</w:t>
      </w:r>
    </w:p>
    <w:bookmarkEnd w:id="172"/>
    <w:bookmarkEnd w:id="173"/>
    <w:bookmarkEnd w:id="175"/>
    <w:p w14:paraId="25C523BF">
      <w:pPr>
        <w:pStyle w:val="13"/>
        <w:spacing w:line="360" w:lineRule="exact"/>
        <w:rPr>
          <w:rFonts w:ascii="宋体" w:hAnsi="宋体" w:cs="宋体"/>
          <w:b/>
          <w:bCs/>
          <w:kern w:val="44"/>
          <w:sz w:val="32"/>
          <w:szCs w:val="32"/>
        </w:rPr>
      </w:pPr>
      <w:bookmarkStart w:id="622" w:name="_Toc24269"/>
      <w:bookmarkStart w:id="623" w:name="_Toc10014"/>
    </w:p>
    <w:p w14:paraId="62B07D4B">
      <w:pPr>
        <w:pStyle w:val="4"/>
        <w:spacing w:line="500" w:lineRule="exact"/>
        <w:jc w:val="center"/>
        <w:rPr>
          <w:sz w:val="32"/>
          <w:szCs w:val="32"/>
        </w:rPr>
      </w:pPr>
      <w:bookmarkStart w:id="624" w:name="_Toc407135283"/>
      <w:bookmarkStart w:id="625" w:name="_Toc73275791"/>
      <w:bookmarkStart w:id="626" w:name="_Toc3054_WPSOffice_Level1"/>
      <w:bookmarkStart w:id="627" w:name="_Toc498945559"/>
      <w:bookmarkStart w:id="628" w:name="_Toc358569763"/>
      <w:bookmarkStart w:id="629" w:name="_Toc23350"/>
      <w:r>
        <w:rPr>
          <w:rFonts w:hint="eastAsia" w:ascii="宋体" w:hAnsi="宋体" w:cs="宋体"/>
          <w:sz w:val="32"/>
          <w:szCs w:val="32"/>
        </w:rPr>
        <w:t>第五章  工程量清单</w:t>
      </w:r>
      <w:bookmarkEnd w:id="624"/>
      <w:bookmarkEnd w:id="625"/>
      <w:bookmarkEnd w:id="626"/>
      <w:bookmarkEnd w:id="627"/>
    </w:p>
    <w:bookmarkEnd w:id="628"/>
    <w:p w14:paraId="1660A52D">
      <w:pPr>
        <w:spacing w:line="500" w:lineRule="exact"/>
        <w:rPr>
          <w:rFonts w:ascii="宋体" w:hAnsi="宋体" w:cs="宋体"/>
        </w:rPr>
      </w:pPr>
    </w:p>
    <w:p w14:paraId="2C7247E3">
      <w:pPr>
        <w:spacing w:line="500" w:lineRule="exact"/>
        <w:jc w:val="center"/>
        <w:rPr>
          <w:rFonts w:ascii="宋体" w:hAnsi="宋体" w:cs="宋体"/>
        </w:rPr>
        <w:sectPr>
          <w:footerReference r:id="rId6" w:type="default"/>
          <w:pgSz w:w="11907" w:h="16840"/>
          <w:pgMar w:top="1134" w:right="1134" w:bottom="1134" w:left="1134" w:header="851" w:footer="851" w:gutter="0"/>
          <w:cols w:space="720" w:num="1"/>
          <w:docGrid w:linePitch="312" w:charSpace="0"/>
        </w:sectPr>
      </w:pPr>
      <w:r>
        <w:rPr>
          <w:rFonts w:hint="eastAsia" w:ascii="宋体" w:hAnsi="宋体" w:cs="宋体"/>
          <w:b/>
          <w:color w:val="000000"/>
          <w:sz w:val="24"/>
        </w:rPr>
        <w:t>工程量清单（另册），是本竞争性磋商文件的一个重要组成部分。</w:t>
      </w:r>
    </w:p>
    <w:p w14:paraId="155AF8DA">
      <w:pPr>
        <w:pStyle w:val="5"/>
        <w:spacing w:line="500" w:lineRule="exact"/>
        <w:jc w:val="center"/>
        <w:rPr>
          <w:rFonts w:ascii="宋体" w:hAnsi="宋体" w:cs="宋体"/>
          <w:b/>
          <w:bCs w:val="0"/>
          <w:kern w:val="0"/>
          <w:sz w:val="32"/>
        </w:rPr>
      </w:pPr>
      <w:bookmarkStart w:id="630" w:name="_Toc389145997"/>
      <w:bookmarkStart w:id="631" w:name="_Toc267582061"/>
      <w:bookmarkStart w:id="632" w:name="_Toc207443031"/>
      <w:bookmarkStart w:id="633" w:name="_Toc455670848"/>
      <w:r>
        <w:rPr>
          <w:rFonts w:hint="eastAsia" w:ascii="宋体" w:hAnsi="宋体" w:cs="宋体"/>
          <w:b/>
          <w:bCs w:val="0"/>
          <w:kern w:val="0"/>
          <w:sz w:val="32"/>
        </w:rPr>
        <w:t>第六章</w:t>
      </w:r>
      <w:r>
        <w:rPr>
          <w:rFonts w:hint="eastAsia" w:ascii="宋体" w:hAnsi="宋体" w:cs="宋体"/>
          <w:b/>
          <w:bCs w:val="0"/>
          <w:kern w:val="0"/>
          <w:sz w:val="32"/>
        </w:rPr>
        <w:tab/>
      </w:r>
      <w:r>
        <w:rPr>
          <w:rFonts w:hint="eastAsia" w:ascii="宋体" w:hAnsi="宋体" w:cs="宋体"/>
          <w:b/>
          <w:bCs w:val="0"/>
          <w:kern w:val="0"/>
          <w:sz w:val="32"/>
        </w:rPr>
        <w:t>技术标准</w:t>
      </w:r>
      <w:bookmarkEnd w:id="630"/>
      <w:bookmarkEnd w:id="631"/>
      <w:bookmarkEnd w:id="632"/>
      <w:bookmarkEnd w:id="633"/>
    </w:p>
    <w:p w14:paraId="11238244">
      <w:pPr>
        <w:spacing w:line="500" w:lineRule="exact"/>
        <w:rPr>
          <w:rFonts w:ascii="宋体" w:hAnsi="宋体" w:cs="宋体"/>
          <w:kern w:val="0"/>
          <w:sz w:val="10"/>
          <w:szCs w:val="10"/>
        </w:rPr>
      </w:pPr>
    </w:p>
    <w:p w14:paraId="521D834A">
      <w:pPr>
        <w:spacing w:line="500" w:lineRule="exact"/>
        <w:jc w:val="center"/>
        <w:rPr>
          <w:rFonts w:ascii="宋体" w:hAnsi="宋体" w:cs="宋体"/>
          <w:sz w:val="28"/>
          <w:szCs w:val="28"/>
        </w:rPr>
      </w:pPr>
      <w:r>
        <w:rPr>
          <w:rFonts w:hint="eastAsia" w:ascii="宋体" w:hAnsi="宋体" w:cs="宋体"/>
          <w:sz w:val="28"/>
          <w:szCs w:val="28"/>
        </w:rPr>
        <w:t>本章由采购人根据国家行业和地方现行标准、规范和规程等，</w:t>
      </w:r>
    </w:p>
    <w:p w14:paraId="5A8E63AB">
      <w:pPr>
        <w:spacing w:line="500" w:lineRule="exact"/>
        <w:jc w:val="center"/>
        <w:rPr>
          <w:rFonts w:ascii="宋体" w:hAnsi="宋体" w:cs="宋体"/>
          <w:sz w:val="28"/>
          <w:szCs w:val="28"/>
        </w:rPr>
      </w:pPr>
      <w:r>
        <w:rPr>
          <w:rFonts w:hint="eastAsia" w:ascii="宋体" w:hAnsi="宋体" w:cs="宋体"/>
          <w:sz w:val="28"/>
          <w:szCs w:val="28"/>
        </w:rPr>
        <w:t>以及项目具体情况摘录。</w:t>
      </w:r>
    </w:p>
    <w:p w14:paraId="79203FDD">
      <w:pPr>
        <w:spacing w:line="460" w:lineRule="exact"/>
        <w:jc w:val="center"/>
        <w:outlineLvl w:val="0"/>
        <w:rPr>
          <w:rFonts w:ascii="华文中宋" w:hAnsi="华文中宋" w:eastAsia="华文中宋" w:cs="华文中宋"/>
          <w:b/>
          <w:bCs/>
          <w:sz w:val="32"/>
          <w:szCs w:val="32"/>
        </w:rPr>
      </w:pPr>
    </w:p>
    <w:p w14:paraId="58AF6A47">
      <w:pPr>
        <w:spacing w:line="460" w:lineRule="exact"/>
        <w:jc w:val="center"/>
        <w:outlineLvl w:val="0"/>
        <w:rPr>
          <w:rFonts w:ascii="华文中宋" w:hAnsi="华文中宋" w:eastAsia="华文中宋" w:cs="华文中宋"/>
          <w:b/>
          <w:bCs/>
          <w:sz w:val="32"/>
          <w:szCs w:val="32"/>
        </w:rPr>
      </w:pPr>
    </w:p>
    <w:p w14:paraId="6D33080B">
      <w:pPr>
        <w:spacing w:line="460" w:lineRule="exact"/>
        <w:jc w:val="center"/>
        <w:outlineLvl w:val="0"/>
        <w:rPr>
          <w:rFonts w:ascii="华文中宋" w:hAnsi="华文中宋" w:eastAsia="华文中宋" w:cs="华文中宋"/>
          <w:b/>
          <w:bCs/>
          <w:sz w:val="32"/>
          <w:szCs w:val="32"/>
        </w:rPr>
      </w:pPr>
    </w:p>
    <w:p w14:paraId="5D5256A6">
      <w:pPr>
        <w:spacing w:line="460" w:lineRule="exact"/>
        <w:jc w:val="center"/>
        <w:outlineLvl w:val="0"/>
        <w:rPr>
          <w:rFonts w:ascii="华文中宋" w:hAnsi="华文中宋" w:eastAsia="华文中宋" w:cs="华文中宋"/>
          <w:b/>
          <w:bCs/>
          <w:sz w:val="32"/>
          <w:szCs w:val="32"/>
        </w:rPr>
      </w:pPr>
    </w:p>
    <w:p w14:paraId="332EDEDC">
      <w:pPr>
        <w:spacing w:line="460" w:lineRule="exact"/>
        <w:jc w:val="center"/>
        <w:outlineLvl w:val="0"/>
        <w:rPr>
          <w:rFonts w:ascii="华文中宋" w:hAnsi="华文中宋" w:eastAsia="华文中宋" w:cs="华文中宋"/>
          <w:b/>
          <w:bCs/>
          <w:sz w:val="32"/>
          <w:szCs w:val="32"/>
        </w:rPr>
      </w:pPr>
    </w:p>
    <w:p w14:paraId="69494AA7">
      <w:pPr>
        <w:spacing w:line="460" w:lineRule="exact"/>
        <w:jc w:val="center"/>
        <w:outlineLvl w:val="0"/>
        <w:rPr>
          <w:rFonts w:ascii="华文中宋" w:hAnsi="华文中宋" w:eastAsia="华文中宋" w:cs="华文中宋"/>
          <w:b/>
          <w:bCs/>
          <w:sz w:val="32"/>
          <w:szCs w:val="32"/>
        </w:rPr>
      </w:pPr>
    </w:p>
    <w:p w14:paraId="322B3DA4">
      <w:pPr>
        <w:spacing w:line="460" w:lineRule="exact"/>
        <w:jc w:val="center"/>
        <w:outlineLvl w:val="0"/>
        <w:rPr>
          <w:rFonts w:ascii="华文中宋" w:hAnsi="华文中宋" w:eastAsia="华文中宋" w:cs="华文中宋"/>
          <w:b/>
          <w:bCs/>
          <w:sz w:val="32"/>
          <w:szCs w:val="32"/>
        </w:rPr>
      </w:pPr>
    </w:p>
    <w:p w14:paraId="5E2DE5B6">
      <w:pPr>
        <w:spacing w:line="460" w:lineRule="exact"/>
        <w:jc w:val="center"/>
        <w:outlineLvl w:val="0"/>
        <w:rPr>
          <w:rFonts w:ascii="华文中宋" w:hAnsi="华文中宋" w:eastAsia="华文中宋" w:cs="华文中宋"/>
          <w:b/>
          <w:bCs/>
          <w:sz w:val="32"/>
          <w:szCs w:val="32"/>
        </w:rPr>
      </w:pPr>
    </w:p>
    <w:p w14:paraId="45A823F4">
      <w:pPr>
        <w:spacing w:line="460" w:lineRule="exact"/>
        <w:jc w:val="center"/>
        <w:outlineLvl w:val="0"/>
        <w:rPr>
          <w:rFonts w:ascii="华文中宋" w:hAnsi="华文中宋" w:eastAsia="华文中宋" w:cs="华文中宋"/>
          <w:b/>
          <w:bCs/>
          <w:sz w:val="32"/>
          <w:szCs w:val="32"/>
        </w:rPr>
      </w:pPr>
    </w:p>
    <w:p w14:paraId="64F5FC1F">
      <w:pPr>
        <w:spacing w:line="460" w:lineRule="exact"/>
        <w:jc w:val="center"/>
        <w:outlineLvl w:val="0"/>
        <w:rPr>
          <w:rFonts w:ascii="华文中宋" w:hAnsi="华文中宋" w:eastAsia="华文中宋" w:cs="华文中宋"/>
          <w:b/>
          <w:bCs/>
          <w:sz w:val="32"/>
          <w:szCs w:val="32"/>
        </w:rPr>
      </w:pPr>
    </w:p>
    <w:p w14:paraId="661D03E3">
      <w:pPr>
        <w:spacing w:line="460" w:lineRule="exact"/>
        <w:jc w:val="center"/>
        <w:outlineLvl w:val="0"/>
        <w:rPr>
          <w:rFonts w:ascii="华文中宋" w:hAnsi="华文中宋" w:eastAsia="华文中宋" w:cs="华文中宋"/>
          <w:b/>
          <w:bCs/>
          <w:sz w:val="32"/>
          <w:szCs w:val="32"/>
        </w:rPr>
      </w:pPr>
    </w:p>
    <w:p w14:paraId="419989A3">
      <w:pPr>
        <w:spacing w:line="460" w:lineRule="exact"/>
        <w:jc w:val="center"/>
        <w:outlineLvl w:val="0"/>
        <w:rPr>
          <w:rFonts w:ascii="华文中宋" w:hAnsi="华文中宋" w:eastAsia="华文中宋" w:cs="华文中宋"/>
          <w:b/>
          <w:bCs/>
          <w:sz w:val="32"/>
          <w:szCs w:val="32"/>
        </w:rPr>
      </w:pPr>
    </w:p>
    <w:p w14:paraId="407B272B">
      <w:pPr>
        <w:spacing w:line="460" w:lineRule="exact"/>
        <w:jc w:val="center"/>
        <w:outlineLvl w:val="0"/>
        <w:rPr>
          <w:rFonts w:ascii="华文中宋" w:hAnsi="华文中宋" w:eastAsia="华文中宋" w:cs="华文中宋"/>
          <w:b/>
          <w:bCs/>
          <w:sz w:val="32"/>
          <w:szCs w:val="32"/>
        </w:rPr>
      </w:pPr>
    </w:p>
    <w:p w14:paraId="180F5405">
      <w:pPr>
        <w:spacing w:line="460" w:lineRule="exact"/>
        <w:jc w:val="center"/>
        <w:outlineLvl w:val="0"/>
        <w:rPr>
          <w:rFonts w:ascii="华文中宋" w:hAnsi="华文中宋" w:eastAsia="华文中宋" w:cs="华文中宋"/>
          <w:b/>
          <w:bCs/>
          <w:sz w:val="32"/>
          <w:szCs w:val="32"/>
        </w:rPr>
      </w:pPr>
    </w:p>
    <w:p w14:paraId="1BF064FA">
      <w:pPr>
        <w:spacing w:line="460" w:lineRule="exact"/>
        <w:jc w:val="center"/>
        <w:outlineLvl w:val="0"/>
        <w:rPr>
          <w:rFonts w:ascii="华文中宋" w:hAnsi="华文中宋" w:eastAsia="华文中宋" w:cs="华文中宋"/>
          <w:b/>
          <w:bCs/>
          <w:sz w:val="32"/>
          <w:szCs w:val="32"/>
        </w:rPr>
      </w:pPr>
    </w:p>
    <w:p w14:paraId="136A2C34">
      <w:pPr>
        <w:spacing w:line="460" w:lineRule="exact"/>
        <w:jc w:val="center"/>
        <w:outlineLvl w:val="0"/>
        <w:rPr>
          <w:rFonts w:ascii="华文中宋" w:hAnsi="华文中宋" w:eastAsia="华文中宋" w:cs="华文中宋"/>
          <w:b/>
          <w:bCs/>
          <w:sz w:val="32"/>
          <w:szCs w:val="32"/>
        </w:rPr>
      </w:pPr>
    </w:p>
    <w:p w14:paraId="690E735A">
      <w:pPr>
        <w:spacing w:line="460" w:lineRule="exact"/>
        <w:jc w:val="center"/>
        <w:outlineLvl w:val="0"/>
        <w:rPr>
          <w:rFonts w:ascii="华文中宋" w:hAnsi="华文中宋" w:eastAsia="华文中宋" w:cs="华文中宋"/>
          <w:b/>
          <w:bCs/>
          <w:sz w:val="32"/>
          <w:szCs w:val="32"/>
        </w:rPr>
      </w:pPr>
    </w:p>
    <w:p w14:paraId="5ADFC9EB">
      <w:pPr>
        <w:spacing w:line="460" w:lineRule="exact"/>
        <w:jc w:val="center"/>
        <w:outlineLvl w:val="0"/>
        <w:rPr>
          <w:rFonts w:ascii="华文中宋" w:hAnsi="华文中宋" w:eastAsia="华文中宋" w:cs="华文中宋"/>
          <w:b/>
          <w:bCs/>
          <w:sz w:val="32"/>
          <w:szCs w:val="32"/>
        </w:rPr>
      </w:pPr>
    </w:p>
    <w:p w14:paraId="5E980ED8">
      <w:pPr>
        <w:spacing w:line="460" w:lineRule="exact"/>
        <w:jc w:val="center"/>
        <w:outlineLvl w:val="0"/>
        <w:rPr>
          <w:rFonts w:ascii="华文中宋" w:hAnsi="华文中宋" w:eastAsia="华文中宋" w:cs="华文中宋"/>
          <w:b/>
          <w:bCs/>
          <w:sz w:val="32"/>
          <w:szCs w:val="32"/>
        </w:rPr>
      </w:pPr>
    </w:p>
    <w:p w14:paraId="6216F465">
      <w:pPr>
        <w:spacing w:line="460" w:lineRule="exact"/>
        <w:jc w:val="center"/>
        <w:outlineLvl w:val="0"/>
        <w:rPr>
          <w:rFonts w:ascii="华文中宋" w:hAnsi="华文中宋" w:eastAsia="华文中宋" w:cs="华文中宋"/>
          <w:b/>
          <w:bCs/>
          <w:sz w:val="32"/>
          <w:szCs w:val="32"/>
        </w:rPr>
      </w:pPr>
    </w:p>
    <w:p w14:paraId="7DDDF8CE">
      <w:pPr>
        <w:spacing w:line="460" w:lineRule="exact"/>
        <w:jc w:val="center"/>
        <w:outlineLvl w:val="0"/>
        <w:rPr>
          <w:rFonts w:ascii="华文中宋" w:hAnsi="华文中宋" w:eastAsia="华文中宋" w:cs="华文中宋"/>
          <w:b/>
          <w:bCs/>
          <w:sz w:val="32"/>
          <w:szCs w:val="32"/>
        </w:rPr>
      </w:pPr>
    </w:p>
    <w:p w14:paraId="11414584">
      <w:pPr>
        <w:spacing w:line="460" w:lineRule="exact"/>
        <w:jc w:val="center"/>
        <w:outlineLvl w:val="0"/>
        <w:rPr>
          <w:rFonts w:ascii="华文中宋" w:hAnsi="华文中宋" w:eastAsia="华文中宋" w:cs="华文中宋"/>
          <w:b/>
          <w:bCs/>
          <w:sz w:val="32"/>
          <w:szCs w:val="32"/>
        </w:rPr>
      </w:pPr>
    </w:p>
    <w:p w14:paraId="7C36EE52">
      <w:pPr>
        <w:spacing w:line="460" w:lineRule="exact"/>
        <w:jc w:val="center"/>
        <w:outlineLvl w:val="0"/>
        <w:rPr>
          <w:rFonts w:ascii="华文中宋" w:hAnsi="华文中宋" w:eastAsia="华文中宋" w:cs="华文中宋"/>
          <w:b/>
          <w:bCs/>
          <w:sz w:val="32"/>
          <w:szCs w:val="32"/>
        </w:rPr>
      </w:pPr>
    </w:p>
    <w:p w14:paraId="6103DACC">
      <w:pPr>
        <w:spacing w:line="460" w:lineRule="exact"/>
        <w:jc w:val="center"/>
        <w:outlineLvl w:val="0"/>
        <w:rPr>
          <w:rFonts w:ascii="华文中宋" w:hAnsi="华文中宋" w:eastAsia="华文中宋" w:cs="华文中宋"/>
          <w:b/>
          <w:bCs/>
          <w:sz w:val="32"/>
          <w:szCs w:val="32"/>
        </w:rPr>
      </w:pPr>
    </w:p>
    <w:p w14:paraId="1AA8F2C3">
      <w:pPr>
        <w:spacing w:line="460" w:lineRule="exact"/>
        <w:jc w:val="center"/>
        <w:outlineLvl w:val="0"/>
        <w:rPr>
          <w:rFonts w:ascii="华文中宋" w:hAnsi="华文中宋" w:eastAsia="华文中宋" w:cs="华文中宋"/>
          <w:b/>
          <w:bCs/>
          <w:sz w:val="32"/>
          <w:szCs w:val="32"/>
        </w:rPr>
      </w:pPr>
    </w:p>
    <w:p w14:paraId="1F90A86F">
      <w:pPr>
        <w:pStyle w:val="5"/>
        <w:spacing w:line="500" w:lineRule="exact"/>
        <w:rPr>
          <w:rFonts w:ascii="宋体" w:hAnsi="宋体" w:cs="宋体"/>
          <w:color w:val="auto"/>
          <w:kern w:val="0"/>
          <w:sz w:val="32"/>
        </w:rPr>
      </w:pPr>
    </w:p>
    <w:p w14:paraId="6F4FD9AC">
      <w:pPr>
        <w:pStyle w:val="5"/>
        <w:spacing w:line="500" w:lineRule="exact"/>
        <w:jc w:val="center"/>
        <w:rPr>
          <w:rFonts w:ascii="宋体" w:hAnsi="宋体" w:cs="宋体"/>
          <w:b/>
          <w:bCs w:val="0"/>
          <w:color w:val="auto"/>
          <w:kern w:val="0"/>
          <w:sz w:val="32"/>
        </w:rPr>
      </w:pPr>
      <w:r>
        <w:rPr>
          <w:rFonts w:hint="eastAsia" w:ascii="宋体" w:hAnsi="宋体" w:cs="宋体"/>
          <w:b/>
          <w:bCs w:val="0"/>
          <w:color w:val="auto"/>
          <w:kern w:val="0"/>
          <w:sz w:val="32"/>
        </w:rPr>
        <w:t>第七章</w:t>
      </w:r>
      <w:r>
        <w:rPr>
          <w:rFonts w:hint="eastAsia" w:ascii="宋体" w:hAnsi="宋体" w:cs="宋体"/>
          <w:b/>
          <w:bCs w:val="0"/>
          <w:color w:val="auto"/>
          <w:kern w:val="0"/>
          <w:sz w:val="32"/>
        </w:rPr>
        <w:tab/>
      </w:r>
      <w:r>
        <w:rPr>
          <w:rFonts w:hint="eastAsia" w:ascii="宋体" w:hAnsi="宋体" w:cs="宋体"/>
          <w:b/>
          <w:bCs w:val="0"/>
          <w:color w:val="auto"/>
          <w:kern w:val="0"/>
          <w:sz w:val="32"/>
        </w:rPr>
        <w:t>图纸</w:t>
      </w:r>
    </w:p>
    <w:p w14:paraId="31A29AA9">
      <w:pPr>
        <w:spacing w:line="500" w:lineRule="exact"/>
        <w:rPr>
          <w:rFonts w:ascii="宋体" w:hAnsi="宋体" w:cs="宋体"/>
          <w:b/>
          <w:bCs/>
          <w:sz w:val="32"/>
          <w:szCs w:val="32"/>
        </w:rPr>
      </w:pPr>
    </w:p>
    <w:p w14:paraId="07855F99">
      <w:pPr>
        <w:spacing w:line="500" w:lineRule="exact"/>
        <w:jc w:val="center"/>
        <w:rPr>
          <w:rFonts w:ascii="宋体" w:hAnsi="宋体" w:cs="宋体"/>
        </w:rPr>
        <w:sectPr>
          <w:footerReference r:id="rId7" w:type="default"/>
          <w:pgSz w:w="11907" w:h="16840"/>
          <w:pgMar w:top="1134" w:right="1134" w:bottom="1134" w:left="1134" w:header="851" w:footer="851" w:gutter="0"/>
          <w:cols w:space="720" w:num="1"/>
          <w:docGrid w:linePitch="312" w:charSpace="0"/>
        </w:sectPr>
      </w:pPr>
      <w:r>
        <w:rPr>
          <w:rFonts w:hint="eastAsia" w:ascii="宋体" w:hAnsi="宋体" w:cs="宋体"/>
          <w:b/>
          <w:bCs/>
          <w:sz w:val="32"/>
          <w:szCs w:val="32"/>
        </w:rPr>
        <w:t>（</w:t>
      </w:r>
      <w:r>
        <w:rPr>
          <w:rFonts w:hint="eastAsia" w:ascii="宋体" w:hAnsi="宋体" w:cs="宋体"/>
          <w:b/>
          <w:color w:val="000000"/>
          <w:sz w:val="32"/>
          <w:szCs w:val="32"/>
        </w:rPr>
        <w:t>另册发放）</w:t>
      </w:r>
    </w:p>
    <w:p w14:paraId="55EEBB35">
      <w:pPr>
        <w:pStyle w:val="5"/>
        <w:spacing w:line="500" w:lineRule="exact"/>
        <w:jc w:val="center"/>
        <w:rPr>
          <w:rFonts w:ascii="宋体" w:hAnsi="宋体" w:cs="宋体"/>
          <w:b/>
          <w:bCs w:val="0"/>
          <w:color w:val="auto"/>
          <w:kern w:val="0"/>
          <w:sz w:val="32"/>
        </w:rPr>
      </w:pPr>
      <w:r>
        <w:rPr>
          <w:rFonts w:hint="eastAsia" w:ascii="宋体" w:hAnsi="宋体" w:cs="宋体"/>
          <w:b/>
          <w:bCs w:val="0"/>
          <w:color w:val="auto"/>
          <w:kern w:val="0"/>
          <w:sz w:val="32"/>
        </w:rPr>
        <w:t>第八章</w:t>
      </w:r>
      <w:r>
        <w:rPr>
          <w:rFonts w:hint="eastAsia" w:ascii="宋体" w:hAnsi="宋体" w:cs="宋体"/>
          <w:b/>
          <w:bCs w:val="0"/>
          <w:color w:val="auto"/>
          <w:kern w:val="0"/>
          <w:sz w:val="32"/>
        </w:rPr>
        <w:tab/>
      </w:r>
      <w:r>
        <w:rPr>
          <w:rFonts w:hint="eastAsia" w:ascii="宋体" w:hAnsi="宋体" w:cs="宋体"/>
          <w:b/>
          <w:bCs w:val="0"/>
          <w:color w:val="auto"/>
          <w:kern w:val="0"/>
          <w:sz w:val="32"/>
        </w:rPr>
        <w:t>响应文件格式</w:t>
      </w:r>
    </w:p>
    <w:p w14:paraId="0075F354">
      <w:pPr>
        <w:spacing w:line="500" w:lineRule="exact"/>
        <w:rPr>
          <w:rFonts w:ascii="宋体" w:hAnsi="宋体" w:cs="宋体"/>
          <w:kern w:val="0"/>
          <w:sz w:val="10"/>
          <w:szCs w:val="10"/>
        </w:rPr>
      </w:pPr>
    </w:p>
    <w:p w14:paraId="1721C371">
      <w:pPr>
        <w:spacing w:line="500" w:lineRule="exact"/>
        <w:rPr>
          <w:rFonts w:ascii="宋体" w:hAnsi="宋体" w:cs="宋体"/>
          <w:kern w:val="0"/>
          <w:sz w:val="20"/>
          <w:szCs w:val="20"/>
        </w:rPr>
      </w:pPr>
    </w:p>
    <w:p w14:paraId="7BE28166">
      <w:pPr>
        <w:snapToGrid w:val="0"/>
        <w:spacing w:before="156" w:beforeLines="50" w:after="50"/>
        <w:jc w:val="center"/>
        <w:rPr>
          <w:rFonts w:ascii="宋体" w:hAnsi="宋体" w:cs="宋体"/>
          <w:b/>
          <w:color w:val="000000"/>
          <w:sz w:val="36"/>
          <w:szCs w:val="36"/>
        </w:rPr>
      </w:pPr>
      <w:r>
        <w:rPr>
          <w:rFonts w:hint="eastAsia" w:ascii="宋体" w:hAnsi="宋体" w:cs="宋体"/>
          <w:b/>
          <w:color w:val="000000"/>
          <w:sz w:val="36"/>
          <w:szCs w:val="36"/>
        </w:rPr>
        <w:t>响 应 文 件</w:t>
      </w:r>
    </w:p>
    <w:p w14:paraId="6783D014">
      <w:pPr>
        <w:snapToGrid w:val="0"/>
        <w:spacing w:before="156" w:beforeLines="50" w:after="50"/>
        <w:ind w:firstLine="480" w:firstLineChars="150"/>
        <w:rPr>
          <w:rFonts w:ascii="宋体" w:hAnsi="宋体" w:cs="宋体"/>
          <w:b/>
          <w:color w:val="000000"/>
          <w:sz w:val="28"/>
          <w:szCs w:val="28"/>
        </w:rPr>
      </w:pPr>
      <w:r>
        <w:rPr>
          <w:rFonts w:hint="eastAsia" w:ascii="宋体" w:hAnsi="宋体" w:cs="宋体"/>
          <w:color w:val="000000"/>
          <w:sz w:val="32"/>
          <w:szCs w:val="32"/>
        </w:rPr>
        <w:t xml:space="preserve">                       </w:t>
      </w:r>
    </w:p>
    <w:p w14:paraId="4553F3E4">
      <w:pPr>
        <w:snapToGrid w:val="0"/>
        <w:spacing w:before="156" w:beforeLines="50" w:after="50"/>
        <w:ind w:firstLine="422" w:firstLineChars="150"/>
        <w:rPr>
          <w:rFonts w:ascii="宋体" w:hAnsi="宋体" w:cs="宋体"/>
          <w:b/>
          <w:color w:val="000000"/>
          <w:sz w:val="28"/>
          <w:szCs w:val="28"/>
        </w:rPr>
      </w:pPr>
    </w:p>
    <w:p w14:paraId="4D91155A">
      <w:pPr>
        <w:snapToGrid w:val="0"/>
        <w:spacing w:before="156" w:beforeLines="50" w:after="50"/>
        <w:ind w:firstLine="422" w:firstLineChars="150"/>
        <w:rPr>
          <w:rFonts w:ascii="宋体" w:hAnsi="宋体" w:cs="宋体"/>
          <w:b/>
          <w:color w:val="000000"/>
          <w:sz w:val="28"/>
          <w:szCs w:val="28"/>
        </w:rPr>
      </w:pPr>
    </w:p>
    <w:p w14:paraId="1A779441">
      <w:pPr>
        <w:snapToGrid w:val="0"/>
        <w:spacing w:before="156" w:beforeLines="50" w:after="50"/>
        <w:ind w:left="4317" w:leftChars="1330" w:hanging="1524" w:hangingChars="542"/>
        <w:rPr>
          <w:rFonts w:ascii="宋体" w:hAnsi="宋体" w:cs="宋体"/>
          <w:b/>
          <w:color w:val="000000"/>
          <w:sz w:val="28"/>
          <w:szCs w:val="28"/>
          <w:u w:val="single"/>
        </w:rPr>
      </w:pPr>
      <w:r>
        <w:rPr>
          <w:rFonts w:hint="eastAsia" w:ascii="宋体" w:hAnsi="宋体" w:cs="宋体"/>
          <w:b/>
          <w:color w:val="000000"/>
          <w:sz w:val="28"/>
          <w:szCs w:val="28"/>
        </w:rPr>
        <w:t>项目名称：</w:t>
      </w:r>
      <w:r>
        <w:rPr>
          <w:rFonts w:hint="eastAsia" w:ascii="宋体" w:hAnsi="宋体" w:cs="宋体"/>
          <w:b/>
          <w:bCs/>
          <w:color w:val="000000"/>
          <w:sz w:val="28"/>
          <w:szCs w:val="28"/>
          <w:u w:val="single"/>
        </w:rPr>
        <w:t xml:space="preserve">                       </w:t>
      </w:r>
      <w:r>
        <w:rPr>
          <w:rFonts w:hint="eastAsia" w:ascii="宋体" w:hAnsi="宋体" w:cs="宋体"/>
          <w:color w:val="000000"/>
          <w:sz w:val="18"/>
          <w:szCs w:val="18"/>
        </w:rPr>
        <w:t xml:space="preserve">  </w:t>
      </w:r>
    </w:p>
    <w:p w14:paraId="1C49375B">
      <w:pPr>
        <w:snapToGrid w:val="0"/>
        <w:spacing w:before="156" w:beforeLines="50" w:after="50"/>
        <w:ind w:firstLine="2704" w:firstLineChars="962"/>
        <w:rPr>
          <w:rFonts w:ascii="宋体" w:hAnsi="宋体" w:cs="宋体"/>
          <w:b/>
          <w:color w:val="000000"/>
          <w:sz w:val="28"/>
          <w:szCs w:val="28"/>
        </w:rPr>
      </w:pPr>
    </w:p>
    <w:p w14:paraId="52BBDA8F">
      <w:pPr>
        <w:snapToGrid w:val="0"/>
        <w:spacing w:before="156" w:beforeLines="50" w:after="50"/>
        <w:ind w:firstLine="2704" w:firstLineChars="962"/>
        <w:rPr>
          <w:rFonts w:ascii="宋体" w:hAnsi="宋体" w:cs="宋体"/>
          <w:b/>
          <w:color w:val="000000"/>
          <w:sz w:val="28"/>
          <w:szCs w:val="28"/>
        </w:rPr>
      </w:pPr>
      <w:r>
        <w:rPr>
          <w:rFonts w:hint="eastAsia" w:ascii="宋体" w:hAnsi="宋体" w:cs="宋体"/>
          <w:b/>
          <w:color w:val="000000"/>
          <w:sz w:val="28"/>
          <w:szCs w:val="28"/>
        </w:rPr>
        <w:t>项目编号：</w:t>
      </w:r>
      <w:r>
        <w:rPr>
          <w:rFonts w:hint="eastAsia" w:ascii="宋体" w:hAnsi="宋体" w:cs="宋体"/>
          <w:b/>
          <w:color w:val="000000"/>
          <w:sz w:val="28"/>
          <w:szCs w:val="28"/>
          <w:u w:val="single"/>
        </w:rPr>
        <w:t xml:space="preserve">                       </w:t>
      </w:r>
    </w:p>
    <w:p w14:paraId="6356E59D">
      <w:pPr>
        <w:rPr>
          <w:rFonts w:ascii="宋体" w:hAnsi="宋体" w:cs="宋体"/>
          <w:b/>
          <w:color w:val="000000"/>
        </w:rPr>
      </w:pPr>
    </w:p>
    <w:p w14:paraId="6CF41AE8">
      <w:pPr>
        <w:spacing w:line="400" w:lineRule="exact"/>
        <w:ind w:firstLine="2704" w:firstLineChars="962"/>
        <w:rPr>
          <w:rFonts w:ascii="宋体" w:hAnsi="宋体" w:cs="宋体"/>
          <w:b/>
          <w:color w:val="000000"/>
          <w:sz w:val="28"/>
          <w:szCs w:val="28"/>
        </w:rPr>
      </w:pPr>
    </w:p>
    <w:p w14:paraId="3AED6337">
      <w:pPr>
        <w:pStyle w:val="27"/>
        <w:rPr>
          <w:rFonts w:ascii="宋体" w:hAnsi="宋体" w:cs="宋体"/>
          <w:b/>
          <w:sz w:val="28"/>
          <w:szCs w:val="28"/>
        </w:rPr>
      </w:pPr>
    </w:p>
    <w:p w14:paraId="2567D194">
      <w:pPr>
        <w:pStyle w:val="27"/>
        <w:rPr>
          <w:rFonts w:ascii="宋体" w:hAnsi="宋体" w:cs="宋体"/>
          <w:b/>
          <w:sz w:val="28"/>
          <w:szCs w:val="28"/>
        </w:rPr>
      </w:pPr>
    </w:p>
    <w:p w14:paraId="3ABF6E2E">
      <w:pPr>
        <w:pStyle w:val="27"/>
        <w:rPr>
          <w:rFonts w:ascii="宋体" w:hAnsi="宋体" w:cs="宋体"/>
          <w:b/>
          <w:sz w:val="28"/>
          <w:szCs w:val="28"/>
        </w:rPr>
      </w:pPr>
    </w:p>
    <w:p w14:paraId="63EC1C64">
      <w:pPr>
        <w:snapToGrid w:val="0"/>
        <w:spacing w:before="156" w:beforeLines="50" w:after="50"/>
        <w:ind w:firstLine="2704" w:firstLineChars="962"/>
        <w:rPr>
          <w:rFonts w:ascii="宋体" w:hAnsi="宋体" w:cs="宋体"/>
          <w:b/>
          <w:color w:val="000000"/>
          <w:sz w:val="28"/>
          <w:szCs w:val="28"/>
          <w:u w:val="single"/>
        </w:rPr>
      </w:pPr>
      <w:r>
        <w:rPr>
          <w:rFonts w:hint="eastAsia" w:ascii="宋体" w:hAnsi="宋体" w:cs="宋体"/>
          <w:b/>
          <w:color w:val="000000"/>
          <w:sz w:val="28"/>
          <w:szCs w:val="28"/>
        </w:rPr>
        <w:t>采购代理机构：</w:t>
      </w:r>
      <w:r>
        <w:rPr>
          <w:rFonts w:hint="eastAsia" w:ascii="宋体" w:hAnsi="宋体" w:cs="宋体"/>
          <w:b/>
          <w:color w:val="000000"/>
          <w:sz w:val="28"/>
          <w:szCs w:val="28"/>
          <w:u w:val="single"/>
        </w:rPr>
        <w:t xml:space="preserve"> </w:t>
      </w:r>
      <w:r>
        <w:rPr>
          <w:rFonts w:ascii="宋体" w:hAnsi="宋体" w:cs="宋体"/>
          <w:b/>
          <w:color w:val="000000"/>
          <w:sz w:val="28"/>
          <w:szCs w:val="28"/>
          <w:u w:val="single"/>
        </w:rPr>
        <w:t xml:space="preserve">               </w:t>
      </w:r>
      <w:r>
        <w:rPr>
          <w:rFonts w:hint="eastAsia" w:ascii="宋体" w:hAnsi="宋体" w:cs="宋体"/>
          <w:b/>
          <w:color w:val="000000"/>
          <w:sz w:val="28"/>
          <w:szCs w:val="28"/>
          <w:u w:val="single"/>
        </w:rPr>
        <w:t xml:space="preserve">   </w:t>
      </w:r>
    </w:p>
    <w:p w14:paraId="6CDDF706">
      <w:pPr>
        <w:pStyle w:val="7"/>
        <w:rPr>
          <w:color w:val="000000"/>
        </w:rPr>
      </w:pPr>
    </w:p>
    <w:p w14:paraId="72F96BF2">
      <w:pPr>
        <w:pStyle w:val="3"/>
        <w:spacing w:line="440" w:lineRule="exact"/>
        <w:ind w:left="900" w:hanging="480" w:hangingChars="200"/>
        <w:rPr>
          <w:rFonts w:ascii="宋体" w:hAnsi="宋体" w:cs="宋体"/>
          <w:bCs/>
          <w:color w:val="000000"/>
          <w:sz w:val="24"/>
        </w:rPr>
      </w:pPr>
      <w:bookmarkStart w:id="634" w:name="_Toc4932_WPSOffice_Level2"/>
      <w:bookmarkStart w:id="635" w:name="_Toc20319_WPSOffice_Level2"/>
      <w:r>
        <w:rPr>
          <w:rFonts w:hint="eastAsia" w:ascii="宋体" w:hAnsi="宋体" w:cs="宋体"/>
          <w:bCs/>
          <w:color w:val="000000"/>
          <w:sz w:val="24"/>
        </w:rPr>
        <w:t>磋商供应商[公章(CA签章)、自然人除外]：</w:t>
      </w:r>
      <w:r>
        <w:rPr>
          <w:rFonts w:hint="eastAsia" w:ascii="宋体" w:hAnsi="宋体" w:cs="宋体"/>
          <w:bCs/>
          <w:color w:val="000000"/>
          <w:sz w:val="24"/>
          <w:u w:val="single"/>
        </w:rPr>
        <w:t xml:space="preserve">                       </w:t>
      </w:r>
      <w:bookmarkEnd w:id="634"/>
      <w:bookmarkEnd w:id="635"/>
      <w:r>
        <w:rPr>
          <w:rFonts w:hint="eastAsia" w:ascii="宋体" w:hAnsi="宋体" w:cs="宋体"/>
          <w:bCs/>
          <w:color w:val="000000"/>
          <w:sz w:val="24"/>
          <w:u w:val="single"/>
        </w:rPr>
        <w:t xml:space="preserve">       </w:t>
      </w:r>
    </w:p>
    <w:p w14:paraId="5E37CAE2">
      <w:pPr>
        <w:pStyle w:val="15"/>
        <w:spacing w:line="440" w:lineRule="exact"/>
        <w:ind w:firstLine="420"/>
        <w:rPr>
          <w:rFonts w:hAnsi="宋体" w:cs="宋体"/>
          <w:color w:val="000000"/>
          <w:sz w:val="24"/>
          <w:szCs w:val="24"/>
        </w:rPr>
      </w:pPr>
      <w:bookmarkStart w:id="636" w:name="_Toc9622_WPSOffice_Level2"/>
      <w:bookmarkStart w:id="637" w:name="_Toc32056_WPSOffice_Level2"/>
      <w:r>
        <w:rPr>
          <w:rFonts w:hint="eastAsia" w:hAnsi="宋体" w:cs="宋体"/>
          <w:color w:val="000000"/>
          <w:sz w:val="24"/>
          <w:szCs w:val="24"/>
        </w:rPr>
        <w:t>法定代表人、负责人、自然人或相应的委托代理人签字[或盖章(CA签章)]</w:t>
      </w:r>
    </w:p>
    <w:p w14:paraId="3294DD5B">
      <w:pPr>
        <w:pStyle w:val="3"/>
        <w:spacing w:line="440" w:lineRule="exact"/>
        <w:ind w:left="900" w:hanging="480" w:hangingChars="200"/>
        <w:rPr>
          <w:rFonts w:ascii="宋体" w:hAnsi="宋体" w:cs="宋体"/>
          <w:color w:val="000000"/>
          <w:sz w:val="24"/>
          <w:u w:val="single"/>
        </w:rPr>
      </w:pPr>
      <w:r>
        <w:rPr>
          <w:rFonts w:hint="eastAsia" w:ascii="宋体" w:hAnsi="宋体" w:cs="宋体"/>
          <w:color w:val="000000"/>
          <w:sz w:val="24"/>
        </w:rPr>
        <w:t>（属自然人的应在签名处加盖大拇指指印或个人CA签章）：</w:t>
      </w:r>
      <w:r>
        <w:rPr>
          <w:rFonts w:hint="eastAsia" w:ascii="宋体" w:hAnsi="宋体" w:cs="宋体"/>
          <w:color w:val="000000"/>
          <w:sz w:val="24"/>
          <w:u w:val="single"/>
        </w:rPr>
        <w:t xml:space="preserve">              </w:t>
      </w:r>
    </w:p>
    <w:p w14:paraId="1B1122D8">
      <w:pPr>
        <w:pStyle w:val="3"/>
        <w:spacing w:line="440" w:lineRule="exact"/>
        <w:ind w:left="900" w:hanging="480" w:hangingChars="200"/>
        <w:rPr>
          <w:rFonts w:ascii="宋体" w:hAnsi="宋体" w:cs="宋体"/>
          <w:bCs/>
          <w:color w:val="000000"/>
          <w:sz w:val="24"/>
          <w:u w:val="single"/>
        </w:rPr>
      </w:pPr>
      <w:r>
        <w:rPr>
          <w:rFonts w:hint="eastAsia" w:ascii="宋体" w:hAnsi="宋体" w:cs="宋体"/>
          <w:bCs/>
          <w:color w:val="000000"/>
          <w:sz w:val="24"/>
        </w:rPr>
        <w:t>联系电话：</w:t>
      </w:r>
      <w:bookmarkEnd w:id="636"/>
      <w:bookmarkEnd w:id="637"/>
      <w:r>
        <w:rPr>
          <w:rFonts w:hint="eastAsia" w:ascii="宋体" w:hAnsi="宋体" w:cs="宋体"/>
          <w:bCs/>
          <w:color w:val="000000"/>
          <w:sz w:val="24"/>
          <w:u w:val="single"/>
        </w:rPr>
        <w:t xml:space="preserve">                                                </w:t>
      </w:r>
    </w:p>
    <w:p w14:paraId="7D2A34CB">
      <w:pPr>
        <w:pStyle w:val="3"/>
        <w:spacing w:line="440" w:lineRule="exact"/>
        <w:ind w:left="900" w:hanging="480" w:hangingChars="200"/>
        <w:rPr>
          <w:rFonts w:ascii="宋体" w:hAnsi="宋体" w:cs="宋体"/>
          <w:bCs/>
          <w:color w:val="000000"/>
          <w:sz w:val="24"/>
        </w:rPr>
      </w:pPr>
      <w:bookmarkStart w:id="638" w:name="_Toc26465_WPSOffice_Level2"/>
      <w:bookmarkStart w:id="639" w:name="_Toc15933_WPSOffice_Level2"/>
      <w:r>
        <w:rPr>
          <w:rFonts w:hint="eastAsia" w:ascii="宋体" w:hAnsi="宋体" w:cs="宋体"/>
          <w:bCs/>
          <w:color w:val="000000"/>
          <w:sz w:val="24"/>
        </w:rPr>
        <w:t>日期：</w:t>
      </w:r>
      <w:r>
        <w:rPr>
          <w:rFonts w:hint="eastAsia" w:ascii="宋体" w:hAnsi="宋体" w:cs="宋体"/>
          <w:bCs/>
          <w:color w:val="000000"/>
          <w:sz w:val="24"/>
          <w:u w:val="single"/>
        </w:rPr>
        <w:t xml:space="preserve">              </w:t>
      </w:r>
      <w:r>
        <w:rPr>
          <w:rFonts w:hint="eastAsia" w:ascii="宋体" w:hAnsi="宋体" w:cs="宋体"/>
          <w:bCs/>
          <w:color w:val="000000"/>
          <w:sz w:val="24"/>
        </w:rPr>
        <w:t>年</w:t>
      </w:r>
      <w:r>
        <w:rPr>
          <w:rFonts w:hint="eastAsia" w:ascii="宋体" w:hAnsi="宋体" w:cs="宋体"/>
          <w:bCs/>
          <w:color w:val="000000"/>
          <w:sz w:val="24"/>
          <w:u w:val="single"/>
        </w:rPr>
        <w:t xml:space="preserve">           </w:t>
      </w:r>
      <w:r>
        <w:rPr>
          <w:rFonts w:hint="eastAsia" w:ascii="宋体" w:hAnsi="宋体" w:cs="宋体"/>
          <w:bCs/>
          <w:color w:val="000000"/>
          <w:sz w:val="24"/>
        </w:rPr>
        <w:t>月</w:t>
      </w:r>
      <w:r>
        <w:rPr>
          <w:rFonts w:hint="eastAsia" w:ascii="宋体" w:hAnsi="宋体" w:cs="宋体"/>
          <w:bCs/>
          <w:color w:val="000000"/>
          <w:sz w:val="24"/>
          <w:u w:val="single"/>
        </w:rPr>
        <w:t xml:space="preserve">           </w:t>
      </w:r>
      <w:r>
        <w:rPr>
          <w:rFonts w:hint="eastAsia" w:ascii="宋体" w:hAnsi="宋体" w:cs="宋体"/>
          <w:bCs/>
          <w:color w:val="000000"/>
          <w:sz w:val="24"/>
        </w:rPr>
        <w:t>日</w:t>
      </w:r>
      <w:bookmarkEnd w:id="638"/>
      <w:bookmarkEnd w:id="639"/>
    </w:p>
    <w:p w14:paraId="22B26F0F">
      <w:pPr>
        <w:spacing w:line="500" w:lineRule="exact"/>
        <w:ind w:firstLine="1288" w:firstLineChars="460"/>
        <w:rPr>
          <w:rFonts w:ascii="宋体" w:hAnsi="宋体" w:cs="宋体"/>
          <w:kern w:val="0"/>
          <w:sz w:val="28"/>
          <w:szCs w:val="28"/>
        </w:rPr>
      </w:pPr>
    </w:p>
    <w:p w14:paraId="03BA46D9">
      <w:pPr>
        <w:spacing w:line="500" w:lineRule="exact"/>
        <w:rPr>
          <w:rFonts w:ascii="宋体" w:hAnsi="宋体" w:cs="宋体"/>
          <w:kern w:val="0"/>
          <w:sz w:val="20"/>
          <w:szCs w:val="20"/>
        </w:rPr>
      </w:pPr>
    </w:p>
    <w:p w14:paraId="11C981EB">
      <w:pPr>
        <w:spacing w:line="500" w:lineRule="exact"/>
        <w:rPr>
          <w:rFonts w:ascii="宋体" w:hAnsi="宋体" w:cs="宋体"/>
          <w:kern w:val="0"/>
        </w:rPr>
      </w:pPr>
    </w:p>
    <w:p w14:paraId="3C331149">
      <w:pPr>
        <w:pStyle w:val="5"/>
        <w:spacing w:line="500" w:lineRule="exact"/>
        <w:ind w:left="0" w:firstLine="0"/>
        <w:rPr>
          <w:rFonts w:ascii="宋体" w:hAnsi="宋体" w:cs="宋体"/>
          <w:b/>
          <w:bCs w:val="0"/>
          <w:color w:val="auto"/>
          <w:w w:val="99"/>
          <w:kern w:val="0"/>
          <w:sz w:val="30"/>
          <w:szCs w:val="30"/>
          <w:lang w:val="en-US"/>
        </w:rPr>
      </w:pPr>
      <w:bookmarkStart w:id="640" w:name="_Toc369505632"/>
      <w:bookmarkStart w:id="641" w:name="_Toc207443055"/>
      <w:bookmarkStart w:id="642" w:name="_Toc455670852"/>
      <w:bookmarkStart w:id="643" w:name="_Toc389146001"/>
      <w:bookmarkStart w:id="644" w:name="_Toc267582067"/>
      <w:bookmarkStart w:id="645" w:name="_Toc317079956"/>
      <w:r>
        <w:rPr>
          <w:rFonts w:hint="eastAsia" w:ascii="宋体" w:hAnsi="宋体" w:cs="宋体"/>
          <w:b/>
          <w:bCs w:val="0"/>
          <w:w w:val="99"/>
          <w:kern w:val="0"/>
          <w:sz w:val="30"/>
          <w:szCs w:val="30"/>
          <w:lang w:val="en-US"/>
        </w:rPr>
        <w:t>一</w:t>
      </w:r>
      <w:r>
        <w:rPr>
          <w:rFonts w:hint="eastAsia" w:ascii="宋体" w:hAnsi="宋体" w:cs="宋体"/>
          <w:b/>
          <w:bCs w:val="0"/>
          <w:color w:val="auto"/>
          <w:w w:val="99"/>
          <w:kern w:val="0"/>
          <w:sz w:val="30"/>
          <w:szCs w:val="30"/>
          <w:lang w:val="en-US"/>
        </w:rPr>
        <w:t>、资格性响应证明材料：</w:t>
      </w:r>
    </w:p>
    <w:p w14:paraId="6F131400">
      <w:pPr>
        <w:pStyle w:val="5"/>
        <w:spacing w:line="500" w:lineRule="exact"/>
        <w:ind w:left="0" w:firstLine="0"/>
        <w:rPr>
          <w:rFonts w:ascii="宋体" w:hAnsi="宋体" w:cs="宋体"/>
          <w:b/>
          <w:bCs w:val="0"/>
          <w:color w:val="auto"/>
          <w:w w:val="99"/>
          <w:kern w:val="0"/>
          <w:sz w:val="30"/>
          <w:szCs w:val="30"/>
          <w:lang w:val="en-US"/>
        </w:rPr>
      </w:pPr>
    </w:p>
    <w:p w14:paraId="16081E15">
      <w:pPr>
        <w:pStyle w:val="5"/>
        <w:spacing w:line="500" w:lineRule="exact"/>
        <w:ind w:left="0" w:firstLine="0"/>
        <w:rPr>
          <w:rFonts w:ascii="宋体" w:hAnsi="宋体" w:cs="宋体"/>
          <w:b/>
          <w:bCs w:val="0"/>
          <w:color w:val="auto"/>
          <w:w w:val="99"/>
          <w:kern w:val="0"/>
          <w:sz w:val="30"/>
          <w:szCs w:val="30"/>
        </w:rPr>
      </w:pPr>
      <w:r>
        <w:rPr>
          <w:rFonts w:hint="eastAsia" w:ascii="宋体" w:hAnsi="宋体" w:cs="宋体"/>
          <w:b/>
          <w:bCs w:val="0"/>
          <w:color w:val="auto"/>
          <w:w w:val="99"/>
          <w:kern w:val="0"/>
          <w:sz w:val="30"/>
          <w:szCs w:val="30"/>
          <w:lang w:val="en-US"/>
        </w:rPr>
        <w:t>1、</w:t>
      </w:r>
      <w:r>
        <w:rPr>
          <w:rFonts w:hint="eastAsia" w:ascii="宋体" w:hAnsi="宋体" w:cs="宋体"/>
          <w:b/>
          <w:bCs w:val="0"/>
          <w:color w:val="auto"/>
          <w:w w:val="99"/>
          <w:kern w:val="0"/>
          <w:sz w:val="30"/>
          <w:szCs w:val="30"/>
        </w:rPr>
        <w:t>竞标人基本情况表</w:t>
      </w:r>
      <w:bookmarkEnd w:id="640"/>
      <w:bookmarkEnd w:id="641"/>
      <w:bookmarkEnd w:id="642"/>
      <w:bookmarkEnd w:id="643"/>
      <w:bookmarkEnd w:id="644"/>
      <w:bookmarkEnd w:id="645"/>
      <w:r>
        <w:rPr>
          <w:rFonts w:hint="eastAsia" w:ascii="宋体" w:hAnsi="宋体" w:cs="宋体"/>
          <w:b/>
          <w:bCs w:val="0"/>
          <w:color w:val="auto"/>
          <w:w w:val="99"/>
          <w:kern w:val="0"/>
          <w:sz w:val="30"/>
          <w:szCs w:val="30"/>
        </w:rPr>
        <w:t>（格式）（必须提供）</w:t>
      </w:r>
    </w:p>
    <w:p w14:paraId="6FE50C0C">
      <w:pPr>
        <w:spacing w:line="500" w:lineRule="exact"/>
        <w:rPr>
          <w:rFonts w:ascii="宋体" w:hAnsi="宋体" w:cs="宋体"/>
        </w:rPr>
      </w:pPr>
      <w:r>
        <w:rPr>
          <w:rFonts w:hint="eastAsia" w:ascii="宋体" w:hAnsi="宋体" w:cs="宋体"/>
          <w:kern w:val="0"/>
        </w:rPr>
        <w:t>（</w:t>
      </w:r>
      <w:r>
        <w:rPr>
          <w:rFonts w:hint="eastAsia" w:ascii="宋体" w:hAnsi="宋体" w:cs="宋体"/>
          <w:kern w:val="0"/>
          <w:szCs w:val="21"/>
        </w:rPr>
        <w:t>应附竞标人营业执照副本的复印件）</w:t>
      </w:r>
    </w:p>
    <w:tbl>
      <w:tblPr>
        <w:tblStyle w:val="21"/>
        <w:tblpPr w:leftFromText="180" w:rightFromText="180" w:vertAnchor="text" w:horzAnchor="page" w:tblpX="1296" w:tblpY="545"/>
        <w:tblOverlap w:val="never"/>
        <w:tblW w:w="9412" w:type="dxa"/>
        <w:tblInd w:w="0" w:type="dxa"/>
        <w:tblLayout w:type="fixed"/>
        <w:tblCellMar>
          <w:top w:w="0" w:type="dxa"/>
          <w:left w:w="0" w:type="dxa"/>
          <w:bottom w:w="0" w:type="dxa"/>
          <w:right w:w="0" w:type="dxa"/>
        </w:tblCellMar>
      </w:tblPr>
      <w:tblGrid>
        <w:gridCol w:w="1812"/>
        <w:gridCol w:w="942"/>
        <w:gridCol w:w="997"/>
        <w:gridCol w:w="881"/>
        <w:gridCol w:w="440"/>
        <w:gridCol w:w="327"/>
        <w:gridCol w:w="1130"/>
        <w:gridCol w:w="516"/>
        <w:gridCol w:w="900"/>
        <w:gridCol w:w="1467"/>
      </w:tblGrid>
      <w:tr w14:paraId="4CA5D900">
        <w:tblPrEx>
          <w:tblCellMar>
            <w:top w:w="0" w:type="dxa"/>
            <w:left w:w="0" w:type="dxa"/>
            <w:bottom w:w="0" w:type="dxa"/>
            <w:right w:w="0" w:type="dxa"/>
          </w:tblCellMar>
        </w:tblPrEx>
        <w:trPr>
          <w:trHeight w:val="512" w:hRule="exact"/>
        </w:trPr>
        <w:tc>
          <w:tcPr>
            <w:tcW w:w="1812" w:type="dxa"/>
            <w:tcBorders>
              <w:top w:val="single" w:color="000000" w:sz="4" w:space="0"/>
              <w:left w:val="single" w:color="000000" w:sz="4" w:space="0"/>
              <w:bottom w:val="single" w:color="000000" w:sz="4" w:space="0"/>
              <w:right w:val="single" w:color="000000" w:sz="4" w:space="0"/>
            </w:tcBorders>
            <w:vAlign w:val="center"/>
          </w:tcPr>
          <w:p w14:paraId="3ACF7D37">
            <w:pPr>
              <w:spacing w:line="500" w:lineRule="exact"/>
              <w:jc w:val="center"/>
              <w:rPr>
                <w:rFonts w:ascii="宋体" w:hAnsi="宋体" w:cs="宋体"/>
                <w:kern w:val="0"/>
                <w:sz w:val="24"/>
              </w:rPr>
            </w:pPr>
            <w:r>
              <w:rPr>
                <w:rFonts w:hint="eastAsia" w:ascii="宋体" w:hAnsi="宋体" w:cs="宋体"/>
                <w:kern w:val="0"/>
                <w:szCs w:val="21"/>
              </w:rPr>
              <w:t>竞标人名称</w:t>
            </w:r>
          </w:p>
        </w:tc>
        <w:tc>
          <w:tcPr>
            <w:tcW w:w="7600" w:type="dxa"/>
            <w:gridSpan w:val="9"/>
            <w:tcBorders>
              <w:top w:val="single" w:color="000000" w:sz="4" w:space="0"/>
              <w:left w:val="single" w:color="000000" w:sz="4" w:space="0"/>
              <w:bottom w:val="single" w:color="000000" w:sz="4" w:space="0"/>
              <w:right w:val="single" w:color="000000" w:sz="4" w:space="0"/>
            </w:tcBorders>
            <w:vAlign w:val="center"/>
          </w:tcPr>
          <w:p w14:paraId="46C234B2">
            <w:pPr>
              <w:spacing w:line="500" w:lineRule="exact"/>
              <w:jc w:val="center"/>
              <w:rPr>
                <w:rFonts w:ascii="宋体" w:hAnsi="宋体" w:cs="宋体"/>
                <w:kern w:val="0"/>
                <w:sz w:val="24"/>
              </w:rPr>
            </w:pPr>
          </w:p>
        </w:tc>
      </w:tr>
      <w:tr w14:paraId="768EDD2B">
        <w:tblPrEx>
          <w:tblCellMar>
            <w:top w:w="0" w:type="dxa"/>
            <w:left w:w="0" w:type="dxa"/>
            <w:bottom w:w="0" w:type="dxa"/>
            <w:right w:w="0" w:type="dxa"/>
          </w:tblCellMar>
        </w:tblPrEx>
        <w:trPr>
          <w:trHeight w:val="495" w:hRule="exact"/>
        </w:trPr>
        <w:tc>
          <w:tcPr>
            <w:tcW w:w="1812" w:type="dxa"/>
            <w:tcBorders>
              <w:top w:val="single" w:color="000000" w:sz="4" w:space="0"/>
              <w:left w:val="single" w:color="000000" w:sz="4" w:space="0"/>
              <w:bottom w:val="single" w:color="000000" w:sz="4" w:space="0"/>
              <w:right w:val="single" w:color="000000" w:sz="4" w:space="0"/>
            </w:tcBorders>
            <w:vAlign w:val="center"/>
          </w:tcPr>
          <w:p w14:paraId="2F2121C6">
            <w:pPr>
              <w:spacing w:line="500" w:lineRule="exact"/>
              <w:jc w:val="center"/>
              <w:rPr>
                <w:rFonts w:ascii="宋体" w:hAnsi="宋体" w:cs="宋体"/>
                <w:kern w:val="0"/>
                <w:sz w:val="24"/>
              </w:rPr>
            </w:pPr>
            <w:r>
              <w:rPr>
                <w:rFonts w:hint="eastAsia" w:ascii="宋体" w:hAnsi="宋体" w:cs="宋体"/>
                <w:kern w:val="0"/>
                <w:szCs w:val="21"/>
              </w:rPr>
              <w:t>注册地址</w:t>
            </w:r>
          </w:p>
        </w:tc>
        <w:tc>
          <w:tcPr>
            <w:tcW w:w="3587" w:type="dxa"/>
            <w:gridSpan w:val="5"/>
            <w:tcBorders>
              <w:top w:val="single" w:color="000000" w:sz="4" w:space="0"/>
              <w:left w:val="single" w:color="000000" w:sz="4" w:space="0"/>
              <w:bottom w:val="single" w:color="000000" w:sz="4" w:space="0"/>
              <w:right w:val="single" w:color="000000" w:sz="4" w:space="0"/>
            </w:tcBorders>
            <w:vAlign w:val="center"/>
          </w:tcPr>
          <w:p w14:paraId="7946CBF9">
            <w:pPr>
              <w:spacing w:line="500" w:lineRule="exact"/>
              <w:jc w:val="center"/>
              <w:rPr>
                <w:rFonts w:ascii="宋体" w:hAnsi="宋体" w:cs="宋体"/>
                <w:kern w:val="0"/>
                <w:sz w:val="24"/>
              </w:rPr>
            </w:pPr>
          </w:p>
        </w:tc>
        <w:tc>
          <w:tcPr>
            <w:tcW w:w="1130" w:type="dxa"/>
            <w:tcBorders>
              <w:top w:val="single" w:color="000000" w:sz="4" w:space="0"/>
              <w:left w:val="single" w:color="000000" w:sz="4" w:space="0"/>
              <w:bottom w:val="single" w:color="000000" w:sz="4" w:space="0"/>
              <w:right w:val="single" w:color="000000" w:sz="4" w:space="0"/>
            </w:tcBorders>
            <w:vAlign w:val="center"/>
          </w:tcPr>
          <w:p w14:paraId="53A50E77">
            <w:pPr>
              <w:spacing w:line="500" w:lineRule="exact"/>
              <w:jc w:val="center"/>
              <w:rPr>
                <w:rFonts w:ascii="宋体" w:hAnsi="宋体" w:cs="宋体"/>
                <w:kern w:val="0"/>
                <w:sz w:val="24"/>
              </w:rPr>
            </w:pPr>
            <w:r>
              <w:rPr>
                <w:rFonts w:hint="eastAsia" w:ascii="宋体" w:hAnsi="宋体" w:cs="宋体"/>
                <w:kern w:val="0"/>
                <w:szCs w:val="21"/>
              </w:rPr>
              <w:t>邮政编码</w:t>
            </w:r>
          </w:p>
        </w:tc>
        <w:tc>
          <w:tcPr>
            <w:tcW w:w="2883" w:type="dxa"/>
            <w:gridSpan w:val="3"/>
            <w:tcBorders>
              <w:top w:val="single" w:color="000000" w:sz="4" w:space="0"/>
              <w:left w:val="single" w:color="000000" w:sz="4" w:space="0"/>
              <w:bottom w:val="single" w:color="000000" w:sz="4" w:space="0"/>
              <w:right w:val="single" w:color="000000" w:sz="4" w:space="0"/>
            </w:tcBorders>
            <w:vAlign w:val="center"/>
          </w:tcPr>
          <w:p w14:paraId="58F6D47D">
            <w:pPr>
              <w:spacing w:line="500" w:lineRule="exact"/>
              <w:jc w:val="center"/>
              <w:rPr>
                <w:rFonts w:ascii="宋体" w:hAnsi="宋体" w:cs="宋体"/>
                <w:kern w:val="0"/>
                <w:sz w:val="24"/>
              </w:rPr>
            </w:pPr>
          </w:p>
        </w:tc>
      </w:tr>
      <w:tr w14:paraId="7B38605A">
        <w:tblPrEx>
          <w:tblCellMar>
            <w:top w:w="0" w:type="dxa"/>
            <w:left w:w="0" w:type="dxa"/>
            <w:bottom w:w="0" w:type="dxa"/>
            <w:right w:w="0" w:type="dxa"/>
          </w:tblCellMar>
        </w:tblPrEx>
        <w:trPr>
          <w:cantSplit/>
          <w:trHeight w:val="517" w:hRule="exact"/>
        </w:trPr>
        <w:tc>
          <w:tcPr>
            <w:tcW w:w="1812" w:type="dxa"/>
            <w:vMerge w:val="restart"/>
            <w:tcBorders>
              <w:top w:val="single" w:color="000000" w:sz="4" w:space="0"/>
              <w:left w:val="single" w:color="000000" w:sz="4" w:space="0"/>
              <w:bottom w:val="single" w:color="000000" w:sz="4" w:space="0"/>
              <w:right w:val="single" w:color="000000" w:sz="4" w:space="0"/>
            </w:tcBorders>
            <w:vAlign w:val="center"/>
          </w:tcPr>
          <w:p w14:paraId="6908EC82">
            <w:pPr>
              <w:spacing w:line="500" w:lineRule="exact"/>
              <w:jc w:val="center"/>
              <w:rPr>
                <w:rFonts w:ascii="宋体" w:hAnsi="宋体" w:cs="宋体"/>
                <w:kern w:val="0"/>
                <w:sz w:val="24"/>
              </w:rPr>
            </w:pPr>
            <w:r>
              <w:rPr>
                <w:rFonts w:hint="eastAsia" w:ascii="宋体" w:hAnsi="宋体" w:cs="宋体"/>
                <w:kern w:val="0"/>
                <w:szCs w:val="21"/>
              </w:rPr>
              <w:t>联系方式</w:t>
            </w:r>
          </w:p>
        </w:tc>
        <w:tc>
          <w:tcPr>
            <w:tcW w:w="942" w:type="dxa"/>
            <w:tcBorders>
              <w:top w:val="single" w:color="000000" w:sz="4" w:space="0"/>
              <w:left w:val="single" w:color="000000" w:sz="4" w:space="0"/>
              <w:bottom w:val="single" w:color="000000" w:sz="4" w:space="0"/>
              <w:right w:val="single" w:color="000000" w:sz="4" w:space="0"/>
            </w:tcBorders>
            <w:vAlign w:val="center"/>
          </w:tcPr>
          <w:p w14:paraId="0E1543DA">
            <w:pPr>
              <w:spacing w:line="500" w:lineRule="exact"/>
              <w:jc w:val="center"/>
              <w:rPr>
                <w:rFonts w:ascii="宋体" w:hAnsi="宋体" w:cs="宋体"/>
                <w:kern w:val="0"/>
                <w:sz w:val="24"/>
              </w:rPr>
            </w:pPr>
            <w:r>
              <w:rPr>
                <w:rFonts w:hint="eastAsia" w:ascii="宋体" w:hAnsi="宋体" w:cs="宋体"/>
                <w:kern w:val="0"/>
                <w:szCs w:val="21"/>
              </w:rPr>
              <w:t>联系人</w:t>
            </w:r>
          </w:p>
        </w:tc>
        <w:tc>
          <w:tcPr>
            <w:tcW w:w="2645" w:type="dxa"/>
            <w:gridSpan w:val="4"/>
            <w:tcBorders>
              <w:top w:val="single" w:color="000000" w:sz="4" w:space="0"/>
              <w:left w:val="single" w:color="000000" w:sz="4" w:space="0"/>
              <w:bottom w:val="single" w:color="000000" w:sz="4" w:space="0"/>
              <w:right w:val="single" w:color="000000" w:sz="4" w:space="0"/>
            </w:tcBorders>
            <w:vAlign w:val="center"/>
          </w:tcPr>
          <w:p w14:paraId="1BE3F36D">
            <w:pPr>
              <w:spacing w:line="500" w:lineRule="exact"/>
              <w:jc w:val="center"/>
              <w:rPr>
                <w:rFonts w:ascii="宋体" w:hAnsi="宋体" w:cs="宋体"/>
                <w:kern w:val="0"/>
                <w:sz w:val="24"/>
              </w:rPr>
            </w:pPr>
          </w:p>
        </w:tc>
        <w:tc>
          <w:tcPr>
            <w:tcW w:w="1130" w:type="dxa"/>
            <w:tcBorders>
              <w:top w:val="single" w:color="000000" w:sz="4" w:space="0"/>
              <w:left w:val="single" w:color="000000" w:sz="4" w:space="0"/>
              <w:bottom w:val="single" w:color="000000" w:sz="4" w:space="0"/>
              <w:right w:val="single" w:color="000000" w:sz="4" w:space="0"/>
            </w:tcBorders>
            <w:vAlign w:val="center"/>
          </w:tcPr>
          <w:p w14:paraId="408B1E59">
            <w:pPr>
              <w:spacing w:line="500" w:lineRule="exact"/>
              <w:jc w:val="center"/>
              <w:rPr>
                <w:rFonts w:ascii="宋体" w:hAnsi="宋体" w:cs="宋体"/>
                <w:kern w:val="0"/>
                <w:sz w:val="24"/>
              </w:rPr>
            </w:pPr>
            <w:r>
              <w:rPr>
                <w:rFonts w:hint="eastAsia" w:ascii="宋体" w:hAnsi="宋体" w:cs="宋体"/>
                <w:kern w:val="0"/>
                <w:szCs w:val="21"/>
              </w:rPr>
              <w:t xml:space="preserve">电 </w:t>
            </w:r>
            <w:r>
              <w:rPr>
                <w:rFonts w:hint="eastAsia" w:ascii="宋体" w:hAnsi="宋体" w:cs="宋体"/>
                <w:spacing w:val="1"/>
                <w:kern w:val="0"/>
                <w:szCs w:val="21"/>
              </w:rPr>
              <w:t xml:space="preserve"> </w:t>
            </w:r>
            <w:r>
              <w:rPr>
                <w:rFonts w:hint="eastAsia" w:ascii="宋体" w:hAnsi="宋体" w:cs="宋体"/>
                <w:kern w:val="0"/>
                <w:szCs w:val="21"/>
              </w:rPr>
              <w:t>话</w:t>
            </w:r>
          </w:p>
        </w:tc>
        <w:tc>
          <w:tcPr>
            <w:tcW w:w="2883" w:type="dxa"/>
            <w:gridSpan w:val="3"/>
            <w:tcBorders>
              <w:top w:val="single" w:color="000000" w:sz="4" w:space="0"/>
              <w:left w:val="single" w:color="000000" w:sz="4" w:space="0"/>
              <w:bottom w:val="single" w:color="000000" w:sz="4" w:space="0"/>
              <w:right w:val="single" w:color="000000" w:sz="4" w:space="0"/>
            </w:tcBorders>
            <w:vAlign w:val="center"/>
          </w:tcPr>
          <w:p w14:paraId="37AFA2D8">
            <w:pPr>
              <w:spacing w:line="500" w:lineRule="exact"/>
              <w:jc w:val="center"/>
              <w:rPr>
                <w:rFonts w:ascii="宋体" w:hAnsi="宋体" w:cs="宋体"/>
                <w:kern w:val="0"/>
                <w:sz w:val="24"/>
              </w:rPr>
            </w:pPr>
          </w:p>
        </w:tc>
      </w:tr>
      <w:tr w14:paraId="25038EE7">
        <w:tblPrEx>
          <w:tblCellMar>
            <w:top w:w="0" w:type="dxa"/>
            <w:left w:w="0" w:type="dxa"/>
            <w:bottom w:w="0" w:type="dxa"/>
            <w:right w:w="0" w:type="dxa"/>
          </w:tblCellMar>
        </w:tblPrEx>
        <w:trPr>
          <w:cantSplit/>
          <w:trHeight w:val="444" w:hRule="exact"/>
        </w:trPr>
        <w:tc>
          <w:tcPr>
            <w:tcW w:w="1812" w:type="dxa"/>
            <w:vMerge w:val="continue"/>
            <w:tcBorders>
              <w:top w:val="single" w:color="000000" w:sz="4" w:space="0"/>
              <w:left w:val="single" w:color="000000" w:sz="4" w:space="0"/>
              <w:bottom w:val="single" w:color="000000" w:sz="4" w:space="0"/>
              <w:right w:val="single" w:color="000000" w:sz="4" w:space="0"/>
            </w:tcBorders>
            <w:vAlign w:val="center"/>
          </w:tcPr>
          <w:p w14:paraId="453E775A">
            <w:pPr>
              <w:spacing w:line="500" w:lineRule="exact"/>
              <w:jc w:val="center"/>
              <w:rPr>
                <w:rFonts w:ascii="宋体" w:hAnsi="宋体" w:cs="宋体"/>
                <w:kern w:val="0"/>
                <w:sz w:val="24"/>
              </w:rPr>
            </w:pPr>
          </w:p>
        </w:tc>
        <w:tc>
          <w:tcPr>
            <w:tcW w:w="942" w:type="dxa"/>
            <w:tcBorders>
              <w:top w:val="single" w:color="000000" w:sz="4" w:space="0"/>
              <w:left w:val="single" w:color="000000" w:sz="4" w:space="0"/>
              <w:bottom w:val="single" w:color="000000" w:sz="4" w:space="0"/>
              <w:right w:val="single" w:color="000000" w:sz="4" w:space="0"/>
            </w:tcBorders>
            <w:vAlign w:val="center"/>
          </w:tcPr>
          <w:p w14:paraId="3C9058C9">
            <w:pPr>
              <w:spacing w:line="500" w:lineRule="exact"/>
              <w:jc w:val="center"/>
              <w:rPr>
                <w:rFonts w:ascii="宋体" w:hAnsi="宋体" w:cs="宋体"/>
                <w:kern w:val="0"/>
                <w:sz w:val="24"/>
              </w:rPr>
            </w:pPr>
            <w:r>
              <w:rPr>
                <w:rFonts w:hint="eastAsia" w:ascii="宋体" w:hAnsi="宋体" w:cs="宋体"/>
                <w:kern w:val="0"/>
                <w:szCs w:val="21"/>
              </w:rPr>
              <w:t>传  真</w:t>
            </w:r>
          </w:p>
        </w:tc>
        <w:tc>
          <w:tcPr>
            <w:tcW w:w="2645" w:type="dxa"/>
            <w:gridSpan w:val="4"/>
            <w:tcBorders>
              <w:top w:val="single" w:color="000000" w:sz="4" w:space="0"/>
              <w:left w:val="single" w:color="000000" w:sz="4" w:space="0"/>
              <w:bottom w:val="single" w:color="000000" w:sz="4" w:space="0"/>
              <w:right w:val="single" w:color="000000" w:sz="4" w:space="0"/>
            </w:tcBorders>
            <w:vAlign w:val="center"/>
          </w:tcPr>
          <w:p w14:paraId="059FEF71">
            <w:pPr>
              <w:spacing w:line="500" w:lineRule="exact"/>
              <w:jc w:val="center"/>
              <w:rPr>
                <w:rFonts w:ascii="宋体" w:hAnsi="宋体" w:cs="宋体"/>
                <w:kern w:val="0"/>
                <w:sz w:val="24"/>
              </w:rPr>
            </w:pPr>
          </w:p>
        </w:tc>
        <w:tc>
          <w:tcPr>
            <w:tcW w:w="1130" w:type="dxa"/>
            <w:tcBorders>
              <w:top w:val="single" w:color="000000" w:sz="4" w:space="0"/>
              <w:left w:val="single" w:color="000000" w:sz="4" w:space="0"/>
              <w:bottom w:val="single" w:color="000000" w:sz="4" w:space="0"/>
              <w:right w:val="single" w:color="000000" w:sz="4" w:space="0"/>
            </w:tcBorders>
            <w:vAlign w:val="center"/>
          </w:tcPr>
          <w:p w14:paraId="7C0CAC8A">
            <w:pPr>
              <w:spacing w:line="500" w:lineRule="exact"/>
              <w:jc w:val="center"/>
              <w:rPr>
                <w:rFonts w:ascii="宋体" w:hAnsi="宋体" w:cs="宋体"/>
                <w:kern w:val="0"/>
                <w:sz w:val="24"/>
              </w:rPr>
            </w:pPr>
            <w:r>
              <w:rPr>
                <w:rFonts w:hint="eastAsia" w:ascii="宋体" w:hAnsi="宋体" w:cs="宋体"/>
                <w:kern w:val="0"/>
                <w:szCs w:val="21"/>
              </w:rPr>
              <w:t xml:space="preserve">网 </w:t>
            </w:r>
            <w:r>
              <w:rPr>
                <w:rFonts w:hint="eastAsia" w:ascii="宋体" w:hAnsi="宋体" w:cs="宋体"/>
                <w:spacing w:val="1"/>
                <w:kern w:val="0"/>
                <w:szCs w:val="21"/>
              </w:rPr>
              <w:t xml:space="preserve"> </w:t>
            </w:r>
            <w:r>
              <w:rPr>
                <w:rFonts w:hint="eastAsia" w:ascii="宋体" w:hAnsi="宋体" w:cs="宋体"/>
                <w:kern w:val="0"/>
                <w:szCs w:val="21"/>
              </w:rPr>
              <w:t>址</w:t>
            </w:r>
          </w:p>
        </w:tc>
        <w:tc>
          <w:tcPr>
            <w:tcW w:w="2883" w:type="dxa"/>
            <w:gridSpan w:val="3"/>
            <w:tcBorders>
              <w:top w:val="single" w:color="000000" w:sz="4" w:space="0"/>
              <w:left w:val="single" w:color="000000" w:sz="4" w:space="0"/>
              <w:bottom w:val="single" w:color="000000" w:sz="4" w:space="0"/>
              <w:right w:val="single" w:color="000000" w:sz="4" w:space="0"/>
            </w:tcBorders>
            <w:vAlign w:val="center"/>
          </w:tcPr>
          <w:p w14:paraId="1979AADB">
            <w:pPr>
              <w:spacing w:line="500" w:lineRule="exact"/>
              <w:jc w:val="center"/>
              <w:rPr>
                <w:rFonts w:ascii="宋体" w:hAnsi="宋体" w:cs="宋体"/>
                <w:kern w:val="0"/>
                <w:sz w:val="24"/>
              </w:rPr>
            </w:pPr>
          </w:p>
        </w:tc>
      </w:tr>
      <w:tr w14:paraId="3713203C">
        <w:tblPrEx>
          <w:tblCellMar>
            <w:top w:w="0" w:type="dxa"/>
            <w:left w:w="0" w:type="dxa"/>
            <w:bottom w:w="0" w:type="dxa"/>
            <w:right w:w="0" w:type="dxa"/>
          </w:tblCellMar>
        </w:tblPrEx>
        <w:trPr>
          <w:trHeight w:val="469" w:hRule="exact"/>
        </w:trPr>
        <w:tc>
          <w:tcPr>
            <w:tcW w:w="1812" w:type="dxa"/>
            <w:tcBorders>
              <w:top w:val="single" w:color="000000" w:sz="4" w:space="0"/>
              <w:left w:val="single" w:color="000000" w:sz="4" w:space="0"/>
              <w:bottom w:val="single" w:color="000000" w:sz="4" w:space="0"/>
              <w:right w:val="single" w:color="000000" w:sz="4" w:space="0"/>
            </w:tcBorders>
            <w:vAlign w:val="center"/>
          </w:tcPr>
          <w:p w14:paraId="0F4F1B33">
            <w:pPr>
              <w:spacing w:line="500" w:lineRule="exact"/>
              <w:jc w:val="center"/>
              <w:rPr>
                <w:rFonts w:ascii="宋体" w:hAnsi="宋体" w:cs="宋体"/>
                <w:kern w:val="0"/>
                <w:sz w:val="24"/>
              </w:rPr>
            </w:pPr>
            <w:r>
              <w:rPr>
                <w:rFonts w:hint="eastAsia" w:ascii="宋体" w:hAnsi="宋体" w:cs="宋体"/>
                <w:kern w:val="0"/>
                <w:szCs w:val="21"/>
              </w:rPr>
              <w:t>法定代表人</w:t>
            </w:r>
          </w:p>
        </w:tc>
        <w:tc>
          <w:tcPr>
            <w:tcW w:w="942" w:type="dxa"/>
            <w:tcBorders>
              <w:top w:val="single" w:color="000000" w:sz="4" w:space="0"/>
              <w:left w:val="single" w:color="000000" w:sz="4" w:space="0"/>
              <w:bottom w:val="single" w:color="000000" w:sz="4" w:space="0"/>
              <w:right w:val="single" w:color="000000" w:sz="4" w:space="0"/>
            </w:tcBorders>
            <w:vAlign w:val="center"/>
          </w:tcPr>
          <w:p w14:paraId="294AE7D9">
            <w:pPr>
              <w:spacing w:line="500" w:lineRule="exact"/>
              <w:jc w:val="center"/>
              <w:rPr>
                <w:rFonts w:ascii="宋体" w:hAnsi="宋体" w:cs="宋体"/>
                <w:kern w:val="0"/>
                <w:sz w:val="24"/>
              </w:rPr>
            </w:pPr>
            <w:r>
              <w:rPr>
                <w:rFonts w:hint="eastAsia" w:ascii="宋体" w:hAnsi="宋体" w:cs="宋体"/>
                <w:kern w:val="0"/>
                <w:szCs w:val="21"/>
              </w:rPr>
              <w:t>姓名</w:t>
            </w:r>
          </w:p>
        </w:tc>
        <w:tc>
          <w:tcPr>
            <w:tcW w:w="997" w:type="dxa"/>
            <w:tcBorders>
              <w:top w:val="single" w:color="000000" w:sz="4" w:space="0"/>
              <w:left w:val="single" w:color="000000" w:sz="4" w:space="0"/>
              <w:bottom w:val="single" w:color="000000" w:sz="4" w:space="0"/>
              <w:right w:val="single" w:color="000000" w:sz="4" w:space="0"/>
            </w:tcBorders>
            <w:vAlign w:val="center"/>
          </w:tcPr>
          <w:p w14:paraId="57C4C870">
            <w:pPr>
              <w:spacing w:line="500" w:lineRule="exact"/>
              <w:jc w:val="center"/>
              <w:rPr>
                <w:rFonts w:ascii="宋体" w:hAnsi="宋体" w:cs="宋体"/>
                <w:kern w:val="0"/>
                <w:sz w:val="24"/>
              </w:rPr>
            </w:pPr>
          </w:p>
        </w:tc>
        <w:tc>
          <w:tcPr>
            <w:tcW w:w="1321" w:type="dxa"/>
            <w:gridSpan w:val="2"/>
            <w:tcBorders>
              <w:top w:val="single" w:color="000000" w:sz="4" w:space="0"/>
              <w:left w:val="single" w:color="000000" w:sz="4" w:space="0"/>
              <w:bottom w:val="single" w:color="000000" w:sz="4" w:space="0"/>
              <w:right w:val="single" w:color="000000" w:sz="4" w:space="0"/>
            </w:tcBorders>
            <w:vAlign w:val="center"/>
          </w:tcPr>
          <w:p w14:paraId="76960FEA">
            <w:pPr>
              <w:spacing w:line="500" w:lineRule="exact"/>
              <w:jc w:val="center"/>
              <w:rPr>
                <w:rFonts w:ascii="宋体" w:hAnsi="宋体" w:cs="宋体"/>
                <w:kern w:val="0"/>
                <w:sz w:val="24"/>
              </w:rPr>
            </w:pPr>
            <w:r>
              <w:rPr>
                <w:rFonts w:hint="eastAsia" w:ascii="宋体" w:hAnsi="宋体" w:cs="宋体"/>
                <w:kern w:val="0"/>
                <w:szCs w:val="21"/>
              </w:rPr>
              <w:t>技术职称</w:t>
            </w:r>
          </w:p>
        </w:tc>
        <w:tc>
          <w:tcPr>
            <w:tcW w:w="1973" w:type="dxa"/>
            <w:gridSpan w:val="3"/>
            <w:tcBorders>
              <w:top w:val="single" w:color="000000" w:sz="4" w:space="0"/>
              <w:left w:val="single" w:color="000000" w:sz="4" w:space="0"/>
              <w:bottom w:val="single" w:color="000000" w:sz="4" w:space="0"/>
              <w:right w:val="single" w:color="000000" w:sz="4" w:space="0"/>
            </w:tcBorders>
            <w:vAlign w:val="center"/>
          </w:tcPr>
          <w:p w14:paraId="1D20A097">
            <w:pPr>
              <w:spacing w:line="500" w:lineRule="exact"/>
              <w:jc w:val="center"/>
              <w:rPr>
                <w:rFonts w:ascii="宋体" w:hAnsi="宋体" w:cs="宋体"/>
                <w:kern w:val="0"/>
                <w:sz w:val="24"/>
              </w:rPr>
            </w:pPr>
          </w:p>
        </w:tc>
        <w:tc>
          <w:tcPr>
            <w:tcW w:w="900" w:type="dxa"/>
            <w:tcBorders>
              <w:top w:val="single" w:color="000000" w:sz="4" w:space="0"/>
              <w:left w:val="single" w:color="000000" w:sz="4" w:space="0"/>
              <w:bottom w:val="single" w:color="000000" w:sz="4" w:space="0"/>
              <w:right w:val="single" w:color="000000" w:sz="4" w:space="0"/>
            </w:tcBorders>
            <w:vAlign w:val="center"/>
          </w:tcPr>
          <w:p w14:paraId="0DB3494C">
            <w:pPr>
              <w:spacing w:line="500" w:lineRule="exact"/>
              <w:jc w:val="center"/>
              <w:rPr>
                <w:rFonts w:ascii="宋体" w:hAnsi="宋体" w:cs="宋体"/>
                <w:kern w:val="0"/>
                <w:sz w:val="24"/>
              </w:rPr>
            </w:pPr>
            <w:r>
              <w:rPr>
                <w:rFonts w:hint="eastAsia" w:ascii="宋体" w:hAnsi="宋体" w:cs="宋体"/>
                <w:kern w:val="0"/>
                <w:szCs w:val="21"/>
              </w:rPr>
              <w:t>电话</w:t>
            </w:r>
          </w:p>
        </w:tc>
        <w:tc>
          <w:tcPr>
            <w:tcW w:w="1467" w:type="dxa"/>
            <w:tcBorders>
              <w:top w:val="single" w:color="000000" w:sz="4" w:space="0"/>
              <w:left w:val="single" w:color="000000" w:sz="4" w:space="0"/>
              <w:bottom w:val="single" w:color="000000" w:sz="4" w:space="0"/>
              <w:right w:val="single" w:color="000000" w:sz="4" w:space="0"/>
            </w:tcBorders>
            <w:vAlign w:val="center"/>
          </w:tcPr>
          <w:p w14:paraId="3B228D6F">
            <w:pPr>
              <w:spacing w:line="500" w:lineRule="exact"/>
              <w:jc w:val="center"/>
              <w:rPr>
                <w:rFonts w:ascii="宋体" w:hAnsi="宋体" w:cs="宋体"/>
                <w:kern w:val="0"/>
                <w:sz w:val="24"/>
              </w:rPr>
            </w:pPr>
          </w:p>
        </w:tc>
      </w:tr>
      <w:tr w14:paraId="55856AC2">
        <w:tblPrEx>
          <w:tblCellMar>
            <w:top w:w="0" w:type="dxa"/>
            <w:left w:w="0" w:type="dxa"/>
            <w:bottom w:w="0" w:type="dxa"/>
            <w:right w:w="0" w:type="dxa"/>
          </w:tblCellMar>
        </w:tblPrEx>
        <w:trPr>
          <w:trHeight w:val="460" w:hRule="exact"/>
        </w:trPr>
        <w:tc>
          <w:tcPr>
            <w:tcW w:w="1812" w:type="dxa"/>
            <w:tcBorders>
              <w:top w:val="single" w:color="000000" w:sz="4" w:space="0"/>
              <w:left w:val="single" w:color="000000" w:sz="4" w:space="0"/>
              <w:bottom w:val="single" w:color="000000" w:sz="4" w:space="0"/>
              <w:right w:val="single" w:color="000000" w:sz="4" w:space="0"/>
            </w:tcBorders>
            <w:vAlign w:val="center"/>
          </w:tcPr>
          <w:p w14:paraId="649874AC">
            <w:pPr>
              <w:spacing w:line="500" w:lineRule="exact"/>
              <w:jc w:val="center"/>
              <w:rPr>
                <w:rFonts w:ascii="宋体" w:hAnsi="宋体" w:cs="宋体"/>
                <w:kern w:val="0"/>
                <w:sz w:val="24"/>
              </w:rPr>
            </w:pPr>
            <w:r>
              <w:rPr>
                <w:rFonts w:hint="eastAsia" w:ascii="宋体" w:hAnsi="宋体" w:cs="宋体"/>
                <w:kern w:val="0"/>
                <w:szCs w:val="21"/>
              </w:rPr>
              <w:t>技术负责人</w:t>
            </w:r>
          </w:p>
        </w:tc>
        <w:tc>
          <w:tcPr>
            <w:tcW w:w="942" w:type="dxa"/>
            <w:tcBorders>
              <w:top w:val="single" w:color="000000" w:sz="4" w:space="0"/>
              <w:left w:val="single" w:color="000000" w:sz="4" w:space="0"/>
              <w:bottom w:val="single" w:color="000000" w:sz="4" w:space="0"/>
              <w:right w:val="single" w:color="000000" w:sz="4" w:space="0"/>
            </w:tcBorders>
            <w:vAlign w:val="center"/>
          </w:tcPr>
          <w:p w14:paraId="0582D20A">
            <w:pPr>
              <w:spacing w:line="500" w:lineRule="exact"/>
              <w:jc w:val="center"/>
              <w:rPr>
                <w:rFonts w:ascii="宋体" w:hAnsi="宋体" w:cs="宋体"/>
                <w:kern w:val="0"/>
                <w:sz w:val="24"/>
              </w:rPr>
            </w:pPr>
            <w:r>
              <w:rPr>
                <w:rFonts w:hint="eastAsia" w:ascii="宋体" w:hAnsi="宋体" w:cs="宋体"/>
                <w:kern w:val="0"/>
                <w:szCs w:val="21"/>
              </w:rPr>
              <w:t>姓名</w:t>
            </w:r>
          </w:p>
        </w:tc>
        <w:tc>
          <w:tcPr>
            <w:tcW w:w="997" w:type="dxa"/>
            <w:tcBorders>
              <w:top w:val="single" w:color="000000" w:sz="4" w:space="0"/>
              <w:left w:val="single" w:color="000000" w:sz="4" w:space="0"/>
              <w:bottom w:val="single" w:color="000000" w:sz="4" w:space="0"/>
              <w:right w:val="single" w:color="000000" w:sz="4" w:space="0"/>
            </w:tcBorders>
            <w:vAlign w:val="center"/>
          </w:tcPr>
          <w:p w14:paraId="130F88AF">
            <w:pPr>
              <w:spacing w:line="500" w:lineRule="exact"/>
              <w:jc w:val="center"/>
              <w:rPr>
                <w:rFonts w:ascii="宋体" w:hAnsi="宋体" w:cs="宋体"/>
                <w:kern w:val="0"/>
                <w:sz w:val="24"/>
              </w:rPr>
            </w:pPr>
          </w:p>
        </w:tc>
        <w:tc>
          <w:tcPr>
            <w:tcW w:w="1321" w:type="dxa"/>
            <w:gridSpan w:val="2"/>
            <w:tcBorders>
              <w:top w:val="single" w:color="000000" w:sz="4" w:space="0"/>
              <w:left w:val="single" w:color="000000" w:sz="4" w:space="0"/>
              <w:bottom w:val="single" w:color="000000" w:sz="4" w:space="0"/>
              <w:right w:val="single" w:color="000000" w:sz="4" w:space="0"/>
            </w:tcBorders>
            <w:vAlign w:val="center"/>
          </w:tcPr>
          <w:p w14:paraId="655237EE">
            <w:pPr>
              <w:spacing w:line="500" w:lineRule="exact"/>
              <w:jc w:val="center"/>
              <w:rPr>
                <w:rFonts w:ascii="宋体" w:hAnsi="宋体" w:cs="宋体"/>
                <w:kern w:val="0"/>
                <w:sz w:val="24"/>
              </w:rPr>
            </w:pPr>
            <w:r>
              <w:rPr>
                <w:rFonts w:hint="eastAsia" w:ascii="宋体" w:hAnsi="宋体" w:cs="宋体"/>
                <w:kern w:val="0"/>
                <w:szCs w:val="21"/>
              </w:rPr>
              <w:t>技术职称</w:t>
            </w:r>
          </w:p>
        </w:tc>
        <w:tc>
          <w:tcPr>
            <w:tcW w:w="1973" w:type="dxa"/>
            <w:gridSpan w:val="3"/>
            <w:tcBorders>
              <w:top w:val="single" w:color="000000" w:sz="4" w:space="0"/>
              <w:left w:val="single" w:color="000000" w:sz="4" w:space="0"/>
              <w:bottom w:val="single" w:color="000000" w:sz="4" w:space="0"/>
              <w:right w:val="single" w:color="000000" w:sz="4" w:space="0"/>
            </w:tcBorders>
            <w:vAlign w:val="center"/>
          </w:tcPr>
          <w:p w14:paraId="7FED3A78">
            <w:pPr>
              <w:spacing w:line="500" w:lineRule="exact"/>
              <w:jc w:val="center"/>
              <w:rPr>
                <w:rFonts w:ascii="宋体" w:hAnsi="宋体" w:cs="宋体"/>
                <w:kern w:val="0"/>
                <w:sz w:val="24"/>
              </w:rPr>
            </w:pPr>
          </w:p>
        </w:tc>
        <w:tc>
          <w:tcPr>
            <w:tcW w:w="900" w:type="dxa"/>
            <w:tcBorders>
              <w:top w:val="single" w:color="000000" w:sz="4" w:space="0"/>
              <w:left w:val="single" w:color="000000" w:sz="4" w:space="0"/>
              <w:bottom w:val="single" w:color="000000" w:sz="4" w:space="0"/>
              <w:right w:val="single" w:color="000000" w:sz="4" w:space="0"/>
            </w:tcBorders>
            <w:vAlign w:val="center"/>
          </w:tcPr>
          <w:p w14:paraId="61266265">
            <w:pPr>
              <w:spacing w:line="500" w:lineRule="exact"/>
              <w:jc w:val="center"/>
              <w:rPr>
                <w:rFonts w:ascii="宋体" w:hAnsi="宋体" w:cs="宋体"/>
                <w:kern w:val="0"/>
                <w:sz w:val="24"/>
              </w:rPr>
            </w:pPr>
            <w:r>
              <w:rPr>
                <w:rFonts w:hint="eastAsia" w:ascii="宋体" w:hAnsi="宋体" w:cs="宋体"/>
                <w:kern w:val="0"/>
                <w:szCs w:val="21"/>
              </w:rPr>
              <w:t>电话</w:t>
            </w:r>
          </w:p>
        </w:tc>
        <w:tc>
          <w:tcPr>
            <w:tcW w:w="1467" w:type="dxa"/>
            <w:tcBorders>
              <w:top w:val="single" w:color="000000" w:sz="4" w:space="0"/>
              <w:left w:val="single" w:color="000000" w:sz="4" w:space="0"/>
              <w:bottom w:val="single" w:color="000000" w:sz="4" w:space="0"/>
              <w:right w:val="single" w:color="000000" w:sz="4" w:space="0"/>
            </w:tcBorders>
            <w:vAlign w:val="center"/>
          </w:tcPr>
          <w:p w14:paraId="4FE3EAC7">
            <w:pPr>
              <w:spacing w:line="500" w:lineRule="exact"/>
              <w:jc w:val="center"/>
              <w:rPr>
                <w:rFonts w:ascii="宋体" w:hAnsi="宋体" w:cs="宋体"/>
                <w:kern w:val="0"/>
                <w:sz w:val="24"/>
              </w:rPr>
            </w:pPr>
          </w:p>
        </w:tc>
      </w:tr>
      <w:tr w14:paraId="69A22964">
        <w:tblPrEx>
          <w:tblCellMar>
            <w:top w:w="0" w:type="dxa"/>
            <w:left w:w="0" w:type="dxa"/>
            <w:bottom w:w="0" w:type="dxa"/>
            <w:right w:w="0" w:type="dxa"/>
          </w:tblCellMar>
        </w:tblPrEx>
        <w:trPr>
          <w:trHeight w:val="503" w:hRule="exact"/>
        </w:trPr>
        <w:tc>
          <w:tcPr>
            <w:tcW w:w="1812" w:type="dxa"/>
            <w:tcBorders>
              <w:top w:val="single" w:color="000000" w:sz="4" w:space="0"/>
              <w:left w:val="single" w:color="000000" w:sz="4" w:space="0"/>
              <w:bottom w:val="single" w:color="000000" w:sz="4" w:space="0"/>
              <w:right w:val="single" w:color="000000" w:sz="4" w:space="0"/>
            </w:tcBorders>
            <w:vAlign w:val="center"/>
          </w:tcPr>
          <w:p w14:paraId="2130F2D3">
            <w:pPr>
              <w:spacing w:line="500" w:lineRule="exact"/>
              <w:jc w:val="center"/>
              <w:rPr>
                <w:rFonts w:ascii="宋体" w:hAnsi="宋体" w:cs="宋体"/>
                <w:kern w:val="0"/>
                <w:sz w:val="24"/>
              </w:rPr>
            </w:pPr>
            <w:r>
              <w:rPr>
                <w:rFonts w:hint="eastAsia" w:ascii="宋体" w:hAnsi="宋体" w:cs="宋体"/>
                <w:kern w:val="0"/>
                <w:szCs w:val="21"/>
              </w:rPr>
              <w:t>成立时间</w:t>
            </w:r>
          </w:p>
        </w:tc>
        <w:tc>
          <w:tcPr>
            <w:tcW w:w="1939" w:type="dxa"/>
            <w:gridSpan w:val="2"/>
            <w:tcBorders>
              <w:top w:val="single" w:color="000000" w:sz="4" w:space="0"/>
              <w:left w:val="single" w:color="000000" w:sz="4" w:space="0"/>
              <w:bottom w:val="single" w:color="000000" w:sz="4" w:space="0"/>
              <w:right w:val="single" w:color="000000" w:sz="4" w:space="0"/>
            </w:tcBorders>
            <w:vAlign w:val="center"/>
          </w:tcPr>
          <w:p w14:paraId="69DFDBDF">
            <w:pPr>
              <w:spacing w:line="500" w:lineRule="exact"/>
              <w:jc w:val="center"/>
              <w:rPr>
                <w:rFonts w:ascii="宋体" w:hAnsi="宋体" w:cs="宋体"/>
                <w:kern w:val="0"/>
                <w:sz w:val="24"/>
              </w:rPr>
            </w:pPr>
          </w:p>
        </w:tc>
        <w:tc>
          <w:tcPr>
            <w:tcW w:w="5661" w:type="dxa"/>
            <w:gridSpan w:val="7"/>
            <w:tcBorders>
              <w:top w:val="single" w:color="000000" w:sz="4" w:space="0"/>
              <w:left w:val="single" w:color="000000" w:sz="4" w:space="0"/>
              <w:bottom w:val="single" w:color="000000" w:sz="4" w:space="0"/>
              <w:right w:val="single" w:color="000000" w:sz="4" w:space="0"/>
            </w:tcBorders>
            <w:vAlign w:val="center"/>
          </w:tcPr>
          <w:p w14:paraId="10BF827B">
            <w:pPr>
              <w:spacing w:line="500" w:lineRule="exact"/>
              <w:jc w:val="center"/>
              <w:rPr>
                <w:rFonts w:ascii="宋体" w:hAnsi="宋体" w:cs="宋体"/>
                <w:kern w:val="0"/>
                <w:sz w:val="24"/>
              </w:rPr>
            </w:pPr>
            <w:r>
              <w:rPr>
                <w:rFonts w:hint="eastAsia" w:ascii="宋体" w:hAnsi="宋体" w:cs="宋体"/>
                <w:kern w:val="0"/>
                <w:szCs w:val="21"/>
              </w:rPr>
              <w:t>员工总人数：</w:t>
            </w:r>
          </w:p>
        </w:tc>
      </w:tr>
      <w:tr w14:paraId="2E846975">
        <w:tblPrEx>
          <w:tblCellMar>
            <w:top w:w="0" w:type="dxa"/>
            <w:left w:w="0" w:type="dxa"/>
            <w:bottom w:w="0" w:type="dxa"/>
            <w:right w:w="0" w:type="dxa"/>
          </w:tblCellMar>
        </w:tblPrEx>
        <w:trPr>
          <w:cantSplit/>
          <w:trHeight w:val="461" w:hRule="exact"/>
        </w:trPr>
        <w:tc>
          <w:tcPr>
            <w:tcW w:w="1812" w:type="dxa"/>
            <w:tcBorders>
              <w:top w:val="single" w:color="000000" w:sz="4" w:space="0"/>
              <w:left w:val="single" w:color="000000" w:sz="4" w:space="0"/>
              <w:bottom w:val="single" w:color="000000" w:sz="4" w:space="0"/>
              <w:right w:val="single" w:color="000000" w:sz="4" w:space="0"/>
            </w:tcBorders>
            <w:vAlign w:val="center"/>
          </w:tcPr>
          <w:p w14:paraId="4B4FB866">
            <w:pPr>
              <w:spacing w:line="500" w:lineRule="exact"/>
              <w:jc w:val="center"/>
              <w:rPr>
                <w:rFonts w:ascii="宋体" w:hAnsi="宋体" w:cs="宋体"/>
                <w:kern w:val="0"/>
                <w:sz w:val="24"/>
              </w:rPr>
            </w:pPr>
            <w:r>
              <w:rPr>
                <w:rFonts w:hint="eastAsia" w:ascii="宋体" w:hAnsi="宋体" w:cs="宋体"/>
                <w:kern w:val="0"/>
                <w:szCs w:val="21"/>
              </w:rPr>
              <w:t>企业资质等级</w:t>
            </w:r>
          </w:p>
        </w:tc>
        <w:tc>
          <w:tcPr>
            <w:tcW w:w="1939" w:type="dxa"/>
            <w:gridSpan w:val="2"/>
            <w:tcBorders>
              <w:top w:val="single" w:color="000000" w:sz="4" w:space="0"/>
              <w:left w:val="single" w:color="000000" w:sz="4" w:space="0"/>
              <w:bottom w:val="single" w:color="000000" w:sz="4" w:space="0"/>
              <w:right w:val="single" w:color="000000" w:sz="4" w:space="0"/>
            </w:tcBorders>
            <w:vAlign w:val="center"/>
          </w:tcPr>
          <w:p w14:paraId="1B464D28">
            <w:pPr>
              <w:spacing w:line="500" w:lineRule="exact"/>
              <w:jc w:val="center"/>
              <w:rPr>
                <w:rFonts w:ascii="宋体" w:hAnsi="宋体" w:cs="宋体"/>
                <w:kern w:val="0"/>
                <w:sz w:val="24"/>
              </w:rPr>
            </w:pPr>
          </w:p>
        </w:tc>
        <w:tc>
          <w:tcPr>
            <w:tcW w:w="881" w:type="dxa"/>
            <w:vMerge w:val="restart"/>
            <w:tcBorders>
              <w:top w:val="single" w:color="000000" w:sz="4" w:space="0"/>
              <w:left w:val="single" w:color="000000" w:sz="4" w:space="0"/>
              <w:bottom w:val="single" w:color="000000" w:sz="4" w:space="0"/>
              <w:right w:val="single" w:color="000000" w:sz="4" w:space="0"/>
            </w:tcBorders>
            <w:vAlign w:val="center"/>
          </w:tcPr>
          <w:p w14:paraId="6335F8AC">
            <w:pPr>
              <w:spacing w:line="500" w:lineRule="exact"/>
              <w:jc w:val="center"/>
              <w:rPr>
                <w:rFonts w:ascii="宋体" w:hAnsi="宋体" w:cs="宋体"/>
                <w:kern w:val="0"/>
                <w:sz w:val="20"/>
                <w:szCs w:val="20"/>
              </w:rPr>
            </w:pPr>
          </w:p>
          <w:p w14:paraId="66A6D9EB">
            <w:pPr>
              <w:spacing w:line="500" w:lineRule="exact"/>
              <w:jc w:val="center"/>
              <w:rPr>
                <w:rFonts w:ascii="宋体" w:hAnsi="宋体" w:cs="宋体"/>
                <w:kern w:val="0"/>
                <w:sz w:val="20"/>
                <w:szCs w:val="20"/>
              </w:rPr>
            </w:pPr>
          </w:p>
          <w:p w14:paraId="43CF9551">
            <w:pPr>
              <w:spacing w:line="500" w:lineRule="exact"/>
              <w:jc w:val="center"/>
              <w:rPr>
                <w:rFonts w:ascii="宋体" w:hAnsi="宋体" w:cs="宋体"/>
                <w:kern w:val="0"/>
                <w:sz w:val="24"/>
              </w:rPr>
            </w:pPr>
            <w:r>
              <w:rPr>
                <w:rFonts w:hint="eastAsia" w:ascii="宋体" w:hAnsi="宋体" w:cs="宋体"/>
                <w:kern w:val="0"/>
                <w:szCs w:val="21"/>
              </w:rPr>
              <w:t>其中</w:t>
            </w:r>
          </w:p>
        </w:tc>
        <w:tc>
          <w:tcPr>
            <w:tcW w:w="2413" w:type="dxa"/>
            <w:gridSpan w:val="4"/>
            <w:tcBorders>
              <w:top w:val="single" w:color="000000" w:sz="4" w:space="0"/>
              <w:left w:val="single" w:color="000000" w:sz="4" w:space="0"/>
              <w:bottom w:val="single" w:color="000000" w:sz="4" w:space="0"/>
              <w:right w:val="single" w:color="000000" w:sz="4" w:space="0"/>
            </w:tcBorders>
            <w:vAlign w:val="center"/>
          </w:tcPr>
          <w:p w14:paraId="162B7F7E">
            <w:pPr>
              <w:spacing w:line="500" w:lineRule="exact"/>
              <w:jc w:val="center"/>
              <w:rPr>
                <w:rFonts w:ascii="宋体" w:hAnsi="宋体" w:cs="宋体"/>
                <w:kern w:val="0"/>
                <w:sz w:val="24"/>
              </w:rPr>
            </w:pPr>
            <w:r>
              <w:rPr>
                <w:rFonts w:hint="eastAsia" w:ascii="宋体" w:hAnsi="宋体" w:cs="宋体"/>
                <w:kern w:val="0"/>
                <w:szCs w:val="21"/>
              </w:rPr>
              <w:t>项目经理</w:t>
            </w:r>
          </w:p>
        </w:tc>
        <w:tc>
          <w:tcPr>
            <w:tcW w:w="2367" w:type="dxa"/>
            <w:gridSpan w:val="2"/>
            <w:tcBorders>
              <w:top w:val="single" w:color="000000" w:sz="4" w:space="0"/>
              <w:left w:val="single" w:color="000000" w:sz="4" w:space="0"/>
              <w:bottom w:val="single" w:color="000000" w:sz="4" w:space="0"/>
              <w:right w:val="single" w:color="000000" w:sz="4" w:space="0"/>
            </w:tcBorders>
            <w:vAlign w:val="center"/>
          </w:tcPr>
          <w:p w14:paraId="138B9E98">
            <w:pPr>
              <w:spacing w:line="500" w:lineRule="exact"/>
              <w:jc w:val="center"/>
              <w:rPr>
                <w:rFonts w:ascii="宋体" w:hAnsi="宋体" w:cs="宋体"/>
                <w:kern w:val="0"/>
                <w:sz w:val="24"/>
              </w:rPr>
            </w:pPr>
          </w:p>
        </w:tc>
      </w:tr>
      <w:tr w14:paraId="22FCB02D">
        <w:tblPrEx>
          <w:tblCellMar>
            <w:top w:w="0" w:type="dxa"/>
            <w:left w:w="0" w:type="dxa"/>
            <w:bottom w:w="0" w:type="dxa"/>
            <w:right w:w="0" w:type="dxa"/>
          </w:tblCellMar>
        </w:tblPrEx>
        <w:trPr>
          <w:cantSplit/>
          <w:trHeight w:val="503" w:hRule="exact"/>
        </w:trPr>
        <w:tc>
          <w:tcPr>
            <w:tcW w:w="1812" w:type="dxa"/>
            <w:tcBorders>
              <w:top w:val="single" w:color="000000" w:sz="4" w:space="0"/>
              <w:left w:val="single" w:color="000000" w:sz="4" w:space="0"/>
              <w:bottom w:val="single" w:color="000000" w:sz="4" w:space="0"/>
              <w:right w:val="single" w:color="000000" w:sz="4" w:space="0"/>
            </w:tcBorders>
            <w:vAlign w:val="center"/>
          </w:tcPr>
          <w:p w14:paraId="1CF9DED5">
            <w:pPr>
              <w:spacing w:line="500" w:lineRule="exact"/>
              <w:jc w:val="center"/>
              <w:rPr>
                <w:rFonts w:ascii="宋体" w:hAnsi="宋体" w:cs="宋体"/>
                <w:kern w:val="0"/>
                <w:sz w:val="24"/>
              </w:rPr>
            </w:pPr>
            <w:r>
              <w:rPr>
                <w:rFonts w:hint="eastAsia" w:ascii="宋体" w:hAnsi="宋体" w:cs="宋体"/>
                <w:kern w:val="0"/>
                <w:szCs w:val="21"/>
              </w:rPr>
              <w:t>营业执照号</w:t>
            </w:r>
          </w:p>
        </w:tc>
        <w:tc>
          <w:tcPr>
            <w:tcW w:w="1939" w:type="dxa"/>
            <w:gridSpan w:val="2"/>
            <w:tcBorders>
              <w:top w:val="single" w:color="000000" w:sz="4" w:space="0"/>
              <w:left w:val="single" w:color="000000" w:sz="4" w:space="0"/>
              <w:bottom w:val="single" w:color="000000" w:sz="4" w:space="0"/>
              <w:right w:val="single" w:color="000000" w:sz="4" w:space="0"/>
            </w:tcBorders>
            <w:vAlign w:val="center"/>
          </w:tcPr>
          <w:p w14:paraId="22C85118">
            <w:pPr>
              <w:spacing w:line="500" w:lineRule="exact"/>
              <w:jc w:val="center"/>
              <w:rPr>
                <w:rFonts w:ascii="宋体" w:hAnsi="宋体" w:cs="宋体"/>
                <w:kern w:val="0"/>
                <w:sz w:val="24"/>
              </w:rPr>
            </w:pPr>
          </w:p>
        </w:tc>
        <w:tc>
          <w:tcPr>
            <w:tcW w:w="881" w:type="dxa"/>
            <w:vMerge w:val="continue"/>
            <w:tcBorders>
              <w:top w:val="single" w:color="000000" w:sz="4" w:space="0"/>
              <w:left w:val="single" w:color="000000" w:sz="4" w:space="0"/>
              <w:bottom w:val="single" w:color="000000" w:sz="4" w:space="0"/>
              <w:right w:val="single" w:color="000000" w:sz="4" w:space="0"/>
            </w:tcBorders>
            <w:vAlign w:val="center"/>
          </w:tcPr>
          <w:p w14:paraId="543BE04A">
            <w:pPr>
              <w:spacing w:line="500" w:lineRule="exact"/>
              <w:jc w:val="center"/>
              <w:rPr>
                <w:rFonts w:ascii="宋体" w:hAnsi="宋体" w:cs="宋体"/>
                <w:kern w:val="0"/>
                <w:sz w:val="24"/>
              </w:rPr>
            </w:pPr>
          </w:p>
        </w:tc>
        <w:tc>
          <w:tcPr>
            <w:tcW w:w="2413" w:type="dxa"/>
            <w:gridSpan w:val="4"/>
            <w:tcBorders>
              <w:top w:val="single" w:color="000000" w:sz="4" w:space="0"/>
              <w:left w:val="single" w:color="000000" w:sz="4" w:space="0"/>
              <w:bottom w:val="single" w:color="000000" w:sz="4" w:space="0"/>
              <w:right w:val="single" w:color="000000" w:sz="4" w:space="0"/>
            </w:tcBorders>
            <w:vAlign w:val="center"/>
          </w:tcPr>
          <w:p w14:paraId="2C2CBAA3">
            <w:pPr>
              <w:spacing w:line="500" w:lineRule="exact"/>
              <w:jc w:val="center"/>
              <w:rPr>
                <w:rFonts w:ascii="宋体" w:hAnsi="宋体" w:cs="宋体"/>
                <w:kern w:val="0"/>
                <w:sz w:val="24"/>
              </w:rPr>
            </w:pPr>
            <w:r>
              <w:rPr>
                <w:rFonts w:hint="eastAsia" w:ascii="宋体" w:hAnsi="宋体" w:cs="宋体"/>
                <w:kern w:val="0"/>
                <w:szCs w:val="21"/>
              </w:rPr>
              <w:t>高级职称人员</w:t>
            </w:r>
          </w:p>
        </w:tc>
        <w:tc>
          <w:tcPr>
            <w:tcW w:w="2367" w:type="dxa"/>
            <w:gridSpan w:val="2"/>
            <w:tcBorders>
              <w:top w:val="single" w:color="000000" w:sz="4" w:space="0"/>
              <w:left w:val="single" w:color="000000" w:sz="4" w:space="0"/>
              <w:bottom w:val="single" w:color="000000" w:sz="4" w:space="0"/>
              <w:right w:val="single" w:color="000000" w:sz="4" w:space="0"/>
            </w:tcBorders>
            <w:vAlign w:val="center"/>
          </w:tcPr>
          <w:p w14:paraId="4A57372F">
            <w:pPr>
              <w:spacing w:line="500" w:lineRule="exact"/>
              <w:jc w:val="center"/>
              <w:rPr>
                <w:rFonts w:ascii="宋体" w:hAnsi="宋体" w:cs="宋体"/>
                <w:kern w:val="0"/>
                <w:sz w:val="24"/>
              </w:rPr>
            </w:pPr>
          </w:p>
        </w:tc>
      </w:tr>
      <w:tr w14:paraId="258FA467">
        <w:tblPrEx>
          <w:tblCellMar>
            <w:top w:w="0" w:type="dxa"/>
            <w:left w:w="0" w:type="dxa"/>
            <w:bottom w:w="0" w:type="dxa"/>
            <w:right w:w="0" w:type="dxa"/>
          </w:tblCellMar>
        </w:tblPrEx>
        <w:trPr>
          <w:cantSplit/>
          <w:trHeight w:val="500" w:hRule="exact"/>
        </w:trPr>
        <w:tc>
          <w:tcPr>
            <w:tcW w:w="1812" w:type="dxa"/>
            <w:tcBorders>
              <w:top w:val="single" w:color="000000" w:sz="4" w:space="0"/>
              <w:left w:val="single" w:color="000000" w:sz="4" w:space="0"/>
              <w:bottom w:val="single" w:color="000000" w:sz="4" w:space="0"/>
              <w:right w:val="single" w:color="000000" w:sz="4" w:space="0"/>
            </w:tcBorders>
            <w:vAlign w:val="center"/>
          </w:tcPr>
          <w:p w14:paraId="13AC1FC8">
            <w:pPr>
              <w:spacing w:line="500" w:lineRule="exact"/>
              <w:jc w:val="center"/>
              <w:rPr>
                <w:rFonts w:ascii="宋体" w:hAnsi="宋体" w:cs="宋体"/>
                <w:kern w:val="0"/>
                <w:sz w:val="24"/>
              </w:rPr>
            </w:pPr>
            <w:r>
              <w:rPr>
                <w:rFonts w:hint="eastAsia" w:ascii="宋体" w:hAnsi="宋体" w:cs="宋体"/>
                <w:kern w:val="0"/>
                <w:szCs w:val="21"/>
              </w:rPr>
              <w:t>注册资金</w:t>
            </w:r>
          </w:p>
        </w:tc>
        <w:tc>
          <w:tcPr>
            <w:tcW w:w="1939" w:type="dxa"/>
            <w:gridSpan w:val="2"/>
            <w:tcBorders>
              <w:top w:val="single" w:color="000000" w:sz="4" w:space="0"/>
              <w:left w:val="single" w:color="000000" w:sz="4" w:space="0"/>
              <w:bottom w:val="single" w:color="000000" w:sz="4" w:space="0"/>
              <w:right w:val="single" w:color="000000" w:sz="4" w:space="0"/>
            </w:tcBorders>
            <w:vAlign w:val="center"/>
          </w:tcPr>
          <w:p w14:paraId="2A942C78">
            <w:pPr>
              <w:spacing w:line="500" w:lineRule="exact"/>
              <w:jc w:val="center"/>
              <w:rPr>
                <w:rFonts w:ascii="宋体" w:hAnsi="宋体" w:cs="宋体"/>
                <w:kern w:val="0"/>
                <w:sz w:val="24"/>
              </w:rPr>
            </w:pPr>
          </w:p>
        </w:tc>
        <w:tc>
          <w:tcPr>
            <w:tcW w:w="881" w:type="dxa"/>
            <w:vMerge w:val="continue"/>
            <w:tcBorders>
              <w:top w:val="single" w:color="000000" w:sz="4" w:space="0"/>
              <w:left w:val="single" w:color="000000" w:sz="4" w:space="0"/>
              <w:bottom w:val="single" w:color="000000" w:sz="4" w:space="0"/>
              <w:right w:val="single" w:color="000000" w:sz="4" w:space="0"/>
            </w:tcBorders>
            <w:vAlign w:val="center"/>
          </w:tcPr>
          <w:p w14:paraId="6524332E">
            <w:pPr>
              <w:spacing w:line="500" w:lineRule="exact"/>
              <w:jc w:val="center"/>
              <w:rPr>
                <w:rFonts w:ascii="宋体" w:hAnsi="宋体" w:cs="宋体"/>
                <w:kern w:val="0"/>
                <w:sz w:val="24"/>
              </w:rPr>
            </w:pPr>
          </w:p>
        </w:tc>
        <w:tc>
          <w:tcPr>
            <w:tcW w:w="2413" w:type="dxa"/>
            <w:gridSpan w:val="4"/>
            <w:tcBorders>
              <w:top w:val="single" w:color="000000" w:sz="4" w:space="0"/>
              <w:left w:val="single" w:color="000000" w:sz="4" w:space="0"/>
              <w:bottom w:val="single" w:color="000000" w:sz="4" w:space="0"/>
              <w:right w:val="single" w:color="000000" w:sz="4" w:space="0"/>
            </w:tcBorders>
            <w:vAlign w:val="center"/>
          </w:tcPr>
          <w:p w14:paraId="0EC2427C">
            <w:pPr>
              <w:spacing w:line="500" w:lineRule="exact"/>
              <w:jc w:val="center"/>
              <w:rPr>
                <w:rFonts w:ascii="宋体" w:hAnsi="宋体" w:cs="宋体"/>
                <w:kern w:val="0"/>
                <w:sz w:val="24"/>
              </w:rPr>
            </w:pPr>
            <w:r>
              <w:rPr>
                <w:rFonts w:hint="eastAsia" w:ascii="宋体" w:hAnsi="宋体" w:cs="宋体"/>
                <w:kern w:val="0"/>
                <w:szCs w:val="21"/>
              </w:rPr>
              <w:t>中级职称人员</w:t>
            </w:r>
          </w:p>
        </w:tc>
        <w:tc>
          <w:tcPr>
            <w:tcW w:w="2367" w:type="dxa"/>
            <w:gridSpan w:val="2"/>
            <w:tcBorders>
              <w:top w:val="single" w:color="000000" w:sz="4" w:space="0"/>
              <w:left w:val="single" w:color="000000" w:sz="4" w:space="0"/>
              <w:bottom w:val="single" w:color="000000" w:sz="4" w:space="0"/>
              <w:right w:val="single" w:color="000000" w:sz="4" w:space="0"/>
            </w:tcBorders>
            <w:vAlign w:val="center"/>
          </w:tcPr>
          <w:p w14:paraId="4BDF4571">
            <w:pPr>
              <w:spacing w:line="500" w:lineRule="exact"/>
              <w:jc w:val="center"/>
              <w:rPr>
                <w:rFonts w:ascii="宋体" w:hAnsi="宋体" w:cs="宋体"/>
                <w:kern w:val="0"/>
                <w:sz w:val="24"/>
              </w:rPr>
            </w:pPr>
          </w:p>
        </w:tc>
      </w:tr>
      <w:tr w14:paraId="3406AEEB">
        <w:tblPrEx>
          <w:tblCellMar>
            <w:top w:w="0" w:type="dxa"/>
            <w:left w:w="0" w:type="dxa"/>
            <w:bottom w:w="0" w:type="dxa"/>
            <w:right w:w="0" w:type="dxa"/>
          </w:tblCellMar>
        </w:tblPrEx>
        <w:trPr>
          <w:cantSplit/>
          <w:trHeight w:val="482" w:hRule="exact"/>
        </w:trPr>
        <w:tc>
          <w:tcPr>
            <w:tcW w:w="1812" w:type="dxa"/>
            <w:tcBorders>
              <w:top w:val="single" w:color="000000" w:sz="4" w:space="0"/>
              <w:left w:val="single" w:color="000000" w:sz="4" w:space="0"/>
              <w:bottom w:val="single" w:color="000000" w:sz="4" w:space="0"/>
              <w:right w:val="single" w:color="000000" w:sz="4" w:space="0"/>
            </w:tcBorders>
            <w:vAlign w:val="center"/>
          </w:tcPr>
          <w:p w14:paraId="136AACAC">
            <w:pPr>
              <w:spacing w:line="500" w:lineRule="exact"/>
              <w:jc w:val="center"/>
              <w:rPr>
                <w:rFonts w:ascii="宋体" w:hAnsi="宋体" w:cs="宋体"/>
                <w:kern w:val="0"/>
                <w:sz w:val="24"/>
              </w:rPr>
            </w:pPr>
            <w:r>
              <w:rPr>
                <w:rFonts w:hint="eastAsia" w:ascii="宋体" w:hAnsi="宋体" w:cs="宋体"/>
                <w:kern w:val="0"/>
                <w:szCs w:val="21"/>
              </w:rPr>
              <w:t>开户银行</w:t>
            </w:r>
          </w:p>
        </w:tc>
        <w:tc>
          <w:tcPr>
            <w:tcW w:w="1939" w:type="dxa"/>
            <w:gridSpan w:val="2"/>
            <w:tcBorders>
              <w:top w:val="single" w:color="000000" w:sz="4" w:space="0"/>
              <w:left w:val="single" w:color="000000" w:sz="4" w:space="0"/>
              <w:bottom w:val="single" w:color="000000" w:sz="4" w:space="0"/>
              <w:right w:val="single" w:color="000000" w:sz="4" w:space="0"/>
            </w:tcBorders>
            <w:vAlign w:val="center"/>
          </w:tcPr>
          <w:p w14:paraId="02DE693A">
            <w:pPr>
              <w:spacing w:line="500" w:lineRule="exact"/>
              <w:jc w:val="center"/>
              <w:rPr>
                <w:rFonts w:ascii="宋体" w:hAnsi="宋体" w:cs="宋体"/>
                <w:kern w:val="0"/>
                <w:sz w:val="24"/>
              </w:rPr>
            </w:pPr>
          </w:p>
        </w:tc>
        <w:tc>
          <w:tcPr>
            <w:tcW w:w="881" w:type="dxa"/>
            <w:vMerge w:val="continue"/>
            <w:tcBorders>
              <w:top w:val="single" w:color="000000" w:sz="4" w:space="0"/>
              <w:left w:val="single" w:color="000000" w:sz="4" w:space="0"/>
              <w:bottom w:val="single" w:color="000000" w:sz="4" w:space="0"/>
              <w:right w:val="single" w:color="000000" w:sz="4" w:space="0"/>
            </w:tcBorders>
            <w:vAlign w:val="center"/>
          </w:tcPr>
          <w:p w14:paraId="6966E93E">
            <w:pPr>
              <w:spacing w:line="500" w:lineRule="exact"/>
              <w:jc w:val="center"/>
              <w:rPr>
                <w:rFonts w:ascii="宋体" w:hAnsi="宋体" w:cs="宋体"/>
                <w:kern w:val="0"/>
                <w:sz w:val="24"/>
              </w:rPr>
            </w:pPr>
          </w:p>
        </w:tc>
        <w:tc>
          <w:tcPr>
            <w:tcW w:w="2413" w:type="dxa"/>
            <w:gridSpan w:val="4"/>
            <w:tcBorders>
              <w:top w:val="single" w:color="000000" w:sz="4" w:space="0"/>
              <w:left w:val="single" w:color="000000" w:sz="4" w:space="0"/>
              <w:bottom w:val="single" w:color="000000" w:sz="4" w:space="0"/>
              <w:right w:val="single" w:color="000000" w:sz="4" w:space="0"/>
            </w:tcBorders>
            <w:vAlign w:val="center"/>
          </w:tcPr>
          <w:p w14:paraId="631A4D25">
            <w:pPr>
              <w:spacing w:line="500" w:lineRule="exact"/>
              <w:jc w:val="center"/>
              <w:rPr>
                <w:rFonts w:ascii="宋体" w:hAnsi="宋体" w:cs="宋体"/>
                <w:kern w:val="0"/>
                <w:sz w:val="24"/>
              </w:rPr>
            </w:pPr>
            <w:r>
              <w:rPr>
                <w:rFonts w:hint="eastAsia" w:ascii="宋体" w:hAnsi="宋体" w:cs="宋体"/>
                <w:kern w:val="0"/>
                <w:szCs w:val="21"/>
              </w:rPr>
              <w:t>初级职称人员</w:t>
            </w:r>
          </w:p>
        </w:tc>
        <w:tc>
          <w:tcPr>
            <w:tcW w:w="2367" w:type="dxa"/>
            <w:gridSpan w:val="2"/>
            <w:tcBorders>
              <w:top w:val="single" w:color="000000" w:sz="4" w:space="0"/>
              <w:left w:val="single" w:color="000000" w:sz="4" w:space="0"/>
              <w:bottom w:val="single" w:color="000000" w:sz="4" w:space="0"/>
              <w:right w:val="single" w:color="000000" w:sz="4" w:space="0"/>
            </w:tcBorders>
            <w:vAlign w:val="center"/>
          </w:tcPr>
          <w:p w14:paraId="2E7CDA5D">
            <w:pPr>
              <w:spacing w:line="500" w:lineRule="exact"/>
              <w:jc w:val="center"/>
              <w:rPr>
                <w:rFonts w:ascii="宋体" w:hAnsi="宋体" w:cs="宋体"/>
                <w:kern w:val="0"/>
                <w:sz w:val="24"/>
              </w:rPr>
            </w:pPr>
          </w:p>
        </w:tc>
      </w:tr>
      <w:tr w14:paraId="738DA30E">
        <w:tblPrEx>
          <w:tblCellMar>
            <w:top w:w="0" w:type="dxa"/>
            <w:left w:w="0" w:type="dxa"/>
            <w:bottom w:w="0" w:type="dxa"/>
            <w:right w:w="0" w:type="dxa"/>
          </w:tblCellMar>
        </w:tblPrEx>
        <w:trPr>
          <w:cantSplit/>
          <w:trHeight w:val="528" w:hRule="exact"/>
        </w:trPr>
        <w:tc>
          <w:tcPr>
            <w:tcW w:w="1812" w:type="dxa"/>
            <w:tcBorders>
              <w:top w:val="single" w:color="000000" w:sz="4" w:space="0"/>
              <w:left w:val="single" w:color="000000" w:sz="4" w:space="0"/>
              <w:bottom w:val="single" w:color="000000" w:sz="4" w:space="0"/>
              <w:right w:val="single" w:color="000000" w:sz="4" w:space="0"/>
            </w:tcBorders>
            <w:vAlign w:val="center"/>
          </w:tcPr>
          <w:p w14:paraId="3BD48022">
            <w:pPr>
              <w:spacing w:line="500" w:lineRule="exact"/>
              <w:jc w:val="center"/>
              <w:rPr>
                <w:rFonts w:ascii="宋体" w:hAnsi="宋体" w:cs="宋体"/>
                <w:kern w:val="0"/>
                <w:sz w:val="24"/>
              </w:rPr>
            </w:pPr>
            <w:r>
              <w:rPr>
                <w:rFonts w:hint="eastAsia" w:ascii="宋体" w:hAnsi="宋体" w:cs="宋体"/>
                <w:kern w:val="0"/>
                <w:szCs w:val="21"/>
              </w:rPr>
              <w:t>账号</w:t>
            </w:r>
          </w:p>
        </w:tc>
        <w:tc>
          <w:tcPr>
            <w:tcW w:w="1939" w:type="dxa"/>
            <w:gridSpan w:val="2"/>
            <w:tcBorders>
              <w:top w:val="single" w:color="000000" w:sz="4" w:space="0"/>
              <w:left w:val="single" w:color="000000" w:sz="4" w:space="0"/>
              <w:bottom w:val="single" w:color="000000" w:sz="4" w:space="0"/>
              <w:right w:val="single" w:color="000000" w:sz="4" w:space="0"/>
            </w:tcBorders>
            <w:vAlign w:val="center"/>
          </w:tcPr>
          <w:p w14:paraId="6EC33752">
            <w:pPr>
              <w:spacing w:line="500" w:lineRule="exact"/>
              <w:jc w:val="center"/>
              <w:rPr>
                <w:rFonts w:ascii="宋体" w:hAnsi="宋体" w:cs="宋体"/>
                <w:kern w:val="0"/>
                <w:sz w:val="24"/>
              </w:rPr>
            </w:pPr>
          </w:p>
        </w:tc>
        <w:tc>
          <w:tcPr>
            <w:tcW w:w="881" w:type="dxa"/>
            <w:vMerge w:val="continue"/>
            <w:tcBorders>
              <w:top w:val="single" w:color="000000" w:sz="4" w:space="0"/>
              <w:left w:val="single" w:color="000000" w:sz="4" w:space="0"/>
              <w:bottom w:val="single" w:color="000000" w:sz="4" w:space="0"/>
              <w:right w:val="single" w:color="000000" w:sz="4" w:space="0"/>
            </w:tcBorders>
            <w:vAlign w:val="center"/>
          </w:tcPr>
          <w:p w14:paraId="49BA724B">
            <w:pPr>
              <w:spacing w:line="500" w:lineRule="exact"/>
              <w:jc w:val="center"/>
              <w:rPr>
                <w:rFonts w:ascii="宋体" w:hAnsi="宋体" w:cs="宋体"/>
                <w:kern w:val="0"/>
                <w:sz w:val="24"/>
              </w:rPr>
            </w:pPr>
          </w:p>
        </w:tc>
        <w:tc>
          <w:tcPr>
            <w:tcW w:w="2413" w:type="dxa"/>
            <w:gridSpan w:val="4"/>
            <w:tcBorders>
              <w:top w:val="single" w:color="000000" w:sz="4" w:space="0"/>
              <w:left w:val="single" w:color="000000" w:sz="4" w:space="0"/>
              <w:bottom w:val="single" w:color="000000" w:sz="4" w:space="0"/>
              <w:right w:val="single" w:color="000000" w:sz="4" w:space="0"/>
            </w:tcBorders>
            <w:vAlign w:val="center"/>
          </w:tcPr>
          <w:p w14:paraId="0905D3A5">
            <w:pPr>
              <w:spacing w:line="500" w:lineRule="exact"/>
              <w:jc w:val="center"/>
              <w:rPr>
                <w:rFonts w:ascii="宋体" w:hAnsi="宋体" w:cs="宋体"/>
                <w:kern w:val="0"/>
                <w:sz w:val="24"/>
              </w:rPr>
            </w:pPr>
            <w:r>
              <w:rPr>
                <w:rFonts w:hint="eastAsia" w:ascii="宋体" w:hAnsi="宋体" w:cs="宋体"/>
                <w:kern w:val="0"/>
                <w:szCs w:val="21"/>
              </w:rPr>
              <w:t>技</w:t>
            </w:r>
            <w:r>
              <w:rPr>
                <w:rFonts w:hint="eastAsia" w:ascii="宋体" w:hAnsi="宋体" w:cs="宋体"/>
                <w:kern w:val="0"/>
                <w:szCs w:val="21"/>
              </w:rPr>
              <w:tab/>
            </w:r>
            <w:r>
              <w:rPr>
                <w:rFonts w:hint="eastAsia" w:ascii="宋体" w:hAnsi="宋体" w:cs="宋体"/>
                <w:kern w:val="0"/>
                <w:szCs w:val="21"/>
              </w:rPr>
              <w:t>工</w:t>
            </w:r>
          </w:p>
        </w:tc>
        <w:tc>
          <w:tcPr>
            <w:tcW w:w="2367" w:type="dxa"/>
            <w:gridSpan w:val="2"/>
            <w:tcBorders>
              <w:top w:val="single" w:color="000000" w:sz="4" w:space="0"/>
              <w:left w:val="single" w:color="000000" w:sz="4" w:space="0"/>
              <w:bottom w:val="single" w:color="000000" w:sz="4" w:space="0"/>
              <w:right w:val="single" w:color="000000" w:sz="4" w:space="0"/>
            </w:tcBorders>
            <w:vAlign w:val="center"/>
          </w:tcPr>
          <w:p w14:paraId="155D98F4">
            <w:pPr>
              <w:spacing w:line="500" w:lineRule="exact"/>
              <w:jc w:val="center"/>
              <w:rPr>
                <w:rFonts w:ascii="宋体" w:hAnsi="宋体" w:cs="宋体"/>
                <w:kern w:val="0"/>
                <w:sz w:val="24"/>
              </w:rPr>
            </w:pPr>
          </w:p>
        </w:tc>
      </w:tr>
      <w:tr w14:paraId="1BED9615">
        <w:tblPrEx>
          <w:tblCellMar>
            <w:top w:w="0" w:type="dxa"/>
            <w:left w:w="0" w:type="dxa"/>
            <w:bottom w:w="0" w:type="dxa"/>
            <w:right w:w="0" w:type="dxa"/>
          </w:tblCellMar>
        </w:tblPrEx>
        <w:trPr>
          <w:trHeight w:val="664" w:hRule="exact"/>
        </w:trPr>
        <w:tc>
          <w:tcPr>
            <w:tcW w:w="1812" w:type="dxa"/>
            <w:tcBorders>
              <w:top w:val="single" w:color="000000" w:sz="4" w:space="0"/>
              <w:left w:val="single" w:color="000000" w:sz="4" w:space="0"/>
              <w:bottom w:val="single" w:color="000000" w:sz="4" w:space="0"/>
              <w:right w:val="single" w:color="000000" w:sz="4" w:space="0"/>
            </w:tcBorders>
            <w:vAlign w:val="center"/>
          </w:tcPr>
          <w:p w14:paraId="05CD950B">
            <w:pPr>
              <w:spacing w:line="500" w:lineRule="exact"/>
              <w:jc w:val="center"/>
              <w:rPr>
                <w:rFonts w:ascii="宋体" w:hAnsi="宋体" w:cs="宋体"/>
                <w:kern w:val="0"/>
                <w:sz w:val="14"/>
                <w:szCs w:val="14"/>
              </w:rPr>
            </w:pPr>
          </w:p>
          <w:p w14:paraId="6AAC2835">
            <w:pPr>
              <w:spacing w:line="500" w:lineRule="exact"/>
              <w:jc w:val="center"/>
              <w:rPr>
                <w:rFonts w:ascii="宋体" w:hAnsi="宋体" w:cs="宋体"/>
                <w:kern w:val="0"/>
                <w:sz w:val="24"/>
              </w:rPr>
            </w:pPr>
            <w:r>
              <w:rPr>
                <w:rFonts w:hint="eastAsia" w:ascii="宋体" w:hAnsi="宋体" w:cs="宋体"/>
                <w:kern w:val="0"/>
                <w:szCs w:val="21"/>
              </w:rPr>
              <w:t>经营范围</w:t>
            </w:r>
          </w:p>
        </w:tc>
        <w:tc>
          <w:tcPr>
            <w:tcW w:w="7600" w:type="dxa"/>
            <w:gridSpan w:val="9"/>
            <w:tcBorders>
              <w:top w:val="single" w:color="000000" w:sz="4" w:space="0"/>
              <w:left w:val="single" w:color="000000" w:sz="4" w:space="0"/>
              <w:bottom w:val="single" w:color="000000" w:sz="4" w:space="0"/>
              <w:right w:val="single" w:color="000000" w:sz="4" w:space="0"/>
            </w:tcBorders>
            <w:vAlign w:val="center"/>
          </w:tcPr>
          <w:p w14:paraId="4BAFB9C5">
            <w:pPr>
              <w:spacing w:line="500" w:lineRule="exact"/>
              <w:jc w:val="center"/>
              <w:rPr>
                <w:rFonts w:ascii="宋体" w:hAnsi="宋体" w:cs="宋体"/>
                <w:kern w:val="0"/>
                <w:sz w:val="24"/>
              </w:rPr>
            </w:pPr>
          </w:p>
        </w:tc>
      </w:tr>
      <w:tr w14:paraId="00C1A341">
        <w:tblPrEx>
          <w:tblCellMar>
            <w:top w:w="0" w:type="dxa"/>
            <w:left w:w="0" w:type="dxa"/>
            <w:bottom w:w="0" w:type="dxa"/>
            <w:right w:w="0" w:type="dxa"/>
          </w:tblCellMar>
        </w:tblPrEx>
        <w:trPr>
          <w:trHeight w:val="452" w:hRule="exact"/>
        </w:trPr>
        <w:tc>
          <w:tcPr>
            <w:tcW w:w="1812" w:type="dxa"/>
            <w:tcBorders>
              <w:top w:val="single" w:color="000000" w:sz="4" w:space="0"/>
              <w:left w:val="single" w:color="000000" w:sz="4" w:space="0"/>
              <w:bottom w:val="single" w:color="000000" w:sz="4" w:space="0"/>
              <w:right w:val="single" w:color="000000" w:sz="4" w:space="0"/>
            </w:tcBorders>
            <w:vAlign w:val="center"/>
          </w:tcPr>
          <w:p w14:paraId="0505941A">
            <w:pPr>
              <w:spacing w:line="500" w:lineRule="exact"/>
              <w:jc w:val="center"/>
              <w:rPr>
                <w:rFonts w:ascii="宋体" w:hAnsi="宋体" w:cs="宋体"/>
                <w:kern w:val="0"/>
                <w:sz w:val="24"/>
              </w:rPr>
            </w:pPr>
            <w:r>
              <w:rPr>
                <w:rFonts w:hint="eastAsia" w:ascii="宋体" w:hAnsi="宋体" w:cs="宋体"/>
                <w:kern w:val="0"/>
                <w:szCs w:val="21"/>
              </w:rPr>
              <w:t>备注</w:t>
            </w:r>
          </w:p>
        </w:tc>
        <w:tc>
          <w:tcPr>
            <w:tcW w:w="7600" w:type="dxa"/>
            <w:gridSpan w:val="9"/>
            <w:tcBorders>
              <w:top w:val="single" w:color="000000" w:sz="4" w:space="0"/>
              <w:left w:val="single" w:color="000000" w:sz="4" w:space="0"/>
              <w:bottom w:val="single" w:color="000000" w:sz="4" w:space="0"/>
              <w:right w:val="single" w:color="000000" w:sz="4" w:space="0"/>
            </w:tcBorders>
            <w:vAlign w:val="center"/>
          </w:tcPr>
          <w:p w14:paraId="63FE7398">
            <w:pPr>
              <w:spacing w:line="500" w:lineRule="exact"/>
              <w:jc w:val="center"/>
              <w:rPr>
                <w:rFonts w:ascii="宋体" w:hAnsi="宋体" w:cs="宋体"/>
                <w:kern w:val="0"/>
                <w:sz w:val="24"/>
              </w:rPr>
            </w:pPr>
          </w:p>
        </w:tc>
      </w:tr>
    </w:tbl>
    <w:p w14:paraId="156C1E06">
      <w:pPr>
        <w:spacing w:line="500" w:lineRule="exact"/>
        <w:rPr>
          <w:rFonts w:ascii="宋体" w:hAnsi="宋体" w:cs="宋体"/>
          <w:kern w:val="0"/>
          <w:sz w:val="20"/>
          <w:szCs w:val="20"/>
        </w:rPr>
      </w:pPr>
    </w:p>
    <w:p w14:paraId="3A00E368">
      <w:pPr>
        <w:spacing w:line="500" w:lineRule="exact"/>
        <w:rPr>
          <w:rFonts w:ascii="宋体" w:hAnsi="宋体" w:cs="宋体"/>
          <w:kern w:val="0"/>
          <w:sz w:val="20"/>
          <w:szCs w:val="20"/>
        </w:rPr>
      </w:pPr>
    </w:p>
    <w:p w14:paraId="60859B1F">
      <w:pPr>
        <w:spacing w:line="500" w:lineRule="exact"/>
        <w:rPr>
          <w:rFonts w:ascii="宋体" w:hAnsi="宋体" w:cs="宋体"/>
          <w:kern w:val="0"/>
          <w:sz w:val="20"/>
          <w:szCs w:val="20"/>
        </w:rPr>
      </w:pPr>
    </w:p>
    <w:p w14:paraId="3300A6FF">
      <w:pPr>
        <w:spacing w:line="500" w:lineRule="exact"/>
        <w:rPr>
          <w:rFonts w:ascii="宋体" w:hAnsi="宋体" w:cs="宋体"/>
          <w:kern w:val="0"/>
          <w:sz w:val="20"/>
          <w:szCs w:val="20"/>
        </w:rPr>
      </w:pPr>
    </w:p>
    <w:p w14:paraId="44F21020">
      <w:pPr>
        <w:pStyle w:val="13"/>
        <w:rPr>
          <w:rFonts w:ascii="宋体" w:hAnsi="宋体" w:cs="宋体"/>
          <w:kern w:val="0"/>
          <w:sz w:val="20"/>
          <w:szCs w:val="20"/>
        </w:rPr>
      </w:pPr>
    </w:p>
    <w:p w14:paraId="0CC8BBFE">
      <w:pPr>
        <w:rPr>
          <w:rFonts w:ascii="宋体" w:hAnsi="宋体" w:cs="宋体"/>
          <w:kern w:val="0"/>
          <w:sz w:val="20"/>
          <w:szCs w:val="20"/>
        </w:rPr>
      </w:pPr>
    </w:p>
    <w:p w14:paraId="0B0AFF9C">
      <w:pPr>
        <w:pStyle w:val="13"/>
        <w:rPr>
          <w:rFonts w:ascii="宋体" w:hAnsi="宋体" w:cs="宋体"/>
          <w:kern w:val="0"/>
          <w:sz w:val="20"/>
          <w:szCs w:val="20"/>
        </w:rPr>
      </w:pPr>
    </w:p>
    <w:p w14:paraId="3F155013">
      <w:pPr>
        <w:rPr>
          <w:rFonts w:ascii="宋体" w:hAnsi="宋体" w:cs="宋体"/>
          <w:kern w:val="0"/>
          <w:sz w:val="20"/>
          <w:szCs w:val="20"/>
        </w:rPr>
      </w:pPr>
    </w:p>
    <w:p w14:paraId="2C0E0EB6">
      <w:pPr>
        <w:pStyle w:val="13"/>
        <w:rPr>
          <w:rFonts w:ascii="宋体" w:hAnsi="宋体" w:cs="宋体"/>
          <w:kern w:val="0"/>
          <w:sz w:val="20"/>
          <w:szCs w:val="20"/>
        </w:rPr>
      </w:pPr>
    </w:p>
    <w:p w14:paraId="64441690">
      <w:pPr>
        <w:rPr>
          <w:rFonts w:ascii="宋体" w:hAnsi="宋体" w:cs="宋体"/>
          <w:kern w:val="0"/>
          <w:sz w:val="20"/>
          <w:szCs w:val="20"/>
        </w:rPr>
      </w:pPr>
    </w:p>
    <w:p w14:paraId="743CD849">
      <w:pPr>
        <w:pStyle w:val="5"/>
        <w:spacing w:line="500" w:lineRule="exact"/>
        <w:ind w:left="0" w:firstLine="0"/>
        <w:rPr>
          <w:rFonts w:ascii="宋体" w:hAnsi="宋体" w:cs="宋体"/>
          <w:color w:val="auto"/>
          <w:w w:val="99"/>
          <w:kern w:val="0"/>
          <w:lang w:val="en-US"/>
        </w:rPr>
      </w:pPr>
      <w:bookmarkStart w:id="646" w:name="_Toc369505633"/>
      <w:bookmarkStart w:id="647" w:name="_Toc389146002"/>
      <w:bookmarkStart w:id="648" w:name="_Toc267582068"/>
      <w:bookmarkStart w:id="649" w:name="_Toc317079957"/>
      <w:bookmarkStart w:id="650" w:name="_Toc455670853"/>
    </w:p>
    <w:p w14:paraId="42C5CC82"/>
    <w:p w14:paraId="1B604A8D">
      <w:pPr>
        <w:pStyle w:val="5"/>
        <w:spacing w:line="500" w:lineRule="exact"/>
        <w:ind w:left="0" w:firstLine="0"/>
        <w:rPr>
          <w:rFonts w:ascii="宋体" w:hAnsi="宋体" w:cs="宋体"/>
          <w:b/>
          <w:bCs w:val="0"/>
          <w:color w:val="auto"/>
          <w:kern w:val="0"/>
          <w:sz w:val="30"/>
          <w:szCs w:val="30"/>
        </w:rPr>
      </w:pPr>
      <w:r>
        <w:rPr>
          <w:rFonts w:hint="eastAsia" w:ascii="宋体" w:hAnsi="宋体" w:cs="宋体"/>
          <w:b/>
          <w:bCs w:val="0"/>
          <w:color w:val="auto"/>
          <w:w w:val="99"/>
          <w:kern w:val="0"/>
          <w:sz w:val="30"/>
          <w:szCs w:val="30"/>
          <w:lang w:val="en-US"/>
        </w:rPr>
        <w:t>2、</w:t>
      </w:r>
      <w:r>
        <w:rPr>
          <w:rFonts w:hint="eastAsia" w:ascii="宋体" w:hAnsi="宋体" w:cs="宋体"/>
          <w:b/>
          <w:bCs w:val="0"/>
          <w:color w:val="auto"/>
          <w:w w:val="99"/>
          <w:kern w:val="0"/>
          <w:sz w:val="30"/>
          <w:szCs w:val="30"/>
        </w:rPr>
        <w:t>法定代表人身份证明</w:t>
      </w:r>
      <w:bookmarkEnd w:id="646"/>
      <w:bookmarkEnd w:id="647"/>
      <w:bookmarkEnd w:id="648"/>
      <w:bookmarkEnd w:id="649"/>
      <w:bookmarkEnd w:id="650"/>
      <w:r>
        <w:rPr>
          <w:rFonts w:hint="eastAsia" w:ascii="宋体" w:hAnsi="宋体" w:cs="宋体"/>
          <w:b/>
          <w:bCs w:val="0"/>
          <w:color w:val="auto"/>
          <w:w w:val="99"/>
          <w:kern w:val="0"/>
          <w:sz w:val="30"/>
          <w:szCs w:val="30"/>
        </w:rPr>
        <w:t>（格式）（必须提供）</w:t>
      </w:r>
    </w:p>
    <w:p w14:paraId="1B9984F2">
      <w:pPr>
        <w:spacing w:line="500" w:lineRule="exact"/>
        <w:rPr>
          <w:rFonts w:ascii="宋体" w:hAnsi="宋体" w:cs="宋体"/>
          <w:kern w:val="0"/>
          <w:sz w:val="20"/>
          <w:szCs w:val="20"/>
        </w:rPr>
      </w:pPr>
    </w:p>
    <w:p w14:paraId="5791E0D1">
      <w:pPr>
        <w:spacing w:line="500" w:lineRule="exact"/>
        <w:rPr>
          <w:rFonts w:ascii="宋体" w:hAnsi="宋体" w:cs="宋体"/>
          <w:kern w:val="0"/>
          <w:szCs w:val="21"/>
        </w:rPr>
      </w:pPr>
      <w:r>
        <w:rPr>
          <w:rFonts w:hint="eastAsia" w:ascii="宋体" w:hAnsi="宋体" w:cs="宋体"/>
          <w:kern w:val="0"/>
          <w:szCs w:val="21"/>
        </w:rPr>
        <w:t>竞标人名称：</w:t>
      </w:r>
      <w:r>
        <w:rPr>
          <w:rFonts w:hint="eastAsia" w:ascii="宋体" w:hAnsi="宋体" w:cs="宋体"/>
          <w:w w:val="200"/>
          <w:kern w:val="0"/>
          <w:szCs w:val="21"/>
          <w:u w:val="single"/>
        </w:rPr>
        <w:t xml:space="preserve"> </w:t>
      </w:r>
      <w:r>
        <w:rPr>
          <w:rFonts w:hint="eastAsia" w:ascii="宋体" w:hAnsi="宋体" w:cs="宋体"/>
          <w:kern w:val="0"/>
          <w:szCs w:val="21"/>
          <w:u w:val="single"/>
        </w:rPr>
        <w:tab/>
      </w:r>
    </w:p>
    <w:p w14:paraId="5CEAEAA8">
      <w:pPr>
        <w:spacing w:line="500" w:lineRule="exact"/>
        <w:rPr>
          <w:rFonts w:ascii="宋体" w:hAnsi="宋体" w:cs="宋体"/>
          <w:kern w:val="0"/>
          <w:sz w:val="20"/>
          <w:szCs w:val="20"/>
        </w:rPr>
      </w:pPr>
    </w:p>
    <w:p w14:paraId="31BC4229">
      <w:pPr>
        <w:spacing w:line="500" w:lineRule="exact"/>
        <w:rPr>
          <w:rFonts w:ascii="宋体" w:hAnsi="宋体" w:cs="宋体"/>
          <w:kern w:val="0"/>
          <w:szCs w:val="21"/>
        </w:rPr>
      </w:pPr>
      <w:r>
        <w:rPr>
          <w:rFonts w:hint="eastAsia" w:ascii="宋体" w:hAnsi="宋体" w:cs="宋体"/>
          <w:kern w:val="0"/>
          <w:szCs w:val="21"/>
        </w:rPr>
        <w:t>单位性质：</w:t>
      </w:r>
      <w:r>
        <w:rPr>
          <w:rFonts w:hint="eastAsia" w:ascii="宋体" w:hAnsi="宋体" w:cs="宋体"/>
          <w:w w:val="200"/>
          <w:kern w:val="0"/>
          <w:szCs w:val="21"/>
          <w:u w:val="single"/>
        </w:rPr>
        <w:t xml:space="preserve"> </w:t>
      </w:r>
      <w:r>
        <w:rPr>
          <w:rFonts w:hint="eastAsia" w:ascii="宋体" w:hAnsi="宋体" w:cs="宋体"/>
          <w:kern w:val="0"/>
          <w:szCs w:val="21"/>
          <w:u w:val="single"/>
        </w:rPr>
        <w:tab/>
      </w:r>
    </w:p>
    <w:p w14:paraId="40B98721">
      <w:pPr>
        <w:spacing w:line="500" w:lineRule="exact"/>
        <w:rPr>
          <w:rFonts w:ascii="宋体" w:hAnsi="宋体" w:cs="宋体"/>
          <w:kern w:val="0"/>
          <w:sz w:val="20"/>
          <w:szCs w:val="20"/>
        </w:rPr>
      </w:pPr>
    </w:p>
    <w:p w14:paraId="32FD85D0">
      <w:pPr>
        <w:spacing w:line="500" w:lineRule="exact"/>
        <w:rPr>
          <w:rFonts w:ascii="宋体" w:hAnsi="宋体" w:cs="宋体"/>
          <w:kern w:val="0"/>
          <w:szCs w:val="21"/>
        </w:rPr>
      </w:pPr>
      <w:r>
        <w:rPr>
          <w:rFonts w:hint="eastAsia" w:ascii="宋体" w:hAnsi="宋体" w:cs="宋体"/>
          <w:kern w:val="0"/>
          <w:szCs w:val="21"/>
        </w:rPr>
        <w:t>地址：</w:t>
      </w:r>
      <w:r>
        <w:rPr>
          <w:rFonts w:hint="eastAsia" w:ascii="宋体" w:hAnsi="宋体" w:cs="宋体"/>
          <w:w w:val="200"/>
          <w:kern w:val="0"/>
          <w:szCs w:val="21"/>
          <w:u w:val="single"/>
        </w:rPr>
        <w:t xml:space="preserve"> </w:t>
      </w:r>
      <w:r>
        <w:rPr>
          <w:rFonts w:hint="eastAsia" w:ascii="宋体" w:hAnsi="宋体" w:cs="宋体"/>
          <w:kern w:val="0"/>
          <w:szCs w:val="21"/>
          <w:u w:val="single"/>
        </w:rPr>
        <w:tab/>
      </w:r>
    </w:p>
    <w:p w14:paraId="0FD2B675">
      <w:pPr>
        <w:spacing w:line="500" w:lineRule="exact"/>
        <w:rPr>
          <w:rFonts w:ascii="宋体" w:hAnsi="宋体" w:cs="宋体"/>
          <w:kern w:val="0"/>
          <w:sz w:val="20"/>
          <w:szCs w:val="20"/>
        </w:rPr>
      </w:pPr>
    </w:p>
    <w:p w14:paraId="4319053B">
      <w:pPr>
        <w:spacing w:line="500" w:lineRule="exact"/>
        <w:rPr>
          <w:rFonts w:ascii="宋体" w:hAnsi="宋体" w:cs="宋体"/>
          <w:kern w:val="0"/>
          <w:szCs w:val="21"/>
        </w:rPr>
      </w:pPr>
      <w:r>
        <w:rPr>
          <w:rFonts w:hint="eastAsia" w:ascii="宋体" w:hAnsi="宋体" w:cs="宋体"/>
          <w:kern w:val="0"/>
          <w:szCs w:val="21"/>
        </w:rPr>
        <w:t>成立时间：</w:t>
      </w:r>
      <w:r>
        <w:rPr>
          <w:rFonts w:hint="eastAsia" w:ascii="宋体" w:hAnsi="宋体" w:cs="宋体"/>
          <w:w w:val="200"/>
          <w:kern w:val="0"/>
          <w:szCs w:val="21"/>
          <w:u w:val="single"/>
        </w:rPr>
        <w:t xml:space="preserve"> </w:t>
      </w:r>
      <w:r>
        <w:rPr>
          <w:rFonts w:hint="eastAsia" w:ascii="宋体" w:hAnsi="宋体" w:cs="宋体"/>
          <w:kern w:val="0"/>
          <w:szCs w:val="21"/>
          <w:u w:val="single"/>
        </w:rPr>
        <w:tab/>
      </w:r>
      <w:r>
        <w:rPr>
          <w:rFonts w:hint="eastAsia" w:ascii="宋体" w:hAnsi="宋体" w:cs="宋体"/>
          <w:kern w:val="0"/>
          <w:szCs w:val="21"/>
        </w:rPr>
        <w:t xml:space="preserve"> </w:t>
      </w:r>
      <w:r>
        <w:rPr>
          <w:rFonts w:hint="eastAsia" w:ascii="宋体" w:hAnsi="宋体" w:cs="宋体"/>
          <w:spacing w:val="-1"/>
          <w:kern w:val="0"/>
          <w:szCs w:val="21"/>
        </w:rPr>
        <w:t>年</w:t>
      </w:r>
      <w:r>
        <w:rPr>
          <w:rFonts w:hint="eastAsia" w:ascii="宋体" w:hAnsi="宋体" w:cs="宋体"/>
          <w:w w:val="200"/>
          <w:kern w:val="0"/>
          <w:szCs w:val="21"/>
          <w:u w:val="single"/>
        </w:rPr>
        <w:t xml:space="preserve"> </w:t>
      </w:r>
      <w:r>
        <w:rPr>
          <w:rFonts w:hint="eastAsia" w:ascii="宋体" w:hAnsi="宋体" w:cs="宋体"/>
          <w:kern w:val="0"/>
          <w:szCs w:val="21"/>
          <w:u w:val="single"/>
        </w:rPr>
        <w:tab/>
      </w:r>
      <w:r>
        <w:rPr>
          <w:rFonts w:hint="eastAsia" w:ascii="宋体" w:hAnsi="宋体" w:cs="宋体"/>
          <w:kern w:val="0"/>
          <w:szCs w:val="21"/>
        </w:rPr>
        <w:t xml:space="preserve"> </w:t>
      </w:r>
      <w:r>
        <w:rPr>
          <w:rFonts w:hint="eastAsia" w:ascii="宋体" w:hAnsi="宋体" w:cs="宋体"/>
          <w:spacing w:val="-1"/>
          <w:kern w:val="0"/>
          <w:szCs w:val="21"/>
        </w:rPr>
        <w:t>月</w:t>
      </w:r>
      <w:r>
        <w:rPr>
          <w:rFonts w:hint="eastAsia" w:ascii="宋体" w:hAnsi="宋体" w:cs="宋体"/>
          <w:w w:val="200"/>
          <w:kern w:val="0"/>
          <w:szCs w:val="21"/>
          <w:u w:val="single"/>
        </w:rPr>
        <w:t xml:space="preserve"> </w:t>
      </w:r>
      <w:r>
        <w:rPr>
          <w:rFonts w:hint="eastAsia" w:ascii="宋体" w:hAnsi="宋体" w:cs="宋体"/>
          <w:kern w:val="0"/>
          <w:szCs w:val="21"/>
          <w:u w:val="single"/>
        </w:rPr>
        <w:tab/>
      </w:r>
      <w:r>
        <w:rPr>
          <w:rFonts w:hint="eastAsia" w:ascii="宋体" w:hAnsi="宋体" w:cs="宋体"/>
          <w:kern w:val="0"/>
          <w:szCs w:val="21"/>
        </w:rPr>
        <w:t xml:space="preserve"> 日</w:t>
      </w:r>
    </w:p>
    <w:p w14:paraId="757FB76A">
      <w:pPr>
        <w:spacing w:line="500" w:lineRule="exact"/>
        <w:rPr>
          <w:rFonts w:ascii="宋体" w:hAnsi="宋体" w:cs="宋体"/>
          <w:kern w:val="0"/>
          <w:sz w:val="10"/>
          <w:szCs w:val="10"/>
        </w:rPr>
      </w:pPr>
    </w:p>
    <w:p w14:paraId="167D3613">
      <w:pPr>
        <w:spacing w:line="500" w:lineRule="exact"/>
        <w:rPr>
          <w:rFonts w:ascii="宋体" w:hAnsi="宋体" w:cs="宋体"/>
          <w:kern w:val="0"/>
          <w:szCs w:val="21"/>
        </w:rPr>
      </w:pPr>
      <w:r>
        <w:rPr>
          <w:rFonts w:hint="eastAsia" w:ascii="宋体" w:hAnsi="宋体" w:cs="宋体"/>
          <w:kern w:val="0"/>
          <w:szCs w:val="21"/>
        </w:rPr>
        <w:t>经营期限：</w:t>
      </w:r>
      <w:r>
        <w:rPr>
          <w:rFonts w:hint="eastAsia" w:ascii="宋体" w:hAnsi="宋体" w:cs="宋体"/>
          <w:w w:val="200"/>
          <w:kern w:val="0"/>
          <w:szCs w:val="21"/>
          <w:u w:val="single"/>
        </w:rPr>
        <w:t xml:space="preserve">   </w:t>
      </w:r>
      <w:r>
        <w:rPr>
          <w:rFonts w:hint="eastAsia" w:ascii="宋体" w:hAnsi="宋体" w:cs="宋体"/>
          <w:kern w:val="0"/>
          <w:szCs w:val="21"/>
          <w:u w:val="single"/>
        </w:rPr>
        <w:tab/>
      </w:r>
    </w:p>
    <w:p w14:paraId="60F002CB">
      <w:pPr>
        <w:spacing w:line="500" w:lineRule="exact"/>
        <w:rPr>
          <w:rFonts w:ascii="宋体" w:hAnsi="宋体" w:cs="宋体"/>
          <w:kern w:val="0"/>
          <w:sz w:val="20"/>
          <w:szCs w:val="20"/>
        </w:rPr>
      </w:pPr>
    </w:p>
    <w:p w14:paraId="6F3022F9">
      <w:pPr>
        <w:spacing w:line="500" w:lineRule="exact"/>
        <w:rPr>
          <w:rFonts w:ascii="宋体" w:hAnsi="宋体" w:cs="宋体"/>
          <w:kern w:val="0"/>
          <w:szCs w:val="21"/>
        </w:rPr>
      </w:pPr>
      <w:r>
        <w:rPr>
          <w:rFonts w:hint="eastAsia" w:ascii="宋体" w:hAnsi="宋体" w:cs="宋体"/>
          <w:kern w:val="0"/>
          <w:szCs w:val="21"/>
        </w:rPr>
        <w:t>姓名：</w:t>
      </w:r>
      <w:r>
        <w:rPr>
          <w:rFonts w:hint="eastAsia" w:ascii="宋体" w:hAnsi="宋体" w:cs="宋体"/>
          <w:w w:val="200"/>
          <w:kern w:val="0"/>
          <w:szCs w:val="21"/>
          <w:u w:val="single"/>
        </w:rPr>
        <w:t xml:space="preserve"> </w:t>
      </w:r>
      <w:r>
        <w:rPr>
          <w:rFonts w:hint="eastAsia" w:ascii="宋体" w:hAnsi="宋体" w:cs="宋体"/>
          <w:kern w:val="0"/>
          <w:szCs w:val="21"/>
          <w:u w:val="single"/>
        </w:rPr>
        <w:tab/>
      </w:r>
      <w:r>
        <w:rPr>
          <w:rFonts w:hint="eastAsia" w:ascii="宋体" w:hAnsi="宋体" w:cs="宋体"/>
          <w:kern w:val="0"/>
          <w:szCs w:val="21"/>
        </w:rPr>
        <w:t xml:space="preserve"> 性别</w:t>
      </w:r>
      <w:r>
        <w:rPr>
          <w:rFonts w:hint="eastAsia" w:ascii="宋体" w:hAnsi="宋体" w:cs="宋体"/>
          <w:spacing w:val="-1"/>
          <w:kern w:val="0"/>
          <w:szCs w:val="21"/>
        </w:rPr>
        <w:t>：</w:t>
      </w:r>
      <w:r>
        <w:rPr>
          <w:rFonts w:hint="eastAsia" w:ascii="宋体" w:hAnsi="宋体" w:cs="宋体"/>
          <w:w w:val="200"/>
          <w:kern w:val="0"/>
          <w:szCs w:val="21"/>
          <w:u w:val="single"/>
        </w:rPr>
        <w:t xml:space="preserve"> </w:t>
      </w:r>
      <w:r>
        <w:rPr>
          <w:rFonts w:hint="eastAsia" w:ascii="宋体" w:hAnsi="宋体" w:cs="宋体"/>
          <w:kern w:val="0"/>
          <w:szCs w:val="21"/>
          <w:u w:val="single"/>
        </w:rPr>
        <w:tab/>
      </w:r>
      <w:r>
        <w:rPr>
          <w:rFonts w:hint="eastAsia" w:ascii="宋体" w:hAnsi="宋体" w:cs="宋体"/>
          <w:kern w:val="0"/>
          <w:szCs w:val="21"/>
        </w:rPr>
        <w:t xml:space="preserve"> </w:t>
      </w:r>
      <w:r>
        <w:rPr>
          <w:rFonts w:hint="eastAsia" w:ascii="宋体" w:hAnsi="宋体" w:cs="宋体"/>
          <w:spacing w:val="-1"/>
          <w:kern w:val="0"/>
          <w:szCs w:val="21"/>
        </w:rPr>
        <w:t>年</w:t>
      </w:r>
      <w:r>
        <w:rPr>
          <w:rFonts w:hint="eastAsia" w:ascii="宋体" w:hAnsi="宋体" w:cs="宋体"/>
          <w:kern w:val="0"/>
          <w:szCs w:val="21"/>
        </w:rPr>
        <w:t>龄：</w:t>
      </w:r>
      <w:r>
        <w:rPr>
          <w:rFonts w:hint="eastAsia" w:ascii="宋体" w:hAnsi="宋体" w:cs="宋体"/>
          <w:w w:val="200"/>
          <w:kern w:val="0"/>
          <w:szCs w:val="21"/>
          <w:u w:val="single"/>
        </w:rPr>
        <w:t xml:space="preserve"> </w:t>
      </w:r>
      <w:r>
        <w:rPr>
          <w:rFonts w:hint="eastAsia" w:ascii="宋体" w:hAnsi="宋体" w:cs="宋体"/>
          <w:kern w:val="0"/>
          <w:szCs w:val="21"/>
          <w:u w:val="single"/>
        </w:rPr>
        <w:tab/>
      </w:r>
      <w:r>
        <w:rPr>
          <w:rFonts w:hint="eastAsia" w:ascii="宋体" w:hAnsi="宋体" w:cs="宋体"/>
          <w:kern w:val="0"/>
          <w:szCs w:val="21"/>
        </w:rPr>
        <w:t>职务：</w:t>
      </w:r>
      <w:r>
        <w:rPr>
          <w:rFonts w:hint="eastAsia" w:ascii="宋体" w:hAnsi="宋体" w:cs="宋体"/>
          <w:w w:val="200"/>
          <w:kern w:val="0"/>
          <w:szCs w:val="21"/>
          <w:u w:val="single"/>
        </w:rPr>
        <w:t xml:space="preserve"> </w:t>
      </w:r>
      <w:r>
        <w:rPr>
          <w:rFonts w:hint="eastAsia" w:ascii="宋体" w:hAnsi="宋体" w:cs="宋体"/>
          <w:kern w:val="0"/>
          <w:szCs w:val="21"/>
          <w:u w:val="single"/>
        </w:rPr>
        <w:tab/>
      </w:r>
    </w:p>
    <w:p w14:paraId="6BB634F8">
      <w:pPr>
        <w:spacing w:line="500" w:lineRule="exact"/>
        <w:rPr>
          <w:rFonts w:ascii="宋体" w:hAnsi="宋体" w:cs="宋体"/>
          <w:kern w:val="0"/>
          <w:sz w:val="20"/>
          <w:szCs w:val="20"/>
        </w:rPr>
      </w:pPr>
    </w:p>
    <w:p w14:paraId="26722997">
      <w:pPr>
        <w:spacing w:line="500" w:lineRule="exact"/>
        <w:rPr>
          <w:rFonts w:ascii="宋体" w:hAnsi="宋体" w:cs="宋体"/>
          <w:kern w:val="0"/>
          <w:szCs w:val="21"/>
        </w:rPr>
      </w:pPr>
      <w:r>
        <w:rPr>
          <w:rFonts w:hint="eastAsia" w:ascii="宋体" w:hAnsi="宋体" w:cs="宋体"/>
          <w:kern w:val="0"/>
          <w:szCs w:val="21"/>
        </w:rPr>
        <w:t>系</w:t>
      </w:r>
      <w:r>
        <w:rPr>
          <w:rFonts w:hint="eastAsia" w:ascii="宋体" w:hAnsi="宋体" w:cs="宋体"/>
          <w:w w:val="200"/>
          <w:kern w:val="0"/>
          <w:szCs w:val="21"/>
          <w:u w:val="single"/>
        </w:rPr>
        <w:t xml:space="preserve">    </w:t>
      </w:r>
      <w:r>
        <w:rPr>
          <w:rFonts w:hint="eastAsia" w:ascii="宋体" w:hAnsi="宋体" w:cs="宋体"/>
          <w:kern w:val="0"/>
          <w:szCs w:val="21"/>
          <w:u w:val="single"/>
        </w:rPr>
        <w:tab/>
      </w:r>
      <w:r>
        <w:rPr>
          <w:rFonts w:hint="eastAsia" w:ascii="宋体" w:hAnsi="宋体" w:cs="宋体"/>
          <w:kern w:val="0"/>
          <w:szCs w:val="21"/>
        </w:rPr>
        <w:t xml:space="preserve"> （竞标人名称）的法定代表人。</w:t>
      </w:r>
    </w:p>
    <w:p w14:paraId="5AA2829E">
      <w:pPr>
        <w:spacing w:line="500" w:lineRule="exact"/>
        <w:rPr>
          <w:rFonts w:ascii="宋体" w:hAnsi="宋体" w:cs="宋体"/>
          <w:kern w:val="0"/>
          <w:sz w:val="10"/>
          <w:szCs w:val="10"/>
        </w:rPr>
      </w:pPr>
    </w:p>
    <w:p w14:paraId="7790606D">
      <w:pPr>
        <w:spacing w:line="500" w:lineRule="exact"/>
        <w:rPr>
          <w:rFonts w:ascii="宋体" w:hAnsi="宋体" w:cs="宋体"/>
          <w:kern w:val="0"/>
          <w:szCs w:val="21"/>
        </w:rPr>
      </w:pPr>
      <w:r>
        <w:rPr>
          <w:rFonts w:hint="eastAsia" w:ascii="宋体" w:hAnsi="宋体" w:cs="宋体"/>
          <w:kern w:val="0"/>
          <w:szCs w:val="21"/>
        </w:rPr>
        <w:t>特此证明。</w:t>
      </w:r>
    </w:p>
    <w:p w14:paraId="46B7F6B2">
      <w:pPr>
        <w:spacing w:line="500" w:lineRule="exact"/>
        <w:rPr>
          <w:rFonts w:ascii="宋体" w:hAnsi="宋体" w:cs="宋体"/>
          <w:kern w:val="0"/>
          <w:sz w:val="20"/>
          <w:szCs w:val="20"/>
        </w:rPr>
      </w:pPr>
    </w:p>
    <w:p w14:paraId="207F6DA3">
      <w:pPr>
        <w:spacing w:line="500" w:lineRule="exact"/>
        <w:rPr>
          <w:rFonts w:ascii="宋体" w:hAnsi="宋体" w:cs="宋体"/>
          <w:kern w:val="0"/>
          <w:sz w:val="20"/>
          <w:szCs w:val="20"/>
        </w:rPr>
      </w:pPr>
    </w:p>
    <w:p w14:paraId="65227C4B">
      <w:pPr>
        <w:spacing w:line="500" w:lineRule="exact"/>
        <w:ind w:firstLine="5863" w:firstLineChars="2792"/>
        <w:rPr>
          <w:rFonts w:ascii="宋体" w:hAnsi="宋体" w:cs="宋体"/>
          <w:kern w:val="0"/>
          <w:szCs w:val="21"/>
        </w:rPr>
      </w:pPr>
      <w:r>
        <w:rPr>
          <w:rFonts w:hint="eastAsia" w:ascii="宋体" w:hAnsi="宋体" w:cs="宋体"/>
          <w:kern w:val="0"/>
          <w:szCs w:val="21"/>
        </w:rPr>
        <w:t>磋商供应商[公章（CA签章）]：</w:t>
      </w:r>
    </w:p>
    <w:p w14:paraId="3E028D05">
      <w:pPr>
        <w:spacing w:line="500" w:lineRule="exact"/>
        <w:rPr>
          <w:rFonts w:ascii="宋体" w:hAnsi="宋体" w:cs="宋体"/>
          <w:kern w:val="0"/>
          <w:sz w:val="20"/>
          <w:szCs w:val="20"/>
        </w:rPr>
      </w:pPr>
    </w:p>
    <w:p w14:paraId="42DA88CE">
      <w:pPr>
        <w:spacing w:line="500" w:lineRule="exact"/>
        <w:ind w:firstLine="6077" w:firstLineChars="1447"/>
        <w:rPr>
          <w:rFonts w:ascii="宋体" w:hAnsi="宋体" w:cs="宋体"/>
          <w:kern w:val="0"/>
          <w:szCs w:val="21"/>
        </w:rPr>
      </w:pPr>
      <w:r>
        <w:rPr>
          <w:rFonts w:hint="eastAsia" w:ascii="宋体" w:hAnsi="宋体" w:cs="宋体"/>
          <w:w w:val="200"/>
          <w:kern w:val="0"/>
          <w:szCs w:val="21"/>
          <w:u w:val="single"/>
        </w:rPr>
        <w:t xml:space="preserve">   </w:t>
      </w:r>
      <w:r>
        <w:rPr>
          <w:rFonts w:hint="eastAsia" w:ascii="宋体" w:hAnsi="宋体" w:cs="宋体"/>
          <w:spacing w:val="-1"/>
          <w:kern w:val="0"/>
          <w:szCs w:val="21"/>
        </w:rPr>
        <w:t>年</w:t>
      </w:r>
      <w:r>
        <w:rPr>
          <w:rFonts w:hint="eastAsia" w:ascii="宋体" w:hAnsi="宋体" w:cs="宋体"/>
          <w:w w:val="200"/>
          <w:kern w:val="0"/>
          <w:szCs w:val="21"/>
          <w:u w:val="single"/>
        </w:rPr>
        <w:t xml:space="preserve"> </w:t>
      </w:r>
      <w:r>
        <w:rPr>
          <w:rFonts w:hint="eastAsia" w:ascii="宋体" w:hAnsi="宋体" w:cs="宋体"/>
          <w:kern w:val="0"/>
          <w:szCs w:val="21"/>
          <w:u w:val="single"/>
        </w:rPr>
        <w:tab/>
      </w:r>
      <w:r>
        <w:rPr>
          <w:rFonts w:hint="eastAsia" w:ascii="宋体" w:hAnsi="宋体" w:cs="宋体"/>
          <w:kern w:val="0"/>
          <w:szCs w:val="21"/>
          <w:u w:val="single"/>
        </w:rPr>
        <w:t xml:space="preserve"> </w:t>
      </w:r>
      <w:r>
        <w:rPr>
          <w:rFonts w:hint="eastAsia" w:ascii="宋体" w:hAnsi="宋体" w:cs="宋体"/>
          <w:kern w:val="0"/>
          <w:szCs w:val="21"/>
        </w:rPr>
        <w:t>月</w:t>
      </w:r>
      <w:r>
        <w:rPr>
          <w:rFonts w:hint="eastAsia" w:ascii="宋体" w:hAnsi="宋体" w:cs="宋体"/>
          <w:w w:val="200"/>
          <w:kern w:val="0"/>
          <w:szCs w:val="21"/>
          <w:u w:val="single"/>
        </w:rPr>
        <w:t xml:space="preserve"> </w:t>
      </w:r>
      <w:r>
        <w:rPr>
          <w:rFonts w:hint="eastAsia" w:ascii="宋体" w:hAnsi="宋体" w:cs="宋体"/>
          <w:kern w:val="0"/>
          <w:szCs w:val="21"/>
          <w:u w:val="single"/>
        </w:rPr>
        <w:tab/>
      </w:r>
      <w:r>
        <w:rPr>
          <w:rFonts w:hint="eastAsia" w:ascii="宋体" w:hAnsi="宋体" w:cs="宋体"/>
          <w:kern w:val="0"/>
          <w:szCs w:val="21"/>
        </w:rPr>
        <w:t>日</w:t>
      </w:r>
    </w:p>
    <w:p w14:paraId="72598187">
      <w:pPr>
        <w:spacing w:line="500" w:lineRule="exact"/>
        <w:ind w:firstLine="2408" w:firstLineChars="1147"/>
        <w:rPr>
          <w:rFonts w:ascii="宋体" w:hAnsi="宋体" w:cs="宋体"/>
          <w:kern w:val="0"/>
          <w:szCs w:val="21"/>
        </w:rPr>
      </w:pPr>
    </w:p>
    <w:p w14:paraId="08012BB4">
      <w:pPr>
        <w:spacing w:line="500" w:lineRule="exact"/>
        <w:ind w:firstLine="2408" w:firstLineChars="1147"/>
        <w:rPr>
          <w:rFonts w:ascii="宋体" w:hAnsi="宋体" w:cs="宋体"/>
          <w:kern w:val="0"/>
          <w:szCs w:val="21"/>
        </w:rPr>
      </w:pPr>
    </w:p>
    <w:p w14:paraId="75522773">
      <w:pPr>
        <w:spacing w:line="500" w:lineRule="exact"/>
        <w:rPr>
          <w:rFonts w:ascii="宋体" w:hAnsi="宋体" w:cs="宋体"/>
          <w:kern w:val="0"/>
          <w:szCs w:val="21"/>
        </w:rPr>
      </w:pPr>
      <w:r>
        <w:rPr>
          <w:rFonts w:hint="eastAsia" w:ascii="宋体" w:hAnsi="宋体" w:cs="宋体"/>
          <w:kern w:val="0"/>
          <w:szCs w:val="21"/>
        </w:rPr>
        <w:t>附：法定代表人身份证复印件</w:t>
      </w:r>
    </w:p>
    <w:p w14:paraId="7D076731">
      <w:pPr>
        <w:spacing w:line="500" w:lineRule="exact"/>
        <w:ind w:firstLine="2408" w:firstLineChars="1147"/>
        <w:rPr>
          <w:rFonts w:ascii="宋体" w:hAnsi="宋体" w:cs="宋体"/>
          <w:kern w:val="0"/>
          <w:szCs w:val="21"/>
        </w:rPr>
      </w:pPr>
    </w:p>
    <w:p w14:paraId="34D7603A">
      <w:pPr>
        <w:spacing w:line="500" w:lineRule="exact"/>
        <w:rPr>
          <w:rFonts w:ascii="宋体" w:hAnsi="宋体" w:cs="宋体"/>
          <w:kern w:val="0"/>
          <w:sz w:val="16"/>
          <w:szCs w:val="16"/>
        </w:rPr>
      </w:pPr>
    </w:p>
    <w:p w14:paraId="3BB88682">
      <w:pPr>
        <w:pStyle w:val="5"/>
        <w:spacing w:line="500" w:lineRule="exact"/>
        <w:ind w:left="0" w:firstLine="0"/>
        <w:rPr>
          <w:rFonts w:ascii="宋体" w:hAnsi="宋体" w:cs="宋体"/>
          <w:b/>
          <w:bCs w:val="0"/>
          <w:color w:val="auto"/>
          <w:kern w:val="0"/>
          <w:sz w:val="30"/>
          <w:szCs w:val="30"/>
        </w:rPr>
      </w:pPr>
      <w:bookmarkStart w:id="651" w:name="_Toc207443039"/>
      <w:bookmarkStart w:id="652" w:name="_Toc455670854"/>
      <w:bookmarkStart w:id="653" w:name="_Toc317079958"/>
      <w:bookmarkStart w:id="654" w:name="_Toc267582069"/>
      <w:bookmarkStart w:id="655" w:name="_Toc369505634"/>
      <w:bookmarkStart w:id="656" w:name="_Toc389146003"/>
      <w:r>
        <w:rPr>
          <w:rFonts w:hint="eastAsia" w:ascii="宋体" w:hAnsi="宋体" w:cs="宋体"/>
          <w:b/>
          <w:bCs w:val="0"/>
          <w:color w:val="auto"/>
          <w:w w:val="99"/>
          <w:kern w:val="0"/>
          <w:sz w:val="30"/>
          <w:szCs w:val="30"/>
          <w:lang w:val="en-US"/>
        </w:rPr>
        <w:t>3、</w:t>
      </w:r>
      <w:r>
        <w:rPr>
          <w:rFonts w:hint="eastAsia" w:ascii="宋体" w:hAnsi="宋体" w:cs="宋体"/>
          <w:b/>
          <w:bCs w:val="0"/>
          <w:color w:val="auto"/>
          <w:w w:val="99"/>
          <w:kern w:val="0"/>
          <w:sz w:val="30"/>
          <w:szCs w:val="30"/>
        </w:rPr>
        <w:t>授权委托书</w:t>
      </w:r>
      <w:bookmarkEnd w:id="651"/>
      <w:bookmarkEnd w:id="652"/>
      <w:bookmarkEnd w:id="653"/>
      <w:bookmarkEnd w:id="654"/>
      <w:bookmarkEnd w:id="655"/>
      <w:bookmarkEnd w:id="656"/>
      <w:r>
        <w:rPr>
          <w:rFonts w:hint="eastAsia" w:ascii="宋体" w:hAnsi="宋体" w:cs="宋体"/>
          <w:b/>
          <w:bCs w:val="0"/>
          <w:color w:val="auto"/>
          <w:w w:val="99"/>
          <w:kern w:val="0"/>
          <w:sz w:val="30"/>
          <w:szCs w:val="30"/>
        </w:rPr>
        <w:t>（格式）（必须提供）</w:t>
      </w:r>
    </w:p>
    <w:p w14:paraId="69FF1180">
      <w:pPr>
        <w:spacing w:line="500" w:lineRule="exact"/>
        <w:jc w:val="center"/>
        <w:rPr>
          <w:rFonts w:ascii="宋体" w:hAnsi="宋体" w:cs="宋体"/>
          <w:b/>
          <w:sz w:val="32"/>
        </w:rPr>
      </w:pPr>
      <w:bookmarkStart w:id="657" w:name="_Toc5420_WPSOffice_Level1"/>
      <w:bookmarkStart w:id="658" w:name="_Toc964_WPSOffice_Level1"/>
    </w:p>
    <w:p w14:paraId="115A2917">
      <w:pPr>
        <w:spacing w:line="500" w:lineRule="exact"/>
        <w:jc w:val="center"/>
        <w:rPr>
          <w:rFonts w:ascii="宋体" w:hAnsi="宋体" w:cs="宋体"/>
          <w:szCs w:val="21"/>
        </w:rPr>
      </w:pPr>
      <w:r>
        <w:rPr>
          <w:rFonts w:hint="eastAsia" w:ascii="宋体" w:hAnsi="宋体" w:cs="宋体"/>
          <w:b/>
          <w:sz w:val="32"/>
        </w:rPr>
        <w:t>授权委托书（格式一）</w:t>
      </w:r>
      <w:bookmarkEnd w:id="657"/>
      <w:bookmarkEnd w:id="658"/>
    </w:p>
    <w:p w14:paraId="429020B4">
      <w:pPr>
        <w:spacing w:line="500" w:lineRule="exact"/>
        <w:rPr>
          <w:rFonts w:ascii="宋体" w:hAnsi="宋体" w:cs="宋体"/>
          <w:szCs w:val="21"/>
        </w:rPr>
      </w:pPr>
    </w:p>
    <w:p w14:paraId="63CF5BEF">
      <w:pPr>
        <w:spacing w:line="500" w:lineRule="exact"/>
        <w:rPr>
          <w:rFonts w:ascii="宋体" w:hAnsi="宋体" w:cs="宋体"/>
          <w:szCs w:val="21"/>
          <w:u w:val="single"/>
        </w:rPr>
      </w:pPr>
      <w:r>
        <w:rPr>
          <w:rFonts w:hint="eastAsia" w:ascii="宋体" w:hAnsi="宋体" w:cs="宋体"/>
          <w:szCs w:val="21"/>
        </w:rPr>
        <w:t>致：</w:t>
      </w:r>
      <w:r>
        <w:rPr>
          <w:rFonts w:hint="eastAsia" w:ascii="宋体" w:hAnsi="宋体" w:cs="宋体"/>
          <w:szCs w:val="21"/>
          <w:u w:val="single"/>
        </w:rPr>
        <w:t xml:space="preserve"> 广西达华工程造价咨询有限责任公司</w:t>
      </w:r>
    </w:p>
    <w:p w14:paraId="0F74F3D4">
      <w:pPr>
        <w:pStyle w:val="13"/>
      </w:pPr>
    </w:p>
    <w:p w14:paraId="36962921">
      <w:pPr>
        <w:pStyle w:val="15"/>
        <w:spacing w:line="400" w:lineRule="exact"/>
        <w:ind w:firstLine="420" w:firstLineChars="200"/>
        <w:rPr>
          <w:rFonts w:hAnsi="宋体" w:cs="宋体"/>
        </w:rPr>
      </w:pPr>
      <w:r>
        <w:rPr>
          <w:rFonts w:hint="eastAsia" w:hAnsi="宋体" w:cs="宋体"/>
          <w:kern w:val="0"/>
        </w:rPr>
        <w:t>我</w:t>
      </w:r>
      <w:r>
        <w:rPr>
          <w:rFonts w:hint="eastAsia" w:hAnsi="宋体" w:cs="宋体"/>
          <w:kern w:val="0"/>
          <w:u w:val="single"/>
        </w:rPr>
        <w:t xml:space="preserve">              </w:t>
      </w:r>
      <w:r>
        <w:rPr>
          <w:rFonts w:hint="eastAsia" w:hAnsi="宋体" w:cs="宋体"/>
          <w:kern w:val="0"/>
        </w:rPr>
        <w:t>（姓名）系</w:t>
      </w:r>
      <w:r>
        <w:rPr>
          <w:rFonts w:hint="eastAsia" w:hAnsi="宋体" w:cs="宋体"/>
          <w:kern w:val="0"/>
          <w:u w:val="single"/>
        </w:rPr>
        <w:t xml:space="preserve">                              </w:t>
      </w:r>
      <w:r>
        <w:rPr>
          <w:rFonts w:hint="eastAsia" w:hAnsi="宋体" w:cs="宋体"/>
          <w:kern w:val="0"/>
        </w:rPr>
        <w:t>（供应商名称）的法定代表人（负责人），现授权委托本单位在职职工</w:t>
      </w:r>
      <w:r>
        <w:rPr>
          <w:rFonts w:hint="eastAsia" w:hAnsi="宋体" w:cs="宋体"/>
          <w:kern w:val="0"/>
          <w:u w:val="single"/>
        </w:rPr>
        <w:t xml:space="preserve">            </w:t>
      </w:r>
      <w:r>
        <w:rPr>
          <w:rFonts w:hint="eastAsia" w:hAnsi="宋体" w:cs="宋体"/>
          <w:kern w:val="0"/>
        </w:rPr>
        <w:t>（姓 名）以我公司名义参加</w:t>
      </w:r>
      <w:r>
        <w:rPr>
          <w:rFonts w:hint="eastAsia" w:hAnsi="宋体" w:cs="宋体"/>
          <w:kern w:val="0"/>
          <w:u w:val="single"/>
        </w:rPr>
        <w:t xml:space="preserve">      </w:t>
      </w:r>
      <w:r>
        <w:rPr>
          <w:rFonts w:hint="eastAsia" w:hAnsi="宋体" w:cs="宋体"/>
          <w:u w:val="single"/>
        </w:rPr>
        <w:t xml:space="preserve">（项目名称及项目编号）        </w:t>
      </w:r>
      <w:r>
        <w:rPr>
          <w:rFonts w:hint="eastAsia" w:hAnsi="宋体" w:cs="宋体"/>
        </w:rPr>
        <w:t>项目的磋商活动，并代表我方全权办理针对上述项目的磋商、签约等具体事务和签署相关文件。</w:t>
      </w:r>
    </w:p>
    <w:p w14:paraId="5DC380BF">
      <w:pPr>
        <w:pStyle w:val="15"/>
        <w:spacing w:line="400" w:lineRule="exact"/>
        <w:ind w:firstLine="420" w:firstLineChars="200"/>
        <w:rPr>
          <w:rFonts w:hAnsi="宋体" w:cs="宋体"/>
        </w:rPr>
      </w:pPr>
      <w:r>
        <w:rPr>
          <w:rFonts w:hint="eastAsia" w:hAnsi="宋体" w:cs="宋体"/>
        </w:rPr>
        <w:t>我方对被授权人的签字事项负全部责任。</w:t>
      </w:r>
    </w:p>
    <w:p w14:paraId="40212F78">
      <w:pPr>
        <w:pStyle w:val="15"/>
        <w:spacing w:line="400" w:lineRule="exact"/>
        <w:ind w:firstLine="420" w:firstLineChars="200"/>
        <w:rPr>
          <w:rFonts w:hAnsi="宋体" w:cs="宋体"/>
          <w:u w:val="single"/>
        </w:rPr>
      </w:pPr>
      <w:r>
        <w:rPr>
          <w:rFonts w:hint="eastAsia" w:hAnsi="宋体" w:cs="宋体"/>
        </w:rPr>
        <w:t>授权委托代理期限：从</w:t>
      </w:r>
      <w:r>
        <w:rPr>
          <w:rFonts w:hint="eastAsia" w:hAnsi="宋体" w:cs="宋体"/>
          <w:u w:val="single"/>
        </w:rPr>
        <w:t xml:space="preserve">       </w:t>
      </w:r>
      <w:r>
        <w:rPr>
          <w:rFonts w:hint="eastAsia" w:hAnsi="宋体" w:cs="宋体"/>
        </w:rPr>
        <w:t>年</w:t>
      </w:r>
      <w:r>
        <w:rPr>
          <w:rFonts w:hint="eastAsia" w:hAnsi="宋体" w:cs="宋体"/>
          <w:u w:val="single"/>
        </w:rPr>
        <w:t xml:space="preserve">     </w:t>
      </w:r>
      <w:r>
        <w:rPr>
          <w:rFonts w:hint="eastAsia" w:hAnsi="宋体" w:cs="宋体"/>
        </w:rPr>
        <w:t xml:space="preserve">月 </w:t>
      </w:r>
      <w:r>
        <w:rPr>
          <w:rFonts w:hint="eastAsia" w:hAnsi="宋体" w:cs="宋体"/>
          <w:u w:val="single"/>
        </w:rPr>
        <w:t xml:space="preserve">    </w:t>
      </w:r>
      <w:r>
        <w:rPr>
          <w:rFonts w:hint="eastAsia" w:hAnsi="宋体" w:cs="宋体"/>
        </w:rPr>
        <w:t xml:space="preserve"> 日起至</w:t>
      </w:r>
      <w:r>
        <w:rPr>
          <w:rFonts w:hint="eastAsia" w:hAnsi="宋体" w:cs="宋体"/>
          <w:u w:val="single"/>
        </w:rPr>
        <w:t xml:space="preserve">         </w:t>
      </w:r>
      <w:r>
        <w:rPr>
          <w:rFonts w:hint="eastAsia" w:hAnsi="宋体" w:cs="宋体"/>
        </w:rPr>
        <w:t>年</w:t>
      </w:r>
      <w:r>
        <w:rPr>
          <w:rFonts w:hint="eastAsia" w:hAnsi="宋体" w:cs="宋体"/>
          <w:u w:val="single"/>
        </w:rPr>
        <w:t xml:space="preserve">     </w:t>
      </w:r>
      <w:r>
        <w:rPr>
          <w:rFonts w:hint="eastAsia" w:hAnsi="宋体" w:cs="宋体"/>
        </w:rPr>
        <w:t xml:space="preserve">月 </w:t>
      </w:r>
      <w:r>
        <w:rPr>
          <w:rFonts w:hint="eastAsia" w:hAnsi="宋体" w:cs="宋体"/>
          <w:u w:val="single"/>
        </w:rPr>
        <w:t xml:space="preserve">     </w:t>
      </w:r>
      <w:r>
        <w:rPr>
          <w:rFonts w:hint="eastAsia" w:hAnsi="宋体" w:cs="宋体"/>
        </w:rPr>
        <w:t>日止。</w:t>
      </w:r>
    </w:p>
    <w:p w14:paraId="76CA0778">
      <w:pPr>
        <w:pStyle w:val="15"/>
        <w:spacing w:line="400" w:lineRule="exact"/>
        <w:rPr>
          <w:rFonts w:hAnsi="宋体" w:cs="宋体"/>
          <w:u w:val="single"/>
        </w:rPr>
      </w:pPr>
      <w:r>
        <w:rPr>
          <w:rFonts w:hint="eastAsia" w:hAnsi="宋体" w:cs="宋体"/>
        </w:rPr>
        <w:t xml:space="preserve">                                                                                             </w:t>
      </w:r>
    </w:p>
    <w:p w14:paraId="010392E6">
      <w:pPr>
        <w:spacing w:line="400" w:lineRule="exact"/>
        <w:ind w:firstLine="420" w:firstLineChars="200"/>
        <w:rPr>
          <w:rFonts w:ascii="宋体" w:hAnsi="宋体" w:cs="宋体"/>
          <w:kern w:val="0"/>
        </w:rPr>
      </w:pPr>
      <w:r>
        <w:rPr>
          <w:rFonts w:hint="eastAsia" w:ascii="宋体" w:hAnsi="宋体" w:cs="宋体"/>
          <w:kern w:val="0"/>
        </w:rPr>
        <w:t xml:space="preserve">代理人无转委托权,特此委托。 </w:t>
      </w:r>
    </w:p>
    <w:p w14:paraId="02FC1B2C">
      <w:pPr>
        <w:spacing w:line="400" w:lineRule="exact"/>
        <w:ind w:firstLine="420" w:firstLineChars="200"/>
        <w:rPr>
          <w:rFonts w:ascii="宋体" w:hAnsi="宋体" w:cs="宋体"/>
          <w:kern w:val="0"/>
        </w:rPr>
      </w:pPr>
    </w:p>
    <w:p w14:paraId="61440FF3">
      <w:pPr>
        <w:spacing w:line="400" w:lineRule="exact"/>
        <w:ind w:firstLine="420" w:firstLineChars="200"/>
        <w:rPr>
          <w:rFonts w:ascii="宋体" w:hAnsi="宋体" w:cs="宋体"/>
          <w:szCs w:val="21"/>
        </w:rPr>
      </w:pPr>
      <w:r>
        <w:rPr>
          <w:rFonts w:hint="eastAsia" w:ascii="宋体" w:hAnsi="宋体" w:cs="宋体"/>
          <w:szCs w:val="21"/>
        </w:rPr>
        <w:t>我已在下面签字，以资证明。</w:t>
      </w:r>
    </w:p>
    <w:p w14:paraId="10747085">
      <w:pPr>
        <w:spacing w:line="400" w:lineRule="exact"/>
        <w:ind w:firstLine="420" w:firstLineChars="200"/>
        <w:rPr>
          <w:rFonts w:ascii="宋体" w:hAnsi="宋体" w:cs="宋体"/>
          <w:szCs w:val="21"/>
        </w:rPr>
      </w:pPr>
    </w:p>
    <w:p w14:paraId="33B8CFB9">
      <w:pPr>
        <w:spacing w:line="400" w:lineRule="exact"/>
        <w:ind w:firstLine="420" w:firstLineChars="200"/>
        <w:rPr>
          <w:rFonts w:ascii="宋体" w:hAnsi="宋体" w:cs="宋体"/>
          <w:szCs w:val="21"/>
        </w:rPr>
      </w:pPr>
    </w:p>
    <w:p w14:paraId="410DF191">
      <w:pPr>
        <w:snapToGrid w:val="0"/>
        <w:spacing w:line="400" w:lineRule="exact"/>
        <w:ind w:firstLine="420"/>
        <w:rPr>
          <w:rFonts w:ascii="宋体" w:hAnsi="宋体" w:cs="宋体"/>
          <w:szCs w:val="21"/>
          <w:u w:val="single"/>
        </w:rPr>
      </w:pPr>
      <w:r>
        <w:rPr>
          <w:rFonts w:hint="eastAsia" w:ascii="宋体" w:hAnsi="宋体" w:cs="宋体"/>
          <w:szCs w:val="21"/>
        </w:rPr>
        <w:t>磋商供应商[公章（CA签章）]：</w:t>
      </w:r>
      <w:r>
        <w:rPr>
          <w:rFonts w:hint="eastAsia" w:ascii="宋体" w:hAnsi="宋体" w:cs="宋体"/>
          <w:szCs w:val="21"/>
          <w:u w:val="single"/>
        </w:rPr>
        <w:t xml:space="preserve">                                   </w:t>
      </w:r>
    </w:p>
    <w:p w14:paraId="1701CC93">
      <w:pPr>
        <w:snapToGrid w:val="0"/>
        <w:spacing w:line="400" w:lineRule="exact"/>
        <w:ind w:firstLine="420"/>
        <w:rPr>
          <w:rFonts w:ascii="宋体" w:hAnsi="宋体" w:cs="宋体"/>
          <w:szCs w:val="21"/>
        </w:rPr>
      </w:pPr>
    </w:p>
    <w:p w14:paraId="099C072C">
      <w:pPr>
        <w:snapToGrid w:val="0"/>
        <w:spacing w:line="400" w:lineRule="exact"/>
        <w:ind w:firstLine="420"/>
        <w:rPr>
          <w:rFonts w:ascii="宋体" w:hAnsi="宋体" w:cs="宋体"/>
          <w:szCs w:val="21"/>
        </w:rPr>
      </w:pPr>
      <w:r>
        <w:rPr>
          <w:rFonts w:hint="eastAsia" w:ascii="宋体" w:hAnsi="宋体" w:cs="宋体"/>
          <w:szCs w:val="21"/>
        </w:rPr>
        <w:t>法定代表人（负责人）签字（或个人CA签章）：</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62E896DF">
      <w:pPr>
        <w:snapToGrid w:val="0"/>
        <w:spacing w:line="400" w:lineRule="exact"/>
        <w:ind w:firstLine="420"/>
        <w:rPr>
          <w:rFonts w:ascii="宋体" w:hAnsi="宋体" w:cs="宋体"/>
          <w:szCs w:val="21"/>
        </w:rPr>
      </w:pPr>
    </w:p>
    <w:p w14:paraId="48F1A3A0">
      <w:pPr>
        <w:pStyle w:val="13"/>
        <w:rPr>
          <w:rFonts w:ascii="宋体" w:hAnsi="宋体" w:cs="宋体"/>
        </w:rPr>
      </w:pPr>
    </w:p>
    <w:p w14:paraId="087298B4">
      <w:pPr>
        <w:spacing w:line="440" w:lineRule="atLeast"/>
        <w:rPr>
          <w:rFonts w:ascii="宋体" w:hAnsi="宋体" w:cs="宋体"/>
          <w:b/>
          <w:szCs w:val="21"/>
        </w:rPr>
      </w:pPr>
      <w:r>
        <w:rPr>
          <w:rFonts w:hint="eastAsia" w:ascii="宋体" w:hAnsi="宋体" w:cs="宋体"/>
          <w:b/>
          <w:szCs w:val="21"/>
        </w:rPr>
        <w:t>附：供应商的授权委托书原件、委托代理人身份证正反面复印件以及由县级以上（含县级）社会养老保险经办机构出具的供应商为委托代理人交纳的响应文件递交截止时间前半年内任意连续三个月社保证明复印件，除供应商为以下三种情形的：</w:t>
      </w:r>
    </w:p>
    <w:p w14:paraId="70090C6A">
      <w:pPr>
        <w:spacing w:line="440" w:lineRule="atLeast"/>
        <w:rPr>
          <w:rFonts w:ascii="宋体" w:hAnsi="宋体" w:cs="宋体"/>
          <w:b/>
          <w:szCs w:val="21"/>
        </w:rPr>
      </w:pPr>
      <w:r>
        <w:rPr>
          <w:rFonts w:hint="eastAsia" w:ascii="宋体" w:hAnsi="宋体" w:cs="宋体"/>
          <w:b/>
          <w:szCs w:val="21"/>
        </w:rPr>
        <w:t>（1） 如供应商为截标时间前60日以内成立的公司，可以提供供应商与委托代理人签订的劳动合同复印件代替社保证明复印件；</w:t>
      </w:r>
    </w:p>
    <w:p w14:paraId="6182A04F">
      <w:pPr>
        <w:spacing w:line="440" w:lineRule="atLeast"/>
        <w:rPr>
          <w:rFonts w:ascii="宋体" w:hAnsi="宋体" w:cs="宋体"/>
          <w:b/>
          <w:szCs w:val="21"/>
        </w:rPr>
      </w:pPr>
      <w:r>
        <w:rPr>
          <w:rFonts w:hint="eastAsia" w:ascii="宋体" w:hAnsi="宋体" w:cs="宋体"/>
          <w:b/>
          <w:szCs w:val="21"/>
        </w:rPr>
        <w:t>（2）如供应商为事业单位，可以提供事业单位机构编制管理证复印件或事业单位机构为其发放工资的工资条复印件代替社保证明复印件；</w:t>
      </w:r>
    </w:p>
    <w:p w14:paraId="5521C0D9">
      <w:pPr>
        <w:spacing w:line="440" w:lineRule="atLeast"/>
        <w:rPr>
          <w:rFonts w:ascii="宋体" w:hAnsi="宋体" w:cs="宋体"/>
          <w:b/>
          <w:szCs w:val="21"/>
        </w:rPr>
      </w:pPr>
      <w:r>
        <w:rPr>
          <w:rFonts w:hint="eastAsia" w:ascii="宋体" w:hAnsi="宋体" w:cs="宋体"/>
          <w:b/>
          <w:szCs w:val="21"/>
        </w:rPr>
        <w:t>（3）如委托代理人为免缴纳社保人员，提供免缴纳社保的证明材料复印件及供应商与委托代理人签订的劳动合同复印件代替社保证明复印件。</w:t>
      </w:r>
    </w:p>
    <w:p w14:paraId="7ABECF36">
      <w:pPr>
        <w:spacing w:line="500" w:lineRule="exact"/>
        <w:rPr>
          <w:rFonts w:ascii="宋体" w:hAnsi="宋体" w:cs="宋体"/>
          <w:kern w:val="0"/>
          <w:sz w:val="20"/>
          <w:szCs w:val="20"/>
        </w:rPr>
      </w:pPr>
    </w:p>
    <w:p w14:paraId="4D9691D7">
      <w:pPr>
        <w:pStyle w:val="15"/>
        <w:jc w:val="center"/>
        <w:rPr>
          <w:rFonts w:hAnsi="宋体" w:cs="宋体"/>
          <w:b/>
          <w:sz w:val="32"/>
        </w:rPr>
      </w:pPr>
      <w:bookmarkStart w:id="659" w:name="_Toc21370_WPSOffice_Level1"/>
      <w:bookmarkStart w:id="660" w:name="_Toc6975_WPSOffice_Level1"/>
      <w:r>
        <w:rPr>
          <w:rFonts w:hint="eastAsia" w:hAnsi="宋体" w:cs="宋体"/>
          <w:b/>
          <w:sz w:val="32"/>
        </w:rPr>
        <w:t>授权委托书（格式二）</w:t>
      </w:r>
      <w:bookmarkEnd w:id="659"/>
      <w:bookmarkEnd w:id="660"/>
    </w:p>
    <w:p w14:paraId="0A24A8C6">
      <w:pPr>
        <w:pStyle w:val="15"/>
        <w:rPr>
          <w:rFonts w:hAnsi="宋体" w:cs="宋体"/>
          <w:b/>
          <w:sz w:val="32"/>
        </w:rPr>
      </w:pPr>
    </w:p>
    <w:p w14:paraId="74F225E5">
      <w:pPr>
        <w:spacing w:line="400" w:lineRule="exact"/>
        <w:rPr>
          <w:rFonts w:ascii="宋体" w:hAnsi="宋体" w:cs="宋体"/>
        </w:rPr>
      </w:pPr>
      <w:r>
        <w:rPr>
          <w:rFonts w:hint="eastAsia" w:ascii="宋体" w:hAnsi="宋体" w:cs="宋体"/>
          <w:b/>
          <w:szCs w:val="21"/>
        </w:rPr>
        <w:t>致</w:t>
      </w:r>
      <w:r>
        <w:rPr>
          <w:rFonts w:hint="eastAsia" w:ascii="宋体" w:hAnsi="宋体" w:cs="宋体"/>
          <w:szCs w:val="21"/>
        </w:rPr>
        <w:t>：</w:t>
      </w:r>
      <w:r>
        <w:rPr>
          <w:rFonts w:hint="eastAsia" w:ascii="宋体" w:hAnsi="宋体" w:cs="宋体"/>
          <w:szCs w:val="21"/>
          <w:u w:val="single"/>
        </w:rPr>
        <w:t xml:space="preserve"> 广西达华工程造价咨询有限责任公司 </w:t>
      </w:r>
    </w:p>
    <w:p w14:paraId="287AE1A2">
      <w:pPr>
        <w:rPr>
          <w:rFonts w:ascii="宋体" w:hAnsi="宋体" w:cs="宋体"/>
        </w:rPr>
      </w:pPr>
    </w:p>
    <w:p w14:paraId="76BCCA51">
      <w:pPr>
        <w:pStyle w:val="15"/>
        <w:spacing w:line="340" w:lineRule="exact"/>
        <w:ind w:firstLine="420" w:firstLineChars="200"/>
        <w:rPr>
          <w:rFonts w:hAnsi="宋体" w:cs="宋体"/>
        </w:rPr>
      </w:pPr>
      <w:r>
        <w:rPr>
          <w:rFonts w:hint="eastAsia" w:hAnsi="宋体" w:cs="宋体"/>
          <w:kern w:val="0"/>
        </w:rPr>
        <w:t>我</w:t>
      </w:r>
      <w:r>
        <w:rPr>
          <w:rFonts w:hint="eastAsia" w:hAnsi="宋体" w:cs="宋体"/>
          <w:kern w:val="0"/>
          <w:u w:val="single"/>
        </w:rPr>
        <w:t xml:space="preserve">              </w:t>
      </w:r>
      <w:r>
        <w:rPr>
          <w:rFonts w:hint="eastAsia" w:hAnsi="宋体" w:cs="宋体"/>
          <w:kern w:val="0"/>
        </w:rPr>
        <w:t>（姓名）系自然人，现授权委托</w:t>
      </w:r>
      <w:r>
        <w:rPr>
          <w:rFonts w:hint="eastAsia" w:hAnsi="宋体" w:cs="宋体"/>
          <w:kern w:val="0"/>
          <w:u w:val="single"/>
        </w:rPr>
        <w:t xml:space="preserve">            </w:t>
      </w:r>
      <w:r>
        <w:rPr>
          <w:rFonts w:hint="eastAsia" w:hAnsi="宋体" w:cs="宋体"/>
          <w:kern w:val="0"/>
        </w:rPr>
        <w:t>（姓 名）以本人名义参加</w:t>
      </w:r>
      <w:r>
        <w:rPr>
          <w:rFonts w:hint="eastAsia" w:hAnsi="宋体" w:cs="宋体"/>
          <w:kern w:val="0"/>
          <w:u w:val="single"/>
        </w:rPr>
        <w:t xml:space="preserve">      </w:t>
      </w:r>
      <w:r>
        <w:rPr>
          <w:rFonts w:hint="eastAsia" w:hAnsi="宋体" w:cs="宋体"/>
          <w:u w:val="single"/>
        </w:rPr>
        <w:t xml:space="preserve">（项目名称及项目编号）        </w:t>
      </w:r>
      <w:r>
        <w:rPr>
          <w:rFonts w:hint="eastAsia" w:hAnsi="宋体" w:cs="宋体"/>
        </w:rPr>
        <w:t>项目的磋商活动，并代表本人全权办理针对上述项目的磋商、签约等具体事务和签署相关文件。</w:t>
      </w:r>
    </w:p>
    <w:p w14:paraId="4F2FCF52">
      <w:pPr>
        <w:pStyle w:val="15"/>
        <w:spacing w:line="340" w:lineRule="exact"/>
        <w:ind w:firstLine="420" w:firstLineChars="200"/>
        <w:rPr>
          <w:rFonts w:hAnsi="宋体" w:cs="宋体"/>
        </w:rPr>
      </w:pPr>
      <w:r>
        <w:rPr>
          <w:rFonts w:hint="eastAsia" w:hAnsi="宋体" w:cs="宋体"/>
        </w:rPr>
        <w:t>本人对被授权人的签字事项负全部责任。</w:t>
      </w:r>
    </w:p>
    <w:p w14:paraId="20A0703F">
      <w:pPr>
        <w:pStyle w:val="15"/>
        <w:spacing w:line="340" w:lineRule="exact"/>
        <w:ind w:firstLine="420" w:firstLineChars="200"/>
        <w:rPr>
          <w:rFonts w:hAnsi="宋体" w:cs="宋体"/>
          <w:u w:val="single"/>
        </w:rPr>
      </w:pPr>
      <w:r>
        <w:rPr>
          <w:rFonts w:hint="eastAsia" w:hAnsi="宋体" w:cs="宋体"/>
        </w:rPr>
        <w:t>授权委托代理期限：从</w:t>
      </w:r>
      <w:r>
        <w:rPr>
          <w:rFonts w:hint="eastAsia" w:hAnsi="宋体" w:cs="宋体"/>
          <w:u w:val="single"/>
        </w:rPr>
        <w:t xml:space="preserve">       </w:t>
      </w:r>
      <w:r>
        <w:rPr>
          <w:rFonts w:hint="eastAsia" w:hAnsi="宋体" w:cs="宋体"/>
        </w:rPr>
        <w:t>年</w:t>
      </w:r>
      <w:r>
        <w:rPr>
          <w:rFonts w:hint="eastAsia" w:hAnsi="宋体" w:cs="宋体"/>
          <w:u w:val="single"/>
        </w:rPr>
        <w:t xml:space="preserve">     </w:t>
      </w:r>
      <w:r>
        <w:rPr>
          <w:rFonts w:hint="eastAsia" w:hAnsi="宋体" w:cs="宋体"/>
        </w:rPr>
        <w:t xml:space="preserve">月 </w:t>
      </w:r>
      <w:r>
        <w:rPr>
          <w:rFonts w:hint="eastAsia" w:hAnsi="宋体" w:cs="宋体"/>
          <w:u w:val="single"/>
        </w:rPr>
        <w:t xml:space="preserve">    </w:t>
      </w:r>
      <w:r>
        <w:rPr>
          <w:rFonts w:hint="eastAsia" w:hAnsi="宋体" w:cs="宋体"/>
        </w:rPr>
        <w:t xml:space="preserve"> 日起至</w:t>
      </w:r>
      <w:r>
        <w:rPr>
          <w:rFonts w:hint="eastAsia" w:hAnsi="宋体" w:cs="宋体"/>
          <w:u w:val="single"/>
        </w:rPr>
        <w:t xml:space="preserve">         </w:t>
      </w:r>
      <w:r>
        <w:rPr>
          <w:rFonts w:hint="eastAsia" w:hAnsi="宋体" w:cs="宋体"/>
        </w:rPr>
        <w:t>年</w:t>
      </w:r>
      <w:r>
        <w:rPr>
          <w:rFonts w:hint="eastAsia" w:hAnsi="宋体" w:cs="宋体"/>
          <w:u w:val="single"/>
        </w:rPr>
        <w:t xml:space="preserve">     </w:t>
      </w:r>
      <w:r>
        <w:rPr>
          <w:rFonts w:hint="eastAsia" w:hAnsi="宋体" w:cs="宋体"/>
        </w:rPr>
        <w:t xml:space="preserve">月 </w:t>
      </w:r>
      <w:r>
        <w:rPr>
          <w:rFonts w:hint="eastAsia" w:hAnsi="宋体" w:cs="宋体"/>
          <w:u w:val="single"/>
        </w:rPr>
        <w:t xml:space="preserve">     </w:t>
      </w:r>
      <w:r>
        <w:rPr>
          <w:rFonts w:hint="eastAsia" w:hAnsi="宋体" w:cs="宋体"/>
        </w:rPr>
        <w:t>日止。</w:t>
      </w:r>
    </w:p>
    <w:p w14:paraId="2CA83CD4">
      <w:pPr>
        <w:pStyle w:val="15"/>
        <w:spacing w:line="340" w:lineRule="exact"/>
        <w:rPr>
          <w:rFonts w:hAnsi="宋体" w:cs="宋体"/>
          <w:u w:val="single"/>
        </w:rPr>
      </w:pPr>
      <w:r>
        <w:rPr>
          <w:rFonts w:hint="eastAsia" w:hAnsi="宋体" w:cs="宋体"/>
        </w:rPr>
        <w:t xml:space="preserve">                                                                                             </w:t>
      </w:r>
    </w:p>
    <w:p w14:paraId="6AD527CB">
      <w:pPr>
        <w:spacing w:line="340" w:lineRule="exact"/>
        <w:ind w:firstLine="420" w:firstLineChars="200"/>
        <w:rPr>
          <w:rFonts w:ascii="宋体" w:hAnsi="宋体" w:cs="宋体"/>
          <w:kern w:val="0"/>
        </w:rPr>
      </w:pPr>
      <w:r>
        <w:rPr>
          <w:rFonts w:hint="eastAsia" w:ascii="宋体" w:hAnsi="宋体" w:cs="宋体"/>
          <w:kern w:val="0"/>
        </w:rPr>
        <w:t xml:space="preserve">代理人无转委托权,特此委托。 </w:t>
      </w:r>
    </w:p>
    <w:p w14:paraId="662A867D">
      <w:pPr>
        <w:spacing w:line="340" w:lineRule="exact"/>
        <w:ind w:firstLine="420" w:firstLineChars="200"/>
        <w:rPr>
          <w:rFonts w:ascii="宋体" w:hAnsi="宋体" w:cs="宋体"/>
          <w:kern w:val="0"/>
        </w:rPr>
      </w:pPr>
    </w:p>
    <w:p w14:paraId="7AD53D58">
      <w:pPr>
        <w:spacing w:line="340" w:lineRule="exact"/>
        <w:ind w:firstLine="420" w:firstLineChars="200"/>
        <w:rPr>
          <w:rFonts w:ascii="宋体" w:hAnsi="宋体" w:cs="宋体"/>
          <w:szCs w:val="21"/>
        </w:rPr>
      </w:pPr>
      <w:r>
        <w:rPr>
          <w:rFonts w:hint="eastAsia" w:ascii="宋体" w:hAnsi="宋体" w:cs="宋体"/>
          <w:szCs w:val="21"/>
        </w:rPr>
        <w:t>我已在下面签字，以资证明。</w:t>
      </w:r>
    </w:p>
    <w:p w14:paraId="7E8D2B60">
      <w:pPr>
        <w:spacing w:line="340" w:lineRule="exact"/>
        <w:ind w:firstLine="420" w:firstLineChars="200"/>
        <w:rPr>
          <w:rFonts w:ascii="宋体" w:hAnsi="宋体" w:cs="宋体"/>
          <w:szCs w:val="21"/>
        </w:rPr>
      </w:pPr>
    </w:p>
    <w:p w14:paraId="0E7DD6F3">
      <w:pPr>
        <w:snapToGrid w:val="0"/>
        <w:spacing w:line="340" w:lineRule="exact"/>
        <w:ind w:firstLine="420"/>
        <w:rPr>
          <w:rFonts w:ascii="宋体" w:hAnsi="宋体" w:cs="宋体"/>
          <w:szCs w:val="21"/>
        </w:rPr>
      </w:pPr>
      <w:r>
        <w:rPr>
          <w:rFonts w:hint="eastAsia" w:ascii="宋体" w:hAnsi="宋体" w:cs="宋体"/>
          <w:szCs w:val="21"/>
        </w:rPr>
        <w:t>自然人签字并在签名处加盖大拇指指印或个人CA签章：</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2732BFB0">
      <w:pPr>
        <w:pStyle w:val="15"/>
        <w:spacing w:line="400" w:lineRule="exact"/>
        <w:ind w:left="420" w:leftChars="200"/>
        <w:rPr>
          <w:rFonts w:hAnsi="宋体" w:cs="宋体"/>
          <w:szCs w:val="21"/>
        </w:rPr>
      </w:pPr>
    </w:p>
    <w:p w14:paraId="3EDA25EA">
      <w:pPr>
        <w:pStyle w:val="15"/>
        <w:spacing w:line="400" w:lineRule="exact"/>
        <w:rPr>
          <w:rFonts w:hAnsi="宋体" w:cs="宋体"/>
          <w:b/>
          <w:szCs w:val="21"/>
        </w:rPr>
      </w:pPr>
      <w:r>
        <w:rPr>
          <w:rFonts w:hint="eastAsia" w:hAnsi="宋体" w:cs="宋体"/>
          <w:b/>
          <w:szCs w:val="21"/>
        </w:rPr>
        <w:t>附：委托代理人身份证正反面复印件</w:t>
      </w:r>
    </w:p>
    <w:p w14:paraId="14D40C95">
      <w:pPr>
        <w:pStyle w:val="7"/>
      </w:pPr>
    </w:p>
    <w:p w14:paraId="19EB61D3"/>
    <w:p w14:paraId="012FC6E5">
      <w:pPr>
        <w:pStyle w:val="13"/>
      </w:pPr>
    </w:p>
    <w:p w14:paraId="0FCAFD11"/>
    <w:p w14:paraId="1DBF240F">
      <w:pPr>
        <w:pStyle w:val="13"/>
      </w:pPr>
    </w:p>
    <w:p w14:paraId="5DB4EBCA"/>
    <w:p w14:paraId="76FE3B67">
      <w:pPr>
        <w:pStyle w:val="13"/>
      </w:pPr>
    </w:p>
    <w:p w14:paraId="2DB42B52"/>
    <w:p w14:paraId="6B0872A2">
      <w:pPr>
        <w:pStyle w:val="13"/>
      </w:pPr>
    </w:p>
    <w:p w14:paraId="31AE6C2A"/>
    <w:p w14:paraId="33691432">
      <w:pPr>
        <w:pStyle w:val="13"/>
      </w:pPr>
    </w:p>
    <w:p w14:paraId="5C17586C"/>
    <w:p w14:paraId="5C22A2AE">
      <w:pPr>
        <w:pStyle w:val="13"/>
      </w:pPr>
    </w:p>
    <w:p w14:paraId="00B113F1"/>
    <w:p w14:paraId="53EDECEC">
      <w:pPr>
        <w:pStyle w:val="13"/>
      </w:pPr>
    </w:p>
    <w:p w14:paraId="645B3DFA"/>
    <w:p w14:paraId="33AECB16">
      <w:pPr>
        <w:pStyle w:val="13"/>
      </w:pPr>
    </w:p>
    <w:p w14:paraId="36C02BBE"/>
    <w:p w14:paraId="3F1191D5"/>
    <w:p w14:paraId="27942C6F">
      <w:pPr>
        <w:spacing w:line="500" w:lineRule="exact"/>
        <w:rPr>
          <w:rFonts w:hint="eastAsia" w:ascii="宋体" w:hAnsi="宋体" w:cs="宋体"/>
          <w:b/>
          <w:bCs/>
          <w:w w:val="99"/>
          <w:kern w:val="0"/>
          <w:sz w:val="30"/>
          <w:szCs w:val="32"/>
        </w:rPr>
      </w:pPr>
    </w:p>
    <w:p w14:paraId="72DE794E">
      <w:pPr>
        <w:spacing w:line="500" w:lineRule="exact"/>
        <w:rPr>
          <w:rFonts w:ascii="宋体" w:hAnsi="宋体" w:cs="宋体"/>
          <w:b/>
          <w:bCs/>
          <w:w w:val="99"/>
          <w:kern w:val="0"/>
          <w:sz w:val="30"/>
          <w:szCs w:val="32"/>
        </w:rPr>
      </w:pPr>
      <w:r>
        <w:rPr>
          <w:rFonts w:hint="eastAsia" w:ascii="宋体" w:hAnsi="宋体" w:cs="宋体"/>
          <w:b/>
          <w:bCs/>
          <w:w w:val="99"/>
          <w:kern w:val="0"/>
          <w:sz w:val="30"/>
          <w:szCs w:val="32"/>
        </w:rPr>
        <w:t>4、竞标人参加政府采购活动前3年内在经营活动中没有重大违法记录的书面声明（格式）（必须提供）</w:t>
      </w:r>
    </w:p>
    <w:p w14:paraId="2C269E92">
      <w:pPr>
        <w:spacing w:line="500" w:lineRule="exact"/>
        <w:rPr>
          <w:rFonts w:ascii="宋体" w:hAnsi="宋体" w:cs="宋体"/>
          <w:b/>
          <w:bCs/>
          <w:w w:val="99"/>
          <w:kern w:val="0"/>
          <w:sz w:val="30"/>
          <w:szCs w:val="32"/>
        </w:rPr>
      </w:pPr>
    </w:p>
    <w:p w14:paraId="782899F7">
      <w:pPr>
        <w:pStyle w:val="15"/>
        <w:kinsoku w:val="0"/>
        <w:spacing w:line="500" w:lineRule="exact"/>
        <w:jc w:val="center"/>
        <w:rPr>
          <w:rFonts w:hAnsi="宋体" w:cs="宋体"/>
          <w:b/>
          <w:sz w:val="28"/>
          <w:szCs w:val="28"/>
        </w:rPr>
      </w:pPr>
      <w:r>
        <w:rPr>
          <w:rFonts w:hint="eastAsia" w:hAnsi="宋体" w:cs="宋体"/>
          <w:b/>
          <w:sz w:val="28"/>
          <w:szCs w:val="28"/>
        </w:rPr>
        <w:t>声   明</w:t>
      </w:r>
    </w:p>
    <w:p w14:paraId="133F8FC6">
      <w:pPr>
        <w:kinsoku w:val="0"/>
        <w:snapToGrid w:val="0"/>
        <w:spacing w:line="500" w:lineRule="exact"/>
        <w:outlineLvl w:val="4"/>
        <w:rPr>
          <w:rFonts w:ascii="宋体" w:hAnsi="宋体" w:cs="宋体"/>
          <w:szCs w:val="21"/>
        </w:rPr>
      </w:pPr>
      <w:r>
        <w:rPr>
          <w:rFonts w:hint="eastAsia" w:ascii="宋体" w:hAnsi="宋体" w:cs="宋体"/>
          <w:b/>
          <w:szCs w:val="21"/>
        </w:rPr>
        <w:t>致</w:t>
      </w:r>
      <w:r>
        <w:rPr>
          <w:rFonts w:hint="eastAsia" w:ascii="宋体" w:hAnsi="宋体" w:cs="宋体"/>
          <w:szCs w:val="21"/>
        </w:rPr>
        <w:t>：</w:t>
      </w:r>
      <w:r>
        <w:rPr>
          <w:rFonts w:hint="eastAsia" w:ascii="宋体" w:hAnsi="宋体" w:cs="宋体"/>
          <w:szCs w:val="21"/>
          <w:u w:val="single"/>
        </w:rPr>
        <w:t>广西达华工程造价咨询有限责任公司</w:t>
      </w:r>
    </w:p>
    <w:p w14:paraId="00A5A354">
      <w:pPr>
        <w:kinsoku w:val="0"/>
        <w:snapToGrid w:val="0"/>
        <w:spacing w:line="500" w:lineRule="exact"/>
        <w:outlineLvl w:val="4"/>
        <w:rPr>
          <w:rFonts w:ascii="宋体" w:hAnsi="宋体" w:cs="宋体"/>
          <w:szCs w:val="21"/>
          <w:u w:val="single"/>
        </w:rPr>
      </w:pPr>
    </w:p>
    <w:p w14:paraId="08EC769F">
      <w:pPr>
        <w:pStyle w:val="15"/>
        <w:kinsoku w:val="0"/>
        <w:spacing w:line="500" w:lineRule="exact"/>
        <w:ind w:firstLine="420" w:firstLineChars="200"/>
        <w:rPr>
          <w:rFonts w:hAnsi="宋体" w:cs="宋体"/>
          <w:szCs w:val="21"/>
        </w:rPr>
      </w:pPr>
      <w:r>
        <w:rPr>
          <w:rFonts w:hint="eastAsia" w:hAnsi="宋体" w:cs="宋体"/>
          <w:szCs w:val="21"/>
        </w:rPr>
        <w:t>我（公司）郑重声明，在参加政府采购活动前3年内在经营活动中没有重大违法记录（重大违法记录是指供应商因违法经营受到刑事处罚或者责令停产停业、吊销许可证或者执照、较大数额罚款等行政处罚）。</w:t>
      </w:r>
    </w:p>
    <w:p w14:paraId="0363F613">
      <w:pPr>
        <w:kinsoku w:val="0"/>
        <w:snapToGrid w:val="0"/>
        <w:spacing w:line="500" w:lineRule="exact"/>
        <w:ind w:firstLine="420"/>
        <w:outlineLvl w:val="4"/>
        <w:rPr>
          <w:rFonts w:ascii="宋体" w:hAnsi="宋体" w:cs="宋体"/>
          <w:szCs w:val="21"/>
        </w:rPr>
      </w:pPr>
    </w:p>
    <w:p w14:paraId="0C8E58CE">
      <w:pPr>
        <w:kinsoku w:val="0"/>
        <w:snapToGrid w:val="0"/>
        <w:spacing w:line="500" w:lineRule="exact"/>
        <w:ind w:firstLine="420"/>
        <w:outlineLvl w:val="4"/>
        <w:rPr>
          <w:rFonts w:ascii="宋体" w:hAnsi="宋体" w:cs="宋体"/>
          <w:szCs w:val="21"/>
        </w:rPr>
      </w:pPr>
    </w:p>
    <w:p w14:paraId="64685A77">
      <w:pPr>
        <w:kinsoku w:val="0"/>
        <w:snapToGrid w:val="0"/>
        <w:spacing w:line="500" w:lineRule="exact"/>
        <w:ind w:firstLine="420"/>
        <w:outlineLvl w:val="4"/>
        <w:rPr>
          <w:rFonts w:ascii="宋体" w:hAnsi="宋体" w:cs="宋体"/>
          <w:szCs w:val="21"/>
        </w:rPr>
      </w:pPr>
    </w:p>
    <w:p w14:paraId="4F5A1D0B">
      <w:pPr>
        <w:pStyle w:val="13"/>
      </w:pPr>
    </w:p>
    <w:p w14:paraId="09E602F6">
      <w:pPr>
        <w:kinsoku w:val="0"/>
        <w:spacing w:line="500" w:lineRule="exact"/>
        <w:ind w:firstLine="1155" w:firstLineChars="550"/>
        <w:rPr>
          <w:rFonts w:ascii="宋体" w:hAnsi="宋体" w:cs="宋体"/>
          <w:szCs w:val="21"/>
        </w:rPr>
      </w:pPr>
      <w:r>
        <w:rPr>
          <w:rFonts w:hint="eastAsia" w:ascii="宋体" w:hAnsi="宋体" w:cs="宋体"/>
          <w:szCs w:val="21"/>
        </w:rPr>
        <w:t>磋商供应商[公章(CA签章)，自然人签字或个人CA签章]：</w:t>
      </w:r>
    </w:p>
    <w:p w14:paraId="66C88AB6">
      <w:pPr>
        <w:spacing w:line="500" w:lineRule="exact"/>
        <w:ind w:firstLine="4830" w:firstLineChars="2300"/>
        <w:rPr>
          <w:rFonts w:ascii="宋体" w:hAnsi="宋体" w:cs="宋体"/>
          <w:szCs w:val="21"/>
        </w:rPr>
      </w:pPr>
      <w:r>
        <w:rPr>
          <w:rFonts w:hint="eastAsia" w:ascii="宋体" w:hAnsi="宋体" w:cs="宋体"/>
          <w:szCs w:val="21"/>
        </w:rPr>
        <w:t>日          期：</w:t>
      </w:r>
      <w:r>
        <w:rPr>
          <w:rFonts w:hint="eastAsia" w:ascii="宋体" w:hAnsi="宋体" w:cs="宋体"/>
          <w:szCs w:val="21"/>
          <w:u w:val="single"/>
        </w:rPr>
        <w:t xml:space="preserve">                                          </w:t>
      </w:r>
    </w:p>
    <w:p w14:paraId="050B9E6F">
      <w:pPr>
        <w:pStyle w:val="5"/>
        <w:spacing w:line="500" w:lineRule="exact"/>
        <w:rPr>
          <w:rFonts w:ascii="宋体" w:hAnsi="宋体" w:cs="宋体"/>
          <w:color w:val="auto"/>
          <w:w w:val="99"/>
          <w:kern w:val="0"/>
        </w:rPr>
      </w:pPr>
    </w:p>
    <w:p w14:paraId="21C2E4C1">
      <w:pPr>
        <w:spacing w:line="500" w:lineRule="exact"/>
        <w:rPr>
          <w:rFonts w:ascii="宋体" w:hAnsi="宋体" w:cs="宋体"/>
          <w:w w:val="99"/>
          <w:kern w:val="0"/>
        </w:rPr>
      </w:pPr>
    </w:p>
    <w:p w14:paraId="1C093F53">
      <w:pPr>
        <w:numPr>
          <w:ilvl w:val="0"/>
          <w:numId w:val="6"/>
        </w:numPr>
        <w:spacing w:line="500" w:lineRule="exact"/>
        <w:rPr>
          <w:rFonts w:ascii="宋体" w:hAnsi="宋体" w:cs="宋体"/>
          <w:b/>
          <w:bCs/>
          <w:w w:val="99"/>
          <w:kern w:val="0"/>
          <w:sz w:val="30"/>
          <w:szCs w:val="32"/>
        </w:rPr>
      </w:pPr>
      <w:r>
        <w:rPr>
          <w:rFonts w:hint="eastAsia" w:ascii="宋体" w:hAnsi="宋体" w:cs="宋体"/>
          <w:b/>
          <w:bCs/>
          <w:w w:val="99"/>
          <w:kern w:val="0"/>
          <w:sz w:val="30"/>
          <w:szCs w:val="32"/>
        </w:rPr>
        <w:t>竞标人的有效营业执照副本复印件或事业单位法人证书复印件（必须提供）</w:t>
      </w:r>
    </w:p>
    <w:p w14:paraId="6B57AEA7">
      <w:pPr>
        <w:spacing w:line="500" w:lineRule="exact"/>
        <w:rPr>
          <w:rFonts w:ascii="宋体" w:hAnsi="宋体" w:cs="宋体"/>
          <w:b/>
          <w:bCs/>
          <w:w w:val="99"/>
          <w:kern w:val="0"/>
          <w:sz w:val="30"/>
          <w:szCs w:val="32"/>
        </w:rPr>
      </w:pPr>
    </w:p>
    <w:p w14:paraId="0D9B9AEA">
      <w:pPr>
        <w:spacing w:line="500" w:lineRule="exact"/>
        <w:rPr>
          <w:rFonts w:ascii="宋体" w:hAnsi="宋体" w:cs="宋体"/>
          <w:b/>
          <w:bCs/>
          <w:w w:val="99"/>
          <w:kern w:val="0"/>
          <w:sz w:val="30"/>
          <w:szCs w:val="32"/>
        </w:rPr>
      </w:pPr>
    </w:p>
    <w:p w14:paraId="6C08BC64">
      <w:pPr>
        <w:numPr>
          <w:ilvl w:val="0"/>
          <w:numId w:val="6"/>
        </w:numPr>
        <w:spacing w:line="500" w:lineRule="exact"/>
        <w:rPr>
          <w:rFonts w:ascii="宋体" w:hAnsi="宋体" w:cs="宋体"/>
          <w:b/>
          <w:bCs/>
          <w:w w:val="99"/>
          <w:kern w:val="0"/>
          <w:sz w:val="30"/>
          <w:szCs w:val="32"/>
        </w:rPr>
      </w:pPr>
      <w:r>
        <w:rPr>
          <w:rFonts w:hint="eastAsia" w:ascii="宋体" w:hAnsi="宋体" w:cs="宋体"/>
          <w:b/>
          <w:bCs/>
          <w:w w:val="99"/>
          <w:kern w:val="0"/>
          <w:sz w:val="30"/>
          <w:szCs w:val="32"/>
        </w:rPr>
        <w:t>投标竞标人的税务登记证复印件和有效的组织机构代码证复印件（或提供有统一社会信用代码的营业执照复印件）（必须提供，取得“三证合一”的除外）</w:t>
      </w:r>
    </w:p>
    <w:p w14:paraId="66CDBC72">
      <w:pPr>
        <w:pStyle w:val="13"/>
      </w:pPr>
    </w:p>
    <w:p w14:paraId="2D6316CF"/>
    <w:p w14:paraId="6CC33306">
      <w:pPr>
        <w:pStyle w:val="13"/>
        <w:ind w:right="1787"/>
      </w:pPr>
    </w:p>
    <w:p w14:paraId="5FCEED22">
      <w:pPr>
        <w:numPr>
          <w:ilvl w:val="0"/>
          <w:numId w:val="7"/>
        </w:numPr>
        <w:spacing w:line="500" w:lineRule="exact"/>
        <w:rPr>
          <w:rFonts w:ascii="宋体" w:hAnsi="宋体" w:cs="宋体"/>
          <w:b/>
          <w:bCs/>
          <w:w w:val="99"/>
          <w:kern w:val="0"/>
          <w:sz w:val="30"/>
          <w:szCs w:val="32"/>
        </w:rPr>
      </w:pPr>
      <w:r>
        <w:rPr>
          <w:rFonts w:hint="eastAsia" w:ascii="宋体" w:hAnsi="宋体" w:cs="宋体"/>
          <w:b/>
          <w:bCs/>
          <w:w w:val="99"/>
          <w:kern w:val="0"/>
          <w:sz w:val="30"/>
          <w:szCs w:val="32"/>
        </w:rPr>
        <w:t>竞标人有效的资质证书复印件和安全生产许可证副本复印件（必须提供）</w:t>
      </w:r>
    </w:p>
    <w:p w14:paraId="1A4E6A73">
      <w:pPr>
        <w:pStyle w:val="13"/>
        <w:rPr>
          <w:rFonts w:ascii="宋体" w:hAnsi="宋体" w:cs="宋体"/>
          <w:szCs w:val="21"/>
        </w:rPr>
      </w:pPr>
    </w:p>
    <w:p w14:paraId="67A3E4E1">
      <w:pPr>
        <w:spacing w:line="500" w:lineRule="exact"/>
        <w:rPr>
          <w:rFonts w:ascii="宋体" w:hAnsi="宋体" w:cs="宋体"/>
          <w:b/>
          <w:bCs/>
          <w:w w:val="99"/>
          <w:kern w:val="0"/>
          <w:sz w:val="30"/>
          <w:szCs w:val="32"/>
        </w:rPr>
      </w:pPr>
    </w:p>
    <w:p w14:paraId="19C22D1F">
      <w:pPr>
        <w:spacing w:line="500" w:lineRule="exact"/>
        <w:rPr>
          <w:rFonts w:ascii="宋体" w:hAnsi="宋体" w:cs="宋体"/>
          <w:b/>
          <w:bCs/>
          <w:w w:val="99"/>
          <w:kern w:val="0"/>
          <w:sz w:val="30"/>
          <w:szCs w:val="32"/>
        </w:rPr>
      </w:pPr>
      <w:r>
        <w:rPr>
          <w:rFonts w:hint="eastAsia" w:ascii="宋体" w:hAnsi="宋体" w:cs="宋体"/>
          <w:b/>
          <w:bCs/>
          <w:w w:val="99"/>
          <w:kern w:val="0"/>
          <w:sz w:val="30"/>
          <w:szCs w:val="32"/>
        </w:rPr>
        <w:t>8、项目管理机构配备情况表（必须提供）</w:t>
      </w:r>
    </w:p>
    <w:p w14:paraId="513E495F">
      <w:pPr>
        <w:pStyle w:val="13"/>
        <w:rPr>
          <w:rFonts w:ascii="宋体" w:hAnsi="宋体" w:cs="宋体"/>
          <w:b/>
          <w:bCs/>
          <w:w w:val="99"/>
          <w:kern w:val="0"/>
          <w:sz w:val="30"/>
          <w:szCs w:val="32"/>
        </w:rPr>
      </w:pPr>
    </w:p>
    <w:p w14:paraId="19E3655C">
      <w:pPr>
        <w:pStyle w:val="13"/>
        <w:jc w:val="center"/>
        <w:rPr>
          <w:rFonts w:ascii="宋体" w:hAnsi="宋体" w:cs="宋体"/>
          <w:w w:val="99"/>
          <w:kern w:val="0"/>
          <w:sz w:val="28"/>
          <w:szCs w:val="28"/>
        </w:rPr>
      </w:pPr>
      <w:r>
        <w:rPr>
          <w:rFonts w:hint="eastAsia" w:ascii="宋体" w:hAnsi="宋体" w:cs="宋体"/>
          <w:w w:val="99"/>
          <w:kern w:val="0"/>
          <w:sz w:val="28"/>
          <w:szCs w:val="28"/>
        </w:rPr>
        <w:t>项目管理机构配备情况表</w:t>
      </w:r>
    </w:p>
    <w:p w14:paraId="761A22A8">
      <w:pPr>
        <w:spacing w:line="360" w:lineRule="exact"/>
        <w:rPr>
          <w:rFonts w:ascii="宋体" w:hAnsi="宋体" w:cs="宋体"/>
          <w:kern w:val="0"/>
          <w:szCs w:val="21"/>
        </w:rPr>
      </w:pPr>
      <w:r>
        <w:rPr>
          <w:rFonts w:hint="eastAsia" w:ascii="宋体" w:hAnsi="宋体" w:cs="宋体"/>
          <w:szCs w:val="21"/>
        </w:rPr>
        <w:t>工程名称：</w:t>
      </w:r>
      <w:r>
        <w:rPr>
          <w:rFonts w:hint="eastAsia" w:ascii="宋体" w:hAnsi="宋体" w:cs="宋体"/>
          <w:szCs w:val="21"/>
          <w:u w:val="single"/>
        </w:rPr>
        <w:t xml:space="preserve">                              </w:t>
      </w:r>
      <w:r>
        <w:rPr>
          <w:rFonts w:hint="eastAsia" w:ascii="宋体" w:hAnsi="宋体" w:cs="宋体"/>
          <w:szCs w:val="21"/>
        </w:rPr>
        <w:t xml:space="preserve"> </w:t>
      </w:r>
    </w:p>
    <w:tbl>
      <w:tblPr>
        <w:tblStyle w:val="21"/>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50"/>
        <w:gridCol w:w="793"/>
        <w:gridCol w:w="792"/>
        <w:gridCol w:w="1447"/>
        <w:gridCol w:w="3672"/>
      </w:tblGrid>
      <w:tr w14:paraId="0D5FC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150" w:type="dxa"/>
            <w:tcBorders>
              <w:top w:val="single" w:color="auto" w:sz="4" w:space="0"/>
              <w:left w:val="single" w:color="auto" w:sz="4" w:space="0"/>
              <w:bottom w:val="single" w:color="auto" w:sz="4" w:space="0"/>
              <w:right w:val="single" w:color="auto" w:sz="4" w:space="0"/>
            </w:tcBorders>
            <w:vAlign w:val="center"/>
          </w:tcPr>
          <w:p w14:paraId="5C97165D">
            <w:pPr>
              <w:spacing w:line="360" w:lineRule="exact"/>
              <w:jc w:val="center"/>
              <w:rPr>
                <w:rFonts w:ascii="宋体" w:hAnsi="宋体" w:cs="宋体"/>
                <w:szCs w:val="21"/>
              </w:rPr>
            </w:pPr>
            <w:r>
              <w:rPr>
                <w:rFonts w:hint="eastAsia" w:ascii="宋体" w:hAnsi="宋体" w:cs="宋体"/>
                <w:szCs w:val="21"/>
              </w:rPr>
              <w:t>名   称</w:t>
            </w:r>
          </w:p>
        </w:tc>
        <w:tc>
          <w:tcPr>
            <w:tcW w:w="793" w:type="dxa"/>
            <w:tcBorders>
              <w:top w:val="single" w:color="auto" w:sz="4" w:space="0"/>
              <w:left w:val="single" w:color="auto" w:sz="4" w:space="0"/>
              <w:bottom w:val="single" w:color="auto" w:sz="4" w:space="0"/>
              <w:right w:val="single" w:color="auto" w:sz="4" w:space="0"/>
            </w:tcBorders>
            <w:vAlign w:val="center"/>
          </w:tcPr>
          <w:p w14:paraId="2973C5B7">
            <w:pPr>
              <w:spacing w:line="360" w:lineRule="exact"/>
              <w:jc w:val="center"/>
              <w:rPr>
                <w:rFonts w:ascii="宋体" w:hAnsi="宋体" w:cs="宋体"/>
                <w:szCs w:val="21"/>
              </w:rPr>
            </w:pPr>
            <w:r>
              <w:rPr>
                <w:rFonts w:hint="eastAsia" w:ascii="宋体" w:hAnsi="宋体" w:cs="宋体"/>
                <w:szCs w:val="21"/>
              </w:rPr>
              <w:t>姓名</w:t>
            </w:r>
          </w:p>
        </w:tc>
        <w:tc>
          <w:tcPr>
            <w:tcW w:w="792" w:type="dxa"/>
            <w:tcBorders>
              <w:top w:val="single" w:color="auto" w:sz="4" w:space="0"/>
              <w:left w:val="single" w:color="auto" w:sz="4" w:space="0"/>
              <w:bottom w:val="single" w:color="auto" w:sz="4" w:space="0"/>
              <w:right w:val="single" w:color="auto" w:sz="4" w:space="0"/>
            </w:tcBorders>
            <w:vAlign w:val="center"/>
          </w:tcPr>
          <w:p w14:paraId="78EC04C7">
            <w:pPr>
              <w:spacing w:line="360" w:lineRule="exact"/>
              <w:jc w:val="center"/>
              <w:rPr>
                <w:rFonts w:ascii="宋体" w:hAnsi="宋体" w:cs="宋体"/>
                <w:szCs w:val="21"/>
              </w:rPr>
            </w:pPr>
            <w:r>
              <w:rPr>
                <w:rFonts w:hint="eastAsia" w:ascii="宋体" w:hAnsi="宋体" w:cs="宋体"/>
                <w:szCs w:val="21"/>
              </w:rPr>
              <w:t>职务</w:t>
            </w:r>
          </w:p>
        </w:tc>
        <w:tc>
          <w:tcPr>
            <w:tcW w:w="1447" w:type="dxa"/>
            <w:tcBorders>
              <w:top w:val="single" w:color="auto" w:sz="4" w:space="0"/>
              <w:left w:val="single" w:color="auto" w:sz="4" w:space="0"/>
              <w:bottom w:val="single" w:color="auto" w:sz="4" w:space="0"/>
              <w:right w:val="single" w:color="auto" w:sz="4" w:space="0"/>
            </w:tcBorders>
            <w:vAlign w:val="center"/>
          </w:tcPr>
          <w:p w14:paraId="405C55B9">
            <w:pPr>
              <w:spacing w:line="360" w:lineRule="exact"/>
              <w:jc w:val="center"/>
              <w:rPr>
                <w:rFonts w:ascii="宋体" w:hAnsi="宋体" w:cs="宋体"/>
                <w:szCs w:val="21"/>
              </w:rPr>
            </w:pPr>
            <w:r>
              <w:rPr>
                <w:rFonts w:hint="eastAsia" w:ascii="宋体" w:hAnsi="宋体" w:cs="宋体"/>
                <w:szCs w:val="21"/>
              </w:rPr>
              <w:t>资质/职称</w:t>
            </w:r>
          </w:p>
        </w:tc>
        <w:tc>
          <w:tcPr>
            <w:tcW w:w="3672" w:type="dxa"/>
            <w:tcBorders>
              <w:top w:val="single" w:color="auto" w:sz="4" w:space="0"/>
              <w:left w:val="single" w:color="auto" w:sz="4" w:space="0"/>
              <w:bottom w:val="single" w:color="auto" w:sz="4" w:space="0"/>
              <w:right w:val="single" w:color="auto" w:sz="4" w:space="0"/>
            </w:tcBorders>
            <w:vAlign w:val="center"/>
          </w:tcPr>
          <w:p w14:paraId="6F58F3FE">
            <w:pPr>
              <w:spacing w:line="360" w:lineRule="exact"/>
              <w:jc w:val="center"/>
              <w:rPr>
                <w:rFonts w:ascii="宋体" w:hAnsi="宋体" w:cs="宋体"/>
                <w:szCs w:val="21"/>
              </w:rPr>
            </w:pPr>
            <w:r>
              <w:rPr>
                <w:rFonts w:hint="eastAsia" w:ascii="宋体" w:hAnsi="宋体" w:cs="宋体"/>
                <w:szCs w:val="21"/>
              </w:rPr>
              <w:t>执业资格证号/上岗证号</w:t>
            </w:r>
          </w:p>
        </w:tc>
      </w:tr>
      <w:tr w14:paraId="1F126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150" w:type="dxa"/>
            <w:tcBorders>
              <w:top w:val="single" w:color="auto" w:sz="4" w:space="0"/>
              <w:left w:val="single" w:color="auto" w:sz="4" w:space="0"/>
              <w:bottom w:val="single" w:color="auto" w:sz="4" w:space="0"/>
              <w:right w:val="single" w:color="auto" w:sz="4" w:space="0"/>
            </w:tcBorders>
            <w:vAlign w:val="center"/>
          </w:tcPr>
          <w:p w14:paraId="188BB6B2">
            <w:pPr>
              <w:spacing w:line="360" w:lineRule="exact"/>
              <w:rPr>
                <w:rFonts w:ascii="宋体" w:hAnsi="宋体" w:cs="宋体"/>
                <w:szCs w:val="21"/>
              </w:rPr>
            </w:pPr>
            <w:r>
              <w:rPr>
                <w:rFonts w:hint="eastAsia" w:ascii="宋体" w:hAnsi="宋体" w:cs="宋体"/>
                <w:szCs w:val="21"/>
              </w:rPr>
              <w:t>一、总部</w:t>
            </w:r>
          </w:p>
        </w:tc>
        <w:tc>
          <w:tcPr>
            <w:tcW w:w="793" w:type="dxa"/>
            <w:tcBorders>
              <w:top w:val="single" w:color="auto" w:sz="4" w:space="0"/>
              <w:left w:val="single" w:color="auto" w:sz="4" w:space="0"/>
              <w:bottom w:val="single" w:color="auto" w:sz="4" w:space="0"/>
              <w:right w:val="single" w:color="auto" w:sz="4" w:space="0"/>
            </w:tcBorders>
            <w:vAlign w:val="center"/>
          </w:tcPr>
          <w:p w14:paraId="3FDD8083">
            <w:pPr>
              <w:spacing w:line="360" w:lineRule="exact"/>
              <w:rPr>
                <w:rFonts w:ascii="宋体" w:hAnsi="宋体" w:cs="宋体"/>
                <w:szCs w:val="21"/>
              </w:rPr>
            </w:pPr>
          </w:p>
        </w:tc>
        <w:tc>
          <w:tcPr>
            <w:tcW w:w="792" w:type="dxa"/>
            <w:tcBorders>
              <w:top w:val="single" w:color="auto" w:sz="4" w:space="0"/>
              <w:left w:val="single" w:color="auto" w:sz="4" w:space="0"/>
              <w:bottom w:val="single" w:color="auto" w:sz="4" w:space="0"/>
              <w:right w:val="single" w:color="auto" w:sz="4" w:space="0"/>
            </w:tcBorders>
            <w:vAlign w:val="center"/>
          </w:tcPr>
          <w:p w14:paraId="073ABAB7">
            <w:pPr>
              <w:spacing w:line="360" w:lineRule="exact"/>
              <w:rPr>
                <w:rFonts w:ascii="宋体" w:hAnsi="宋体" w:cs="宋体"/>
                <w:szCs w:val="21"/>
              </w:rPr>
            </w:pPr>
          </w:p>
        </w:tc>
        <w:tc>
          <w:tcPr>
            <w:tcW w:w="1447" w:type="dxa"/>
            <w:tcBorders>
              <w:top w:val="single" w:color="auto" w:sz="4" w:space="0"/>
              <w:left w:val="single" w:color="auto" w:sz="4" w:space="0"/>
              <w:bottom w:val="single" w:color="auto" w:sz="4" w:space="0"/>
              <w:right w:val="single" w:color="auto" w:sz="4" w:space="0"/>
            </w:tcBorders>
            <w:vAlign w:val="center"/>
          </w:tcPr>
          <w:p w14:paraId="30F781E2">
            <w:pPr>
              <w:spacing w:line="360" w:lineRule="exact"/>
              <w:rPr>
                <w:rFonts w:ascii="宋体" w:hAnsi="宋体" w:cs="宋体"/>
                <w:szCs w:val="21"/>
              </w:rPr>
            </w:pPr>
          </w:p>
        </w:tc>
        <w:tc>
          <w:tcPr>
            <w:tcW w:w="3672" w:type="dxa"/>
            <w:tcBorders>
              <w:top w:val="single" w:color="auto" w:sz="4" w:space="0"/>
              <w:left w:val="single" w:color="auto" w:sz="4" w:space="0"/>
              <w:bottom w:val="single" w:color="auto" w:sz="4" w:space="0"/>
              <w:right w:val="single" w:color="auto" w:sz="4" w:space="0"/>
            </w:tcBorders>
            <w:vAlign w:val="center"/>
          </w:tcPr>
          <w:p w14:paraId="0D0F4444">
            <w:pPr>
              <w:spacing w:line="360" w:lineRule="exact"/>
              <w:rPr>
                <w:rFonts w:ascii="宋体" w:hAnsi="宋体" w:cs="宋体"/>
                <w:szCs w:val="21"/>
              </w:rPr>
            </w:pPr>
          </w:p>
        </w:tc>
      </w:tr>
      <w:tr w14:paraId="31B95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150" w:type="dxa"/>
            <w:tcBorders>
              <w:top w:val="single" w:color="auto" w:sz="4" w:space="0"/>
              <w:left w:val="single" w:color="auto" w:sz="4" w:space="0"/>
              <w:bottom w:val="single" w:color="auto" w:sz="4" w:space="0"/>
              <w:right w:val="single" w:color="auto" w:sz="4" w:space="0"/>
            </w:tcBorders>
            <w:vAlign w:val="center"/>
          </w:tcPr>
          <w:p w14:paraId="325EAE2E">
            <w:pPr>
              <w:spacing w:line="360" w:lineRule="exact"/>
              <w:rPr>
                <w:rFonts w:ascii="宋体" w:hAnsi="宋体" w:cs="宋体"/>
                <w:szCs w:val="21"/>
              </w:rPr>
            </w:pPr>
            <w:r>
              <w:rPr>
                <w:rFonts w:hint="eastAsia" w:ascii="宋体" w:hAnsi="宋体" w:cs="宋体"/>
                <w:szCs w:val="21"/>
              </w:rPr>
              <w:t>1.项目主管</w:t>
            </w:r>
          </w:p>
        </w:tc>
        <w:tc>
          <w:tcPr>
            <w:tcW w:w="793" w:type="dxa"/>
            <w:tcBorders>
              <w:top w:val="single" w:color="auto" w:sz="4" w:space="0"/>
              <w:left w:val="single" w:color="auto" w:sz="4" w:space="0"/>
              <w:bottom w:val="single" w:color="auto" w:sz="4" w:space="0"/>
              <w:right w:val="single" w:color="auto" w:sz="4" w:space="0"/>
            </w:tcBorders>
            <w:vAlign w:val="center"/>
          </w:tcPr>
          <w:p w14:paraId="787EFB6A">
            <w:pPr>
              <w:spacing w:line="360" w:lineRule="exact"/>
              <w:rPr>
                <w:rFonts w:ascii="宋体" w:hAnsi="宋体" w:cs="宋体"/>
                <w:szCs w:val="21"/>
              </w:rPr>
            </w:pPr>
          </w:p>
        </w:tc>
        <w:tc>
          <w:tcPr>
            <w:tcW w:w="792" w:type="dxa"/>
            <w:tcBorders>
              <w:top w:val="single" w:color="auto" w:sz="4" w:space="0"/>
              <w:left w:val="single" w:color="auto" w:sz="4" w:space="0"/>
              <w:bottom w:val="single" w:color="auto" w:sz="4" w:space="0"/>
              <w:right w:val="single" w:color="auto" w:sz="4" w:space="0"/>
            </w:tcBorders>
            <w:vAlign w:val="center"/>
          </w:tcPr>
          <w:p w14:paraId="11BD032D">
            <w:pPr>
              <w:spacing w:line="360" w:lineRule="exact"/>
              <w:rPr>
                <w:rFonts w:ascii="宋体" w:hAnsi="宋体" w:cs="宋体"/>
                <w:szCs w:val="21"/>
              </w:rPr>
            </w:pPr>
          </w:p>
        </w:tc>
        <w:tc>
          <w:tcPr>
            <w:tcW w:w="1447" w:type="dxa"/>
            <w:tcBorders>
              <w:top w:val="single" w:color="auto" w:sz="4" w:space="0"/>
              <w:left w:val="single" w:color="auto" w:sz="4" w:space="0"/>
              <w:bottom w:val="single" w:color="auto" w:sz="4" w:space="0"/>
              <w:right w:val="single" w:color="auto" w:sz="4" w:space="0"/>
            </w:tcBorders>
            <w:vAlign w:val="center"/>
          </w:tcPr>
          <w:p w14:paraId="2C1CA712">
            <w:pPr>
              <w:spacing w:line="360" w:lineRule="exact"/>
              <w:rPr>
                <w:rFonts w:ascii="宋体" w:hAnsi="宋体" w:cs="宋体"/>
                <w:szCs w:val="21"/>
              </w:rPr>
            </w:pPr>
          </w:p>
        </w:tc>
        <w:tc>
          <w:tcPr>
            <w:tcW w:w="3672" w:type="dxa"/>
            <w:tcBorders>
              <w:top w:val="single" w:color="auto" w:sz="4" w:space="0"/>
              <w:left w:val="single" w:color="auto" w:sz="4" w:space="0"/>
              <w:bottom w:val="single" w:color="auto" w:sz="4" w:space="0"/>
              <w:right w:val="single" w:color="auto" w:sz="4" w:space="0"/>
            </w:tcBorders>
            <w:vAlign w:val="center"/>
          </w:tcPr>
          <w:p w14:paraId="10B9889A">
            <w:pPr>
              <w:spacing w:line="360" w:lineRule="exact"/>
              <w:rPr>
                <w:rFonts w:ascii="宋体" w:hAnsi="宋体" w:cs="宋体"/>
                <w:szCs w:val="21"/>
              </w:rPr>
            </w:pPr>
          </w:p>
        </w:tc>
      </w:tr>
      <w:tr w14:paraId="6200C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150" w:type="dxa"/>
            <w:tcBorders>
              <w:top w:val="single" w:color="auto" w:sz="4" w:space="0"/>
              <w:left w:val="single" w:color="auto" w:sz="4" w:space="0"/>
              <w:bottom w:val="single" w:color="auto" w:sz="4" w:space="0"/>
              <w:right w:val="single" w:color="auto" w:sz="4" w:space="0"/>
            </w:tcBorders>
            <w:vAlign w:val="center"/>
          </w:tcPr>
          <w:p w14:paraId="4C6DBED8">
            <w:pPr>
              <w:spacing w:line="360" w:lineRule="exact"/>
              <w:rPr>
                <w:rFonts w:ascii="宋体" w:hAnsi="宋体" w:cs="宋体"/>
                <w:szCs w:val="21"/>
              </w:rPr>
            </w:pPr>
            <w:r>
              <w:rPr>
                <w:rFonts w:hint="eastAsia" w:ascii="宋体" w:hAnsi="宋体" w:cs="宋体"/>
                <w:szCs w:val="21"/>
              </w:rPr>
              <w:t>2.其他人员</w:t>
            </w:r>
          </w:p>
        </w:tc>
        <w:tc>
          <w:tcPr>
            <w:tcW w:w="793" w:type="dxa"/>
            <w:tcBorders>
              <w:top w:val="single" w:color="auto" w:sz="4" w:space="0"/>
              <w:left w:val="single" w:color="auto" w:sz="4" w:space="0"/>
              <w:bottom w:val="single" w:color="auto" w:sz="4" w:space="0"/>
              <w:right w:val="single" w:color="auto" w:sz="4" w:space="0"/>
            </w:tcBorders>
            <w:vAlign w:val="center"/>
          </w:tcPr>
          <w:p w14:paraId="20257AF2">
            <w:pPr>
              <w:spacing w:line="360" w:lineRule="exact"/>
              <w:rPr>
                <w:rFonts w:ascii="宋体" w:hAnsi="宋体" w:cs="宋体"/>
                <w:szCs w:val="21"/>
              </w:rPr>
            </w:pPr>
          </w:p>
        </w:tc>
        <w:tc>
          <w:tcPr>
            <w:tcW w:w="792" w:type="dxa"/>
            <w:tcBorders>
              <w:top w:val="single" w:color="auto" w:sz="4" w:space="0"/>
              <w:left w:val="single" w:color="auto" w:sz="4" w:space="0"/>
              <w:bottom w:val="single" w:color="auto" w:sz="4" w:space="0"/>
              <w:right w:val="single" w:color="auto" w:sz="4" w:space="0"/>
            </w:tcBorders>
            <w:vAlign w:val="center"/>
          </w:tcPr>
          <w:p w14:paraId="2BF614BE">
            <w:pPr>
              <w:spacing w:line="360" w:lineRule="exact"/>
              <w:rPr>
                <w:rFonts w:ascii="宋体" w:hAnsi="宋体" w:cs="宋体"/>
                <w:szCs w:val="21"/>
              </w:rPr>
            </w:pPr>
          </w:p>
        </w:tc>
        <w:tc>
          <w:tcPr>
            <w:tcW w:w="1447" w:type="dxa"/>
            <w:tcBorders>
              <w:top w:val="single" w:color="auto" w:sz="4" w:space="0"/>
              <w:left w:val="single" w:color="auto" w:sz="4" w:space="0"/>
              <w:bottom w:val="single" w:color="auto" w:sz="4" w:space="0"/>
              <w:right w:val="single" w:color="auto" w:sz="4" w:space="0"/>
            </w:tcBorders>
            <w:vAlign w:val="center"/>
          </w:tcPr>
          <w:p w14:paraId="09091B90">
            <w:pPr>
              <w:spacing w:line="360" w:lineRule="exact"/>
              <w:rPr>
                <w:rFonts w:ascii="宋体" w:hAnsi="宋体" w:cs="宋体"/>
                <w:szCs w:val="21"/>
              </w:rPr>
            </w:pPr>
          </w:p>
        </w:tc>
        <w:tc>
          <w:tcPr>
            <w:tcW w:w="3672" w:type="dxa"/>
            <w:tcBorders>
              <w:top w:val="single" w:color="auto" w:sz="4" w:space="0"/>
              <w:left w:val="single" w:color="auto" w:sz="4" w:space="0"/>
              <w:bottom w:val="single" w:color="auto" w:sz="4" w:space="0"/>
              <w:right w:val="single" w:color="auto" w:sz="4" w:space="0"/>
            </w:tcBorders>
            <w:vAlign w:val="center"/>
          </w:tcPr>
          <w:p w14:paraId="11384799">
            <w:pPr>
              <w:spacing w:line="360" w:lineRule="exact"/>
              <w:rPr>
                <w:rFonts w:ascii="宋体" w:hAnsi="宋体" w:cs="宋体"/>
                <w:szCs w:val="21"/>
              </w:rPr>
            </w:pPr>
          </w:p>
        </w:tc>
      </w:tr>
      <w:tr w14:paraId="54901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exact"/>
          <w:jc w:val="center"/>
        </w:trPr>
        <w:tc>
          <w:tcPr>
            <w:tcW w:w="3150" w:type="dxa"/>
            <w:tcBorders>
              <w:top w:val="single" w:color="auto" w:sz="4" w:space="0"/>
              <w:left w:val="single" w:color="auto" w:sz="4" w:space="0"/>
              <w:bottom w:val="single" w:color="auto" w:sz="4" w:space="0"/>
              <w:right w:val="single" w:color="auto" w:sz="4" w:space="0"/>
            </w:tcBorders>
            <w:vAlign w:val="center"/>
          </w:tcPr>
          <w:p w14:paraId="1EB64B36">
            <w:pPr>
              <w:spacing w:line="360" w:lineRule="exact"/>
              <w:rPr>
                <w:rFonts w:ascii="宋体" w:hAnsi="宋体" w:cs="宋体"/>
                <w:szCs w:val="21"/>
              </w:rPr>
            </w:pPr>
          </w:p>
        </w:tc>
        <w:tc>
          <w:tcPr>
            <w:tcW w:w="793" w:type="dxa"/>
            <w:tcBorders>
              <w:top w:val="single" w:color="auto" w:sz="4" w:space="0"/>
              <w:left w:val="single" w:color="auto" w:sz="4" w:space="0"/>
              <w:bottom w:val="single" w:color="auto" w:sz="4" w:space="0"/>
              <w:right w:val="single" w:color="auto" w:sz="4" w:space="0"/>
            </w:tcBorders>
            <w:vAlign w:val="center"/>
          </w:tcPr>
          <w:p w14:paraId="3AF0EB7B">
            <w:pPr>
              <w:spacing w:line="360" w:lineRule="exact"/>
              <w:rPr>
                <w:rFonts w:ascii="宋体" w:hAnsi="宋体" w:cs="宋体"/>
                <w:szCs w:val="21"/>
              </w:rPr>
            </w:pPr>
          </w:p>
        </w:tc>
        <w:tc>
          <w:tcPr>
            <w:tcW w:w="792" w:type="dxa"/>
            <w:tcBorders>
              <w:top w:val="single" w:color="auto" w:sz="4" w:space="0"/>
              <w:left w:val="single" w:color="auto" w:sz="4" w:space="0"/>
              <w:bottom w:val="single" w:color="auto" w:sz="4" w:space="0"/>
              <w:right w:val="single" w:color="auto" w:sz="4" w:space="0"/>
            </w:tcBorders>
            <w:vAlign w:val="center"/>
          </w:tcPr>
          <w:p w14:paraId="7584E644">
            <w:pPr>
              <w:spacing w:line="360" w:lineRule="exact"/>
              <w:rPr>
                <w:rFonts w:ascii="宋体" w:hAnsi="宋体" w:cs="宋体"/>
                <w:szCs w:val="21"/>
              </w:rPr>
            </w:pPr>
          </w:p>
        </w:tc>
        <w:tc>
          <w:tcPr>
            <w:tcW w:w="1447" w:type="dxa"/>
            <w:tcBorders>
              <w:top w:val="single" w:color="auto" w:sz="4" w:space="0"/>
              <w:left w:val="single" w:color="auto" w:sz="4" w:space="0"/>
              <w:bottom w:val="single" w:color="auto" w:sz="4" w:space="0"/>
              <w:right w:val="single" w:color="auto" w:sz="4" w:space="0"/>
            </w:tcBorders>
            <w:vAlign w:val="center"/>
          </w:tcPr>
          <w:p w14:paraId="2372EFF5">
            <w:pPr>
              <w:spacing w:line="360" w:lineRule="exact"/>
              <w:rPr>
                <w:rFonts w:ascii="宋体" w:hAnsi="宋体" w:cs="宋体"/>
                <w:szCs w:val="21"/>
              </w:rPr>
            </w:pPr>
          </w:p>
        </w:tc>
        <w:tc>
          <w:tcPr>
            <w:tcW w:w="3672" w:type="dxa"/>
            <w:tcBorders>
              <w:top w:val="single" w:color="auto" w:sz="4" w:space="0"/>
              <w:left w:val="single" w:color="auto" w:sz="4" w:space="0"/>
              <w:bottom w:val="single" w:color="auto" w:sz="4" w:space="0"/>
              <w:right w:val="single" w:color="auto" w:sz="4" w:space="0"/>
            </w:tcBorders>
            <w:vAlign w:val="center"/>
          </w:tcPr>
          <w:p w14:paraId="00E2D0BF">
            <w:pPr>
              <w:spacing w:line="360" w:lineRule="exact"/>
              <w:rPr>
                <w:rFonts w:ascii="宋体" w:hAnsi="宋体" w:cs="宋体"/>
                <w:szCs w:val="21"/>
              </w:rPr>
            </w:pPr>
          </w:p>
        </w:tc>
      </w:tr>
      <w:tr w14:paraId="37821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150" w:type="dxa"/>
            <w:tcBorders>
              <w:top w:val="single" w:color="auto" w:sz="4" w:space="0"/>
              <w:left w:val="single" w:color="auto" w:sz="4" w:space="0"/>
              <w:bottom w:val="single" w:color="auto" w:sz="4" w:space="0"/>
              <w:right w:val="single" w:color="auto" w:sz="4" w:space="0"/>
            </w:tcBorders>
            <w:vAlign w:val="center"/>
          </w:tcPr>
          <w:p w14:paraId="7973FF8B">
            <w:pPr>
              <w:spacing w:line="360" w:lineRule="exact"/>
              <w:rPr>
                <w:rFonts w:ascii="宋体" w:hAnsi="宋体" w:cs="宋体"/>
                <w:szCs w:val="21"/>
              </w:rPr>
            </w:pPr>
            <w:r>
              <w:rPr>
                <w:rFonts w:hint="eastAsia" w:ascii="宋体" w:hAnsi="宋体" w:cs="宋体"/>
                <w:szCs w:val="21"/>
              </w:rPr>
              <w:t>二、现场</w:t>
            </w:r>
          </w:p>
        </w:tc>
        <w:tc>
          <w:tcPr>
            <w:tcW w:w="793" w:type="dxa"/>
            <w:tcBorders>
              <w:top w:val="single" w:color="auto" w:sz="4" w:space="0"/>
              <w:left w:val="single" w:color="auto" w:sz="4" w:space="0"/>
              <w:bottom w:val="single" w:color="auto" w:sz="4" w:space="0"/>
              <w:right w:val="single" w:color="auto" w:sz="4" w:space="0"/>
            </w:tcBorders>
            <w:vAlign w:val="center"/>
          </w:tcPr>
          <w:p w14:paraId="079F0F6F">
            <w:pPr>
              <w:spacing w:line="360" w:lineRule="exact"/>
              <w:rPr>
                <w:rFonts w:ascii="宋体" w:hAnsi="宋体" w:cs="宋体"/>
                <w:szCs w:val="21"/>
              </w:rPr>
            </w:pPr>
          </w:p>
        </w:tc>
        <w:tc>
          <w:tcPr>
            <w:tcW w:w="792" w:type="dxa"/>
            <w:tcBorders>
              <w:top w:val="single" w:color="auto" w:sz="4" w:space="0"/>
              <w:left w:val="single" w:color="auto" w:sz="4" w:space="0"/>
              <w:bottom w:val="single" w:color="auto" w:sz="4" w:space="0"/>
              <w:right w:val="single" w:color="auto" w:sz="4" w:space="0"/>
            </w:tcBorders>
            <w:vAlign w:val="center"/>
          </w:tcPr>
          <w:p w14:paraId="4E5522A9">
            <w:pPr>
              <w:spacing w:line="360" w:lineRule="exact"/>
              <w:rPr>
                <w:rFonts w:ascii="宋体" w:hAnsi="宋体" w:cs="宋体"/>
                <w:szCs w:val="21"/>
              </w:rPr>
            </w:pPr>
          </w:p>
        </w:tc>
        <w:tc>
          <w:tcPr>
            <w:tcW w:w="1447" w:type="dxa"/>
            <w:tcBorders>
              <w:top w:val="single" w:color="auto" w:sz="4" w:space="0"/>
              <w:left w:val="single" w:color="auto" w:sz="4" w:space="0"/>
              <w:bottom w:val="single" w:color="auto" w:sz="4" w:space="0"/>
              <w:right w:val="single" w:color="auto" w:sz="4" w:space="0"/>
            </w:tcBorders>
            <w:vAlign w:val="center"/>
          </w:tcPr>
          <w:p w14:paraId="79C5E898">
            <w:pPr>
              <w:spacing w:line="360" w:lineRule="exact"/>
              <w:rPr>
                <w:rFonts w:ascii="宋体" w:hAnsi="宋体" w:cs="宋体"/>
                <w:szCs w:val="21"/>
              </w:rPr>
            </w:pPr>
          </w:p>
        </w:tc>
        <w:tc>
          <w:tcPr>
            <w:tcW w:w="3672" w:type="dxa"/>
            <w:tcBorders>
              <w:top w:val="single" w:color="auto" w:sz="4" w:space="0"/>
              <w:left w:val="single" w:color="auto" w:sz="4" w:space="0"/>
              <w:bottom w:val="single" w:color="auto" w:sz="4" w:space="0"/>
              <w:right w:val="single" w:color="auto" w:sz="4" w:space="0"/>
            </w:tcBorders>
            <w:vAlign w:val="center"/>
          </w:tcPr>
          <w:p w14:paraId="2B00EE75">
            <w:pPr>
              <w:spacing w:line="360" w:lineRule="exact"/>
              <w:rPr>
                <w:rFonts w:ascii="宋体" w:hAnsi="宋体" w:cs="宋体"/>
                <w:szCs w:val="21"/>
              </w:rPr>
            </w:pPr>
          </w:p>
        </w:tc>
      </w:tr>
      <w:tr w14:paraId="783C3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150" w:type="dxa"/>
            <w:tcBorders>
              <w:top w:val="single" w:color="auto" w:sz="4" w:space="0"/>
              <w:left w:val="single" w:color="auto" w:sz="4" w:space="0"/>
              <w:bottom w:val="single" w:color="auto" w:sz="4" w:space="0"/>
              <w:right w:val="single" w:color="auto" w:sz="4" w:space="0"/>
            </w:tcBorders>
            <w:vAlign w:val="center"/>
          </w:tcPr>
          <w:p w14:paraId="3D80C714">
            <w:pPr>
              <w:spacing w:line="360" w:lineRule="exact"/>
              <w:rPr>
                <w:rFonts w:ascii="宋体" w:hAnsi="宋体" w:cs="宋体"/>
                <w:szCs w:val="21"/>
              </w:rPr>
            </w:pPr>
            <w:r>
              <w:rPr>
                <w:rFonts w:hint="eastAsia" w:ascii="宋体" w:hAnsi="宋体" w:cs="宋体"/>
                <w:szCs w:val="21"/>
              </w:rPr>
              <w:t>1.项目经理</w:t>
            </w:r>
          </w:p>
        </w:tc>
        <w:tc>
          <w:tcPr>
            <w:tcW w:w="793" w:type="dxa"/>
            <w:tcBorders>
              <w:top w:val="single" w:color="auto" w:sz="4" w:space="0"/>
              <w:left w:val="single" w:color="auto" w:sz="4" w:space="0"/>
              <w:bottom w:val="single" w:color="auto" w:sz="4" w:space="0"/>
              <w:right w:val="single" w:color="auto" w:sz="4" w:space="0"/>
            </w:tcBorders>
            <w:vAlign w:val="center"/>
          </w:tcPr>
          <w:p w14:paraId="66FE41A6">
            <w:pPr>
              <w:spacing w:line="360" w:lineRule="exact"/>
              <w:rPr>
                <w:rFonts w:ascii="宋体" w:hAnsi="宋体" w:cs="宋体"/>
                <w:szCs w:val="21"/>
              </w:rPr>
            </w:pPr>
          </w:p>
        </w:tc>
        <w:tc>
          <w:tcPr>
            <w:tcW w:w="792" w:type="dxa"/>
            <w:tcBorders>
              <w:top w:val="single" w:color="auto" w:sz="4" w:space="0"/>
              <w:left w:val="single" w:color="auto" w:sz="4" w:space="0"/>
              <w:bottom w:val="single" w:color="auto" w:sz="4" w:space="0"/>
              <w:right w:val="single" w:color="auto" w:sz="4" w:space="0"/>
            </w:tcBorders>
            <w:vAlign w:val="center"/>
          </w:tcPr>
          <w:p w14:paraId="3868E6BC">
            <w:pPr>
              <w:spacing w:line="360" w:lineRule="exact"/>
              <w:rPr>
                <w:rFonts w:ascii="宋体" w:hAnsi="宋体" w:cs="宋体"/>
                <w:szCs w:val="21"/>
              </w:rPr>
            </w:pPr>
          </w:p>
        </w:tc>
        <w:tc>
          <w:tcPr>
            <w:tcW w:w="1447" w:type="dxa"/>
            <w:tcBorders>
              <w:top w:val="single" w:color="auto" w:sz="4" w:space="0"/>
              <w:left w:val="single" w:color="auto" w:sz="4" w:space="0"/>
              <w:bottom w:val="single" w:color="auto" w:sz="4" w:space="0"/>
              <w:right w:val="single" w:color="auto" w:sz="4" w:space="0"/>
            </w:tcBorders>
            <w:vAlign w:val="center"/>
          </w:tcPr>
          <w:p w14:paraId="1B194CB1">
            <w:pPr>
              <w:spacing w:line="360" w:lineRule="exact"/>
              <w:rPr>
                <w:rFonts w:ascii="宋体" w:hAnsi="宋体" w:cs="宋体"/>
                <w:szCs w:val="21"/>
              </w:rPr>
            </w:pPr>
          </w:p>
        </w:tc>
        <w:tc>
          <w:tcPr>
            <w:tcW w:w="3672" w:type="dxa"/>
            <w:tcBorders>
              <w:top w:val="single" w:color="auto" w:sz="4" w:space="0"/>
              <w:left w:val="single" w:color="auto" w:sz="4" w:space="0"/>
              <w:bottom w:val="single" w:color="auto" w:sz="4" w:space="0"/>
              <w:right w:val="single" w:color="auto" w:sz="4" w:space="0"/>
            </w:tcBorders>
            <w:vAlign w:val="center"/>
          </w:tcPr>
          <w:p w14:paraId="0304C5EC">
            <w:pPr>
              <w:spacing w:line="360" w:lineRule="exact"/>
              <w:rPr>
                <w:rFonts w:ascii="宋体" w:hAnsi="宋体" w:cs="宋体"/>
                <w:szCs w:val="21"/>
              </w:rPr>
            </w:pPr>
          </w:p>
        </w:tc>
      </w:tr>
      <w:tr w14:paraId="2CCF8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150" w:type="dxa"/>
            <w:tcBorders>
              <w:top w:val="single" w:color="auto" w:sz="4" w:space="0"/>
              <w:left w:val="single" w:color="auto" w:sz="4" w:space="0"/>
              <w:bottom w:val="single" w:color="auto" w:sz="4" w:space="0"/>
              <w:right w:val="single" w:color="auto" w:sz="4" w:space="0"/>
            </w:tcBorders>
            <w:vAlign w:val="center"/>
          </w:tcPr>
          <w:p w14:paraId="0E87AD3E">
            <w:pPr>
              <w:spacing w:line="360" w:lineRule="exact"/>
              <w:rPr>
                <w:rFonts w:ascii="宋体" w:hAnsi="宋体" w:cs="宋体"/>
                <w:szCs w:val="21"/>
              </w:rPr>
            </w:pPr>
            <w:r>
              <w:rPr>
                <w:rFonts w:hint="eastAsia" w:ascii="宋体" w:hAnsi="宋体" w:cs="宋体"/>
                <w:szCs w:val="21"/>
              </w:rPr>
              <w:t>2.项目副经理（如有）</w:t>
            </w:r>
          </w:p>
        </w:tc>
        <w:tc>
          <w:tcPr>
            <w:tcW w:w="793" w:type="dxa"/>
            <w:tcBorders>
              <w:top w:val="single" w:color="auto" w:sz="4" w:space="0"/>
              <w:left w:val="single" w:color="auto" w:sz="4" w:space="0"/>
              <w:bottom w:val="single" w:color="auto" w:sz="4" w:space="0"/>
              <w:right w:val="single" w:color="auto" w:sz="4" w:space="0"/>
            </w:tcBorders>
            <w:vAlign w:val="center"/>
          </w:tcPr>
          <w:p w14:paraId="3CB82A81">
            <w:pPr>
              <w:spacing w:line="360" w:lineRule="exact"/>
              <w:rPr>
                <w:rFonts w:ascii="宋体" w:hAnsi="宋体" w:cs="宋体"/>
                <w:szCs w:val="21"/>
              </w:rPr>
            </w:pPr>
          </w:p>
        </w:tc>
        <w:tc>
          <w:tcPr>
            <w:tcW w:w="792" w:type="dxa"/>
            <w:tcBorders>
              <w:top w:val="single" w:color="auto" w:sz="4" w:space="0"/>
              <w:left w:val="single" w:color="auto" w:sz="4" w:space="0"/>
              <w:bottom w:val="single" w:color="auto" w:sz="4" w:space="0"/>
              <w:right w:val="single" w:color="auto" w:sz="4" w:space="0"/>
            </w:tcBorders>
            <w:vAlign w:val="center"/>
          </w:tcPr>
          <w:p w14:paraId="3F560B76">
            <w:pPr>
              <w:spacing w:line="360" w:lineRule="exact"/>
              <w:rPr>
                <w:rFonts w:ascii="宋体" w:hAnsi="宋体" w:cs="宋体"/>
                <w:szCs w:val="21"/>
              </w:rPr>
            </w:pPr>
          </w:p>
        </w:tc>
        <w:tc>
          <w:tcPr>
            <w:tcW w:w="1447" w:type="dxa"/>
            <w:tcBorders>
              <w:top w:val="single" w:color="auto" w:sz="4" w:space="0"/>
              <w:left w:val="single" w:color="auto" w:sz="4" w:space="0"/>
              <w:bottom w:val="single" w:color="auto" w:sz="4" w:space="0"/>
              <w:right w:val="single" w:color="auto" w:sz="4" w:space="0"/>
            </w:tcBorders>
            <w:vAlign w:val="center"/>
          </w:tcPr>
          <w:p w14:paraId="5F0733A7">
            <w:pPr>
              <w:spacing w:line="360" w:lineRule="exact"/>
              <w:rPr>
                <w:rFonts w:ascii="宋体" w:hAnsi="宋体" w:cs="宋体"/>
                <w:szCs w:val="21"/>
              </w:rPr>
            </w:pPr>
          </w:p>
        </w:tc>
        <w:tc>
          <w:tcPr>
            <w:tcW w:w="3672" w:type="dxa"/>
            <w:tcBorders>
              <w:top w:val="single" w:color="auto" w:sz="4" w:space="0"/>
              <w:left w:val="single" w:color="auto" w:sz="4" w:space="0"/>
              <w:bottom w:val="single" w:color="auto" w:sz="4" w:space="0"/>
              <w:right w:val="single" w:color="auto" w:sz="4" w:space="0"/>
            </w:tcBorders>
            <w:vAlign w:val="center"/>
          </w:tcPr>
          <w:p w14:paraId="15171886">
            <w:pPr>
              <w:spacing w:line="360" w:lineRule="exact"/>
              <w:rPr>
                <w:rFonts w:ascii="宋体" w:hAnsi="宋体" w:cs="宋体"/>
                <w:szCs w:val="21"/>
              </w:rPr>
            </w:pPr>
          </w:p>
        </w:tc>
      </w:tr>
      <w:tr w14:paraId="549BE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150" w:type="dxa"/>
            <w:tcBorders>
              <w:top w:val="single" w:color="auto" w:sz="4" w:space="0"/>
              <w:left w:val="single" w:color="auto" w:sz="4" w:space="0"/>
              <w:bottom w:val="single" w:color="auto" w:sz="4" w:space="0"/>
              <w:right w:val="single" w:color="auto" w:sz="4" w:space="0"/>
            </w:tcBorders>
            <w:vAlign w:val="center"/>
          </w:tcPr>
          <w:p w14:paraId="424B1BDA">
            <w:pPr>
              <w:spacing w:line="360" w:lineRule="exact"/>
              <w:rPr>
                <w:rFonts w:ascii="宋体" w:hAnsi="宋体" w:cs="宋体"/>
                <w:szCs w:val="21"/>
              </w:rPr>
            </w:pPr>
            <w:r>
              <w:rPr>
                <w:rFonts w:hint="eastAsia" w:ascii="宋体" w:hAnsi="宋体" w:cs="宋体"/>
                <w:szCs w:val="21"/>
              </w:rPr>
              <w:t>3.技术负责人</w:t>
            </w:r>
          </w:p>
        </w:tc>
        <w:tc>
          <w:tcPr>
            <w:tcW w:w="793" w:type="dxa"/>
            <w:tcBorders>
              <w:top w:val="single" w:color="auto" w:sz="4" w:space="0"/>
              <w:left w:val="single" w:color="auto" w:sz="4" w:space="0"/>
              <w:bottom w:val="single" w:color="auto" w:sz="4" w:space="0"/>
              <w:right w:val="single" w:color="auto" w:sz="4" w:space="0"/>
            </w:tcBorders>
            <w:vAlign w:val="center"/>
          </w:tcPr>
          <w:p w14:paraId="1A298727">
            <w:pPr>
              <w:spacing w:line="360" w:lineRule="exact"/>
              <w:rPr>
                <w:rFonts w:ascii="宋体" w:hAnsi="宋体" w:cs="宋体"/>
                <w:szCs w:val="21"/>
              </w:rPr>
            </w:pPr>
          </w:p>
        </w:tc>
        <w:tc>
          <w:tcPr>
            <w:tcW w:w="792" w:type="dxa"/>
            <w:tcBorders>
              <w:top w:val="single" w:color="auto" w:sz="4" w:space="0"/>
              <w:left w:val="single" w:color="auto" w:sz="4" w:space="0"/>
              <w:bottom w:val="single" w:color="auto" w:sz="4" w:space="0"/>
              <w:right w:val="single" w:color="auto" w:sz="4" w:space="0"/>
            </w:tcBorders>
            <w:vAlign w:val="center"/>
          </w:tcPr>
          <w:p w14:paraId="6F8A6FA7">
            <w:pPr>
              <w:spacing w:line="360" w:lineRule="exact"/>
              <w:rPr>
                <w:rFonts w:ascii="宋体" w:hAnsi="宋体" w:cs="宋体"/>
                <w:szCs w:val="21"/>
              </w:rPr>
            </w:pPr>
          </w:p>
        </w:tc>
        <w:tc>
          <w:tcPr>
            <w:tcW w:w="1447" w:type="dxa"/>
            <w:tcBorders>
              <w:top w:val="single" w:color="auto" w:sz="4" w:space="0"/>
              <w:left w:val="single" w:color="auto" w:sz="4" w:space="0"/>
              <w:bottom w:val="single" w:color="auto" w:sz="4" w:space="0"/>
              <w:right w:val="single" w:color="auto" w:sz="4" w:space="0"/>
            </w:tcBorders>
            <w:vAlign w:val="center"/>
          </w:tcPr>
          <w:p w14:paraId="412FA7DD">
            <w:pPr>
              <w:spacing w:line="360" w:lineRule="exact"/>
              <w:rPr>
                <w:rFonts w:ascii="宋体" w:hAnsi="宋体" w:cs="宋体"/>
                <w:szCs w:val="21"/>
              </w:rPr>
            </w:pPr>
          </w:p>
        </w:tc>
        <w:tc>
          <w:tcPr>
            <w:tcW w:w="3672" w:type="dxa"/>
            <w:tcBorders>
              <w:top w:val="single" w:color="auto" w:sz="4" w:space="0"/>
              <w:left w:val="single" w:color="auto" w:sz="4" w:space="0"/>
              <w:bottom w:val="single" w:color="auto" w:sz="4" w:space="0"/>
              <w:right w:val="single" w:color="auto" w:sz="4" w:space="0"/>
            </w:tcBorders>
            <w:vAlign w:val="center"/>
          </w:tcPr>
          <w:p w14:paraId="1CF05097">
            <w:pPr>
              <w:spacing w:line="360" w:lineRule="exact"/>
              <w:rPr>
                <w:rFonts w:ascii="宋体" w:hAnsi="宋体" w:cs="宋体"/>
                <w:szCs w:val="21"/>
              </w:rPr>
            </w:pPr>
          </w:p>
        </w:tc>
      </w:tr>
      <w:tr w14:paraId="1B8A5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150" w:type="dxa"/>
            <w:tcBorders>
              <w:top w:val="single" w:color="auto" w:sz="4" w:space="0"/>
              <w:left w:val="single" w:color="auto" w:sz="4" w:space="0"/>
              <w:bottom w:val="single" w:color="auto" w:sz="4" w:space="0"/>
              <w:right w:val="single" w:color="auto" w:sz="4" w:space="0"/>
            </w:tcBorders>
            <w:vAlign w:val="center"/>
          </w:tcPr>
          <w:p w14:paraId="37C13341">
            <w:pPr>
              <w:spacing w:line="360" w:lineRule="exact"/>
              <w:rPr>
                <w:rFonts w:ascii="宋体" w:hAnsi="宋体" w:cs="宋体"/>
                <w:szCs w:val="21"/>
              </w:rPr>
            </w:pPr>
            <w:r>
              <w:rPr>
                <w:rFonts w:hint="eastAsia" w:ascii="宋体" w:hAnsi="宋体" w:cs="宋体"/>
                <w:szCs w:val="21"/>
              </w:rPr>
              <w:t>4.施工员</w:t>
            </w:r>
          </w:p>
        </w:tc>
        <w:tc>
          <w:tcPr>
            <w:tcW w:w="793" w:type="dxa"/>
            <w:tcBorders>
              <w:top w:val="single" w:color="auto" w:sz="4" w:space="0"/>
              <w:left w:val="single" w:color="auto" w:sz="4" w:space="0"/>
              <w:bottom w:val="single" w:color="auto" w:sz="4" w:space="0"/>
              <w:right w:val="single" w:color="auto" w:sz="4" w:space="0"/>
            </w:tcBorders>
            <w:vAlign w:val="center"/>
          </w:tcPr>
          <w:p w14:paraId="4A999C12">
            <w:pPr>
              <w:spacing w:line="360" w:lineRule="exact"/>
              <w:rPr>
                <w:rFonts w:ascii="宋体" w:hAnsi="宋体" w:cs="宋体"/>
                <w:szCs w:val="21"/>
              </w:rPr>
            </w:pPr>
          </w:p>
        </w:tc>
        <w:tc>
          <w:tcPr>
            <w:tcW w:w="792" w:type="dxa"/>
            <w:tcBorders>
              <w:top w:val="single" w:color="auto" w:sz="4" w:space="0"/>
              <w:left w:val="single" w:color="auto" w:sz="4" w:space="0"/>
              <w:bottom w:val="single" w:color="auto" w:sz="4" w:space="0"/>
              <w:right w:val="single" w:color="auto" w:sz="4" w:space="0"/>
            </w:tcBorders>
            <w:vAlign w:val="center"/>
          </w:tcPr>
          <w:p w14:paraId="162A045B">
            <w:pPr>
              <w:spacing w:line="360" w:lineRule="exact"/>
              <w:rPr>
                <w:rFonts w:ascii="宋体" w:hAnsi="宋体" w:cs="宋体"/>
                <w:szCs w:val="21"/>
              </w:rPr>
            </w:pPr>
          </w:p>
        </w:tc>
        <w:tc>
          <w:tcPr>
            <w:tcW w:w="1447" w:type="dxa"/>
            <w:tcBorders>
              <w:top w:val="single" w:color="auto" w:sz="4" w:space="0"/>
              <w:left w:val="single" w:color="auto" w:sz="4" w:space="0"/>
              <w:bottom w:val="single" w:color="auto" w:sz="4" w:space="0"/>
              <w:right w:val="single" w:color="auto" w:sz="4" w:space="0"/>
            </w:tcBorders>
            <w:vAlign w:val="center"/>
          </w:tcPr>
          <w:p w14:paraId="563E2070">
            <w:pPr>
              <w:spacing w:line="360" w:lineRule="exact"/>
              <w:rPr>
                <w:rFonts w:ascii="宋体" w:hAnsi="宋体" w:cs="宋体"/>
                <w:szCs w:val="21"/>
              </w:rPr>
            </w:pPr>
          </w:p>
        </w:tc>
        <w:tc>
          <w:tcPr>
            <w:tcW w:w="3672" w:type="dxa"/>
            <w:tcBorders>
              <w:top w:val="single" w:color="auto" w:sz="4" w:space="0"/>
              <w:left w:val="single" w:color="auto" w:sz="4" w:space="0"/>
              <w:bottom w:val="single" w:color="auto" w:sz="4" w:space="0"/>
              <w:right w:val="single" w:color="auto" w:sz="4" w:space="0"/>
            </w:tcBorders>
            <w:vAlign w:val="center"/>
          </w:tcPr>
          <w:p w14:paraId="544DE7C7">
            <w:pPr>
              <w:spacing w:line="360" w:lineRule="exact"/>
              <w:rPr>
                <w:rFonts w:ascii="宋体" w:hAnsi="宋体" w:cs="宋体"/>
                <w:szCs w:val="21"/>
              </w:rPr>
            </w:pPr>
          </w:p>
        </w:tc>
      </w:tr>
      <w:tr w14:paraId="7FED5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150" w:type="dxa"/>
            <w:tcBorders>
              <w:top w:val="single" w:color="auto" w:sz="4" w:space="0"/>
              <w:left w:val="single" w:color="auto" w:sz="4" w:space="0"/>
              <w:bottom w:val="single" w:color="auto" w:sz="4" w:space="0"/>
              <w:right w:val="single" w:color="auto" w:sz="4" w:space="0"/>
            </w:tcBorders>
            <w:vAlign w:val="center"/>
          </w:tcPr>
          <w:p w14:paraId="19E9012F">
            <w:pPr>
              <w:spacing w:line="360" w:lineRule="exact"/>
              <w:rPr>
                <w:rFonts w:ascii="宋体" w:hAnsi="宋体" w:cs="宋体"/>
                <w:szCs w:val="21"/>
              </w:rPr>
            </w:pPr>
            <w:r>
              <w:rPr>
                <w:rFonts w:hint="eastAsia" w:ascii="宋体" w:hAnsi="宋体" w:cs="宋体"/>
                <w:szCs w:val="21"/>
              </w:rPr>
              <w:t>5.质检（量）员</w:t>
            </w:r>
          </w:p>
        </w:tc>
        <w:tc>
          <w:tcPr>
            <w:tcW w:w="793" w:type="dxa"/>
            <w:tcBorders>
              <w:top w:val="single" w:color="auto" w:sz="4" w:space="0"/>
              <w:left w:val="single" w:color="auto" w:sz="4" w:space="0"/>
              <w:bottom w:val="single" w:color="auto" w:sz="4" w:space="0"/>
              <w:right w:val="single" w:color="auto" w:sz="4" w:space="0"/>
            </w:tcBorders>
            <w:vAlign w:val="center"/>
          </w:tcPr>
          <w:p w14:paraId="55BA86CF">
            <w:pPr>
              <w:spacing w:line="360" w:lineRule="exact"/>
              <w:rPr>
                <w:rFonts w:ascii="宋体" w:hAnsi="宋体" w:cs="宋体"/>
                <w:szCs w:val="21"/>
              </w:rPr>
            </w:pPr>
          </w:p>
        </w:tc>
        <w:tc>
          <w:tcPr>
            <w:tcW w:w="792" w:type="dxa"/>
            <w:tcBorders>
              <w:top w:val="single" w:color="auto" w:sz="4" w:space="0"/>
              <w:left w:val="single" w:color="auto" w:sz="4" w:space="0"/>
              <w:bottom w:val="single" w:color="auto" w:sz="4" w:space="0"/>
              <w:right w:val="single" w:color="auto" w:sz="4" w:space="0"/>
            </w:tcBorders>
            <w:vAlign w:val="center"/>
          </w:tcPr>
          <w:p w14:paraId="7BFAEE9A">
            <w:pPr>
              <w:spacing w:line="360" w:lineRule="exact"/>
              <w:rPr>
                <w:rFonts w:ascii="宋体" w:hAnsi="宋体" w:cs="宋体"/>
                <w:szCs w:val="21"/>
              </w:rPr>
            </w:pPr>
          </w:p>
        </w:tc>
        <w:tc>
          <w:tcPr>
            <w:tcW w:w="1447" w:type="dxa"/>
            <w:tcBorders>
              <w:top w:val="single" w:color="auto" w:sz="4" w:space="0"/>
              <w:left w:val="single" w:color="auto" w:sz="4" w:space="0"/>
              <w:bottom w:val="single" w:color="auto" w:sz="4" w:space="0"/>
              <w:right w:val="single" w:color="auto" w:sz="4" w:space="0"/>
            </w:tcBorders>
            <w:vAlign w:val="center"/>
          </w:tcPr>
          <w:p w14:paraId="5D68CDF0">
            <w:pPr>
              <w:spacing w:line="360" w:lineRule="exact"/>
              <w:rPr>
                <w:rFonts w:ascii="宋体" w:hAnsi="宋体" w:cs="宋体"/>
                <w:szCs w:val="21"/>
              </w:rPr>
            </w:pPr>
          </w:p>
        </w:tc>
        <w:tc>
          <w:tcPr>
            <w:tcW w:w="3672" w:type="dxa"/>
            <w:tcBorders>
              <w:top w:val="single" w:color="auto" w:sz="4" w:space="0"/>
              <w:left w:val="single" w:color="auto" w:sz="4" w:space="0"/>
              <w:bottom w:val="single" w:color="auto" w:sz="4" w:space="0"/>
              <w:right w:val="single" w:color="auto" w:sz="4" w:space="0"/>
            </w:tcBorders>
            <w:vAlign w:val="center"/>
          </w:tcPr>
          <w:p w14:paraId="52332F16">
            <w:pPr>
              <w:spacing w:line="360" w:lineRule="exact"/>
              <w:rPr>
                <w:rFonts w:ascii="宋体" w:hAnsi="宋体" w:cs="宋体"/>
                <w:szCs w:val="21"/>
              </w:rPr>
            </w:pPr>
          </w:p>
        </w:tc>
      </w:tr>
      <w:tr w14:paraId="11C9B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150" w:type="dxa"/>
            <w:tcBorders>
              <w:top w:val="single" w:color="auto" w:sz="4" w:space="0"/>
              <w:left w:val="single" w:color="auto" w:sz="4" w:space="0"/>
              <w:bottom w:val="single" w:color="auto" w:sz="4" w:space="0"/>
              <w:right w:val="single" w:color="auto" w:sz="4" w:space="0"/>
            </w:tcBorders>
            <w:vAlign w:val="center"/>
          </w:tcPr>
          <w:p w14:paraId="40E14266">
            <w:pPr>
              <w:spacing w:line="360" w:lineRule="exact"/>
              <w:rPr>
                <w:rFonts w:ascii="宋体" w:hAnsi="宋体" w:cs="宋体"/>
                <w:szCs w:val="21"/>
              </w:rPr>
            </w:pPr>
            <w:r>
              <w:rPr>
                <w:rFonts w:hint="eastAsia" w:ascii="宋体" w:hAnsi="宋体" w:cs="宋体"/>
                <w:szCs w:val="21"/>
              </w:rPr>
              <w:t>6.专职安全生产管理人员</w:t>
            </w:r>
          </w:p>
        </w:tc>
        <w:tc>
          <w:tcPr>
            <w:tcW w:w="793" w:type="dxa"/>
            <w:tcBorders>
              <w:top w:val="single" w:color="auto" w:sz="4" w:space="0"/>
              <w:left w:val="single" w:color="auto" w:sz="4" w:space="0"/>
              <w:bottom w:val="single" w:color="auto" w:sz="4" w:space="0"/>
              <w:right w:val="single" w:color="auto" w:sz="4" w:space="0"/>
            </w:tcBorders>
            <w:vAlign w:val="center"/>
          </w:tcPr>
          <w:p w14:paraId="1E1347E5">
            <w:pPr>
              <w:spacing w:line="360" w:lineRule="exact"/>
              <w:rPr>
                <w:rFonts w:ascii="宋体" w:hAnsi="宋体" w:cs="宋体"/>
                <w:szCs w:val="21"/>
              </w:rPr>
            </w:pPr>
          </w:p>
        </w:tc>
        <w:tc>
          <w:tcPr>
            <w:tcW w:w="792" w:type="dxa"/>
            <w:tcBorders>
              <w:top w:val="single" w:color="auto" w:sz="4" w:space="0"/>
              <w:left w:val="single" w:color="auto" w:sz="4" w:space="0"/>
              <w:bottom w:val="single" w:color="auto" w:sz="4" w:space="0"/>
              <w:right w:val="single" w:color="auto" w:sz="4" w:space="0"/>
            </w:tcBorders>
            <w:vAlign w:val="center"/>
          </w:tcPr>
          <w:p w14:paraId="0D3D7BAA">
            <w:pPr>
              <w:spacing w:line="360" w:lineRule="exact"/>
              <w:rPr>
                <w:rFonts w:ascii="宋体" w:hAnsi="宋体" w:cs="宋体"/>
                <w:szCs w:val="21"/>
              </w:rPr>
            </w:pPr>
          </w:p>
        </w:tc>
        <w:tc>
          <w:tcPr>
            <w:tcW w:w="1447" w:type="dxa"/>
            <w:tcBorders>
              <w:top w:val="single" w:color="auto" w:sz="4" w:space="0"/>
              <w:left w:val="single" w:color="auto" w:sz="4" w:space="0"/>
              <w:bottom w:val="single" w:color="auto" w:sz="4" w:space="0"/>
              <w:right w:val="single" w:color="auto" w:sz="4" w:space="0"/>
            </w:tcBorders>
            <w:vAlign w:val="center"/>
          </w:tcPr>
          <w:p w14:paraId="5D258F87">
            <w:pPr>
              <w:spacing w:line="360" w:lineRule="exact"/>
              <w:rPr>
                <w:rFonts w:ascii="宋体" w:hAnsi="宋体" w:cs="宋体"/>
                <w:szCs w:val="21"/>
              </w:rPr>
            </w:pPr>
          </w:p>
        </w:tc>
        <w:tc>
          <w:tcPr>
            <w:tcW w:w="3672" w:type="dxa"/>
            <w:tcBorders>
              <w:top w:val="single" w:color="auto" w:sz="4" w:space="0"/>
              <w:left w:val="single" w:color="auto" w:sz="4" w:space="0"/>
              <w:bottom w:val="single" w:color="auto" w:sz="4" w:space="0"/>
              <w:right w:val="single" w:color="auto" w:sz="4" w:space="0"/>
            </w:tcBorders>
            <w:vAlign w:val="center"/>
          </w:tcPr>
          <w:p w14:paraId="4E7D1AB3">
            <w:pPr>
              <w:spacing w:line="360" w:lineRule="exact"/>
              <w:rPr>
                <w:rFonts w:ascii="宋体" w:hAnsi="宋体" w:cs="宋体"/>
                <w:szCs w:val="21"/>
              </w:rPr>
            </w:pPr>
          </w:p>
        </w:tc>
      </w:tr>
      <w:tr w14:paraId="29752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150" w:type="dxa"/>
            <w:tcBorders>
              <w:top w:val="single" w:color="auto" w:sz="4" w:space="0"/>
              <w:left w:val="single" w:color="auto" w:sz="4" w:space="0"/>
              <w:bottom w:val="single" w:color="auto" w:sz="4" w:space="0"/>
              <w:right w:val="single" w:color="auto" w:sz="4" w:space="0"/>
            </w:tcBorders>
            <w:vAlign w:val="center"/>
          </w:tcPr>
          <w:p w14:paraId="0E603DED">
            <w:pPr>
              <w:spacing w:line="360" w:lineRule="exact"/>
              <w:rPr>
                <w:rFonts w:ascii="宋体" w:hAnsi="宋体" w:cs="宋体"/>
                <w:szCs w:val="21"/>
              </w:rPr>
            </w:pPr>
            <w:r>
              <w:rPr>
                <w:rFonts w:hint="eastAsia" w:ascii="宋体" w:hAnsi="宋体" w:cs="宋体"/>
                <w:szCs w:val="21"/>
              </w:rPr>
              <w:t>7.材料员</w:t>
            </w:r>
          </w:p>
        </w:tc>
        <w:tc>
          <w:tcPr>
            <w:tcW w:w="793" w:type="dxa"/>
            <w:tcBorders>
              <w:top w:val="single" w:color="auto" w:sz="4" w:space="0"/>
              <w:left w:val="single" w:color="auto" w:sz="4" w:space="0"/>
              <w:bottom w:val="single" w:color="auto" w:sz="4" w:space="0"/>
              <w:right w:val="single" w:color="auto" w:sz="4" w:space="0"/>
            </w:tcBorders>
            <w:vAlign w:val="center"/>
          </w:tcPr>
          <w:p w14:paraId="25504F1D">
            <w:pPr>
              <w:spacing w:line="360" w:lineRule="exact"/>
              <w:rPr>
                <w:rFonts w:ascii="宋体" w:hAnsi="宋体" w:cs="宋体"/>
                <w:szCs w:val="21"/>
              </w:rPr>
            </w:pPr>
          </w:p>
        </w:tc>
        <w:tc>
          <w:tcPr>
            <w:tcW w:w="792" w:type="dxa"/>
            <w:tcBorders>
              <w:top w:val="single" w:color="auto" w:sz="4" w:space="0"/>
              <w:left w:val="single" w:color="auto" w:sz="4" w:space="0"/>
              <w:bottom w:val="single" w:color="auto" w:sz="4" w:space="0"/>
              <w:right w:val="single" w:color="auto" w:sz="4" w:space="0"/>
            </w:tcBorders>
            <w:vAlign w:val="center"/>
          </w:tcPr>
          <w:p w14:paraId="66B29529">
            <w:pPr>
              <w:spacing w:line="360" w:lineRule="exact"/>
              <w:rPr>
                <w:rFonts w:ascii="宋体" w:hAnsi="宋体" w:cs="宋体"/>
                <w:szCs w:val="21"/>
              </w:rPr>
            </w:pPr>
          </w:p>
        </w:tc>
        <w:tc>
          <w:tcPr>
            <w:tcW w:w="1447" w:type="dxa"/>
            <w:tcBorders>
              <w:top w:val="single" w:color="auto" w:sz="4" w:space="0"/>
              <w:left w:val="single" w:color="auto" w:sz="4" w:space="0"/>
              <w:bottom w:val="single" w:color="auto" w:sz="4" w:space="0"/>
              <w:right w:val="single" w:color="auto" w:sz="4" w:space="0"/>
            </w:tcBorders>
            <w:vAlign w:val="center"/>
          </w:tcPr>
          <w:p w14:paraId="6A947B06">
            <w:pPr>
              <w:spacing w:line="360" w:lineRule="exact"/>
              <w:rPr>
                <w:rFonts w:ascii="宋体" w:hAnsi="宋体" w:cs="宋体"/>
                <w:szCs w:val="21"/>
              </w:rPr>
            </w:pPr>
          </w:p>
        </w:tc>
        <w:tc>
          <w:tcPr>
            <w:tcW w:w="3672" w:type="dxa"/>
            <w:tcBorders>
              <w:top w:val="single" w:color="auto" w:sz="4" w:space="0"/>
              <w:left w:val="single" w:color="auto" w:sz="4" w:space="0"/>
              <w:bottom w:val="single" w:color="auto" w:sz="4" w:space="0"/>
              <w:right w:val="single" w:color="auto" w:sz="4" w:space="0"/>
            </w:tcBorders>
            <w:vAlign w:val="center"/>
          </w:tcPr>
          <w:p w14:paraId="3F18BE17">
            <w:pPr>
              <w:spacing w:line="360" w:lineRule="exact"/>
              <w:rPr>
                <w:rFonts w:ascii="宋体" w:hAnsi="宋体" w:cs="宋体"/>
                <w:szCs w:val="21"/>
              </w:rPr>
            </w:pPr>
          </w:p>
        </w:tc>
      </w:tr>
      <w:tr w14:paraId="6B750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150" w:type="dxa"/>
            <w:tcBorders>
              <w:top w:val="single" w:color="auto" w:sz="4" w:space="0"/>
              <w:left w:val="single" w:color="auto" w:sz="4" w:space="0"/>
              <w:bottom w:val="single" w:color="auto" w:sz="4" w:space="0"/>
              <w:right w:val="single" w:color="auto" w:sz="4" w:space="0"/>
            </w:tcBorders>
            <w:vAlign w:val="center"/>
          </w:tcPr>
          <w:p w14:paraId="6769EE8A">
            <w:pPr>
              <w:spacing w:line="360" w:lineRule="exact"/>
              <w:rPr>
                <w:rFonts w:ascii="宋体" w:hAnsi="宋体" w:cs="宋体"/>
                <w:szCs w:val="21"/>
              </w:rPr>
            </w:pPr>
            <w:r>
              <w:rPr>
                <w:rFonts w:hint="eastAsia" w:ascii="宋体" w:hAnsi="宋体" w:cs="宋体"/>
                <w:szCs w:val="21"/>
              </w:rPr>
              <w:t>...</w:t>
            </w:r>
          </w:p>
        </w:tc>
        <w:tc>
          <w:tcPr>
            <w:tcW w:w="793" w:type="dxa"/>
            <w:tcBorders>
              <w:top w:val="single" w:color="auto" w:sz="4" w:space="0"/>
              <w:left w:val="single" w:color="auto" w:sz="4" w:space="0"/>
              <w:bottom w:val="single" w:color="auto" w:sz="4" w:space="0"/>
              <w:right w:val="single" w:color="auto" w:sz="4" w:space="0"/>
            </w:tcBorders>
            <w:vAlign w:val="center"/>
          </w:tcPr>
          <w:p w14:paraId="19E859A3">
            <w:pPr>
              <w:spacing w:line="360" w:lineRule="exact"/>
              <w:rPr>
                <w:rFonts w:ascii="宋体" w:hAnsi="宋体" w:cs="宋体"/>
                <w:szCs w:val="21"/>
              </w:rPr>
            </w:pPr>
          </w:p>
        </w:tc>
        <w:tc>
          <w:tcPr>
            <w:tcW w:w="792" w:type="dxa"/>
            <w:tcBorders>
              <w:top w:val="single" w:color="auto" w:sz="4" w:space="0"/>
              <w:left w:val="single" w:color="auto" w:sz="4" w:space="0"/>
              <w:bottom w:val="single" w:color="auto" w:sz="4" w:space="0"/>
              <w:right w:val="single" w:color="auto" w:sz="4" w:space="0"/>
            </w:tcBorders>
            <w:vAlign w:val="center"/>
          </w:tcPr>
          <w:p w14:paraId="1892B4CD">
            <w:pPr>
              <w:spacing w:line="360" w:lineRule="exact"/>
              <w:rPr>
                <w:rFonts w:ascii="宋体" w:hAnsi="宋体" w:cs="宋体"/>
                <w:szCs w:val="21"/>
              </w:rPr>
            </w:pPr>
          </w:p>
        </w:tc>
        <w:tc>
          <w:tcPr>
            <w:tcW w:w="1447" w:type="dxa"/>
            <w:tcBorders>
              <w:top w:val="single" w:color="auto" w:sz="4" w:space="0"/>
              <w:left w:val="single" w:color="auto" w:sz="4" w:space="0"/>
              <w:bottom w:val="single" w:color="auto" w:sz="4" w:space="0"/>
              <w:right w:val="single" w:color="auto" w:sz="4" w:space="0"/>
            </w:tcBorders>
            <w:vAlign w:val="center"/>
          </w:tcPr>
          <w:p w14:paraId="6421B29F">
            <w:pPr>
              <w:spacing w:line="360" w:lineRule="exact"/>
              <w:rPr>
                <w:rFonts w:ascii="宋体" w:hAnsi="宋体" w:cs="宋体"/>
                <w:szCs w:val="21"/>
              </w:rPr>
            </w:pPr>
          </w:p>
        </w:tc>
        <w:tc>
          <w:tcPr>
            <w:tcW w:w="3672" w:type="dxa"/>
            <w:tcBorders>
              <w:top w:val="single" w:color="auto" w:sz="4" w:space="0"/>
              <w:left w:val="single" w:color="auto" w:sz="4" w:space="0"/>
              <w:bottom w:val="single" w:color="auto" w:sz="4" w:space="0"/>
              <w:right w:val="single" w:color="auto" w:sz="4" w:space="0"/>
            </w:tcBorders>
            <w:vAlign w:val="center"/>
          </w:tcPr>
          <w:p w14:paraId="78F11C4E">
            <w:pPr>
              <w:spacing w:line="360" w:lineRule="exact"/>
              <w:rPr>
                <w:rFonts w:ascii="宋体" w:hAnsi="宋体" w:cs="宋体"/>
                <w:szCs w:val="21"/>
              </w:rPr>
            </w:pPr>
          </w:p>
        </w:tc>
      </w:tr>
    </w:tbl>
    <w:p w14:paraId="139A2F95">
      <w:pPr>
        <w:spacing w:line="360" w:lineRule="exact"/>
        <w:rPr>
          <w:rFonts w:ascii="宋体" w:hAnsi="宋体" w:cs="宋体"/>
          <w:spacing w:val="-2"/>
          <w:kern w:val="0"/>
          <w:szCs w:val="21"/>
        </w:rPr>
      </w:pPr>
      <w:r>
        <w:rPr>
          <w:rFonts w:hint="eastAsia" w:ascii="宋体" w:hAnsi="宋体" w:cs="宋体"/>
          <w:bCs/>
          <w:spacing w:val="-2"/>
          <w:szCs w:val="21"/>
        </w:rPr>
        <w:t>注：人员配备</w:t>
      </w:r>
      <w:r>
        <w:rPr>
          <w:rFonts w:hint="eastAsia" w:ascii="宋体" w:hAnsi="宋体" w:cs="宋体"/>
          <w:spacing w:val="-2"/>
          <w:szCs w:val="21"/>
        </w:rPr>
        <w:t>应按桂林市建设与规划委员会市建规〔2006〕270号文《关于调整建筑施工现场项目部管理的通知》的规定执行，须满足最低要求。</w:t>
      </w:r>
      <w:r>
        <w:rPr>
          <w:rFonts w:hint="eastAsia" w:ascii="宋体" w:hAnsi="宋体" w:cs="宋体"/>
          <w:spacing w:val="-2"/>
          <w:kern w:val="0"/>
          <w:szCs w:val="21"/>
        </w:rPr>
        <w:t>其中，项目经理至少应附身份证复印件、建造师注册证书复印件、安全生产考核合格证书（B类）复印件；技术负责人应附身份证复印件、职称证复印件；专职安全生产管理人员至少应附身份证复印件、专职安全员安全生产考核合格证书（C类）复印件；其他主要人员（施工员、质检（量）员、材料员）应附执业证或上岗证书复印件。</w:t>
      </w:r>
      <w:r>
        <w:rPr>
          <w:rFonts w:hint="eastAsia" w:ascii="宋体" w:hAnsi="宋体" w:cs="宋体"/>
          <w:kern w:val="0"/>
          <w:szCs w:val="21"/>
        </w:rPr>
        <w:t>同时还需提供社保部门出具供应商为项目管理机构成员（包含项目经理、技术负责人、专职安全员、施工员、质检（量）员、材料员）缴纳的响应文件递交截止时间前半年内任意连续三个月社保证明复印件。若为近期新聘员工的，以提供劳动合同证明材料复印件，若为退休员工则需提供退休证明及劳动合同为准，</w:t>
      </w:r>
      <w:r>
        <w:rPr>
          <w:rFonts w:hint="eastAsia" w:ascii="宋体" w:hAnsi="宋体" w:cs="宋体"/>
          <w:spacing w:val="-2"/>
          <w:kern w:val="0"/>
          <w:szCs w:val="21"/>
        </w:rPr>
        <w:t>上述复印件均需加盖供应商公章。</w:t>
      </w:r>
    </w:p>
    <w:p w14:paraId="57569226">
      <w:pPr>
        <w:pStyle w:val="15"/>
        <w:spacing w:line="340" w:lineRule="exact"/>
        <w:jc w:val="center"/>
        <w:rPr>
          <w:rFonts w:hAnsi="宋体" w:cs="宋体"/>
          <w:b/>
          <w:sz w:val="32"/>
          <w:szCs w:val="32"/>
        </w:rPr>
      </w:pPr>
    </w:p>
    <w:p w14:paraId="51FBF1D6">
      <w:pPr>
        <w:pStyle w:val="9"/>
      </w:pPr>
    </w:p>
    <w:p w14:paraId="7DFC2BA7">
      <w:pPr>
        <w:snapToGrid w:val="0"/>
        <w:spacing w:line="360" w:lineRule="auto"/>
        <w:ind w:firstLine="1890" w:firstLineChars="900"/>
        <w:rPr>
          <w:rFonts w:ascii="宋体" w:hAnsi="宋体" w:cs="宋体"/>
          <w:szCs w:val="21"/>
        </w:rPr>
      </w:pPr>
      <w:r>
        <w:rPr>
          <w:rFonts w:hint="eastAsia" w:ascii="宋体" w:hAnsi="宋体" w:cs="宋体"/>
          <w:szCs w:val="21"/>
        </w:rPr>
        <w:t>磋商供应商[公章(CA签章)，自然人签字或个人CA签章]：</w:t>
      </w:r>
      <w:r>
        <w:rPr>
          <w:rFonts w:hint="eastAsia" w:ascii="宋体" w:hAnsi="宋体" w:cs="宋体"/>
          <w:u w:val="single"/>
        </w:rPr>
        <w:t xml:space="preserve">               </w:t>
      </w:r>
    </w:p>
    <w:p w14:paraId="518876F1">
      <w:pPr>
        <w:spacing w:line="500" w:lineRule="exact"/>
        <w:ind w:firstLine="6300" w:firstLineChars="3000"/>
        <w:rPr>
          <w:rFonts w:ascii="宋体" w:hAnsi="宋体" w:cs="宋体"/>
          <w:b/>
          <w:sz w:val="30"/>
          <w:szCs w:val="30"/>
        </w:rPr>
      </w:pPr>
      <w:r>
        <w:rPr>
          <w:rFonts w:hint="eastAsia" w:ascii="宋体" w:hAnsi="宋体" w:cs="宋体"/>
        </w:rPr>
        <w:t>日    期：</w:t>
      </w:r>
    </w:p>
    <w:p w14:paraId="59CEBC1B">
      <w:pPr>
        <w:spacing w:line="500" w:lineRule="exact"/>
        <w:rPr>
          <w:rFonts w:ascii="宋体" w:hAnsi="宋体" w:cs="宋体"/>
          <w:b/>
          <w:sz w:val="30"/>
          <w:szCs w:val="30"/>
        </w:rPr>
      </w:pPr>
    </w:p>
    <w:p w14:paraId="63D907D4">
      <w:pPr>
        <w:pStyle w:val="13"/>
      </w:pPr>
    </w:p>
    <w:p w14:paraId="182BAFED"/>
    <w:p w14:paraId="664C07EE">
      <w:pPr>
        <w:spacing w:line="500" w:lineRule="exact"/>
        <w:rPr>
          <w:rFonts w:ascii="宋体" w:hAnsi="宋体" w:cs="宋体"/>
          <w:b/>
          <w:bCs/>
          <w:w w:val="99"/>
          <w:kern w:val="0"/>
          <w:sz w:val="30"/>
          <w:szCs w:val="30"/>
        </w:rPr>
      </w:pPr>
      <w:r>
        <w:rPr>
          <w:rFonts w:hint="eastAsia" w:ascii="宋体" w:hAnsi="宋体" w:cs="宋体"/>
          <w:b/>
          <w:sz w:val="30"/>
          <w:szCs w:val="30"/>
        </w:rPr>
        <w:t>9、主要人员简历表（必须提供）</w:t>
      </w:r>
    </w:p>
    <w:p w14:paraId="5D164513">
      <w:pPr>
        <w:spacing w:line="500" w:lineRule="exact"/>
        <w:jc w:val="center"/>
        <w:rPr>
          <w:rFonts w:ascii="宋体" w:hAnsi="宋体" w:cs="宋体"/>
          <w:bCs/>
          <w:sz w:val="28"/>
          <w:szCs w:val="28"/>
        </w:rPr>
      </w:pPr>
    </w:p>
    <w:p w14:paraId="21A07EA8">
      <w:pPr>
        <w:spacing w:line="500" w:lineRule="exact"/>
        <w:jc w:val="center"/>
        <w:rPr>
          <w:rFonts w:ascii="宋体" w:hAnsi="宋体" w:cs="宋体"/>
          <w:bCs/>
          <w:w w:val="99"/>
          <w:kern w:val="0"/>
          <w:sz w:val="28"/>
          <w:szCs w:val="28"/>
        </w:rPr>
      </w:pPr>
      <w:r>
        <w:rPr>
          <w:rFonts w:hint="eastAsia" w:ascii="宋体" w:hAnsi="宋体" w:cs="宋体"/>
          <w:bCs/>
          <w:sz w:val="28"/>
          <w:szCs w:val="28"/>
        </w:rPr>
        <w:t>主要人员简历表</w:t>
      </w:r>
    </w:p>
    <w:tbl>
      <w:tblPr>
        <w:tblStyle w:val="21"/>
        <w:tblW w:w="9540" w:type="dxa"/>
        <w:tblInd w:w="107" w:type="dxa"/>
        <w:tblLayout w:type="fixed"/>
        <w:tblCellMar>
          <w:top w:w="0" w:type="dxa"/>
          <w:left w:w="0" w:type="dxa"/>
          <w:bottom w:w="0" w:type="dxa"/>
          <w:right w:w="0" w:type="dxa"/>
        </w:tblCellMar>
      </w:tblPr>
      <w:tblGrid>
        <w:gridCol w:w="1328"/>
        <w:gridCol w:w="402"/>
        <w:gridCol w:w="807"/>
        <w:gridCol w:w="1036"/>
        <w:gridCol w:w="1193"/>
        <w:gridCol w:w="792"/>
        <w:gridCol w:w="1410"/>
        <w:gridCol w:w="182"/>
        <w:gridCol w:w="2390"/>
      </w:tblGrid>
      <w:tr w14:paraId="75B5A67D">
        <w:tblPrEx>
          <w:tblCellMar>
            <w:top w:w="0" w:type="dxa"/>
            <w:left w:w="0" w:type="dxa"/>
            <w:bottom w:w="0" w:type="dxa"/>
            <w:right w:w="0" w:type="dxa"/>
          </w:tblCellMar>
        </w:tblPrEx>
        <w:trPr>
          <w:trHeight w:val="530" w:hRule="exact"/>
        </w:trPr>
        <w:tc>
          <w:tcPr>
            <w:tcW w:w="1328" w:type="dxa"/>
            <w:tcBorders>
              <w:top w:val="single" w:color="000000" w:sz="4" w:space="0"/>
              <w:left w:val="single" w:color="000000" w:sz="4" w:space="0"/>
              <w:bottom w:val="single" w:color="000000" w:sz="4" w:space="0"/>
              <w:right w:val="single" w:color="000000" w:sz="4" w:space="0"/>
            </w:tcBorders>
          </w:tcPr>
          <w:p w14:paraId="4E21D8DC">
            <w:pPr>
              <w:spacing w:line="500" w:lineRule="exact"/>
              <w:rPr>
                <w:rFonts w:ascii="宋体" w:hAnsi="宋体" w:cs="宋体"/>
                <w:kern w:val="0"/>
                <w:sz w:val="24"/>
              </w:rPr>
            </w:pPr>
            <w:r>
              <w:rPr>
                <w:rFonts w:hint="eastAsia" w:ascii="宋体" w:hAnsi="宋体" w:cs="宋体"/>
                <w:kern w:val="0"/>
                <w:szCs w:val="21"/>
              </w:rPr>
              <w:t>姓</w:t>
            </w:r>
            <w:r>
              <w:rPr>
                <w:rFonts w:hint="eastAsia" w:ascii="宋体" w:hAnsi="宋体" w:cs="宋体"/>
                <w:kern w:val="0"/>
                <w:szCs w:val="21"/>
              </w:rPr>
              <w:tab/>
            </w:r>
            <w:r>
              <w:rPr>
                <w:rFonts w:hint="eastAsia" w:ascii="宋体" w:hAnsi="宋体" w:cs="宋体"/>
                <w:kern w:val="0"/>
                <w:szCs w:val="21"/>
              </w:rPr>
              <w:t>名</w:t>
            </w:r>
          </w:p>
        </w:tc>
        <w:tc>
          <w:tcPr>
            <w:tcW w:w="1209" w:type="dxa"/>
            <w:gridSpan w:val="2"/>
            <w:tcBorders>
              <w:top w:val="single" w:color="000000" w:sz="4" w:space="0"/>
              <w:left w:val="single" w:color="000000" w:sz="4" w:space="0"/>
              <w:bottom w:val="single" w:color="000000" w:sz="4" w:space="0"/>
              <w:right w:val="single" w:color="000000" w:sz="4" w:space="0"/>
            </w:tcBorders>
          </w:tcPr>
          <w:p w14:paraId="0DB20518">
            <w:pPr>
              <w:spacing w:line="500" w:lineRule="exact"/>
              <w:rPr>
                <w:rFonts w:ascii="宋体" w:hAnsi="宋体" w:cs="宋体"/>
                <w:kern w:val="0"/>
                <w:sz w:val="24"/>
              </w:rPr>
            </w:pPr>
          </w:p>
        </w:tc>
        <w:tc>
          <w:tcPr>
            <w:tcW w:w="1036" w:type="dxa"/>
            <w:tcBorders>
              <w:top w:val="single" w:color="000000" w:sz="4" w:space="0"/>
              <w:left w:val="single" w:color="000000" w:sz="4" w:space="0"/>
              <w:bottom w:val="single" w:color="000000" w:sz="4" w:space="0"/>
              <w:right w:val="single" w:color="000000" w:sz="4" w:space="0"/>
            </w:tcBorders>
          </w:tcPr>
          <w:p w14:paraId="7219D63D">
            <w:pPr>
              <w:spacing w:line="500" w:lineRule="exact"/>
              <w:rPr>
                <w:rFonts w:ascii="宋体" w:hAnsi="宋体" w:cs="宋体"/>
                <w:kern w:val="0"/>
                <w:sz w:val="24"/>
              </w:rPr>
            </w:pPr>
            <w:r>
              <w:rPr>
                <w:rFonts w:hint="eastAsia" w:ascii="宋体" w:hAnsi="宋体" w:cs="宋体"/>
                <w:kern w:val="0"/>
                <w:szCs w:val="21"/>
              </w:rPr>
              <w:t>年  龄</w:t>
            </w:r>
          </w:p>
        </w:tc>
        <w:tc>
          <w:tcPr>
            <w:tcW w:w="1193" w:type="dxa"/>
            <w:tcBorders>
              <w:top w:val="single" w:color="000000" w:sz="4" w:space="0"/>
              <w:left w:val="single" w:color="000000" w:sz="4" w:space="0"/>
              <w:bottom w:val="single" w:color="000000" w:sz="4" w:space="0"/>
              <w:right w:val="single" w:color="000000" w:sz="4" w:space="0"/>
            </w:tcBorders>
          </w:tcPr>
          <w:p w14:paraId="029329C3">
            <w:pPr>
              <w:spacing w:line="500" w:lineRule="exact"/>
              <w:rPr>
                <w:rFonts w:ascii="宋体" w:hAnsi="宋体" w:cs="宋体"/>
                <w:kern w:val="0"/>
                <w:sz w:val="24"/>
              </w:rPr>
            </w:pPr>
          </w:p>
        </w:tc>
        <w:tc>
          <w:tcPr>
            <w:tcW w:w="2384" w:type="dxa"/>
            <w:gridSpan w:val="3"/>
            <w:tcBorders>
              <w:top w:val="single" w:color="000000" w:sz="4" w:space="0"/>
              <w:left w:val="single" w:color="000000" w:sz="4" w:space="0"/>
              <w:bottom w:val="single" w:color="000000" w:sz="4" w:space="0"/>
              <w:right w:val="single" w:color="000000" w:sz="4" w:space="0"/>
            </w:tcBorders>
          </w:tcPr>
          <w:p w14:paraId="2A2CC202">
            <w:pPr>
              <w:spacing w:line="500" w:lineRule="exact"/>
              <w:rPr>
                <w:rFonts w:ascii="宋体" w:hAnsi="宋体" w:cs="宋体"/>
                <w:kern w:val="0"/>
                <w:sz w:val="24"/>
              </w:rPr>
            </w:pPr>
            <w:r>
              <w:rPr>
                <w:rFonts w:hint="eastAsia" w:ascii="宋体" w:hAnsi="宋体" w:cs="宋体"/>
                <w:kern w:val="0"/>
                <w:szCs w:val="21"/>
              </w:rPr>
              <w:t>学历</w:t>
            </w:r>
          </w:p>
        </w:tc>
        <w:tc>
          <w:tcPr>
            <w:tcW w:w="2390" w:type="dxa"/>
            <w:tcBorders>
              <w:top w:val="single" w:color="000000" w:sz="4" w:space="0"/>
              <w:left w:val="single" w:color="000000" w:sz="4" w:space="0"/>
              <w:bottom w:val="single" w:color="000000" w:sz="4" w:space="0"/>
              <w:right w:val="single" w:color="000000" w:sz="4" w:space="0"/>
            </w:tcBorders>
          </w:tcPr>
          <w:p w14:paraId="08C02E0D">
            <w:pPr>
              <w:spacing w:line="500" w:lineRule="exact"/>
              <w:rPr>
                <w:rFonts w:ascii="宋体" w:hAnsi="宋体" w:cs="宋体"/>
                <w:kern w:val="0"/>
                <w:sz w:val="24"/>
              </w:rPr>
            </w:pPr>
          </w:p>
        </w:tc>
      </w:tr>
      <w:tr w14:paraId="1F902D16">
        <w:tblPrEx>
          <w:tblCellMar>
            <w:top w:w="0" w:type="dxa"/>
            <w:left w:w="0" w:type="dxa"/>
            <w:bottom w:w="0" w:type="dxa"/>
            <w:right w:w="0" w:type="dxa"/>
          </w:tblCellMar>
        </w:tblPrEx>
        <w:trPr>
          <w:trHeight w:val="530" w:hRule="exact"/>
        </w:trPr>
        <w:tc>
          <w:tcPr>
            <w:tcW w:w="1328" w:type="dxa"/>
            <w:tcBorders>
              <w:top w:val="single" w:color="000000" w:sz="4" w:space="0"/>
              <w:left w:val="single" w:color="000000" w:sz="4" w:space="0"/>
              <w:bottom w:val="single" w:color="000000" w:sz="4" w:space="0"/>
              <w:right w:val="single" w:color="000000" w:sz="4" w:space="0"/>
            </w:tcBorders>
          </w:tcPr>
          <w:p w14:paraId="7E70820A">
            <w:pPr>
              <w:spacing w:line="500" w:lineRule="exact"/>
              <w:rPr>
                <w:rFonts w:ascii="宋体" w:hAnsi="宋体" w:cs="宋体"/>
                <w:kern w:val="0"/>
                <w:sz w:val="24"/>
              </w:rPr>
            </w:pPr>
            <w:r>
              <w:rPr>
                <w:rFonts w:hint="eastAsia" w:ascii="宋体" w:hAnsi="宋体" w:cs="宋体"/>
                <w:kern w:val="0"/>
                <w:szCs w:val="21"/>
              </w:rPr>
              <w:t>职</w:t>
            </w:r>
            <w:r>
              <w:rPr>
                <w:rFonts w:hint="eastAsia" w:ascii="宋体" w:hAnsi="宋体" w:cs="宋体"/>
                <w:kern w:val="0"/>
                <w:szCs w:val="21"/>
              </w:rPr>
              <w:tab/>
            </w:r>
            <w:r>
              <w:rPr>
                <w:rFonts w:hint="eastAsia" w:ascii="宋体" w:hAnsi="宋体" w:cs="宋体"/>
                <w:kern w:val="0"/>
                <w:szCs w:val="21"/>
              </w:rPr>
              <w:t>称</w:t>
            </w:r>
          </w:p>
        </w:tc>
        <w:tc>
          <w:tcPr>
            <w:tcW w:w="1209" w:type="dxa"/>
            <w:gridSpan w:val="2"/>
            <w:tcBorders>
              <w:top w:val="single" w:color="000000" w:sz="4" w:space="0"/>
              <w:left w:val="single" w:color="000000" w:sz="4" w:space="0"/>
              <w:bottom w:val="single" w:color="000000" w:sz="4" w:space="0"/>
              <w:right w:val="single" w:color="000000" w:sz="4" w:space="0"/>
            </w:tcBorders>
          </w:tcPr>
          <w:p w14:paraId="67606E26">
            <w:pPr>
              <w:spacing w:line="500" w:lineRule="exact"/>
              <w:rPr>
                <w:rFonts w:ascii="宋体" w:hAnsi="宋体" w:cs="宋体"/>
                <w:kern w:val="0"/>
                <w:sz w:val="24"/>
              </w:rPr>
            </w:pPr>
          </w:p>
        </w:tc>
        <w:tc>
          <w:tcPr>
            <w:tcW w:w="1036" w:type="dxa"/>
            <w:tcBorders>
              <w:top w:val="single" w:color="000000" w:sz="4" w:space="0"/>
              <w:left w:val="single" w:color="000000" w:sz="4" w:space="0"/>
              <w:bottom w:val="single" w:color="000000" w:sz="4" w:space="0"/>
              <w:right w:val="single" w:color="000000" w:sz="4" w:space="0"/>
            </w:tcBorders>
          </w:tcPr>
          <w:p w14:paraId="2E1B4DC2">
            <w:pPr>
              <w:spacing w:line="500" w:lineRule="exact"/>
              <w:rPr>
                <w:rFonts w:ascii="宋体" w:hAnsi="宋体" w:cs="宋体"/>
                <w:kern w:val="0"/>
                <w:sz w:val="24"/>
              </w:rPr>
            </w:pPr>
            <w:r>
              <w:rPr>
                <w:rFonts w:hint="eastAsia" w:ascii="宋体" w:hAnsi="宋体" w:cs="宋体"/>
                <w:kern w:val="0"/>
                <w:szCs w:val="21"/>
              </w:rPr>
              <w:t>职  务</w:t>
            </w:r>
          </w:p>
        </w:tc>
        <w:tc>
          <w:tcPr>
            <w:tcW w:w="1193" w:type="dxa"/>
            <w:tcBorders>
              <w:top w:val="single" w:color="000000" w:sz="4" w:space="0"/>
              <w:left w:val="single" w:color="000000" w:sz="4" w:space="0"/>
              <w:bottom w:val="single" w:color="000000" w:sz="4" w:space="0"/>
              <w:right w:val="single" w:color="000000" w:sz="4" w:space="0"/>
            </w:tcBorders>
          </w:tcPr>
          <w:p w14:paraId="35ABF129">
            <w:pPr>
              <w:spacing w:line="500" w:lineRule="exact"/>
              <w:rPr>
                <w:rFonts w:ascii="宋体" w:hAnsi="宋体" w:cs="宋体"/>
                <w:kern w:val="0"/>
                <w:sz w:val="24"/>
              </w:rPr>
            </w:pPr>
          </w:p>
        </w:tc>
        <w:tc>
          <w:tcPr>
            <w:tcW w:w="2384" w:type="dxa"/>
            <w:gridSpan w:val="3"/>
            <w:tcBorders>
              <w:top w:val="single" w:color="000000" w:sz="4" w:space="0"/>
              <w:left w:val="single" w:color="000000" w:sz="4" w:space="0"/>
              <w:bottom w:val="single" w:color="000000" w:sz="4" w:space="0"/>
              <w:right w:val="single" w:color="000000" w:sz="4" w:space="0"/>
            </w:tcBorders>
          </w:tcPr>
          <w:p w14:paraId="72F26EBE">
            <w:pPr>
              <w:spacing w:line="500" w:lineRule="exact"/>
              <w:rPr>
                <w:rFonts w:ascii="宋体" w:hAnsi="宋体" w:cs="宋体"/>
                <w:kern w:val="0"/>
                <w:sz w:val="24"/>
              </w:rPr>
            </w:pPr>
            <w:r>
              <w:rPr>
                <w:rFonts w:hint="eastAsia" w:ascii="宋体" w:hAnsi="宋体" w:cs="宋体"/>
                <w:kern w:val="0"/>
                <w:szCs w:val="21"/>
              </w:rPr>
              <w:t>拟在本合同任职</w:t>
            </w:r>
          </w:p>
        </w:tc>
        <w:tc>
          <w:tcPr>
            <w:tcW w:w="2390" w:type="dxa"/>
            <w:tcBorders>
              <w:top w:val="single" w:color="000000" w:sz="4" w:space="0"/>
              <w:left w:val="single" w:color="000000" w:sz="4" w:space="0"/>
              <w:bottom w:val="single" w:color="000000" w:sz="4" w:space="0"/>
              <w:right w:val="single" w:color="000000" w:sz="4" w:space="0"/>
            </w:tcBorders>
          </w:tcPr>
          <w:p w14:paraId="5C9835B0">
            <w:pPr>
              <w:spacing w:line="500" w:lineRule="exact"/>
              <w:rPr>
                <w:rFonts w:ascii="宋体" w:hAnsi="宋体" w:cs="宋体"/>
                <w:kern w:val="0"/>
                <w:sz w:val="24"/>
              </w:rPr>
            </w:pPr>
          </w:p>
        </w:tc>
      </w:tr>
      <w:tr w14:paraId="65ACAF98">
        <w:tblPrEx>
          <w:tblCellMar>
            <w:top w:w="0" w:type="dxa"/>
            <w:left w:w="0" w:type="dxa"/>
            <w:bottom w:w="0" w:type="dxa"/>
            <w:right w:w="0" w:type="dxa"/>
          </w:tblCellMar>
        </w:tblPrEx>
        <w:trPr>
          <w:trHeight w:val="530" w:hRule="exact"/>
        </w:trPr>
        <w:tc>
          <w:tcPr>
            <w:tcW w:w="1328" w:type="dxa"/>
            <w:tcBorders>
              <w:top w:val="single" w:color="000000" w:sz="4" w:space="0"/>
              <w:left w:val="single" w:color="000000" w:sz="4" w:space="0"/>
              <w:bottom w:val="single" w:color="000000" w:sz="4" w:space="0"/>
              <w:right w:val="single" w:color="000000" w:sz="4" w:space="0"/>
            </w:tcBorders>
          </w:tcPr>
          <w:p w14:paraId="0182B8ED">
            <w:pPr>
              <w:spacing w:line="500" w:lineRule="exact"/>
              <w:rPr>
                <w:rFonts w:ascii="宋体" w:hAnsi="宋体" w:cs="宋体"/>
                <w:kern w:val="0"/>
                <w:sz w:val="24"/>
              </w:rPr>
            </w:pPr>
            <w:r>
              <w:rPr>
                <w:rFonts w:hint="eastAsia" w:ascii="宋体" w:hAnsi="宋体" w:cs="宋体"/>
                <w:kern w:val="0"/>
                <w:szCs w:val="21"/>
              </w:rPr>
              <w:t>毕业学校</w:t>
            </w:r>
          </w:p>
        </w:tc>
        <w:tc>
          <w:tcPr>
            <w:tcW w:w="8212" w:type="dxa"/>
            <w:gridSpan w:val="8"/>
            <w:tcBorders>
              <w:top w:val="single" w:color="000000" w:sz="4" w:space="0"/>
              <w:left w:val="single" w:color="000000" w:sz="4" w:space="0"/>
              <w:bottom w:val="single" w:color="000000" w:sz="4" w:space="0"/>
              <w:right w:val="single" w:color="000000" w:sz="4" w:space="0"/>
            </w:tcBorders>
          </w:tcPr>
          <w:p w14:paraId="452EFD7F">
            <w:pPr>
              <w:spacing w:line="500" w:lineRule="exact"/>
              <w:ind w:firstLine="315" w:firstLineChars="150"/>
              <w:rPr>
                <w:rFonts w:ascii="宋体" w:hAnsi="宋体" w:cs="宋体"/>
                <w:kern w:val="0"/>
                <w:sz w:val="24"/>
              </w:rPr>
            </w:pPr>
            <w:r>
              <w:rPr>
                <w:rFonts w:hint="eastAsia" w:ascii="宋体" w:hAnsi="宋体" w:cs="宋体"/>
                <w:kern w:val="0"/>
                <w:szCs w:val="21"/>
              </w:rPr>
              <w:t>年</w:t>
            </w:r>
            <w:r>
              <w:rPr>
                <w:rFonts w:hint="eastAsia" w:ascii="宋体" w:hAnsi="宋体" w:cs="宋体"/>
                <w:spacing w:val="-1"/>
                <w:kern w:val="0"/>
                <w:szCs w:val="21"/>
              </w:rPr>
              <w:t>毕</w:t>
            </w:r>
            <w:r>
              <w:rPr>
                <w:rFonts w:hint="eastAsia" w:ascii="宋体" w:hAnsi="宋体" w:cs="宋体"/>
                <w:kern w:val="0"/>
                <w:szCs w:val="21"/>
              </w:rPr>
              <w:t>业于</w:t>
            </w:r>
            <w:r>
              <w:rPr>
                <w:rFonts w:hint="eastAsia" w:ascii="宋体" w:hAnsi="宋体" w:cs="宋体"/>
                <w:kern w:val="0"/>
                <w:szCs w:val="21"/>
              </w:rPr>
              <w:tab/>
            </w:r>
            <w:r>
              <w:rPr>
                <w:rFonts w:hint="eastAsia" w:ascii="宋体" w:hAnsi="宋体" w:cs="宋体"/>
                <w:kern w:val="0"/>
                <w:szCs w:val="21"/>
              </w:rPr>
              <w:t>学校</w:t>
            </w:r>
            <w:r>
              <w:rPr>
                <w:rFonts w:hint="eastAsia" w:ascii="宋体" w:hAnsi="宋体" w:cs="宋体"/>
                <w:kern w:val="0"/>
                <w:szCs w:val="21"/>
              </w:rPr>
              <w:tab/>
            </w:r>
            <w:r>
              <w:rPr>
                <w:rFonts w:hint="eastAsia" w:ascii="宋体" w:hAnsi="宋体" w:cs="宋体"/>
                <w:kern w:val="0"/>
                <w:szCs w:val="21"/>
              </w:rPr>
              <w:t>专业</w:t>
            </w:r>
          </w:p>
        </w:tc>
      </w:tr>
      <w:tr w14:paraId="1322B152">
        <w:tblPrEx>
          <w:tblCellMar>
            <w:top w:w="0" w:type="dxa"/>
            <w:left w:w="0" w:type="dxa"/>
            <w:bottom w:w="0" w:type="dxa"/>
            <w:right w:w="0" w:type="dxa"/>
          </w:tblCellMar>
        </w:tblPrEx>
        <w:trPr>
          <w:trHeight w:val="530" w:hRule="exact"/>
        </w:trPr>
        <w:tc>
          <w:tcPr>
            <w:tcW w:w="9540" w:type="dxa"/>
            <w:gridSpan w:val="9"/>
            <w:tcBorders>
              <w:top w:val="single" w:color="000000" w:sz="4" w:space="0"/>
              <w:left w:val="single" w:color="000000" w:sz="4" w:space="0"/>
              <w:bottom w:val="single" w:color="000000" w:sz="4" w:space="0"/>
              <w:right w:val="single" w:color="000000" w:sz="4" w:space="0"/>
            </w:tcBorders>
          </w:tcPr>
          <w:p w14:paraId="476615A3">
            <w:pPr>
              <w:spacing w:line="500" w:lineRule="exact"/>
              <w:rPr>
                <w:rFonts w:ascii="宋体" w:hAnsi="宋体" w:cs="宋体"/>
                <w:kern w:val="0"/>
                <w:sz w:val="24"/>
              </w:rPr>
            </w:pPr>
            <w:r>
              <w:rPr>
                <w:rFonts w:hint="eastAsia" w:ascii="宋体" w:hAnsi="宋体" w:cs="宋体"/>
                <w:kern w:val="0"/>
                <w:szCs w:val="21"/>
              </w:rPr>
              <w:t>主要工作经历</w:t>
            </w:r>
          </w:p>
        </w:tc>
      </w:tr>
      <w:tr w14:paraId="474C8C32">
        <w:tblPrEx>
          <w:tblCellMar>
            <w:top w:w="0" w:type="dxa"/>
            <w:left w:w="0" w:type="dxa"/>
            <w:bottom w:w="0" w:type="dxa"/>
            <w:right w:w="0" w:type="dxa"/>
          </w:tblCellMar>
        </w:tblPrEx>
        <w:trPr>
          <w:trHeight w:val="530" w:hRule="exact"/>
        </w:trPr>
        <w:tc>
          <w:tcPr>
            <w:tcW w:w="1730" w:type="dxa"/>
            <w:gridSpan w:val="2"/>
            <w:tcBorders>
              <w:top w:val="single" w:color="000000" w:sz="4" w:space="0"/>
              <w:left w:val="single" w:color="000000" w:sz="4" w:space="0"/>
              <w:bottom w:val="single" w:color="000000" w:sz="4" w:space="0"/>
              <w:right w:val="single" w:color="000000" w:sz="4" w:space="0"/>
            </w:tcBorders>
          </w:tcPr>
          <w:p w14:paraId="26CC4B94">
            <w:pPr>
              <w:spacing w:line="500" w:lineRule="exact"/>
              <w:ind w:firstLine="105" w:firstLineChars="50"/>
              <w:rPr>
                <w:rFonts w:ascii="宋体" w:hAnsi="宋体" w:cs="宋体"/>
                <w:kern w:val="0"/>
                <w:sz w:val="24"/>
              </w:rPr>
            </w:pPr>
            <w:r>
              <w:rPr>
                <w:rFonts w:hint="eastAsia" w:ascii="宋体" w:hAnsi="宋体" w:cs="宋体"/>
                <w:kern w:val="0"/>
                <w:szCs w:val="21"/>
              </w:rPr>
              <w:t>时</w:t>
            </w:r>
            <w:r>
              <w:rPr>
                <w:rFonts w:hint="eastAsia" w:ascii="宋体" w:hAnsi="宋体" w:cs="宋体"/>
                <w:kern w:val="0"/>
                <w:szCs w:val="21"/>
              </w:rPr>
              <w:tab/>
            </w:r>
            <w:r>
              <w:rPr>
                <w:rFonts w:hint="eastAsia" w:ascii="宋体" w:hAnsi="宋体" w:cs="宋体"/>
                <w:kern w:val="0"/>
                <w:szCs w:val="21"/>
              </w:rPr>
              <w:t>间</w:t>
            </w:r>
          </w:p>
        </w:tc>
        <w:tc>
          <w:tcPr>
            <w:tcW w:w="3828" w:type="dxa"/>
            <w:gridSpan w:val="4"/>
            <w:tcBorders>
              <w:top w:val="single" w:color="000000" w:sz="4" w:space="0"/>
              <w:left w:val="single" w:color="000000" w:sz="4" w:space="0"/>
              <w:bottom w:val="single" w:color="000000" w:sz="4" w:space="0"/>
              <w:right w:val="single" w:color="000000" w:sz="4" w:space="0"/>
            </w:tcBorders>
          </w:tcPr>
          <w:p w14:paraId="20A228DD">
            <w:pPr>
              <w:spacing w:line="500" w:lineRule="exact"/>
              <w:rPr>
                <w:rFonts w:ascii="宋体" w:hAnsi="宋体" w:cs="宋体"/>
                <w:kern w:val="0"/>
                <w:sz w:val="24"/>
              </w:rPr>
            </w:pPr>
            <w:r>
              <w:rPr>
                <w:rFonts w:hint="eastAsia" w:ascii="宋体" w:hAnsi="宋体" w:cs="宋体"/>
                <w:kern w:val="0"/>
                <w:szCs w:val="21"/>
              </w:rPr>
              <w:t>参加过的类似项目</w:t>
            </w:r>
          </w:p>
        </w:tc>
        <w:tc>
          <w:tcPr>
            <w:tcW w:w="1410" w:type="dxa"/>
            <w:tcBorders>
              <w:top w:val="single" w:color="000000" w:sz="4" w:space="0"/>
              <w:left w:val="single" w:color="000000" w:sz="4" w:space="0"/>
              <w:bottom w:val="single" w:color="000000" w:sz="4" w:space="0"/>
              <w:right w:val="single" w:color="000000" w:sz="4" w:space="0"/>
            </w:tcBorders>
          </w:tcPr>
          <w:p w14:paraId="722E24EE">
            <w:pPr>
              <w:spacing w:line="500" w:lineRule="exact"/>
              <w:rPr>
                <w:rFonts w:ascii="宋体" w:hAnsi="宋体" w:cs="宋体"/>
                <w:kern w:val="0"/>
                <w:sz w:val="24"/>
              </w:rPr>
            </w:pPr>
            <w:r>
              <w:rPr>
                <w:rFonts w:hint="eastAsia" w:ascii="宋体" w:hAnsi="宋体" w:cs="宋体"/>
                <w:kern w:val="0"/>
                <w:szCs w:val="21"/>
              </w:rPr>
              <w:t>担任职务</w:t>
            </w:r>
          </w:p>
        </w:tc>
        <w:tc>
          <w:tcPr>
            <w:tcW w:w="2572" w:type="dxa"/>
            <w:gridSpan w:val="2"/>
            <w:tcBorders>
              <w:top w:val="single" w:color="000000" w:sz="4" w:space="0"/>
              <w:left w:val="single" w:color="000000" w:sz="4" w:space="0"/>
              <w:bottom w:val="single" w:color="000000" w:sz="4" w:space="0"/>
              <w:right w:val="single" w:color="000000" w:sz="4" w:space="0"/>
            </w:tcBorders>
          </w:tcPr>
          <w:p w14:paraId="167C3D25">
            <w:pPr>
              <w:spacing w:line="500" w:lineRule="exact"/>
              <w:rPr>
                <w:rFonts w:ascii="宋体" w:hAnsi="宋体" w:cs="宋体"/>
                <w:kern w:val="0"/>
                <w:sz w:val="24"/>
              </w:rPr>
            </w:pPr>
            <w:r>
              <w:rPr>
                <w:rFonts w:hint="eastAsia" w:ascii="宋体" w:hAnsi="宋体" w:cs="宋体"/>
                <w:kern w:val="0"/>
                <w:szCs w:val="21"/>
              </w:rPr>
              <w:t>发包人及联系电话</w:t>
            </w:r>
          </w:p>
        </w:tc>
      </w:tr>
      <w:tr w14:paraId="617B5E00">
        <w:tblPrEx>
          <w:tblCellMar>
            <w:top w:w="0" w:type="dxa"/>
            <w:left w:w="0" w:type="dxa"/>
            <w:bottom w:w="0" w:type="dxa"/>
            <w:right w:w="0" w:type="dxa"/>
          </w:tblCellMar>
        </w:tblPrEx>
        <w:trPr>
          <w:trHeight w:val="530" w:hRule="exact"/>
        </w:trPr>
        <w:tc>
          <w:tcPr>
            <w:tcW w:w="1730" w:type="dxa"/>
            <w:gridSpan w:val="2"/>
            <w:tcBorders>
              <w:top w:val="single" w:color="000000" w:sz="4" w:space="0"/>
              <w:left w:val="single" w:color="000000" w:sz="4" w:space="0"/>
              <w:bottom w:val="single" w:color="000000" w:sz="4" w:space="0"/>
              <w:right w:val="single" w:color="000000" w:sz="4" w:space="0"/>
            </w:tcBorders>
          </w:tcPr>
          <w:p w14:paraId="40A691EC">
            <w:pPr>
              <w:spacing w:line="500" w:lineRule="exact"/>
              <w:rPr>
                <w:rFonts w:ascii="宋体" w:hAnsi="宋体" w:cs="宋体"/>
                <w:kern w:val="0"/>
                <w:sz w:val="24"/>
              </w:rPr>
            </w:pPr>
          </w:p>
        </w:tc>
        <w:tc>
          <w:tcPr>
            <w:tcW w:w="3828" w:type="dxa"/>
            <w:gridSpan w:val="4"/>
            <w:tcBorders>
              <w:top w:val="single" w:color="000000" w:sz="4" w:space="0"/>
              <w:left w:val="single" w:color="000000" w:sz="4" w:space="0"/>
              <w:bottom w:val="single" w:color="000000" w:sz="4" w:space="0"/>
              <w:right w:val="single" w:color="000000" w:sz="4" w:space="0"/>
            </w:tcBorders>
          </w:tcPr>
          <w:p w14:paraId="1780D9C2">
            <w:pPr>
              <w:spacing w:line="500" w:lineRule="exact"/>
              <w:rPr>
                <w:rFonts w:ascii="宋体" w:hAnsi="宋体" w:cs="宋体"/>
                <w:kern w:val="0"/>
                <w:sz w:val="24"/>
              </w:rPr>
            </w:pPr>
          </w:p>
        </w:tc>
        <w:tc>
          <w:tcPr>
            <w:tcW w:w="1410" w:type="dxa"/>
            <w:tcBorders>
              <w:top w:val="single" w:color="000000" w:sz="4" w:space="0"/>
              <w:left w:val="single" w:color="000000" w:sz="4" w:space="0"/>
              <w:bottom w:val="single" w:color="000000" w:sz="4" w:space="0"/>
              <w:right w:val="single" w:color="000000" w:sz="4" w:space="0"/>
            </w:tcBorders>
          </w:tcPr>
          <w:p w14:paraId="31FC65E4">
            <w:pPr>
              <w:spacing w:line="500" w:lineRule="exact"/>
              <w:rPr>
                <w:rFonts w:ascii="宋体" w:hAnsi="宋体" w:cs="宋体"/>
                <w:kern w:val="0"/>
                <w:sz w:val="24"/>
              </w:rPr>
            </w:pPr>
          </w:p>
        </w:tc>
        <w:tc>
          <w:tcPr>
            <w:tcW w:w="2572" w:type="dxa"/>
            <w:gridSpan w:val="2"/>
            <w:tcBorders>
              <w:top w:val="single" w:color="000000" w:sz="4" w:space="0"/>
              <w:left w:val="single" w:color="000000" w:sz="4" w:space="0"/>
              <w:bottom w:val="single" w:color="000000" w:sz="4" w:space="0"/>
              <w:right w:val="single" w:color="000000" w:sz="4" w:space="0"/>
            </w:tcBorders>
          </w:tcPr>
          <w:p w14:paraId="2CDD3C1C">
            <w:pPr>
              <w:spacing w:line="500" w:lineRule="exact"/>
              <w:rPr>
                <w:rFonts w:ascii="宋体" w:hAnsi="宋体" w:cs="宋体"/>
                <w:kern w:val="0"/>
                <w:sz w:val="24"/>
              </w:rPr>
            </w:pPr>
          </w:p>
        </w:tc>
      </w:tr>
      <w:tr w14:paraId="7DBBEBCF">
        <w:tblPrEx>
          <w:tblCellMar>
            <w:top w:w="0" w:type="dxa"/>
            <w:left w:w="0" w:type="dxa"/>
            <w:bottom w:w="0" w:type="dxa"/>
            <w:right w:w="0" w:type="dxa"/>
          </w:tblCellMar>
        </w:tblPrEx>
        <w:trPr>
          <w:trHeight w:val="582" w:hRule="exact"/>
        </w:trPr>
        <w:tc>
          <w:tcPr>
            <w:tcW w:w="1730" w:type="dxa"/>
            <w:gridSpan w:val="2"/>
            <w:tcBorders>
              <w:top w:val="single" w:color="000000" w:sz="4" w:space="0"/>
              <w:left w:val="single" w:color="000000" w:sz="4" w:space="0"/>
              <w:bottom w:val="single" w:color="000000" w:sz="4" w:space="0"/>
              <w:right w:val="single" w:color="000000" w:sz="4" w:space="0"/>
            </w:tcBorders>
          </w:tcPr>
          <w:p w14:paraId="6E15C094">
            <w:pPr>
              <w:spacing w:line="500" w:lineRule="exact"/>
              <w:rPr>
                <w:rFonts w:ascii="宋体" w:hAnsi="宋体" w:cs="宋体"/>
                <w:kern w:val="0"/>
                <w:sz w:val="24"/>
              </w:rPr>
            </w:pPr>
          </w:p>
        </w:tc>
        <w:tc>
          <w:tcPr>
            <w:tcW w:w="3828" w:type="dxa"/>
            <w:gridSpan w:val="4"/>
            <w:tcBorders>
              <w:top w:val="single" w:color="000000" w:sz="4" w:space="0"/>
              <w:left w:val="single" w:color="000000" w:sz="4" w:space="0"/>
              <w:bottom w:val="single" w:color="000000" w:sz="4" w:space="0"/>
              <w:right w:val="single" w:color="000000" w:sz="4" w:space="0"/>
            </w:tcBorders>
          </w:tcPr>
          <w:p w14:paraId="6F869BA3">
            <w:pPr>
              <w:spacing w:line="500" w:lineRule="exact"/>
              <w:rPr>
                <w:rFonts w:ascii="宋体" w:hAnsi="宋体" w:cs="宋体"/>
                <w:kern w:val="0"/>
                <w:sz w:val="24"/>
              </w:rPr>
            </w:pPr>
          </w:p>
        </w:tc>
        <w:tc>
          <w:tcPr>
            <w:tcW w:w="1410" w:type="dxa"/>
            <w:tcBorders>
              <w:top w:val="single" w:color="000000" w:sz="4" w:space="0"/>
              <w:left w:val="single" w:color="000000" w:sz="4" w:space="0"/>
              <w:bottom w:val="single" w:color="000000" w:sz="4" w:space="0"/>
              <w:right w:val="single" w:color="000000" w:sz="4" w:space="0"/>
            </w:tcBorders>
          </w:tcPr>
          <w:p w14:paraId="33247F42">
            <w:pPr>
              <w:spacing w:line="500" w:lineRule="exact"/>
              <w:rPr>
                <w:rFonts w:ascii="宋体" w:hAnsi="宋体" w:cs="宋体"/>
                <w:kern w:val="0"/>
                <w:sz w:val="24"/>
              </w:rPr>
            </w:pPr>
          </w:p>
        </w:tc>
        <w:tc>
          <w:tcPr>
            <w:tcW w:w="2572" w:type="dxa"/>
            <w:gridSpan w:val="2"/>
            <w:tcBorders>
              <w:top w:val="single" w:color="000000" w:sz="4" w:space="0"/>
              <w:left w:val="single" w:color="000000" w:sz="4" w:space="0"/>
              <w:bottom w:val="single" w:color="000000" w:sz="4" w:space="0"/>
              <w:right w:val="single" w:color="000000" w:sz="4" w:space="0"/>
            </w:tcBorders>
          </w:tcPr>
          <w:p w14:paraId="51891A0E">
            <w:pPr>
              <w:spacing w:line="500" w:lineRule="exact"/>
              <w:rPr>
                <w:rFonts w:ascii="宋体" w:hAnsi="宋体" w:cs="宋体"/>
                <w:kern w:val="0"/>
                <w:sz w:val="24"/>
              </w:rPr>
            </w:pPr>
          </w:p>
        </w:tc>
      </w:tr>
    </w:tbl>
    <w:p w14:paraId="0A891B33">
      <w:pPr>
        <w:pStyle w:val="13"/>
        <w:rPr>
          <w:rFonts w:ascii="宋体" w:hAnsi="宋体" w:cs="宋体"/>
          <w:b/>
          <w:bCs/>
          <w:w w:val="99"/>
          <w:kern w:val="0"/>
          <w:sz w:val="30"/>
          <w:szCs w:val="32"/>
        </w:rPr>
      </w:pPr>
    </w:p>
    <w:p w14:paraId="690260EE">
      <w:pPr>
        <w:spacing w:line="500" w:lineRule="exact"/>
        <w:ind w:firstLine="502"/>
        <w:rPr>
          <w:rFonts w:hint="eastAsia" w:ascii="宋体" w:hAnsi="宋体" w:cs="宋体"/>
          <w:bCs/>
          <w:szCs w:val="21"/>
        </w:rPr>
      </w:pPr>
      <w:r>
        <w:rPr>
          <w:rFonts w:hint="eastAsia" w:ascii="宋体" w:hAnsi="宋体" w:cs="宋体"/>
          <w:bCs/>
          <w:szCs w:val="21"/>
        </w:rPr>
        <w:t>注：1、附项目经理的注册建造师注册证书复印件、安全生产考核合格证书复印件（B类）（注：首次取得B证的，发证当年不需提供）、身份证复印件；技术负责人的身份证复印件、职称证复印件；安全员的安全生产考核合格证书复印件（C类）、岗位证书复印件及身份证复印件；施工员、质检员的身份证复印件、岗位证书复印件；并附由县级以上（含县级）社会养老保险经办机构出具的竞标人为项目经理、技术负责人、安全员、施工员、质检员交纳的响应文件递交截止时间前半年内连续三个月社保证明复印件（若为近期新聘员工的，以提供劳动合同证明材料为准）】（如需附证件复印件与“8、项目管理机构配备情况表”所附证件复印件重复，重复部分可只附在“8、项目管理机构配备情况表”部分）</w:t>
      </w:r>
    </w:p>
    <w:p w14:paraId="5E597E15">
      <w:pPr>
        <w:spacing w:line="500" w:lineRule="exact"/>
        <w:ind w:firstLine="502"/>
        <w:rPr>
          <w:rFonts w:ascii="宋体" w:hAnsi="宋体" w:cs="宋体"/>
          <w:bCs/>
          <w:sz w:val="24"/>
        </w:rPr>
      </w:pPr>
      <w:r>
        <w:rPr>
          <w:rFonts w:hint="eastAsia" w:ascii="宋体" w:hAnsi="宋体" w:cs="宋体"/>
          <w:bCs/>
          <w:szCs w:val="21"/>
        </w:rPr>
        <w:t>2、人员除按桂林市建设与规划委员会市建规〔2006〕270号文《关于调整建筑施工现场项目部管理的通知》的规定执行，还须满足前附表中的最低要求。</w:t>
      </w:r>
    </w:p>
    <w:p w14:paraId="7706B7C0">
      <w:pPr>
        <w:spacing w:line="500" w:lineRule="exact"/>
        <w:rPr>
          <w:rFonts w:ascii="宋体" w:hAnsi="宋体" w:cs="宋体"/>
          <w:bCs/>
          <w:w w:val="99"/>
          <w:kern w:val="0"/>
          <w:sz w:val="30"/>
          <w:szCs w:val="32"/>
        </w:rPr>
      </w:pPr>
    </w:p>
    <w:p w14:paraId="277B591D">
      <w:pPr>
        <w:spacing w:line="500" w:lineRule="exact"/>
        <w:rPr>
          <w:rFonts w:ascii="宋体" w:hAnsi="宋体" w:cs="宋体"/>
          <w:b/>
          <w:bCs/>
          <w:w w:val="99"/>
          <w:kern w:val="0"/>
          <w:sz w:val="30"/>
          <w:szCs w:val="32"/>
        </w:rPr>
      </w:pPr>
    </w:p>
    <w:p w14:paraId="429D4E66">
      <w:pPr>
        <w:snapToGrid w:val="0"/>
        <w:spacing w:line="360" w:lineRule="auto"/>
        <w:ind w:firstLine="1890" w:firstLineChars="900"/>
        <w:rPr>
          <w:rFonts w:ascii="宋体" w:hAnsi="宋体" w:cs="宋体"/>
          <w:szCs w:val="21"/>
        </w:rPr>
      </w:pPr>
      <w:r>
        <w:rPr>
          <w:rFonts w:hint="eastAsia" w:ascii="宋体" w:hAnsi="宋体" w:cs="宋体"/>
          <w:szCs w:val="21"/>
        </w:rPr>
        <w:t>磋商供应商[公章(CA签章)，自然人签字或个人CA签章]：</w:t>
      </w:r>
      <w:r>
        <w:rPr>
          <w:rFonts w:hint="eastAsia" w:ascii="宋体" w:hAnsi="宋体" w:cs="宋体"/>
          <w:u w:val="single"/>
        </w:rPr>
        <w:t xml:space="preserve">               </w:t>
      </w:r>
    </w:p>
    <w:p w14:paraId="1668594F">
      <w:pPr>
        <w:pStyle w:val="13"/>
        <w:ind w:firstLine="6300" w:firstLineChars="3000"/>
        <w:rPr>
          <w:rFonts w:ascii="宋体" w:hAnsi="宋体" w:cs="宋体"/>
          <w:b/>
          <w:bCs/>
          <w:w w:val="99"/>
          <w:kern w:val="0"/>
          <w:sz w:val="30"/>
          <w:szCs w:val="32"/>
        </w:rPr>
      </w:pPr>
      <w:r>
        <w:rPr>
          <w:rFonts w:hint="eastAsia" w:ascii="宋体" w:hAnsi="宋体" w:cs="宋体"/>
        </w:rPr>
        <w:t>日    期：</w:t>
      </w:r>
    </w:p>
    <w:p w14:paraId="5D1C2376">
      <w:pPr>
        <w:rPr>
          <w:rFonts w:ascii="宋体" w:hAnsi="宋体" w:cs="宋体"/>
          <w:b/>
          <w:bCs/>
          <w:w w:val="99"/>
          <w:kern w:val="0"/>
          <w:sz w:val="30"/>
          <w:szCs w:val="32"/>
        </w:rPr>
      </w:pPr>
    </w:p>
    <w:p w14:paraId="448CA62E">
      <w:pPr>
        <w:pStyle w:val="13"/>
        <w:rPr>
          <w:rFonts w:ascii="宋体" w:hAnsi="宋体" w:cs="宋体"/>
          <w:b/>
          <w:bCs/>
          <w:w w:val="99"/>
          <w:kern w:val="0"/>
          <w:sz w:val="30"/>
          <w:szCs w:val="32"/>
        </w:rPr>
      </w:pPr>
    </w:p>
    <w:p w14:paraId="056334DE">
      <w:pPr>
        <w:pStyle w:val="13"/>
        <w:rPr>
          <w:rFonts w:ascii="宋体" w:hAnsi="宋体" w:cs="宋体"/>
          <w:b/>
          <w:bCs/>
          <w:w w:val="99"/>
          <w:kern w:val="0"/>
          <w:sz w:val="30"/>
          <w:szCs w:val="32"/>
        </w:rPr>
      </w:pPr>
    </w:p>
    <w:p w14:paraId="443070BD">
      <w:pPr>
        <w:spacing w:line="500" w:lineRule="exact"/>
        <w:rPr>
          <w:rFonts w:ascii="宋体" w:hAnsi="宋体" w:cs="宋体"/>
          <w:b/>
          <w:bCs/>
          <w:w w:val="99"/>
          <w:kern w:val="0"/>
          <w:sz w:val="30"/>
          <w:szCs w:val="32"/>
        </w:rPr>
      </w:pPr>
      <w:r>
        <w:rPr>
          <w:rFonts w:hint="eastAsia" w:ascii="宋体" w:hAnsi="宋体" w:cs="宋体"/>
          <w:b/>
          <w:bCs/>
          <w:w w:val="99"/>
          <w:kern w:val="0"/>
          <w:sz w:val="30"/>
          <w:szCs w:val="32"/>
        </w:rPr>
        <w:t>二、符合性响应证明材料：</w:t>
      </w:r>
    </w:p>
    <w:p w14:paraId="792E4878">
      <w:pPr>
        <w:spacing w:line="500" w:lineRule="exact"/>
        <w:rPr>
          <w:rFonts w:ascii="宋体" w:hAnsi="宋体" w:cs="宋体"/>
          <w:b/>
          <w:bCs/>
          <w:w w:val="99"/>
          <w:kern w:val="0"/>
          <w:sz w:val="30"/>
          <w:szCs w:val="32"/>
        </w:rPr>
      </w:pPr>
    </w:p>
    <w:p w14:paraId="2A905E13">
      <w:pPr>
        <w:spacing w:line="500" w:lineRule="exact"/>
        <w:rPr>
          <w:rFonts w:ascii="宋体" w:hAnsi="宋体" w:cs="宋体"/>
          <w:b/>
          <w:bCs/>
          <w:w w:val="99"/>
          <w:kern w:val="0"/>
          <w:sz w:val="30"/>
          <w:szCs w:val="32"/>
        </w:rPr>
      </w:pPr>
      <w:r>
        <w:rPr>
          <w:rFonts w:hint="eastAsia" w:ascii="宋体" w:hAnsi="宋体" w:cs="宋体"/>
          <w:b/>
          <w:bCs/>
          <w:w w:val="99"/>
          <w:kern w:val="0"/>
          <w:sz w:val="30"/>
          <w:szCs w:val="32"/>
        </w:rPr>
        <w:t>10、响应函及响应函附录（必须提供）（格式）</w:t>
      </w:r>
    </w:p>
    <w:p w14:paraId="694FB849">
      <w:pPr>
        <w:pStyle w:val="5"/>
        <w:spacing w:line="500" w:lineRule="exact"/>
        <w:jc w:val="center"/>
        <w:rPr>
          <w:rFonts w:ascii="宋体" w:hAnsi="宋体" w:cs="宋体"/>
          <w:b/>
          <w:bCs w:val="0"/>
          <w:color w:val="auto"/>
          <w:kern w:val="0"/>
          <w:szCs w:val="28"/>
        </w:rPr>
      </w:pPr>
      <w:bookmarkStart w:id="661" w:name="_Toc369505656"/>
      <w:bookmarkStart w:id="662" w:name="_Toc207443036"/>
      <w:bookmarkStart w:id="663" w:name="_Toc389146023"/>
      <w:bookmarkStart w:id="664" w:name="_Toc455670872"/>
      <w:bookmarkStart w:id="665" w:name="_Toc267582089"/>
      <w:r>
        <w:rPr>
          <w:rFonts w:hint="eastAsia" w:ascii="宋体" w:hAnsi="宋体" w:cs="宋体"/>
          <w:b/>
          <w:bCs w:val="0"/>
          <w:color w:val="auto"/>
          <w:kern w:val="0"/>
          <w:szCs w:val="28"/>
        </w:rPr>
        <w:t>（一）响应函</w:t>
      </w:r>
      <w:bookmarkEnd w:id="661"/>
      <w:bookmarkEnd w:id="662"/>
      <w:bookmarkEnd w:id="663"/>
      <w:bookmarkEnd w:id="664"/>
      <w:bookmarkEnd w:id="665"/>
    </w:p>
    <w:p w14:paraId="23113184">
      <w:pPr>
        <w:spacing w:line="500" w:lineRule="exact"/>
        <w:rPr>
          <w:rFonts w:ascii="宋体" w:hAnsi="宋体" w:cs="宋体"/>
          <w:kern w:val="0"/>
          <w:sz w:val="20"/>
          <w:szCs w:val="20"/>
        </w:rPr>
      </w:pPr>
      <w:r>
        <w:rPr>
          <w:rFonts w:hint="eastAsia" w:ascii="宋体" w:hAnsi="宋体" w:cs="宋体"/>
          <w:b/>
          <w:bCs/>
          <w:spacing w:val="-1"/>
          <w:kern w:val="0"/>
          <w:szCs w:val="21"/>
        </w:rPr>
        <w:t>致 ：</w:t>
      </w:r>
      <w:r>
        <w:rPr>
          <w:rFonts w:hint="eastAsia" w:ascii="宋体" w:hAnsi="宋体" w:cs="宋体"/>
          <w:b/>
          <w:bCs/>
          <w:spacing w:val="-1"/>
          <w:kern w:val="0"/>
          <w:szCs w:val="21"/>
          <w:u w:val="single"/>
        </w:rPr>
        <w:t>广西达华工程造价咨询有限责任公司</w:t>
      </w:r>
    </w:p>
    <w:p w14:paraId="08470ADE">
      <w:pPr>
        <w:pStyle w:val="15"/>
        <w:spacing w:line="360" w:lineRule="exact"/>
        <w:ind w:firstLine="420"/>
        <w:rPr>
          <w:rFonts w:hAnsi="宋体" w:cs="宋体"/>
        </w:rPr>
      </w:pPr>
      <w:r>
        <w:rPr>
          <w:rFonts w:hint="eastAsia" w:hAnsi="宋体" w:cs="宋体"/>
        </w:rPr>
        <w:t>根据贵方</w:t>
      </w:r>
      <w:r>
        <w:rPr>
          <w:rFonts w:hint="eastAsia" w:hAnsi="宋体" w:cs="宋体"/>
          <w:u w:val="single"/>
        </w:rPr>
        <w:t xml:space="preserve">       </w:t>
      </w:r>
      <w:r>
        <w:rPr>
          <w:rFonts w:hint="eastAsia" w:hAnsi="宋体" w:cs="宋体"/>
        </w:rPr>
        <w:t>项目竞争性磋商文件，项目编号：</w:t>
      </w:r>
      <w:r>
        <w:rPr>
          <w:rFonts w:hint="eastAsia" w:hAnsi="宋体" w:cs="宋体"/>
          <w:szCs w:val="21"/>
          <w:u w:val="single"/>
        </w:rPr>
        <w:t xml:space="preserve">            </w:t>
      </w:r>
      <w:r>
        <w:rPr>
          <w:rFonts w:hint="eastAsia" w:hAnsi="宋体" w:cs="宋体"/>
          <w:szCs w:val="21"/>
        </w:rPr>
        <w:t>，签字代表</w:t>
      </w:r>
      <w:r>
        <w:rPr>
          <w:rFonts w:hint="eastAsia" w:hAnsi="宋体" w:cs="宋体"/>
          <w:u w:val="single"/>
        </w:rPr>
        <w:t xml:space="preserve">         </w:t>
      </w:r>
      <w:r>
        <w:rPr>
          <w:rFonts w:hint="eastAsia" w:hAnsi="宋体" w:cs="宋体"/>
        </w:rPr>
        <w:t xml:space="preserve">（姓名）经正式授权并代表供应商 </w:t>
      </w:r>
      <w:r>
        <w:rPr>
          <w:rFonts w:hint="eastAsia" w:hAnsi="宋体" w:cs="宋体"/>
          <w:u w:val="single"/>
        </w:rPr>
        <w:t xml:space="preserve">                                   （</w:t>
      </w:r>
      <w:r>
        <w:rPr>
          <w:rFonts w:hint="eastAsia" w:hAnsi="宋体" w:cs="宋体"/>
        </w:rPr>
        <w:t>供应商单位名称），提交电子响应文件。</w:t>
      </w:r>
    </w:p>
    <w:p w14:paraId="7A70AA54">
      <w:pPr>
        <w:pStyle w:val="15"/>
        <w:spacing w:line="360" w:lineRule="exact"/>
        <w:ind w:firstLine="420"/>
        <w:rPr>
          <w:rFonts w:hAnsi="宋体" w:cs="宋体"/>
        </w:rPr>
      </w:pPr>
      <w:r>
        <w:rPr>
          <w:rFonts w:hint="eastAsia" w:hAnsi="宋体" w:cs="宋体"/>
        </w:rPr>
        <w:t>据此函，签字代表宣布同意如下：</w:t>
      </w:r>
    </w:p>
    <w:p w14:paraId="5EE10309">
      <w:pPr>
        <w:pStyle w:val="15"/>
        <w:spacing w:line="360" w:lineRule="exact"/>
        <w:ind w:firstLine="420"/>
        <w:rPr>
          <w:rFonts w:hAnsi="宋体" w:cs="宋体"/>
        </w:rPr>
      </w:pPr>
      <w:r>
        <w:rPr>
          <w:rFonts w:hint="eastAsia" w:hAnsi="宋体" w:cs="宋体"/>
        </w:rPr>
        <w:t>1. 按磋商文件采购需求和磋商报价表：</w:t>
      </w:r>
    </w:p>
    <w:p w14:paraId="1E9CA95F">
      <w:pPr>
        <w:pStyle w:val="15"/>
        <w:spacing w:line="360" w:lineRule="exact"/>
        <w:ind w:firstLine="420"/>
        <w:rPr>
          <w:rFonts w:hAnsi="宋体" w:cs="宋体"/>
        </w:rPr>
      </w:pPr>
      <w:r>
        <w:rPr>
          <w:rFonts w:hint="eastAsia" w:hAnsi="宋体" w:cs="宋体"/>
          <w:szCs w:val="21"/>
        </w:rPr>
        <w:t>按采购项目内容和报价表，磋商报价为(大写)</w:t>
      </w:r>
      <w:r>
        <w:rPr>
          <w:rFonts w:hint="eastAsia" w:hAnsi="宋体" w:cs="宋体"/>
          <w:szCs w:val="21"/>
          <w:u w:val="single"/>
        </w:rPr>
        <w:t xml:space="preserve">         </w:t>
      </w:r>
      <w:r>
        <w:rPr>
          <w:rFonts w:hint="eastAsia" w:hAnsi="宋体" w:cs="宋体"/>
          <w:szCs w:val="21"/>
        </w:rPr>
        <w:t>元(￥</w:t>
      </w:r>
      <w:r>
        <w:rPr>
          <w:rFonts w:hint="eastAsia" w:hAnsi="宋体" w:cs="宋体"/>
          <w:szCs w:val="21"/>
          <w:u w:val="single"/>
        </w:rPr>
        <w:t xml:space="preserve">           </w:t>
      </w:r>
      <w:r>
        <w:rPr>
          <w:rFonts w:hint="eastAsia" w:hAnsi="宋体" w:cs="宋体"/>
          <w:szCs w:val="21"/>
        </w:rPr>
        <w:t>)；工程完工期：</w:t>
      </w:r>
      <w:r>
        <w:rPr>
          <w:rFonts w:hint="eastAsia" w:hAnsi="宋体" w:cs="宋体"/>
          <w:szCs w:val="21"/>
          <w:u w:val="single"/>
        </w:rPr>
        <w:t xml:space="preserve">             </w:t>
      </w:r>
      <w:r>
        <w:rPr>
          <w:rFonts w:hint="eastAsia" w:hAnsi="宋体" w:cs="宋体"/>
          <w:szCs w:val="21"/>
        </w:rPr>
        <w:t>；质量等级:</w:t>
      </w:r>
      <w:r>
        <w:rPr>
          <w:rFonts w:hint="eastAsia" w:hAnsi="宋体" w:cs="宋体"/>
          <w:szCs w:val="21"/>
          <w:u w:val="single"/>
        </w:rPr>
        <w:t xml:space="preserve">       </w:t>
      </w:r>
      <w:r>
        <w:rPr>
          <w:rFonts w:hint="eastAsia" w:hAnsi="宋体" w:cs="宋体"/>
          <w:szCs w:val="21"/>
        </w:rPr>
        <w:t xml:space="preserve"> 。</w:t>
      </w:r>
    </w:p>
    <w:p w14:paraId="19FB8EB2">
      <w:pPr>
        <w:pStyle w:val="15"/>
        <w:spacing w:line="360" w:lineRule="exact"/>
        <w:ind w:firstLine="420"/>
        <w:rPr>
          <w:rFonts w:hAnsi="宋体" w:cs="宋体"/>
        </w:rPr>
      </w:pPr>
      <w:r>
        <w:rPr>
          <w:rFonts w:hint="eastAsia" w:hAnsi="宋体" w:cs="宋体"/>
        </w:rPr>
        <w:t>2.我方承诺已具备磋商文件规定的供应商资格条件。</w:t>
      </w:r>
    </w:p>
    <w:p w14:paraId="65AFAE29">
      <w:pPr>
        <w:pStyle w:val="15"/>
        <w:spacing w:line="360" w:lineRule="exact"/>
        <w:ind w:firstLine="420"/>
        <w:rPr>
          <w:rFonts w:hAnsi="宋体" w:cs="宋体"/>
        </w:rPr>
      </w:pPr>
      <w:r>
        <w:rPr>
          <w:rFonts w:hint="eastAsia" w:hAnsi="宋体" w:cs="宋体"/>
        </w:rPr>
        <w:t>3.我方已详细审核磋商文件，包括修改文件（如有的话）和有关附件，将自行承担因对全部磋商文件理解不正确或误解而产生的相应后果。</w:t>
      </w:r>
    </w:p>
    <w:p w14:paraId="3F023770">
      <w:pPr>
        <w:pStyle w:val="15"/>
        <w:spacing w:line="360" w:lineRule="exact"/>
        <w:ind w:firstLine="420"/>
        <w:rPr>
          <w:rFonts w:hAnsi="宋体" w:cs="宋体"/>
        </w:rPr>
      </w:pPr>
      <w:r>
        <w:rPr>
          <w:rFonts w:hint="eastAsia" w:hAnsi="宋体" w:cs="宋体"/>
        </w:rPr>
        <w:t>4. 响应文件有效期为</w:t>
      </w:r>
      <w:r>
        <w:rPr>
          <w:rFonts w:hint="eastAsia" w:hAnsi="宋体" w:cs="宋体"/>
          <w:szCs w:val="21"/>
        </w:rPr>
        <w:t>响应文件递交截止时间之日起90天。</w:t>
      </w:r>
    </w:p>
    <w:p w14:paraId="1F120D46">
      <w:pPr>
        <w:pStyle w:val="15"/>
        <w:spacing w:line="360" w:lineRule="exact"/>
        <w:ind w:firstLine="420"/>
        <w:rPr>
          <w:rFonts w:hAnsi="宋体" w:cs="宋体"/>
        </w:rPr>
      </w:pPr>
      <w:r>
        <w:rPr>
          <w:rFonts w:hint="eastAsia" w:hAnsi="宋体" w:cs="宋体"/>
        </w:rPr>
        <w:t>5. 如我方成交：</w:t>
      </w:r>
    </w:p>
    <w:p w14:paraId="7056B7A8">
      <w:pPr>
        <w:pStyle w:val="15"/>
        <w:spacing w:line="360" w:lineRule="exact"/>
        <w:ind w:firstLine="420"/>
        <w:rPr>
          <w:rFonts w:hAnsi="宋体" w:cs="宋体"/>
        </w:rPr>
      </w:pPr>
      <w:r>
        <w:rPr>
          <w:rFonts w:hint="eastAsia" w:hAnsi="宋体" w:cs="宋体"/>
        </w:rPr>
        <w:t>（1）我方承诺在收到成交通知书后，在成交通知书规定的期限内与采购人签订合同。</w:t>
      </w:r>
    </w:p>
    <w:p w14:paraId="77B9D9DA">
      <w:pPr>
        <w:pStyle w:val="15"/>
        <w:spacing w:line="360" w:lineRule="exact"/>
        <w:ind w:firstLine="420"/>
        <w:rPr>
          <w:rFonts w:hAnsi="宋体" w:cs="宋体"/>
          <w:szCs w:val="21"/>
        </w:rPr>
      </w:pPr>
      <w:r>
        <w:rPr>
          <w:rFonts w:hint="eastAsia" w:hAnsi="宋体" w:cs="宋体"/>
          <w:szCs w:val="21"/>
        </w:rPr>
        <w:t>（2）我方承诺按照磋商文件规定递交履约担保。</w:t>
      </w:r>
    </w:p>
    <w:p w14:paraId="527C9FEB">
      <w:pPr>
        <w:pStyle w:val="15"/>
        <w:spacing w:line="360" w:lineRule="exact"/>
        <w:ind w:firstLine="420"/>
        <w:rPr>
          <w:rFonts w:hAnsi="宋体" w:cs="宋体"/>
          <w:szCs w:val="21"/>
        </w:rPr>
      </w:pPr>
      <w:r>
        <w:rPr>
          <w:rFonts w:hint="eastAsia" w:hAnsi="宋体" w:cs="宋体"/>
          <w:szCs w:val="21"/>
        </w:rPr>
        <w:t>（3）我方承诺本响应文件至本项目合同履行完毕止均保持有效，按磋商文件及政府采购法律、法规的规定履行合同责任和义务。</w:t>
      </w:r>
    </w:p>
    <w:p w14:paraId="2A5A2CD1">
      <w:pPr>
        <w:pStyle w:val="15"/>
        <w:spacing w:line="360" w:lineRule="exact"/>
        <w:ind w:firstLine="420"/>
        <w:rPr>
          <w:rFonts w:hAnsi="宋体" w:cs="宋体"/>
          <w:szCs w:val="21"/>
        </w:rPr>
      </w:pPr>
      <w:r>
        <w:rPr>
          <w:rFonts w:hint="eastAsia" w:hAnsi="宋体" w:cs="宋体"/>
          <w:szCs w:val="21"/>
        </w:rPr>
        <w:t>与本项目有关的正式通讯地址为：</w:t>
      </w:r>
    </w:p>
    <w:p w14:paraId="06F604B8">
      <w:pPr>
        <w:rPr>
          <w:rFonts w:ascii="宋体" w:hAnsi="宋体" w:cs="宋体"/>
          <w:szCs w:val="21"/>
        </w:rPr>
      </w:pPr>
    </w:p>
    <w:p w14:paraId="0D9BA27E">
      <w:pPr>
        <w:pStyle w:val="15"/>
        <w:spacing w:line="320" w:lineRule="exact"/>
        <w:ind w:firstLine="420"/>
        <w:rPr>
          <w:rFonts w:hAnsi="宋体" w:cs="宋体"/>
          <w:szCs w:val="21"/>
          <w:u w:val="single"/>
        </w:rPr>
      </w:pPr>
      <w:r>
        <w:rPr>
          <w:rFonts w:hint="eastAsia" w:hAnsi="宋体" w:cs="宋体"/>
          <w:szCs w:val="21"/>
        </w:rPr>
        <w:t>地址：</w:t>
      </w:r>
      <w:r>
        <w:rPr>
          <w:rFonts w:hint="eastAsia" w:hAnsi="宋体" w:cs="宋体"/>
          <w:szCs w:val="21"/>
          <w:u w:val="single"/>
        </w:rPr>
        <w:t xml:space="preserve">                                   </w:t>
      </w:r>
      <w:r>
        <w:rPr>
          <w:rFonts w:hint="eastAsia" w:hAnsi="宋体" w:cs="宋体"/>
          <w:szCs w:val="21"/>
        </w:rPr>
        <w:t xml:space="preserve"> 邮编：</w:t>
      </w:r>
      <w:r>
        <w:rPr>
          <w:rFonts w:hint="eastAsia" w:hAnsi="宋体" w:cs="宋体"/>
          <w:szCs w:val="21"/>
          <w:u w:val="single"/>
        </w:rPr>
        <w:t xml:space="preserve">          </w:t>
      </w:r>
      <w:r>
        <w:rPr>
          <w:rFonts w:hint="eastAsia" w:hAnsi="宋体" w:cs="宋体"/>
          <w:szCs w:val="21"/>
        </w:rPr>
        <w:t xml:space="preserve">  电话、传真：</w:t>
      </w:r>
      <w:r>
        <w:rPr>
          <w:rFonts w:hint="eastAsia" w:hAnsi="宋体" w:cs="宋体"/>
          <w:szCs w:val="21"/>
          <w:u w:val="single"/>
        </w:rPr>
        <w:t xml:space="preserve">            </w:t>
      </w:r>
    </w:p>
    <w:p w14:paraId="4A883184">
      <w:pPr>
        <w:pStyle w:val="15"/>
        <w:spacing w:line="320" w:lineRule="exact"/>
        <w:ind w:firstLine="420"/>
        <w:rPr>
          <w:rFonts w:hAnsi="宋体" w:cs="宋体"/>
          <w:szCs w:val="21"/>
        </w:rPr>
      </w:pPr>
      <w:r>
        <w:rPr>
          <w:rFonts w:hint="eastAsia" w:hAnsi="宋体" w:cs="宋体"/>
          <w:szCs w:val="21"/>
        </w:rPr>
        <w:t>开户名称：</w:t>
      </w:r>
      <w:r>
        <w:rPr>
          <w:rFonts w:hint="eastAsia" w:hAnsi="宋体" w:cs="宋体"/>
          <w:szCs w:val="21"/>
          <w:u w:val="single"/>
        </w:rPr>
        <w:t xml:space="preserve">                                        </w:t>
      </w:r>
    </w:p>
    <w:p w14:paraId="53E67540">
      <w:pPr>
        <w:pStyle w:val="15"/>
        <w:spacing w:line="320" w:lineRule="exact"/>
        <w:ind w:firstLine="420"/>
        <w:rPr>
          <w:rFonts w:hAnsi="宋体" w:cs="宋体"/>
          <w:szCs w:val="21"/>
        </w:rPr>
      </w:pPr>
      <w:r>
        <w:rPr>
          <w:rFonts w:hint="eastAsia" w:hAnsi="宋体" w:cs="宋体"/>
          <w:szCs w:val="21"/>
        </w:rPr>
        <w:t>开户银行：</w:t>
      </w:r>
      <w:r>
        <w:rPr>
          <w:rFonts w:hint="eastAsia" w:hAnsi="宋体" w:cs="宋体"/>
          <w:szCs w:val="21"/>
          <w:u w:val="single"/>
        </w:rPr>
        <w:t xml:space="preserve">                               　       </w:t>
      </w:r>
    </w:p>
    <w:p w14:paraId="4551D11C">
      <w:pPr>
        <w:pStyle w:val="15"/>
        <w:spacing w:line="320" w:lineRule="exact"/>
        <w:ind w:firstLine="420"/>
        <w:rPr>
          <w:rFonts w:hAnsi="宋体" w:cs="宋体"/>
          <w:szCs w:val="21"/>
        </w:rPr>
      </w:pPr>
      <w:r>
        <w:rPr>
          <w:rFonts w:hint="eastAsia" w:hAnsi="宋体" w:cs="宋体"/>
          <w:szCs w:val="21"/>
        </w:rPr>
        <w:t>账号：</w:t>
      </w:r>
      <w:r>
        <w:rPr>
          <w:rFonts w:hint="eastAsia" w:hAnsi="宋体" w:cs="宋体"/>
          <w:szCs w:val="21"/>
          <w:u w:val="single"/>
        </w:rPr>
        <w:t xml:space="preserve">                                   　　　   </w:t>
      </w:r>
    </w:p>
    <w:p w14:paraId="5C5B2CC0">
      <w:pPr>
        <w:pStyle w:val="15"/>
        <w:spacing w:line="320" w:lineRule="exact"/>
        <w:ind w:firstLine="420"/>
        <w:rPr>
          <w:rFonts w:hAnsi="宋体" w:cs="宋体"/>
          <w:bCs/>
          <w:szCs w:val="21"/>
          <w:u w:val="single"/>
        </w:rPr>
      </w:pPr>
      <w:r>
        <w:rPr>
          <w:rFonts w:hint="eastAsia" w:hAnsi="宋体" w:cs="宋体"/>
          <w:bCs/>
          <w:szCs w:val="21"/>
        </w:rPr>
        <w:t>供应商[公章(CA签章)、自然人除外]：</w:t>
      </w:r>
      <w:r>
        <w:rPr>
          <w:rFonts w:hint="eastAsia" w:hAnsi="宋体" w:cs="宋体"/>
          <w:bCs/>
          <w:szCs w:val="21"/>
          <w:u w:val="single"/>
        </w:rPr>
        <w:t xml:space="preserve">                              </w:t>
      </w:r>
    </w:p>
    <w:p w14:paraId="45F59199">
      <w:pPr>
        <w:pStyle w:val="15"/>
        <w:spacing w:line="320" w:lineRule="exact"/>
        <w:ind w:firstLine="420"/>
        <w:rPr>
          <w:rFonts w:hAnsi="宋体" w:cs="宋体"/>
          <w:szCs w:val="21"/>
          <w:u w:val="single"/>
        </w:rPr>
      </w:pPr>
      <w:r>
        <w:rPr>
          <w:rFonts w:hint="eastAsia" w:hAnsi="宋体" w:cs="宋体"/>
          <w:szCs w:val="21"/>
        </w:rPr>
        <w:t>法定代表人、负责人、自然人或相应的委托代理人签字[或盖章(CA签章)]（属自然人的应在签名处加盖大拇指指印或个人CA签章）：</w:t>
      </w:r>
      <w:r>
        <w:rPr>
          <w:rFonts w:hint="eastAsia" w:hAnsi="宋体" w:cs="宋体"/>
          <w:szCs w:val="21"/>
          <w:u w:val="single"/>
        </w:rPr>
        <w:t xml:space="preserve">              </w:t>
      </w:r>
    </w:p>
    <w:p w14:paraId="44496614">
      <w:pPr>
        <w:spacing w:line="460" w:lineRule="exact"/>
        <w:ind w:firstLine="1050" w:firstLineChars="500"/>
        <w:rPr>
          <w:rFonts w:ascii="宋体" w:hAnsi="宋体" w:cs="宋体"/>
        </w:rPr>
      </w:pPr>
      <w:r>
        <w:rPr>
          <w:rFonts w:hint="eastAsia" w:ascii="宋体" w:hAnsi="宋体" w:cs="宋体"/>
          <w:bCs/>
          <w:szCs w:val="21"/>
        </w:rPr>
        <w:t>响应</w:t>
      </w:r>
      <w:r>
        <w:rPr>
          <w:rFonts w:hint="eastAsia" w:ascii="宋体" w:hAnsi="宋体" w:cs="宋体"/>
          <w:szCs w:val="21"/>
        </w:rPr>
        <w:t>日期：</w:t>
      </w:r>
    </w:p>
    <w:p w14:paraId="441271EC">
      <w:bookmarkStart w:id="666" w:name="_Toc207443037"/>
      <w:bookmarkStart w:id="667" w:name="_Toc455670873"/>
      <w:bookmarkStart w:id="668" w:name="_Toc369505657"/>
      <w:bookmarkStart w:id="669" w:name="_Toc389146024"/>
      <w:bookmarkStart w:id="670" w:name="_Toc267582090"/>
    </w:p>
    <w:p w14:paraId="575A7BDD">
      <w:pPr>
        <w:pStyle w:val="13"/>
      </w:pPr>
    </w:p>
    <w:p w14:paraId="5E9E6917"/>
    <w:p w14:paraId="3A25E586">
      <w:pPr>
        <w:pStyle w:val="13"/>
      </w:pPr>
    </w:p>
    <w:p w14:paraId="6FBA0F2C"/>
    <w:p w14:paraId="29C60BEB">
      <w:pPr>
        <w:pStyle w:val="13"/>
      </w:pPr>
    </w:p>
    <w:p w14:paraId="594C09F2">
      <w:pPr>
        <w:pStyle w:val="5"/>
        <w:spacing w:line="500" w:lineRule="exact"/>
        <w:jc w:val="center"/>
        <w:rPr>
          <w:rFonts w:ascii="宋体" w:hAnsi="宋体" w:cs="宋体"/>
          <w:b/>
          <w:bCs w:val="0"/>
          <w:color w:val="auto"/>
          <w:kern w:val="0"/>
          <w:szCs w:val="28"/>
        </w:rPr>
      </w:pPr>
      <w:r>
        <w:rPr>
          <w:rFonts w:hint="eastAsia" w:ascii="宋体" w:hAnsi="宋体" w:cs="宋体"/>
          <w:b/>
          <w:bCs w:val="0"/>
          <w:color w:val="auto"/>
          <w:kern w:val="0"/>
          <w:szCs w:val="28"/>
        </w:rPr>
        <w:t>（二）投标函附录</w:t>
      </w:r>
      <w:bookmarkEnd w:id="666"/>
      <w:bookmarkEnd w:id="667"/>
      <w:bookmarkEnd w:id="668"/>
      <w:bookmarkEnd w:id="669"/>
      <w:bookmarkEnd w:id="670"/>
    </w:p>
    <w:p w14:paraId="4CB3E956">
      <w:pPr>
        <w:spacing w:line="500" w:lineRule="exact"/>
        <w:rPr>
          <w:rFonts w:ascii="宋体" w:hAnsi="宋体" w:cs="宋体"/>
          <w:kern w:val="0"/>
          <w:sz w:val="26"/>
          <w:szCs w:val="26"/>
        </w:rPr>
      </w:pPr>
    </w:p>
    <w:tbl>
      <w:tblPr>
        <w:tblStyle w:val="21"/>
        <w:tblW w:w="9065" w:type="dxa"/>
        <w:tblInd w:w="107" w:type="dxa"/>
        <w:tblLayout w:type="fixed"/>
        <w:tblCellMar>
          <w:top w:w="0" w:type="dxa"/>
          <w:left w:w="0" w:type="dxa"/>
          <w:bottom w:w="0" w:type="dxa"/>
          <w:right w:w="0" w:type="dxa"/>
        </w:tblCellMar>
      </w:tblPr>
      <w:tblGrid>
        <w:gridCol w:w="689"/>
        <w:gridCol w:w="2471"/>
        <w:gridCol w:w="2286"/>
        <w:gridCol w:w="2860"/>
        <w:gridCol w:w="759"/>
      </w:tblGrid>
      <w:tr w14:paraId="5F9398FE">
        <w:tblPrEx>
          <w:tblCellMar>
            <w:top w:w="0" w:type="dxa"/>
            <w:left w:w="0" w:type="dxa"/>
            <w:bottom w:w="0" w:type="dxa"/>
            <w:right w:w="0" w:type="dxa"/>
          </w:tblCellMar>
        </w:tblPrEx>
        <w:trPr>
          <w:trHeight w:val="710" w:hRule="exact"/>
        </w:trPr>
        <w:tc>
          <w:tcPr>
            <w:tcW w:w="689" w:type="dxa"/>
            <w:tcBorders>
              <w:top w:val="single" w:color="000000" w:sz="4" w:space="0"/>
              <w:left w:val="single" w:color="000000" w:sz="4" w:space="0"/>
              <w:bottom w:val="single" w:color="000000" w:sz="4" w:space="0"/>
              <w:right w:val="single" w:color="000000" w:sz="4" w:space="0"/>
            </w:tcBorders>
            <w:vAlign w:val="center"/>
          </w:tcPr>
          <w:p w14:paraId="28C59779">
            <w:pPr>
              <w:spacing w:line="500" w:lineRule="exact"/>
              <w:rPr>
                <w:rFonts w:ascii="宋体" w:hAnsi="宋体" w:cs="宋体"/>
                <w:kern w:val="0"/>
                <w:sz w:val="24"/>
              </w:rPr>
            </w:pPr>
            <w:r>
              <w:rPr>
                <w:rFonts w:hint="eastAsia" w:ascii="宋体" w:hAnsi="宋体" w:cs="宋体"/>
                <w:spacing w:val="1"/>
                <w:kern w:val="0"/>
                <w:szCs w:val="21"/>
              </w:rPr>
              <w:t>序号</w:t>
            </w:r>
          </w:p>
        </w:tc>
        <w:tc>
          <w:tcPr>
            <w:tcW w:w="2471" w:type="dxa"/>
            <w:tcBorders>
              <w:top w:val="single" w:color="000000" w:sz="4" w:space="0"/>
              <w:left w:val="single" w:color="000000" w:sz="4" w:space="0"/>
              <w:bottom w:val="single" w:color="000000" w:sz="4" w:space="0"/>
              <w:right w:val="single" w:color="000000" w:sz="4" w:space="0"/>
            </w:tcBorders>
            <w:vAlign w:val="center"/>
          </w:tcPr>
          <w:p w14:paraId="42E46879">
            <w:pPr>
              <w:spacing w:line="500" w:lineRule="exact"/>
              <w:rPr>
                <w:rFonts w:ascii="宋体" w:hAnsi="宋体" w:cs="宋体"/>
                <w:kern w:val="0"/>
                <w:szCs w:val="21"/>
              </w:rPr>
            </w:pPr>
            <w:r>
              <w:rPr>
                <w:rFonts w:hint="eastAsia" w:ascii="宋体" w:hAnsi="宋体" w:cs="宋体"/>
                <w:spacing w:val="1"/>
                <w:kern w:val="0"/>
                <w:szCs w:val="21"/>
              </w:rPr>
              <w:t>条款名称</w:t>
            </w:r>
          </w:p>
        </w:tc>
        <w:tc>
          <w:tcPr>
            <w:tcW w:w="2286" w:type="dxa"/>
            <w:tcBorders>
              <w:top w:val="single" w:color="000000" w:sz="4" w:space="0"/>
              <w:left w:val="single" w:color="000000" w:sz="4" w:space="0"/>
              <w:bottom w:val="single" w:color="000000" w:sz="4" w:space="0"/>
              <w:right w:val="single" w:color="000000" w:sz="4" w:space="0"/>
            </w:tcBorders>
            <w:vAlign w:val="center"/>
          </w:tcPr>
          <w:p w14:paraId="5744431C">
            <w:pPr>
              <w:spacing w:line="500" w:lineRule="exact"/>
              <w:jc w:val="center"/>
              <w:rPr>
                <w:rFonts w:ascii="宋体" w:hAnsi="宋体" w:cs="宋体"/>
                <w:kern w:val="0"/>
                <w:szCs w:val="21"/>
              </w:rPr>
            </w:pPr>
            <w:r>
              <w:rPr>
                <w:rFonts w:hint="eastAsia" w:ascii="宋体" w:hAnsi="宋体" w:cs="宋体"/>
                <w:spacing w:val="1"/>
                <w:kern w:val="0"/>
                <w:szCs w:val="21"/>
              </w:rPr>
              <w:t>合同条</w:t>
            </w:r>
            <w:r>
              <w:rPr>
                <w:rFonts w:hint="eastAsia" w:ascii="宋体" w:hAnsi="宋体" w:cs="宋体"/>
                <w:kern w:val="0"/>
                <w:szCs w:val="21"/>
              </w:rPr>
              <w:t>款</w:t>
            </w:r>
            <w:r>
              <w:rPr>
                <w:rFonts w:hint="eastAsia" w:ascii="宋体" w:hAnsi="宋体" w:cs="宋体"/>
                <w:spacing w:val="1"/>
                <w:kern w:val="0"/>
                <w:szCs w:val="21"/>
              </w:rPr>
              <w:t>号</w:t>
            </w:r>
          </w:p>
        </w:tc>
        <w:tc>
          <w:tcPr>
            <w:tcW w:w="2860" w:type="dxa"/>
            <w:tcBorders>
              <w:top w:val="single" w:color="000000" w:sz="4" w:space="0"/>
              <w:left w:val="single" w:color="000000" w:sz="4" w:space="0"/>
              <w:bottom w:val="single" w:color="000000" w:sz="4" w:space="0"/>
              <w:right w:val="single" w:color="000000" w:sz="4" w:space="0"/>
            </w:tcBorders>
            <w:vAlign w:val="center"/>
          </w:tcPr>
          <w:p w14:paraId="33042E48">
            <w:pPr>
              <w:spacing w:line="500" w:lineRule="exact"/>
              <w:rPr>
                <w:rFonts w:ascii="宋体" w:hAnsi="宋体" w:cs="宋体"/>
                <w:kern w:val="0"/>
                <w:szCs w:val="21"/>
              </w:rPr>
            </w:pPr>
            <w:r>
              <w:rPr>
                <w:rFonts w:hint="eastAsia" w:ascii="宋体" w:hAnsi="宋体" w:cs="宋体"/>
                <w:spacing w:val="1"/>
                <w:kern w:val="0"/>
                <w:szCs w:val="21"/>
              </w:rPr>
              <w:t>约定内容</w:t>
            </w:r>
          </w:p>
        </w:tc>
        <w:tc>
          <w:tcPr>
            <w:tcW w:w="759" w:type="dxa"/>
            <w:tcBorders>
              <w:top w:val="single" w:color="000000" w:sz="4" w:space="0"/>
              <w:left w:val="single" w:color="000000" w:sz="4" w:space="0"/>
              <w:bottom w:val="single" w:color="000000" w:sz="4" w:space="0"/>
              <w:right w:val="single" w:color="000000" w:sz="4" w:space="0"/>
            </w:tcBorders>
            <w:vAlign w:val="center"/>
          </w:tcPr>
          <w:p w14:paraId="27D43CAE">
            <w:pPr>
              <w:spacing w:line="500" w:lineRule="exact"/>
              <w:rPr>
                <w:rFonts w:ascii="宋体" w:hAnsi="宋体" w:cs="宋体"/>
                <w:kern w:val="0"/>
                <w:sz w:val="24"/>
              </w:rPr>
            </w:pPr>
            <w:r>
              <w:rPr>
                <w:rFonts w:hint="eastAsia" w:ascii="宋体" w:hAnsi="宋体" w:cs="宋体"/>
                <w:spacing w:val="1"/>
                <w:kern w:val="0"/>
                <w:szCs w:val="21"/>
              </w:rPr>
              <w:t>备注</w:t>
            </w:r>
          </w:p>
        </w:tc>
      </w:tr>
      <w:tr w14:paraId="25471E71">
        <w:tblPrEx>
          <w:tblCellMar>
            <w:top w:w="0" w:type="dxa"/>
            <w:left w:w="0" w:type="dxa"/>
            <w:bottom w:w="0" w:type="dxa"/>
            <w:right w:w="0" w:type="dxa"/>
          </w:tblCellMar>
        </w:tblPrEx>
        <w:trPr>
          <w:trHeight w:val="710" w:hRule="exact"/>
        </w:trPr>
        <w:tc>
          <w:tcPr>
            <w:tcW w:w="689" w:type="dxa"/>
            <w:tcBorders>
              <w:top w:val="single" w:color="000000" w:sz="4" w:space="0"/>
              <w:left w:val="single" w:color="000000" w:sz="4" w:space="0"/>
              <w:bottom w:val="single" w:color="000000" w:sz="4" w:space="0"/>
              <w:right w:val="single" w:color="000000" w:sz="4" w:space="0"/>
            </w:tcBorders>
            <w:vAlign w:val="center"/>
          </w:tcPr>
          <w:p w14:paraId="296E0AFE">
            <w:pPr>
              <w:spacing w:line="500" w:lineRule="exact"/>
              <w:jc w:val="center"/>
              <w:rPr>
                <w:rFonts w:ascii="宋体" w:hAnsi="宋体" w:cs="宋体"/>
                <w:kern w:val="0"/>
                <w:sz w:val="24"/>
              </w:rPr>
            </w:pPr>
            <w:r>
              <w:rPr>
                <w:rFonts w:hint="eastAsia" w:ascii="宋体" w:hAnsi="宋体" w:cs="宋体"/>
                <w:spacing w:val="1"/>
                <w:kern w:val="0"/>
                <w:szCs w:val="21"/>
              </w:rPr>
              <w:t>1</w:t>
            </w:r>
          </w:p>
        </w:tc>
        <w:tc>
          <w:tcPr>
            <w:tcW w:w="2471" w:type="dxa"/>
            <w:tcBorders>
              <w:top w:val="single" w:color="000000" w:sz="4" w:space="0"/>
              <w:left w:val="single" w:color="000000" w:sz="4" w:space="0"/>
              <w:bottom w:val="single" w:color="000000" w:sz="4" w:space="0"/>
              <w:right w:val="single" w:color="000000" w:sz="4" w:space="0"/>
            </w:tcBorders>
            <w:vAlign w:val="center"/>
          </w:tcPr>
          <w:p w14:paraId="04A2DA57">
            <w:pPr>
              <w:spacing w:line="500" w:lineRule="exact"/>
              <w:rPr>
                <w:rFonts w:ascii="宋体" w:hAnsi="宋体" w:cs="宋体"/>
                <w:kern w:val="0"/>
                <w:szCs w:val="21"/>
              </w:rPr>
            </w:pPr>
            <w:r>
              <w:rPr>
                <w:rFonts w:hint="eastAsia" w:ascii="宋体" w:hAnsi="宋体" w:cs="宋体"/>
                <w:kern w:val="0"/>
                <w:szCs w:val="21"/>
              </w:rPr>
              <w:t>项目经理</w:t>
            </w:r>
          </w:p>
        </w:tc>
        <w:tc>
          <w:tcPr>
            <w:tcW w:w="2286" w:type="dxa"/>
            <w:tcBorders>
              <w:top w:val="single" w:color="000000" w:sz="4" w:space="0"/>
              <w:left w:val="single" w:color="000000" w:sz="4" w:space="0"/>
              <w:bottom w:val="single" w:color="000000" w:sz="4" w:space="0"/>
              <w:right w:val="single" w:color="000000" w:sz="4" w:space="0"/>
            </w:tcBorders>
            <w:vAlign w:val="center"/>
          </w:tcPr>
          <w:p w14:paraId="5FE1932A">
            <w:pPr>
              <w:spacing w:line="500" w:lineRule="exact"/>
              <w:jc w:val="center"/>
              <w:rPr>
                <w:rFonts w:ascii="宋体" w:hAnsi="宋体" w:cs="宋体"/>
                <w:kern w:val="0"/>
                <w:szCs w:val="21"/>
              </w:rPr>
            </w:pPr>
            <w:r>
              <w:rPr>
                <w:rFonts w:hint="eastAsia" w:ascii="宋体" w:hAnsi="宋体" w:cs="宋体"/>
                <w:kern w:val="0"/>
                <w:szCs w:val="21"/>
              </w:rPr>
              <w:t>专用合同条款3.2.1</w:t>
            </w:r>
          </w:p>
        </w:tc>
        <w:tc>
          <w:tcPr>
            <w:tcW w:w="2860" w:type="dxa"/>
            <w:tcBorders>
              <w:top w:val="single" w:color="000000" w:sz="4" w:space="0"/>
              <w:left w:val="single" w:color="000000" w:sz="4" w:space="0"/>
              <w:bottom w:val="single" w:color="000000" w:sz="4" w:space="0"/>
              <w:right w:val="single" w:color="000000" w:sz="4" w:space="0"/>
            </w:tcBorders>
            <w:vAlign w:val="center"/>
          </w:tcPr>
          <w:p w14:paraId="3E6E36DD">
            <w:pPr>
              <w:spacing w:line="500" w:lineRule="exact"/>
              <w:rPr>
                <w:rFonts w:ascii="宋体" w:hAnsi="宋体" w:cs="宋体"/>
                <w:kern w:val="0"/>
                <w:szCs w:val="21"/>
              </w:rPr>
            </w:pPr>
            <w:r>
              <w:rPr>
                <w:rFonts w:hint="eastAsia" w:ascii="宋体" w:hAnsi="宋体" w:cs="宋体"/>
                <w:kern w:val="0"/>
                <w:szCs w:val="21"/>
              </w:rPr>
              <w:t>姓名：</w:t>
            </w:r>
            <w:r>
              <w:rPr>
                <w:rFonts w:hint="eastAsia" w:ascii="宋体" w:hAnsi="宋体" w:cs="宋体"/>
                <w:w w:val="200"/>
                <w:kern w:val="0"/>
                <w:szCs w:val="21"/>
                <w:u w:val="single"/>
              </w:rPr>
              <w:t xml:space="preserve"> </w:t>
            </w:r>
            <w:r>
              <w:rPr>
                <w:rFonts w:hint="eastAsia" w:ascii="宋体" w:hAnsi="宋体" w:cs="宋体"/>
                <w:kern w:val="0"/>
                <w:szCs w:val="21"/>
                <w:u w:val="single"/>
              </w:rPr>
              <w:tab/>
            </w:r>
          </w:p>
        </w:tc>
        <w:tc>
          <w:tcPr>
            <w:tcW w:w="759" w:type="dxa"/>
            <w:tcBorders>
              <w:top w:val="single" w:color="000000" w:sz="4" w:space="0"/>
              <w:left w:val="single" w:color="000000" w:sz="4" w:space="0"/>
              <w:bottom w:val="single" w:color="000000" w:sz="4" w:space="0"/>
              <w:right w:val="single" w:color="000000" w:sz="4" w:space="0"/>
            </w:tcBorders>
            <w:vAlign w:val="center"/>
          </w:tcPr>
          <w:p w14:paraId="1B90C6D7">
            <w:pPr>
              <w:spacing w:line="500" w:lineRule="exact"/>
              <w:rPr>
                <w:rFonts w:ascii="宋体" w:hAnsi="宋体" w:cs="宋体"/>
                <w:kern w:val="0"/>
                <w:sz w:val="24"/>
              </w:rPr>
            </w:pPr>
          </w:p>
        </w:tc>
      </w:tr>
      <w:tr w14:paraId="070F2738">
        <w:tblPrEx>
          <w:tblCellMar>
            <w:top w:w="0" w:type="dxa"/>
            <w:left w:w="0" w:type="dxa"/>
            <w:bottom w:w="0" w:type="dxa"/>
            <w:right w:w="0" w:type="dxa"/>
          </w:tblCellMar>
        </w:tblPrEx>
        <w:trPr>
          <w:trHeight w:val="710" w:hRule="exact"/>
        </w:trPr>
        <w:tc>
          <w:tcPr>
            <w:tcW w:w="689" w:type="dxa"/>
            <w:tcBorders>
              <w:top w:val="single" w:color="000000" w:sz="4" w:space="0"/>
              <w:left w:val="single" w:color="000000" w:sz="4" w:space="0"/>
              <w:bottom w:val="single" w:color="000000" w:sz="4" w:space="0"/>
              <w:right w:val="single" w:color="000000" w:sz="4" w:space="0"/>
            </w:tcBorders>
            <w:vAlign w:val="center"/>
          </w:tcPr>
          <w:p w14:paraId="2BB5786D">
            <w:pPr>
              <w:spacing w:line="500" w:lineRule="exact"/>
              <w:jc w:val="center"/>
              <w:rPr>
                <w:rFonts w:ascii="宋体" w:hAnsi="宋体" w:cs="宋体"/>
                <w:kern w:val="0"/>
                <w:sz w:val="24"/>
              </w:rPr>
            </w:pPr>
            <w:r>
              <w:rPr>
                <w:rFonts w:hint="eastAsia" w:ascii="宋体" w:hAnsi="宋体" w:cs="宋体"/>
                <w:spacing w:val="1"/>
                <w:kern w:val="0"/>
                <w:szCs w:val="21"/>
              </w:rPr>
              <w:t>2</w:t>
            </w:r>
          </w:p>
        </w:tc>
        <w:tc>
          <w:tcPr>
            <w:tcW w:w="2471" w:type="dxa"/>
            <w:tcBorders>
              <w:top w:val="single" w:color="000000" w:sz="4" w:space="0"/>
              <w:left w:val="single" w:color="000000" w:sz="4" w:space="0"/>
              <w:bottom w:val="single" w:color="000000" w:sz="4" w:space="0"/>
              <w:right w:val="single" w:color="000000" w:sz="4" w:space="0"/>
            </w:tcBorders>
            <w:vAlign w:val="center"/>
          </w:tcPr>
          <w:p w14:paraId="7969E70F">
            <w:pPr>
              <w:spacing w:line="500" w:lineRule="exact"/>
              <w:rPr>
                <w:rFonts w:ascii="宋体" w:hAnsi="宋体" w:cs="宋体"/>
                <w:kern w:val="0"/>
                <w:szCs w:val="21"/>
              </w:rPr>
            </w:pPr>
            <w:r>
              <w:rPr>
                <w:rFonts w:hint="eastAsia" w:ascii="宋体" w:hAnsi="宋体" w:cs="宋体"/>
                <w:kern w:val="0"/>
                <w:szCs w:val="21"/>
              </w:rPr>
              <w:t>工期</w:t>
            </w:r>
          </w:p>
        </w:tc>
        <w:tc>
          <w:tcPr>
            <w:tcW w:w="2286" w:type="dxa"/>
            <w:tcBorders>
              <w:top w:val="single" w:color="000000" w:sz="4" w:space="0"/>
              <w:left w:val="single" w:color="000000" w:sz="4" w:space="0"/>
              <w:bottom w:val="single" w:color="000000" w:sz="4" w:space="0"/>
              <w:right w:val="single" w:color="000000" w:sz="4" w:space="0"/>
            </w:tcBorders>
            <w:vAlign w:val="center"/>
          </w:tcPr>
          <w:p w14:paraId="67A792FC">
            <w:pPr>
              <w:spacing w:line="500" w:lineRule="exact"/>
              <w:jc w:val="center"/>
              <w:rPr>
                <w:rFonts w:ascii="宋体" w:hAnsi="宋体" w:cs="宋体"/>
                <w:kern w:val="0"/>
                <w:szCs w:val="21"/>
              </w:rPr>
            </w:pPr>
            <w:r>
              <w:rPr>
                <w:rFonts w:hint="eastAsia" w:ascii="宋体" w:hAnsi="宋体" w:cs="宋体"/>
                <w:spacing w:val="1"/>
                <w:kern w:val="0"/>
                <w:szCs w:val="21"/>
              </w:rPr>
              <w:t>协议书二</w:t>
            </w:r>
          </w:p>
        </w:tc>
        <w:tc>
          <w:tcPr>
            <w:tcW w:w="2860" w:type="dxa"/>
            <w:tcBorders>
              <w:top w:val="single" w:color="000000" w:sz="4" w:space="0"/>
              <w:left w:val="single" w:color="000000" w:sz="4" w:space="0"/>
              <w:bottom w:val="single" w:color="000000" w:sz="4" w:space="0"/>
              <w:right w:val="single" w:color="000000" w:sz="4" w:space="0"/>
            </w:tcBorders>
            <w:vAlign w:val="center"/>
          </w:tcPr>
          <w:p w14:paraId="5D2FC318">
            <w:pPr>
              <w:spacing w:line="500" w:lineRule="exact"/>
              <w:rPr>
                <w:rFonts w:ascii="宋体" w:hAnsi="宋体" w:cs="宋体"/>
                <w:kern w:val="0"/>
                <w:szCs w:val="21"/>
              </w:rPr>
            </w:pPr>
            <w:r>
              <w:rPr>
                <w:rFonts w:hint="eastAsia" w:ascii="宋体" w:hAnsi="宋体" w:cs="宋体"/>
                <w:kern w:val="0"/>
                <w:szCs w:val="21"/>
              </w:rPr>
              <w:t>天数：</w:t>
            </w:r>
            <w:r>
              <w:rPr>
                <w:rFonts w:hint="eastAsia" w:ascii="宋体" w:hAnsi="宋体" w:cs="宋体"/>
                <w:w w:val="200"/>
                <w:kern w:val="0"/>
                <w:szCs w:val="21"/>
                <w:u w:val="single"/>
              </w:rPr>
              <w:t xml:space="preserve"> </w:t>
            </w:r>
            <w:r>
              <w:rPr>
                <w:rFonts w:hint="eastAsia" w:ascii="宋体" w:hAnsi="宋体" w:cs="宋体"/>
                <w:kern w:val="0"/>
                <w:szCs w:val="21"/>
                <w:u w:val="single"/>
              </w:rPr>
              <w:tab/>
            </w:r>
            <w:r>
              <w:rPr>
                <w:rFonts w:hint="eastAsia" w:ascii="宋体" w:hAnsi="宋体" w:cs="宋体"/>
                <w:kern w:val="0"/>
                <w:szCs w:val="21"/>
              </w:rPr>
              <w:t>日历天</w:t>
            </w:r>
          </w:p>
        </w:tc>
        <w:tc>
          <w:tcPr>
            <w:tcW w:w="759" w:type="dxa"/>
            <w:tcBorders>
              <w:top w:val="single" w:color="000000" w:sz="4" w:space="0"/>
              <w:left w:val="single" w:color="000000" w:sz="4" w:space="0"/>
              <w:bottom w:val="single" w:color="000000" w:sz="4" w:space="0"/>
              <w:right w:val="single" w:color="000000" w:sz="4" w:space="0"/>
            </w:tcBorders>
            <w:vAlign w:val="center"/>
          </w:tcPr>
          <w:p w14:paraId="256BBA99">
            <w:pPr>
              <w:spacing w:line="500" w:lineRule="exact"/>
              <w:rPr>
                <w:rFonts w:ascii="宋体" w:hAnsi="宋体" w:cs="宋体"/>
                <w:kern w:val="0"/>
                <w:sz w:val="24"/>
              </w:rPr>
            </w:pPr>
          </w:p>
        </w:tc>
      </w:tr>
      <w:tr w14:paraId="56925F72">
        <w:tblPrEx>
          <w:tblCellMar>
            <w:top w:w="0" w:type="dxa"/>
            <w:left w:w="0" w:type="dxa"/>
            <w:bottom w:w="0" w:type="dxa"/>
            <w:right w:w="0" w:type="dxa"/>
          </w:tblCellMar>
        </w:tblPrEx>
        <w:trPr>
          <w:trHeight w:val="710" w:hRule="exact"/>
        </w:trPr>
        <w:tc>
          <w:tcPr>
            <w:tcW w:w="689" w:type="dxa"/>
            <w:tcBorders>
              <w:top w:val="single" w:color="000000" w:sz="4" w:space="0"/>
              <w:left w:val="single" w:color="000000" w:sz="4" w:space="0"/>
              <w:bottom w:val="single" w:color="000000" w:sz="4" w:space="0"/>
              <w:right w:val="single" w:color="000000" w:sz="4" w:space="0"/>
            </w:tcBorders>
            <w:vAlign w:val="center"/>
          </w:tcPr>
          <w:p w14:paraId="1B1A258E">
            <w:pPr>
              <w:spacing w:line="500" w:lineRule="exact"/>
              <w:jc w:val="center"/>
              <w:rPr>
                <w:rFonts w:ascii="宋体" w:hAnsi="宋体" w:cs="宋体"/>
                <w:spacing w:val="1"/>
                <w:kern w:val="0"/>
                <w:szCs w:val="21"/>
              </w:rPr>
            </w:pPr>
            <w:r>
              <w:rPr>
                <w:rFonts w:hint="eastAsia" w:ascii="宋体" w:hAnsi="宋体" w:cs="宋体"/>
              </w:rPr>
              <w:t>4</w:t>
            </w:r>
          </w:p>
        </w:tc>
        <w:tc>
          <w:tcPr>
            <w:tcW w:w="2471" w:type="dxa"/>
            <w:tcBorders>
              <w:top w:val="single" w:color="000000" w:sz="4" w:space="0"/>
              <w:left w:val="single" w:color="000000" w:sz="4" w:space="0"/>
              <w:bottom w:val="single" w:color="000000" w:sz="4" w:space="0"/>
              <w:right w:val="single" w:color="000000" w:sz="4" w:space="0"/>
            </w:tcBorders>
            <w:vAlign w:val="center"/>
          </w:tcPr>
          <w:p w14:paraId="42500840">
            <w:pPr>
              <w:spacing w:line="500" w:lineRule="exact"/>
              <w:rPr>
                <w:rFonts w:ascii="宋体" w:hAnsi="宋体" w:cs="宋体"/>
                <w:kern w:val="0"/>
                <w:szCs w:val="21"/>
              </w:rPr>
            </w:pPr>
            <w:r>
              <w:rPr>
                <w:rFonts w:hint="eastAsia" w:ascii="宋体" w:hAnsi="宋体" w:cs="宋体"/>
                <w:szCs w:val="21"/>
              </w:rPr>
              <w:t>质量保证金额度</w:t>
            </w:r>
          </w:p>
        </w:tc>
        <w:tc>
          <w:tcPr>
            <w:tcW w:w="2286" w:type="dxa"/>
            <w:tcBorders>
              <w:top w:val="single" w:color="000000" w:sz="4" w:space="0"/>
              <w:left w:val="single" w:color="000000" w:sz="4" w:space="0"/>
              <w:bottom w:val="single" w:color="000000" w:sz="4" w:space="0"/>
              <w:right w:val="single" w:color="000000" w:sz="4" w:space="0"/>
            </w:tcBorders>
            <w:vAlign w:val="center"/>
          </w:tcPr>
          <w:p w14:paraId="1ABA8080">
            <w:pPr>
              <w:spacing w:line="500" w:lineRule="exact"/>
              <w:jc w:val="center"/>
              <w:rPr>
                <w:rFonts w:ascii="宋体" w:hAnsi="宋体" w:cs="宋体"/>
                <w:spacing w:val="1"/>
                <w:kern w:val="0"/>
                <w:szCs w:val="21"/>
              </w:rPr>
            </w:pPr>
            <w:r>
              <w:rPr>
                <w:rFonts w:hint="eastAsia" w:ascii="宋体" w:hAnsi="宋体" w:cs="宋体"/>
                <w:szCs w:val="21"/>
              </w:rPr>
              <w:t>结算价的</w:t>
            </w:r>
            <w:r>
              <w:rPr>
                <w:rFonts w:hint="eastAsia" w:ascii="宋体" w:hAnsi="宋体" w:cs="宋体"/>
                <w:szCs w:val="21"/>
                <w:u w:val="single"/>
              </w:rPr>
              <w:t xml:space="preserve">  3   </w:t>
            </w:r>
            <w:r>
              <w:rPr>
                <w:rFonts w:hint="eastAsia" w:ascii="宋体" w:hAnsi="宋体" w:cs="宋体"/>
                <w:szCs w:val="21"/>
              </w:rPr>
              <w:t>%</w:t>
            </w:r>
          </w:p>
        </w:tc>
        <w:tc>
          <w:tcPr>
            <w:tcW w:w="2860" w:type="dxa"/>
            <w:tcBorders>
              <w:top w:val="single" w:color="000000" w:sz="4" w:space="0"/>
              <w:left w:val="single" w:color="000000" w:sz="4" w:space="0"/>
              <w:bottom w:val="single" w:color="000000" w:sz="4" w:space="0"/>
              <w:right w:val="single" w:color="000000" w:sz="4" w:space="0"/>
            </w:tcBorders>
            <w:vAlign w:val="center"/>
          </w:tcPr>
          <w:p w14:paraId="651A3BC3">
            <w:pPr>
              <w:spacing w:line="500" w:lineRule="exact"/>
              <w:rPr>
                <w:rFonts w:ascii="宋体" w:hAnsi="宋体" w:cs="宋体"/>
                <w:kern w:val="0"/>
                <w:szCs w:val="21"/>
              </w:rPr>
            </w:pPr>
          </w:p>
        </w:tc>
        <w:tc>
          <w:tcPr>
            <w:tcW w:w="759" w:type="dxa"/>
            <w:tcBorders>
              <w:top w:val="single" w:color="000000" w:sz="4" w:space="0"/>
              <w:left w:val="single" w:color="000000" w:sz="4" w:space="0"/>
              <w:bottom w:val="single" w:color="000000" w:sz="4" w:space="0"/>
              <w:right w:val="single" w:color="000000" w:sz="4" w:space="0"/>
            </w:tcBorders>
            <w:vAlign w:val="center"/>
          </w:tcPr>
          <w:p w14:paraId="4311F303">
            <w:pPr>
              <w:spacing w:line="500" w:lineRule="exact"/>
              <w:rPr>
                <w:rFonts w:ascii="宋体" w:hAnsi="宋体" w:cs="宋体"/>
                <w:kern w:val="0"/>
                <w:sz w:val="24"/>
              </w:rPr>
            </w:pPr>
          </w:p>
        </w:tc>
      </w:tr>
      <w:tr w14:paraId="393C0872">
        <w:tblPrEx>
          <w:tblCellMar>
            <w:top w:w="0" w:type="dxa"/>
            <w:left w:w="0" w:type="dxa"/>
            <w:bottom w:w="0" w:type="dxa"/>
            <w:right w:w="0" w:type="dxa"/>
          </w:tblCellMar>
        </w:tblPrEx>
        <w:trPr>
          <w:trHeight w:val="710" w:hRule="exact"/>
        </w:trPr>
        <w:tc>
          <w:tcPr>
            <w:tcW w:w="689" w:type="dxa"/>
            <w:tcBorders>
              <w:top w:val="single" w:color="000000" w:sz="4" w:space="0"/>
              <w:left w:val="single" w:color="000000" w:sz="4" w:space="0"/>
              <w:bottom w:val="single" w:color="000000" w:sz="4" w:space="0"/>
              <w:right w:val="single" w:color="000000" w:sz="4" w:space="0"/>
            </w:tcBorders>
            <w:vAlign w:val="center"/>
          </w:tcPr>
          <w:p w14:paraId="46B9F58C">
            <w:pPr>
              <w:spacing w:line="500" w:lineRule="exact"/>
              <w:jc w:val="center"/>
              <w:rPr>
                <w:rFonts w:ascii="宋体" w:hAnsi="宋体" w:cs="宋体"/>
                <w:spacing w:val="1"/>
                <w:kern w:val="0"/>
                <w:szCs w:val="21"/>
              </w:rPr>
            </w:pPr>
            <w:r>
              <w:rPr>
                <w:rFonts w:hint="eastAsia" w:ascii="宋体" w:hAnsi="宋体" w:cs="宋体"/>
              </w:rPr>
              <w:t>5</w:t>
            </w:r>
          </w:p>
        </w:tc>
        <w:tc>
          <w:tcPr>
            <w:tcW w:w="2471" w:type="dxa"/>
            <w:tcBorders>
              <w:top w:val="single" w:color="000000" w:sz="4" w:space="0"/>
              <w:left w:val="single" w:color="000000" w:sz="4" w:space="0"/>
              <w:bottom w:val="single" w:color="000000" w:sz="4" w:space="0"/>
              <w:right w:val="single" w:color="000000" w:sz="4" w:space="0"/>
            </w:tcBorders>
            <w:vAlign w:val="center"/>
          </w:tcPr>
          <w:p w14:paraId="31A9173E">
            <w:pPr>
              <w:spacing w:line="500" w:lineRule="exact"/>
              <w:rPr>
                <w:rFonts w:ascii="宋体" w:hAnsi="宋体" w:cs="宋体"/>
                <w:kern w:val="0"/>
                <w:szCs w:val="21"/>
              </w:rPr>
            </w:pPr>
            <w:r>
              <w:rPr>
                <w:rFonts w:hint="eastAsia" w:ascii="宋体" w:hAnsi="宋体" w:cs="宋体"/>
              </w:rPr>
              <w:t>质量标准</w:t>
            </w:r>
          </w:p>
        </w:tc>
        <w:tc>
          <w:tcPr>
            <w:tcW w:w="2286" w:type="dxa"/>
            <w:tcBorders>
              <w:top w:val="single" w:color="000000" w:sz="4" w:space="0"/>
              <w:left w:val="single" w:color="000000" w:sz="4" w:space="0"/>
              <w:bottom w:val="single" w:color="000000" w:sz="4" w:space="0"/>
              <w:right w:val="single" w:color="000000" w:sz="4" w:space="0"/>
            </w:tcBorders>
            <w:vAlign w:val="center"/>
          </w:tcPr>
          <w:p w14:paraId="18588C2F">
            <w:pPr>
              <w:spacing w:line="500" w:lineRule="exact"/>
              <w:jc w:val="center"/>
              <w:rPr>
                <w:rFonts w:ascii="宋体" w:hAnsi="宋体" w:cs="宋体"/>
                <w:spacing w:val="1"/>
                <w:kern w:val="0"/>
                <w:szCs w:val="21"/>
              </w:rPr>
            </w:pPr>
          </w:p>
        </w:tc>
        <w:tc>
          <w:tcPr>
            <w:tcW w:w="2860" w:type="dxa"/>
            <w:tcBorders>
              <w:top w:val="single" w:color="000000" w:sz="4" w:space="0"/>
              <w:left w:val="single" w:color="000000" w:sz="4" w:space="0"/>
              <w:bottom w:val="single" w:color="000000" w:sz="4" w:space="0"/>
              <w:right w:val="single" w:color="000000" w:sz="4" w:space="0"/>
            </w:tcBorders>
            <w:vAlign w:val="center"/>
          </w:tcPr>
          <w:p w14:paraId="285E1D5F">
            <w:pPr>
              <w:spacing w:line="500" w:lineRule="exact"/>
              <w:rPr>
                <w:rFonts w:ascii="宋体" w:hAnsi="宋体" w:cs="宋体"/>
                <w:kern w:val="0"/>
                <w:szCs w:val="21"/>
              </w:rPr>
            </w:pPr>
          </w:p>
        </w:tc>
        <w:tc>
          <w:tcPr>
            <w:tcW w:w="759" w:type="dxa"/>
            <w:tcBorders>
              <w:top w:val="single" w:color="000000" w:sz="4" w:space="0"/>
              <w:left w:val="single" w:color="000000" w:sz="4" w:space="0"/>
              <w:bottom w:val="single" w:color="000000" w:sz="4" w:space="0"/>
              <w:right w:val="single" w:color="000000" w:sz="4" w:space="0"/>
            </w:tcBorders>
            <w:vAlign w:val="center"/>
          </w:tcPr>
          <w:p w14:paraId="0E03E99D">
            <w:pPr>
              <w:spacing w:line="500" w:lineRule="exact"/>
              <w:rPr>
                <w:rFonts w:ascii="宋体" w:hAnsi="宋体" w:cs="宋体"/>
                <w:kern w:val="0"/>
                <w:sz w:val="24"/>
              </w:rPr>
            </w:pPr>
          </w:p>
        </w:tc>
      </w:tr>
      <w:tr w14:paraId="17E3C2A4">
        <w:tblPrEx>
          <w:tblCellMar>
            <w:top w:w="0" w:type="dxa"/>
            <w:left w:w="0" w:type="dxa"/>
            <w:bottom w:w="0" w:type="dxa"/>
            <w:right w:w="0" w:type="dxa"/>
          </w:tblCellMar>
        </w:tblPrEx>
        <w:trPr>
          <w:trHeight w:val="710" w:hRule="exact"/>
        </w:trPr>
        <w:tc>
          <w:tcPr>
            <w:tcW w:w="689" w:type="dxa"/>
            <w:tcBorders>
              <w:top w:val="single" w:color="000000" w:sz="4" w:space="0"/>
              <w:left w:val="single" w:color="000000" w:sz="4" w:space="0"/>
              <w:bottom w:val="single" w:color="000000" w:sz="4" w:space="0"/>
              <w:right w:val="single" w:color="000000" w:sz="4" w:space="0"/>
            </w:tcBorders>
            <w:vAlign w:val="center"/>
          </w:tcPr>
          <w:p w14:paraId="0FC4AFB1">
            <w:pPr>
              <w:spacing w:line="500" w:lineRule="exact"/>
              <w:jc w:val="center"/>
              <w:rPr>
                <w:rFonts w:ascii="宋体" w:hAnsi="宋体" w:cs="宋体"/>
                <w:kern w:val="0"/>
                <w:sz w:val="24"/>
              </w:rPr>
            </w:pPr>
            <w:r>
              <w:rPr>
                <w:rFonts w:hint="eastAsia" w:ascii="宋体" w:hAnsi="宋体" w:cs="宋体"/>
              </w:rPr>
              <w:t>……</w:t>
            </w:r>
          </w:p>
        </w:tc>
        <w:tc>
          <w:tcPr>
            <w:tcW w:w="2471" w:type="dxa"/>
            <w:tcBorders>
              <w:top w:val="single" w:color="000000" w:sz="4" w:space="0"/>
              <w:left w:val="single" w:color="000000" w:sz="4" w:space="0"/>
              <w:bottom w:val="single" w:color="000000" w:sz="4" w:space="0"/>
              <w:right w:val="single" w:color="000000" w:sz="4" w:space="0"/>
            </w:tcBorders>
            <w:vAlign w:val="center"/>
          </w:tcPr>
          <w:p w14:paraId="43F580DF">
            <w:pPr>
              <w:spacing w:line="500" w:lineRule="exact"/>
              <w:rPr>
                <w:rFonts w:ascii="宋体" w:hAnsi="宋体" w:cs="宋体"/>
                <w:kern w:val="0"/>
                <w:szCs w:val="21"/>
              </w:rPr>
            </w:pPr>
          </w:p>
        </w:tc>
        <w:tc>
          <w:tcPr>
            <w:tcW w:w="2286" w:type="dxa"/>
            <w:tcBorders>
              <w:top w:val="single" w:color="000000" w:sz="4" w:space="0"/>
              <w:left w:val="single" w:color="000000" w:sz="4" w:space="0"/>
              <w:bottom w:val="single" w:color="000000" w:sz="4" w:space="0"/>
              <w:right w:val="single" w:color="000000" w:sz="4" w:space="0"/>
            </w:tcBorders>
            <w:vAlign w:val="center"/>
          </w:tcPr>
          <w:p w14:paraId="078DD20C">
            <w:pPr>
              <w:spacing w:line="500" w:lineRule="exact"/>
              <w:jc w:val="center"/>
              <w:rPr>
                <w:rFonts w:ascii="宋体" w:hAnsi="宋体" w:cs="宋体"/>
                <w:kern w:val="0"/>
                <w:szCs w:val="21"/>
              </w:rPr>
            </w:pPr>
          </w:p>
        </w:tc>
        <w:tc>
          <w:tcPr>
            <w:tcW w:w="2860" w:type="dxa"/>
            <w:tcBorders>
              <w:top w:val="single" w:color="000000" w:sz="4" w:space="0"/>
              <w:left w:val="single" w:color="000000" w:sz="4" w:space="0"/>
              <w:bottom w:val="single" w:color="000000" w:sz="4" w:space="0"/>
              <w:right w:val="single" w:color="000000" w:sz="4" w:space="0"/>
            </w:tcBorders>
            <w:vAlign w:val="center"/>
          </w:tcPr>
          <w:p w14:paraId="7E39D5F4">
            <w:pPr>
              <w:spacing w:line="500" w:lineRule="exact"/>
              <w:jc w:val="center"/>
              <w:rPr>
                <w:rFonts w:ascii="宋体" w:hAnsi="宋体" w:cs="宋体"/>
                <w:kern w:val="0"/>
                <w:szCs w:val="21"/>
              </w:rPr>
            </w:pPr>
          </w:p>
        </w:tc>
        <w:tc>
          <w:tcPr>
            <w:tcW w:w="759" w:type="dxa"/>
            <w:tcBorders>
              <w:top w:val="single" w:color="000000" w:sz="4" w:space="0"/>
              <w:left w:val="single" w:color="000000" w:sz="4" w:space="0"/>
              <w:bottom w:val="single" w:color="000000" w:sz="4" w:space="0"/>
              <w:right w:val="single" w:color="000000" w:sz="4" w:space="0"/>
            </w:tcBorders>
            <w:vAlign w:val="center"/>
          </w:tcPr>
          <w:p w14:paraId="01EB0650">
            <w:pPr>
              <w:spacing w:line="500" w:lineRule="exact"/>
              <w:rPr>
                <w:rFonts w:ascii="宋体" w:hAnsi="宋体" w:cs="宋体"/>
                <w:kern w:val="0"/>
                <w:sz w:val="24"/>
              </w:rPr>
            </w:pPr>
          </w:p>
        </w:tc>
      </w:tr>
      <w:tr w14:paraId="21296B06">
        <w:tblPrEx>
          <w:tblCellMar>
            <w:top w:w="0" w:type="dxa"/>
            <w:left w:w="0" w:type="dxa"/>
            <w:bottom w:w="0" w:type="dxa"/>
            <w:right w:w="0" w:type="dxa"/>
          </w:tblCellMar>
        </w:tblPrEx>
        <w:trPr>
          <w:trHeight w:val="1087" w:hRule="exact"/>
        </w:trPr>
        <w:tc>
          <w:tcPr>
            <w:tcW w:w="9065" w:type="dxa"/>
            <w:gridSpan w:val="5"/>
            <w:tcBorders>
              <w:top w:val="single" w:color="000000" w:sz="4" w:space="0"/>
              <w:left w:val="single" w:color="000000" w:sz="4" w:space="0"/>
              <w:bottom w:val="single" w:color="000000" w:sz="4" w:space="0"/>
              <w:right w:val="single" w:color="000000" w:sz="4" w:space="0"/>
            </w:tcBorders>
            <w:vAlign w:val="center"/>
          </w:tcPr>
          <w:p w14:paraId="65E6EC6C">
            <w:pPr>
              <w:spacing w:line="500" w:lineRule="exact"/>
              <w:jc w:val="left"/>
            </w:pPr>
            <w:r>
              <w:rPr>
                <w:rFonts w:hint="eastAsia" w:ascii="宋体" w:hAnsi="宋体" w:cs="宋体"/>
              </w:rPr>
              <w:t>备注：投标人在响应招标文件中规定的实质性要求和条件的基础上，可做出其他有利于采购人的承诺。此类承诺可在本表中予以补充填写。</w:t>
            </w:r>
          </w:p>
        </w:tc>
      </w:tr>
    </w:tbl>
    <w:p w14:paraId="474D82E6">
      <w:pPr>
        <w:spacing w:line="500" w:lineRule="exact"/>
        <w:rPr>
          <w:rFonts w:ascii="宋体" w:hAnsi="宋体" w:cs="宋体"/>
          <w:b/>
          <w:bCs/>
          <w:w w:val="99"/>
          <w:kern w:val="0"/>
          <w:sz w:val="30"/>
          <w:szCs w:val="32"/>
        </w:rPr>
      </w:pPr>
    </w:p>
    <w:p w14:paraId="30A04794">
      <w:pPr>
        <w:spacing w:line="500" w:lineRule="exact"/>
        <w:rPr>
          <w:rFonts w:ascii="宋体" w:hAnsi="宋体" w:cs="宋体"/>
          <w:b/>
          <w:bCs/>
          <w:w w:val="99"/>
          <w:kern w:val="0"/>
          <w:sz w:val="30"/>
          <w:szCs w:val="32"/>
        </w:rPr>
      </w:pPr>
    </w:p>
    <w:p w14:paraId="2F2003A7">
      <w:pPr>
        <w:spacing w:line="500" w:lineRule="exact"/>
        <w:rPr>
          <w:rFonts w:ascii="宋体" w:hAnsi="宋体" w:cs="宋体"/>
          <w:b/>
          <w:bCs/>
          <w:w w:val="99"/>
          <w:kern w:val="0"/>
          <w:sz w:val="30"/>
          <w:szCs w:val="32"/>
        </w:rPr>
      </w:pPr>
    </w:p>
    <w:p w14:paraId="13C7ADB6">
      <w:pPr>
        <w:spacing w:line="500" w:lineRule="exact"/>
        <w:rPr>
          <w:rFonts w:ascii="宋体" w:hAnsi="宋体" w:cs="宋体"/>
          <w:b/>
          <w:bCs/>
          <w:w w:val="99"/>
          <w:kern w:val="0"/>
          <w:sz w:val="30"/>
          <w:szCs w:val="32"/>
        </w:rPr>
      </w:pPr>
    </w:p>
    <w:p w14:paraId="1D05244F">
      <w:pPr>
        <w:spacing w:line="500" w:lineRule="exact"/>
        <w:rPr>
          <w:rFonts w:ascii="宋体" w:hAnsi="宋体" w:cs="宋体"/>
          <w:b/>
          <w:bCs/>
          <w:w w:val="99"/>
          <w:kern w:val="0"/>
          <w:sz w:val="30"/>
          <w:szCs w:val="32"/>
        </w:rPr>
      </w:pPr>
    </w:p>
    <w:p w14:paraId="10BF8BD3">
      <w:pPr>
        <w:spacing w:line="500" w:lineRule="exact"/>
        <w:rPr>
          <w:rFonts w:ascii="宋体" w:hAnsi="宋体" w:cs="宋体"/>
          <w:b/>
          <w:bCs/>
          <w:w w:val="99"/>
          <w:kern w:val="0"/>
          <w:sz w:val="30"/>
          <w:szCs w:val="32"/>
        </w:rPr>
      </w:pPr>
    </w:p>
    <w:p w14:paraId="6D04BD72">
      <w:pPr>
        <w:spacing w:line="500" w:lineRule="exact"/>
        <w:rPr>
          <w:rFonts w:ascii="宋体" w:hAnsi="宋体" w:cs="宋体"/>
          <w:b/>
          <w:bCs/>
          <w:w w:val="99"/>
          <w:kern w:val="0"/>
          <w:sz w:val="30"/>
          <w:szCs w:val="32"/>
        </w:rPr>
      </w:pPr>
    </w:p>
    <w:p w14:paraId="55A5293D">
      <w:pPr>
        <w:pStyle w:val="13"/>
      </w:pPr>
    </w:p>
    <w:p w14:paraId="3A93E20D">
      <w:pPr>
        <w:spacing w:line="500" w:lineRule="exact"/>
        <w:rPr>
          <w:rFonts w:ascii="宋体" w:hAnsi="宋体" w:cs="宋体"/>
          <w:b/>
          <w:bCs/>
          <w:w w:val="99"/>
          <w:kern w:val="0"/>
          <w:sz w:val="30"/>
          <w:szCs w:val="32"/>
        </w:rPr>
      </w:pPr>
    </w:p>
    <w:p w14:paraId="3DF152E7">
      <w:pPr>
        <w:spacing w:line="500" w:lineRule="exact"/>
        <w:rPr>
          <w:rFonts w:ascii="宋体" w:hAnsi="宋体" w:cs="宋体"/>
          <w:b/>
          <w:bCs/>
          <w:w w:val="99"/>
          <w:kern w:val="0"/>
          <w:sz w:val="30"/>
          <w:szCs w:val="30"/>
        </w:rPr>
      </w:pPr>
    </w:p>
    <w:p w14:paraId="7BB87A35">
      <w:pPr>
        <w:spacing w:line="500" w:lineRule="exact"/>
        <w:rPr>
          <w:rFonts w:ascii="宋体" w:hAnsi="宋体" w:cs="宋体"/>
          <w:b/>
          <w:bCs/>
          <w:w w:val="99"/>
          <w:kern w:val="0"/>
          <w:sz w:val="30"/>
          <w:szCs w:val="30"/>
        </w:rPr>
      </w:pPr>
    </w:p>
    <w:p w14:paraId="406C2D4A">
      <w:pPr>
        <w:spacing w:line="500" w:lineRule="exact"/>
        <w:rPr>
          <w:rFonts w:ascii="宋体" w:hAnsi="宋体" w:cs="宋体"/>
          <w:b/>
          <w:bCs/>
          <w:w w:val="99"/>
          <w:kern w:val="0"/>
          <w:sz w:val="30"/>
          <w:szCs w:val="30"/>
        </w:rPr>
      </w:pPr>
    </w:p>
    <w:p w14:paraId="4CC6FAC8">
      <w:pPr>
        <w:spacing w:line="500" w:lineRule="exact"/>
        <w:rPr>
          <w:rFonts w:ascii="宋体" w:hAnsi="宋体" w:cs="宋体"/>
          <w:b/>
          <w:bCs/>
          <w:w w:val="99"/>
          <w:kern w:val="0"/>
          <w:sz w:val="30"/>
          <w:szCs w:val="30"/>
        </w:rPr>
      </w:pPr>
    </w:p>
    <w:p w14:paraId="668F22FE">
      <w:pPr>
        <w:spacing w:line="500" w:lineRule="exact"/>
        <w:rPr>
          <w:rFonts w:ascii="宋体" w:hAnsi="宋体" w:cs="宋体"/>
          <w:b/>
          <w:bCs/>
          <w:w w:val="99"/>
          <w:kern w:val="0"/>
          <w:sz w:val="30"/>
          <w:szCs w:val="30"/>
        </w:rPr>
      </w:pPr>
    </w:p>
    <w:p w14:paraId="42162587">
      <w:pPr>
        <w:spacing w:line="500" w:lineRule="exact"/>
        <w:rPr>
          <w:rFonts w:ascii="宋体" w:hAnsi="宋体" w:cs="宋体"/>
          <w:b/>
          <w:bCs/>
          <w:w w:val="99"/>
          <w:kern w:val="0"/>
          <w:sz w:val="30"/>
          <w:szCs w:val="30"/>
        </w:rPr>
      </w:pPr>
    </w:p>
    <w:p w14:paraId="4BBA915C">
      <w:pPr>
        <w:spacing w:line="500" w:lineRule="exact"/>
        <w:rPr>
          <w:rFonts w:ascii="宋体" w:hAnsi="宋体" w:cs="宋体"/>
          <w:b/>
          <w:bCs/>
          <w:w w:val="99"/>
          <w:kern w:val="0"/>
          <w:sz w:val="30"/>
          <w:szCs w:val="30"/>
        </w:rPr>
      </w:pPr>
      <w:r>
        <w:rPr>
          <w:rFonts w:hint="eastAsia" w:ascii="宋体" w:hAnsi="宋体" w:cs="宋体"/>
          <w:b/>
          <w:bCs/>
          <w:w w:val="99"/>
          <w:kern w:val="0"/>
          <w:sz w:val="30"/>
          <w:szCs w:val="30"/>
        </w:rPr>
        <w:t>11、磋商报价汇总表（必须提供）（格式）</w:t>
      </w:r>
    </w:p>
    <w:p w14:paraId="523458F1">
      <w:pPr>
        <w:spacing w:line="500" w:lineRule="exact"/>
        <w:rPr>
          <w:rFonts w:ascii="宋体" w:hAnsi="宋体" w:cs="宋体"/>
          <w:b/>
          <w:bCs/>
          <w:w w:val="99"/>
          <w:kern w:val="0"/>
          <w:sz w:val="30"/>
          <w:szCs w:val="32"/>
        </w:rPr>
      </w:pPr>
    </w:p>
    <w:p w14:paraId="22391DFF">
      <w:pPr>
        <w:spacing w:line="500" w:lineRule="exact"/>
        <w:rPr>
          <w:rFonts w:ascii="宋体" w:hAnsi="宋体" w:cs="宋体"/>
          <w:b/>
          <w:bCs/>
          <w:w w:val="99"/>
          <w:kern w:val="0"/>
          <w:sz w:val="30"/>
          <w:szCs w:val="32"/>
        </w:rPr>
      </w:pPr>
    </w:p>
    <w:p w14:paraId="0E636285">
      <w:pPr>
        <w:spacing w:line="500" w:lineRule="exact"/>
        <w:ind w:right="420"/>
        <w:jc w:val="center"/>
        <w:rPr>
          <w:rFonts w:ascii="宋体" w:hAnsi="宋体" w:cs="宋体"/>
          <w:b/>
          <w:sz w:val="30"/>
          <w:szCs w:val="30"/>
        </w:rPr>
      </w:pPr>
      <w:r>
        <w:rPr>
          <w:rFonts w:hint="eastAsia" w:ascii="宋体" w:hAnsi="宋体" w:cs="宋体"/>
          <w:b/>
          <w:sz w:val="30"/>
          <w:szCs w:val="30"/>
        </w:rPr>
        <w:t>磋商报价汇总表</w:t>
      </w:r>
    </w:p>
    <w:p w14:paraId="5E070434">
      <w:pPr>
        <w:spacing w:line="500" w:lineRule="exact"/>
        <w:rPr>
          <w:rFonts w:ascii="宋体" w:hAnsi="宋体" w:cs="宋体"/>
          <w:b/>
          <w:bCs/>
          <w:w w:val="99"/>
          <w:kern w:val="0"/>
          <w:sz w:val="30"/>
          <w:szCs w:val="32"/>
        </w:rPr>
      </w:pPr>
    </w:p>
    <w:tbl>
      <w:tblPr>
        <w:tblStyle w:val="21"/>
        <w:tblW w:w="9575" w:type="dxa"/>
        <w:tblInd w:w="108" w:type="dxa"/>
        <w:tblBorders>
          <w:top w:val="single" w:color="000000" w:sz="2" w:space="0"/>
          <w:left w:val="single" w:color="000000" w:sz="2" w:space="0"/>
          <w:bottom w:val="none" w:color="auto" w:sz="0" w:space="0"/>
          <w:right w:val="single" w:color="000000" w:sz="2" w:space="0"/>
          <w:insideH w:val="none" w:color="auto" w:sz="0" w:space="0"/>
          <w:insideV w:val="none" w:color="auto" w:sz="0" w:space="0"/>
        </w:tblBorders>
        <w:tblLayout w:type="fixed"/>
        <w:tblCellMar>
          <w:top w:w="0" w:type="dxa"/>
          <w:left w:w="108" w:type="dxa"/>
          <w:bottom w:w="0" w:type="dxa"/>
          <w:right w:w="108" w:type="dxa"/>
        </w:tblCellMar>
      </w:tblPr>
      <w:tblGrid>
        <w:gridCol w:w="737"/>
        <w:gridCol w:w="6202"/>
        <w:gridCol w:w="2636"/>
      </w:tblGrid>
      <w:tr w14:paraId="566F4801">
        <w:tblPrEx>
          <w:tblBorders>
            <w:top w:val="single" w:color="000000" w:sz="2" w:space="0"/>
            <w:left w:val="single" w:color="000000" w:sz="2" w:space="0"/>
            <w:bottom w:val="none" w:color="auto" w:sz="0" w:space="0"/>
            <w:right w:val="single" w:color="000000" w:sz="2" w:space="0"/>
            <w:insideH w:val="none" w:color="auto" w:sz="0" w:space="0"/>
            <w:insideV w:val="none" w:color="auto" w:sz="0" w:space="0"/>
          </w:tblBorders>
          <w:tblCellMar>
            <w:top w:w="0" w:type="dxa"/>
            <w:left w:w="108" w:type="dxa"/>
            <w:bottom w:w="0" w:type="dxa"/>
            <w:right w:w="108" w:type="dxa"/>
          </w:tblCellMar>
        </w:tblPrEx>
        <w:trPr>
          <w:cantSplit/>
          <w:trHeight w:val="538" w:hRule="atLeast"/>
        </w:trPr>
        <w:tc>
          <w:tcPr>
            <w:tcW w:w="9575" w:type="dxa"/>
            <w:gridSpan w:val="3"/>
            <w:tcBorders>
              <w:top w:val="nil"/>
              <w:left w:val="nil"/>
              <w:bottom w:val="nil"/>
              <w:right w:val="single" w:color="000000" w:sz="2" w:space="0"/>
            </w:tcBorders>
            <w:vAlign w:val="center"/>
          </w:tcPr>
          <w:p w14:paraId="451C97C2">
            <w:pPr>
              <w:autoSpaceDE w:val="0"/>
              <w:autoSpaceDN w:val="0"/>
              <w:rPr>
                <w:rFonts w:ascii="宋体" w:cs="宋体"/>
                <w:kern w:val="0"/>
                <w:szCs w:val="21"/>
              </w:rPr>
            </w:pPr>
            <w:r>
              <w:rPr>
                <w:rFonts w:hint="eastAsia" w:ascii="宋体" w:cs="宋体"/>
                <w:kern w:val="0"/>
                <w:szCs w:val="21"/>
              </w:rPr>
              <w:t>项目名称：</w:t>
            </w:r>
          </w:p>
        </w:tc>
      </w:tr>
      <w:tr w14:paraId="67EB8158">
        <w:tblPrEx>
          <w:tblBorders>
            <w:top w:val="none" w:color="auto" w:sz="0" w:space="0"/>
            <w:left w:val="single" w:color="000000" w:sz="2" w:space="0"/>
            <w:bottom w:val="none" w:color="auto" w:sz="0" w:space="0"/>
            <w:right w:val="single" w:color="000000" w:sz="2" w:space="0"/>
            <w:insideH w:val="none" w:color="auto" w:sz="0" w:space="0"/>
            <w:insideV w:val="none" w:color="auto" w:sz="0" w:space="0"/>
          </w:tblBorders>
          <w:tblCellMar>
            <w:top w:w="0" w:type="dxa"/>
            <w:left w:w="108" w:type="dxa"/>
            <w:bottom w:w="0" w:type="dxa"/>
            <w:right w:w="108" w:type="dxa"/>
          </w:tblCellMar>
        </w:tblPrEx>
        <w:trPr>
          <w:cantSplit/>
          <w:trHeight w:val="538" w:hRule="atLeast"/>
        </w:trPr>
        <w:tc>
          <w:tcPr>
            <w:tcW w:w="9575" w:type="dxa"/>
            <w:gridSpan w:val="3"/>
            <w:tcBorders>
              <w:top w:val="nil"/>
              <w:left w:val="nil"/>
              <w:bottom w:val="single" w:color="auto" w:sz="4" w:space="0"/>
              <w:right w:val="single" w:color="000000" w:sz="2" w:space="0"/>
            </w:tcBorders>
            <w:vAlign w:val="center"/>
          </w:tcPr>
          <w:p w14:paraId="10FE28FA">
            <w:pPr>
              <w:autoSpaceDE w:val="0"/>
              <w:autoSpaceDN w:val="0"/>
              <w:rPr>
                <w:rFonts w:ascii="宋体" w:cs="宋体"/>
                <w:kern w:val="0"/>
                <w:szCs w:val="21"/>
              </w:rPr>
            </w:pPr>
            <w:r>
              <w:rPr>
                <w:rFonts w:hint="eastAsia" w:ascii="宋体" w:cs="宋体"/>
                <w:kern w:val="0"/>
                <w:szCs w:val="21"/>
              </w:rPr>
              <w:t>建设规模：                                                  币种：人民币</w:t>
            </w:r>
          </w:p>
        </w:tc>
      </w:tr>
      <w:tr w14:paraId="0034C343">
        <w:tblPrEx>
          <w:tblBorders>
            <w:top w:val="none" w:color="auto" w:sz="0" w:space="0"/>
            <w:left w:val="single" w:color="000000" w:sz="2" w:space="0"/>
            <w:bottom w:val="none" w:color="auto" w:sz="0" w:space="0"/>
            <w:right w:val="single" w:color="000000" w:sz="2" w:space="0"/>
            <w:insideH w:val="none" w:color="auto" w:sz="0" w:space="0"/>
            <w:insideV w:val="none" w:color="auto" w:sz="0" w:space="0"/>
          </w:tblBorders>
          <w:tblCellMar>
            <w:top w:w="0" w:type="dxa"/>
            <w:left w:w="108" w:type="dxa"/>
            <w:bottom w:w="0" w:type="dxa"/>
            <w:right w:w="108" w:type="dxa"/>
          </w:tblCellMar>
        </w:tblPrEx>
        <w:trPr>
          <w:cantSplit/>
          <w:trHeight w:val="617" w:hRule="atLeast"/>
        </w:trPr>
        <w:tc>
          <w:tcPr>
            <w:tcW w:w="737" w:type="dxa"/>
            <w:tcBorders>
              <w:top w:val="single" w:color="auto" w:sz="4" w:space="0"/>
              <w:left w:val="single" w:color="auto" w:sz="4" w:space="0"/>
              <w:bottom w:val="single" w:color="auto" w:sz="4" w:space="0"/>
              <w:right w:val="single" w:color="auto" w:sz="4" w:space="0"/>
            </w:tcBorders>
            <w:vAlign w:val="center"/>
          </w:tcPr>
          <w:p w14:paraId="6DDDEA7D">
            <w:pPr>
              <w:autoSpaceDE w:val="0"/>
              <w:autoSpaceDN w:val="0"/>
              <w:jc w:val="center"/>
              <w:rPr>
                <w:rFonts w:ascii="宋体" w:cs="宋体"/>
                <w:kern w:val="0"/>
                <w:szCs w:val="21"/>
              </w:rPr>
            </w:pPr>
            <w:r>
              <w:rPr>
                <w:rFonts w:hint="eastAsia" w:ascii="宋体" w:cs="宋体"/>
                <w:kern w:val="0"/>
                <w:szCs w:val="21"/>
              </w:rPr>
              <w:t>一</w:t>
            </w:r>
          </w:p>
        </w:tc>
        <w:tc>
          <w:tcPr>
            <w:tcW w:w="6202" w:type="dxa"/>
            <w:tcBorders>
              <w:top w:val="single" w:color="auto" w:sz="4" w:space="0"/>
              <w:left w:val="single" w:color="auto" w:sz="4" w:space="0"/>
              <w:bottom w:val="single" w:color="auto" w:sz="4" w:space="0"/>
              <w:right w:val="single" w:color="auto" w:sz="4" w:space="0"/>
            </w:tcBorders>
            <w:vAlign w:val="center"/>
          </w:tcPr>
          <w:p w14:paraId="66497F3B">
            <w:pPr>
              <w:autoSpaceDE w:val="0"/>
              <w:autoSpaceDN w:val="0"/>
              <w:rPr>
                <w:rFonts w:ascii="宋体" w:cs="宋体"/>
                <w:kern w:val="0"/>
                <w:szCs w:val="21"/>
              </w:rPr>
            </w:pPr>
            <w:r>
              <w:rPr>
                <w:rFonts w:hint="eastAsia" w:ascii="宋体" w:cs="宋体"/>
                <w:kern w:val="0"/>
                <w:szCs w:val="21"/>
              </w:rPr>
              <w:t>磋商报价</w:t>
            </w:r>
          </w:p>
        </w:tc>
        <w:tc>
          <w:tcPr>
            <w:tcW w:w="2636" w:type="dxa"/>
            <w:tcBorders>
              <w:top w:val="single" w:color="auto" w:sz="4" w:space="0"/>
              <w:left w:val="single" w:color="auto" w:sz="4" w:space="0"/>
              <w:bottom w:val="single" w:color="auto" w:sz="4" w:space="0"/>
              <w:right w:val="single" w:color="auto" w:sz="4" w:space="0"/>
            </w:tcBorders>
          </w:tcPr>
          <w:p w14:paraId="48F0D7D5">
            <w:pPr>
              <w:autoSpaceDE w:val="0"/>
              <w:autoSpaceDN w:val="0"/>
              <w:jc w:val="center"/>
              <w:rPr>
                <w:rFonts w:ascii="宋体" w:cs="宋体"/>
                <w:kern w:val="0"/>
                <w:szCs w:val="21"/>
              </w:rPr>
            </w:pPr>
            <w:r>
              <w:rPr>
                <w:rFonts w:hint="eastAsia" w:ascii="宋体" w:cs="宋体"/>
                <w:kern w:val="0"/>
                <w:szCs w:val="21"/>
              </w:rPr>
              <w:t>（元）</w:t>
            </w:r>
          </w:p>
        </w:tc>
      </w:tr>
      <w:tr w14:paraId="2C5053E6">
        <w:tblPrEx>
          <w:tblBorders>
            <w:top w:val="none" w:color="auto" w:sz="0" w:space="0"/>
            <w:left w:val="single" w:color="000000" w:sz="2" w:space="0"/>
            <w:bottom w:val="none" w:color="auto" w:sz="0" w:space="0"/>
            <w:right w:val="single" w:color="000000" w:sz="2" w:space="0"/>
            <w:insideH w:val="none" w:color="auto" w:sz="0" w:space="0"/>
            <w:insideV w:val="none" w:color="auto" w:sz="0" w:space="0"/>
          </w:tblBorders>
          <w:tblCellMar>
            <w:top w:w="0" w:type="dxa"/>
            <w:left w:w="108" w:type="dxa"/>
            <w:bottom w:w="0" w:type="dxa"/>
            <w:right w:w="108" w:type="dxa"/>
          </w:tblCellMar>
        </w:tblPrEx>
        <w:trPr>
          <w:cantSplit/>
          <w:trHeight w:val="617" w:hRule="atLeast"/>
        </w:trPr>
        <w:tc>
          <w:tcPr>
            <w:tcW w:w="737" w:type="dxa"/>
            <w:tcBorders>
              <w:top w:val="single" w:color="auto" w:sz="4" w:space="0"/>
              <w:left w:val="single" w:color="auto" w:sz="4" w:space="0"/>
              <w:bottom w:val="single" w:color="auto" w:sz="4" w:space="0"/>
              <w:right w:val="single" w:color="auto" w:sz="4" w:space="0"/>
            </w:tcBorders>
            <w:vAlign w:val="center"/>
          </w:tcPr>
          <w:p w14:paraId="3E0B3759">
            <w:pPr>
              <w:autoSpaceDE w:val="0"/>
              <w:autoSpaceDN w:val="0"/>
              <w:jc w:val="center"/>
              <w:rPr>
                <w:rFonts w:ascii="宋体" w:cs="宋体"/>
                <w:kern w:val="0"/>
                <w:szCs w:val="21"/>
              </w:rPr>
            </w:pPr>
            <w:r>
              <w:rPr>
                <w:rFonts w:hint="eastAsia" w:ascii="宋体" w:cs="宋体"/>
                <w:kern w:val="0"/>
                <w:szCs w:val="21"/>
              </w:rPr>
              <w:t>二</w:t>
            </w:r>
          </w:p>
        </w:tc>
        <w:tc>
          <w:tcPr>
            <w:tcW w:w="6202" w:type="dxa"/>
            <w:tcBorders>
              <w:top w:val="single" w:color="auto" w:sz="4" w:space="0"/>
              <w:left w:val="single" w:color="auto" w:sz="4" w:space="0"/>
              <w:bottom w:val="single" w:color="auto" w:sz="4" w:space="0"/>
              <w:right w:val="single" w:color="auto" w:sz="4" w:space="0"/>
            </w:tcBorders>
            <w:vAlign w:val="center"/>
          </w:tcPr>
          <w:p w14:paraId="5810A615">
            <w:pPr>
              <w:autoSpaceDE w:val="0"/>
              <w:autoSpaceDN w:val="0"/>
              <w:rPr>
                <w:rFonts w:ascii="宋体" w:cs="宋体"/>
                <w:kern w:val="0"/>
                <w:szCs w:val="21"/>
              </w:rPr>
            </w:pPr>
            <w:r>
              <w:rPr>
                <w:rFonts w:hint="eastAsia" w:ascii="宋体" w:cs="宋体"/>
                <w:kern w:val="0"/>
                <w:szCs w:val="21"/>
              </w:rPr>
              <w:t>承诺工期</w:t>
            </w:r>
          </w:p>
        </w:tc>
        <w:tc>
          <w:tcPr>
            <w:tcW w:w="2636" w:type="dxa"/>
            <w:tcBorders>
              <w:top w:val="single" w:color="auto" w:sz="4" w:space="0"/>
              <w:left w:val="single" w:color="auto" w:sz="4" w:space="0"/>
              <w:bottom w:val="single" w:color="auto" w:sz="4" w:space="0"/>
              <w:right w:val="single" w:color="auto" w:sz="4" w:space="0"/>
            </w:tcBorders>
          </w:tcPr>
          <w:p w14:paraId="57729B4D">
            <w:pPr>
              <w:autoSpaceDE w:val="0"/>
              <w:autoSpaceDN w:val="0"/>
              <w:jc w:val="center"/>
              <w:rPr>
                <w:rFonts w:ascii="宋体" w:cs="宋体"/>
                <w:kern w:val="0"/>
                <w:szCs w:val="21"/>
              </w:rPr>
            </w:pPr>
            <w:r>
              <w:rPr>
                <w:rFonts w:hint="eastAsia" w:ascii="宋体" w:cs="宋体"/>
                <w:kern w:val="0"/>
                <w:szCs w:val="21"/>
              </w:rPr>
              <w:t>天（日历日）</w:t>
            </w:r>
          </w:p>
        </w:tc>
      </w:tr>
      <w:tr w14:paraId="3895E34A">
        <w:tblPrEx>
          <w:tblBorders>
            <w:top w:val="none" w:color="auto" w:sz="0" w:space="0"/>
            <w:left w:val="single" w:color="000000" w:sz="2" w:space="0"/>
            <w:bottom w:val="none" w:color="auto" w:sz="0" w:space="0"/>
            <w:right w:val="single" w:color="000000" w:sz="2" w:space="0"/>
            <w:insideH w:val="none" w:color="auto" w:sz="0" w:space="0"/>
            <w:insideV w:val="none" w:color="auto" w:sz="0" w:space="0"/>
          </w:tblBorders>
          <w:tblCellMar>
            <w:top w:w="0" w:type="dxa"/>
            <w:left w:w="108" w:type="dxa"/>
            <w:bottom w:w="0" w:type="dxa"/>
            <w:right w:w="108" w:type="dxa"/>
          </w:tblCellMar>
        </w:tblPrEx>
        <w:trPr>
          <w:cantSplit/>
          <w:trHeight w:val="617" w:hRule="atLeast"/>
        </w:trPr>
        <w:tc>
          <w:tcPr>
            <w:tcW w:w="737" w:type="dxa"/>
            <w:tcBorders>
              <w:top w:val="single" w:color="auto" w:sz="4" w:space="0"/>
              <w:left w:val="single" w:color="auto" w:sz="4" w:space="0"/>
              <w:bottom w:val="single" w:color="auto" w:sz="4" w:space="0"/>
              <w:right w:val="single" w:color="auto" w:sz="4" w:space="0"/>
            </w:tcBorders>
            <w:vAlign w:val="center"/>
          </w:tcPr>
          <w:p w14:paraId="445BEDD3">
            <w:pPr>
              <w:autoSpaceDE w:val="0"/>
              <w:autoSpaceDN w:val="0"/>
              <w:jc w:val="center"/>
              <w:rPr>
                <w:rFonts w:ascii="宋体" w:cs="宋体"/>
                <w:kern w:val="0"/>
                <w:szCs w:val="21"/>
              </w:rPr>
            </w:pPr>
            <w:r>
              <w:rPr>
                <w:rFonts w:hint="eastAsia" w:ascii="宋体" w:cs="宋体"/>
                <w:kern w:val="0"/>
                <w:szCs w:val="21"/>
              </w:rPr>
              <w:t>三</w:t>
            </w:r>
          </w:p>
        </w:tc>
        <w:tc>
          <w:tcPr>
            <w:tcW w:w="6202" w:type="dxa"/>
            <w:tcBorders>
              <w:top w:val="single" w:color="auto" w:sz="4" w:space="0"/>
              <w:left w:val="single" w:color="auto" w:sz="4" w:space="0"/>
              <w:bottom w:val="single" w:color="auto" w:sz="4" w:space="0"/>
              <w:right w:val="single" w:color="auto" w:sz="4" w:space="0"/>
            </w:tcBorders>
            <w:vAlign w:val="center"/>
          </w:tcPr>
          <w:p w14:paraId="1D97A432">
            <w:pPr>
              <w:autoSpaceDE w:val="0"/>
              <w:autoSpaceDN w:val="0"/>
              <w:rPr>
                <w:rFonts w:ascii="宋体" w:cs="宋体"/>
                <w:kern w:val="0"/>
                <w:szCs w:val="21"/>
              </w:rPr>
            </w:pPr>
            <w:r>
              <w:rPr>
                <w:rFonts w:hint="eastAsia" w:ascii="宋体" w:cs="宋体"/>
                <w:kern w:val="0"/>
                <w:szCs w:val="21"/>
              </w:rPr>
              <w:t>承诺质量等级</w:t>
            </w:r>
          </w:p>
        </w:tc>
        <w:tc>
          <w:tcPr>
            <w:tcW w:w="2636" w:type="dxa"/>
            <w:tcBorders>
              <w:top w:val="single" w:color="auto" w:sz="4" w:space="0"/>
              <w:left w:val="single" w:color="auto" w:sz="4" w:space="0"/>
              <w:bottom w:val="single" w:color="auto" w:sz="4" w:space="0"/>
              <w:right w:val="single" w:color="auto" w:sz="4" w:space="0"/>
            </w:tcBorders>
          </w:tcPr>
          <w:p w14:paraId="309DBE3C">
            <w:pPr>
              <w:autoSpaceDE w:val="0"/>
              <w:autoSpaceDN w:val="0"/>
              <w:jc w:val="center"/>
              <w:rPr>
                <w:rFonts w:ascii="宋体" w:cs="宋体"/>
                <w:kern w:val="0"/>
                <w:szCs w:val="21"/>
              </w:rPr>
            </w:pPr>
          </w:p>
        </w:tc>
      </w:tr>
      <w:tr w14:paraId="7B80BE58">
        <w:tblPrEx>
          <w:tblBorders>
            <w:top w:val="none" w:color="auto" w:sz="0" w:space="0"/>
            <w:left w:val="single" w:color="000000" w:sz="2" w:space="0"/>
            <w:bottom w:val="single" w:color="000000" w:sz="2" w:space="0"/>
            <w:right w:val="single" w:color="000000" w:sz="2" w:space="0"/>
            <w:insideH w:val="none" w:color="auto" w:sz="0" w:space="0"/>
            <w:insideV w:val="none" w:color="auto" w:sz="0" w:space="0"/>
          </w:tblBorders>
          <w:tblCellMar>
            <w:top w:w="0" w:type="dxa"/>
            <w:left w:w="108" w:type="dxa"/>
            <w:bottom w:w="0" w:type="dxa"/>
            <w:right w:w="108" w:type="dxa"/>
          </w:tblCellMar>
        </w:tblPrEx>
        <w:trPr>
          <w:cantSplit/>
          <w:trHeight w:val="1298" w:hRule="atLeast"/>
        </w:trPr>
        <w:tc>
          <w:tcPr>
            <w:tcW w:w="9575" w:type="dxa"/>
            <w:gridSpan w:val="3"/>
            <w:tcBorders>
              <w:top w:val="single" w:color="auto" w:sz="4" w:space="0"/>
              <w:left w:val="nil"/>
              <w:bottom w:val="nil"/>
              <w:right w:val="nil"/>
            </w:tcBorders>
          </w:tcPr>
          <w:p w14:paraId="3460E5F9">
            <w:pPr>
              <w:autoSpaceDE w:val="0"/>
              <w:autoSpaceDN w:val="0"/>
              <w:jc w:val="left"/>
              <w:rPr>
                <w:rFonts w:ascii="宋体" w:cs="宋体"/>
                <w:kern w:val="0"/>
                <w:sz w:val="24"/>
              </w:rPr>
            </w:pPr>
          </w:p>
          <w:p w14:paraId="46E212B4">
            <w:pPr>
              <w:autoSpaceDE w:val="0"/>
              <w:autoSpaceDN w:val="0"/>
              <w:jc w:val="left"/>
              <w:rPr>
                <w:rFonts w:ascii="宋体" w:cs="宋体"/>
                <w:kern w:val="0"/>
                <w:sz w:val="24"/>
              </w:rPr>
            </w:pPr>
          </w:p>
          <w:p w14:paraId="60EEAF4C">
            <w:pPr>
              <w:autoSpaceDE w:val="0"/>
              <w:autoSpaceDN w:val="0"/>
              <w:jc w:val="left"/>
              <w:rPr>
                <w:rFonts w:ascii="宋体" w:cs="宋体"/>
                <w:kern w:val="0"/>
                <w:sz w:val="24"/>
              </w:rPr>
            </w:pPr>
          </w:p>
          <w:p w14:paraId="371D7A58">
            <w:pPr>
              <w:spacing w:line="340" w:lineRule="exact"/>
              <w:jc w:val="left"/>
              <w:rPr>
                <w:rFonts w:ascii="宋体" w:hAnsi="宋体" w:cs="宋体"/>
                <w:szCs w:val="21"/>
                <w:u w:val="single"/>
              </w:rPr>
            </w:pPr>
            <w:r>
              <w:rPr>
                <w:rFonts w:hint="eastAsia" w:ascii="宋体" w:hAnsi="宋体" w:cs="宋体"/>
                <w:szCs w:val="21"/>
              </w:rPr>
              <w:t>磋商供应商（CA签章，自然人除外）：</w:t>
            </w:r>
            <w:r>
              <w:rPr>
                <w:rFonts w:hint="eastAsia" w:ascii="宋体" w:hAnsi="宋体" w:cs="宋体"/>
                <w:szCs w:val="21"/>
                <w:u w:val="single"/>
              </w:rPr>
              <w:t xml:space="preserve">                                        </w:t>
            </w:r>
          </w:p>
          <w:p w14:paraId="5853AAF0">
            <w:pPr>
              <w:autoSpaceDE w:val="0"/>
              <w:autoSpaceDN w:val="0"/>
              <w:spacing w:line="400" w:lineRule="exact"/>
              <w:jc w:val="left"/>
              <w:rPr>
                <w:rFonts w:ascii="宋体" w:cs="宋体"/>
                <w:kern w:val="0"/>
                <w:sz w:val="24"/>
              </w:rPr>
            </w:pPr>
            <w:r>
              <w:rPr>
                <w:rFonts w:hint="eastAsia" w:ascii="宋体" w:hAnsi="宋体" w:cs="宋体"/>
              </w:rPr>
              <w:t>法定代表人、负责人、自然人或相应的委托代理人签字或个人CA签章（属自然人的应在签名处加盖食指指印或个人CA签章）：</w:t>
            </w:r>
          </w:p>
        </w:tc>
      </w:tr>
    </w:tbl>
    <w:p w14:paraId="2F841BC7">
      <w:pPr>
        <w:spacing w:line="500" w:lineRule="exact"/>
        <w:rPr>
          <w:rFonts w:ascii="宋体" w:hAnsi="宋体" w:cs="宋体"/>
          <w:b/>
          <w:bCs/>
          <w:w w:val="99"/>
          <w:kern w:val="0"/>
          <w:sz w:val="30"/>
          <w:szCs w:val="32"/>
        </w:rPr>
      </w:pPr>
    </w:p>
    <w:p w14:paraId="485998BF">
      <w:pPr>
        <w:pStyle w:val="13"/>
        <w:rPr>
          <w:rFonts w:ascii="宋体" w:hAnsi="宋体" w:cs="宋体"/>
          <w:b/>
          <w:bCs/>
          <w:w w:val="99"/>
          <w:kern w:val="0"/>
          <w:sz w:val="30"/>
          <w:szCs w:val="32"/>
        </w:rPr>
      </w:pPr>
    </w:p>
    <w:p w14:paraId="037AF272">
      <w:pPr>
        <w:pStyle w:val="13"/>
        <w:rPr>
          <w:rFonts w:ascii="宋体" w:hAnsi="宋体" w:cs="宋体"/>
          <w:b/>
          <w:bCs/>
          <w:w w:val="99"/>
          <w:kern w:val="0"/>
          <w:sz w:val="30"/>
          <w:szCs w:val="32"/>
        </w:rPr>
      </w:pPr>
    </w:p>
    <w:p w14:paraId="0F0F1A14"/>
    <w:p w14:paraId="2EC31119">
      <w:pPr>
        <w:pStyle w:val="13"/>
      </w:pPr>
    </w:p>
    <w:p w14:paraId="58136244"/>
    <w:p w14:paraId="4D28D4CD">
      <w:pPr>
        <w:pStyle w:val="13"/>
      </w:pPr>
    </w:p>
    <w:p w14:paraId="6AA4B3CD"/>
    <w:p w14:paraId="6BE3E5E3">
      <w:pPr>
        <w:pStyle w:val="13"/>
      </w:pPr>
    </w:p>
    <w:p w14:paraId="7BEAB739"/>
    <w:p w14:paraId="2B6070E4">
      <w:pPr>
        <w:pStyle w:val="13"/>
      </w:pPr>
    </w:p>
    <w:p w14:paraId="345D2A99"/>
    <w:p w14:paraId="1F9D9EB0">
      <w:pPr>
        <w:pStyle w:val="13"/>
      </w:pPr>
    </w:p>
    <w:p w14:paraId="57B6E7D0"/>
    <w:p w14:paraId="5C29DCC6">
      <w:pPr>
        <w:pStyle w:val="13"/>
      </w:pPr>
    </w:p>
    <w:p w14:paraId="3338E3F8">
      <w:pPr>
        <w:spacing w:line="500" w:lineRule="exact"/>
        <w:rPr>
          <w:rFonts w:ascii="宋体" w:hAnsi="宋体" w:cs="宋体"/>
          <w:b/>
          <w:bCs/>
          <w:w w:val="99"/>
          <w:kern w:val="0"/>
          <w:sz w:val="30"/>
          <w:szCs w:val="32"/>
        </w:rPr>
      </w:pPr>
    </w:p>
    <w:p w14:paraId="3BC8697A">
      <w:pPr>
        <w:spacing w:line="500" w:lineRule="exact"/>
        <w:rPr>
          <w:rFonts w:ascii="宋体" w:hAnsi="宋体" w:cs="宋体"/>
          <w:b/>
          <w:bCs/>
          <w:w w:val="99"/>
          <w:kern w:val="0"/>
          <w:sz w:val="30"/>
          <w:szCs w:val="32"/>
        </w:rPr>
      </w:pPr>
      <w:r>
        <w:rPr>
          <w:rFonts w:hint="eastAsia" w:ascii="宋体" w:hAnsi="宋体" w:cs="宋体"/>
          <w:b/>
          <w:bCs/>
          <w:w w:val="99"/>
          <w:kern w:val="0"/>
          <w:sz w:val="30"/>
          <w:szCs w:val="32"/>
        </w:rPr>
        <w:t>12、已标价工程量清单（必须提供）（格式）</w:t>
      </w:r>
    </w:p>
    <w:p w14:paraId="00187CD5">
      <w:pPr>
        <w:spacing w:line="500" w:lineRule="exact"/>
        <w:rPr>
          <w:rFonts w:ascii="宋体" w:hAnsi="宋体" w:cs="宋体"/>
          <w:b/>
          <w:bCs/>
          <w:w w:val="99"/>
          <w:kern w:val="0"/>
          <w:sz w:val="30"/>
          <w:szCs w:val="32"/>
        </w:rPr>
      </w:pPr>
    </w:p>
    <w:p w14:paraId="4D8F3E98">
      <w:pPr>
        <w:spacing w:line="360" w:lineRule="auto"/>
        <w:ind w:left="284"/>
        <w:rPr>
          <w:rFonts w:ascii="宋体" w:hAnsi="宋体" w:cs="宋体"/>
          <w:kern w:val="0"/>
          <w:szCs w:val="21"/>
        </w:rPr>
      </w:pPr>
      <w:r>
        <w:rPr>
          <w:rFonts w:hint="eastAsia" w:ascii="宋体" w:hAnsi="宋体" w:cs="宋体"/>
          <w:kern w:val="0"/>
          <w:szCs w:val="21"/>
        </w:rPr>
        <w:t>1、说明：已标价工程量清单按第五章“工程量清单”中的相关清单表格式填写。构成合同文件的</w:t>
      </w:r>
    </w:p>
    <w:p w14:paraId="206C7CC4">
      <w:pPr>
        <w:spacing w:line="360" w:lineRule="auto"/>
        <w:ind w:left="284"/>
        <w:rPr>
          <w:rFonts w:ascii="宋体" w:hAnsi="宋体" w:cs="宋体"/>
          <w:kern w:val="0"/>
          <w:szCs w:val="21"/>
        </w:rPr>
      </w:pPr>
      <w:r>
        <w:rPr>
          <w:rFonts w:hint="eastAsia" w:ascii="宋体" w:hAnsi="宋体" w:cs="宋体"/>
          <w:kern w:val="0"/>
          <w:szCs w:val="21"/>
        </w:rPr>
        <w:t>已标价工程量清单包括第五章“工程量清单”有关工程量清单、报价以及其他说明的内容。</w:t>
      </w:r>
    </w:p>
    <w:p w14:paraId="3967574B">
      <w:pPr>
        <w:spacing w:line="360" w:lineRule="auto"/>
        <w:ind w:firstLine="420" w:firstLineChars="200"/>
        <w:rPr>
          <w:rFonts w:ascii="宋体" w:hAnsi="宋体" w:cs="宋体"/>
          <w:b/>
          <w:bCs/>
          <w:w w:val="99"/>
          <w:kern w:val="0"/>
          <w:sz w:val="30"/>
          <w:szCs w:val="32"/>
        </w:rPr>
      </w:pPr>
      <w:r>
        <w:rPr>
          <w:rFonts w:hint="eastAsia" w:ascii="宋体" w:hAnsi="宋体" w:cs="宋体"/>
          <w:kern w:val="0"/>
          <w:szCs w:val="21"/>
        </w:rPr>
        <w:t>2、表格：</w:t>
      </w:r>
      <w:r>
        <w:rPr>
          <w:rFonts w:hint="eastAsia" w:ascii="宋体" w:hAnsi="宋体" w:eastAsia="宋体" w:cs="宋体"/>
          <w:sz w:val="21"/>
          <w:szCs w:val="21"/>
          <w:lang w:val="en-US" w:eastAsia="zh-CN"/>
        </w:rPr>
        <w:t>国家有关法律、法规和规范性文件；</w:t>
      </w:r>
      <w:r>
        <w:rPr>
          <w:rFonts w:hint="eastAsia" w:ascii="宋体" w:hAnsi="宋体" w:eastAsia="宋体" w:cs="宋体"/>
          <w:sz w:val="21"/>
          <w:szCs w:val="21"/>
        </w:rPr>
        <w:t>《公路工程建设项目概算预算编制办法》（JTG3830-2018）</w:t>
      </w:r>
      <w:r>
        <w:rPr>
          <w:rFonts w:hint="eastAsia" w:ascii="宋体" w:hAnsi="宋体" w:eastAsia="宋体" w:cs="宋体"/>
          <w:sz w:val="21"/>
          <w:szCs w:val="21"/>
          <w:lang w:eastAsia="zh-CN"/>
        </w:rPr>
        <w:t>；</w:t>
      </w:r>
      <w:r>
        <w:rPr>
          <w:rFonts w:hint="eastAsia" w:ascii="宋体" w:hAnsi="宋体" w:eastAsia="宋体" w:cs="宋体"/>
          <w:sz w:val="21"/>
          <w:szCs w:val="21"/>
        </w:rPr>
        <w:t>《公路工程预算定额》（JTG/T 3832-2018）</w:t>
      </w:r>
      <w:r>
        <w:rPr>
          <w:rFonts w:hint="eastAsia" w:ascii="宋体" w:hAnsi="宋体" w:eastAsia="宋体" w:cs="宋体"/>
          <w:sz w:val="21"/>
          <w:szCs w:val="21"/>
          <w:lang w:eastAsia="zh-CN"/>
        </w:rPr>
        <w:t>；</w:t>
      </w:r>
      <w:r>
        <w:rPr>
          <w:rFonts w:hint="eastAsia" w:ascii="宋体" w:hAnsi="宋体" w:eastAsia="宋体" w:cs="宋体"/>
          <w:sz w:val="21"/>
          <w:szCs w:val="21"/>
        </w:rPr>
        <w:t>《公路工程机械台班费用定额》（JTG/T 3833-2018）</w:t>
      </w:r>
      <w:r>
        <w:rPr>
          <w:rFonts w:hint="eastAsia" w:ascii="宋体" w:hAnsi="宋体" w:eastAsia="宋体" w:cs="宋体"/>
          <w:sz w:val="21"/>
          <w:szCs w:val="21"/>
          <w:lang w:eastAsia="zh-CN"/>
        </w:rPr>
        <w:t>；</w:t>
      </w:r>
      <w:r>
        <w:rPr>
          <w:rFonts w:hint="eastAsia" w:ascii="宋体" w:hAnsi="宋体"/>
          <w:sz w:val="21"/>
          <w:szCs w:val="21"/>
        </w:rPr>
        <w:t>《广西公路养护定额》（DB45/T2228.1-2020）；《公路工程机械台班费用定额》（2022版）</w:t>
      </w:r>
      <w:r>
        <w:rPr>
          <w:rFonts w:hint="eastAsia" w:ascii="宋体" w:hAnsi="宋体"/>
          <w:sz w:val="21"/>
          <w:szCs w:val="21"/>
          <w:lang w:eastAsia="zh-CN"/>
        </w:rPr>
        <w:t>，</w:t>
      </w:r>
      <w:r>
        <w:rPr>
          <w:rFonts w:hint="eastAsia" w:ascii="宋体" w:hAnsi="宋体" w:eastAsia="宋体" w:cs="宋体"/>
          <w:sz w:val="21"/>
          <w:szCs w:val="21"/>
          <w:lang w:val="en-US" w:eastAsia="zh-CN"/>
        </w:rPr>
        <w:t>交通运输部关于调整《公路工程建设项目投资估算编制办法》（JTG3820-2018）和《公路工程建设项目概算预算编制办法》（JTG3830-2018）中“税金”有关规定的公告[交通运输部公告第26号文]；</w:t>
      </w:r>
      <w:r>
        <w:rPr>
          <w:rFonts w:hint="eastAsia" w:ascii="宋体" w:hAnsi="宋体" w:eastAsia="宋体" w:cs="宋体"/>
          <w:sz w:val="21"/>
          <w:szCs w:val="21"/>
        </w:rPr>
        <w:t>广西壮族自治区交通工程造价管理站《关于发布广西公路工程机械台班车船使用税标准的函》 桂交监造价函〔2019〕16号</w:t>
      </w:r>
      <w:r>
        <w:rPr>
          <w:rFonts w:hint="eastAsia" w:ascii="宋体" w:hAnsi="宋体" w:eastAsia="宋体" w:cs="宋体"/>
          <w:sz w:val="21"/>
          <w:szCs w:val="21"/>
          <w:lang w:val="en-US" w:eastAsia="zh-CN"/>
        </w:rPr>
        <w:t>文；</w:t>
      </w:r>
      <w:r>
        <w:rPr>
          <w:rFonts w:hint="eastAsia" w:ascii="宋体" w:hAnsi="宋体" w:eastAsia="宋体" w:cs="宋体"/>
          <w:sz w:val="21"/>
          <w:szCs w:val="21"/>
        </w:rPr>
        <w:t>《广西壮族自治区交通运输厅关于印发公路工程建设项目估算概算预算编制办法广西补充规定的通知》（桂交建管发〔2019〕39号</w:t>
      </w:r>
      <w:r>
        <w:rPr>
          <w:rFonts w:hint="eastAsia" w:ascii="宋体" w:hAnsi="宋体" w:eastAsia="宋体" w:cs="宋体"/>
          <w:sz w:val="21"/>
          <w:szCs w:val="21"/>
          <w:lang w:val="en-US" w:eastAsia="zh-CN"/>
        </w:rPr>
        <w:t>文</w:t>
      </w:r>
      <w:r>
        <w:rPr>
          <w:rFonts w:hint="eastAsia" w:ascii="宋体" w:hAnsi="宋体" w:eastAsia="宋体" w:cs="宋体"/>
          <w:sz w:val="21"/>
          <w:szCs w:val="21"/>
        </w:rPr>
        <w:t>）</w:t>
      </w:r>
      <w:r>
        <w:rPr>
          <w:rFonts w:hint="eastAsia" w:ascii="宋体" w:hAnsi="宋体" w:eastAsia="宋体" w:cs="宋体"/>
          <w:sz w:val="21"/>
          <w:szCs w:val="21"/>
          <w:lang w:eastAsia="zh-CN"/>
        </w:rPr>
        <w:t>；</w:t>
      </w:r>
      <w:r>
        <w:rPr>
          <w:rFonts w:hint="eastAsia" w:ascii="宋体" w:hAnsi="宋体" w:eastAsia="宋体" w:cs="宋体"/>
          <w:color w:val="auto"/>
          <w:sz w:val="21"/>
          <w:szCs w:val="21"/>
          <w:lang w:val="en-US" w:eastAsia="zh-CN"/>
        </w:rPr>
        <w:t>材料价格按《桂林市建设工程造价信息》平乐县材料信息202</w:t>
      </w:r>
      <w:r>
        <w:rPr>
          <w:rFonts w:hint="eastAsia" w:ascii="宋体" w:hAnsi="宋体" w:cs="宋体"/>
          <w:color w:val="auto"/>
          <w:sz w:val="21"/>
          <w:szCs w:val="21"/>
          <w:lang w:val="en-US" w:eastAsia="zh-CN"/>
        </w:rPr>
        <w:t>6</w:t>
      </w:r>
      <w:r>
        <w:rPr>
          <w:rFonts w:hint="eastAsia" w:ascii="宋体" w:hAnsi="宋体" w:eastAsia="宋体" w:cs="宋体"/>
          <w:color w:val="auto"/>
          <w:sz w:val="21"/>
          <w:szCs w:val="21"/>
          <w:lang w:val="en-US" w:eastAsia="zh-CN"/>
        </w:rPr>
        <w:t>年第</w:t>
      </w:r>
      <w:r>
        <w:rPr>
          <w:rFonts w:hint="eastAsia" w:ascii="宋体" w:hAnsi="宋体" w:cs="宋体"/>
          <w:color w:val="auto"/>
          <w:sz w:val="21"/>
          <w:szCs w:val="21"/>
          <w:lang w:val="en-US" w:eastAsia="zh-CN"/>
        </w:rPr>
        <w:t>7</w:t>
      </w:r>
      <w:r>
        <w:rPr>
          <w:rFonts w:hint="eastAsia" w:ascii="宋体" w:hAnsi="宋体" w:eastAsia="宋体" w:cs="宋体"/>
          <w:color w:val="auto"/>
          <w:sz w:val="21"/>
          <w:szCs w:val="21"/>
          <w:lang w:val="en-US" w:eastAsia="zh-CN"/>
        </w:rPr>
        <w:t>期调整，无信息价按同期《桂林市建设工程造价信息》桂林信息价计算及市场询价；</w:t>
      </w:r>
      <w:r>
        <w:rPr>
          <w:rFonts w:hint="eastAsia" w:ascii="宋体" w:hAnsi="宋体" w:cs="宋体"/>
          <w:kern w:val="0"/>
          <w:szCs w:val="21"/>
        </w:rPr>
        <w:t>工程量清单计价表格提供。</w:t>
      </w:r>
    </w:p>
    <w:p w14:paraId="13E60C48">
      <w:pPr>
        <w:spacing w:line="500" w:lineRule="exact"/>
        <w:rPr>
          <w:rFonts w:ascii="宋体" w:hAnsi="宋体" w:cs="宋体"/>
          <w:w w:val="99"/>
          <w:kern w:val="0"/>
        </w:rPr>
      </w:pPr>
      <w:r>
        <w:rPr>
          <w:rFonts w:hint="eastAsia" w:ascii="宋体" w:hAnsi="宋体" w:cs="宋体"/>
          <w:b/>
          <w:bCs/>
          <w:w w:val="99"/>
          <w:kern w:val="0"/>
          <w:sz w:val="30"/>
          <w:szCs w:val="32"/>
        </w:rPr>
        <w:t>13、施工组织设计（必须提供）（格式）</w:t>
      </w:r>
      <w:bookmarkStart w:id="671" w:name="_Toc267582080"/>
      <w:bookmarkStart w:id="672" w:name="_Toc369505647"/>
      <w:bookmarkStart w:id="673" w:name="_Toc389146014"/>
      <w:bookmarkStart w:id="674" w:name="_Toc455670863"/>
      <w:bookmarkStart w:id="675" w:name="_Toc207443043"/>
    </w:p>
    <w:bookmarkEnd w:id="671"/>
    <w:bookmarkEnd w:id="672"/>
    <w:bookmarkEnd w:id="673"/>
    <w:bookmarkEnd w:id="674"/>
    <w:bookmarkEnd w:id="675"/>
    <w:p w14:paraId="3ADAC839">
      <w:pPr>
        <w:pStyle w:val="32"/>
        <w:snapToGrid w:val="0"/>
        <w:spacing w:line="500" w:lineRule="exact"/>
        <w:ind w:firstLine="424"/>
        <w:rPr>
          <w:rFonts w:ascii="宋体" w:hAnsi="宋体"/>
        </w:rPr>
      </w:pPr>
      <w:r>
        <w:rPr>
          <w:rFonts w:hint="eastAsia" w:ascii="宋体" w:hAnsi="宋体"/>
        </w:rPr>
        <w:t>1.投标人编制施工组织设计的要求：</w:t>
      </w:r>
    </w:p>
    <w:p w14:paraId="54FCB700">
      <w:pPr>
        <w:pStyle w:val="32"/>
        <w:snapToGrid w:val="0"/>
        <w:spacing w:line="500" w:lineRule="exact"/>
        <w:ind w:firstLine="424"/>
        <w:rPr>
          <w:rFonts w:ascii="宋体" w:hAnsi="宋体"/>
        </w:rPr>
      </w:pPr>
      <w:r>
        <w:rPr>
          <w:rFonts w:hint="eastAsia" w:ascii="宋体" w:hAnsi="宋体"/>
        </w:rPr>
        <w:t>编制时应按以下章顺序采用文字并结合图表形式进行说明：</w:t>
      </w:r>
    </w:p>
    <w:p w14:paraId="10350152">
      <w:pPr>
        <w:pStyle w:val="32"/>
        <w:numPr>
          <w:ilvl w:val="0"/>
          <w:numId w:val="8"/>
        </w:numPr>
        <w:snapToGrid w:val="0"/>
        <w:spacing w:line="500" w:lineRule="exact"/>
        <w:ind w:firstLine="424"/>
        <w:rPr>
          <w:rFonts w:ascii="宋体" w:hAnsi="宋体"/>
        </w:rPr>
      </w:pPr>
      <w:bookmarkStart w:id="676" w:name="_Toc20288_WPSOffice_Level1"/>
      <w:bookmarkStart w:id="677" w:name="_Toc3638_WPSOffice_Level1"/>
      <w:r>
        <w:rPr>
          <w:rFonts w:hint="eastAsia" w:ascii="宋体" w:hAnsi="宋体"/>
        </w:rPr>
        <w:t>总体概述；</w:t>
      </w:r>
      <w:bookmarkEnd w:id="676"/>
      <w:bookmarkEnd w:id="677"/>
    </w:p>
    <w:p w14:paraId="7E0F0651">
      <w:pPr>
        <w:pStyle w:val="32"/>
        <w:numPr>
          <w:ilvl w:val="0"/>
          <w:numId w:val="8"/>
        </w:numPr>
        <w:snapToGrid w:val="0"/>
        <w:spacing w:line="500" w:lineRule="exact"/>
        <w:ind w:firstLine="424"/>
        <w:rPr>
          <w:rFonts w:ascii="宋体" w:hAnsi="宋体"/>
        </w:rPr>
      </w:pPr>
      <w:bookmarkStart w:id="678" w:name="_Toc21835_WPSOffice_Level1"/>
      <w:bookmarkStart w:id="679" w:name="_Toc22988_WPSOffice_Level1"/>
      <w:r>
        <w:rPr>
          <w:rFonts w:hint="eastAsia" w:ascii="宋体" w:hAnsi="宋体"/>
        </w:rPr>
        <w:t>主要施工方法；</w:t>
      </w:r>
      <w:bookmarkEnd w:id="678"/>
      <w:bookmarkEnd w:id="679"/>
    </w:p>
    <w:p w14:paraId="1BC5C819">
      <w:pPr>
        <w:pStyle w:val="32"/>
        <w:numPr>
          <w:ilvl w:val="0"/>
          <w:numId w:val="8"/>
        </w:numPr>
        <w:snapToGrid w:val="0"/>
        <w:spacing w:line="500" w:lineRule="exact"/>
        <w:ind w:firstLine="424"/>
        <w:rPr>
          <w:rFonts w:ascii="宋体" w:hAnsi="宋体"/>
        </w:rPr>
      </w:pPr>
      <w:bookmarkStart w:id="680" w:name="_Toc29323_WPSOffice_Level1"/>
      <w:bookmarkStart w:id="681" w:name="_Toc1533_WPSOffice_Level1"/>
      <w:r>
        <w:rPr>
          <w:rFonts w:hint="eastAsia" w:ascii="宋体" w:hAnsi="宋体"/>
        </w:rPr>
        <w:t>施工进度计划和各阶段进度的保证措施及违约责任承诺；</w:t>
      </w:r>
      <w:bookmarkEnd w:id="680"/>
      <w:bookmarkEnd w:id="681"/>
    </w:p>
    <w:p w14:paraId="4EC63D8B">
      <w:pPr>
        <w:pStyle w:val="32"/>
        <w:numPr>
          <w:ilvl w:val="0"/>
          <w:numId w:val="8"/>
        </w:numPr>
        <w:snapToGrid w:val="0"/>
        <w:spacing w:line="500" w:lineRule="exact"/>
        <w:ind w:firstLine="424"/>
        <w:rPr>
          <w:rFonts w:ascii="宋体" w:hAnsi="宋体"/>
        </w:rPr>
      </w:pPr>
      <w:bookmarkStart w:id="682" w:name="_Toc12741_WPSOffice_Level1"/>
      <w:bookmarkStart w:id="683" w:name="_Toc19224_WPSOffice_Level1"/>
      <w:r>
        <w:rPr>
          <w:rFonts w:hint="eastAsia" w:ascii="宋体" w:hAnsi="宋体"/>
        </w:rPr>
        <w:t>劳动力和材料投入计划及其保证措施；</w:t>
      </w:r>
      <w:bookmarkEnd w:id="682"/>
      <w:bookmarkEnd w:id="683"/>
    </w:p>
    <w:p w14:paraId="55DAA8CC">
      <w:pPr>
        <w:pStyle w:val="32"/>
        <w:numPr>
          <w:ilvl w:val="0"/>
          <w:numId w:val="8"/>
        </w:numPr>
        <w:snapToGrid w:val="0"/>
        <w:spacing w:line="500" w:lineRule="exact"/>
        <w:ind w:firstLine="424"/>
        <w:rPr>
          <w:rFonts w:ascii="宋体" w:hAnsi="宋体"/>
        </w:rPr>
      </w:pPr>
      <w:bookmarkStart w:id="684" w:name="_Toc17856_WPSOffice_Level1"/>
      <w:bookmarkStart w:id="685" w:name="_Toc13636_WPSOffice_Level1"/>
      <w:r>
        <w:rPr>
          <w:rFonts w:hint="eastAsia" w:ascii="宋体" w:hAnsi="宋体"/>
        </w:rPr>
        <w:t>施工平面布置和临时设施布置总体布置；</w:t>
      </w:r>
      <w:bookmarkEnd w:id="684"/>
      <w:bookmarkEnd w:id="685"/>
    </w:p>
    <w:p w14:paraId="3D855145">
      <w:pPr>
        <w:pStyle w:val="32"/>
        <w:numPr>
          <w:ilvl w:val="0"/>
          <w:numId w:val="8"/>
        </w:numPr>
        <w:snapToGrid w:val="0"/>
        <w:spacing w:line="500" w:lineRule="exact"/>
        <w:ind w:firstLine="424"/>
        <w:rPr>
          <w:rFonts w:ascii="宋体" w:hAnsi="宋体"/>
        </w:rPr>
      </w:pPr>
      <w:bookmarkStart w:id="686" w:name="_Toc18099_WPSOffice_Level1"/>
      <w:bookmarkStart w:id="687" w:name="_Toc4363_WPSOffice_Level1"/>
      <w:r>
        <w:rPr>
          <w:rFonts w:hint="eastAsia" w:ascii="宋体" w:hAnsi="宋体"/>
        </w:rPr>
        <w:t>关键施工技术、工艺及工程实施的重点、难点和解决方案；</w:t>
      </w:r>
      <w:bookmarkEnd w:id="686"/>
      <w:bookmarkEnd w:id="687"/>
    </w:p>
    <w:p w14:paraId="281EB386">
      <w:pPr>
        <w:pStyle w:val="32"/>
        <w:numPr>
          <w:ilvl w:val="0"/>
          <w:numId w:val="8"/>
        </w:numPr>
        <w:snapToGrid w:val="0"/>
        <w:spacing w:line="500" w:lineRule="exact"/>
        <w:ind w:firstLine="424"/>
        <w:rPr>
          <w:rFonts w:ascii="宋体" w:hAnsi="宋体"/>
        </w:rPr>
      </w:pPr>
      <w:bookmarkStart w:id="688" w:name="_Toc24635_WPSOffice_Level1"/>
      <w:bookmarkStart w:id="689" w:name="_Toc29158_WPSOffice_Level1"/>
      <w:r>
        <w:rPr>
          <w:rFonts w:hint="eastAsia" w:ascii="宋体" w:hAnsi="宋体"/>
        </w:rPr>
        <w:t>安全文明施工措施；</w:t>
      </w:r>
      <w:bookmarkEnd w:id="688"/>
      <w:bookmarkEnd w:id="689"/>
    </w:p>
    <w:p w14:paraId="3DBB85EA">
      <w:pPr>
        <w:pStyle w:val="32"/>
        <w:numPr>
          <w:ilvl w:val="0"/>
          <w:numId w:val="8"/>
        </w:numPr>
        <w:snapToGrid w:val="0"/>
        <w:spacing w:line="500" w:lineRule="exact"/>
        <w:ind w:firstLine="424"/>
        <w:rPr>
          <w:rFonts w:ascii="宋体" w:hAnsi="宋体"/>
        </w:rPr>
      </w:pPr>
      <w:bookmarkStart w:id="690" w:name="_Toc15821_WPSOffice_Level1"/>
      <w:bookmarkStart w:id="691" w:name="_Toc12565_WPSOffice_Level1"/>
      <w:r>
        <w:rPr>
          <w:rFonts w:hint="eastAsia" w:ascii="宋体" w:hAnsi="宋体"/>
        </w:rPr>
        <w:t>质量保证与承诺；</w:t>
      </w:r>
      <w:bookmarkEnd w:id="690"/>
      <w:bookmarkEnd w:id="691"/>
    </w:p>
    <w:p w14:paraId="7019B538">
      <w:pPr>
        <w:pStyle w:val="32"/>
        <w:numPr>
          <w:ilvl w:val="0"/>
          <w:numId w:val="8"/>
        </w:numPr>
        <w:snapToGrid w:val="0"/>
        <w:spacing w:line="500" w:lineRule="exact"/>
        <w:ind w:firstLine="424"/>
        <w:rPr>
          <w:rFonts w:ascii="宋体" w:hAnsi="宋体"/>
        </w:rPr>
      </w:pPr>
      <w:bookmarkStart w:id="692" w:name="_Toc10917_WPSOffice_Level1"/>
      <w:bookmarkStart w:id="693" w:name="_Toc4452_WPSOffice_Level1"/>
      <w:r>
        <w:rPr>
          <w:rFonts w:hint="eastAsia" w:ascii="宋体" w:hAnsi="宋体"/>
        </w:rPr>
        <w:t>新技术应用与承诺等方面进行说明。</w:t>
      </w:r>
      <w:bookmarkEnd w:id="692"/>
      <w:bookmarkEnd w:id="693"/>
    </w:p>
    <w:p w14:paraId="151E3A6C">
      <w:pPr>
        <w:pStyle w:val="32"/>
        <w:snapToGrid w:val="0"/>
        <w:spacing w:line="500" w:lineRule="exact"/>
        <w:ind w:firstLine="424"/>
        <w:rPr>
          <w:rFonts w:ascii="宋体" w:hAnsi="宋体"/>
        </w:rPr>
      </w:pPr>
      <w:r>
        <w:rPr>
          <w:rFonts w:hint="eastAsia" w:ascii="宋体" w:hAnsi="宋体"/>
        </w:rPr>
        <w:t>2.施工组织设计除采用文字表述外可附下列图表，图表及格式要求附后。</w:t>
      </w:r>
    </w:p>
    <w:p w14:paraId="0E609662">
      <w:pPr>
        <w:pStyle w:val="32"/>
        <w:snapToGrid w:val="0"/>
        <w:spacing w:line="500" w:lineRule="exact"/>
        <w:ind w:firstLine="424"/>
        <w:rPr>
          <w:rFonts w:ascii="宋体" w:hAnsi="宋体"/>
        </w:rPr>
      </w:pPr>
      <w:bookmarkStart w:id="694" w:name="_Toc13905_WPSOffice_Level1"/>
      <w:bookmarkStart w:id="695" w:name="_Toc24230_WPSOffice_Level1"/>
      <w:r>
        <w:rPr>
          <w:rFonts w:hint="eastAsia" w:ascii="宋体" w:hAnsi="宋体"/>
        </w:rPr>
        <w:t>附表一</w:t>
      </w:r>
      <w:r>
        <w:rPr>
          <w:rFonts w:hint="eastAsia" w:ascii="宋体" w:hAnsi="宋体"/>
        </w:rPr>
        <w:tab/>
      </w:r>
      <w:r>
        <w:rPr>
          <w:rFonts w:hint="eastAsia" w:ascii="宋体" w:hAnsi="宋体"/>
          <w:spacing w:val="-1"/>
        </w:rPr>
        <w:t>拟</w:t>
      </w:r>
      <w:r>
        <w:rPr>
          <w:rFonts w:hint="eastAsia" w:ascii="宋体" w:hAnsi="宋体"/>
        </w:rPr>
        <w:t>投入本标段的主要施工设备表</w:t>
      </w:r>
      <w:bookmarkEnd w:id="694"/>
      <w:bookmarkEnd w:id="695"/>
    </w:p>
    <w:p w14:paraId="5834DBBB">
      <w:pPr>
        <w:pStyle w:val="32"/>
        <w:snapToGrid w:val="0"/>
        <w:spacing w:line="500" w:lineRule="exact"/>
        <w:ind w:firstLine="424"/>
        <w:rPr>
          <w:rFonts w:ascii="宋体" w:hAnsi="宋体"/>
        </w:rPr>
      </w:pPr>
      <w:bookmarkStart w:id="696" w:name="_Toc20088_WPSOffice_Level1"/>
      <w:bookmarkStart w:id="697" w:name="_Toc31407_WPSOffice_Level1"/>
      <w:r>
        <w:rPr>
          <w:rFonts w:hint="eastAsia" w:ascii="宋体" w:hAnsi="宋体"/>
        </w:rPr>
        <w:t>附表二</w:t>
      </w:r>
      <w:r>
        <w:rPr>
          <w:rFonts w:hint="eastAsia" w:ascii="宋体" w:hAnsi="宋体"/>
        </w:rPr>
        <w:tab/>
      </w:r>
      <w:r>
        <w:rPr>
          <w:rFonts w:hint="eastAsia" w:ascii="宋体" w:hAnsi="宋体"/>
          <w:spacing w:val="-1"/>
        </w:rPr>
        <w:t>拟</w:t>
      </w:r>
      <w:r>
        <w:rPr>
          <w:rFonts w:hint="eastAsia" w:ascii="宋体" w:hAnsi="宋体"/>
        </w:rPr>
        <w:t>配备本标段的试验和检测仪器设备表</w:t>
      </w:r>
      <w:bookmarkEnd w:id="696"/>
      <w:bookmarkEnd w:id="697"/>
    </w:p>
    <w:p w14:paraId="4E0EBF7A">
      <w:pPr>
        <w:pStyle w:val="32"/>
        <w:snapToGrid w:val="0"/>
        <w:spacing w:line="500" w:lineRule="exact"/>
        <w:ind w:firstLine="424"/>
        <w:rPr>
          <w:rFonts w:ascii="宋体" w:hAnsi="宋体"/>
        </w:rPr>
      </w:pPr>
      <w:bookmarkStart w:id="698" w:name="_Toc10539_WPSOffice_Level1"/>
      <w:bookmarkStart w:id="699" w:name="_Toc17946_WPSOffice_Level1"/>
      <w:r>
        <w:rPr>
          <w:rFonts w:hint="eastAsia" w:ascii="宋体" w:hAnsi="宋体"/>
        </w:rPr>
        <w:t>附表三</w:t>
      </w:r>
      <w:r>
        <w:rPr>
          <w:rFonts w:hint="eastAsia" w:ascii="宋体" w:hAnsi="宋体"/>
        </w:rPr>
        <w:tab/>
      </w:r>
      <w:r>
        <w:rPr>
          <w:rFonts w:hint="eastAsia" w:ascii="宋体" w:hAnsi="宋体"/>
          <w:spacing w:val="-1"/>
        </w:rPr>
        <w:t>劳</w:t>
      </w:r>
      <w:r>
        <w:rPr>
          <w:rFonts w:hint="eastAsia" w:ascii="宋体" w:hAnsi="宋体"/>
        </w:rPr>
        <w:t>动力计划表</w:t>
      </w:r>
      <w:bookmarkEnd w:id="698"/>
      <w:bookmarkEnd w:id="699"/>
    </w:p>
    <w:p w14:paraId="6F5FCDC9">
      <w:pPr>
        <w:pStyle w:val="32"/>
        <w:snapToGrid w:val="0"/>
        <w:spacing w:line="500" w:lineRule="exact"/>
        <w:ind w:firstLine="424"/>
        <w:rPr>
          <w:rFonts w:ascii="宋体" w:hAnsi="宋体"/>
        </w:rPr>
      </w:pPr>
      <w:bookmarkStart w:id="700" w:name="_Toc29064_WPSOffice_Level1"/>
      <w:bookmarkStart w:id="701" w:name="_Toc17530_WPSOffice_Level1"/>
      <w:r>
        <w:rPr>
          <w:rFonts w:hint="eastAsia" w:ascii="宋体" w:hAnsi="宋体"/>
        </w:rPr>
        <w:t>附表四</w:t>
      </w:r>
      <w:r>
        <w:rPr>
          <w:rFonts w:hint="eastAsia" w:ascii="宋体" w:hAnsi="宋体"/>
        </w:rPr>
        <w:tab/>
      </w:r>
      <w:r>
        <w:rPr>
          <w:rFonts w:hint="eastAsia" w:ascii="宋体" w:hAnsi="宋体"/>
          <w:spacing w:val="-1"/>
        </w:rPr>
        <w:t>计</w:t>
      </w:r>
      <w:r>
        <w:rPr>
          <w:rFonts w:hint="eastAsia" w:ascii="宋体" w:hAnsi="宋体"/>
        </w:rPr>
        <w:t>划开、竣工日期和施工进度网络图</w:t>
      </w:r>
      <w:bookmarkEnd w:id="700"/>
      <w:bookmarkEnd w:id="701"/>
    </w:p>
    <w:p w14:paraId="1E10886B">
      <w:pPr>
        <w:pStyle w:val="32"/>
        <w:snapToGrid w:val="0"/>
        <w:spacing w:line="500" w:lineRule="exact"/>
        <w:ind w:firstLine="424"/>
        <w:rPr>
          <w:rFonts w:ascii="宋体" w:hAnsi="宋体"/>
        </w:rPr>
      </w:pPr>
      <w:bookmarkStart w:id="702" w:name="_Toc19010_WPSOffice_Level1"/>
      <w:bookmarkStart w:id="703" w:name="_Toc26852_WPSOffice_Level1"/>
      <w:r>
        <w:rPr>
          <w:rFonts w:hint="eastAsia" w:ascii="宋体" w:hAnsi="宋体"/>
        </w:rPr>
        <w:t>附表五</w:t>
      </w:r>
      <w:r>
        <w:rPr>
          <w:rFonts w:hint="eastAsia" w:ascii="宋体" w:hAnsi="宋体"/>
        </w:rPr>
        <w:tab/>
      </w:r>
      <w:r>
        <w:rPr>
          <w:rFonts w:hint="eastAsia" w:ascii="宋体" w:hAnsi="宋体"/>
          <w:spacing w:val="-1"/>
        </w:rPr>
        <w:t>施</w:t>
      </w:r>
      <w:r>
        <w:rPr>
          <w:rFonts w:hint="eastAsia" w:ascii="宋体" w:hAnsi="宋体"/>
        </w:rPr>
        <w:t>工总平面图</w:t>
      </w:r>
      <w:bookmarkEnd w:id="702"/>
      <w:bookmarkEnd w:id="703"/>
    </w:p>
    <w:p w14:paraId="124E0AB6">
      <w:pPr>
        <w:pStyle w:val="32"/>
        <w:snapToGrid w:val="0"/>
        <w:spacing w:line="500" w:lineRule="exact"/>
        <w:ind w:firstLine="424"/>
        <w:rPr>
          <w:rFonts w:ascii="宋体" w:hAnsi="宋体"/>
        </w:rPr>
      </w:pPr>
      <w:bookmarkStart w:id="704" w:name="_Toc14611_WPSOffice_Level1"/>
      <w:bookmarkStart w:id="705" w:name="_Toc6323_WPSOffice_Level1"/>
      <w:r>
        <w:rPr>
          <w:rFonts w:hint="eastAsia" w:ascii="宋体" w:hAnsi="宋体"/>
          <w:position w:val="-2"/>
        </w:rPr>
        <w:t>附表六</w:t>
      </w:r>
      <w:r>
        <w:rPr>
          <w:rFonts w:hint="eastAsia" w:ascii="宋体" w:hAnsi="宋体"/>
          <w:position w:val="-2"/>
        </w:rPr>
        <w:tab/>
      </w:r>
      <w:r>
        <w:rPr>
          <w:rFonts w:hint="eastAsia" w:ascii="宋体" w:hAnsi="宋体"/>
          <w:spacing w:val="-1"/>
          <w:position w:val="-2"/>
        </w:rPr>
        <w:t>临</w:t>
      </w:r>
      <w:r>
        <w:rPr>
          <w:rFonts w:hint="eastAsia" w:ascii="宋体" w:hAnsi="宋体"/>
          <w:position w:val="-2"/>
        </w:rPr>
        <w:t>时用地表</w:t>
      </w:r>
      <w:bookmarkEnd w:id="704"/>
      <w:bookmarkEnd w:id="705"/>
    </w:p>
    <w:p w14:paraId="2FCB6EC5">
      <w:pPr>
        <w:pStyle w:val="6"/>
        <w:spacing w:line="500" w:lineRule="exact"/>
        <w:rPr>
          <w:rFonts w:ascii="宋体" w:hAnsi="宋体" w:cs="宋体"/>
          <w:sz w:val="28"/>
          <w:szCs w:val="28"/>
        </w:rPr>
      </w:pPr>
      <w:bookmarkStart w:id="706" w:name="_Toc389146015"/>
      <w:bookmarkStart w:id="707" w:name="_Toc369505648"/>
      <w:bookmarkStart w:id="708" w:name="_Toc455670864"/>
      <w:bookmarkStart w:id="709" w:name="_Toc207443044"/>
      <w:bookmarkStart w:id="710" w:name="_Toc267582081"/>
      <w:r>
        <w:rPr>
          <w:rFonts w:hint="eastAsia" w:ascii="宋体" w:hAnsi="宋体" w:cs="宋体"/>
          <w:sz w:val="28"/>
          <w:szCs w:val="28"/>
        </w:rPr>
        <w:t>附表一：拟投入本标段的主要施工设备表</w:t>
      </w:r>
      <w:bookmarkEnd w:id="706"/>
      <w:bookmarkEnd w:id="707"/>
      <w:bookmarkEnd w:id="708"/>
      <w:bookmarkEnd w:id="709"/>
      <w:bookmarkEnd w:id="710"/>
    </w:p>
    <w:tbl>
      <w:tblPr>
        <w:tblStyle w:val="21"/>
        <w:tblW w:w="8920" w:type="dxa"/>
        <w:tblInd w:w="119" w:type="dxa"/>
        <w:tblLayout w:type="fixed"/>
        <w:tblCellMar>
          <w:top w:w="0" w:type="dxa"/>
          <w:left w:w="0" w:type="dxa"/>
          <w:bottom w:w="0" w:type="dxa"/>
          <w:right w:w="0" w:type="dxa"/>
        </w:tblCellMar>
      </w:tblPr>
      <w:tblGrid>
        <w:gridCol w:w="678"/>
        <w:gridCol w:w="1108"/>
        <w:gridCol w:w="776"/>
        <w:gridCol w:w="1010"/>
        <w:gridCol w:w="686"/>
        <w:gridCol w:w="752"/>
        <w:gridCol w:w="1237"/>
        <w:gridCol w:w="892"/>
        <w:gridCol w:w="1075"/>
        <w:gridCol w:w="706"/>
      </w:tblGrid>
      <w:tr w14:paraId="62FEB7E8">
        <w:tblPrEx>
          <w:tblCellMar>
            <w:top w:w="0" w:type="dxa"/>
            <w:left w:w="0" w:type="dxa"/>
            <w:bottom w:w="0" w:type="dxa"/>
            <w:right w:w="0" w:type="dxa"/>
          </w:tblCellMar>
        </w:tblPrEx>
        <w:trPr>
          <w:trHeight w:val="971" w:hRule="exact"/>
        </w:trPr>
        <w:tc>
          <w:tcPr>
            <w:tcW w:w="678" w:type="dxa"/>
            <w:tcBorders>
              <w:top w:val="single" w:color="000000" w:sz="4" w:space="0"/>
              <w:left w:val="single" w:color="000000" w:sz="4" w:space="0"/>
              <w:bottom w:val="single" w:color="000000" w:sz="4" w:space="0"/>
              <w:right w:val="single" w:color="000000" w:sz="4" w:space="0"/>
            </w:tcBorders>
          </w:tcPr>
          <w:p w14:paraId="08BED886">
            <w:pPr>
              <w:spacing w:line="500" w:lineRule="exact"/>
              <w:jc w:val="center"/>
              <w:rPr>
                <w:rFonts w:ascii="宋体" w:hAnsi="宋体" w:cs="宋体"/>
                <w:kern w:val="0"/>
                <w:szCs w:val="21"/>
              </w:rPr>
            </w:pPr>
            <w:r>
              <w:rPr>
                <w:rFonts w:hint="eastAsia" w:ascii="宋体" w:hAnsi="宋体" w:cs="宋体"/>
                <w:kern w:val="0"/>
                <w:szCs w:val="21"/>
              </w:rPr>
              <w:t>序号</w:t>
            </w:r>
          </w:p>
        </w:tc>
        <w:tc>
          <w:tcPr>
            <w:tcW w:w="1108" w:type="dxa"/>
            <w:tcBorders>
              <w:top w:val="single" w:color="000000" w:sz="4" w:space="0"/>
              <w:left w:val="single" w:color="000000" w:sz="4" w:space="0"/>
              <w:bottom w:val="single" w:color="000000" w:sz="4" w:space="0"/>
              <w:right w:val="single" w:color="000000" w:sz="4" w:space="0"/>
            </w:tcBorders>
          </w:tcPr>
          <w:p w14:paraId="29C46422">
            <w:pPr>
              <w:spacing w:line="500" w:lineRule="exact"/>
              <w:jc w:val="center"/>
              <w:rPr>
                <w:rFonts w:ascii="宋体" w:hAnsi="宋体" w:cs="宋体"/>
                <w:kern w:val="0"/>
                <w:szCs w:val="21"/>
              </w:rPr>
            </w:pPr>
            <w:r>
              <w:rPr>
                <w:rFonts w:hint="eastAsia" w:ascii="宋体" w:hAnsi="宋体" w:cs="宋体"/>
                <w:kern w:val="0"/>
                <w:szCs w:val="21"/>
              </w:rPr>
              <w:t>设备名称</w:t>
            </w:r>
          </w:p>
        </w:tc>
        <w:tc>
          <w:tcPr>
            <w:tcW w:w="776" w:type="dxa"/>
            <w:tcBorders>
              <w:top w:val="single" w:color="000000" w:sz="4" w:space="0"/>
              <w:left w:val="single" w:color="000000" w:sz="4" w:space="0"/>
              <w:bottom w:val="single" w:color="000000" w:sz="4" w:space="0"/>
              <w:right w:val="single" w:color="000000" w:sz="4" w:space="0"/>
            </w:tcBorders>
          </w:tcPr>
          <w:p w14:paraId="5BC85921">
            <w:pPr>
              <w:spacing w:line="500" w:lineRule="exact"/>
              <w:jc w:val="center"/>
              <w:rPr>
                <w:rFonts w:ascii="宋体" w:hAnsi="宋体" w:cs="宋体"/>
                <w:kern w:val="0"/>
                <w:szCs w:val="21"/>
              </w:rPr>
            </w:pPr>
            <w:r>
              <w:rPr>
                <w:rFonts w:hint="eastAsia" w:ascii="宋体" w:hAnsi="宋体" w:cs="宋体"/>
                <w:kern w:val="0"/>
                <w:szCs w:val="21"/>
              </w:rPr>
              <w:t>型号</w:t>
            </w:r>
          </w:p>
          <w:p w14:paraId="497EFFF1">
            <w:pPr>
              <w:spacing w:line="500" w:lineRule="exact"/>
              <w:jc w:val="center"/>
              <w:rPr>
                <w:rFonts w:ascii="宋体" w:hAnsi="宋体" w:cs="宋体"/>
                <w:kern w:val="0"/>
                <w:szCs w:val="21"/>
              </w:rPr>
            </w:pPr>
            <w:r>
              <w:rPr>
                <w:rFonts w:hint="eastAsia" w:ascii="宋体" w:hAnsi="宋体" w:cs="宋体"/>
                <w:kern w:val="0"/>
                <w:szCs w:val="21"/>
              </w:rPr>
              <w:t>规格</w:t>
            </w:r>
          </w:p>
        </w:tc>
        <w:tc>
          <w:tcPr>
            <w:tcW w:w="1010" w:type="dxa"/>
            <w:tcBorders>
              <w:top w:val="single" w:color="000000" w:sz="4" w:space="0"/>
              <w:left w:val="single" w:color="000000" w:sz="4" w:space="0"/>
              <w:bottom w:val="single" w:color="000000" w:sz="4" w:space="0"/>
              <w:right w:val="single" w:color="000000" w:sz="4" w:space="0"/>
            </w:tcBorders>
          </w:tcPr>
          <w:p w14:paraId="60F5D1B7">
            <w:pPr>
              <w:spacing w:line="500" w:lineRule="exact"/>
              <w:jc w:val="center"/>
              <w:rPr>
                <w:rFonts w:ascii="宋体" w:hAnsi="宋体" w:cs="宋体"/>
                <w:kern w:val="0"/>
                <w:szCs w:val="21"/>
              </w:rPr>
            </w:pPr>
            <w:r>
              <w:rPr>
                <w:rFonts w:hint="eastAsia" w:ascii="宋体" w:hAnsi="宋体" w:cs="宋体"/>
                <w:kern w:val="0"/>
                <w:szCs w:val="21"/>
              </w:rPr>
              <w:t>数量</w:t>
            </w:r>
          </w:p>
        </w:tc>
        <w:tc>
          <w:tcPr>
            <w:tcW w:w="686" w:type="dxa"/>
            <w:tcBorders>
              <w:top w:val="single" w:color="000000" w:sz="4" w:space="0"/>
              <w:left w:val="single" w:color="000000" w:sz="4" w:space="0"/>
              <w:bottom w:val="single" w:color="000000" w:sz="4" w:space="0"/>
              <w:right w:val="single" w:color="000000" w:sz="4" w:space="0"/>
            </w:tcBorders>
          </w:tcPr>
          <w:p w14:paraId="16263A0F">
            <w:pPr>
              <w:spacing w:line="500" w:lineRule="exact"/>
              <w:jc w:val="center"/>
              <w:rPr>
                <w:rFonts w:ascii="宋体" w:hAnsi="宋体" w:cs="宋体"/>
                <w:kern w:val="0"/>
                <w:szCs w:val="21"/>
              </w:rPr>
            </w:pPr>
            <w:r>
              <w:rPr>
                <w:rFonts w:hint="eastAsia" w:ascii="宋体" w:hAnsi="宋体" w:cs="宋体"/>
                <w:kern w:val="0"/>
                <w:szCs w:val="21"/>
              </w:rPr>
              <w:t>国别 产地</w:t>
            </w:r>
          </w:p>
        </w:tc>
        <w:tc>
          <w:tcPr>
            <w:tcW w:w="752" w:type="dxa"/>
            <w:tcBorders>
              <w:top w:val="single" w:color="000000" w:sz="4" w:space="0"/>
              <w:left w:val="single" w:color="000000" w:sz="4" w:space="0"/>
              <w:bottom w:val="single" w:color="000000" w:sz="4" w:space="0"/>
              <w:right w:val="single" w:color="000000" w:sz="4" w:space="0"/>
            </w:tcBorders>
          </w:tcPr>
          <w:p w14:paraId="68A80B75">
            <w:pPr>
              <w:spacing w:line="500" w:lineRule="exact"/>
              <w:jc w:val="center"/>
              <w:rPr>
                <w:rFonts w:ascii="宋体" w:hAnsi="宋体" w:cs="宋体"/>
                <w:kern w:val="0"/>
                <w:szCs w:val="21"/>
              </w:rPr>
            </w:pPr>
            <w:r>
              <w:rPr>
                <w:rFonts w:hint="eastAsia" w:ascii="宋体" w:hAnsi="宋体" w:cs="宋体"/>
                <w:kern w:val="0"/>
                <w:szCs w:val="21"/>
              </w:rPr>
              <w:t>制造 年份</w:t>
            </w:r>
          </w:p>
        </w:tc>
        <w:tc>
          <w:tcPr>
            <w:tcW w:w="1237" w:type="dxa"/>
            <w:tcBorders>
              <w:top w:val="single" w:color="000000" w:sz="4" w:space="0"/>
              <w:left w:val="single" w:color="000000" w:sz="4" w:space="0"/>
              <w:bottom w:val="single" w:color="000000" w:sz="4" w:space="0"/>
              <w:right w:val="single" w:color="000000" w:sz="4" w:space="0"/>
            </w:tcBorders>
          </w:tcPr>
          <w:p w14:paraId="6F4FA7DE">
            <w:pPr>
              <w:spacing w:line="500" w:lineRule="exact"/>
              <w:jc w:val="center"/>
              <w:rPr>
                <w:rFonts w:ascii="宋体" w:hAnsi="宋体" w:cs="宋体"/>
                <w:kern w:val="0"/>
                <w:szCs w:val="21"/>
              </w:rPr>
            </w:pPr>
            <w:r>
              <w:rPr>
                <w:rFonts w:hint="eastAsia" w:ascii="宋体" w:hAnsi="宋体" w:cs="宋体"/>
                <w:kern w:val="0"/>
                <w:szCs w:val="21"/>
              </w:rPr>
              <w:t>额定功率</w:t>
            </w:r>
          </w:p>
          <w:p w14:paraId="16E40691">
            <w:pPr>
              <w:spacing w:line="500" w:lineRule="exact"/>
              <w:jc w:val="center"/>
              <w:rPr>
                <w:rFonts w:ascii="宋体" w:hAnsi="宋体" w:cs="宋体"/>
                <w:kern w:val="0"/>
                <w:szCs w:val="21"/>
              </w:rPr>
            </w:pPr>
            <w:r>
              <w:rPr>
                <w:rFonts w:hint="eastAsia" w:ascii="宋体" w:hAnsi="宋体" w:cs="宋体"/>
                <w:kern w:val="0"/>
                <w:szCs w:val="21"/>
              </w:rPr>
              <w:t>（KW）</w:t>
            </w:r>
          </w:p>
        </w:tc>
        <w:tc>
          <w:tcPr>
            <w:tcW w:w="892" w:type="dxa"/>
            <w:tcBorders>
              <w:top w:val="single" w:color="000000" w:sz="4" w:space="0"/>
              <w:left w:val="single" w:color="000000" w:sz="4" w:space="0"/>
              <w:bottom w:val="single" w:color="000000" w:sz="4" w:space="0"/>
              <w:right w:val="single" w:color="000000" w:sz="4" w:space="0"/>
            </w:tcBorders>
          </w:tcPr>
          <w:p w14:paraId="0EAF0B7D">
            <w:pPr>
              <w:spacing w:line="500" w:lineRule="exact"/>
              <w:jc w:val="center"/>
              <w:rPr>
                <w:rFonts w:ascii="宋体" w:hAnsi="宋体" w:cs="宋体"/>
                <w:kern w:val="0"/>
                <w:szCs w:val="21"/>
              </w:rPr>
            </w:pPr>
            <w:r>
              <w:rPr>
                <w:rFonts w:hint="eastAsia" w:ascii="宋体" w:hAnsi="宋体" w:cs="宋体"/>
                <w:kern w:val="0"/>
                <w:szCs w:val="21"/>
              </w:rPr>
              <w:t>生产</w:t>
            </w:r>
          </w:p>
          <w:p w14:paraId="1F825A90">
            <w:pPr>
              <w:spacing w:line="500" w:lineRule="exact"/>
              <w:jc w:val="center"/>
              <w:rPr>
                <w:rFonts w:ascii="宋体" w:hAnsi="宋体" w:cs="宋体"/>
                <w:kern w:val="0"/>
                <w:szCs w:val="21"/>
              </w:rPr>
            </w:pPr>
            <w:r>
              <w:rPr>
                <w:rFonts w:hint="eastAsia" w:ascii="宋体" w:hAnsi="宋体" w:cs="宋体"/>
                <w:kern w:val="0"/>
                <w:szCs w:val="21"/>
              </w:rPr>
              <w:t>能力</w:t>
            </w:r>
          </w:p>
        </w:tc>
        <w:tc>
          <w:tcPr>
            <w:tcW w:w="1075" w:type="dxa"/>
            <w:tcBorders>
              <w:top w:val="single" w:color="000000" w:sz="4" w:space="0"/>
              <w:left w:val="single" w:color="000000" w:sz="4" w:space="0"/>
              <w:bottom w:val="single" w:color="000000" w:sz="4" w:space="0"/>
              <w:right w:val="single" w:color="000000" w:sz="4" w:space="0"/>
            </w:tcBorders>
          </w:tcPr>
          <w:p w14:paraId="60BB4B62">
            <w:pPr>
              <w:spacing w:line="500" w:lineRule="exact"/>
              <w:jc w:val="center"/>
              <w:rPr>
                <w:rFonts w:ascii="宋体" w:hAnsi="宋体" w:cs="宋体"/>
                <w:kern w:val="0"/>
                <w:szCs w:val="21"/>
              </w:rPr>
            </w:pPr>
            <w:r>
              <w:rPr>
                <w:rFonts w:hint="eastAsia" w:ascii="宋体" w:hAnsi="宋体" w:cs="宋体"/>
                <w:kern w:val="0"/>
                <w:szCs w:val="21"/>
              </w:rPr>
              <w:t>用于施</w:t>
            </w:r>
          </w:p>
          <w:p w14:paraId="0AC1AB38">
            <w:pPr>
              <w:spacing w:line="500" w:lineRule="exact"/>
              <w:jc w:val="center"/>
              <w:rPr>
                <w:rFonts w:ascii="宋体" w:hAnsi="宋体" w:cs="宋体"/>
                <w:kern w:val="0"/>
                <w:szCs w:val="21"/>
              </w:rPr>
            </w:pPr>
            <w:r>
              <w:rPr>
                <w:rFonts w:hint="eastAsia" w:ascii="宋体" w:hAnsi="宋体" w:cs="宋体"/>
                <w:kern w:val="0"/>
                <w:szCs w:val="21"/>
              </w:rPr>
              <w:t>工部位</w:t>
            </w:r>
          </w:p>
        </w:tc>
        <w:tc>
          <w:tcPr>
            <w:tcW w:w="706" w:type="dxa"/>
            <w:tcBorders>
              <w:top w:val="single" w:color="000000" w:sz="4" w:space="0"/>
              <w:left w:val="single" w:color="000000" w:sz="4" w:space="0"/>
              <w:bottom w:val="single" w:color="000000" w:sz="4" w:space="0"/>
              <w:right w:val="single" w:color="000000" w:sz="4" w:space="0"/>
            </w:tcBorders>
          </w:tcPr>
          <w:p w14:paraId="3921F86A">
            <w:pPr>
              <w:spacing w:line="500" w:lineRule="exact"/>
              <w:jc w:val="center"/>
              <w:rPr>
                <w:rFonts w:ascii="宋体" w:hAnsi="宋体" w:cs="宋体"/>
                <w:kern w:val="0"/>
                <w:szCs w:val="21"/>
              </w:rPr>
            </w:pPr>
            <w:r>
              <w:rPr>
                <w:rFonts w:hint="eastAsia" w:ascii="宋体" w:hAnsi="宋体" w:cs="宋体"/>
                <w:kern w:val="0"/>
                <w:szCs w:val="21"/>
              </w:rPr>
              <w:t>备注</w:t>
            </w:r>
          </w:p>
        </w:tc>
      </w:tr>
      <w:tr w14:paraId="7D7DA18C">
        <w:trPr>
          <w:trHeight w:val="472" w:hRule="exact"/>
        </w:trPr>
        <w:tc>
          <w:tcPr>
            <w:tcW w:w="678" w:type="dxa"/>
            <w:tcBorders>
              <w:top w:val="single" w:color="000000" w:sz="4" w:space="0"/>
              <w:left w:val="single" w:color="000000" w:sz="4" w:space="0"/>
              <w:bottom w:val="single" w:color="000000" w:sz="4" w:space="0"/>
              <w:right w:val="single" w:color="000000" w:sz="4" w:space="0"/>
            </w:tcBorders>
          </w:tcPr>
          <w:p w14:paraId="4EACBA59">
            <w:pPr>
              <w:spacing w:line="500" w:lineRule="exact"/>
              <w:rPr>
                <w:rFonts w:ascii="宋体" w:hAnsi="宋体" w:cs="宋体"/>
                <w:kern w:val="0"/>
                <w:szCs w:val="21"/>
              </w:rPr>
            </w:pPr>
          </w:p>
        </w:tc>
        <w:tc>
          <w:tcPr>
            <w:tcW w:w="1108" w:type="dxa"/>
            <w:tcBorders>
              <w:top w:val="single" w:color="000000" w:sz="4" w:space="0"/>
              <w:left w:val="single" w:color="000000" w:sz="4" w:space="0"/>
              <w:bottom w:val="single" w:color="000000" w:sz="4" w:space="0"/>
              <w:right w:val="single" w:color="000000" w:sz="4" w:space="0"/>
            </w:tcBorders>
          </w:tcPr>
          <w:p w14:paraId="6B4A6EED">
            <w:pPr>
              <w:spacing w:line="500" w:lineRule="exact"/>
              <w:rPr>
                <w:rFonts w:ascii="宋体" w:hAnsi="宋体" w:cs="宋体"/>
                <w:kern w:val="0"/>
                <w:szCs w:val="21"/>
              </w:rPr>
            </w:pPr>
          </w:p>
        </w:tc>
        <w:tc>
          <w:tcPr>
            <w:tcW w:w="776" w:type="dxa"/>
            <w:tcBorders>
              <w:top w:val="single" w:color="000000" w:sz="4" w:space="0"/>
              <w:left w:val="single" w:color="000000" w:sz="4" w:space="0"/>
              <w:bottom w:val="single" w:color="000000" w:sz="4" w:space="0"/>
              <w:right w:val="single" w:color="000000" w:sz="4" w:space="0"/>
            </w:tcBorders>
          </w:tcPr>
          <w:p w14:paraId="61AEAC6D">
            <w:pPr>
              <w:spacing w:line="500" w:lineRule="exact"/>
              <w:rPr>
                <w:rFonts w:ascii="宋体" w:hAnsi="宋体" w:cs="宋体"/>
                <w:kern w:val="0"/>
                <w:szCs w:val="21"/>
              </w:rPr>
            </w:pPr>
          </w:p>
        </w:tc>
        <w:tc>
          <w:tcPr>
            <w:tcW w:w="1010" w:type="dxa"/>
            <w:tcBorders>
              <w:top w:val="single" w:color="000000" w:sz="4" w:space="0"/>
              <w:left w:val="single" w:color="000000" w:sz="4" w:space="0"/>
              <w:bottom w:val="single" w:color="000000" w:sz="4" w:space="0"/>
              <w:right w:val="single" w:color="000000" w:sz="4" w:space="0"/>
            </w:tcBorders>
          </w:tcPr>
          <w:p w14:paraId="29954850">
            <w:pPr>
              <w:spacing w:line="500" w:lineRule="exact"/>
              <w:rPr>
                <w:rFonts w:ascii="宋体" w:hAnsi="宋体" w:cs="宋体"/>
                <w:kern w:val="0"/>
                <w:szCs w:val="21"/>
              </w:rPr>
            </w:pPr>
          </w:p>
        </w:tc>
        <w:tc>
          <w:tcPr>
            <w:tcW w:w="686" w:type="dxa"/>
            <w:tcBorders>
              <w:top w:val="single" w:color="000000" w:sz="4" w:space="0"/>
              <w:left w:val="single" w:color="000000" w:sz="4" w:space="0"/>
              <w:bottom w:val="single" w:color="000000" w:sz="4" w:space="0"/>
              <w:right w:val="single" w:color="000000" w:sz="4" w:space="0"/>
            </w:tcBorders>
          </w:tcPr>
          <w:p w14:paraId="6C8E0D37">
            <w:pPr>
              <w:spacing w:line="500" w:lineRule="exact"/>
              <w:rPr>
                <w:rFonts w:ascii="宋体" w:hAnsi="宋体" w:cs="宋体"/>
                <w:kern w:val="0"/>
                <w:szCs w:val="21"/>
              </w:rPr>
            </w:pPr>
          </w:p>
        </w:tc>
        <w:tc>
          <w:tcPr>
            <w:tcW w:w="752" w:type="dxa"/>
            <w:tcBorders>
              <w:top w:val="single" w:color="000000" w:sz="4" w:space="0"/>
              <w:left w:val="single" w:color="000000" w:sz="4" w:space="0"/>
              <w:bottom w:val="single" w:color="000000" w:sz="4" w:space="0"/>
              <w:right w:val="single" w:color="000000" w:sz="4" w:space="0"/>
            </w:tcBorders>
          </w:tcPr>
          <w:p w14:paraId="7756EC0D">
            <w:pPr>
              <w:spacing w:line="500" w:lineRule="exact"/>
              <w:rPr>
                <w:rFonts w:ascii="宋体" w:hAnsi="宋体" w:cs="宋体"/>
                <w:kern w:val="0"/>
                <w:szCs w:val="21"/>
              </w:rPr>
            </w:pPr>
          </w:p>
        </w:tc>
        <w:tc>
          <w:tcPr>
            <w:tcW w:w="1237" w:type="dxa"/>
            <w:tcBorders>
              <w:top w:val="single" w:color="000000" w:sz="4" w:space="0"/>
              <w:left w:val="single" w:color="000000" w:sz="4" w:space="0"/>
              <w:bottom w:val="single" w:color="000000" w:sz="4" w:space="0"/>
              <w:right w:val="single" w:color="000000" w:sz="4" w:space="0"/>
            </w:tcBorders>
          </w:tcPr>
          <w:p w14:paraId="12C7CE4D">
            <w:pPr>
              <w:spacing w:line="500" w:lineRule="exact"/>
              <w:rPr>
                <w:rFonts w:ascii="宋体" w:hAnsi="宋体" w:cs="宋体"/>
                <w:kern w:val="0"/>
                <w:szCs w:val="21"/>
              </w:rPr>
            </w:pPr>
          </w:p>
        </w:tc>
        <w:tc>
          <w:tcPr>
            <w:tcW w:w="892" w:type="dxa"/>
            <w:tcBorders>
              <w:top w:val="single" w:color="000000" w:sz="4" w:space="0"/>
              <w:left w:val="single" w:color="000000" w:sz="4" w:space="0"/>
              <w:bottom w:val="single" w:color="000000" w:sz="4" w:space="0"/>
              <w:right w:val="single" w:color="000000" w:sz="4" w:space="0"/>
            </w:tcBorders>
          </w:tcPr>
          <w:p w14:paraId="161478C1">
            <w:pPr>
              <w:spacing w:line="500" w:lineRule="exact"/>
              <w:rPr>
                <w:rFonts w:ascii="宋体" w:hAnsi="宋体" w:cs="宋体"/>
                <w:kern w:val="0"/>
                <w:szCs w:val="21"/>
              </w:rPr>
            </w:pPr>
          </w:p>
        </w:tc>
        <w:tc>
          <w:tcPr>
            <w:tcW w:w="1075" w:type="dxa"/>
            <w:tcBorders>
              <w:top w:val="single" w:color="000000" w:sz="4" w:space="0"/>
              <w:left w:val="single" w:color="000000" w:sz="4" w:space="0"/>
              <w:bottom w:val="single" w:color="000000" w:sz="4" w:space="0"/>
              <w:right w:val="single" w:color="000000" w:sz="4" w:space="0"/>
            </w:tcBorders>
          </w:tcPr>
          <w:p w14:paraId="53DBB5EC">
            <w:pPr>
              <w:spacing w:line="500" w:lineRule="exact"/>
              <w:rPr>
                <w:rFonts w:ascii="宋体" w:hAnsi="宋体" w:cs="宋体"/>
                <w:kern w:val="0"/>
                <w:szCs w:val="21"/>
              </w:rPr>
            </w:pPr>
          </w:p>
        </w:tc>
        <w:tc>
          <w:tcPr>
            <w:tcW w:w="706" w:type="dxa"/>
            <w:tcBorders>
              <w:top w:val="single" w:color="000000" w:sz="4" w:space="0"/>
              <w:left w:val="single" w:color="000000" w:sz="4" w:space="0"/>
              <w:bottom w:val="single" w:color="000000" w:sz="4" w:space="0"/>
              <w:right w:val="single" w:color="000000" w:sz="4" w:space="0"/>
            </w:tcBorders>
          </w:tcPr>
          <w:p w14:paraId="7D67B1B0">
            <w:pPr>
              <w:spacing w:line="500" w:lineRule="exact"/>
              <w:rPr>
                <w:rFonts w:ascii="宋体" w:hAnsi="宋体" w:cs="宋体"/>
                <w:kern w:val="0"/>
                <w:szCs w:val="21"/>
              </w:rPr>
            </w:pPr>
          </w:p>
        </w:tc>
      </w:tr>
      <w:tr w14:paraId="009458C2">
        <w:tblPrEx>
          <w:tblCellMar>
            <w:top w:w="0" w:type="dxa"/>
            <w:left w:w="0" w:type="dxa"/>
            <w:bottom w:w="0" w:type="dxa"/>
            <w:right w:w="0" w:type="dxa"/>
          </w:tblCellMar>
        </w:tblPrEx>
        <w:trPr>
          <w:trHeight w:val="472" w:hRule="exact"/>
        </w:trPr>
        <w:tc>
          <w:tcPr>
            <w:tcW w:w="678" w:type="dxa"/>
            <w:tcBorders>
              <w:top w:val="single" w:color="000000" w:sz="4" w:space="0"/>
              <w:left w:val="single" w:color="000000" w:sz="4" w:space="0"/>
              <w:bottom w:val="single" w:color="000000" w:sz="4" w:space="0"/>
              <w:right w:val="single" w:color="000000" w:sz="4" w:space="0"/>
            </w:tcBorders>
          </w:tcPr>
          <w:p w14:paraId="1985E864">
            <w:pPr>
              <w:spacing w:line="500" w:lineRule="exact"/>
              <w:rPr>
                <w:rFonts w:ascii="宋体" w:hAnsi="宋体" w:cs="宋体"/>
                <w:kern w:val="0"/>
                <w:szCs w:val="21"/>
              </w:rPr>
            </w:pPr>
          </w:p>
        </w:tc>
        <w:tc>
          <w:tcPr>
            <w:tcW w:w="1108" w:type="dxa"/>
            <w:tcBorders>
              <w:top w:val="single" w:color="000000" w:sz="4" w:space="0"/>
              <w:left w:val="single" w:color="000000" w:sz="4" w:space="0"/>
              <w:bottom w:val="single" w:color="000000" w:sz="4" w:space="0"/>
              <w:right w:val="single" w:color="000000" w:sz="4" w:space="0"/>
            </w:tcBorders>
          </w:tcPr>
          <w:p w14:paraId="0E0B800A">
            <w:pPr>
              <w:spacing w:line="500" w:lineRule="exact"/>
              <w:rPr>
                <w:rFonts w:ascii="宋体" w:hAnsi="宋体" w:cs="宋体"/>
                <w:kern w:val="0"/>
                <w:szCs w:val="21"/>
              </w:rPr>
            </w:pPr>
          </w:p>
        </w:tc>
        <w:tc>
          <w:tcPr>
            <w:tcW w:w="776" w:type="dxa"/>
            <w:tcBorders>
              <w:top w:val="single" w:color="000000" w:sz="4" w:space="0"/>
              <w:left w:val="single" w:color="000000" w:sz="4" w:space="0"/>
              <w:bottom w:val="single" w:color="000000" w:sz="4" w:space="0"/>
              <w:right w:val="single" w:color="000000" w:sz="4" w:space="0"/>
            </w:tcBorders>
          </w:tcPr>
          <w:p w14:paraId="1DAC8B0A">
            <w:pPr>
              <w:spacing w:line="500" w:lineRule="exact"/>
              <w:rPr>
                <w:rFonts w:ascii="宋体" w:hAnsi="宋体" w:cs="宋体"/>
                <w:kern w:val="0"/>
                <w:szCs w:val="21"/>
              </w:rPr>
            </w:pPr>
          </w:p>
        </w:tc>
        <w:tc>
          <w:tcPr>
            <w:tcW w:w="1010" w:type="dxa"/>
            <w:tcBorders>
              <w:top w:val="single" w:color="000000" w:sz="4" w:space="0"/>
              <w:left w:val="single" w:color="000000" w:sz="4" w:space="0"/>
              <w:bottom w:val="single" w:color="000000" w:sz="4" w:space="0"/>
              <w:right w:val="single" w:color="000000" w:sz="4" w:space="0"/>
            </w:tcBorders>
          </w:tcPr>
          <w:p w14:paraId="710A3EF8">
            <w:pPr>
              <w:spacing w:line="500" w:lineRule="exact"/>
              <w:rPr>
                <w:rFonts w:ascii="宋体" w:hAnsi="宋体" w:cs="宋体"/>
                <w:kern w:val="0"/>
                <w:szCs w:val="21"/>
              </w:rPr>
            </w:pPr>
          </w:p>
        </w:tc>
        <w:tc>
          <w:tcPr>
            <w:tcW w:w="686" w:type="dxa"/>
            <w:tcBorders>
              <w:top w:val="single" w:color="000000" w:sz="4" w:space="0"/>
              <w:left w:val="single" w:color="000000" w:sz="4" w:space="0"/>
              <w:bottom w:val="single" w:color="000000" w:sz="4" w:space="0"/>
              <w:right w:val="single" w:color="000000" w:sz="4" w:space="0"/>
            </w:tcBorders>
          </w:tcPr>
          <w:p w14:paraId="3FA325D7">
            <w:pPr>
              <w:spacing w:line="500" w:lineRule="exact"/>
              <w:rPr>
                <w:rFonts w:ascii="宋体" w:hAnsi="宋体" w:cs="宋体"/>
                <w:kern w:val="0"/>
                <w:szCs w:val="21"/>
              </w:rPr>
            </w:pPr>
          </w:p>
        </w:tc>
        <w:tc>
          <w:tcPr>
            <w:tcW w:w="752" w:type="dxa"/>
            <w:tcBorders>
              <w:top w:val="single" w:color="000000" w:sz="4" w:space="0"/>
              <w:left w:val="single" w:color="000000" w:sz="4" w:space="0"/>
              <w:bottom w:val="single" w:color="000000" w:sz="4" w:space="0"/>
              <w:right w:val="single" w:color="000000" w:sz="4" w:space="0"/>
            </w:tcBorders>
          </w:tcPr>
          <w:p w14:paraId="7E4A2809">
            <w:pPr>
              <w:spacing w:line="500" w:lineRule="exact"/>
              <w:rPr>
                <w:rFonts w:ascii="宋体" w:hAnsi="宋体" w:cs="宋体"/>
                <w:kern w:val="0"/>
                <w:szCs w:val="21"/>
              </w:rPr>
            </w:pPr>
          </w:p>
        </w:tc>
        <w:tc>
          <w:tcPr>
            <w:tcW w:w="1237" w:type="dxa"/>
            <w:tcBorders>
              <w:top w:val="single" w:color="000000" w:sz="4" w:space="0"/>
              <w:left w:val="single" w:color="000000" w:sz="4" w:space="0"/>
              <w:bottom w:val="single" w:color="000000" w:sz="4" w:space="0"/>
              <w:right w:val="single" w:color="000000" w:sz="4" w:space="0"/>
            </w:tcBorders>
          </w:tcPr>
          <w:p w14:paraId="6EE81F92">
            <w:pPr>
              <w:spacing w:line="500" w:lineRule="exact"/>
              <w:rPr>
                <w:rFonts w:ascii="宋体" w:hAnsi="宋体" w:cs="宋体"/>
                <w:kern w:val="0"/>
                <w:szCs w:val="21"/>
              </w:rPr>
            </w:pPr>
          </w:p>
        </w:tc>
        <w:tc>
          <w:tcPr>
            <w:tcW w:w="892" w:type="dxa"/>
            <w:tcBorders>
              <w:top w:val="single" w:color="000000" w:sz="4" w:space="0"/>
              <w:left w:val="single" w:color="000000" w:sz="4" w:space="0"/>
              <w:bottom w:val="single" w:color="000000" w:sz="4" w:space="0"/>
              <w:right w:val="single" w:color="000000" w:sz="4" w:space="0"/>
            </w:tcBorders>
          </w:tcPr>
          <w:p w14:paraId="03FDF5DC">
            <w:pPr>
              <w:spacing w:line="500" w:lineRule="exact"/>
              <w:rPr>
                <w:rFonts w:ascii="宋体" w:hAnsi="宋体" w:cs="宋体"/>
                <w:kern w:val="0"/>
                <w:szCs w:val="21"/>
              </w:rPr>
            </w:pPr>
          </w:p>
        </w:tc>
        <w:tc>
          <w:tcPr>
            <w:tcW w:w="1075" w:type="dxa"/>
            <w:tcBorders>
              <w:top w:val="single" w:color="000000" w:sz="4" w:space="0"/>
              <w:left w:val="single" w:color="000000" w:sz="4" w:space="0"/>
              <w:bottom w:val="single" w:color="000000" w:sz="4" w:space="0"/>
              <w:right w:val="single" w:color="000000" w:sz="4" w:space="0"/>
            </w:tcBorders>
          </w:tcPr>
          <w:p w14:paraId="7A9192EE">
            <w:pPr>
              <w:spacing w:line="500" w:lineRule="exact"/>
              <w:rPr>
                <w:rFonts w:ascii="宋体" w:hAnsi="宋体" w:cs="宋体"/>
                <w:kern w:val="0"/>
                <w:szCs w:val="21"/>
              </w:rPr>
            </w:pPr>
          </w:p>
        </w:tc>
        <w:tc>
          <w:tcPr>
            <w:tcW w:w="706" w:type="dxa"/>
            <w:tcBorders>
              <w:top w:val="single" w:color="000000" w:sz="4" w:space="0"/>
              <w:left w:val="single" w:color="000000" w:sz="4" w:space="0"/>
              <w:bottom w:val="single" w:color="000000" w:sz="4" w:space="0"/>
              <w:right w:val="single" w:color="000000" w:sz="4" w:space="0"/>
            </w:tcBorders>
          </w:tcPr>
          <w:p w14:paraId="6AF8FF99">
            <w:pPr>
              <w:spacing w:line="500" w:lineRule="exact"/>
              <w:rPr>
                <w:rFonts w:ascii="宋体" w:hAnsi="宋体" w:cs="宋体"/>
                <w:kern w:val="0"/>
                <w:szCs w:val="21"/>
              </w:rPr>
            </w:pPr>
          </w:p>
        </w:tc>
      </w:tr>
      <w:tr w14:paraId="617F631C">
        <w:tblPrEx>
          <w:tblCellMar>
            <w:top w:w="0" w:type="dxa"/>
            <w:left w:w="0" w:type="dxa"/>
            <w:bottom w:w="0" w:type="dxa"/>
            <w:right w:w="0" w:type="dxa"/>
          </w:tblCellMar>
        </w:tblPrEx>
        <w:trPr>
          <w:trHeight w:val="482" w:hRule="exact"/>
        </w:trPr>
        <w:tc>
          <w:tcPr>
            <w:tcW w:w="678" w:type="dxa"/>
            <w:tcBorders>
              <w:top w:val="single" w:color="000000" w:sz="4" w:space="0"/>
              <w:left w:val="single" w:color="000000" w:sz="4" w:space="0"/>
              <w:bottom w:val="single" w:color="000000" w:sz="4" w:space="0"/>
              <w:right w:val="single" w:color="000000" w:sz="4" w:space="0"/>
            </w:tcBorders>
          </w:tcPr>
          <w:p w14:paraId="06B3D62A">
            <w:pPr>
              <w:spacing w:line="500" w:lineRule="exact"/>
              <w:rPr>
                <w:rFonts w:ascii="宋体" w:hAnsi="宋体" w:cs="宋体"/>
                <w:kern w:val="0"/>
                <w:szCs w:val="21"/>
              </w:rPr>
            </w:pPr>
          </w:p>
        </w:tc>
        <w:tc>
          <w:tcPr>
            <w:tcW w:w="1108" w:type="dxa"/>
            <w:tcBorders>
              <w:top w:val="single" w:color="000000" w:sz="4" w:space="0"/>
              <w:left w:val="single" w:color="000000" w:sz="4" w:space="0"/>
              <w:bottom w:val="single" w:color="000000" w:sz="4" w:space="0"/>
              <w:right w:val="single" w:color="000000" w:sz="4" w:space="0"/>
            </w:tcBorders>
          </w:tcPr>
          <w:p w14:paraId="47F68FFA">
            <w:pPr>
              <w:spacing w:line="500" w:lineRule="exact"/>
              <w:rPr>
                <w:rFonts w:ascii="宋体" w:hAnsi="宋体" w:cs="宋体"/>
                <w:kern w:val="0"/>
                <w:szCs w:val="21"/>
              </w:rPr>
            </w:pPr>
          </w:p>
        </w:tc>
        <w:tc>
          <w:tcPr>
            <w:tcW w:w="776" w:type="dxa"/>
            <w:tcBorders>
              <w:top w:val="single" w:color="000000" w:sz="4" w:space="0"/>
              <w:left w:val="single" w:color="000000" w:sz="4" w:space="0"/>
              <w:bottom w:val="single" w:color="000000" w:sz="4" w:space="0"/>
              <w:right w:val="single" w:color="000000" w:sz="4" w:space="0"/>
            </w:tcBorders>
          </w:tcPr>
          <w:p w14:paraId="4052473D">
            <w:pPr>
              <w:spacing w:line="500" w:lineRule="exact"/>
              <w:rPr>
                <w:rFonts w:ascii="宋体" w:hAnsi="宋体" w:cs="宋体"/>
                <w:kern w:val="0"/>
                <w:szCs w:val="21"/>
              </w:rPr>
            </w:pPr>
          </w:p>
        </w:tc>
        <w:tc>
          <w:tcPr>
            <w:tcW w:w="1010" w:type="dxa"/>
            <w:tcBorders>
              <w:top w:val="single" w:color="000000" w:sz="4" w:space="0"/>
              <w:left w:val="single" w:color="000000" w:sz="4" w:space="0"/>
              <w:bottom w:val="single" w:color="000000" w:sz="4" w:space="0"/>
              <w:right w:val="single" w:color="000000" w:sz="4" w:space="0"/>
            </w:tcBorders>
          </w:tcPr>
          <w:p w14:paraId="3ACC810B">
            <w:pPr>
              <w:spacing w:line="500" w:lineRule="exact"/>
              <w:rPr>
                <w:rFonts w:ascii="宋体" w:hAnsi="宋体" w:cs="宋体"/>
                <w:kern w:val="0"/>
                <w:szCs w:val="21"/>
              </w:rPr>
            </w:pPr>
          </w:p>
        </w:tc>
        <w:tc>
          <w:tcPr>
            <w:tcW w:w="686" w:type="dxa"/>
            <w:tcBorders>
              <w:top w:val="single" w:color="000000" w:sz="4" w:space="0"/>
              <w:left w:val="single" w:color="000000" w:sz="4" w:space="0"/>
              <w:bottom w:val="single" w:color="000000" w:sz="4" w:space="0"/>
              <w:right w:val="single" w:color="000000" w:sz="4" w:space="0"/>
            </w:tcBorders>
          </w:tcPr>
          <w:p w14:paraId="6FE34255">
            <w:pPr>
              <w:spacing w:line="500" w:lineRule="exact"/>
              <w:rPr>
                <w:rFonts w:ascii="宋体" w:hAnsi="宋体" w:cs="宋体"/>
                <w:kern w:val="0"/>
                <w:szCs w:val="21"/>
              </w:rPr>
            </w:pPr>
          </w:p>
        </w:tc>
        <w:tc>
          <w:tcPr>
            <w:tcW w:w="752" w:type="dxa"/>
            <w:tcBorders>
              <w:top w:val="single" w:color="000000" w:sz="4" w:space="0"/>
              <w:left w:val="single" w:color="000000" w:sz="4" w:space="0"/>
              <w:bottom w:val="single" w:color="000000" w:sz="4" w:space="0"/>
              <w:right w:val="single" w:color="000000" w:sz="4" w:space="0"/>
            </w:tcBorders>
          </w:tcPr>
          <w:p w14:paraId="5474F7BE">
            <w:pPr>
              <w:spacing w:line="500" w:lineRule="exact"/>
              <w:rPr>
                <w:rFonts w:ascii="宋体" w:hAnsi="宋体" w:cs="宋体"/>
                <w:kern w:val="0"/>
                <w:szCs w:val="21"/>
              </w:rPr>
            </w:pPr>
          </w:p>
        </w:tc>
        <w:tc>
          <w:tcPr>
            <w:tcW w:w="1237" w:type="dxa"/>
            <w:tcBorders>
              <w:top w:val="single" w:color="000000" w:sz="4" w:space="0"/>
              <w:left w:val="single" w:color="000000" w:sz="4" w:space="0"/>
              <w:bottom w:val="single" w:color="000000" w:sz="4" w:space="0"/>
              <w:right w:val="single" w:color="000000" w:sz="4" w:space="0"/>
            </w:tcBorders>
          </w:tcPr>
          <w:p w14:paraId="0457832E">
            <w:pPr>
              <w:spacing w:line="500" w:lineRule="exact"/>
              <w:rPr>
                <w:rFonts w:ascii="宋体" w:hAnsi="宋体" w:cs="宋体"/>
                <w:kern w:val="0"/>
                <w:szCs w:val="21"/>
              </w:rPr>
            </w:pPr>
          </w:p>
        </w:tc>
        <w:tc>
          <w:tcPr>
            <w:tcW w:w="892" w:type="dxa"/>
            <w:tcBorders>
              <w:top w:val="single" w:color="000000" w:sz="4" w:space="0"/>
              <w:left w:val="single" w:color="000000" w:sz="4" w:space="0"/>
              <w:bottom w:val="single" w:color="000000" w:sz="4" w:space="0"/>
              <w:right w:val="single" w:color="000000" w:sz="4" w:space="0"/>
            </w:tcBorders>
          </w:tcPr>
          <w:p w14:paraId="2C29B3D7">
            <w:pPr>
              <w:spacing w:line="500" w:lineRule="exact"/>
              <w:rPr>
                <w:rFonts w:ascii="宋体" w:hAnsi="宋体" w:cs="宋体"/>
                <w:kern w:val="0"/>
                <w:szCs w:val="21"/>
              </w:rPr>
            </w:pPr>
          </w:p>
        </w:tc>
        <w:tc>
          <w:tcPr>
            <w:tcW w:w="1075" w:type="dxa"/>
            <w:tcBorders>
              <w:top w:val="single" w:color="000000" w:sz="4" w:space="0"/>
              <w:left w:val="single" w:color="000000" w:sz="4" w:space="0"/>
              <w:bottom w:val="single" w:color="000000" w:sz="4" w:space="0"/>
              <w:right w:val="single" w:color="000000" w:sz="4" w:space="0"/>
            </w:tcBorders>
          </w:tcPr>
          <w:p w14:paraId="76E3814A">
            <w:pPr>
              <w:spacing w:line="500" w:lineRule="exact"/>
              <w:rPr>
                <w:rFonts w:ascii="宋体" w:hAnsi="宋体" w:cs="宋体"/>
                <w:kern w:val="0"/>
                <w:szCs w:val="21"/>
              </w:rPr>
            </w:pPr>
          </w:p>
        </w:tc>
        <w:tc>
          <w:tcPr>
            <w:tcW w:w="706" w:type="dxa"/>
            <w:tcBorders>
              <w:top w:val="single" w:color="000000" w:sz="4" w:space="0"/>
              <w:left w:val="single" w:color="000000" w:sz="4" w:space="0"/>
              <w:bottom w:val="single" w:color="000000" w:sz="4" w:space="0"/>
              <w:right w:val="single" w:color="000000" w:sz="4" w:space="0"/>
            </w:tcBorders>
          </w:tcPr>
          <w:p w14:paraId="6E8DE9E7">
            <w:pPr>
              <w:spacing w:line="500" w:lineRule="exact"/>
              <w:rPr>
                <w:rFonts w:ascii="宋体" w:hAnsi="宋体" w:cs="宋体"/>
                <w:kern w:val="0"/>
                <w:szCs w:val="21"/>
              </w:rPr>
            </w:pPr>
          </w:p>
        </w:tc>
      </w:tr>
    </w:tbl>
    <w:p w14:paraId="68F9917B">
      <w:pPr>
        <w:spacing w:line="500" w:lineRule="exact"/>
        <w:rPr>
          <w:rFonts w:ascii="宋体" w:hAnsi="宋体" w:cs="宋体"/>
          <w:kern w:val="0"/>
          <w:szCs w:val="21"/>
        </w:rPr>
      </w:pPr>
    </w:p>
    <w:p w14:paraId="60AC409E">
      <w:pPr>
        <w:spacing w:line="500" w:lineRule="exact"/>
        <w:rPr>
          <w:rFonts w:ascii="宋体" w:hAnsi="宋体" w:cs="宋体"/>
          <w:kern w:val="0"/>
          <w:szCs w:val="21"/>
        </w:rPr>
      </w:pPr>
    </w:p>
    <w:p w14:paraId="6928830D">
      <w:pPr>
        <w:pStyle w:val="6"/>
        <w:spacing w:line="500" w:lineRule="exact"/>
        <w:rPr>
          <w:rFonts w:ascii="宋体" w:hAnsi="宋体" w:cs="宋体"/>
          <w:sz w:val="28"/>
          <w:szCs w:val="28"/>
        </w:rPr>
      </w:pPr>
      <w:bookmarkStart w:id="711" w:name="_Toc207443045"/>
      <w:bookmarkStart w:id="712" w:name="_Toc389146016"/>
      <w:bookmarkStart w:id="713" w:name="_Toc369505649"/>
      <w:bookmarkStart w:id="714" w:name="_Toc267582082"/>
      <w:bookmarkStart w:id="715" w:name="_Toc455670865"/>
      <w:r>
        <w:rPr>
          <w:rFonts w:hint="eastAsia" w:ascii="宋体" w:hAnsi="宋体" w:cs="宋体"/>
          <w:sz w:val="28"/>
          <w:szCs w:val="28"/>
        </w:rPr>
        <w:t>附表二：拟配备本标段的试验和检测仪器设备表</w:t>
      </w:r>
      <w:bookmarkEnd w:id="711"/>
      <w:bookmarkEnd w:id="712"/>
      <w:bookmarkEnd w:id="713"/>
      <w:bookmarkEnd w:id="714"/>
      <w:bookmarkEnd w:id="715"/>
    </w:p>
    <w:tbl>
      <w:tblPr>
        <w:tblStyle w:val="21"/>
        <w:tblW w:w="7792" w:type="dxa"/>
        <w:tblInd w:w="119" w:type="dxa"/>
        <w:tblLayout w:type="fixed"/>
        <w:tblCellMar>
          <w:top w:w="0" w:type="dxa"/>
          <w:left w:w="0" w:type="dxa"/>
          <w:bottom w:w="0" w:type="dxa"/>
          <w:right w:w="0" w:type="dxa"/>
        </w:tblCellMar>
      </w:tblPr>
      <w:tblGrid>
        <w:gridCol w:w="703"/>
        <w:gridCol w:w="802"/>
        <w:gridCol w:w="1047"/>
        <w:gridCol w:w="709"/>
        <w:gridCol w:w="780"/>
        <w:gridCol w:w="1279"/>
        <w:gridCol w:w="1747"/>
        <w:gridCol w:w="725"/>
      </w:tblGrid>
      <w:tr w14:paraId="38032219">
        <w:tblPrEx>
          <w:tblCellMar>
            <w:top w:w="0" w:type="dxa"/>
            <w:left w:w="0" w:type="dxa"/>
            <w:bottom w:w="0" w:type="dxa"/>
            <w:right w:w="0" w:type="dxa"/>
          </w:tblCellMar>
        </w:tblPrEx>
        <w:trPr>
          <w:trHeight w:val="936" w:hRule="exact"/>
        </w:trPr>
        <w:tc>
          <w:tcPr>
            <w:tcW w:w="703" w:type="dxa"/>
            <w:tcBorders>
              <w:top w:val="single" w:color="000000" w:sz="4" w:space="0"/>
              <w:left w:val="single" w:color="000000" w:sz="4" w:space="0"/>
              <w:bottom w:val="single" w:color="000000" w:sz="4" w:space="0"/>
              <w:right w:val="single" w:color="000000" w:sz="4" w:space="0"/>
            </w:tcBorders>
          </w:tcPr>
          <w:p w14:paraId="1F8FD7B2">
            <w:pPr>
              <w:spacing w:line="500" w:lineRule="exact"/>
              <w:rPr>
                <w:rFonts w:ascii="宋体" w:hAnsi="宋体" w:cs="宋体"/>
                <w:kern w:val="0"/>
                <w:sz w:val="24"/>
              </w:rPr>
            </w:pPr>
            <w:r>
              <w:rPr>
                <w:rFonts w:hint="eastAsia" w:ascii="宋体" w:hAnsi="宋体" w:cs="宋体"/>
                <w:kern w:val="0"/>
                <w:szCs w:val="21"/>
              </w:rPr>
              <w:t>序号</w:t>
            </w:r>
          </w:p>
        </w:tc>
        <w:tc>
          <w:tcPr>
            <w:tcW w:w="802" w:type="dxa"/>
            <w:tcBorders>
              <w:top w:val="single" w:color="000000" w:sz="4" w:space="0"/>
              <w:left w:val="single" w:color="000000" w:sz="4" w:space="0"/>
              <w:bottom w:val="single" w:color="000000" w:sz="4" w:space="0"/>
              <w:right w:val="single" w:color="000000" w:sz="4" w:space="0"/>
            </w:tcBorders>
          </w:tcPr>
          <w:p w14:paraId="3DC2DA23">
            <w:pPr>
              <w:spacing w:line="500" w:lineRule="exact"/>
              <w:rPr>
                <w:rFonts w:ascii="宋体" w:hAnsi="宋体" w:cs="宋体"/>
                <w:kern w:val="0"/>
                <w:szCs w:val="21"/>
              </w:rPr>
            </w:pPr>
            <w:r>
              <w:rPr>
                <w:rFonts w:hint="eastAsia" w:ascii="宋体" w:hAnsi="宋体" w:cs="宋体"/>
                <w:kern w:val="0"/>
                <w:szCs w:val="21"/>
              </w:rPr>
              <w:t>型号</w:t>
            </w:r>
          </w:p>
          <w:p w14:paraId="133C9CD3">
            <w:pPr>
              <w:spacing w:line="500" w:lineRule="exact"/>
              <w:rPr>
                <w:rFonts w:ascii="宋体" w:hAnsi="宋体" w:cs="宋体"/>
                <w:kern w:val="0"/>
                <w:sz w:val="24"/>
              </w:rPr>
            </w:pPr>
            <w:r>
              <w:rPr>
                <w:rFonts w:hint="eastAsia" w:ascii="宋体" w:hAnsi="宋体" w:cs="宋体"/>
                <w:kern w:val="0"/>
                <w:szCs w:val="21"/>
              </w:rPr>
              <w:t>规格</w:t>
            </w:r>
          </w:p>
        </w:tc>
        <w:tc>
          <w:tcPr>
            <w:tcW w:w="1047" w:type="dxa"/>
            <w:tcBorders>
              <w:top w:val="single" w:color="000000" w:sz="4" w:space="0"/>
              <w:left w:val="single" w:color="000000" w:sz="4" w:space="0"/>
              <w:bottom w:val="single" w:color="000000" w:sz="4" w:space="0"/>
              <w:right w:val="single" w:color="000000" w:sz="4" w:space="0"/>
            </w:tcBorders>
          </w:tcPr>
          <w:p w14:paraId="4567E8C3">
            <w:pPr>
              <w:spacing w:line="500" w:lineRule="exact"/>
              <w:rPr>
                <w:rFonts w:ascii="宋体" w:hAnsi="宋体" w:cs="宋体"/>
                <w:kern w:val="0"/>
                <w:sz w:val="28"/>
                <w:szCs w:val="28"/>
              </w:rPr>
            </w:pPr>
          </w:p>
          <w:p w14:paraId="6EB32AE5">
            <w:pPr>
              <w:spacing w:line="500" w:lineRule="exact"/>
              <w:rPr>
                <w:rFonts w:ascii="宋体" w:hAnsi="宋体" w:cs="宋体"/>
                <w:kern w:val="0"/>
                <w:sz w:val="24"/>
              </w:rPr>
            </w:pPr>
            <w:r>
              <w:rPr>
                <w:rFonts w:hint="eastAsia" w:ascii="宋体" w:hAnsi="宋体" w:cs="宋体"/>
                <w:kern w:val="0"/>
                <w:szCs w:val="21"/>
              </w:rPr>
              <w:t>数量</w:t>
            </w:r>
          </w:p>
        </w:tc>
        <w:tc>
          <w:tcPr>
            <w:tcW w:w="709" w:type="dxa"/>
            <w:tcBorders>
              <w:top w:val="single" w:color="000000" w:sz="4" w:space="0"/>
              <w:left w:val="single" w:color="000000" w:sz="4" w:space="0"/>
              <w:bottom w:val="single" w:color="000000" w:sz="4" w:space="0"/>
              <w:right w:val="single" w:color="000000" w:sz="4" w:space="0"/>
            </w:tcBorders>
          </w:tcPr>
          <w:p w14:paraId="482ECE47">
            <w:pPr>
              <w:spacing w:line="500" w:lineRule="exact"/>
              <w:rPr>
                <w:rFonts w:ascii="宋体" w:hAnsi="宋体" w:cs="宋体"/>
                <w:kern w:val="0"/>
                <w:sz w:val="24"/>
              </w:rPr>
            </w:pPr>
            <w:r>
              <w:rPr>
                <w:rFonts w:hint="eastAsia" w:ascii="宋体" w:hAnsi="宋体" w:cs="宋体"/>
                <w:kern w:val="0"/>
                <w:szCs w:val="21"/>
              </w:rPr>
              <w:t>国别 产地</w:t>
            </w:r>
          </w:p>
        </w:tc>
        <w:tc>
          <w:tcPr>
            <w:tcW w:w="780" w:type="dxa"/>
            <w:tcBorders>
              <w:top w:val="single" w:color="000000" w:sz="4" w:space="0"/>
              <w:left w:val="single" w:color="000000" w:sz="4" w:space="0"/>
              <w:bottom w:val="single" w:color="000000" w:sz="4" w:space="0"/>
              <w:right w:val="single" w:color="000000" w:sz="4" w:space="0"/>
            </w:tcBorders>
          </w:tcPr>
          <w:p w14:paraId="1678D45B">
            <w:pPr>
              <w:spacing w:line="500" w:lineRule="exact"/>
              <w:rPr>
                <w:rFonts w:ascii="宋体" w:hAnsi="宋体" w:cs="宋体"/>
                <w:kern w:val="0"/>
                <w:sz w:val="24"/>
              </w:rPr>
            </w:pPr>
            <w:r>
              <w:rPr>
                <w:rFonts w:hint="eastAsia" w:ascii="宋体" w:hAnsi="宋体" w:cs="宋体"/>
                <w:kern w:val="0"/>
                <w:szCs w:val="21"/>
              </w:rPr>
              <w:t>制造 年份</w:t>
            </w:r>
          </w:p>
        </w:tc>
        <w:tc>
          <w:tcPr>
            <w:tcW w:w="1279" w:type="dxa"/>
            <w:tcBorders>
              <w:top w:val="single" w:color="000000" w:sz="4" w:space="0"/>
              <w:left w:val="single" w:color="000000" w:sz="4" w:space="0"/>
              <w:bottom w:val="single" w:color="000000" w:sz="4" w:space="0"/>
              <w:right w:val="single" w:color="000000" w:sz="4" w:space="0"/>
            </w:tcBorders>
          </w:tcPr>
          <w:p w14:paraId="2BE3417D">
            <w:pPr>
              <w:spacing w:line="500" w:lineRule="exact"/>
              <w:rPr>
                <w:rFonts w:ascii="宋体" w:hAnsi="宋体" w:cs="宋体"/>
                <w:kern w:val="0"/>
                <w:sz w:val="24"/>
              </w:rPr>
            </w:pPr>
            <w:r>
              <w:rPr>
                <w:rFonts w:hint="eastAsia" w:ascii="宋体" w:hAnsi="宋体" w:cs="宋体"/>
                <w:kern w:val="0"/>
                <w:szCs w:val="21"/>
              </w:rPr>
              <w:t>已使用台 时数</w:t>
            </w:r>
          </w:p>
        </w:tc>
        <w:tc>
          <w:tcPr>
            <w:tcW w:w="1747" w:type="dxa"/>
            <w:tcBorders>
              <w:top w:val="single" w:color="000000" w:sz="4" w:space="0"/>
              <w:left w:val="single" w:color="000000" w:sz="4" w:space="0"/>
              <w:bottom w:val="single" w:color="000000" w:sz="4" w:space="0"/>
              <w:right w:val="single" w:color="000000" w:sz="4" w:space="0"/>
            </w:tcBorders>
          </w:tcPr>
          <w:p w14:paraId="7E99BDFA">
            <w:pPr>
              <w:spacing w:line="500" w:lineRule="exact"/>
              <w:rPr>
                <w:rFonts w:ascii="宋体" w:hAnsi="宋体" w:cs="宋体"/>
                <w:kern w:val="0"/>
                <w:sz w:val="28"/>
                <w:szCs w:val="28"/>
              </w:rPr>
            </w:pPr>
          </w:p>
          <w:p w14:paraId="63745E89">
            <w:pPr>
              <w:spacing w:line="500" w:lineRule="exact"/>
              <w:rPr>
                <w:rFonts w:ascii="宋体" w:hAnsi="宋体" w:cs="宋体"/>
                <w:kern w:val="0"/>
                <w:sz w:val="24"/>
              </w:rPr>
            </w:pPr>
            <w:r>
              <w:rPr>
                <w:rFonts w:hint="eastAsia" w:ascii="宋体" w:hAnsi="宋体" w:cs="宋体"/>
                <w:kern w:val="0"/>
                <w:szCs w:val="21"/>
              </w:rPr>
              <w:t>用途</w:t>
            </w:r>
          </w:p>
        </w:tc>
        <w:tc>
          <w:tcPr>
            <w:tcW w:w="725" w:type="dxa"/>
            <w:tcBorders>
              <w:top w:val="single" w:color="000000" w:sz="4" w:space="0"/>
              <w:left w:val="single" w:color="000000" w:sz="4" w:space="0"/>
              <w:bottom w:val="single" w:color="000000" w:sz="4" w:space="0"/>
              <w:right w:val="single" w:color="000000" w:sz="4" w:space="0"/>
            </w:tcBorders>
          </w:tcPr>
          <w:p w14:paraId="6AE6E780">
            <w:pPr>
              <w:spacing w:line="500" w:lineRule="exact"/>
              <w:rPr>
                <w:rFonts w:ascii="宋体" w:hAnsi="宋体" w:cs="宋体"/>
                <w:kern w:val="0"/>
                <w:sz w:val="28"/>
                <w:szCs w:val="28"/>
              </w:rPr>
            </w:pPr>
          </w:p>
          <w:p w14:paraId="6EBC7EB9">
            <w:pPr>
              <w:spacing w:line="500" w:lineRule="exact"/>
              <w:rPr>
                <w:rFonts w:ascii="宋体" w:hAnsi="宋体" w:cs="宋体"/>
                <w:kern w:val="0"/>
                <w:sz w:val="24"/>
              </w:rPr>
            </w:pPr>
            <w:r>
              <w:rPr>
                <w:rFonts w:hint="eastAsia" w:ascii="宋体" w:hAnsi="宋体" w:cs="宋体"/>
                <w:kern w:val="0"/>
                <w:szCs w:val="21"/>
              </w:rPr>
              <w:t>备注</w:t>
            </w:r>
          </w:p>
        </w:tc>
      </w:tr>
      <w:tr w14:paraId="3B371CA8">
        <w:tblPrEx>
          <w:tblCellMar>
            <w:top w:w="0" w:type="dxa"/>
            <w:left w:w="0" w:type="dxa"/>
            <w:bottom w:w="0" w:type="dxa"/>
            <w:right w:w="0" w:type="dxa"/>
          </w:tblCellMar>
        </w:tblPrEx>
        <w:trPr>
          <w:trHeight w:val="438" w:hRule="exact"/>
        </w:trPr>
        <w:tc>
          <w:tcPr>
            <w:tcW w:w="703" w:type="dxa"/>
            <w:tcBorders>
              <w:top w:val="single" w:color="000000" w:sz="4" w:space="0"/>
              <w:left w:val="single" w:color="000000" w:sz="4" w:space="0"/>
              <w:bottom w:val="single" w:color="000000" w:sz="4" w:space="0"/>
              <w:right w:val="single" w:color="000000" w:sz="4" w:space="0"/>
            </w:tcBorders>
          </w:tcPr>
          <w:p w14:paraId="6ED6F200">
            <w:pPr>
              <w:spacing w:line="500" w:lineRule="exact"/>
              <w:rPr>
                <w:rFonts w:ascii="宋体" w:hAnsi="宋体" w:cs="宋体"/>
                <w:kern w:val="0"/>
                <w:sz w:val="24"/>
              </w:rPr>
            </w:pPr>
          </w:p>
        </w:tc>
        <w:tc>
          <w:tcPr>
            <w:tcW w:w="802" w:type="dxa"/>
            <w:tcBorders>
              <w:top w:val="single" w:color="000000" w:sz="4" w:space="0"/>
              <w:left w:val="single" w:color="000000" w:sz="4" w:space="0"/>
              <w:bottom w:val="single" w:color="000000" w:sz="4" w:space="0"/>
              <w:right w:val="single" w:color="000000" w:sz="4" w:space="0"/>
            </w:tcBorders>
          </w:tcPr>
          <w:p w14:paraId="426FE424">
            <w:pPr>
              <w:spacing w:line="500" w:lineRule="exact"/>
              <w:rPr>
                <w:rFonts w:ascii="宋体" w:hAnsi="宋体" w:cs="宋体"/>
                <w:kern w:val="0"/>
                <w:sz w:val="24"/>
              </w:rPr>
            </w:pPr>
          </w:p>
        </w:tc>
        <w:tc>
          <w:tcPr>
            <w:tcW w:w="1047" w:type="dxa"/>
            <w:tcBorders>
              <w:top w:val="single" w:color="000000" w:sz="4" w:space="0"/>
              <w:left w:val="single" w:color="000000" w:sz="4" w:space="0"/>
              <w:bottom w:val="single" w:color="000000" w:sz="4" w:space="0"/>
              <w:right w:val="single" w:color="000000" w:sz="4" w:space="0"/>
            </w:tcBorders>
          </w:tcPr>
          <w:p w14:paraId="7F52A157">
            <w:pPr>
              <w:spacing w:line="500" w:lineRule="exact"/>
              <w:rPr>
                <w:rFonts w:ascii="宋体" w:hAnsi="宋体" w:cs="宋体"/>
                <w:kern w:val="0"/>
                <w:sz w:val="24"/>
              </w:rPr>
            </w:pPr>
          </w:p>
        </w:tc>
        <w:tc>
          <w:tcPr>
            <w:tcW w:w="709" w:type="dxa"/>
            <w:tcBorders>
              <w:top w:val="single" w:color="000000" w:sz="4" w:space="0"/>
              <w:left w:val="single" w:color="000000" w:sz="4" w:space="0"/>
              <w:bottom w:val="single" w:color="000000" w:sz="4" w:space="0"/>
              <w:right w:val="single" w:color="000000" w:sz="4" w:space="0"/>
            </w:tcBorders>
          </w:tcPr>
          <w:p w14:paraId="063456ED">
            <w:pPr>
              <w:spacing w:line="500" w:lineRule="exact"/>
              <w:rPr>
                <w:rFonts w:ascii="宋体" w:hAnsi="宋体" w:cs="宋体"/>
                <w:kern w:val="0"/>
                <w:sz w:val="24"/>
              </w:rPr>
            </w:pPr>
          </w:p>
        </w:tc>
        <w:tc>
          <w:tcPr>
            <w:tcW w:w="780" w:type="dxa"/>
            <w:tcBorders>
              <w:top w:val="single" w:color="000000" w:sz="4" w:space="0"/>
              <w:left w:val="single" w:color="000000" w:sz="4" w:space="0"/>
              <w:bottom w:val="single" w:color="000000" w:sz="4" w:space="0"/>
              <w:right w:val="single" w:color="000000" w:sz="4" w:space="0"/>
            </w:tcBorders>
          </w:tcPr>
          <w:p w14:paraId="628BA7D9">
            <w:pPr>
              <w:spacing w:line="500" w:lineRule="exact"/>
              <w:rPr>
                <w:rFonts w:ascii="宋体" w:hAnsi="宋体" w:cs="宋体"/>
                <w:kern w:val="0"/>
                <w:sz w:val="24"/>
              </w:rPr>
            </w:pPr>
          </w:p>
        </w:tc>
        <w:tc>
          <w:tcPr>
            <w:tcW w:w="1279" w:type="dxa"/>
            <w:tcBorders>
              <w:top w:val="single" w:color="000000" w:sz="4" w:space="0"/>
              <w:left w:val="single" w:color="000000" w:sz="4" w:space="0"/>
              <w:bottom w:val="single" w:color="000000" w:sz="4" w:space="0"/>
              <w:right w:val="single" w:color="000000" w:sz="4" w:space="0"/>
            </w:tcBorders>
          </w:tcPr>
          <w:p w14:paraId="57A1A6BE">
            <w:pPr>
              <w:spacing w:line="500" w:lineRule="exact"/>
              <w:rPr>
                <w:rFonts w:ascii="宋体" w:hAnsi="宋体" w:cs="宋体"/>
                <w:kern w:val="0"/>
                <w:sz w:val="24"/>
              </w:rPr>
            </w:pPr>
          </w:p>
        </w:tc>
        <w:tc>
          <w:tcPr>
            <w:tcW w:w="1747" w:type="dxa"/>
            <w:tcBorders>
              <w:top w:val="single" w:color="000000" w:sz="4" w:space="0"/>
              <w:left w:val="single" w:color="000000" w:sz="4" w:space="0"/>
              <w:bottom w:val="single" w:color="000000" w:sz="4" w:space="0"/>
              <w:right w:val="single" w:color="000000" w:sz="4" w:space="0"/>
            </w:tcBorders>
          </w:tcPr>
          <w:p w14:paraId="264B24D9">
            <w:pPr>
              <w:spacing w:line="500" w:lineRule="exact"/>
              <w:rPr>
                <w:rFonts w:ascii="宋体" w:hAnsi="宋体" w:cs="宋体"/>
                <w:kern w:val="0"/>
                <w:sz w:val="24"/>
              </w:rPr>
            </w:pPr>
          </w:p>
        </w:tc>
        <w:tc>
          <w:tcPr>
            <w:tcW w:w="725" w:type="dxa"/>
            <w:tcBorders>
              <w:top w:val="single" w:color="000000" w:sz="4" w:space="0"/>
              <w:left w:val="single" w:color="000000" w:sz="4" w:space="0"/>
              <w:bottom w:val="single" w:color="000000" w:sz="4" w:space="0"/>
              <w:right w:val="single" w:color="000000" w:sz="4" w:space="0"/>
            </w:tcBorders>
          </w:tcPr>
          <w:p w14:paraId="6C6907E2">
            <w:pPr>
              <w:spacing w:line="500" w:lineRule="exact"/>
              <w:rPr>
                <w:rFonts w:ascii="宋体" w:hAnsi="宋体" w:cs="宋体"/>
                <w:kern w:val="0"/>
                <w:sz w:val="24"/>
              </w:rPr>
            </w:pPr>
          </w:p>
        </w:tc>
      </w:tr>
      <w:tr w14:paraId="4EFF713D">
        <w:tblPrEx>
          <w:tblCellMar>
            <w:top w:w="0" w:type="dxa"/>
            <w:left w:w="0" w:type="dxa"/>
            <w:bottom w:w="0" w:type="dxa"/>
            <w:right w:w="0" w:type="dxa"/>
          </w:tblCellMar>
        </w:tblPrEx>
        <w:trPr>
          <w:trHeight w:val="438" w:hRule="exact"/>
        </w:trPr>
        <w:tc>
          <w:tcPr>
            <w:tcW w:w="703" w:type="dxa"/>
            <w:tcBorders>
              <w:top w:val="single" w:color="000000" w:sz="4" w:space="0"/>
              <w:left w:val="single" w:color="000000" w:sz="4" w:space="0"/>
              <w:bottom w:val="single" w:color="000000" w:sz="4" w:space="0"/>
              <w:right w:val="single" w:color="000000" w:sz="4" w:space="0"/>
            </w:tcBorders>
          </w:tcPr>
          <w:p w14:paraId="37CD97C0">
            <w:pPr>
              <w:spacing w:line="500" w:lineRule="exact"/>
              <w:rPr>
                <w:rFonts w:ascii="宋体" w:hAnsi="宋体" w:cs="宋体"/>
                <w:kern w:val="0"/>
                <w:sz w:val="24"/>
              </w:rPr>
            </w:pPr>
          </w:p>
        </w:tc>
        <w:tc>
          <w:tcPr>
            <w:tcW w:w="802" w:type="dxa"/>
            <w:tcBorders>
              <w:top w:val="single" w:color="000000" w:sz="4" w:space="0"/>
              <w:left w:val="single" w:color="000000" w:sz="4" w:space="0"/>
              <w:bottom w:val="single" w:color="000000" w:sz="4" w:space="0"/>
              <w:right w:val="single" w:color="000000" w:sz="4" w:space="0"/>
            </w:tcBorders>
          </w:tcPr>
          <w:p w14:paraId="0407B957">
            <w:pPr>
              <w:spacing w:line="500" w:lineRule="exact"/>
              <w:rPr>
                <w:rFonts w:ascii="宋体" w:hAnsi="宋体" w:cs="宋体"/>
                <w:kern w:val="0"/>
                <w:sz w:val="24"/>
              </w:rPr>
            </w:pPr>
          </w:p>
        </w:tc>
        <w:tc>
          <w:tcPr>
            <w:tcW w:w="1047" w:type="dxa"/>
            <w:tcBorders>
              <w:top w:val="single" w:color="000000" w:sz="4" w:space="0"/>
              <w:left w:val="single" w:color="000000" w:sz="4" w:space="0"/>
              <w:bottom w:val="single" w:color="000000" w:sz="4" w:space="0"/>
              <w:right w:val="single" w:color="000000" w:sz="4" w:space="0"/>
            </w:tcBorders>
          </w:tcPr>
          <w:p w14:paraId="33E16027">
            <w:pPr>
              <w:spacing w:line="500" w:lineRule="exact"/>
              <w:rPr>
                <w:rFonts w:ascii="宋体" w:hAnsi="宋体" w:cs="宋体"/>
                <w:kern w:val="0"/>
                <w:sz w:val="24"/>
              </w:rPr>
            </w:pPr>
          </w:p>
        </w:tc>
        <w:tc>
          <w:tcPr>
            <w:tcW w:w="709" w:type="dxa"/>
            <w:tcBorders>
              <w:top w:val="single" w:color="000000" w:sz="4" w:space="0"/>
              <w:left w:val="single" w:color="000000" w:sz="4" w:space="0"/>
              <w:bottom w:val="single" w:color="000000" w:sz="4" w:space="0"/>
              <w:right w:val="single" w:color="000000" w:sz="4" w:space="0"/>
            </w:tcBorders>
          </w:tcPr>
          <w:p w14:paraId="0F8958B3">
            <w:pPr>
              <w:spacing w:line="500" w:lineRule="exact"/>
              <w:rPr>
                <w:rFonts w:ascii="宋体" w:hAnsi="宋体" w:cs="宋体"/>
                <w:kern w:val="0"/>
                <w:sz w:val="24"/>
              </w:rPr>
            </w:pPr>
          </w:p>
        </w:tc>
        <w:tc>
          <w:tcPr>
            <w:tcW w:w="780" w:type="dxa"/>
            <w:tcBorders>
              <w:top w:val="single" w:color="000000" w:sz="4" w:space="0"/>
              <w:left w:val="single" w:color="000000" w:sz="4" w:space="0"/>
              <w:bottom w:val="single" w:color="000000" w:sz="4" w:space="0"/>
              <w:right w:val="single" w:color="000000" w:sz="4" w:space="0"/>
            </w:tcBorders>
          </w:tcPr>
          <w:p w14:paraId="103D89BC">
            <w:pPr>
              <w:spacing w:line="500" w:lineRule="exact"/>
              <w:rPr>
                <w:rFonts w:ascii="宋体" w:hAnsi="宋体" w:cs="宋体"/>
                <w:kern w:val="0"/>
                <w:sz w:val="24"/>
              </w:rPr>
            </w:pPr>
          </w:p>
        </w:tc>
        <w:tc>
          <w:tcPr>
            <w:tcW w:w="1279" w:type="dxa"/>
            <w:tcBorders>
              <w:top w:val="single" w:color="000000" w:sz="4" w:space="0"/>
              <w:left w:val="single" w:color="000000" w:sz="4" w:space="0"/>
              <w:bottom w:val="single" w:color="000000" w:sz="4" w:space="0"/>
              <w:right w:val="single" w:color="000000" w:sz="4" w:space="0"/>
            </w:tcBorders>
          </w:tcPr>
          <w:p w14:paraId="52386C4B">
            <w:pPr>
              <w:spacing w:line="500" w:lineRule="exact"/>
              <w:rPr>
                <w:rFonts w:ascii="宋体" w:hAnsi="宋体" w:cs="宋体"/>
                <w:kern w:val="0"/>
                <w:sz w:val="24"/>
              </w:rPr>
            </w:pPr>
          </w:p>
        </w:tc>
        <w:tc>
          <w:tcPr>
            <w:tcW w:w="1747" w:type="dxa"/>
            <w:tcBorders>
              <w:top w:val="single" w:color="000000" w:sz="4" w:space="0"/>
              <w:left w:val="single" w:color="000000" w:sz="4" w:space="0"/>
              <w:bottom w:val="single" w:color="000000" w:sz="4" w:space="0"/>
              <w:right w:val="single" w:color="000000" w:sz="4" w:space="0"/>
            </w:tcBorders>
          </w:tcPr>
          <w:p w14:paraId="518E1813">
            <w:pPr>
              <w:spacing w:line="500" w:lineRule="exact"/>
              <w:rPr>
                <w:rFonts w:ascii="宋体" w:hAnsi="宋体" w:cs="宋体"/>
                <w:kern w:val="0"/>
                <w:sz w:val="24"/>
              </w:rPr>
            </w:pPr>
          </w:p>
        </w:tc>
        <w:tc>
          <w:tcPr>
            <w:tcW w:w="725" w:type="dxa"/>
            <w:tcBorders>
              <w:top w:val="single" w:color="000000" w:sz="4" w:space="0"/>
              <w:left w:val="single" w:color="000000" w:sz="4" w:space="0"/>
              <w:bottom w:val="single" w:color="000000" w:sz="4" w:space="0"/>
              <w:right w:val="single" w:color="000000" w:sz="4" w:space="0"/>
            </w:tcBorders>
          </w:tcPr>
          <w:p w14:paraId="28DBC58F">
            <w:pPr>
              <w:spacing w:line="500" w:lineRule="exact"/>
              <w:rPr>
                <w:rFonts w:ascii="宋体" w:hAnsi="宋体" w:cs="宋体"/>
                <w:kern w:val="0"/>
                <w:sz w:val="24"/>
              </w:rPr>
            </w:pPr>
          </w:p>
        </w:tc>
      </w:tr>
      <w:tr w14:paraId="4DB85256">
        <w:tblPrEx>
          <w:tblCellMar>
            <w:top w:w="0" w:type="dxa"/>
            <w:left w:w="0" w:type="dxa"/>
            <w:bottom w:w="0" w:type="dxa"/>
            <w:right w:w="0" w:type="dxa"/>
          </w:tblCellMar>
        </w:tblPrEx>
        <w:trPr>
          <w:trHeight w:val="448" w:hRule="exact"/>
        </w:trPr>
        <w:tc>
          <w:tcPr>
            <w:tcW w:w="703" w:type="dxa"/>
            <w:tcBorders>
              <w:top w:val="single" w:color="000000" w:sz="4" w:space="0"/>
              <w:left w:val="single" w:color="000000" w:sz="4" w:space="0"/>
              <w:bottom w:val="single" w:color="000000" w:sz="4" w:space="0"/>
              <w:right w:val="single" w:color="000000" w:sz="4" w:space="0"/>
            </w:tcBorders>
          </w:tcPr>
          <w:p w14:paraId="39B1F335">
            <w:pPr>
              <w:spacing w:line="500" w:lineRule="exact"/>
              <w:rPr>
                <w:rFonts w:ascii="宋体" w:hAnsi="宋体" w:cs="宋体"/>
                <w:kern w:val="0"/>
                <w:sz w:val="24"/>
              </w:rPr>
            </w:pPr>
          </w:p>
        </w:tc>
        <w:tc>
          <w:tcPr>
            <w:tcW w:w="802" w:type="dxa"/>
            <w:tcBorders>
              <w:top w:val="single" w:color="000000" w:sz="4" w:space="0"/>
              <w:left w:val="single" w:color="000000" w:sz="4" w:space="0"/>
              <w:bottom w:val="single" w:color="000000" w:sz="4" w:space="0"/>
              <w:right w:val="single" w:color="000000" w:sz="4" w:space="0"/>
            </w:tcBorders>
          </w:tcPr>
          <w:p w14:paraId="504DC061">
            <w:pPr>
              <w:spacing w:line="500" w:lineRule="exact"/>
              <w:rPr>
                <w:rFonts w:ascii="宋体" w:hAnsi="宋体" w:cs="宋体"/>
                <w:kern w:val="0"/>
                <w:sz w:val="24"/>
              </w:rPr>
            </w:pPr>
          </w:p>
        </w:tc>
        <w:tc>
          <w:tcPr>
            <w:tcW w:w="1047" w:type="dxa"/>
            <w:tcBorders>
              <w:top w:val="single" w:color="000000" w:sz="4" w:space="0"/>
              <w:left w:val="single" w:color="000000" w:sz="4" w:space="0"/>
              <w:bottom w:val="single" w:color="000000" w:sz="4" w:space="0"/>
              <w:right w:val="single" w:color="000000" w:sz="4" w:space="0"/>
            </w:tcBorders>
          </w:tcPr>
          <w:p w14:paraId="4419D735">
            <w:pPr>
              <w:spacing w:line="500" w:lineRule="exact"/>
              <w:rPr>
                <w:rFonts w:ascii="宋体" w:hAnsi="宋体" w:cs="宋体"/>
                <w:kern w:val="0"/>
                <w:sz w:val="24"/>
              </w:rPr>
            </w:pPr>
          </w:p>
        </w:tc>
        <w:tc>
          <w:tcPr>
            <w:tcW w:w="709" w:type="dxa"/>
            <w:tcBorders>
              <w:top w:val="single" w:color="000000" w:sz="4" w:space="0"/>
              <w:left w:val="single" w:color="000000" w:sz="4" w:space="0"/>
              <w:bottom w:val="single" w:color="000000" w:sz="4" w:space="0"/>
              <w:right w:val="single" w:color="000000" w:sz="4" w:space="0"/>
            </w:tcBorders>
          </w:tcPr>
          <w:p w14:paraId="30B5DC9D">
            <w:pPr>
              <w:spacing w:line="500" w:lineRule="exact"/>
              <w:rPr>
                <w:rFonts w:ascii="宋体" w:hAnsi="宋体" w:cs="宋体"/>
                <w:kern w:val="0"/>
                <w:sz w:val="24"/>
              </w:rPr>
            </w:pPr>
          </w:p>
        </w:tc>
        <w:tc>
          <w:tcPr>
            <w:tcW w:w="780" w:type="dxa"/>
            <w:tcBorders>
              <w:top w:val="single" w:color="000000" w:sz="4" w:space="0"/>
              <w:left w:val="single" w:color="000000" w:sz="4" w:space="0"/>
              <w:bottom w:val="single" w:color="000000" w:sz="4" w:space="0"/>
              <w:right w:val="single" w:color="000000" w:sz="4" w:space="0"/>
            </w:tcBorders>
          </w:tcPr>
          <w:p w14:paraId="1CB02D12">
            <w:pPr>
              <w:spacing w:line="500" w:lineRule="exact"/>
              <w:rPr>
                <w:rFonts w:ascii="宋体" w:hAnsi="宋体" w:cs="宋体"/>
                <w:kern w:val="0"/>
                <w:sz w:val="24"/>
              </w:rPr>
            </w:pPr>
          </w:p>
        </w:tc>
        <w:tc>
          <w:tcPr>
            <w:tcW w:w="1279" w:type="dxa"/>
            <w:tcBorders>
              <w:top w:val="single" w:color="000000" w:sz="4" w:space="0"/>
              <w:left w:val="single" w:color="000000" w:sz="4" w:space="0"/>
              <w:bottom w:val="single" w:color="000000" w:sz="4" w:space="0"/>
              <w:right w:val="single" w:color="000000" w:sz="4" w:space="0"/>
            </w:tcBorders>
          </w:tcPr>
          <w:p w14:paraId="25CCAF19">
            <w:pPr>
              <w:spacing w:line="500" w:lineRule="exact"/>
              <w:rPr>
                <w:rFonts w:ascii="宋体" w:hAnsi="宋体" w:cs="宋体"/>
                <w:kern w:val="0"/>
                <w:sz w:val="24"/>
              </w:rPr>
            </w:pPr>
          </w:p>
        </w:tc>
        <w:tc>
          <w:tcPr>
            <w:tcW w:w="1747" w:type="dxa"/>
            <w:tcBorders>
              <w:top w:val="single" w:color="000000" w:sz="4" w:space="0"/>
              <w:left w:val="single" w:color="000000" w:sz="4" w:space="0"/>
              <w:bottom w:val="single" w:color="000000" w:sz="4" w:space="0"/>
              <w:right w:val="single" w:color="000000" w:sz="4" w:space="0"/>
            </w:tcBorders>
          </w:tcPr>
          <w:p w14:paraId="07813677">
            <w:pPr>
              <w:spacing w:line="500" w:lineRule="exact"/>
              <w:rPr>
                <w:rFonts w:ascii="宋体" w:hAnsi="宋体" w:cs="宋体"/>
                <w:kern w:val="0"/>
                <w:sz w:val="24"/>
              </w:rPr>
            </w:pPr>
          </w:p>
        </w:tc>
        <w:tc>
          <w:tcPr>
            <w:tcW w:w="725" w:type="dxa"/>
            <w:tcBorders>
              <w:top w:val="single" w:color="000000" w:sz="4" w:space="0"/>
              <w:left w:val="single" w:color="000000" w:sz="4" w:space="0"/>
              <w:bottom w:val="single" w:color="000000" w:sz="4" w:space="0"/>
              <w:right w:val="single" w:color="000000" w:sz="4" w:space="0"/>
            </w:tcBorders>
          </w:tcPr>
          <w:p w14:paraId="3527987A">
            <w:pPr>
              <w:spacing w:line="500" w:lineRule="exact"/>
              <w:rPr>
                <w:rFonts w:ascii="宋体" w:hAnsi="宋体" w:cs="宋体"/>
                <w:kern w:val="0"/>
                <w:sz w:val="24"/>
              </w:rPr>
            </w:pPr>
          </w:p>
        </w:tc>
      </w:tr>
    </w:tbl>
    <w:p w14:paraId="007E9888">
      <w:pPr>
        <w:pStyle w:val="6"/>
        <w:spacing w:line="500" w:lineRule="exact"/>
        <w:rPr>
          <w:rFonts w:ascii="宋体" w:hAnsi="宋体" w:cs="宋体"/>
          <w:sz w:val="28"/>
          <w:szCs w:val="28"/>
        </w:rPr>
      </w:pPr>
      <w:bookmarkStart w:id="716" w:name="_Toc267582083"/>
      <w:bookmarkStart w:id="717" w:name="_Toc455670866"/>
      <w:bookmarkStart w:id="718" w:name="_Toc207443046"/>
      <w:bookmarkStart w:id="719" w:name="_Toc389146017"/>
      <w:bookmarkStart w:id="720" w:name="_Toc369505650"/>
    </w:p>
    <w:p w14:paraId="468292E3">
      <w:pPr>
        <w:pStyle w:val="6"/>
        <w:spacing w:line="500" w:lineRule="exact"/>
        <w:rPr>
          <w:rFonts w:ascii="宋体" w:hAnsi="宋体" w:cs="宋体"/>
          <w:sz w:val="28"/>
          <w:szCs w:val="28"/>
        </w:rPr>
      </w:pPr>
      <w:r>
        <w:rPr>
          <w:rFonts w:hint="eastAsia" w:ascii="宋体" w:hAnsi="宋体" w:cs="宋体"/>
          <w:sz w:val="28"/>
          <w:szCs w:val="28"/>
        </w:rPr>
        <w:t>附表三：劳动力计划表</w:t>
      </w:r>
      <w:bookmarkEnd w:id="716"/>
      <w:bookmarkEnd w:id="717"/>
      <w:bookmarkEnd w:id="718"/>
      <w:bookmarkEnd w:id="719"/>
      <w:bookmarkEnd w:id="720"/>
    </w:p>
    <w:p w14:paraId="044929F6">
      <w:pPr>
        <w:spacing w:line="500" w:lineRule="exact"/>
        <w:jc w:val="center"/>
        <w:rPr>
          <w:rFonts w:ascii="宋体" w:hAnsi="宋体" w:cs="宋体"/>
          <w:kern w:val="0"/>
          <w:szCs w:val="21"/>
        </w:rPr>
      </w:pPr>
      <w:r>
        <w:rPr>
          <w:rFonts w:hint="eastAsia" w:ascii="宋体" w:hAnsi="宋体" w:cs="宋体"/>
          <w:kern w:val="0"/>
          <w:szCs w:val="21"/>
        </w:rPr>
        <w:t xml:space="preserve">                                                           单位：人</w:t>
      </w:r>
    </w:p>
    <w:tbl>
      <w:tblPr>
        <w:tblStyle w:val="21"/>
        <w:tblW w:w="9020" w:type="dxa"/>
        <w:tblInd w:w="107" w:type="dxa"/>
        <w:tblLayout w:type="fixed"/>
        <w:tblCellMar>
          <w:top w:w="0" w:type="dxa"/>
          <w:left w:w="0" w:type="dxa"/>
          <w:bottom w:w="0" w:type="dxa"/>
          <w:right w:w="0" w:type="dxa"/>
        </w:tblCellMar>
      </w:tblPr>
      <w:tblGrid>
        <w:gridCol w:w="877"/>
        <w:gridCol w:w="1381"/>
        <w:gridCol w:w="1126"/>
        <w:gridCol w:w="1128"/>
        <w:gridCol w:w="1126"/>
        <w:gridCol w:w="1129"/>
        <w:gridCol w:w="1126"/>
        <w:gridCol w:w="1127"/>
      </w:tblGrid>
      <w:tr w14:paraId="097FE7C1">
        <w:tblPrEx>
          <w:tblCellMar>
            <w:top w:w="0" w:type="dxa"/>
            <w:left w:w="0" w:type="dxa"/>
            <w:bottom w:w="0" w:type="dxa"/>
            <w:right w:w="0" w:type="dxa"/>
          </w:tblCellMar>
        </w:tblPrEx>
        <w:trPr>
          <w:trHeight w:val="448" w:hRule="exact"/>
        </w:trPr>
        <w:tc>
          <w:tcPr>
            <w:tcW w:w="877" w:type="dxa"/>
            <w:tcBorders>
              <w:top w:val="single" w:color="000000" w:sz="4" w:space="0"/>
              <w:left w:val="single" w:color="000000" w:sz="4" w:space="0"/>
              <w:bottom w:val="single" w:color="000000" w:sz="4" w:space="0"/>
              <w:right w:val="single" w:color="000000" w:sz="4" w:space="0"/>
            </w:tcBorders>
          </w:tcPr>
          <w:p w14:paraId="6CD4D932">
            <w:pPr>
              <w:spacing w:line="500" w:lineRule="exact"/>
              <w:rPr>
                <w:rFonts w:ascii="宋体" w:hAnsi="宋体" w:cs="宋体"/>
                <w:kern w:val="0"/>
                <w:sz w:val="24"/>
              </w:rPr>
            </w:pPr>
            <w:r>
              <w:rPr>
                <w:rFonts w:hint="eastAsia" w:ascii="宋体" w:hAnsi="宋体" w:cs="宋体"/>
                <w:kern w:val="0"/>
                <w:szCs w:val="21"/>
              </w:rPr>
              <w:t>工种</w:t>
            </w:r>
          </w:p>
        </w:tc>
        <w:tc>
          <w:tcPr>
            <w:tcW w:w="8143" w:type="dxa"/>
            <w:gridSpan w:val="7"/>
            <w:tcBorders>
              <w:top w:val="single" w:color="000000" w:sz="4" w:space="0"/>
              <w:left w:val="single" w:color="000000" w:sz="4" w:space="0"/>
              <w:bottom w:val="single" w:color="000000" w:sz="4" w:space="0"/>
              <w:right w:val="single" w:color="000000" w:sz="4" w:space="0"/>
            </w:tcBorders>
          </w:tcPr>
          <w:p w14:paraId="2B16374F">
            <w:pPr>
              <w:spacing w:line="500" w:lineRule="exact"/>
              <w:rPr>
                <w:rFonts w:ascii="宋体" w:hAnsi="宋体" w:cs="宋体"/>
                <w:kern w:val="0"/>
                <w:sz w:val="24"/>
              </w:rPr>
            </w:pPr>
            <w:r>
              <w:rPr>
                <w:rFonts w:hint="eastAsia" w:ascii="宋体" w:hAnsi="宋体" w:cs="宋体"/>
                <w:kern w:val="0"/>
                <w:szCs w:val="21"/>
              </w:rPr>
              <w:t>按工程施工阶段投入劳动力情况</w:t>
            </w:r>
          </w:p>
        </w:tc>
      </w:tr>
      <w:tr w14:paraId="115DC15E">
        <w:tblPrEx>
          <w:tblCellMar>
            <w:top w:w="0" w:type="dxa"/>
            <w:left w:w="0" w:type="dxa"/>
            <w:bottom w:w="0" w:type="dxa"/>
            <w:right w:w="0" w:type="dxa"/>
          </w:tblCellMar>
        </w:tblPrEx>
        <w:trPr>
          <w:trHeight w:val="448" w:hRule="exact"/>
        </w:trPr>
        <w:tc>
          <w:tcPr>
            <w:tcW w:w="877" w:type="dxa"/>
            <w:tcBorders>
              <w:top w:val="single" w:color="000000" w:sz="4" w:space="0"/>
              <w:left w:val="single" w:color="000000" w:sz="4" w:space="0"/>
              <w:bottom w:val="single" w:color="000000" w:sz="4" w:space="0"/>
              <w:right w:val="single" w:color="000000" w:sz="4" w:space="0"/>
            </w:tcBorders>
          </w:tcPr>
          <w:p w14:paraId="19356D4A">
            <w:pPr>
              <w:spacing w:line="500" w:lineRule="exact"/>
              <w:rPr>
                <w:rFonts w:ascii="宋体" w:hAnsi="宋体" w:cs="宋体"/>
                <w:kern w:val="0"/>
                <w:sz w:val="24"/>
              </w:rPr>
            </w:pPr>
          </w:p>
        </w:tc>
        <w:tc>
          <w:tcPr>
            <w:tcW w:w="1381" w:type="dxa"/>
            <w:tcBorders>
              <w:top w:val="single" w:color="000000" w:sz="4" w:space="0"/>
              <w:left w:val="single" w:color="000000" w:sz="4" w:space="0"/>
              <w:bottom w:val="single" w:color="000000" w:sz="4" w:space="0"/>
              <w:right w:val="single" w:color="000000" w:sz="4" w:space="0"/>
            </w:tcBorders>
          </w:tcPr>
          <w:p w14:paraId="0914C9D2">
            <w:pPr>
              <w:spacing w:line="500" w:lineRule="exact"/>
              <w:rPr>
                <w:rFonts w:ascii="宋体" w:hAnsi="宋体" w:cs="宋体"/>
                <w:kern w:val="0"/>
                <w:sz w:val="24"/>
              </w:rPr>
            </w:pPr>
          </w:p>
        </w:tc>
        <w:tc>
          <w:tcPr>
            <w:tcW w:w="1126" w:type="dxa"/>
            <w:tcBorders>
              <w:top w:val="single" w:color="000000" w:sz="4" w:space="0"/>
              <w:left w:val="single" w:color="000000" w:sz="4" w:space="0"/>
              <w:bottom w:val="single" w:color="000000" w:sz="4" w:space="0"/>
              <w:right w:val="single" w:color="000000" w:sz="4" w:space="0"/>
            </w:tcBorders>
          </w:tcPr>
          <w:p w14:paraId="58BC2B03">
            <w:pPr>
              <w:spacing w:line="500" w:lineRule="exact"/>
              <w:rPr>
                <w:rFonts w:ascii="宋体" w:hAnsi="宋体" w:cs="宋体"/>
                <w:kern w:val="0"/>
                <w:sz w:val="24"/>
              </w:rPr>
            </w:pPr>
          </w:p>
        </w:tc>
        <w:tc>
          <w:tcPr>
            <w:tcW w:w="1128" w:type="dxa"/>
            <w:tcBorders>
              <w:top w:val="single" w:color="000000" w:sz="4" w:space="0"/>
              <w:left w:val="single" w:color="000000" w:sz="4" w:space="0"/>
              <w:bottom w:val="single" w:color="000000" w:sz="4" w:space="0"/>
              <w:right w:val="single" w:color="000000" w:sz="4" w:space="0"/>
            </w:tcBorders>
          </w:tcPr>
          <w:p w14:paraId="4A1B569F">
            <w:pPr>
              <w:spacing w:line="500" w:lineRule="exact"/>
              <w:rPr>
                <w:rFonts w:ascii="宋体" w:hAnsi="宋体" w:cs="宋体"/>
                <w:kern w:val="0"/>
                <w:sz w:val="24"/>
              </w:rPr>
            </w:pPr>
          </w:p>
        </w:tc>
        <w:tc>
          <w:tcPr>
            <w:tcW w:w="1126" w:type="dxa"/>
            <w:tcBorders>
              <w:top w:val="single" w:color="000000" w:sz="4" w:space="0"/>
              <w:left w:val="single" w:color="000000" w:sz="4" w:space="0"/>
              <w:bottom w:val="single" w:color="000000" w:sz="4" w:space="0"/>
              <w:right w:val="single" w:color="000000" w:sz="4" w:space="0"/>
            </w:tcBorders>
          </w:tcPr>
          <w:p w14:paraId="66154D48">
            <w:pPr>
              <w:spacing w:line="500" w:lineRule="exact"/>
              <w:rPr>
                <w:rFonts w:ascii="宋体" w:hAnsi="宋体" w:cs="宋体"/>
                <w:kern w:val="0"/>
                <w:sz w:val="24"/>
              </w:rPr>
            </w:pPr>
          </w:p>
        </w:tc>
        <w:tc>
          <w:tcPr>
            <w:tcW w:w="1129" w:type="dxa"/>
            <w:tcBorders>
              <w:top w:val="single" w:color="000000" w:sz="4" w:space="0"/>
              <w:left w:val="single" w:color="000000" w:sz="4" w:space="0"/>
              <w:bottom w:val="single" w:color="000000" w:sz="4" w:space="0"/>
              <w:right w:val="single" w:color="000000" w:sz="4" w:space="0"/>
            </w:tcBorders>
          </w:tcPr>
          <w:p w14:paraId="2845A7E5">
            <w:pPr>
              <w:spacing w:line="500" w:lineRule="exact"/>
              <w:rPr>
                <w:rFonts w:ascii="宋体" w:hAnsi="宋体" w:cs="宋体"/>
                <w:kern w:val="0"/>
                <w:sz w:val="24"/>
              </w:rPr>
            </w:pPr>
          </w:p>
        </w:tc>
        <w:tc>
          <w:tcPr>
            <w:tcW w:w="1126" w:type="dxa"/>
            <w:tcBorders>
              <w:top w:val="single" w:color="000000" w:sz="4" w:space="0"/>
              <w:left w:val="single" w:color="000000" w:sz="4" w:space="0"/>
              <w:bottom w:val="single" w:color="000000" w:sz="4" w:space="0"/>
              <w:right w:val="single" w:color="000000" w:sz="4" w:space="0"/>
            </w:tcBorders>
          </w:tcPr>
          <w:p w14:paraId="7F500D9F">
            <w:pPr>
              <w:spacing w:line="500" w:lineRule="exact"/>
              <w:rPr>
                <w:rFonts w:ascii="宋体" w:hAnsi="宋体" w:cs="宋体"/>
                <w:kern w:val="0"/>
                <w:sz w:val="24"/>
              </w:rPr>
            </w:pPr>
          </w:p>
        </w:tc>
        <w:tc>
          <w:tcPr>
            <w:tcW w:w="1127" w:type="dxa"/>
            <w:tcBorders>
              <w:top w:val="single" w:color="000000" w:sz="4" w:space="0"/>
              <w:left w:val="single" w:color="000000" w:sz="4" w:space="0"/>
              <w:bottom w:val="single" w:color="000000" w:sz="4" w:space="0"/>
              <w:right w:val="single" w:color="000000" w:sz="4" w:space="0"/>
            </w:tcBorders>
          </w:tcPr>
          <w:p w14:paraId="652A96BB">
            <w:pPr>
              <w:spacing w:line="500" w:lineRule="exact"/>
              <w:rPr>
                <w:rFonts w:ascii="宋体" w:hAnsi="宋体" w:cs="宋体"/>
                <w:kern w:val="0"/>
                <w:sz w:val="24"/>
              </w:rPr>
            </w:pPr>
          </w:p>
        </w:tc>
      </w:tr>
      <w:tr w14:paraId="1F3CA4AF">
        <w:tblPrEx>
          <w:tblCellMar>
            <w:top w:w="0" w:type="dxa"/>
            <w:left w:w="0" w:type="dxa"/>
            <w:bottom w:w="0" w:type="dxa"/>
            <w:right w:w="0" w:type="dxa"/>
          </w:tblCellMar>
        </w:tblPrEx>
        <w:trPr>
          <w:trHeight w:val="448" w:hRule="exact"/>
        </w:trPr>
        <w:tc>
          <w:tcPr>
            <w:tcW w:w="877" w:type="dxa"/>
            <w:tcBorders>
              <w:top w:val="single" w:color="000000" w:sz="4" w:space="0"/>
              <w:left w:val="single" w:color="000000" w:sz="4" w:space="0"/>
              <w:bottom w:val="single" w:color="000000" w:sz="4" w:space="0"/>
              <w:right w:val="single" w:color="000000" w:sz="4" w:space="0"/>
            </w:tcBorders>
          </w:tcPr>
          <w:p w14:paraId="2855DC00">
            <w:pPr>
              <w:spacing w:line="500" w:lineRule="exact"/>
              <w:rPr>
                <w:rFonts w:ascii="宋体" w:hAnsi="宋体" w:cs="宋体"/>
                <w:kern w:val="0"/>
                <w:sz w:val="24"/>
              </w:rPr>
            </w:pPr>
          </w:p>
        </w:tc>
        <w:tc>
          <w:tcPr>
            <w:tcW w:w="1381" w:type="dxa"/>
            <w:tcBorders>
              <w:top w:val="single" w:color="000000" w:sz="4" w:space="0"/>
              <w:left w:val="single" w:color="000000" w:sz="4" w:space="0"/>
              <w:bottom w:val="single" w:color="000000" w:sz="4" w:space="0"/>
              <w:right w:val="single" w:color="000000" w:sz="4" w:space="0"/>
            </w:tcBorders>
          </w:tcPr>
          <w:p w14:paraId="1D191C85">
            <w:pPr>
              <w:spacing w:line="500" w:lineRule="exact"/>
              <w:rPr>
                <w:rFonts w:ascii="宋体" w:hAnsi="宋体" w:cs="宋体"/>
                <w:kern w:val="0"/>
                <w:sz w:val="24"/>
              </w:rPr>
            </w:pPr>
          </w:p>
        </w:tc>
        <w:tc>
          <w:tcPr>
            <w:tcW w:w="1126" w:type="dxa"/>
            <w:tcBorders>
              <w:top w:val="single" w:color="000000" w:sz="4" w:space="0"/>
              <w:left w:val="single" w:color="000000" w:sz="4" w:space="0"/>
              <w:bottom w:val="single" w:color="000000" w:sz="4" w:space="0"/>
              <w:right w:val="single" w:color="000000" w:sz="4" w:space="0"/>
            </w:tcBorders>
          </w:tcPr>
          <w:p w14:paraId="370F6F3B">
            <w:pPr>
              <w:spacing w:line="500" w:lineRule="exact"/>
              <w:rPr>
                <w:rFonts w:ascii="宋体" w:hAnsi="宋体" w:cs="宋体"/>
                <w:kern w:val="0"/>
                <w:sz w:val="24"/>
              </w:rPr>
            </w:pPr>
          </w:p>
        </w:tc>
        <w:tc>
          <w:tcPr>
            <w:tcW w:w="1128" w:type="dxa"/>
            <w:tcBorders>
              <w:top w:val="single" w:color="000000" w:sz="4" w:space="0"/>
              <w:left w:val="single" w:color="000000" w:sz="4" w:space="0"/>
              <w:bottom w:val="single" w:color="000000" w:sz="4" w:space="0"/>
              <w:right w:val="single" w:color="000000" w:sz="4" w:space="0"/>
            </w:tcBorders>
          </w:tcPr>
          <w:p w14:paraId="7C28250F">
            <w:pPr>
              <w:spacing w:line="500" w:lineRule="exact"/>
              <w:rPr>
                <w:rFonts w:ascii="宋体" w:hAnsi="宋体" w:cs="宋体"/>
                <w:kern w:val="0"/>
                <w:sz w:val="24"/>
              </w:rPr>
            </w:pPr>
          </w:p>
        </w:tc>
        <w:tc>
          <w:tcPr>
            <w:tcW w:w="1126" w:type="dxa"/>
            <w:tcBorders>
              <w:top w:val="single" w:color="000000" w:sz="4" w:space="0"/>
              <w:left w:val="single" w:color="000000" w:sz="4" w:space="0"/>
              <w:bottom w:val="single" w:color="000000" w:sz="4" w:space="0"/>
              <w:right w:val="single" w:color="000000" w:sz="4" w:space="0"/>
            </w:tcBorders>
          </w:tcPr>
          <w:p w14:paraId="5B57138D">
            <w:pPr>
              <w:spacing w:line="500" w:lineRule="exact"/>
              <w:rPr>
                <w:rFonts w:ascii="宋体" w:hAnsi="宋体" w:cs="宋体"/>
                <w:kern w:val="0"/>
                <w:sz w:val="24"/>
              </w:rPr>
            </w:pPr>
          </w:p>
        </w:tc>
        <w:tc>
          <w:tcPr>
            <w:tcW w:w="1129" w:type="dxa"/>
            <w:tcBorders>
              <w:top w:val="single" w:color="000000" w:sz="4" w:space="0"/>
              <w:left w:val="single" w:color="000000" w:sz="4" w:space="0"/>
              <w:bottom w:val="single" w:color="000000" w:sz="4" w:space="0"/>
              <w:right w:val="single" w:color="000000" w:sz="4" w:space="0"/>
            </w:tcBorders>
          </w:tcPr>
          <w:p w14:paraId="0BEFA080">
            <w:pPr>
              <w:spacing w:line="500" w:lineRule="exact"/>
              <w:rPr>
                <w:rFonts w:ascii="宋体" w:hAnsi="宋体" w:cs="宋体"/>
                <w:kern w:val="0"/>
                <w:sz w:val="24"/>
              </w:rPr>
            </w:pPr>
          </w:p>
        </w:tc>
        <w:tc>
          <w:tcPr>
            <w:tcW w:w="1126" w:type="dxa"/>
            <w:tcBorders>
              <w:top w:val="single" w:color="000000" w:sz="4" w:space="0"/>
              <w:left w:val="single" w:color="000000" w:sz="4" w:space="0"/>
              <w:bottom w:val="single" w:color="000000" w:sz="4" w:space="0"/>
              <w:right w:val="single" w:color="000000" w:sz="4" w:space="0"/>
            </w:tcBorders>
          </w:tcPr>
          <w:p w14:paraId="4239D5B5">
            <w:pPr>
              <w:spacing w:line="500" w:lineRule="exact"/>
              <w:rPr>
                <w:rFonts w:ascii="宋体" w:hAnsi="宋体" w:cs="宋体"/>
                <w:kern w:val="0"/>
                <w:sz w:val="24"/>
              </w:rPr>
            </w:pPr>
          </w:p>
        </w:tc>
        <w:tc>
          <w:tcPr>
            <w:tcW w:w="1127" w:type="dxa"/>
            <w:tcBorders>
              <w:top w:val="single" w:color="000000" w:sz="4" w:space="0"/>
              <w:left w:val="single" w:color="000000" w:sz="4" w:space="0"/>
              <w:bottom w:val="single" w:color="000000" w:sz="4" w:space="0"/>
              <w:right w:val="single" w:color="000000" w:sz="4" w:space="0"/>
            </w:tcBorders>
          </w:tcPr>
          <w:p w14:paraId="65A4C441">
            <w:pPr>
              <w:spacing w:line="500" w:lineRule="exact"/>
              <w:rPr>
                <w:rFonts w:ascii="宋体" w:hAnsi="宋体" w:cs="宋体"/>
                <w:kern w:val="0"/>
                <w:sz w:val="24"/>
              </w:rPr>
            </w:pPr>
          </w:p>
        </w:tc>
      </w:tr>
      <w:tr w14:paraId="72F697AF">
        <w:tblPrEx>
          <w:tblCellMar>
            <w:top w:w="0" w:type="dxa"/>
            <w:left w:w="0" w:type="dxa"/>
            <w:bottom w:w="0" w:type="dxa"/>
            <w:right w:w="0" w:type="dxa"/>
          </w:tblCellMar>
        </w:tblPrEx>
        <w:trPr>
          <w:trHeight w:val="448" w:hRule="exact"/>
        </w:trPr>
        <w:tc>
          <w:tcPr>
            <w:tcW w:w="877" w:type="dxa"/>
            <w:tcBorders>
              <w:top w:val="single" w:color="000000" w:sz="4" w:space="0"/>
              <w:left w:val="single" w:color="000000" w:sz="4" w:space="0"/>
              <w:bottom w:val="single" w:color="000000" w:sz="4" w:space="0"/>
              <w:right w:val="single" w:color="000000" w:sz="4" w:space="0"/>
            </w:tcBorders>
          </w:tcPr>
          <w:p w14:paraId="57E85493">
            <w:pPr>
              <w:spacing w:line="500" w:lineRule="exact"/>
              <w:rPr>
                <w:rFonts w:ascii="宋体" w:hAnsi="宋体" w:cs="宋体"/>
                <w:kern w:val="0"/>
                <w:sz w:val="24"/>
              </w:rPr>
            </w:pPr>
          </w:p>
        </w:tc>
        <w:tc>
          <w:tcPr>
            <w:tcW w:w="1381" w:type="dxa"/>
            <w:tcBorders>
              <w:top w:val="single" w:color="000000" w:sz="4" w:space="0"/>
              <w:left w:val="single" w:color="000000" w:sz="4" w:space="0"/>
              <w:bottom w:val="single" w:color="000000" w:sz="4" w:space="0"/>
              <w:right w:val="single" w:color="000000" w:sz="4" w:space="0"/>
            </w:tcBorders>
          </w:tcPr>
          <w:p w14:paraId="1338B68E">
            <w:pPr>
              <w:spacing w:line="500" w:lineRule="exact"/>
              <w:rPr>
                <w:rFonts w:ascii="宋体" w:hAnsi="宋体" w:cs="宋体"/>
                <w:kern w:val="0"/>
                <w:sz w:val="24"/>
              </w:rPr>
            </w:pPr>
          </w:p>
        </w:tc>
        <w:tc>
          <w:tcPr>
            <w:tcW w:w="1126" w:type="dxa"/>
            <w:tcBorders>
              <w:top w:val="single" w:color="000000" w:sz="4" w:space="0"/>
              <w:left w:val="single" w:color="000000" w:sz="4" w:space="0"/>
              <w:bottom w:val="single" w:color="000000" w:sz="4" w:space="0"/>
              <w:right w:val="single" w:color="000000" w:sz="4" w:space="0"/>
            </w:tcBorders>
          </w:tcPr>
          <w:p w14:paraId="34435BE5">
            <w:pPr>
              <w:spacing w:line="500" w:lineRule="exact"/>
              <w:rPr>
                <w:rFonts w:ascii="宋体" w:hAnsi="宋体" w:cs="宋体"/>
                <w:kern w:val="0"/>
                <w:sz w:val="24"/>
              </w:rPr>
            </w:pPr>
          </w:p>
        </w:tc>
        <w:tc>
          <w:tcPr>
            <w:tcW w:w="1128" w:type="dxa"/>
            <w:tcBorders>
              <w:top w:val="single" w:color="000000" w:sz="4" w:space="0"/>
              <w:left w:val="single" w:color="000000" w:sz="4" w:space="0"/>
              <w:bottom w:val="single" w:color="000000" w:sz="4" w:space="0"/>
              <w:right w:val="single" w:color="000000" w:sz="4" w:space="0"/>
            </w:tcBorders>
          </w:tcPr>
          <w:p w14:paraId="08103248">
            <w:pPr>
              <w:spacing w:line="500" w:lineRule="exact"/>
              <w:rPr>
                <w:rFonts w:ascii="宋体" w:hAnsi="宋体" w:cs="宋体"/>
                <w:kern w:val="0"/>
                <w:sz w:val="24"/>
              </w:rPr>
            </w:pPr>
          </w:p>
        </w:tc>
        <w:tc>
          <w:tcPr>
            <w:tcW w:w="1126" w:type="dxa"/>
            <w:tcBorders>
              <w:top w:val="single" w:color="000000" w:sz="4" w:space="0"/>
              <w:left w:val="single" w:color="000000" w:sz="4" w:space="0"/>
              <w:bottom w:val="single" w:color="000000" w:sz="4" w:space="0"/>
              <w:right w:val="single" w:color="000000" w:sz="4" w:space="0"/>
            </w:tcBorders>
          </w:tcPr>
          <w:p w14:paraId="3F3F5FF4">
            <w:pPr>
              <w:spacing w:line="500" w:lineRule="exact"/>
              <w:rPr>
                <w:rFonts w:ascii="宋体" w:hAnsi="宋体" w:cs="宋体"/>
                <w:kern w:val="0"/>
                <w:sz w:val="24"/>
              </w:rPr>
            </w:pPr>
          </w:p>
        </w:tc>
        <w:tc>
          <w:tcPr>
            <w:tcW w:w="1129" w:type="dxa"/>
            <w:tcBorders>
              <w:top w:val="single" w:color="000000" w:sz="4" w:space="0"/>
              <w:left w:val="single" w:color="000000" w:sz="4" w:space="0"/>
              <w:bottom w:val="single" w:color="000000" w:sz="4" w:space="0"/>
              <w:right w:val="single" w:color="000000" w:sz="4" w:space="0"/>
            </w:tcBorders>
          </w:tcPr>
          <w:p w14:paraId="71254FA7">
            <w:pPr>
              <w:spacing w:line="500" w:lineRule="exact"/>
              <w:rPr>
                <w:rFonts w:ascii="宋体" w:hAnsi="宋体" w:cs="宋体"/>
                <w:kern w:val="0"/>
                <w:sz w:val="24"/>
              </w:rPr>
            </w:pPr>
          </w:p>
        </w:tc>
        <w:tc>
          <w:tcPr>
            <w:tcW w:w="1126" w:type="dxa"/>
            <w:tcBorders>
              <w:top w:val="single" w:color="000000" w:sz="4" w:space="0"/>
              <w:left w:val="single" w:color="000000" w:sz="4" w:space="0"/>
              <w:bottom w:val="single" w:color="000000" w:sz="4" w:space="0"/>
              <w:right w:val="single" w:color="000000" w:sz="4" w:space="0"/>
            </w:tcBorders>
          </w:tcPr>
          <w:p w14:paraId="7E6BB8B4">
            <w:pPr>
              <w:spacing w:line="500" w:lineRule="exact"/>
              <w:rPr>
                <w:rFonts w:ascii="宋体" w:hAnsi="宋体" w:cs="宋体"/>
                <w:kern w:val="0"/>
                <w:sz w:val="24"/>
              </w:rPr>
            </w:pPr>
          </w:p>
        </w:tc>
        <w:tc>
          <w:tcPr>
            <w:tcW w:w="1127" w:type="dxa"/>
            <w:tcBorders>
              <w:top w:val="single" w:color="000000" w:sz="4" w:space="0"/>
              <w:left w:val="single" w:color="000000" w:sz="4" w:space="0"/>
              <w:bottom w:val="single" w:color="000000" w:sz="4" w:space="0"/>
              <w:right w:val="single" w:color="000000" w:sz="4" w:space="0"/>
            </w:tcBorders>
          </w:tcPr>
          <w:p w14:paraId="3491FBF0">
            <w:pPr>
              <w:spacing w:line="500" w:lineRule="exact"/>
              <w:rPr>
                <w:rFonts w:ascii="宋体" w:hAnsi="宋体" w:cs="宋体"/>
                <w:kern w:val="0"/>
                <w:sz w:val="24"/>
              </w:rPr>
            </w:pPr>
          </w:p>
        </w:tc>
      </w:tr>
      <w:tr w14:paraId="19B243AF">
        <w:tblPrEx>
          <w:tblCellMar>
            <w:top w:w="0" w:type="dxa"/>
            <w:left w:w="0" w:type="dxa"/>
            <w:bottom w:w="0" w:type="dxa"/>
            <w:right w:w="0" w:type="dxa"/>
          </w:tblCellMar>
        </w:tblPrEx>
        <w:trPr>
          <w:trHeight w:val="458" w:hRule="exact"/>
        </w:trPr>
        <w:tc>
          <w:tcPr>
            <w:tcW w:w="877" w:type="dxa"/>
            <w:tcBorders>
              <w:top w:val="single" w:color="000000" w:sz="4" w:space="0"/>
              <w:left w:val="single" w:color="000000" w:sz="4" w:space="0"/>
              <w:bottom w:val="single" w:color="000000" w:sz="4" w:space="0"/>
              <w:right w:val="single" w:color="000000" w:sz="4" w:space="0"/>
            </w:tcBorders>
          </w:tcPr>
          <w:p w14:paraId="7CC14A78">
            <w:pPr>
              <w:spacing w:line="500" w:lineRule="exact"/>
              <w:rPr>
                <w:rFonts w:ascii="宋体" w:hAnsi="宋体" w:cs="宋体"/>
                <w:kern w:val="0"/>
                <w:sz w:val="24"/>
              </w:rPr>
            </w:pPr>
          </w:p>
        </w:tc>
        <w:tc>
          <w:tcPr>
            <w:tcW w:w="1381" w:type="dxa"/>
            <w:tcBorders>
              <w:top w:val="single" w:color="000000" w:sz="4" w:space="0"/>
              <w:left w:val="single" w:color="000000" w:sz="4" w:space="0"/>
              <w:bottom w:val="single" w:color="000000" w:sz="4" w:space="0"/>
              <w:right w:val="single" w:color="000000" w:sz="4" w:space="0"/>
            </w:tcBorders>
          </w:tcPr>
          <w:p w14:paraId="04E247CA">
            <w:pPr>
              <w:spacing w:line="500" w:lineRule="exact"/>
              <w:rPr>
                <w:rFonts w:ascii="宋体" w:hAnsi="宋体" w:cs="宋体"/>
                <w:kern w:val="0"/>
                <w:sz w:val="24"/>
              </w:rPr>
            </w:pPr>
          </w:p>
        </w:tc>
        <w:tc>
          <w:tcPr>
            <w:tcW w:w="1126" w:type="dxa"/>
            <w:tcBorders>
              <w:top w:val="single" w:color="000000" w:sz="4" w:space="0"/>
              <w:left w:val="single" w:color="000000" w:sz="4" w:space="0"/>
              <w:bottom w:val="single" w:color="000000" w:sz="4" w:space="0"/>
              <w:right w:val="single" w:color="000000" w:sz="4" w:space="0"/>
            </w:tcBorders>
          </w:tcPr>
          <w:p w14:paraId="1CFE9DD5">
            <w:pPr>
              <w:spacing w:line="500" w:lineRule="exact"/>
              <w:rPr>
                <w:rFonts w:ascii="宋体" w:hAnsi="宋体" w:cs="宋体"/>
                <w:kern w:val="0"/>
                <w:sz w:val="24"/>
              </w:rPr>
            </w:pPr>
          </w:p>
        </w:tc>
        <w:tc>
          <w:tcPr>
            <w:tcW w:w="1128" w:type="dxa"/>
            <w:tcBorders>
              <w:top w:val="single" w:color="000000" w:sz="4" w:space="0"/>
              <w:left w:val="single" w:color="000000" w:sz="4" w:space="0"/>
              <w:bottom w:val="single" w:color="000000" w:sz="4" w:space="0"/>
              <w:right w:val="single" w:color="000000" w:sz="4" w:space="0"/>
            </w:tcBorders>
          </w:tcPr>
          <w:p w14:paraId="0811CC1C">
            <w:pPr>
              <w:spacing w:line="500" w:lineRule="exact"/>
              <w:rPr>
                <w:rFonts w:ascii="宋体" w:hAnsi="宋体" w:cs="宋体"/>
                <w:kern w:val="0"/>
                <w:sz w:val="24"/>
              </w:rPr>
            </w:pPr>
          </w:p>
        </w:tc>
        <w:tc>
          <w:tcPr>
            <w:tcW w:w="1126" w:type="dxa"/>
            <w:tcBorders>
              <w:top w:val="single" w:color="000000" w:sz="4" w:space="0"/>
              <w:left w:val="single" w:color="000000" w:sz="4" w:space="0"/>
              <w:bottom w:val="single" w:color="000000" w:sz="4" w:space="0"/>
              <w:right w:val="single" w:color="000000" w:sz="4" w:space="0"/>
            </w:tcBorders>
          </w:tcPr>
          <w:p w14:paraId="5D280CF1">
            <w:pPr>
              <w:spacing w:line="500" w:lineRule="exact"/>
              <w:rPr>
                <w:rFonts w:ascii="宋体" w:hAnsi="宋体" w:cs="宋体"/>
                <w:kern w:val="0"/>
                <w:sz w:val="24"/>
              </w:rPr>
            </w:pPr>
          </w:p>
        </w:tc>
        <w:tc>
          <w:tcPr>
            <w:tcW w:w="1129" w:type="dxa"/>
            <w:tcBorders>
              <w:top w:val="single" w:color="000000" w:sz="4" w:space="0"/>
              <w:left w:val="single" w:color="000000" w:sz="4" w:space="0"/>
              <w:bottom w:val="single" w:color="000000" w:sz="4" w:space="0"/>
              <w:right w:val="single" w:color="000000" w:sz="4" w:space="0"/>
            </w:tcBorders>
          </w:tcPr>
          <w:p w14:paraId="7A0B85AC">
            <w:pPr>
              <w:spacing w:line="500" w:lineRule="exact"/>
              <w:rPr>
                <w:rFonts w:ascii="宋体" w:hAnsi="宋体" w:cs="宋体"/>
                <w:kern w:val="0"/>
                <w:sz w:val="24"/>
              </w:rPr>
            </w:pPr>
          </w:p>
        </w:tc>
        <w:tc>
          <w:tcPr>
            <w:tcW w:w="1126" w:type="dxa"/>
            <w:tcBorders>
              <w:top w:val="single" w:color="000000" w:sz="4" w:space="0"/>
              <w:left w:val="single" w:color="000000" w:sz="4" w:space="0"/>
              <w:bottom w:val="single" w:color="000000" w:sz="4" w:space="0"/>
              <w:right w:val="single" w:color="000000" w:sz="4" w:space="0"/>
            </w:tcBorders>
          </w:tcPr>
          <w:p w14:paraId="10B55AFA">
            <w:pPr>
              <w:spacing w:line="500" w:lineRule="exact"/>
              <w:rPr>
                <w:rFonts w:ascii="宋体" w:hAnsi="宋体" w:cs="宋体"/>
                <w:kern w:val="0"/>
                <w:sz w:val="24"/>
              </w:rPr>
            </w:pPr>
          </w:p>
        </w:tc>
        <w:tc>
          <w:tcPr>
            <w:tcW w:w="1127" w:type="dxa"/>
            <w:tcBorders>
              <w:top w:val="single" w:color="000000" w:sz="4" w:space="0"/>
              <w:left w:val="single" w:color="000000" w:sz="4" w:space="0"/>
              <w:bottom w:val="single" w:color="000000" w:sz="4" w:space="0"/>
              <w:right w:val="single" w:color="000000" w:sz="4" w:space="0"/>
            </w:tcBorders>
          </w:tcPr>
          <w:p w14:paraId="2F707EB4">
            <w:pPr>
              <w:spacing w:line="500" w:lineRule="exact"/>
              <w:rPr>
                <w:rFonts w:ascii="宋体" w:hAnsi="宋体" w:cs="宋体"/>
                <w:kern w:val="0"/>
                <w:sz w:val="24"/>
              </w:rPr>
            </w:pPr>
          </w:p>
        </w:tc>
      </w:tr>
    </w:tbl>
    <w:p w14:paraId="195B9DAA">
      <w:pPr>
        <w:spacing w:line="500" w:lineRule="exact"/>
        <w:rPr>
          <w:rFonts w:ascii="宋体" w:hAnsi="宋体" w:cs="宋体"/>
          <w:kern w:val="0"/>
          <w:sz w:val="28"/>
          <w:szCs w:val="28"/>
        </w:rPr>
      </w:pPr>
    </w:p>
    <w:p w14:paraId="4293FF88">
      <w:pPr>
        <w:pStyle w:val="6"/>
        <w:spacing w:line="500" w:lineRule="exact"/>
        <w:rPr>
          <w:rFonts w:ascii="宋体" w:hAnsi="宋体" w:cs="宋体"/>
          <w:kern w:val="0"/>
          <w:sz w:val="20"/>
          <w:szCs w:val="20"/>
        </w:rPr>
      </w:pPr>
      <w:bookmarkStart w:id="721" w:name="_Toc207443047"/>
      <w:bookmarkStart w:id="722" w:name="_Toc455670867"/>
      <w:bookmarkStart w:id="723" w:name="_Toc267582084"/>
      <w:bookmarkStart w:id="724" w:name="_Toc389146018"/>
      <w:bookmarkStart w:id="725" w:name="_Toc369505651"/>
      <w:r>
        <w:rPr>
          <w:rFonts w:hint="eastAsia" w:ascii="宋体" w:hAnsi="宋体" w:cs="宋体"/>
          <w:sz w:val="28"/>
          <w:szCs w:val="28"/>
        </w:rPr>
        <w:t>附表四：计划开、竣工日期和施工进度网络图</w:t>
      </w:r>
      <w:bookmarkEnd w:id="721"/>
      <w:bookmarkEnd w:id="722"/>
      <w:bookmarkEnd w:id="723"/>
      <w:bookmarkEnd w:id="724"/>
      <w:bookmarkEnd w:id="725"/>
    </w:p>
    <w:p w14:paraId="3C06285F">
      <w:pPr>
        <w:spacing w:line="500" w:lineRule="exact"/>
        <w:ind w:firstLine="424" w:firstLineChars="202"/>
        <w:rPr>
          <w:rFonts w:ascii="宋体" w:hAnsi="宋体" w:cs="宋体"/>
          <w:kern w:val="0"/>
          <w:szCs w:val="21"/>
        </w:rPr>
      </w:pPr>
      <w:r>
        <w:rPr>
          <w:rFonts w:hint="eastAsia" w:ascii="宋体" w:hAnsi="宋体" w:cs="宋体"/>
          <w:kern w:val="0"/>
          <w:szCs w:val="21"/>
        </w:rPr>
        <w:t xml:space="preserve">1. </w:t>
      </w:r>
      <w:r>
        <w:rPr>
          <w:rFonts w:hint="eastAsia" w:ascii="宋体" w:hAnsi="宋体" w:cs="宋体"/>
          <w:spacing w:val="1"/>
          <w:kern w:val="0"/>
          <w:szCs w:val="21"/>
        </w:rPr>
        <w:t>竞标人</w:t>
      </w:r>
      <w:r>
        <w:rPr>
          <w:rFonts w:hint="eastAsia" w:ascii="宋体" w:hAnsi="宋体" w:cs="宋体"/>
          <w:spacing w:val="2"/>
          <w:kern w:val="0"/>
          <w:szCs w:val="21"/>
        </w:rPr>
        <w:t>应</w:t>
      </w:r>
      <w:r>
        <w:rPr>
          <w:rFonts w:hint="eastAsia" w:ascii="宋体" w:hAnsi="宋体" w:cs="宋体"/>
          <w:spacing w:val="1"/>
          <w:kern w:val="0"/>
          <w:szCs w:val="21"/>
        </w:rPr>
        <w:t>递交</w:t>
      </w:r>
      <w:r>
        <w:rPr>
          <w:rFonts w:hint="eastAsia" w:ascii="宋体" w:hAnsi="宋体" w:cs="宋体"/>
          <w:spacing w:val="2"/>
          <w:kern w:val="0"/>
          <w:szCs w:val="21"/>
        </w:rPr>
        <w:t>施</w:t>
      </w:r>
      <w:r>
        <w:rPr>
          <w:rFonts w:hint="eastAsia" w:ascii="宋体" w:hAnsi="宋体" w:cs="宋体"/>
          <w:spacing w:val="1"/>
          <w:kern w:val="0"/>
          <w:szCs w:val="21"/>
        </w:rPr>
        <w:t>工</w:t>
      </w:r>
      <w:r>
        <w:rPr>
          <w:rFonts w:hint="eastAsia" w:ascii="宋体" w:hAnsi="宋体" w:cs="宋体"/>
          <w:spacing w:val="2"/>
          <w:kern w:val="0"/>
          <w:szCs w:val="21"/>
        </w:rPr>
        <w:t>进</w:t>
      </w:r>
      <w:r>
        <w:rPr>
          <w:rFonts w:hint="eastAsia" w:ascii="宋体" w:hAnsi="宋体" w:cs="宋体"/>
          <w:spacing w:val="1"/>
          <w:kern w:val="0"/>
          <w:szCs w:val="21"/>
        </w:rPr>
        <w:t>度网</w:t>
      </w:r>
      <w:r>
        <w:rPr>
          <w:rFonts w:hint="eastAsia" w:ascii="宋体" w:hAnsi="宋体" w:cs="宋体"/>
          <w:spacing w:val="2"/>
          <w:kern w:val="0"/>
          <w:szCs w:val="21"/>
        </w:rPr>
        <w:t>络</w:t>
      </w:r>
      <w:r>
        <w:rPr>
          <w:rFonts w:hint="eastAsia" w:ascii="宋体" w:hAnsi="宋体" w:cs="宋体"/>
          <w:spacing w:val="1"/>
          <w:kern w:val="0"/>
          <w:szCs w:val="21"/>
        </w:rPr>
        <w:t>图</w:t>
      </w:r>
      <w:r>
        <w:rPr>
          <w:rFonts w:hint="eastAsia" w:ascii="宋体" w:hAnsi="宋体" w:cs="宋体"/>
          <w:spacing w:val="2"/>
          <w:kern w:val="0"/>
          <w:szCs w:val="21"/>
        </w:rPr>
        <w:t>及横</w:t>
      </w:r>
      <w:r>
        <w:rPr>
          <w:rFonts w:hint="eastAsia" w:ascii="宋体" w:hAnsi="宋体" w:cs="宋体"/>
          <w:kern w:val="0"/>
          <w:szCs w:val="21"/>
        </w:rPr>
        <w:t>道图</w:t>
      </w:r>
      <w:r>
        <w:rPr>
          <w:rFonts w:hint="eastAsia" w:ascii="宋体" w:hAnsi="宋体" w:cs="宋体"/>
          <w:spacing w:val="1"/>
          <w:kern w:val="0"/>
          <w:szCs w:val="21"/>
        </w:rPr>
        <w:t>，说</w:t>
      </w:r>
      <w:r>
        <w:rPr>
          <w:rFonts w:hint="eastAsia" w:ascii="宋体" w:hAnsi="宋体" w:cs="宋体"/>
          <w:spacing w:val="2"/>
          <w:kern w:val="0"/>
          <w:szCs w:val="21"/>
        </w:rPr>
        <w:t>明</w:t>
      </w:r>
      <w:r>
        <w:rPr>
          <w:rFonts w:hint="eastAsia" w:ascii="宋体" w:hAnsi="宋体" w:cs="宋体"/>
          <w:spacing w:val="1"/>
          <w:kern w:val="0"/>
          <w:szCs w:val="21"/>
        </w:rPr>
        <w:t>按</w:t>
      </w:r>
      <w:r>
        <w:rPr>
          <w:rFonts w:hint="eastAsia" w:ascii="宋体" w:hAnsi="宋体" w:cs="宋体"/>
          <w:spacing w:val="2"/>
          <w:kern w:val="0"/>
          <w:szCs w:val="21"/>
        </w:rPr>
        <w:t>竞争性磋商文件</w:t>
      </w:r>
      <w:r>
        <w:rPr>
          <w:rFonts w:hint="eastAsia" w:ascii="宋体" w:hAnsi="宋体" w:cs="宋体"/>
          <w:spacing w:val="1"/>
          <w:kern w:val="0"/>
          <w:szCs w:val="21"/>
        </w:rPr>
        <w:t>要</w:t>
      </w:r>
      <w:r>
        <w:rPr>
          <w:rFonts w:hint="eastAsia" w:ascii="宋体" w:hAnsi="宋体" w:cs="宋体"/>
          <w:spacing w:val="2"/>
          <w:kern w:val="0"/>
          <w:szCs w:val="21"/>
        </w:rPr>
        <w:t>求</w:t>
      </w:r>
      <w:r>
        <w:rPr>
          <w:rFonts w:hint="eastAsia" w:ascii="宋体" w:hAnsi="宋体" w:cs="宋体"/>
          <w:spacing w:val="1"/>
          <w:kern w:val="0"/>
          <w:szCs w:val="21"/>
        </w:rPr>
        <w:t>的计</w:t>
      </w:r>
      <w:r>
        <w:rPr>
          <w:rFonts w:hint="eastAsia" w:ascii="宋体" w:hAnsi="宋体" w:cs="宋体"/>
          <w:spacing w:val="2"/>
          <w:kern w:val="0"/>
          <w:szCs w:val="21"/>
        </w:rPr>
        <w:t>划</w:t>
      </w:r>
      <w:r>
        <w:rPr>
          <w:rFonts w:hint="eastAsia" w:ascii="宋体" w:hAnsi="宋体" w:cs="宋体"/>
          <w:spacing w:val="1"/>
          <w:kern w:val="0"/>
          <w:szCs w:val="21"/>
        </w:rPr>
        <w:t>工</w:t>
      </w:r>
      <w:r>
        <w:rPr>
          <w:rFonts w:hint="eastAsia" w:ascii="宋体" w:hAnsi="宋体" w:cs="宋体"/>
          <w:spacing w:val="4"/>
          <w:kern w:val="0"/>
          <w:szCs w:val="21"/>
        </w:rPr>
        <w:t>期</w:t>
      </w:r>
      <w:r>
        <w:rPr>
          <w:rFonts w:hint="eastAsia" w:ascii="宋体" w:hAnsi="宋体" w:cs="宋体"/>
          <w:spacing w:val="2"/>
          <w:kern w:val="0"/>
          <w:szCs w:val="21"/>
        </w:rPr>
        <w:t>进</w:t>
      </w:r>
      <w:r>
        <w:rPr>
          <w:rFonts w:hint="eastAsia" w:ascii="宋体" w:hAnsi="宋体" w:cs="宋体"/>
          <w:spacing w:val="1"/>
          <w:kern w:val="0"/>
          <w:szCs w:val="21"/>
        </w:rPr>
        <w:t>行</w:t>
      </w:r>
      <w:r>
        <w:rPr>
          <w:rFonts w:hint="eastAsia" w:ascii="宋体" w:hAnsi="宋体" w:cs="宋体"/>
          <w:kern w:val="0"/>
          <w:szCs w:val="21"/>
        </w:rPr>
        <w:t>施工的各个关键日期。</w:t>
      </w:r>
      <w:bookmarkStart w:id="726" w:name="_Toc267582085"/>
      <w:bookmarkStart w:id="727" w:name="_Toc207443048"/>
      <w:bookmarkStart w:id="728" w:name="_Toc369505652"/>
      <w:bookmarkStart w:id="729" w:name="_Toc389146019"/>
      <w:bookmarkStart w:id="730" w:name="_Toc455670868"/>
    </w:p>
    <w:p w14:paraId="5ADDD06F"/>
    <w:p w14:paraId="3E96C6C4">
      <w:pPr>
        <w:pStyle w:val="6"/>
        <w:spacing w:line="500" w:lineRule="exact"/>
        <w:rPr>
          <w:rFonts w:ascii="宋体" w:hAnsi="宋体" w:cs="宋体"/>
          <w:kern w:val="0"/>
          <w:sz w:val="20"/>
          <w:szCs w:val="20"/>
        </w:rPr>
      </w:pPr>
      <w:r>
        <w:rPr>
          <w:rFonts w:hint="eastAsia" w:ascii="宋体" w:hAnsi="宋体" w:cs="宋体"/>
          <w:sz w:val="28"/>
          <w:szCs w:val="28"/>
        </w:rPr>
        <w:t>附表五：施工总平面图</w:t>
      </w:r>
      <w:bookmarkEnd w:id="726"/>
      <w:bookmarkEnd w:id="727"/>
      <w:bookmarkEnd w:id="728"/>
      <w:bookmarkEnd w:id="729"/>
      <w:bookmarkEnd w:id="730"/>
    </w:p>
    <w:p w14:paraId="2AB0D6C8">
      <w:pPr>
        <w:spacing w:line="500" w:lineRule="exact"/>
        <w:ind w:firstLine="424" w:firstLineChars="202"/>
        <w:rPr>
          <w:rFonts w:ascii="宋体" w:hAnsi="宋体" w:cs="宋体"/>
          <w:kern w:val="0"/>
          <w:szCs w:val="21"/>
        </w:rPr>
      </w:pPr>
      <w:r>
        <w:rPr>
          <w:rFonts w:hint="eastAsia" w:ascii="宋体" w:hAnsi="宋体" w:cs="宋体"/>
          <w:kern w:val="0"/>
          <w:szCs w:val="21"/>
        </w:rPr>
        <w:t>竞标人应递交一份施工总平面图</w:t>
      </w:r>
      <w:r>
        <w:rPr>
          <w:rFonts w:hint="eastAsia" w:ascii="宋体" w:hAnsi="宋体" w:cs="宋体"/>
          <w:spacing w:val="-47"/>
          <w:kern w:val="0"/>
          <w:szCs w:val="21"/>
        </w:rPr>
        <w:t>，</w:t>
      </w:r>
      <w:r>
        <w:rPr>
          <w:rFonts w:hint="eastAsia" w:ascii="宋体" w:hAnsi="宋体" w:cs="宋体"/>
          <w:kern w:val="0"/>
          <w:szCs w:val="21"/>
        </w:rPr>
        <w:t>绘出现场临时设施布置图表并附文字说明</w:t>
      </w:r>
      <w:r>
        <w:rPr>
          <w:rFonts w:hint="eastAsia" w:ascii="宋体" w:hAnsi="宋体" w:cs="宋体"/>
          <w:spacing w:val="-47"/>
          <w:kern w:val="0"/>
          <w:szCs w:val="21"/>
        </w:rPr>
        <w:t>，</w:t>
      </w:r>
      <w:r>
        <w:rPr>
          <w:rFonts w:hint="eastAsia" w:ascii="宋体" w:hAnsi="宋体" w:cs="宋体"/>
          <w:kern w:val="0"/>
          <w:szCs w:val="21"/>
        </w:rPr>
        <w:t>说明临时 设施</w:t>
      </w:r>
      <w:r>
        <w:rPr>
          <w:rFonts w:hint="eastAsia" w:ascii="宋体" w:hAnsi="宋体" w:cs="宋体"/>
          <w:spacing w:val="-11"/>
          <w:kern w:val="0"/>
          <w:szCs w:val="21"/>
        </w:rPr>
        <w:t>、</w:t>
      </w:r>
      <w:r>
        <w:rPr>
          <w:rFonts w:hint="eastAsia" w:ascii="宋体" w:hAnsi="宋体" w:cs="宋体"/>
          <w:kern w:val="0"/>
          <w:szCs w:val="21"/>
        </w:rPr>
        <w:t>加工车间</w:t>
      </w:r>
      <w:r>
        <w:rPr>
          <w:rFonts w:hint="eastAsia" w:ascii="宋体" w:hAnsi="宋体" w:cs="宋体"/>
          <w:spacing w:val="-11"/>
          <w:kern w:val="0"/>
          <w:szCs w:val="21"/>
        </w:rPr>
        <w:t>、</w:t>
      </w:r>
      <w:r>
        <w:rPr>
          <w:rFonts w:hint="eastAsia" w:ascii="宋体" w:hAnsi="宋体" w:cs="宋体"/>
          <w:kern w:val="0"/>
          <w:szCs w:val="21"/>
        </w:rPr>
        <w:t>现场办公</w:t>
      </w:r>
      <w:r>
        <w:rPr>
          <w:rFonts w:hint="eastAsia" w:ascii="宋体" w:hAnsi="宋体" w:cs="宋体"/>
          <w:spacing w:val="-11"/>
          <w:kern w:val="0"/>
          <w:szCs w:val="21"/>
        </w:rPr>
        <w:t>、</w:t>
      </w:r>
      <w:r>
        <w:rPr>
          <w:rFonts w:hint="eastAsia" w:ascii="宋体" w:hAnsi="宋体" w:cs="宋体"/>
          <w:kern w:val="0"/>
          <w:szCs w:val="21"/>
        </w:rPr>
        <w:t>设备及仓储</w:t>
      </w:r>
      <w:r>
        <w:rPr>
          <w:rFonts w:hint="eastAsia" w:ascii="宋体" w:hAnsi="宋体" w:cs="宋体"/>
          <w:spacing w:val="-11"/>
          <w:kern w:val="0"/>
          <w:szCs w:val="21"/>
        </w:rPr>
        <w:t>、</w:t>
      </w:r>
      <w:r>
        <w:rPr>
          <w:rFonts w:hint="eastAsia" w:ascii="宋体" w:hAnsi="宋体" w:cs="宋体"/>
          <w:kern w:val="0"/>
          <w:szCs w:val="21"/>
        </w:rPr>
        <w:t>供电</w:t>
      </w:r>
      <w:r>
        <w:rPr>
          <w:rFonts w:hint="eastAsia" w:ascii="宋体" w:hAnsi="宋体" w:cs="宋体"/>
          <w:spacing w:val="-11"/>
          <w:kern w:val="0"/>
          <w:szCs w:val="21"/>
        </w:rPr>
        <w:t>、</w:t>
      </w:r>
      <w:r>
        <w:rPr>
          <w:rFonts w:hint="eastAsia" w:ascii="宋体" w:hAnsi="宋体" w:cs="宋体"/>
          <w:kern w:val="0"/>
          <w:szCs w:val="21"/>
        </w:rPr>
        <w:t>供水</w:t>
      </w:r>
      <w:r>
        <w:rPr>
          <w:rFonts w:hint="eastAsia" w:ascii="宋体" w:hAnsi="宋体" w:cs="宋体"/>
          <w:spacing w:val="-10"/>
          <w:kern w:val="0"/>
          <w:szCs w:val="21"/>
        </w:rPr>
        <w:t>、</w:t>
      </w:r>
      <w:r>
        <w:rPr>
          <w:rFonts w:hint="eastAsia" w:ascii="宋体" w:hAnsi="宋体" w:cs="宋体"/>
          <w:kern w:val="0"/>
          <w:szCs w:val="21"/>
        </w:rPr>
        <w:t>卫生</w:t>
      </w:r>
      <w:r>
        <w:rPr>
          <w:rFonts w:hint="eastAsia" w:ascii="宋体" w:hAnsi="宋体" w:cs="宋体"/>
          <w:spacing w:val="-11"/>
          <w:kern w:val="0"/>
          <w:szCs w:val="21"/>
        </w:rPr>
        <w:t>、</w:t>
      </w:r>
      <w:r>
        <w:rPr>
          <w:rFonts w:hint="eastAsia" w:ascii="宋体" w:hAnsi="宋体" w:cs="宋体"/>
          <w:kern w:val="0"/>
          <w:szCs w:val="21"/>
        </w:rPr>
        <w:t>生活</w:t>
      </w:r>
      <w:r>
        <w:rPr>
          <w:rFonts w:hint="eastAsia" w:ascii="宋体" w:hAnsi="宋体" w:cs="宋体"/>
          <w:spacing w:val="-11"/>
          <w:kern w:val="0"/>
          <w:szCs w:val="21"/>
        </w:rPr>
        <w:t>、</w:t>
      </w:r>
      <w:r>
        <w:rPr>
          <w:rFonts w:hint="eastAsia" w:ascii="宋体" w:hAnsi="宋体" w:cs="宋体"/>
          <w:kern w:val="0"/>
          <w:szCs w:val="21"/>
        </w:rPr>
        <w:t>道路</w:t>
      </w:r>
      <w:r>
        <w:rPr>
          <w:rFonts w:hint="eastAsia" w:ascii="宋体" w:hAnsi="宋体" w:cs="宋体"/>
          <w:spacing w:val="-11"/>
          <w:kern w:val="0"/>
          <w:szCs w:val="21"/>
        </w:rPr>
        <w:t>、</w:t>
      </w:r>
      <w:r>
        <w:rPr>
          <w:rFonts w:hint="eastAsia" w:ascii="宋体" w:hAnsi="宋体" w:cs="宋体"/>
          <w:spacing w:val="1"/>
          <w:kern w:val="0"/>
          <w:szCs w:val="21"/>
        </w:rPr>
        <w:t>消</w:t>
      </w:r>
      <w:r>
        <w:rPr>
          <w:rFonts w:hint="eastAsia" w:ascii="宋体" w:hAnsi="宋体" w:cs="宋体"/>
          <w:kern w:val="0"/>
          <w:szCs w:val="21"/>
        </w:rPr>
        <w:t>防等设施的 情况和布置。</w:t>
      </w:r>
    </w:p>
    <w:p w14:paraId="7E9B33ED">
      <w:pPr>
        <w:spacing w:line="500" w:lineRule="exact"/>
        <w:rPr>
          <w:rFonts w:ascii="宋体" w:hAnsi="宋体" w:cs="宋体"/>
          <w:kern w:val="0"/>
          <w:sz w:val="20"/>
          <w:szCs w:val="20"/>
        </w:rPr>
      </w:pPr>
    </w:p>
    <w:p w14:paraId="54CA84E6">
      <w:pPr>
        <w:pStyle w:val="6"/>
        <w:spacing w:line="500" w:lineRule="exact"/>
        <w:rPr>
          <w:rFonts w:ascii="宋体" w:hAnsi="宋体" w:cs="宋体"/>
          <w:sz w:val="28"/>
          <w:szCs w:val="28"/>
        </w:rPr>
      </w:pPr>
      <w:bookmarkStart w:id="731" w:name="_Toc455670869"/>
      <w:bookmarkStart w:id="732" w:name="_Toc267582086"/>
      <w:bookmarkStart w:id="733" w:name="_Toc369505653"/>
      <w:bookmarkStart w:id="734" w:name="_Toc207443049"/>
      <w:bookmarkStart w:id="735" w:name="_Toc389146020"/>
      <w:r>
        <w:rPr>
          <w:rFonts w:hint="eastAsia" w:ascii="宋体" w:hAnsi="宋体" w:cs="宋体"/>
          <w:sz w:val="28"/>
          <w:szCs w:val="28"/>
        </w:rPr>
        <w:t>附表六：临时用地表</w:t>
      </w:r>
      <w:bookmarkEnd w:id="731"/>
      <w:bookmarkEnd w:id="732"/>
      <w:bookmarkEnd w:id="733"/>
      <w:bookmarkEnd w:id="734"/>
      <w:bookmarkEnd w:id="735"/>
    </w:p>
    <w:tbl>
      <w:tblPr>
        <w:tblStyle w:val="21"/>
        <w:tblW w:w="8523" w:type="dxa"/>
        <w:tblInd w:w="107" w:type="dxa"/>
        <w:tblLayout w:type="fixed"/>
        <w:tblCellMar>
          <w:top w:w="0" w:type="dxa"/>
          <w:left w:w="0" w:type="dxa"/>
          <w:bottom w:w="0" w:type="dxa"/>
          <w:right w:w="0" w:type="dxa"/>
        </w:tblCellMar>
      </w:tblPr>
      <w:tblGrid>
        <w:gridCol w:w="2130"/>
        <w:gridCol w:w="2130"/>
        <w:gridCol w:w="2131"/>
        <w:gridCol w:w="2132"/>
      </w:tblGrid>
      <w:tr w14:paraId="358CE982">
        <w:tblPrEx>
          <w:tblCellMar>
            <w:top w:w="0" w:type="dxa"/>
            <w:left w:w="0" w:type="dxa"/>
            <w:bottom w:w="0" w:type="dxa"/>
            <w:right w:w="0" w:type="dxa"/>
          </w:tblCellMar>
        </w:tblPrEx>
        <w:trPr>
          <w:trHeight w:val="450" w:hRule="exact"/>
        </w:trPr>
        <w:tc>
          <w:tcPr>
            <w:tcW w:w="2130" w:type="dxa"/>
            <w:tcBorders>
              <w:top w:val="single" w:color="000000" w:sz="4" w:space="0"/>
              <w:left w:val="single" w:color="000000" w:sz="4" w:space="0"/>
              <w:bottom w:val="single" w:color="000000" w:sz="4" w:space="0"/>
              <w:right w:val="single" w:color="000000" w:sz="4" w:space="0"/>
            </w:tcBorders>
            <w:vAlign w:val="center"/>
          </w:tcPr>
          <w:p w14:paraId="774EFDE9">
            <w:pPr>
              <w:spacing w:line="500" w:lineRule="exact"/>
              <w:jc w:val="center"/>
              <w:rPr>
                <w:rFonts w:ascii="宋体" w:hAnsi="宋体" w:cs="宋体"/>
                <w:kern w:val="0"/>
                <w:sz w:val="24"/>
              </w:rPr>
            </w:pPr>
            <w:r>
              <w:rPr>
                <w:rFonts w:hint="eastAsia" w:ascii="宋体" w:hAnsi="宋体" w:cs="宋体"/>
                <w:kern w:val="0"/>
                <w:szCs w:val="21"/>
              </w:rPr>
              <w:t xml:space="preserve">用 </w:t>
            </w:r>
            <w:r>
              <w:rPr>
                <w:rFonts w:hint="eastAsia" w:ascii="宋体" w:hAnsi="宋体" w:cs="宋体"/>
                <w:spacing w:val="1"/>
                <w:kern w:val="0"/>
                <w:szCs w:val="21"/>
              </w:rPr>
              <w:t xml:space="preserve"> </w:t>
            </w:r>
            <w:r>
              <w:rPr>
                <w:rFonts w:hint="eastAsia" w:ascii="宋体" w:hAnsi="宋体" w:cs="宋体"/>
                <w:kern w:val="0"/>
                <w:szCs w:val="21"/>
              </w:rPr>
              <w:t>途</w:t>
            </w:r>
          </w:p>
        </w:tc>
        <w:tc>
          <w:tcPr>
            <w:tcW w:w="2130" w:type="dxa"/>
            <w:tcBorders>
              <w:top w:val="single" w:color="000000" w:sz="4" w:space="0"/>
              <w:left w:val="single" w:color="000000" w:sz="4" w:space="0"/>
              <w:bottom w:val="single" w:color="000000" w:sz="4" w:space="0"/>
              <w:right w:val="single" w:color="000000" w:sz="4" w:space="0"/>
            </w:tcBorders>
            <w:vAlign w:val="center"/>
          </w:tcPr>
          <w:p w14:paraId="0C696919">
            <w:pPr>
              <w:spacing w:line="500" w:lineRule="exact"/>
              <w:jc w:val="center"/>
              <w:rPr>
                <w:rFonts w:ascii="宋体" w:hAnsi="宋体" w:cs="宋体"/>
                <w:kern w:val="0"/>
                <w:sz w:val="24"/>
              </w:rPr>
            </w:pPr>
            <w:r>
              <w:rPr>
                <w:rFonts w:hint="eastAsia" w:ascii="宋体" w:hAnsi="宋体" w:cs="宋体"/>
                <w:kern w:val="0"/>
                <w:szCs w:val="21"/>
              </w:rPr>
              <w:t xml:space="preserve">面 </w:t>
            </w:r>
            <w:r>
              <w:rPr>
                <w:rFonts w:hint="eastAsia" w:ascii="宋体" w:hAnsi="宋体" w:cs="宋体"/>
                <w:spacing w:val="1"/>
                <w:kern w:val="0"/>
                <w:szCs w:val="21"/>
              </w:rPr>
              <w:t xml:space="preserve"> </w:t>
            </w:r>
            <w:r>
              <w:rPr>
                <w:rFonts w:hint="eastAsia" w:ascii="宋体" w:hAnsi="宋体" w:cs="宋体"/>
                <w:kern w:val="0"/>
                <w:szCs w:val="21"/>
              </w:rPr>
              <w:t>积（平</w:t>
            </w:r>
            <w:r>
              <w:rPr>
                <w:rFonts w:hint="eastAsia" w:ascii="宋体" w:hAnsi="宋体" w:cs="宋体"/>
                <w:spacing w:val="-1"/>
                <w:kern w:val="0"/>
                <w:szCs w:val="21"/>
              </w:rPr>
              <w:t>方</w:t>
            </w:r>
            <w:r>
              <w:rPr>
                <w:rFonts w:hint="eastAsia" w:ascii="宋体" w:hAnsi="宋体" w:cs="宋体"/>
                <w:kern w:val="0"/>
                <w:szCs w:val="21"/>
              </w:rPr>
              <w:t>米）</w:t>
            </w:r>
          </w:p>
        </w:tc>
        <w:tc>
          <w:tcPr>
            <w:tcW w:w="2131" w:type="dxa"/>
            <w:tcBorders>
              <w:top w:val="single" w:color="000000" w:sz="4" w:space="0"/>
              <w:left w:val="single" w:color="000000" w:sz="4" w:space="0"/>
              <w:bottom w:val="single" w:color="000000" w:sz="4" w:space="0"/>
              <w:right w:val="single" w:color="000000" w:sz="4" w:space="0"/>
            </w:tcBorders>
            <w:vAlign w:val="center"/>
          </w:tcPr>
          <w:p w14:paraId="3209FABC">
            <w:pPr>
              <w:spacing w:line="500" w:lineRule="exact"/>
              <w:jc w:val="center"/>
              <w:rPr>
                <w:rFonts w:ascii="宋体" w:hAnsi="宋体" w:cs="宋体"/>
                <w:kern w:val="0"/>
                <w:sz w:val="24"/>
              </w:rPr>
            </w:pPr>
            <w:r>
              <w:rPr>
                <w:rFonts w:hint="eastAsia" w:ascii="宋体" w:hAnsi="宋体" w:cs="宋体"/>
                <w:kern w:val="0"/>
                <w:szCs w:val="21"/>
              </w:rPr>
              <w:t xml:space="preserve">位 </w:t>
            </w:r>
            <w:r>
              <w:rPr>
                <w:rFonts w:hint="eastAsia" w:ascii="宋体" w:hAnsi="宋体" w:cs="宋体"/>
                <w:spacing w:val="1"/>
                <w:kern w:val="0"/>
                <w:szCs w:val="21"/>
              </w:rPr>
              <w:t xml:space="preserve"> </w:t>
            </w:r>
            <w:r>
              <w:rPr>
                <w:rFonts w:hint="eastAsia" w:ascii="宋体" w:hAnsi="宋体" w:cs="宋体"/>
                <w:kern w:val="0"/>
                <w:szCs w:val="21"/>
              </w:rPr>
              <w:t>置</w:t>
            </w:r>
          </w:p>
        </w:tc>
        <w:tc>
          <w:tcPr>
            <w:tcW w:w="2132" w:type="dxa"/>
            <w:tcBorders>
              <w:top w:val="single" w:color="000000" w:sz="4" w:space="0"/>
              <w:left w:val="single" w:color="000000" w:sz="4" w:space="0"/>
              <w:bottom w:val="single" w:color="000000" w:sz="4" w:space="0"/>
              <w:right w:val="single" w:color="000000" w:sz="4" w:space="0"/>
            </w:tcBorders>
            <w:vAlign w:val="center"/>
          </w:tcPr>
          <w:p w14:paraId="414AFB2D">
            <w:pPr>
              <w:spacing w:line="500" w:lineRule="exact"/>
              <w:jc w:val="center"/>
              <w:rPr>
                <w:rFonts w:ascii="宋体" w:hAnsi="宋体" w:cs="宋体"/>
                <w:kern w:val="0"/>
                <w:sz w:val="24"/>
              </w:rPr>
            </w:pPr>
            <w:r>
              <w:rPr>
                <w:rFonts w:hint="eastAsia" w:ascii="宋体" w:hAnsi="宋体" w:cs="宋体"/>
                <w:kern w:val="0"/>
                <w:szCs w:val="21"/>
              </w:rPr>
              <w:t>需用时间</w:t>
            </w:r>
          </w:p>
        </w:tc>
      </w:tr>
      <w:tr w14:paraId="53CAF19E">
        <w:tblPrEx>
          <w:tblCellMar>
            <w:top w:w="0" w:type="dxa"/>
            <w:left w:w="0" w:type="dxa"/>
            <w:bottom w:w="0" w:type="dxa"/>
            <w:right w:w="0" w:type="dxa"/>
          </w:tblCellMar>
        </w:tblPrEx>
        <w:trPr>
          <w:trHeight w:val="450" w:hRule="exact"/>
        </w:trPr>
        <w:tc>
          <w:tcPr>
            <w:tcW w:w="2130" w:type="dxa"/>
            <w:tcBorders>
              <w:top w:val="single" w:color="000000" w:sz="4" w:space="0"/>
              <w:left w:val="single" w:color="000000" w:sz="4" w:space="0"/>
              <w:bottom w:val="single" w:color="000000" w:sz="4" w:space="0"/>
              <w:right w:val="single" w:color="000000" w:sz="4" w:space="0"/>
            </w:tcBorders>
          </w:tcPr>
          <w:p w14:paraId="7853D659">
            <w:pPr>
              <w:spacing w:line="500" w:lineRule="exact"/>
              <w:rPr>
                <w:rFonts w:ascii="宋体" w:hAnsi="宋体" w:cs="宋体"/>
                <w:kern w:val="0"/>
                <w:sz w:val="24"/>
              </w:rPr>
            </w:pPr>
          </w:p>
        </w:tc>
        <w:tc>
          <w:tcPr>
            <w:tcW w:w="2130" w:type="dxa"/>
            <w:tcBorders>
              <w:top w:val="single" w:color="000000" w:sz="4" w:space="0"/>
              <w:left w:val="single" w:color="000000" w:sz="4" w:space="0"/>
              <w:bottom w:val="single" w:color="000000" w:sz="4" w:space="0"/>
              <w:right w:val="single" w:color="000000" w:sz="4" w:space="0"/>
            </w:tcBorders>
          </w:tcPr>
          <w:p w14:paraId="7D6DB2DA">
            <w:pPr>
              <w:spacing w:line="500" w:lineRule="exact"/>
              <w:rPr>
                <w:rFonts w:ascii="宋体" w:hAnsi="宋体" w:cs="宋体"/>
                <w:kern w:val="0"/>
                <w:sz w:val="24"/>
              </w:rPr>
            </w:pPr>
          </w:p>
        </w:tc>
        <w:tc>
          <w:tcPr>
            <w:tcW w:w="2131" w:type="dxa"/>
            <w:tcBorders>
              <w:top w:val="single" w:color="000000" w:sz="4" w:space="0"/>
              <w:left w:val="single" w:color="000000" w:sz="4" w:space="0"/>
              <w:bottom w:val="single" w:color="000000" w:sz="4" w:space="0"/>
              <w:right w:val="single" w:color="000000" w:sz="4" w:space="0"/>
            </w:tcBorders>
          </w:tcPr>
          <w:p w14:paraId="7E7C838A">
            <w:pPr>
              <w:spacing w:line="500" w:lineRule="exact"/>
              <w:rPr>
                <w:rFonts w:ascii="宋体" w:hAnsi="宋体" w:cs="宋体"/>
                <w:kern w:val="0"/>
                <w:sz w:val="24"/>
              </w:rPr>
            </w:pPr>
          </w:p>
        </w:tc>
        <w:tc>
          <w:tcPr>
            <w:tcW w:w="2132" w:type="dxa"/>
            <w:tcBorders>
              <w:top w:val="single" w:color="000000" w:sz="4" w:space="0"/>
              <w:left w:val="single" w:color="000000" w:sz="4" w:space="0"/>
              <w:bottom w:val="single" w:color="000000" w:sz="4" w:space="0"/>
              <w:right w:val="single" w:color="000000" w:sz="4" w:space="0"/>
            </w:tcBorders>
          </w:tcPr>
          <w:p w14:paraId="67936F9B">
            <w:pPr>
              <w:spacing w:line="500" w:lineRule="exact"/>
              <w:rPr>
                <w:rFonts w:ascii="宋体" w:hAnsi="宋体" w:cs="宋体"/>
                <w:kern w:val="0"/>
                <w:sz w:val="24"/>
              </w:rPr>
            </w:pPr>
          </w:p>
        </w:tc>
      </w:tr>
      <w:tr w14:paraId="7204E2AE">
        <w:tblPrEx>
          <w:tblCellMar>
            <w:top w:w="0" w:type="dxa"/>
            <w:left w:w="0" w:type="dxa"/>
            <w:bottom w:w="0" w:type="dxa"/>
            <w:right w:w="0" w:type="dxa"/>
          </w:tblCellMar>
        </w:tblPrEx>
        <w:trPr>
          <w:trHeight w:val="450" w:hRule="exact"/>
        </w:trPr>
        <w:tc>
          <w:tcPr>
            <w:tcW w:w="2130" w:type="dxa"/>
            <w:tcBorders>
              <w:top w:val="single" w:color="000000" w:sz="4" w:space="0"/>
              <w:left w:val="single" w:color="000000" w:sz="4" w:space="0"/>
              <w:bottom w:val="single" w:color="000000" w:sz="4" w:space="0"/>
              <w:right w:val="single" w:color="000000" w:sz="4" w:space="0"/>
            </w:tcBorders>
          </w:tcPr>
          <w:p w14:paraId="171203E9">
            <w:pPr>
              <w:spacing w:line="500" w:lineRule="exact"/>
              <w:rPr>
                <w:rFonts w:ascii="宋体" w:hAnsi="宋体" w:cs="宋体"/>
                <w:kern w:val="0"/>
                <w:sz w:val="24"/>
              </w:rPr>
            </w:pPr>
          </w:p>
        </w:tc>
        <w:tc>
          <w:tcPr>
            <w:tcW w:w="2130" w:type="dxa"/>
            <w:tcBorders>
              <w:top w:val="single" w:color="000000" w:sz="4" w:space="0"/>
              <w:left w:val="single" w:color="000000" w:sz="4" w:space="0"/>
              <w:bottom w:val="single" w:color="000000" w:sz="4" w:space="0"/>
              <w:right w:val="single" w:color="000000" w:sz="4" w:space="0"/>
            </w:tcBorders>
          </w:tcPr>
          <w:p w14:paraId="789B3043">
            <w:pPr>
              <w:spacing w:line="500" w:lineRule="exact"/>
              <w:rPr>
                <w:rFonts w:ascii="宋体" w:hAnsi="宋体" w:cs="宋体"/>
                <w:kern w:val="0"/>
                <w:sz w:val="24"/>
              </w:rPr>
            </w:pPr>
          </w:p>
        </w:tc>
        <w:tc>
          <w:tcPr>
            <w:tcW w:w="2131" w:type="dxa"/>
            <w:tcBorders>
              <w:top w:val="single" w:color="000000" w:sz="4" w:space="0"/>
              <w:left w:val="single" w:color="000000" w:sz="4" w:space="0"/>
              <w:bottom w:val="single" w:color="000000" w:sz="4" w:space="0"/>
              <w:right w:val="single" w:color="000000" w:sz="4" w:space="0"/>
            </w:tcBorders>
          </w:tcPr>
          <w:p w14:paraId="13DB4447">
            <w:pPr>
              <w:spacing w:line="500" w:lineRule="exact"/>
              <w:rPr>
                <w:rFonts w:ascii="宋体" w:hAnsi="宋体" w:cs="宋体"/>
                <w:kern w:val="0"/>
                <w:sz w:val="24"/>
              </w:rPr>
            </w:pPr>
          </w:p>
        </w:tc>
        <w:tc>
          <w:tcPr>
            <w:tcW w:w="2132" w:type="dxa"/>
            <w:tcBorders>
              <w:top w:val="single" w:color="000000" w:sz="4" w:space="0"/>
              <w:left w:val="single" w:color="000000" w:sz="4" w:space="0"/>
              <w:bottom w:val="single" w:color="000000" w:sz="4" w:space="0"/>
              <w:right w:val="single" w:color="000000" w:sz="4" w:space="0"/>
            </w:tcBorders>
          </w:tcPr>
          <w:p w14:paraId="20E91B18">
            <w:pPr>
              <w:spacing w:line="500" w:lineRule="exact"/>
              <w:rPr>
                <w:rFonts w:ascii="宋体" w:hAnsi="宋体" w:cs="宋体"/>
                <w:kern w:val="0"/>
                <w:sz w:val="24"/>
              </w:rPr>
            </w:pPr>
          </w:p>
        </w:tc>
      </w:tr>
      <w:tr w14:paraId="1CEEBB70">
        <w:tblPrEx>
          <w:tblCellMar>
            <w:top w:w="0" w:type="dxa"/>
            <w:left w:w="0" w:type="dxa"/>
            <w:bottom w:w="0" w:type="dxa"/>
            <w:right w:w="0" w:type="dxa"/>
          </w:tblCellMar>
        </w:tblPrEx>
        <w:trPr>
          <w:trHeight w:val="450" w:hRule="exact"/>
        </w:trPr>
        <w:tc>
          <w:tcPr>
            <w:tcW w:w="2130" w:type="dxa"/>
            <w:tcBorders>
              <w:top w:val="single" w:color="000000" w:sz="4" w:space="0"/>
              <w:left w:val="single" w:color="000000" w:sz="4" w:space="0"/>
              <w:bottom w:val="single" w:color="000000" w:sz="4" w:space="0"/>
              <w:right w:val="single" w:color="000000" w:sz="4" w:space="0"/>
            </w:tcBorders>
          </w:tcPr>
          <w:p w14:paraId="4454666C">
            <w:pPr>
              <w:spacing w:line="500" w:lineRule="exact"/>
              <w:rPr>
                <w:rFonts w:ascii="宋体" w:hAnsi="宋体" w:cs="宋体"/>
                <w:kern w:val="0"/>
                <w:sz w:val="24"/>
              </w:rPr>
            </w:pPr>
          </w:p>
        </w:tc>
        <w:tc>
          <w:tcPr>
            <w:tcW w:w="2130" w:type="dxa"/>
            <w:tcBorders>
              <w:top w:val="single" w:color="000000" w:sz="4" w:space="0"/>
              <w:left w:val="single" w:color="000000" w:sz="4" w:space="0"/>
              <w:bottom w:val="single" w:color="000000" w:sz="4" w:space="0"/>
              <w:right w:val="single" w:color="000000" w:sz="4" w:space="0"/>
            </w:tcBorders>
          </w:tcPr>
          <w:p w14:paraId="3E11ACC8">
            <w:pPr>
              <w:spacing w:line="500" w:lineRule="exact"/>
              <w:rPr>
                <w:rFonts w:ascii="宋体" w:hAnsi="宋体" w:cs="宋体"/>
                <w:kern w:val="0"/>
                <w:sz w:val="24"/>
              </w:rPr>
            </w:pPr>
          </w:p>
        </w:tc>
        <w:tc>
          <w:tcPr>
            <w:tcW w:w="2131" w:type="dxa"/>
            <w:tcBorders>
              <w:top w:val="single" w:color="000000" w:sz="4" w:space="0"/>
              <w:left w:val="single" w:color="000000" w:sz="4" w:space="0"/>
              <w:bottom w:val="single" w:color="000000" w:sz="4" w:space="0"/>
              <w:right w:val="single" w:color="000000" w:sz="4" w:space="0"/>
            </w:tcBorders>
          </w:tcPr>
          <w:p w14:paraId="0C6671EB">
            <w:pPr>
              <w:spacing w:line="500" w:lineRule="exact"/>
              <w:rPr>
                <w:rFonts w:ascii="宋体" w:hAnsi="宋体" w:cs="宋体"/>
                <w:kern w:val="0"/>
                <w:sz w:val="24"/>
              </w:rPr>
            </w:pPr>
          </w:p>
        </w:tc>
        <w:tc>
          <w:tcPr>
            <w:tcW w:w="2132" w:type="dxa"/>
            <w:tcBorders>
              <w:top w:val="single" w:color="000000" w:sz="4" w:space="0"/>
              <w:left w:val="single" w:color="000000" w:sz="4" w:space="0"/>
              <w:bottom w:val="single" w:color="000000" w:sz="4" w:space="0"/>
              <w:right w:val="single" w:color="000000" w:sz="4" w:space="0"/>
            </w:tcBorders>
          </w:tcPr>
          <w:p w14:paraId="6D5F8C89">
            <w:pPr>
              <w:spacing w:line="500" w:lineRule="exact"/>
              <w:rPr>
                <w:rFonts w:ascii="宋体" w:hAnsi="宋体" w:cs="宋体"/>
                <w:kern w:val="0"/>
                <w:sz w:val="24"/>
              </w:rPr>
            </w:pPr>
          </w:p>
        </w:tc>
      </w:tr>
    </w:tbl>
    <w:p w14:paraId="6D143DDA">
      <w:pPr>
        <w:pStyle w:val="5"/>
        <w:spacing w:line="500" w:lineRule="exact"/>
        <w:ind w:left="0" w:firstLine="0"/>
        <w:rPr>
          <w:rFonts w:ascii="宋体" w:hAnsi="宋体" w:cs="宋体"/>
          <w:b/>
          <w:bCs w:val="0"/>
          <w:color w:val="auto"/>
          <w:w w:val="99"/>
          <w:kern w:val="0"/>
          <w:lang w:val="en-US"/>
        </w:rPr>
      </w:pPr>
    </w:p>
    <w:p w14:paraId="149C7D18">
      <w:pPr>
        <w:pStyle w:val="5"/>
        <w:spacing w:line="500" w:lineRule="exact"/>
        <w:ind w:left="0" w:firstLine="0"/>
        <w:rPr>
          <w:rFonts w:ascii="宋体" w:hAnsi="宋体" w:cs="宋体"/>
          <w:b/>
          <w:bCs w:val="0"/>
          <w:color w:val="auto"/>
          <w:w w:val="99"/>
          <w:kern w:val="0"/>
          <w:lang w:val="en-US"/>
        </w:rPr>
      </w:pPr>
    </w:p>
    <w:p w14:paraId="470672E9">
      <w:pPr>
        <w:pStyle w:val="5"/>
        <w:spacing w:line="500" w:lineRule="exact"/>
        <w:ind w:left="0" w:firstLine="0"/>
        <w:rPr>
          <w:rFonts w:ascii="宋体" w:hAnsi="宋体" w:cs="宋体"/>
          <w:b/>
          <w:bCs w:val="0"/>
          <w:color w:val="auto"/>
          <w:w w:val="99"/>
          <w:kern w:val="0"/>
          <w:lang w:val="en-US"/>
        </w:rPr>
      </w:pPr>
    </w:p>
    <w:p w14:paraId="609DB6F8">
      <w:pPr>
        <w:pStyle w:val="5"/>
        <w:spacing w:line="500" w:lineRule="exact"/>
        <w:ind w:left="0" w:firstLine="0"/>
        <w:rPr>
          <w:rFonts w:ascii="宋体" w:hAnsi="宋体" w:cs="宋体"/>
          <w:b/>
          <w:bCs w:val="0"/>
          <w:color w:val="auto"/>
          <w:w w:val="99"/>
          <w:kern w:val="0"/>
          <w:lang w:val="en-US"/>
        </w:rPr>
      </w:pPr>
      <w:r>
        <w:rPr>
          <w:rFonts w:hint="eastAsia" w:ascii="宋体" w:hAnsi="宋体" w:cs="宋体"/>
          <w:b/>
          <w:bCs w:val="0"/>
          <w:color w:val="auto"/>
          <w:w w:val="99"/>
          <w:kern w:val="0"/>
          <w:lang w:val="en-US"/>
        </w:rPr>
        <w:t>14、农民工工资保证金的交纳与使用承诺书（按桂劳社发【2009】50 号文规定承诺）（必须提供）（格式自拟）</w:t>
      </w:r>
    </w:p>
    <w:p w14:paraId="3FFB823E">
      <w:pPr>
        <w:spacing w:line="420" w:lineRule="exact"/>
        <w:ind w:firstLine="482" w:firstLineChars="200"/>
        <w:jc w:val="center"/>
        <w:rPr>
          <w:rFonts w:ascii="宋体" w:hAnsi="宋体" w:cs="宋体"/>
          <w:b/>
          <w:kern w:val="0"/>
          <w:sz w:val="24"/>
        </w:rPr>
      </w:pPr>
      <w:r>
        <w:rPr>
          <w:rFonts w:hint="eastAsia" w:ascii="宋体" w:hAnsi="宋体" w:cs="宋体"/>
          <w:b/>
          <w:kern w:val="0"/>
          <w:sz w:val="24"/>
        </w:rPr>
        <w:t>农民工工资保证金交纳与使用承诺书（格式）</w:t>
      </w:r>
    </w:p>
    <w:p w14:paraId="7BD3A253">
      <w:pPr>
        <w:spacing w:line="420" w:lineRule="exact"/>
        <w:rPr>
          <w:rFonts w:ascii="宋体" w:hAnsi="宋体" w:cs="宋体"/>
          <w:kern w:val="0"/>
          <w:szCs w:val="21"/>
        </w:rPr>
      </w:pPr>
    </w:p>
    <w:p w14:paraId="53ADFC72">
      <w:pPr>
        <w:spacing w:line="400" w:lineRule="exact"/>
        <w:rPr>
          <w:rFonts w:ascii="宋体" w:hAnsi="宋体" w:cs="宋体"/>
          <w:b/>
          <w:kern w:val="0"/>
          <w:szCs w:val="21"/>
          <w:u w:val="single"/>
        </w:rPr>
      </w:pPr>
      <w:r>
        <w:rPr>
          <w:rFonts w:hint="eastAsia" w:ascii="宋体" w:hAnsi="宋体" w:cs="宋体"/>
          <w:kern w:val="0"/>
          <w:szCs w:val="21"/>
        </w:rPr>
        <w:t>致：</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p>
    <w:p w14:paraId="13671F59">
      <w:pPr>
        <w:spacing w:line="420" w:lineRule="exact"/>
        <w:ind w:firstLine="420" w:firstLineChars="200"/>
        <w:rPr>
          <w:rFonts w:ascii="宋体" w:hAnsi="宋体" w:cs="宋体"/>
          <w:kern w:val="0"/>
          <w:szCs w:val="21"/>
        </w:rPr>
      </w:pPr>
      <w:r>
        <w:rPr>
          <w:rFonts w:hint="eastAsia" w:ascii="宋体" w:hAnsi="宋体" w:cs="宋体"/>
          <w:kern w:val="0"/>
          <w:szCs w:val="21"/>
        </w:rPr>
        <w:t>我方在此承诺：</w:t>
      </w:r>
    </w:p>
    <w:p w14:paraId="65CD5A6E">
      <w:pPr>
        <w:spacing w:line="420" w:lineRule="exact"/>
        <w:ind w:firstLine="525" w:firstLineChars="250"/>
        <w:rPr>
          <w:rFonts w:ascii="宋体" w:hAnsi="宋体" w:cs="宋体"/>
          <w:kern w:val="0"/>
          <w:szCs w:val="21"/>
        </w:rPr>
      </w:pPr>
      <w:r>
        <w:rPr>
          <w:rFonts w:hint="eastAsia" w:ascii="宋体" w:hAnsi="宋体" w:cs="宋体"/>
          <w:kern w:val="0"/>
          <w:szCs w:val="21"/>
        </w:rPr>
        <w:t>1.我方在本项目</w:t>
      </w:r>
      <w:r>
        <w:rPr>
          <w:rFonts w:hint="eastAsia" w:ascii="宋体" w:hAnsi="宋体" w:cs="宋体"/>
          <w:kern w:val="0"/>
          <w:szCs w:val="21"/>
          <w:u w:val="single"/>
        </w:rPr>
        <w:t xml:space="preserve">               </w:t>
      </w:r>
      <w:r>
        <w:rPr>
          <w:rFonts w:hint="eastAsia" w:ascii="宋体" w:hAnsi="宋体" w:cs="宋体"/>
          <w:kern w:val="0"/>
          <w:szCs w:val="21"/>
        </w:rPr>
        <w:t>（项目名称及编号）响应文件递交截止之日前所承建工程中，无拖欠或克扣农民工工资的行为。</w:t>
      </w:r>
    </w:p>
    <w:p w14:paraId="6842987C">
      <w:pPr>
        <w:spacing w:line="420" w:lineRule="exact"/>
        <w:ind w:firstLine="495"/>
        <w:rPr>
          <w:rFonts w:ascii="宋体" w:hAnsi="宋体" w:cs="宋体"/>
          <w:kern w:val="0"/>
          <w:szCs w:val="21"/>
        </w:rPr>
      </w:pPr>
      <w:r>
        <w:rPr>
          <w:rFonts w:hint="eastAsia" w:ascii="宋体" w:hAnsi="宋体" w:cs="宋体"/>
          <w:kern w:val="0"/>
          <w:szCs w:val="21"/>
        </w:rPr>
        <w:t>2. 我方参与磋商的</w:t>
      </w:r>
      <w:r>
        <w:rPr>
          <w:rFonts w:hint="eastAsia" w:ascii="宋体" w:hAnsi="宋体" w:cs="宋体"/>
          <w:kern w:val="0"/>
          <w:szCs w:val="21"/>
          <w:u w:val="single"/>
        </w:rPr>
        <w:t xml:space="preserve">                    </w:t>
      </w:r>
      <w:r>
        <w:rPr>
          <w:rFonts w:hint="eastAsia" w:ascii="宋体" w:hAnsi="宋体" w:cs="宋体"/>
          <w:kern w:val="0"/>
          <w:szCs w:val="21"/>
        </w:rPr>
        <w:t>项目，一旦成交，我方保证在签订施工合同后，及时并足额将农民工工资保证金足额存入指定的账户，作为本项目农民工工资保证金。</w:t>
      </w:r>
    </w:p>
    <w:p w14:paraId="0FCFA219">
      <w:pPr>
        <w:spacing w:line="420" w:lineRule="exact"/>
        <w:ind w:firstLine="495"/>
        <w:rPr>
          <w:rFonts w:ascii="宋体" w:hAnsi="宋体" w:cs="宋体"/>
          <w:kern w:val="0"/>
          <w:szCs w:val="21"/>
        </w:rPr>
      </w:pPr>
      <w:r>
        <w:rPr>
          <w:rFonts w:hint="eastAsia" w:ascii="宋体" w:hAnsi="宋体" w:cs="宋体"/>
          <w:kern w:val="0"/>
          <w:szCs w:val="21"/>
        </w:rPr>
        <w:t>3. 如我方在承包的</w:t>
      </w:r>
      <w:r>
        <w:rPr>
          <w:rFonts w:hint="eastAsia" w:ascii="宋体" w:hAnsi="宋体" w:cs="宋体"/>
          <w:kern w:val="0"/>
          <w:szCs w:val="21"/>
          <w:u w:val="single"/>
        </w:rPr>
        <w:t xml:space="preserve">                    </w:t>
      </w:r>
      <w:r>
        <w:rPr>
          <w:rFonts w:hint="eastAsia" w:ascii="宋体" w:hAnsi="宋体" w:cs="宋体"/>
          <w:kern w:val="0"/>
          <w:szCs w:val="21"/>
        </w:rPr>
        <w:t>项目中出现拖欠农民工和工人工资情况的，由相关部门从其农民工工资保证金中先予划支。</w:t>
      </w:r>
    </w:p>
    <w:p w14:paraId="7281ED01">
      <w:pPr>
        <w:ind w:left="420" w:leftChars="200"/>
      </w:pPr>
      <w:r>
        <w:rPr>
          <w:rFonts w:hint="eastAsia" w:ascii="宋体" w:hAnsi="宋体" w:cs="宋体"/>
          <w:kern w:val="0"/>
          <w:szCs w:val="21"/>
        </w:rPr>
        <w:t>4. 如我方不按时、足额存入农民工工资保证金，采购人有权取消我方承包资格。</w:t>
      </w:r>
    </w:p>
    <w:p w14:paraId="1BCBB56C">
      <w:pPr>
        <w:pStyle w:val="15"/>
        <w:spacing w:line="340" w:lineRule="exact"/>
        <w:rPr>
          <w:rFonts w:hAnsi="宋体" w:cs="宋体"/>
          <w:b/>
          <w:sz w:val="28"/>
          <w:szCs w:val="28"/>
        </w:rPr>
      </w:pPr>
    </w:p>
    <w:p w14:paraId="3E923F95">
      <w:pPr>
        <w:spacing w:line="340" w:lineRule="exact"/>
        <w:ind w:left="420"/>
        <w:jc w:val="center"/>
        <w:rPr>
          <w:rFonts w:ascii="宋体" w:hAnsi="宋体" w:cs="宋体"/>
          <w:b/>
          <w:bCs/>
          <w:sz w:val="32"/>
          <w:szCs w:val="32"/>
        </w:rPr>
      </w:pPr>
    </w:p>
    <w:p w14:paraId="3AF09B3B">
      <w:pPr>
        <w:spacing w:line="340" w:lineRule="exact"/>
        <w:ind w:left="420"/>
        <w:jc w:val="center"/>
        <w:rPr>
          <w:rFonts w:ascii="宋体" w:hAnsi="宋体" w:cs="宋体"/>
          <w:b/>
          <w:bCs/>
          <w:sz w:val="32"/>
          <w:szCs w:val="32"/>
        </w:rPr>
      </w:pPr>
    </w:p>
    <w:p w14:paraId="04D16BDC">
      <w:pPr>
        <w:widowControl/>
        <w:ind w:firstLine="1470" w:firstLineChars="700"/>
        <w:jc w:val="left"/>
        <w:rPr>
          <w:rFonts w:ascii="宋体" w:hAnsi="宋体" w:cs="宋体"/>
          <w:szCs w:val="21"/>
        </w:rPr>
      </w:pPr>
      <w:r>
        <w:rPr>
          <w:rFonts w:hint="eastAsia" w:ascii="宋体" w:hAnsi="宋体" w:cs="宋体"/>
          <w:szCs w:val="21"/>
        </w:rPr>
        <w:t>磋商供应商[公章(CA签章)，自然人签字或个人CA签章]：</w:t>
      </w:r>
      <w:r>
        <w:rPr>
          <w:rFonts w:hint="eastAsia" w:ascii="宋体" w:hAnsi="宋体" w:cs="宋体"/>
          <w:szCs w:val="21"/>
          <w:u w:val="single"/>
        </w:rPr>
        <w:t xml:space="preserve">                                                       </w:t>
      </w:r>
    </w:p>
    <w:p w14:paraId="623396D9">
      <w:pPr>
        <w:pStyle w:val="15"/>
        <w:spacing w:line="300" w:lineRule="exact"/>
        <w:ind w:left="2940" w:leftChars="1400" w:firstLine="630" w:firstLineChars="300"/>
        <w:rPr>
          <w:rFonts w:hAnsi="宋体" w:cs="宋体"/>
        </w:rPr>
      </w:pPr>
    </w:p>
    <w:p w14:paraId="60B47549">
      <w:pPr>
        <w:spacing w:line="500" w:lineRule="exact"/>
        <w:ind w:firstLine="5040" w:firstLineChars="2400"/>
        <w:rPr>
          <w:rFonts w:ascii="宋体" w:hAnsi="宋体" w:cs="宋体"/>
          <w:w w:val="99"/>
          <w:kern w:val="0"/>
        </w:rPr>
      </w:pPr>
      <w:r>
        <w:rPr>
          <w:rFonts w:hint="eastAsia" w:ascii="宋体" w:hAnsi="宋体" w:cs="宋体"/>
        </w:rPr>
        <w:t>日          期：</w:t>
      </w:r>
    </w:p>
    <w:p w14:paraId="527C9507">
      <w:pPr>
        <w:spacing w:line="500" w:lineRule="exact"/>
        <w:rPr>
          <w:rFonts w:ascii="宋体" w:hAnsi="宋体" w:cs="宋体"/>
          <w:b/>
          <w:bCs/>
          <w:w w:val="99"/>
          <w:kern w:val="0"/>
          <w:sz w:val="30"/>
          <w:szCs w:val="32"/>
        </w:rPr>
      </w:pPr>
      <w:r>
        <w:rPr>
          <w:rFonts w:hint="eastAsia" w:ascii="宋体" w:hAnsi="宋体" w:cs="宋体"/>
          <w:b/>
          <w:bCs/>
          <w:w w:val="99"/>
          <w:kern w:val="0"/>
          <w:sz w:val="30"/>
          <w:szCs w:val="32"/>
        </w:rPr>
        <w:t>三、其他有效证明材料</w:t>
      </w:r>
    </w:p>
    <w:p w14:paraId="5238D6FE">
      <w:pPr>
        <w:spacing w:line="500" w:lineRule="exact"/>
        <w:rPr>
          <w:rFonts w:ascii="宋体" w:hAnsi="宋体" w:cs="宋体"/>
          <w:b/>
          <w:bCs/>
          <w:w w:val="99"/>
          <w:kern w:val="0"/>
          <w:sz w:val="30"/>
          <w:szCs w:val="32"/>
        </w:rPr>
      </w:pPr>
    </w:p>
    <w:p w14:paraId="337A00EC">
      <w:pPr>
        <w:spacing w:line="500" w:lineRule="exact"/>
        <w:rPr>
          <w:rFonts w:ascii="宋体" w:hAnsi="宋体" w:cs="宋体"/>
          <w:b/>
          <w:bCs/>
          <w:w w:val="99"/>
          <w:kern w:val="0"/>
          <w:sz w:val="30"/>
          <w:szCs w:val="32"/>
        </w:rPr>
      </w:pPr>
      <w:r>
        <w:rPr>
          <w:rFonts w:hint="eastAsia" w:ascii="宋体" w:hAnsi="宋体" w:cs="宋体"/>
          <w:b/>
          <w:bCs/>
          <w:w w:val="99"/>
          <w:kern w:val="0"/>
          <w:sz w:val="30"/>
          <w:szCs w:val="32"/>
        </w:rPr>
        <w:t>15、20</w:t>
      </w:r>
      <w:r>
        <w:rPr>
          <w:rFonts w:ascii="宋体" w:hAnsi="宋体" w:cs="宋体"/>
          <w:b/>
          <w:bCs/>
          <w:w w:val="99"/>
          <w:kern w:val="0"/>
          <w:sz w:val="30"/>
          <w:szCs w:val="32"/>
        </w:rPr>
        <w:t>2</w:t>
      </w:r>
      <w:r>
        <w:rPr>
          <w:rFonts w:hint="eastAsia" w:ascii="宋体" w:hAnsi="宋体" w:cs="宋体"/>
          <w:b/>
          <w:bCs/>
          <w:w w:val="99"/>
          <w:kern w:val="0"/>
          <w:sz w:val="30"/>
          <w:szCs w:val="32"/>
          <w:lang w:val="en-US" w:eastAsia="zh-CN"/>
        </w:rPr>
        <w:t>3</w:t>
      </w:r>
      <w:r>
        <w:rPr>
          <w:rFonts w:hint="eastAsia" w:ascii="宋体" w:hAnsi="宋体" w:cs="宋体"/>
          <w:b/>
          <w:bCs/>
          <w:w w:val="99"/>
          <w:kern w:val="0"/>
          <w:sz w:val="30"/>
          <w:szCs w:val="32"/>
        </w:rPr>
        <w:t>年以来具有类似工程业绩（如有，请提供合同协议书或中标通知书复印件）</w:t>
      </w:r>
    </w:p>
    <w:p w14:paraId="6105A6B0">
      <w:pPr>
        <w:spacing w:line="500" w:lineRule="exact"/>
        <w:rPr>
          <w:rFonts w:ascii="宋体" w:hAnsi="宋体" w:cs="宋体"/>
          <w:b/>
          <w:bCs/>
          <w:w w:val="99"/>
          <w:kern w:val="0"/>
          <w:sz w:val="30"/>
          <w:szCs w:val="32"/>
        </w:rPr>
      </w:pPr>
    </w:p>
    <w:p w14:paraId="77F58B81">
      <w:pPr>
        <w:spacing w:line="500" w:lineRule="exact"/>
        <w:rPr>
          <w:rFonts w:ascii="宋体" w:hAnsi="宋体" w:cs="宋体"/>
          <w:b/>
          <w:bCs/>
          <w:w w:val="99"/>
          <w:kern w:val="0"/>
          <w:sz w:val="30"/>
          <w:szCs w:val="32"/>
        </w:rPr>
      </w:pPr>
    </w:p>
    <w:p w14:paraId="0CF6D1AE">
      <w:pPr>
        <w:spacing w:line="500" w:lineRule="exact"/>
        <w:rPr>
          <w:rFonts w:ascii="宋体" w:hAnsi="宋体" w:cs="宋体"/>
          <w:b/>
          <w:bCs/>
          <w:w w:val="99"/>
          <w:kern w:val="0"/>
          <w:sz w:val="30"/>
          <w:szCs w:val="32"/>
        </w:rPr>
      </w:pPr>
    </w:p>
    <w:p w14:paraId="46AE6D15">
      <w:pPr>
        <w:pStyle w:val="13"/>
        <w:rPr>
          <w:rFonts w:ascii="宋体" w:hAnsi="宋体" w:cs="宋体"/>
          <w:b/>
          <w:bCs/>
          <w:w w:val="99"/>
          <w:kern w:val="0"/>
          <w:sz w:val="30"/>
          <w:szCs w:val="32"/>
        </w:rPr>
      </w:pPr>
    </w:p>
    <w:p w14:paraId="6C318888"/>
    <w:p w14:paraId="7B5447CC">
      <w:pPr>
        <w:spacing w:line="500" w:lineRule="exact"/>
        <w:rPr>
          <w:rFonts w:ascii="宋体" w:hAnsi="宋体" w:cs="宋体"/>
          <w:b/>
          <w:bCs/>
          <w:w w:val="99"/>
          <w:kern w:val="0"/>
          <w:sz w:val="30"/>
          <w:szCs w:val="30"/>
        </w:rPr>
      </w:pPr>
      <w:r>
        <w:rPr>
          <w:rFonts w:hint="eastAsia" w:ascii="宋体" w:hAnsi="宋体" w:cs="宋体"/>
          <w:b/>
          <w:bCs/>
          <w:w w:val="99"/>
          <w:kern w:val="0"/>
          <w:sz w:val="30"/>
          <w:szCs w:val="32"/>
        </w:rPr>
        <w:t>16、</w:t>
      </w:r>
      <w:r>
        <w:rPr>
          <w:rFonts w:hint="eastAsia" w:ascii="宋体" w:hAnsi="宋体" w:cs="宋体"/>
          <w:b/>
          <w:bCs/>
          <w:sz w:val="30"/>
          <w:szCs w:val="30"/>
        </w:rPr>
        <w:t>20</w:t>
      </w:r>
      <w:r>
        <w:rPr>
          <w:rFonts w:ascii="宋体" w:hAnsi="宋体" w:cs="宋体"/>
          <w:b/>
          <w:bCs/>
          <w:sz w:val="30"/>
          <w:szCs w:val="30"/>
        </w:rPr>
        <w:t>2</w:t>
      </w:r>
      <w:r>
        <w:rPr>
          <w:rFonts w:hint="eastAsia" w:ascii="宋体" w:hAnsi="宋体" w:cs="宋体"/>
          <w:b/>
          <w:bCs/>
          <w:sz w:val="30"/>
          <w:szCs w:val="30"/>
          <w:lang w:val="en-US" w:eastAsia="zh-CN"/>
        </w:rPr>
        <w:t>3</w:t>
      </w:r>
      <w:r>
        <w:rPr>
          <w:rFonts w:hint="eastAsia" w:ascii="宋体" w:hAnsi="宋体" w:cs="宋体"/>
          <w:b/>
          <w:bCs/>
          <w:sz w:val="30"/>
          <w:szCs w:val="30"/>
        </w:rPr>
        <w:t>年～202</w:t>
      </w:r>
      <w:r>
        <w:rPr>
          <w:rFonts w:hint="eastAsia" w:ascii="宋体" w:hAnsi="宋体" w:cs="宋体"/>
          <w:b/>
          <w:bCs/>
          <w:sz w:val="30"/>
          <w:szCs w:val="30"/>
          <w:lang w:val="en-US" w:eastAsia="zh-CN"/>
        </w:rPr>
        <w:t>5</w:t>
      </w:r>
      <w:r>
        <w:rPr>
          <w:rFonts w:hint="eastAsia" w:ascii="宋体" w:hAnsi="宋体" w:cs="宋体"/>
          <w:b/>
          <w:bCs/>
          <w:sz w:val="30"/>
          <w:szCs w:val="30"/>
        </w:rPr>
        <w:t>年财务状况表（附经会计师事务所或审计机构审计的财务会计报表，包括资产负债表、损益表、现金流量表、利润表的复印件）（如有，请提供）</w:t>
      </w:r>
    </w:p>
    <w:p w14:paraId="0CDA8872">
      <w:pPr>
        <w:pStyle w:val="13"/>
      </w:pPr>
    </w:p>
    <w:p w14:paraId="05C7CF45">
      <w:pPr>
        <w:spacing w:line="460" w:lineRule="exact"/>
        <w:jc w:val="center"/>
        <w:outlineLvl w:val="0"/>
        <w:rPr>
          <w:rFonts w:ascii="宋体" w:hAnsi="宋体" w:cs="宋体"/>
          <w:b/>
          <w:bCs/>
          <w:w w:val="99"/>
          <w:kern w:val="0"/>
          <w:sz w:val="30"/>
          <w:szCs w:val="30"/>
        </w:rPr>
      </w:pPr>
    </w:p>
    <w:p w14:paraId="49D5A700">
      <w:pPr>
        <w:pStyle w:val="13"/>
        <w:rPr>
          <w:rFonts w:ascii="宋体" w:hAnsi="宋体" w:cs="宋体"/>
          <w:b/>
          <w:bCs/>
          <w:w w:val="99"/>
          <w:kern w:val="0"/>
          <w:sz w:val="30"/>
          <w:szCs w:val="30"/>
        </w:rPr>
      </w:pPr>
    </w:p>
    <w:p w14:paraId="25B2A686"/>
    <w:p w14:paraId="5D486B85">
      <w:pPr>
        <w:spacing w:line="460" w:lineRule="exact"/>
        <w:outlineLvl w:val="0"/>
        <w:rPr>
          <w:rFonts w:ascii="宋体" w:hAnsi="宋体" w:cs="宋体"/>
          <w:b/>
          <w:bCs/>
          <w:w w:val="99"/>
          <w:kern w:val="0"/>
          <w:sz w:val="30"/>
          <w:szCs w:val="30"/>
        </w:rPr>
      </w:pPr>
    </w:p>
    <w:p w14:paraId="122AFDD5">
      <w:pPr>
        <w:spacing w:line="460" w:lineRule="exact"/>
        <w:outlineLvl w:val="0"/>
        <w:rPr>
          <w:rFonts w:ascii="华文中宋" w:hAnsi="华文中宋" w:eastAsia="华文中宋" w:cs="华文中宋"/>
          <w:b/>
          <w:bCs/>
          <w:sz w:val="32"/>
          <w:szCs w:val="32"/>
        </w:rPr>
      </w:pPr>
      <w:r>
        <w:rPr>
          <w:rFonts w:hint="eastAsia" w:ascii="宋体" w:hAnsi="宋体" w:cs="宋体"/>
          <w:b/>
          <w:bCs/>
          <w:w w:val="99"/>
          <w:kern w:val="0"/>
          <w:sz w:val="30"/>
          <w:szCs w:val="30"/>
        </w:rPr>
        <w:t>17、</w:t>
      </w:r>
      <w:r>
        <w:rPr>
          <w:rFonts w:hint="eastAsia" w:ascii="宋体" w:hAnsi="宋体" w:cs="宋体"/>
          <w:b/>
          <w:bCs/>
          <w:sz w:val="30"/>
          <w:szCs w:val="30"/>
        </w:rPr>
        <w:t>竞标人认为需要提供的其他证明文件。</w:t>
      </w:r>
    </w:p>
    <w:p w14:paraId="387E41B0">
      <w:pPr>
        <w:spacing w:line="460" w:lineRule="exact"/>
        <w:jc w:val="center"/>
        <w:outlineLvl w:val="0"/>
        <w:rPr>
          <w:rFonts w:ascii="华文中宋" w:hAnsi="华文中宋" w:eastAsia="华文中宋" w:cs="华文中宋"/>
          <w:b/>
          <w:bCs/>
          <w:sz w:val="32"/>
          <w:szCs w:val="32"/>
        </w:rPr>
      </w:pPr>
    </w:p>
    <w:p w14:paraId="53084184">
      <w:pPr>
        <w:spacing w:line="460" w:lineRule="exact"/>
        <w:jc w:val="center"/>
        <w:outlineLvl w:val="0"/>
        <w:rPr>
          <w:rFonts w:ascii="华文中宋" w:hAnsi="华文中宋" w:eastAsia="华文中宋" w:cs="华文中宋"/>
          <w:b/>
          <w:bCs/>
          <w:sz w:val="32"/>
          <w:szCs w:val="32"/>
        </w:rPr>
      </w:pPr>
    </w:p>
    <w:p w14:paraId="43BDAE03">
      <w:pPr>
        <w:spacing w:line="460" w:lineRule="exact"/>
        <w:jc w:val="center"/>
        <w:outlineLvl w:val="0"/>
        <w:rPr>
          <w:rFonts w:ascii="华文中宋" w:hAnsi="华文中宋" w:eastAsia="华文中宋" w:cs="华文中宋"/>
          <w:b/>
          <w:bCs/>
          <w:sz w:val="32"/>
          <w:szCs w:val="32"/>
        </w:rPr>
      </w:pPr>
    </w:p>
    <w:bookmarkEnd w:id="622"/>
    <w:bookmarkEnd w:id="623"/>
    <w:bookmarkEnd w:id="629"/>
    <w:p w14:paraId="08CAB08D">
      <w:pPr>
        <w:spacing w:line="460" w:lineRule="exact"/>
        <w:rPr>
          <w:rFonts w:asciiTheme="minorEastAsia" w:hAnsiTheme="minorEastAsia" w:eastAsiaTheme="minorEastAsia" w:cstheme="minorEastAsia"/>
          <w:b/>
          <w:sz w:val="30"/>
          <w:szCs w:val="30"/>
        </w:rPr>
      </w:pPr>
      <w:bookmarkStart w:id="736" w:name="_Toc4623"/>
    </w:p>
    <w:p w14:paraId="1E10589D">
      <w:pPr>
        <w:spacing w:line="460" w:lineRule="exact"/>
        <w:rPr>
          <w:rFonts w:asciiTheme="minorEastAsia" w:hAnsiTheme="minorEastAsia" w:eastAsiaTheme="minorEastAsia" w:cstheme="minorEastAsia"/>
          <w:b/>
          <w:sz w:val="30"/>
          <w:szCs w:val="30"/>
        </w:rPr>
      </w:pPr>
    </w:p>
    <w:p w14:paraId="75944414">
      <w:pPr>
        <w:spacing w:line="460" w:lineRule="exact"/>
        <w:rPr>
          <w:rFonts w:asciiTheme="minorEastAsia" w:hAnsiTheme="minorEastAsia" w:eastAsiaTheme="minorEastAsia" w:cstheme="minorEastAsia"/>
          <w:b/>
          <w:sz w:val="30"/>
          <w:szCs w:val="30"/>
        </w:rPr>
      </w:pPr>
    </w:p>
    <w:p w14:paraId="0193AAF6">
      <w:pPr>
        <w:pStyle w:val="13"/>
      </w:pPr>
    </w:p>
    <w:p w14:paraId="059A67FB">
      <w:pPr>
        <w:spacing w:line="460" w:lineRule="exact"/>
        <w:rPr>
          <w:rFonts w:asciiTheme="minorEastAsia" w:hAnsiTheme="minorEastAsia" w:eastAsiaTheme="minorEastAsia" w:cstheme="minorEastAsia"/>
          <w:b/>
          <w:sz w:val="30"/>
          <w:szCs w:val="30"/>
        </w:rPr>
      </w:pPr>
    </w:p>
    <w:p w14:paraId="663F9B62">
      <w:pPr>
        <w:numPr>
          <w:ilvl w:val="0"/>
          <w:numId w:val="9"/>
        </w:numPr>
        <w:spacing w:line="460" w:lineRule="exact"/>
      </w:pPr>
      <w:r>
        <w:rPr>
          <w:rFonts w:hint="eastAsia" w:asciiTheme="minorEastAsia" w:hAnsiTheme="minorEastAsia" w:eastAsiaTheme="minorEastAsia" w:cstheme="minorEastAsia"/>
          <w:b/>
          <w:sz w:val="30"/>
          <w:szCs w:val="30"/>
        </w:rPr>
        <w:t>《中小企业声明函》（见附件）（如有，请提供）；</w:t>
      </w:r>
      <w:bookmarkEnd w:id="736"/>
    </w:p>
    <w:p w14:paraId="4C61148E">
      <w:pPr>
        <w:pStyle w:val="15"/>
        <w:spacing w:line="460" w:lineRule="exact"/>
        <w:rPr>
          <w:rFonts w:hAnsi="宋体" w:cs="宋体"/>
          <w:b/>
          <w:bCs/>
          <w:sz w:val="30"/>
          <w:szCs w:val="30"/>
        </w:rPr>
      </w:pPr>
      <w:r>
        <w:rPr>
          <w:rFonts w:hint="eastAsia" w:hAnsi="宋体" w:cs="宋体"/>
          <w:b/>
          <w:bCs/>
          <w:sz w:val="30"/>
          <w:szCs w:val="30"/>
        </w:rPr>
        <w:t>附件：</w:t>
      </w:r>
    </w:p>
    <w:p w14:paraId="69913C4D">
      <w:pPr>
        <w:pStyle w:val="15"/>
        <w:spacing w:line="460" w:lineRule="exact"/>
        <w:jc w:val="center"/>
        <w:rPr>
          <w:rFonts w:hAnsi="宋体" w:cs="宋体"/>
          <w:b/>
          <w:bCs/>
          <w:sz w:val="28"/>
          <w:szCs w:val="28"/>
        </w:rPr>
      </w:pPr>
      <w:r>
        <w:rPr>
          <w:rFonts w:hint="eastAsia" w:hAnsi="宋体" w:cs="宋体"/>
          <w:b/>
          <w:bCs/>
          <w:sz w:val="28"/>
          <w:szCs w:val="28"/>
        </w:rPr>
        <w:t>中小企业声明函</w:t>
      </w:r>
    </w:p>
    <w:p w14:paraId="14DBB054">
      <w:pPr>
        <w:pStyle w:val="9"/>
        <w:spacing w:line="460" w:lineRule="exact"/>
      </w:pPr>
    </w:p>
    <w:p w14:paraId="25104AE2">
      <w:pPr>
        <w:pStyle w:val="15"/>
        <w:spacing w:line="460" w:lineRule="exact"/>
        <w:ind w:firstLine="444" w:firstLineChars="200"/>
        <w:rPr>
          <w:rFonts w:hAnsi="宋体" w:cs="宋体"/>
          <w:spacing w:val="6"/>
          <w:szCs w:val="21"/>
        </w:rPr>
      </w:pPr>
      <w:r>
        <w:rPr>
          <w:rFonts w:hint="eastAsia" w:hAnsi="宋体" w:cs="宋体"/>
          <w:spacing w:val="6"/>
          <w:szCs w:val="21"/>
        </w:rPr>
        <w:t>本公司（联合体）郑重声明，根据《政府采购促进中小企业发展管理办法》（财库﹝2020﹞46 号）的规定，本公司（联合体）参加（</w:t>
      </w:r>
      <w:r>
        <w:rPr>
          <w:rFonts w:hint="eastAsia" w:hAnsi="宋体" w:cs="宋体"/>
          <w:spacing w:val="6"/>
          <w:szCs w:val="21"/>
          <w:u w:val="single"/>
        </w:rPr>
        <w:t>单位名称</w:t>
      </w:r>
      <w:r>
        <w:rPr>
          <w:rFonts w:hint="eastAsia" w:hAnsi="宋体" w:cs="宋体"/>
          <w:spacing w:val="6"/>
          <w:szCs w:val="21"/>
        </w:rPr>
        <w:t>）的（</w:t>
      </w:r>
      <w:r>
        <w:rPr>
          <w:rFonts w:hint="eastAsia" w:hAnsi="宋体" w:cs="宋体"/>
          <w:spacing w:val="6"/>
          <w:szCs w:val="21"/>
          <w:u w:val="single"/>
        </w:rPr>
        <w:t>项目名称</w:t>
      </w:r>
      <w:r>
        <w:rPr>
          <w:rFonts w:hint="eastAsia" w:hAnsi="宋体" w:cs="宋体"/>
          <w:spacing w:val="6"/>
          <w:szCs w:val="21"/>
        </w:rPr>
        <w:t>）采购活动，工程的施工单位全部为符合政策要求的中小企业（或者：服务全部由符合政策要求的中小企业承接）。相关企业（含联合体中的中小企业、签订分包意向协议的中小企业）的具体情况如下：</w:t>
      </w:r>
    </w:p>
    <w:p w14:paraId="364F68F4">
      <w:pPr>
        <w:pStyle w:val="15"/>
        <w:spacing w:line="460" w:lineRule="exact"/>
        <w:ind w:firstLine="444" w:firstLineChars="200"/>
        <w:rPr>
          <w:rFonts w:hAnsi="宋体" w:cs="宋体"/>
          <w:szCs w:val="21"/>
        </w:rPr>
      </w:pPr>
      <w:r>
        <w:rPr>
          <w:rFonts w:hint="eastAsia" w:hAnsi="宋体" w:cs="宋体"/>
          <w:spacing w:val="6"/>
          <w:szCs w:val="21"/>
        </w:rPr>
        <w:t>1.</w:t>
      </w:r>
      <w:r>
        <w:rPr>
          <w:rFonts w:hint="eastAsia" w:hAnsi="宋体" w:cs="宋体"/>
          <w:spacing w:val="6"/>
          <w:szCs w:val="21"/>
          <w:u w:val="single"/>
        </w:rPr>
        <w:t xml:space="preserve">（标的名称） </w:t>
      </w:r>
      <w:r>
        <w:rPr>
          <w:rFonts w:hint="eastAsia" w:hAnsi="宋体" w:cs="宋体"/>
          <w:spacing w:val="6"/>
          <w:szCs w:val="21"/>
        </w:rPr>
        <w:t>，属于</w:t>
      </w:r>
      <w:r>
        <w:rPr>
          <w:rFonts w:hint="eastAsia" w:hAnsi="宋体" w:cs="宋体"/>
          <w:spacing w:val="6"/>
          <w:szCs w:val="21"/>
          <w:u w:val="single"/>
        </w:rPr>
        <w:t>（采购文件中明确的所属行业）</w:t>
      </w:r>
      <w:r>
        <w:rPr>
          <w:rFonts w:hint="eastAsia" w:hAnsi="宋体" w:cs="宋体"/>
          <w:spacing w:val="6"/>
          <w:szCs w:val="21"/>
        </w:rPr>
        <w:t>； 承建（承接）企业为（</w:t>
      </w:r>
      <w:r>
        <w:rPr>
          <w:rFonts w:hint="eastAsia" w:hAnsi="宋体" w:cs="宋体"/>
          <w:spacing w:val="6"/>
          <w:szCs w:val="21"/>
          <w:u w:val="single"/>
        </w:rPr>
        <w:t>企业名称</w:t>
      </w:r>
      <w:r>
        <w:rPr>
          <w:rFonts w:hint="eastAsia" w:hAnsi="宋体" w:cs="宋体"/>
          <w:spacing w:val="6"/>
          <w:szCs w:val="21"/>
        </w:rPr>
        <w:t>），从业人员</w:t>
      </w:r>
      <w:r>
        <w:rPr>
          <w:rFonts w:hint="eastAsia" w:hAnsi="宋体" w:cs="宋体"/>
          <w:spacing w:val="6"/>
          <w:szCs w:val="21"/>
          <w:u w:val="single"/>
        </w:rPr>
        <w:t xml:space="preserve">   </w:t>
      </w:r>
      <w:r>
        <w:rPr>
          <w:rFonts w:hint="eastAsia" w:hAnsi="宋体" w:cs="宋体"/>
          <w:spacing w:val="6"/>
          <w:szCs w:val="21"/>
        </w:rPr>
        <w:t>人，营业 收入为</w:t>
      </w:r>
      <w:r>
        <w:rPr>
          <w:rFonts w:hint="eastAsia" w:hAnsi="宋体" w:cs="宋体"/>
          <w:spacing w:val="6"/>
          <w:szCs w:val="21"/>
          <w:u w:val="single"/>
        </w:rPr>
        <w:t xml:space="preserve">  </w:t>
      </w:r>
      <w:r>
        <w:rPr>
          <w:rFonts w:hint="eastAsia" w:hAnsi="宋体" w:cs="宋体"/>
          <w:spacing w:val="6"/>
          <w:szCs w:val="21"/>
        </w:rPr>
        <w:t>万元，资产总额为 万元，属于（</w:t>
      </w:r>
      <w:r>
        <w:rPr>
          <w:rFonts w:hint="eastAsia" w:hAnsi="宋体" w:cs="宋体"/>
          <w:spacing w:val="6"/>
          <w:szCs w:val="21"/>
          <w:u w:val="single"/>
        </w:rPr>
        <w:t>中型企业、 小型企业、微型企业</w:t>
      </w:r>
      <w:r>
        <w:rPr>
          <w:rFonts w:hint="eastAsia" w:hAnsi="宋体" w:cs="宋体"/>
          <w:spacing w:val="6"/>
          <w:szCs w:val="21"/>
        </w:rPr>
        <w:t>）</w:t>
      </w:r>
    </w:p>
    <w:p w14:paraId="38ACE1E5">
      <w:pPr>
        <w:widowControl/>
        <w:spacing w:line="460" w:lineRule="exact"/>
        <w:ind w:firstLine="444" w:firstLineChars="200"/>
        <w:jc w:val="left"/>
        <w:rPr>
          <w:rFonts w:ascii="宋体" w:hAnsi="宋体" w:cs="宋体"/>
          <w:spacing w:val="6"/>
          <w:szCs w:val="21"/>
        </w:rPr>
      </w:pPr>
      <w:r>
        <w:rPr>
          <w:rFonts w:hint="eastAsia" w:ascii="宋体" w:hAnsi="宋体" w:cs="宋体"/>
          <w:spacing w:val="6"/>
          <w:szCs w:val="21"/>
        </w:rPr>
        <w:t>2.</w:t>
      </w:r>
      <w:r>
        <w:rPr>
          <w:rFonts w:hint="eastAsia" w:ascii="宋体" w:hAnsi="宋体" w:cs="宋体"/>
          <w:spacing w:val="6"/>
          <w:szCs w:val="21"/>
          <w:u w:val="single"/>
        </w:rPr>
        <w:t xml:space="preserve">（标的名称） </w:t>
      </w:r>
      <w:r>
        <w:rPr>
          <w:rFonts w:hint="eastAsia" w:ascii="宋体" w:hAnsi="宋体" w:cs="宋体"/>
          <w:spacing w:val="6"/>
          <w:szCs w:val="21"/>
        </w:rPr>
        <w:t>，属于</w:t>
      </w:r>
      <w:r>
        <w:rPr>
          <w:rFonts w:hint="eastAsia" w:ascii="宋体" w:hAnsi="宋体" w:cs="宋体"/>
          <w:spacing w:val="6"/>
          <w:szCs w:val="21"/>
          <w:u w:val="single"/>
        </w:rPr>
        <w:t>（采购文件中明确的所属行业）</w:t>
      </w:r>
      <w:r>
        <w:rPr>
          <w:rFonts w:hint="eastAsia" w:ascii="宋体" w:hAnsi="宋体" w:cs="宋体"/>
          <w:spacing w:val="6"/>
          <w:szCs w:val="21"/>
        </w:rPr>
        <w:t>；承建（承接）企业为（</w:t>
      </w:r>
      <w:r>
        <w:rPr>
          <w:rFonts w:hint="eastAsia" w:ascii="宋体" w:hAnsi="宋体" w:cs="宋体"/>
          <w:spacing w:val="6"/>
          <w:szCs w:val="21"/>
          <w:u w:val="single"/>
        </w:rPr>
        <w:t>企业名称</w:t>
      </w:r>
      <w:r>
        <w:rPr>
          <w:rFonts w:hint="eastAsia" w:ascii="宋体" w:hAnsi="宋体" w:cs="宋体"/>
          <w:spacing w:val="6"/>
          <w:szCs w:val="21"/>
        </w:rPr>
        <w:t>），从业人员</w:t>
      </w:r>
      <w:r>
        <w:rPr>
          <w:rFonts w:hint="eastAsia" w:ascii="宋体" w:hAnsi="宋体" w:cs="宋体"/>
          <w:spacing w:val="6"/>
          <w:szCs w:val="21"/>
          <w:u w:val="single"/>
        </w:rPr>
        <w:t xml:space="preserve">  </w:t>
      </w:r>
      <w:r>
        <w:rPr>
          <w:rFonts w:hint="eastAsia" w:ascii="宋体" w:hAnsi="宋体" w:cs="宋体"/>
          <w:spacing w:val="6"/>
          <w:szCs w:val="21"/>
        </w:rPr>
        <w:t>人，营业收入为</w:t>
      </w:r>
      <w:r>
        <w:rPr>
          <w:rFonts w:hint="eastAsia" w:ascii="宋体" w:hAnsi="宋体" w:cs="宋体"/>
          <w:spacing w:val="6"/>
          <w:szCs w:val="21"/>
          <w:u w:val="single"/>
        </w:rPr>
        <w:t xml:space="preserve">  </w:t>
      </w:r>
      <w:r>
        <w:rPr>
          <w:rFonts w:hint="eastAsia" w:ascii="宋体" w:hAnsi="宋体" w:cs="宋体"/>
          <w:spacing w:val="6"/>
          <w:szCs w:val="21"/>
        </w:rPr>
        <w:t>万元，资产总额为</w:t>
      </w:r>
      <w:r>
        <w:rPr>
          <w:rFonts w:hint="eastAsia" w:ascii="宋体" w:hAnsi="宋体" w:cs="宋体"/>
          <w:spacing w:val="6"/>
          <w:szCs w:val="21"/>
          <w:u w:val="single"/>
        </w:rPr>
        <w:t xml:space="preserve">  </w:t>
      </w:r>
      <w:r>
        <w:rPr>
          <w:rFonts w:hint="eastAsia" w:ascii="宋体" w:hAnsi="宋体" w:cs="宋体"/>
          <w:spacing w:val="6"/>
          <w:szCs w:val="21"/>
        </w:rPr>
        <w:t>万元，属于（</w:t>
      </w:r>
      <w:r>
        <w:rPr>
          <w:rFonts w:hint="eastAsia" w:ascii="宋体" w:hAnsi="宋体" w:cs="宋体"/>
          <w:spacing w:val="6"/>
          <w:szCs w:val="21"/>
          <w:u w:val="single"/>
        </w:rPr>
        <w:t>中型企业、 小型企业、微型企业</w:t>
      </w:r>
      <w:r>
        <w:rPr>
          <w:rFonts w:hint="eastAsia" w:ascii="宋体" w:hAnsi="宋体" w:cs="宋体"/>
          <w:spacing w:val="6"/>
          <w:szCs w:val="21"/>
        </w:rPr>
        <w:t>）；</w:t>
      </w:r>
    </w:p>
    <w:p w14:paraId="3F33B713">
      <w:pPr>
        <w:pStyle w:val="9"/>
        <w:spacing w:line="460" w:lineRule="exact"/>
        <w:ind w:left="0"/>
        <w:rPr>
          <w:rFonts w:ascii="宋体" w:hAnsi="宋体" w:cs="宋体"/>
          <w:szCs w:val="21"/>
        </w:rPr>
      </w:pPr>
      <w:r>
        <w:rPr>
          <w:rFonts w:hint="eastAsia" w:ascii="宋体" w:hAnsi="宋体" w:cs="宋体"/>
          <w:szCs w:val="21"/>
        </w:rPr>
        <w:t>……</w:t>
      </w:r>
    </w:p>
    <w:p w14:paraId="7C3D6AAB">
      <w:pPr>
        <w:widowControl/>
        <w:spacing w:line="460" w:lineRule="exact"/>
        <w:ind w:firstLine="444" w:firstLineChars="200"/>
        <w:jc w:val="left"/>
        <w:rPr>
          <w:rFonts w:ascii="宋体" w:hAnsi="宋体" w:cs="宋体"/>
          <w:spacing w:val="6"/>
          <w:szCs w:val="21"/>
        </w:rPr>
      </w:pPr>
      <w:r>
        <w:rPr>
          <w:rFonts w:hint="eastAsia" w:ascii="宋体" w:hAnsi="宋体" w:cs="宋体"/>
          <w:spacing w:val="6"/>
          <w:szCs w:val="21"/>
        </w:rPr>
        <w:t>以上企业，不属于大企业的分支机构，不存在控股股东为大企业的情形，也不存在与大企业的负责人为同一人的情形。</w:t>
      </w:r>
    </w:p>
    <w:p w14:paraId="32AAC957">
      <w:pPr>
        <w:widowControl/>
        <w:spacing w:line="460" w:lineRule="exact"/>
        <w:ind w:firstLine="444" w:firstLineChars="200"/>
        <w:jc w:val="left"/>
        <w:rPr>
          <w:rFonts w:ascii="宋体" w:hAnsi="宋体" w:cs="宋体"/>
          <w:spacing w:val="6"/>
          <w:szCs w:val="21"/>
        </w:rPr>
      </w:pPr>
      <w:r>
        <w:rPr>
          <w:rFonts w:hint="eastAsia" w:ascii="宋体" w:hAnsi="宋体" w:cs="宋体"/>
          <w:spacing w:val="6"/>
          <w:szCs w:val="21"/>
        </w:rPr>
        <w:t xml:space="preserve">本企业对上述声明内容的真实性负责。如有虚假，将依法承担相应责任。 </w:t>
      </w:r>
    </w:p>
    <w:p w14:paraId="714A4ECE">
      <w:pPr>
        <w:pStyle w:val="11"/>
        <w:spacing w:line="460" w:lineRule="exact"/>
        <w:ind w:firstLine="5106" w:firstLineChars="2300"/>
        <w:rPr>
          <w:rFonts w:ascii="宋体" w:hAnsi="宋体" w:cs="宋体"/>
          <w:spacing w:val="6"/>
          <w:szCs w:val="21"/>
        </w:rPr>
      </w:pPr>
    </w:p>
    <w:p w14:paraId="5950C684">
      <w:pPr>
        <w:pStyle w:val="11"/>
        <w:spacing w:line="460" w:lineRule="exact"/>
        <w:ind w:firstLine="5106" w:firstLineChars="2300"/>
        <w:rPr>
          <w:rFonts w:ascii="宋体" w:hAnsi="宋体" w:cs="宋体"/>
          <w:spacing w:val="6"/>
          <w:szCs w:val="21"/>
        </w:rPr>
      </w:pPr>
      <w:r>
        <w:rPr>
          <w:rFonts w:hint="eastAsia" w:ascii="宋体" w:hAnsi="宋体" w:cs="宋体"/>
          <w:spacing w:val="6"/>
          <w:szCs w:val="21"/>
        </w:rPr>
        <w:t>企业名称（</w:t>
      </w:r>
      <w:r>
        <w:rPr>
          <w:rFonts w:hint="eastAsia" w:ascii="宋体" w:hAnsi="宋体" w:cs="宋体"/>
          <w:szCs w:val="21"/>
        </w:rPr>
        <w:t>CA签章</w:t>
      </w:r>
      <w:r>
        <w:rPr>
          <w:rFonts w:hint="eastAsia" w:ascii="宋体" w:hAnsi="宋体" w:cs="宋体"/>
          <w:spacing w:val="6"/>
          <w:szCs w:val="21"/>
        </w:rPr>
        <w:t xml:space="preserve">）： </w:t>
      </w:r>
    </w:p>
    <w:p w14:paraId="3209E3D5">
      <w:pPr>
        <w:widowControl/>
        <w:spacing w:line="460" w:lineRule="exact"/>
        <w:ind w:firstLine="5106" w:firstLineChars="2300"/>
        <w:jc w:val="left"/>
        <w:rPr>
          <w:rFonts w:ascii="宋体" w:hAnsi="宋体" w:cs="宋体"/>
          <w:spacing w:val="6"/>
          <w:szCs w:val="21"/>
        </w:rPr>
      </w:pPr>
      <w:r>
        <w:rPr>
          <w:rFonts w:hint="eastAsia" w:ascii="宋体" w:hAnsi="宋体" w:cs="宋体"/>
          <w:spacing w:val="6"/>
          <w:szCs w:val="21"/>
        </w:rPr>
        <w:t>日 期：</w:t>
      </w:r>
    </w:p>
    <w:p w14:paraId="09184285">
      <w:pPr>
        <w:widowControl/>
        <w:spacing w:line="460" w:lineRule="exact"/>
        <w:jc w:val="left"/>
        <w:rPr>
          <w:rFonts w:ascii="宋体" w:hAnsi="宋体" w:cs="宋体"/>
        </w:rPr>
      </w:pPr>
    </w:p>
    <w:p w14:paraId="410E1E38">
      <w:pPr>
        <w:widowControl/>
        <w:spacing w:line="460" w:lineRule="exact"/>
        <w:jc w:val="left"/>
        <w:rPr>
          <w:rFonts w:ascii="宋体" w:hAnsi="宋体" w:cs="宋体"/>
          <w:szCs w:val="21"/>
        </w:rPr>
      </w:pPr>
      <w:r>
        <w:rPr>
          <w:rFonts w:hint="eastAsia" w:ascii="宋体" w:hAnsi="宋体" w:cs="宋体"/>
          <w:kern w:val="0"/>
          <w:szCs w:val="21"/>
        </w:rPr>
        <w:t>从业人员、营业收入、资产总额填报上一年度数据，无上一年度数据的新成立企业可不填报。</w:t>
      </w:r>
    </w:p>
    <w:p w14:paraId="1CAE2911">
      <w:pPr>
        <w:widowControl/>
        <w:spacing w:line="460" w:lineRule="exact"/>
        <w:jc w:val="left"/>
        <w:rPr>
          <w:rFonts w:ascii="华文中宋" w:hAnsi="华文中宋" w:eastAsia="华文中宋" w:cs="华文中宋"/>
          <w:szCs w:val="21"/>
        </w:rPr>
      </w:pPr>
    </w:p>
    <w:p w14:paraId="4770FC8E">
      <w:pPr>
        <w:widowControl/>
        <w:spacing w:line="460" w:lineRule="exact"/>
        <w:ind w:firstLine="420" w:firstLineChars="200"/>
        <w:jc w:val="left"/>
        <w:rPr>
          <w:rFonts w:ascii="宋体" w:hAnsi="宋体" w:cs="宋体"/>
          <w:spacing w:val="6"/>
          <w:szCs w:val="21"/>
        </w:rPr>
      </w:pPr>
      <w:r>
        <w:rPr>
          <w:rFonts w:hint="eastAsia" w:ascii="华文中宋" w:hAnsi="华文中宋" w:eastAsia="华文中宋" w:cs="华文中宋"/>
          <w:szCs w:val="21"/>
        </w:rPr>
        <w:t>注：请根据国家统计局《统计上大中小微型企业划分办法（2017）》及自己的真实情况出具《中小企业声明函》。依法享受中小企业优惠政策的，采购人或者采购代理机构在公告成交结果时，同时公告其《中小企业声明函》，接受社会监督。</w:t>
      </w:r>
    </w:p>
    <w:p w14:paraId="624142FC">
      <w:pPr>
        <w:spacing w:line="460" w:lineRule="exact"/>
        <w:rPr>
          <w:rFonts w:hAnsi="宋体" w:cs="宋体"/>
          <w:b/>
          <w:sz w:val="28"/>
          <w:szCs w:val="28"/>
        </w:rPr>
      </w:pPr>
    </w:p>
    <w:p w14:paraId="5D027809">
      <w:pPr>
        <w:pStyle w:val="15"/>
        <w:spacing w:line="460" w:lineRule="exact"/>
        <w:outlineLvl w:val="2"/>
        <w:rPr>
          <w:rFonts w:hAnsi="宋体" w:cs="宋体"/>
          <w:b/>
          <w:sz w:val="28"/>
          <w:szCs w:val="28"/>
        </w:rPr>
      </w:pPr>
      <w:bookmarkStart w:id="737" w:name="_Toc7819"/>
      <w:r>
        <w:rPr>
          <w:rFonts w:hint="eastAsia" w:hAnsi="宋体" w:cs="宋体"/>
          <w:b/>
          <w:sz w:val="28"/>
          <w:szCs w:val="28"/>
        </w:rPr>
        <w:t>19、如提供服务的供应商属于监狱企业的，应当提供由省级以上监狱管理局、戒毒管理局等（含新疆生产建设兵团）出具的属于监狱企业的证明文件（如有，请提供）；</w:t>
      </w:r>
      <w:bookmarkEnd w:id="737"/>
    </w:p>
    <w:p w14:paraId="02BD36A9">
      <w:pPr>
        <w:pStyle w:val="15"/>
        <w:spacing w:line="460" w:lineRule="exact"/>
        <w:outlineLvl w:val="2"/>
        <w:rPr>
          <w:rFonts w:hAnsi="宋体" w:cs="宋体"/>
          <w:b/>
          <w:sz w:val="28"/>
          <w:szCs w:val="28"/>
        </w:rPr>
      </w:pPr>
      <w:bookmarkStart w:id="738" w:name="_Toc9453"/>
    </w:p>
    <w:p w14:paraId="1C449727">
      <w:pPr>
        <w:pStyle w:val="15"/>
        <w:spacing w:line="460" w:lineRule="exact"/>
        <w:outlineLvl w:val="2"/>
        <w:rPr>
          <w:rFonts w:hAnsi="宋体" w:cs="宋体"/>
          <w:b/>
          <w:sz w:val="28"/>
          <w:szCs w:val="28"/>
        </w:rPr>
      </w:pPr>
      <w:r>
        <w:rPr>
          <w:rFonts w:hint="eastAsia" w:hAnsi="宋体" w:cs="宋体"/>
          <w:b/>
          <w:sz w:val="28"/>
          <w:szCs w:val="28"/>
        </w:rPr>
        <w:t>20、《残疾人福利性单位声明函》（见附件）（如有，请提供）</w:t>
      </w:r>
      <w:bookmarkEnd w:id="738"/>
    </w:p>
    <w:p w14:paraId="1D3FC6A8">
      <w:pPr>
        <w:tabs>
          <w:tab w:val="left" w:pos="1305"/>
        </w:tabs>
        <w:spacing w:line="460" w:lineRule="exact"/>
        <w:rPr>
          <w:rFonts w:ascii="宋体" w:hAnsi="宋体" w:cs="宋体"/>
          <w:b/>
          <w:sz w:val="32"/>
          <w:szCs w:val="32"/>
        </w:rPr>
      </w:pPr>
    </w:p>
    <w:p w14:paraId="6243D2A8">
      <w:pPr>
        <w:pStyle w:val="27"/>
        <w:spacing w:line="460" w:lineRule="exact"/>
        <w:rPr>
          <w:rFonts w:ascii="宋体" w:hAnsi="宋体" w:cs="宋体"/>
          <w:b/>
          <w:color w:val="auto"/>
          <w:spacing w:val="6"/>
          <w:sz w:val="28"/>
          <w:szCs w:val="28"/>
        </w:rPr>
      </w:pPr>
    </w:p>
    <w:p w14:paraId="19E1B2FE">
      <w:pPr>
        <w:spacing w:line="460" w:lineRule="exact"/>
        <w:jc w:val="center"/>
        <w:rPr>
          <w:rFonts w:ascii="宋体" w:hAnsi="宋体" w:cs="宋体"/>
          <w:b/>
          <w:spacing w:val="6"/>
          <w:sz w:val="28"/>
          <w:szCs w:val="28"/>
        </w:rPr>
      </w:pPr>
      <w:r>
        <w:rPr>
          <w:rFonts w:hint="eastAsia" w:ascii="宋体" w:hAnsi="宋体" w:cs="宋体"/>
          <w:b/>
          <w:spacing w:val="6"/>
          <w:sz w:val="28"/>
          <w:szCs w:val="28"/>
        </w:rPr>
        <w:t>残疾人福利性单位声明函</w:t>
      </w:r>
    </w:p>
    <w:p w14:paraId="12E00965">
      <w:pPr>
        <w:spacing w:line="460" w:lineRule="exact"/>
        <w:ind w:firstLine="504" w:firstLineChars="200"/>
        <w:rPr>
          <w:rFonts w:ascii="宋体" w:hAnsi="宋体" w:cs="宋体"/>
          <w:spacing w:val="6"/>
          <w:sz w:val="24"/>
        </w:rPr>
      </w:pPr>
      <w:r>
        <w:rPr>
          <w:rFonts w:hint="eastAsia" w:ascii="宋体" w:hAnsi="宋体" w:cs="宋体"/>
          <w:spacing w:val="6"/>
          <w:sz w:val="24"/>
        </w:rPr>
        <w:t>本单位郑重声明，根据《财政部 民政部 中国残疾人联合会关于促进残疾人就业政府采购政策的通知》（财库</w:t>
      </w:r>
      <w:r>
        <w:rPr>
          <w:rFonts w:hint="eastAsia" w:ascii="宋体" w:hAnsi="宋体" w:cs="宋体"/>
          <w:sz w:val="24"/>
        </w:rPr>
        <w:t>〔2017〕141</w:t>
      </w:r>
      <w:r>
        <w:rPr>
          <w:rFonts w:hint="eastAsia" w:ascii="宋体" w:hAnsi="宋体" w:cs="宋体"/>
          <w:spacing w:val="6"/>
          <w:sz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4C0BCC5">
      <w:pPr>
        <w:spacing w:line="460" w:lineRule="exact"/>
        <w:ind w:firstLine="504" w:firstLineChars="200"/>
        <w:rPr>
          <w:rFonts w:ascii="宋体" w:hAnsi="宋体" w:cs="宋体"/>
          <w:spacing w:val="6"/>
          <w:sz w:val="24"/>
        </w:rPr>
      </w:pPr>
      <w:r>
        <w:rPr>
          <w:rFonts w:hint="eastAsia" w:ascii="宋体" w:hAnsi="宋体" w:cs="宋体"/>
          <w:spacing w:val="6"/>
          <w:sz w:val="24"/>
        </w:rPr>
        <w:t>本单位对上述声明的真实性负责。如有虚假，将依法承担相应责任。</w:t>
      </w:r>
    </w:p>
    <w:p w14:paraId="24B35C87">
      <w:pPr>
        <w:spacing w:line="460" w:lineRule="exact"/>
        <w:rPr>
          <w:rFonts w:ascii="宋体" w:hAnsi="宋体" w:cs="宋体"/>
        </w:rPr>
      </w:pPr>
    </w:p>
    <w:p w14:paraId="57E03553">
      <w:pPr>
        <w:tabs>
          <w:tab w:val="left" w:pos="4860"/>
        </w:tabs>
        <w:spacing w:line="460" w:lineRule="exact"/>
        <w:ind w:right="1560" w:firstLine="584" w:firstLineChars="200"/>
        <w:jc w:val="center"/>
        <w:rPr>
          <w:rFonts w:ascii="宋体" w:hAnsi="宋体" w:cs="宋体"/>
          <w:spacing w:val="6"/>
          <w:sz w:val="24"/>
        </w:rPr>
      </w:pPr>
      <w:r>
        <w:rPr>
          <w:rFonts w:hint="eastAsia" w:ascii="宋体" w:hAnsi="宋体" w:cs="宋体"/>
          <w:spacing w:val="6"/>
          <w:sz w:val="28"/>
          <w:szCs w:val="28"/>
        </w:rPr>
        <w:t xml:space="preserve">          </w:t>
      </w:r>
      <w:r>
        <w:rPr>
          <w:rFonts w:hint="eastAsia" w:ascii="宋体" w:hAnsi="宋体" w:cs="宋体"/>
          <w:spacing w:val="6"/>
          <w:sz w:val="24"/>
        </w:rPr>
        <w:t xml:space="preserve">  单位名称（</w:t>
      </w:r>
      <w:r>
        <w:rPr>
          <w:rFonts w:hint="eastAsia" w:ascii="宋体" w:hAnsi="宋体" w:cs="宋体"/>
          <w:sz w:val="24"/>
        </w:rPr>
        <w:t>CA签章</w:t>
      </w:r>
      <w:r>
        <w:rPr>
          <w:rFonts w:hint="eastAsia" w:ascii="宋体" w:hAnsi="宋体" w:cs="宋体"/>
          <w:spacing w:val="6"/>
          <w:sz w:val="24"/>
        </w:rPr>
        <w:t>）：</w:t>
      </w:r>
    </w:p>
    <w:p w14:paraId="420052F1">
      <w:pPr>
        <w:pStyle w:val="15"/>
        <w:spacing w:line="460" w:lineRule="exact"/>
        <w:ind w:firstLine="4032" w:firstLineChars="1600"/>
        <w:rPr>
          <w:rFonts w:hAnsi="宋体" w:cs="宋体"/>
          <w:spacing w:val="6"/>
          <w:sz w:val="24"/>
          <w:szCs w:val="24"/>
        </w:rPr>
      </w:pPr>
      <w:r>
        <w:rPr>
          <w:rFonts w:hint="eastAsia" w:hAnsi="宋体" w:cs="宋体"/>
          <w:spacing w:val="6"/>
          <w:sz w:val="24"/>
          <w:szCs w:val="24"/>
        </w:rPr>
        <w:t>日    期：  年  月  日</w:t>
      </w:r>
    </w:p>
    <w:p w14:paraId="5EC47390">
      <w:pPr>
        <w:spacing w:line="460" w:lineRule="exact"/>
        <w:rPr>
          <w:rFonts w:ascii="宋体" w:hAnsi="宋体" w:cs="宋体"/>
          <w:spacing w:val="6"/>
          <w:sz w:val="24"/>
        </w:rPr>
      </w:pPr>
    </w:p>
    <w:p w14:paraId="6C33C74D">
      <w:pPr>
        <w:pStyle w:val="13"/>
        <w:spacing w:line="460" w:lineRule="exact"/>
        <w:rPr>
          <w:rFonts w:ascii="宋体" w:hAnsi="宋体" w:cs="宋体"/>
        </w:rPr>
      </w:pPr>
    </w:p>
    <w:p w14:paraId="777B639B">
      <w:pPr>
        <w:pStyle w:val="13"/>
        <w:spacing w:line="460" w:lineRule="exact"/>
        <w:rPr>
          <w:rFonts w:ascii="宋体" w:hAnsi="宋体" w:cs="宋体"/>
        </w:rPr>
      </w:pPr>
    </w:p>
    <w:p w14:paraId="77A988F4">
      <w:pPr>
        <w:pStyle w:val="13"/>
        <w:spacing w:line="460" w:lineRule="exact"/>
        <w:rPr>
          <w:rFonts w:ascii="宋体" w:hAnsi="宋体" w:cs="宋体"/>
        </w:rPr>
      </w:pPr>
    </w:p>
    <w:p w14:paraId="176B38E0">
      <w:pPr>
        <w:tabs>
          <w:tab w:val="left" w:pos="1305"/>
        </w:tabs>
        <w:spacing w:line="460" w:lineRule="exact"/>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注：成交供应商为残疾人福利性单位的，采购人或者其委托的采购代理机构应当随成交结果同时公告其《残疾人福利性单位声明函》，接受社会监督。</w:t>
      </w:r>
    </w:p>
    <w:p w14:paraId="67F8982A">
      <w:pPr>
        <w:pStyle w:val="27"/>
        <w:spacing w:line="460" w:lineRule="exact"/>
        <w:rPr>
          <w:rFonts w:ascii="宋体" w:hAnsi="宋体" w:cs="宋体"/>
          <w:b/>
          <w:color w:val="auto"/>
          <w:sz w:val="28"/>
          <w:szCs w:val="28"/>
        </w:rPr>
      </w:pPr>
    </w:p>
    <w:p w14:paraId="59303334">
      <w:pPr>
        <w:pStyle w:val="15"/>
        <w:spacing w:line="460" w:lineRule="exact"/>
        <w:rPr>
          <w:rFonts w:hAnsi="宋体" w:cs="宋体"/>
          <w:b/>
          <w:sz w:val="28"/>
          <w:szCs w:val="28"/>
        </w:rPr>
      </w:pPr>
    </w:p>
    <w:p w14:paraId="7E305A0E">
      <w:pPr>
        <w:pStyle w:val="7"/>
      </w:pPr>
    </w:p>
    <w:p w14:paraId="40B20945">
      <w:pPr>
        <w:pStyle w:val="15"/>
        <w:spacing w:line="460" w:lineRule="exact"/>
        <w:outlineLvl w:val="2"/>
        <w:rPr>
          <w:rFonts w:hAnsi="宋体" w:cs="宋体"/>
        </w:rPr>
      </w:pPr>
      <w:bookmarkStart w:id="739" w:name="_Toc14778"/>
      <w:r>
        <w:rPr>
          <w:rFonts w:hint="eastAsia" w:hAnsi="宋体" w:cs="宋体"/>
          <w:b/>
          <w:sz w:val="28"/>
          <w:szCs w:val="28"/>
        </w:rPr>
        <w:t>21、供应商可结合本项目的评审办法视自身情况自行提交其它相关证明材料。</w:t>
      </w:r>
      <w:bookmarkEnd w:id="739"/>
    </w:p>
    <w:p w14:paraId="517EC007">
      <w:pPr>
        <w:spacing w:line="460" w:lineRule="exact"/>
        <w:rPr>
          <w:rFonts w:ascii="宋体" w:hAnsi="宋体" w:cs="宋体"/>
        </w:rPr>
      </w:pPr>
    </w:p>
    <w:sectPr>
      <w:headerReference r:id="rId8" w:type="default"/>
      <w:footerReference r:id="rId9" w:type="default"/>
      <w:pgSz w:w="11906" w:h="16838"/>
      <w:pgMar w:top="1440" w:right="1080" w:bottom="1440"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新宋体">
    <w:panose1 w:val="02010609030101010101"/>
    <w:charset w:val="86"/>
    <w:family w:val="modern"/>
    <w:pitch w:val="default"/>
    <w:sig w:usb0="00000203" w:usb1="288F0000" w:usb2="0000000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华文中宋">
    <w:altName w:val="宋体"/>
    <w:panose1 w:val="00000000000000000000"/>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0D98B1">
    <w:pPr>
      <w:pStyle w:val="1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76200" cy="131445"/>
              <wp:effectExtent l="0" t="0" r="0" b="0"/>
              <wp:wrapNone/>
              <wp:docPr id="5" name="文本框 1"/>
              <wp:cNvGraphicFramePr/>
              <a:graphic xmlns:a="http://schemas.openxmlformats.org/drawingml/2006/main">
                <a:graphicData uri="http://schemas.microsoft.com/office/word/2010/wordprocessingShape">
                  <wps:wsp>
                    <wps:cNvSpPr txBox="1"/>
                    <wps:spPr>
                      <a:xfrm>
                        <a:off x="0" y="0"/>
                        <a:ext cx="76200" cy="131445"/>
                      </a:xfrm>
                      <a:prstGeom prst="rect">
                        <a:avLst/>
                      </a:prstGeom>
                      <a:noFill/>
                      <a:ln w="6350">
                        <a:noFill/>
                      </a:ln>
                    </wps:spPr>
                    <wps:txbx>
                      <w:txbxContent>
                        <w:p w14:paraId="32134E92">
                          <w:pPr>
                            <w:pStyle w:val="17"/>
                          </w:pPr>
                          <w:r>
                            <w:fldChar w:fldCharType="begin"/>
                          </w:r>
                          <w:r>
                            <w:instrText xml:space="preserve"> PAGE  \* MERGEFORMAT </w:instrText>
                          </w:r>
                          <w:r>
                            <w:fldChar w:fldCharType="separate"/>
                          </w:r>
                          <w:r>
                            <w:t>II</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 o:spid="_x0000_s1026" o:spt="202" type="#_x0000_t202" style="position:absolute;left:0pt;margin-top:0pt;height:10.35pt;width:6pt;mso-position-horizontal:center;mso-position-horizontal-relative:margin;mso-wrap-style:none;z-index:251660288;mso-width-relative:page;mso-height-relative:page;" filled="f" stroked="f" coordsize="21600,21600" o:gfxdata="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A21SkV0AAAAAMBAAAPAAAAAAAAAAEAIAAAACIAAABkcnMvZG93bnJldi54bWxQSwECFAAUAAAA&#10;CACHTuJA28xKSS8CAABSBAAADgAAAAAAAAABACAAAAAfAQAAZHJzL2Uyb0RvYy54bWxQSwUGAAAA&#10;AAYABgBZAQAAwAUAAAAA&#10;">
              <v:fill on="f" focussize="0,0"/>
              <v:stroke on="f" weight="0.5pt"/>
              <v:imagedata o:title=""/>
              <o:lock v:ext="edit" aspectratio="f"/>
              <v:textbox inset="0mm,0mm,0mm,0mm" style="mso-fit-shape-to-text:t;">
                <w:txbxContent>
                  <w:p w14:paraId="32134E92">
                    <w:pPr>
                      <w:pStyle w:val="17"/>
                    </w:pPr>
                    <w:r>
                      <w:fldChar w:fldCharType="begin"/>
                    </w:r>
                    <w:r>
                      <w:instrText xml:space="preserve"> PAGE  \* MERGEFORMAT </w:instrText>
                    </w:r>
                    <w:r>
                      <w:fldChar w:fldCharType="separate"/>
                    </w:r>
                    <w:r>
                      <w:t>II</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0C9C1B">
    <w:pPr>
      <w:pStyle w:val="17"/>
      <w:jc w:val="center"/>
      <w:rPr>
        <w:rFonts w:eastAsia="仿宋_GB2312"/>
        <w:sz w:val="24"/>
      </w:rPr>
    </w:pP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20650" cy="154940"/>
              <wp:effectExtent l="0" t="0" r="0" b="0"/>
              <wp:wrapNone/>
              <wp:docPr id="4" name="Text Box 3"/>
              <wp:cNvGraphicFramePr/>
              <a:graphic xmlns:a="http://schemas.openxmlformats.org/drawingml/2006/main">
                <a:graphicData uri="http://schemas.microsoft.com/office/word/2010/wordprocessingShape">
                  <wps:wsp>
                    <wps:cNvSpPr txBox="1">
                      <a:spLocks noChangeArrowheads="1"/>
                    </wps:cNvSpPr>
                    <wps:spPr bwMode="auto">
                      <a:xfrm>
                        <a:off x="0" y="0"/>
                        <a:ext cx="120650" cy="154940"/>
                      </a:xfrm>
                      <a:prstGeom prst="rect">
                        <a:avLst/>
                      </a:prstGeom>
                      <a:noFill/>
                      <a:ln>
                        <a:noFill/>
                      </a:ln>
                    </wps:spPr>
                    <wps:txbx>
                      <w:txbxContent>
                        <w:p w14:paraId="11C0CFD7">
                          <w:pPr>
                            <w:pStyle w:val="17"/>
                            <w:jc w:val="center"/>
                          </w:pPr>
                          <w:r>
                            <w:rPr>
                              <w:rFonts w:eastAsia="仿宋_GB2312"/>
                            </w:rPr>
                            <w:fldChar w:fldCharType="begin"/>
                          </w:r>
                          <w:r>
                            <w:rPr>
                              <w:rFonts w:eastAsia="仿宋_GB2312"/>
                            </w:rPr>
                            <w:instrText xml:space="preserve"> PAGE  \* MERGEFORMAT </w:instrText>
                          </w:r>
                          <w:r>
                            <w:rPr>
                              <w:rFonts w:eastAsia="仿宋_GB2312"/>
                            </w:rPr>
                            <w:fldChar w:fldCharType="separate"/>
                          </w:r>
                          <w:r>
                            <w:rPr>
                              <w:rFonts w:ascii="等线" w:hAnsi="等线"/>
                            </w:rPr>
                            <w:t>33</w:t>
                          </w:r>
                          <w:r>
                            <w:rPr>
                              <w:rFonts w:eastAsia="仿宋_GB2312"/>
                            </w:rPr>
                            <w:fldChar w:fldCharType="end"/>
                          </w:r>
                        </w:p>
                      </w:txbxContent>
                    </wps:txbx>
                    <wps:bodyPr rot="0" vert="horz" wrap="none" lIns="0" tIns="0" rIns="0" bIns="0" anchor="t" anchorCtr="0" upright="1">
                      <a:spAutoFit/>
                    </wps:bodyPr>
                  </wps:wsp>
                </a:graphicData>
              </a:graphic>
            </wp:anchor>
          </w:drawing>
        </mc:Choice>
        <mc:Fallback>
          <w:pict>
            <v:shape id="Text Box 3" o:spid="_x0000_s1026" o:spt="202" type="#_x0000_t202" style="position:absolute;left:0pt;margin-top:0pt;height:12.2pt;width:9.5pt;mso-position-horizontal:center;mso-position-horizontal-relative:margin;mso-wrap-style:none;z-index:251662336;mso-width-relative:page;mso-height-relative:page;" filled="f" stroked="f" coordsize="21600,21600" o:gfxdata="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7278y9AAAAADAQAADwAAAAAAAAABACAAAAAiAAAAZHJzL2Rvd25yZXYueG1sUEsBAhQA&#10;FAAAAAgAh07iQI/g0mv6AQAAAQQAAA4AAAAAAAAAAQAgAAAAHwEAAGRycy9lMm9Eb2MueG1sUEsF&#10;BgAAAAAGAAYAWQEAAIsFAAAAAA==&#10;">
              <v:fill on="f" focussize="0,0"/>
              <v:stroke on="f"/>
              <v:imagedata o:title=""/>
              <o:lock v:ext="edit" aspectratio="f"/>
              <v:textbox inset="0mm,0mm,0mm,0mm" style="mso-fit-shape-to-text:t;">
                <w:txbxContent>
                  <w:p w14:paraId="11C0CFD7">
                    <w:pPr>
                      <w:pStyle w:val="17"/>
                      <w:jc w:val="center"/>
                    </w:pPr>
                    <w:r>
                      <w:rPr>
                        <w:rFonts w:eastAsia="仿宋_GB2312"/>
                      </w:rPr>
                      <w:fldChar w:fldCharType="begin"/>
                    </w:r>
                    <w:r>
                      <w:rPr>
                        <w:rFonts w:eastAsia="仿宋_GB2312"/>
                      </w:rPr>
                      <w:instrText xml:space="preserve"> PAGE  \* MERGEFORMAT </w:instrText>
                    </w:r>
                    <w:r>
                      <w:rPr>
                        <w:rFonts w:eastAsia="仿宋_GB2312"/>
                      </w:rPr>
                      <w:fldChar w:fldCharType="separate"/>
                    </w:r>
                    <w:r>
                      <w:rPr>
                        <w:rFonts w:ascii="等线" w:hAnsi="等线"/>
                      </w:rPr>
                      <w:t>33</w:t>
                    </w:r>
                    <w:r>
                      <w:rPr>
                        <w:rFonts w:eastAsia="仿宋_GB2312"/>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BB0295">
    <w:pPr>
      <w:pStyle w:val="1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8836F6">
    <w:pPr>
      <w:pStyle w:val="17"/>
      <w:rPr>
        <w:rFonts w:eastAsia="仿宋_GB2312"/>
        <w:sz w:val="24"/>
      </w:rPr>
    </w:pPr>
    <w:r>
      <w:rPr>
        <w:sz w:val="24"/>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131445"/>
              <wp:effectExtent l="0" t="0" r="1270" b="0"/>
              <wp:wrapNone/>
              <wp:docPr id="3" name="文本框 1034"/>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14:paraId="4F5EB1E4">
                          <w:pPr>
                            <w:pStyle w:val="17"/>
                          </w:pPr>
                          <w:r>
                            <w:rPr>
                              <w:rFonts w:hint="eastAsia"/>
                            </w:rPr>
                            <w:fldChar w:fldCharType="begin"/>
                          </w:r>
                          <w:r>
                            <w:rPr>
                              <w:rFonts w:hint="eastAsia"/>
                            </w:rPr>
                            <w:instrText xml:space="preserve"> PAGE  \* MERGEFORMAT </w:instrText>
                          </w:r>
                          <w:r>
                            <w:rPr>
                              <w:rFonts w:hint="eastAsia"/>
                            </w:rPr>
                            <w:fldChar w:fldCharType="separate"/>
                          </w:r>
                          <w:r>
                            <w:t>94</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文本框 1034" o:spid="_x0000_s1026" o:spt="202" type="#_x0000_t202" style="position:absolute;left:0pt;margin-top:0pt;height:10.35pt;width:9.05pt;mso-position-horizontal:center;mso-position-horizontal-relative:margin;mso-wrap-style:none;z-index:251663360;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Q+V+SdAAAAADAQAADwAAAAAAAAABACAAAAAiAAAAZHJz&#10;L2Rvd25yZXYueG1sUEsBAhQAFAAAAAgAh07iQLT+ohUMAgAABQQAAA4AAAAAAAAAAQAgAAAAHwEA&#10;AGRycy9lMm9Eb2MueG1sUEsFBgAAAAAGAAYAWQEAAJ0FAAAAAA==&#10;">
              <v:fill on="f" focussize="0,0"/>
              <v:stroke on="f"/>
              <v:imagedata o:title=""/>
              <o:lock v:ext="edit" aspectratio="f"/>
              <v:textbox inset="0mm,0mm,0mm,0mm" style="mso-fit-shape-to-text:t;">
                <w:txbxContent>
                  <w:p w14:paraId="4F5EB1E4">
                    <w:pPr>
                      <w:pStyle w:val="17"/>
                    </w:pPr>
                    <w:r>
                      <w:rPr>
                        <w:rFonts w:hint="eastAsia"/>
                      </w:rPr>
                      <w:fldChar w:fldCharType="begin"/>
                    </w:r>
                    <w:r>
                      <w:rPr>
                        <w:rFonts w:hint="eastAsia"/>
                      </w:rPr>
                      <w:instrText xml:space="preserve"> PAGE  \* MERGEFORMAT </w:instrText>
                    </w:r>
                    <w:r>
                      <w:rPr>
                        <w:rFonts w:hint="eastAsia"/>
                      </w:rPr>
                      <w:fldChar w:fldCharType="separate"/>
                    </w:r>
                    <w:r>
                      <w:t>94</w:t>
                    </w:r>
                    <w:r>
                      <w:rPr>
                        <w:rFonts w:hint="eastAsi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00B2FB">
    <w:pPr>
      <w:pStyle w:val="17"/>
      <w:rPr>
        <w:rFonts w:eastAsia="仿宋_GB2312"/>
        <w:sz w:val="24"/>
      </w:rPr>
    </w:pPr>
    <w:r>
      <w:rPr>
        <w:sz w:val="24"/>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4935" cy="131445"/>
              <wp:effectExtent l="0" t="0" r="1270" b="0"/>
              <wp:wrapNone/>
              <wp:docPr id="1" name="Text Box 5"/>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14:paraId="00960606">
                          <w:pPr>
                            <w:pStyle w:val="17"/>
                          </w:pPr>
                          <w:r>
                            <w:rPr>
                              <w:rFonts w:hint="eastAsia"/>
                            </w:rPr>
                            <w:fldChar w:fldCharType="begin"/>
                          </w:r>
                          <w:r>
                            <w:rPr>
                              <w:rFonts w:hint="eastAsia"/>
                            </w:rPr>
                            <w:instrText xml:space="preserve"> PAGE  \* MERGEFORMAT </w:instrText>
                          </w:r>
                          <w:r>
                            <w:rPr>
                              <w:rFonts w:hint="eastAsia"/>
                            </w:rPr>
                            <w:fldChar w:fldCharType="separate"/>
                          </w:r>
                          <w:r>
                            <w:t>96</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Text Box 5" o:spid="_x0000_s1026" o:spt="202" type="#_x0000_t202" style="position:absolute;left:0pt;margin-top:0pt;height:10.35pt;width:9.05pt;mso-position-horizontal:center;mso-position-horizontal-relative:margin;mso-wrap-style:none;z-index:25166438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BD5X5J0AAAAAMBAAAPAAAAAAAAAAEAIAAAACIAAABkcnMvZG93bnJldi54bWxQSwECFAAU&#10;AAAACACHTuJAod+WffkBAAABBAAADgAAAAAAAAABACAAAAAfAQAAZHJzL2Uyb0RvYy54bWxQSwUG&#10;AAAAAAYABgBZAQAAigUAAAAA&#10;">
              <v:fill on="f" focussize="0,0"/>
              <v:stroke on="f"/>
              <v:imagedata o:title=""/>
              <o:lock v:ext="edit" aspectratio="f"/>
              <v:textbox inset="0mm,0mm,0mm,0mm" style="mso-fit-shape-to-text:t;">
                <w:txbxContent>
                  <w:p w14:paraId="00960606">
                    <w:pPr>
                      <w:pStyle w:val="17"/>
                    </w:pPr>
                    <w:r>
                      <w:rPr>
                        <w:rFonts w:hint="eastAsia"/>
                      </w:rPr>
                      <w:fldChar w:fldCharType="begin"/>
                    </w:r>
                    <w:r>
                      <w:rPr>
                        <w:rFonts w:hint="eastAsia"/>
                      </w:rPr>
                      <w:instrText xml:space="preserve"> PAGE  \* MERGEFORMAT </w:instrText>
                    </w:r>
                    <w:r>
                      <w:rPr>
                        <w:rFonts w:hint="eastAsia"/>
                      </w:rPr>
                      <w:fldChar w:fldCharType="separate"/>
                    </w:r>
                    <w:r>
                      <w:t>96</w:t>
                    </w:r>
                    <w:r>
                      <w:rPr>
                        <w:rFonts w:hint="eastAsia"/>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88CFCA">
    <w:pPr>
      <w:pStyle w:val="1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67640" cy="131445"/>
              <wp:effectExtent l="0" t="0" r="0" b="0"/>
              <wp:wrapNone/>
              <wp:docPr id="2" name="文本框 2"/>
              <wp:cNvGraphicFramePr/>
              <a:graphic xmlns:a="http://schemas.openxmlformats.org/drawingml/2006/main">
                <a:graphicData uri="http://schemas.microsoft.com/office/word/2010/wordprocessingShape">
                  <wps:wsp>
                    <wps:cNvSpPr txBox="1"/>
                    <wps:spPr>
                      <a:xfrm>
                        <a:off x="0" y="0"/>
                        <a:ext cx="167640" cy="131445"/>
                      </a:xfrm>
                      <a:prstGeom prst="rect">
                        <a:avLst/>
                      </a:prstGeom>
                      <a:noFill/>
                      <a:ln w="6350">
                        <a:noFill/>
                      </a:ln>
                    </wps:spPr>
                    <wps:txbx>
                      <w:txbxContent>
                        <w:p w14:paraId="3701FCCC">
                          <w:pPr>
                            <w:pStyle w:val="17"/>
                          </w:pPr>
                          <w:r>
                            <w:fldChar w:fldCharType="begin"/>
                          </w:r>
                          <w:r>
                            <w:instrText xml:space="preserve"> PAGE  \* MERGEFORMAT </w:instrText>
                          </w:r>
                          <w:r>
                            <w:fldChar w:fldCharType="separate"/>
                          </w:r>
                          <w:r>
                            <w:t>98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0.35pt;width:13.2pt;mso-position-horizontal:center;mso-position-horizontal-relative:margin;mso-wrap-style:none;z-index:251659264;mso-width-relative:page;mso-height-relative:page;" filled="f" stroked="f" coordsize="21600,21600" o:gfxdata="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Gsht9fRAAAAAwEAAA8AAAAAAAAAAQAgAAAAIgAAAGRycy9kb3ducmV2LnhtbFBLAQIUABQA&#10;AAAIAIdO4kDJBMYsMAIAAFMEAAAOAAAAAAAAAAEAIAAAACABAABkcnMvZTJvRG9jLnhtbFBLBQYA&#10;AAAABgAGAFkBAADCBQAAAAA=&#10;">
              <v:fill on="f" focussize="0,0"/>
              <v:stroke on="f" weight="0.5pt"/>
              <v:imagedata o:title=""/>
              <o:lock v:ext="edit" aspectratio="f"/>
              <v:textbox inset="0mm,0mm,0mm,0mm" style="mso-fit-shape-to-text:t;">
                <w:txbxContent>
                  <w:p w14:paraId="3701FCCC">
                    <w:pPr>
                      <w:pStyle w:val="17"/>
                    </w:pPr>
                    <w:r>
                      <w:fldChar w:fldCharType="begin"/>
                    </w:r>
                    <w:r>
                      <w:instrText xml:space="preserve"> PAGE  \* MERGEFORMAT </w:instrText>
                    </w:r>
                    <w:r>
                      <w:fldChar w:fldCharType="separate"/>
                    </w:r>
                    <w:r>
                      <w:t>98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67C0A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4CF58C"/>
    <w:multiLevelType w:val="singleLevel"/>
    <w:tmpl w:val="BB4CF58C"/>
    <w:lvl w:ilvl="0" w:tentative="0">
      <w:start w:val="2"/>
      <w:numFmt w:val="decimal"/>
      <w:suff w:val="nothing"/>
      <w:lvlText w:val="（%1）"/>
      <w:lvlJc w:val="left"/>
    </w:lvl>
  </w:abstractNum>
  <w:abstractNum w:abstractNumId="1">
    <w:nsid w:val="C121E8FF"/>
    <w:multiLevelType w:val="singleLevel"/>
    <w:tmpl w:val="C121E8FF"/>
    <w:lvl w:ilvl="0" w:tentative="0">
      <w:start w:val="5"/>
      <w:numFmt w:val="chineseCounting"/>
      <w:suff w:val="space"/>
      <w:lvlText w:val="第%1章"/>
      <w:lvlJc w:val="left"/>
      <w:rPr>
        <w:rFonts w:hint="eastAsia"/>
      </w:rPr>
    </w:lvl>
  </w:abstractNum>
  <w:abstractNum w:abstractNumId="2">
    <w:nsid w:val="00000006"/>
    <w:multiLevelType w:val="singleLevel"/>
    <w:tmpl w:val="00000006"/>
    <w:lvl w:ilvl="0" w:tentative="0">
      <w:start w:val="1"/>
      <w:numFmt w:val="decimal"/>
      <w:suff w:val="nothing"/>
      <w:lvlText w:val="（%1）"/>
      <w:lvlJc w:val="left"/>
    </w:lvl>
  </w:abstractNum>
  <w:abstractNum w:abstractNumId="3">
    <w:nsid w:val="0B718A63"/>
    <w:multiLevelType w:val="singleLevel"/>
    <w:tmpl w:val="0B718A63"/>
    <w:lvl w:ilvl="0" w:tentative="0">
      <w:start w:val="7"/>
      <w:numFmt w:val="decimal"/>
      <w:suff w:val="nothing"/>
      <w:lvlText w:val="%1、"/>
      <w:lvlJc w:val="left"/>
    </w:lvl>
  </w:abstractNum>
  <w:abstractNum w:abstractNumId="4">
    <w:nsid w:val="66F65CAC"/>
    <w:multiLevelType w:val="singleLevel"/>
    <w:tmpl w:val="66F65CAC"/>
    <w:lvl w:ilvl="0" w:tentative="0">
      <w:start w:val="1"/>
      <w:numFmt w:val="chineseCounting"/>
      <w:suff w:val="space"/>
      <w:lvlText w:val="第%1章"/>
      <w:lvlJc w:val="left"/>
      <w:rPr>
        <w:rFonts w:hint="eastAsia"/>
      </w:rPr>
    </w:lvl>
  </w:abstractNum>
  <w:abstractNum w:abstractNumId="5">
    <w:nsid w:val="67E0B274"/>
    <w:multiLevelType w:val="singleLevel"/>
    <w:tmpl w:val="67E0B274"/>
    <w:lvl w:ilvl="0" w:tentative="0">
      <w:start w:val="18"/>
      <w:numFmt w:val="decimal"/>
      <w:suff w:val="nothing"/>
      <w:lvlText w:val="%1、"/>
      <w:lvlJc w:val="left"/>
    </w:lvl>
  </w:abstractNum>
  <w:abstractNum w:abstractNumId="6">
    <w:nsid w:val="6A98117E"/>
    <w:multiLevelType w:val="multilevel"/>
    <w:tmpl w:val="6A98117E"/>
    <w:lvl w:ilvl="0" w:tentative="0">
      <w:start w:val="1"/>
      <w:numFmt w:val="chineseCounting"/>
      <w:suff w:val="space"/>
      <w:lvlText w:val="第%1章"/>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6BFB483A"/>
    <w:multiLevelType w:val="multilevel"/>
    <w:tmpl w:val="6BFB483A"/>
    <w:lvl w:ilvl="0" w:tentative="0">
      <w:start w:val="12"/>
      <w:numFmt w:val="decimal"/>
      <w:lvlText w:val="%1"/>
      <w:lvlJc w:val="left"/>
      <w:pPr>
        <w:ind w:left="630" w:hanging="630"/>
      </w:pPr>
      <w:rPr>
        <w:rFonts w:hint="default"/>
      </w:rPr>
    </w:lvl>
    <w:lvl w:ilvl="1" w:tentative="0">
      <w:start w:val="3"/>
      <w:numFmt w:val="decimal"/>
      <w:lvlText w:val="%1.%2"/>
      <w:lvlJc w:val="left"/>
      <w:pPr>
        <w:ind w:left="840" w:hanging="630"/>
      </w:pPr>
      <w:rPr>
        <w:rFonts w:hint="default"/>
      </w:rPr>
    </w:lvl>
    <w:lvl w:ilvl="2" w:tentative="0">
      <w:start w:val="1"/>
      <w:numFmt w:val="decimal"/>
      <w:lvlText w:val="%1.%2.%3"/>
      <w:lvlJc w:val="left"/>
      <w:pPr>
        <w:ind w:left="1140" w:hanging="720"/>
      </w:pPr>
      <w:rPr>
        <w:rFonts w:hint="default"/>
      </w:rPr>
    </w:lvl>
    <w:lvl w:ilvl="3" w:tentative="0">
      <w:start w:val="1"/>
      <w:numFmt w:val="decimal"/>
      <w:lvlText w:val="%1.%2.%3.%4"/>
      <w:lvlJc w:val="left"/>
      <w:pPr>
        <w:ind w:left="1710" w:hanging="1080"/>
      </w:pPr>
      <w:rPr>
        <w:rFonts w:hint="default"/>
      </w:rPr>
    </w:lvl>
    <w:lvl w:ilvl="4" w:tentative="0">
      <w:start w:val="1"/>
      <w:numFmt w:val="decimal"/>
      <w:lvlText w:val="%1.%2.%3.%4.%5"/>
      <w:lvlJc w:val="left"/>
      <w:pPr>
        <w:ind w:left="1920" w:hanging="1080"/>
      </w:pPr>
      <w:rPr>
        <w:rFonts w:hint="default"/>
      </w:rPr>
    </w:lvl>
    <w:lvl w:ilvl="5" w:tentative="0">
      <w:start w:val="1"/>
      <w:numFmt w:val="decimal"/>
      <w:lvlText w:val="%1.%2.%3.%4.%5.%6"/>
      <w:lvlJc w:val="left"/>
      <w:pPr>
        <w:ind w:left="2490" w:hanging="1440"/>
      </w:pPr>
      <w:rPr>
        <w:rFonts w:hint="default"/>
      </w:rPr>
    </w:lvl>
    <w:lvl w:ilvl="6" w:tentative="0">
      <w:start w:val="1"/>
      <w:numFmt w:val="decimal"/>
      <w:lvlText w:val="%1.%2.%3.%4.%5.%6.%7"/>
      <w:lvlJc w:val="left"/>
      <w:pPr>
        <w:ind w:left="2700" w:hanging="1440"/>
      </w:pPr>
      <w:rPr>
        <w:rFonts w:hint="default"/>
      </w:rPr>
    </w:lvl>
    <w:lvl w:ilvl="7" w:tentative="0">
      <w:start w:val="1"/>
      <w:numFmt w:val="decimal"/>
      <w:lvlText w:val="%1.%2.%3.%4.%5.%6.%7.%8"/>
      <w:lvlJc w:val="left"/>
      <w:pPr>
        <w:ind w:left="3270" w:hanging="1800"/>
      </w:pPr>
      <w:rPr>
        <w:rFonts w:hint="default"/>
      </w:rPr>
    </w:lvl>
    <w:lvl w:ilvl="8" w:tentative="0">
      <w:start w:val="1"/>
      <w:numFmt w:val="decimal"/>
      <w:lvlText w:val="%1.%2.%3.%4.%5.%6.%7.%8.%9"/>
      <w:lvlJc w:val="left"/>
      <w:pPr>
        <w:ind w:left="3480" w:hanging="1800"/>
      </w:pPr>
      <w:rPr>
        <w:rFonts w:hint="default"/>
      </w:rPr>
    </w:lvl>
  </w:abstractNum>
  <w:abstractNum w:abstractNumId="8">
    <w:nsid w:val="796769D0"/>
    <w:multiLevelType w:val="singleLevel"/>
    <w:tmpl w:val="796769D0"/>
    <w:lvl w:ilvl="0" w:tentative="0">
      <w:start w:val="5"/>
      <w:numFmt w:val="decimal"/>
      <w:suff w:val="nothing"/>
      <w:lvlText w:val="%1、"/>
      <w:lvlJc w:val="left"/>
    </w:lvl>
  </w:abstractNum>
  <w:num w:numId="1">
    <w:abstractNumId w:val="4"/>
  </w:num>
  <w:num w:numId="2">
    <w:abstractNumId w:val="1"/>
  </w:num>
  <w:num w:numId="3">
    <w:abstractNumId w:val="0"/>
  </w:num>
  <w:num w:numId="4">
    <w:abstractNumId w:val="2"/>
  </w:num>
  <w:num w:numId="5">
    <w:abstractNumId w:val="7"/>
  </w:num>
  <w:num w:numId="6">
    <w:abstractNumId w:val="8"/>
  </w:num>
  <w:num w:numId="7">
    <w:abstractNumId w:val="3"/>
  </w:num>
  <w:num w:numId="8">
    <w:abstractNumId w:val="6"/>
    <w:lvlOverride w:ilvl="0">
      <w:startOverride w:val="1"/>
    </w:lvlOverride>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hideSpellingError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I0MDViNjgyYWYzMjQwNjg0NDY3MDg4MjQxYWQ2N2MifQ=="/>
  </w:docVars>
  <w:rsids>
    <w:rsidRoot w:val="00D23D6A"/>
    <w:rsid w:val="00024DEA"/>
    <w:rsid w:val="00030198"/>
    <w:rsid w:val="00032103"/>
    <w:rsid w:val="000326EE"/>
    <w:rsid w:val="00032C58"/>
    <w:rsid w:val="00035D3B"/>
    <w:rsid w:val="00043470"/>
    <w:rsid w:val="00046C8A"/>
    <w:rsid w:val="00052A18"/>
    <w:rsid w:val="00052FBF"/>
    <w:rsid w:val="00064C1A"/>
    <w:rsid w:val="00070196"/>
    <w:rsid w:val="00070C05"/>
    <w:rsid w:val="0007546C"/>
    <w:rsid w:val="00084D8D"/>
    <w:rsid w:val="000862C5"/>
    <w:rsid w:val="000A3EB6"/>
    <w:rsid w:val="000A608A"/>
    <w:rsid w:val="000F4F80"/>
    <w:rsid w:val="000F52EB"/>
    <w:rsid w:val="00103200"/>
    <w:rsid w:val="0011137D"/>
    <w:rsid w:val="00121473"/>
    <w:rsid w:val="001218F8"/>
    <w:rsid w:val="00132A9F"/>
    <w:rsid w:val="00136E4B"/>
    <w:rsid w:val="00167D7D"/>
    <w:rsid w:val="001745B2"/>
    <w:rsid w:val="001B1942"/>
    <w:rsid w:val="001B7243"/>
    <w:rsid w:val="001C64C9"/>
    <w:rsid w:val="001F1D9D"/>
    <w:rsid w:val="002064FB"/>
    <w:rsid w:val="002124D0"/>
    <w:rsid w:val="00230B55"/>
    <w:rsid w:val="002500BC"/>
    <w:rsid w:val="00260FE2"/>
    <w:rsid w:val="00267875"/>
    <w:rsid w:val="0029553D"/>
    <w:rsid w:val="00295732"/>
    <w:rsid w:val="00297703"/>
    <w:rsid w:val="002C126E"/>
    <w:rsid w:val="002E1B53"/>
    <w:rsid w:val="002F0F48"/>
    <w:rsid w:val="00302C55"/>
    <w:rsid w:val="00311C89"/>
    <w:rsid w:val="00314F5E"/>
    <w:rsid w:val="00317957"/>
    <w:rsid w:val="00324135"/>
    <w:rsid w:val="0033227C"/>
    <w:rsid w:val="003408F8"/>
    <w:rsid w:val="00352C99"/>
    <w:rsid w:val="003602D4"/>
    <w:rsid w:val="003647CE"/>
    <w:rsid w:val="00375B15"/>
    <w:rsid w:val="003775E9"/>
    <w:rsid w:val="003918C6"/>
    <w:rsid w:val="0039233C"/>
    <w:rsid w:val="00397893"/>
    <w:rsid w:val="003B67E0"/>
    <w:rsid w:val="003D5BCD"/>
    <w:rsid w:val="003E339B"/>
    <w:rsid w:val="003F15F9"/>
    <w:rsid w:val="003F21AA"/>
    <w:rsid w:val="003F2A36"/>
    <w:rsid w:val="00442DCF"/>
    <w:rsid w:val="00454D9B"/>
    <w:rsid w:val="00466B1D"/>
    <w:rsid w:val="00487FBC"/>
    <w:rsid w:val="004A531B"/>
    <w:rsid w:val="004B71CE"/>
    <w:rsid w:val="004B78DD"/>
    <w:rsid w:val="004C270B"/>
    <w:rsid w:val="004E593A"/>
    <w:rsid w:val="004E5D5D"/>
    <w:rsid w:val="004F22EE"/>
    <w:rsid w:val="004F2334"/>
    <w:rsid w:val="004F64CE"/>
    <w:rsid w:val="00504901"/>
    <w:rsid w:val="005137B2"/>
    <w:rsid w:val="005217B4"/>
    <w:rsid w:val="005367C1"/>
    <w:rsid w:val="00537F42"/>
    <w:rsid w:val="00543E11"/>
    <w:rsid w:val="005467A1"/>
    <w:rsid w:val="00546AF3"/>
    <w:rsid w:val="005470D2"/>
    <w:rsid w:val="00553336"/>
    <w:rsid w:val="00554085"/>
    <w:rsid w:val="00575707"/>
    <w:rsid w:val="00592A84"/>
    <w:rsid w:val="00597782"/>
    <w:rsid w:val="005A725E"/>
    <w:rsid w:val="005C065F"/>
    <w:rsid w:val="005C5A4A"/>
    <w:rsid w:val="006118BD"/>
    <w:rsid w:val="006129B3"/>
    <w:rsid w:val="00615C04"/>
    <w:rsid w:val="00656E35"/>
    <w:rsid w:val="006709AD"/>
    <w:rsid w:val="00672D4D"/>
    <w:rsid w:val="006A1B46"/>
    <w:rsid w:val="006A34DC"/>
    <w:rsid w:val="006B16CA"/>
    <w:rsid w:val="006F2AAB"/>
    <w:rsid w:val="006F3726"/>
    <w:rsid w:val="006F4F78"/>
    <w:rsid w:val="007162A5"/>
    <w:rsid w:val="00725D8C"/>
    <w:rsid w:val="007377D1"/>
    <w:rsid w:val="00745125"/>
    <w:rsid w:val="00765984"/>
    <w:rsid w:val="00774411"/>
    <w:rsid w:val="0078149A"/>
    <w:rsid w:val="00781C38"/>
    <w:rsid w:val="007905C2"/>
    <w:rsid w:val="00796DBD"/>
    <w:rsid w:val="007A518B"/>
    <w:rsid w:val="007B4774"/>
    <w:rsid w:val="007C7458"/>
    <w:rsid w:val="007E31BA"/>
    <w:rsid w:val="007E4388"/>
    <w:rsid w:val="00815A13"/>
    <w:rsid w:val="0082445F"/>
    <w:rsid w:val="00827F2A"/>
    <w:rsid w:val="00827FF3"/>
    <w:rsid w:val="008A5A28"/>
    <w:rsid w:val="008B001F"/>
    <w:rsid w:val="008C0CC7"/>
    <w:rsid w:val="008C2C34"/>
    <w:rsid w:val="008D5528"/>
    <w:rsid w:val="008F10BF"/>
    <w:rsid w:val="00910718"/>
    <w:rsid w:val="00911CED"/>
    <w:rsid w:val="00933CC3"/>
    <w:rsid w:val="00952CCD"/>
    <w:rsid w:val="00955381"/>
    <w:rsid w:val="00966CC3"/>
    <w:rsid w:val="00980911"/>
    <w:rsid w:val="0099539E"/>
    <w:rsid w:val="009A2B6C"/>
    <w:rsid w:val="009A3182"/>
    <w:rsid w:val="009A59F9"/>
    <w:rsid w:val="009B0556"/>
    <w:rsid w:val="009B26A1"/>
    <w:rsid w:val="009B2D5D"/>
    <w:rsid w:val="009C13CD"/>
    <w:rsid w:val="009C7E88"/>
    <w:rsid w:val="009D1964"/>
    <w:rsid w:val="009D30AF"/>
    <w:rsid w:val="00A00E8D"/>
    <w:rsid w:val="00A106B7"/>
    <w:rsid w:val="00A31ACC"/>
    <w:rsid w:val="00A37580"/>
    <w:rsid w:val="00A376FD"/>
    <w:rsid w:val="00A438E2"/>
    <w:rsid w:val="00A64E2C"/>
    <w:rsid w:val="00A72A80"/>
    <w:rsid w:val="00AA0350"/>
    <w:rsid w:val="00AB4783"/>
    <w:rsid w:val="00AB6B5C"/>
    <w:rsid w:val="00AB6F3E"/>
    <w:rsid w:val="00AD03C4"/>
    <w:rsid w:val="00AD156C"/>
    <w:rsid w:val="00AD294E"/>
    <w:rsid w:val="00AD558A"/>
    <w:rsid w:val="00AE5CED"/>
    <w:rsid w:val="00AE5FD9"/>
    <w:rsid w:val="00AF07F5"/>
    <w:rsid w:val="00AF198E"/>
    <w:rsid w:val="00AF5C0B"/>
    <w:rsid w:val="00B2178B"/>
    <w:rsid w:val="00B24A3D"/>
    <w:rsid w:val="00B256D5"/>
    <w:rsid w:val="00B43FE9"/>
    <w:rsid w:val="00B83FF9"/>
    <w:rsid w:val="00B92C2E"/>
    <w:rsid w:val="00BC4B56"/>
    <w:rsid w:val="00BC5BEF"/>
    <w:rsid w:val="00BC7BB8"/>
    <w:rsid w:val="00BD534A"/>
    <w:rsid w:val="00BF10BD"/>
    <w:rsid w:val="00BF3A1C"/>
    <w:rsid w:val="00BF6D80"/>
    <w:rsid w:val="00C021EE"/>
    <w:rsid w:val="00C14DE6"/>
    <w:rsid w:val="00C15E10"/>
    <w:rsid w:val="00C2388D"/>
    <w:rsid w:val="00C23EB5"/>
    <w:rsid w:val="00C50EE1"/>
    <w:rsid w:val="00C51E14"/>
    <w:rsid w:val="00C6196D"/>
    <w:rsid w:val="00C63191"/>
    <w:rsid w:val="00C70D7E"/>
    <w:rsid w:val="00C76390"/>
    <w:rsid w:val="00C80314"/>
    <w:rsid w:val="00C81BEF"/>
    <w:rsid w:val="00C822E5"/>
    <w:rsid w:val="00CA68D6"/>
    <w:rsid w:val="00CB6D82"/>
    <w:rsid w:val="00CB6D8F"/>
    <w:rsid w:val="00CC2613"/>
    <w:rsid w:val="00CD4295"/>
    <w:rsid w:val="00D00023"/>
    <w:rsid w:val="00D00B93"/>
    <w:rsid w:val="00D01A44"/>
    <w:rsid w:val="00D23D6A"/>
    <w:rsid w:val="00D31234"/>
    <w:rsid w:val="00D46CDE"/>
    <w:rsid w:val="00D60607"/>
    <w:rsid w:val="00D61EEB"/>
    <w:rsid w:val="00D72633"/>
    <w:rsid w:val="00D85F19"/>
    <w:rsid w:val="00DB510B"/>
    <w:rsid w:val="00DB7AEC"/>
    <w:rsid w:val="00DD1F1B"/>
    <w:rsid w:val="00DD36C0"/>
    <w:rsid w:val="00DD77CB"/>
    <w:rsid w:val="00DF69E0"/>
    <w:rsid w:val="00E20F3A"/>
    <w:rsid w:val="00E5346C"/>
    <w:rsid w:val="00E668C2"/>
    <w:rsid w:val="00E73541"/>
    <w:rsid w:val="00E77EE0"/>
    <w:rsid w:val="00E82CB2"/>
    <w:rsid w:val="00E854A6"/>
    <w:rsid w:val="00E87062"/>
    <w:rsid w:val="00EA027E"/>
    <w:rsid w:val="00EB2DAA"/>
    <w:rsid w:val="00EC33FF"/>
    <w:rsid w:val="00EC5237"/>
    <w:rsid w:val="00EC585A"/>
    <w:rsid w:val="00EC762D"/>
    <w:rsid w:val="00EF7FA7"/>
    <w:rsid w:val="00F01AF8"/>
    <w:rsid w:val="00F032DC"/>
    <w:rsid w:val="00F04CCD"/>
    <w:rsid w:val="00F124F7"/>
    <w:rsid w:val="00F32F41"/>
    <w:rsid w:val="00F502AC"/>
    <w:rsid w:val="00F809C6"/>
    <w:rsid w:val="00F84CDC"/>
    <w:rsid w:val="00F9480F"/>
    <w:rsid w:val="00F9506C"/>
    <w:rsid w:val="00FA0055"/>
    <w:rsid w:val="00FB749C"/>
    <w:rsid w:val="00FC59FD"/>
    <w:rsid w:val="00FD6B98"/>
    <w:rsid w:val="00FE37AF"/>
    <w:rsid w:val="00FF2C86"/>
    <w:rsid w:val="011C626C"/>
    <w:rsid w:val="01395070"/>
    <w:rsid w:val="015F1B0A"/>
    <w:rsid w:val="015F4875"/>
    <w:rsid w:val="016C7502"/>
    <w:rsid w:val="01746443"/>
    <w:rsid w:val="01890F61"/>
    <w:rsid w:val="01F84C35"/>
    <w:rsid w:val="020531A4"/>
    <w:rsid w:val="02136B65"/>
    <w:rsid w:val="02215BCC"/>
    <w:rsid w:val="0224478C"/>
    <w:rsid w:val="02647BAC"/>
    <w:rsid w:val="02847189"/>
    <w:rsid w:val="02B95509"/>
    <w:rsid w:val="030E2DC6"/>
    <w:rsid w:val="031D18EA"/>
    <w:rsid w:val="03336734"/>
    <w:rsid w:val="033755DF"/>
    <w:rsid w:val="03630DA1"/>
    <w:rsid w:val="03816D4F"/>
    <w:rsid w:val="03BE360A"/>
    <w:rsid w:val="03DE1667"/>
    <w:rsid w:val="03F71766"/>
    <w:rsid w:val="040C11B5"/>
    <w:rsid w:val="041C3C02"/>
    <w:rsid w:val="051031AE"/>
    <w:rsid w:val="067A5F0E"/>
    <w:rsid w:val="06B546AC"/>
    <w:rsid w:val="06B93739"/>
    <w:rsid w:val="071519D8"/>
    <w:rsid w:val="071969AC"/>
    <w:rsid w:val="07275319"/>
    <w:rsid w:val="07500A1D"/>
    <w:rsid w:val="07DA32E3"/>
    <w:rsid w:val="08127815"/>
    <w:rsid w:val="082306F6"/>
    <w:rsid w:val="086064DD"/>
    <w:rsid w:val="086149B2"/>
    <w:rsid w:val="08657FAC"/>
    <w:rsid w:val="086A479A"/>
    <w:rsid w:val="089C3B22"/>
    <w:rsid w:val="094C4459"/>
    <w:rsid w:val="095F661F"/>
    <w:rsid w:val="09B75425"/>
    <w:rsid w:val="09C556F2"/>
    <w:rsid w:val="09F32AE6"/>
    <w:rsid w:val="0A5A448A"/>
    <w:rsid w:val="0A5D5D15"/>
    <w:rsid w:val="0A72300E"/>
    <w:rsid w:val="0A8D383F"/>
    <w:rsid w:val="0A9C561E"/>
    <w:rsid w:val="0ADF7F32"/>
    <w:rsid w:val="0AE6199B"/>
    <w:rsid w:val="0B021265"/>
    <w:rsid w:val="0B1C26A3"/>
    <w:rsid w:val="0B3412A4"/>
    <w:rsid w:val="0B8B296C"/>
    <w:rsid w:val="0BC72DA3"/>
    <w:rsid w:val="0C51320A"/>
    <w:rsid w:val="0C515EF1"/>
    <w:rsid w:val="0D1D167E"/>
    <w:rsid w:val="0D3D7C96"/>
    <w:rsid w:val="0D5176CC"/>
    <w:rsid w:val="0D887163"/>
    <w:rsid w:val="0DDA7292"/>
    <w:rsid w:val="0DDB40CB"/>
    <w:rsid w:val="0E303442"/>
    <w:rsid w:val="0E3A5EAE"/>
    <w:rsid w:val="0E5D59EE"/>
    <w:rsid w:val="0E6C4242"/>
    <w:rsid w:val="0EDC3E72"/>
    <w:rsid w:val="0EED3154"/>
    <w:rsid w:val="0F0669D4"/>
    <w:rsid w:val="0F081AE0"/>
    <w:rsid w:val="0F3D663A"/>
    <w:rsid w:val="0F687CF9"/>
    <w:rsid w:val="0F744163"/>
    <w:rsid w:val="0F93261C"/>
    <w:rsid w:val="0F981B0A"/>
    <w:rsid w:val="0FCF43F6"/>
    <w:rsid w:val="0FF54858"/>
    <w:rsid w:val="100C1C51"/>
    <w:rsid w:val="1045133B"/>
    <w:rsid w:val="10AD3E5C"/>
    <w:rsid w:val="10FC7BC2"/>
    <w:rsid w:val="110660A6"/>
    <w:rsid w:val="110D04BA"/>
    <w:rsid w:val="11E151B7"/>
    <w:rsid w:val="11FC1DF3"/>
    <w:rsid w:val="128D6512"/>
    <w:rsid w:val="12964D0E"/>
    <w:rsid w:val="12BD528D"/>
    <w:rsid w:val="12E17049"/>
    <w:rsid w:val="13054629"/>
    <w:rsid w:val="13287B56"/>
    <w:rsid w:val="133B4C77"/>
    <w:rsid w:val="13580BCE"/>
    <w:rsid w:val="13717EF5"/>
    <w:rsid w:val="137E5178"/>
    <w:rsid w:val="14075A09"/>
    <w:rsid w:val="14537D9F"/>
    <w:rsid w:val="147B0E21"/>
    <w:rsid w:val="14847F58"/>
    <w:rsid w:val="14851B53"/>
    <w:rsid w:val="14937EBF"/>
    <w:rsid w:val="14AC0A18"/>
    <w:rsid w:val="14D50B62"/>
    <w:rsid w:val="14E37374"/>
    <w:rsid w:val="14FB67DD"/>
    <w:rsid w:val="150174A7"/>
    <w:rsid w:val="1555358D"/>
    <w:rsid w:val="1577688C"/>
    <w:rsid w:val="15E06213"/>
    <w:rsid w:val="163076B7"/>
    <w:rsid w:val="166458E8"/>
    <w:rsid w:val="16730284"/>
    <w:rsid w:val="16A0750E"/>
    <w:rsid w:val="16BF34C9"/>
    <w:rsid w:val="16EF6C09"/>
    <w:rsid w:val="174C513A"/>
    <w:rsid w:val="177C0F09"/>
    <w:rsid w:val="17BC2A26"/>
    <w:rsid w:val="17C50FB3"/>
    <w:rsid w:val="17C61D1C"/>
    <w:rsid w:val="18047D2E"/>
    <w:rsid w:val="183F64D4"/>
    <w:rsid w:val="184F13F4"/>
    <w:rsid w:val="188F577C"/>
    <w:rsid w:val="18E57496"/>
    <w:rsid w:val="190A3122"/>
    <w:rsid w:val="196E49C7"/>
    <w:rsid w:val="197046A3"/>
    <w:rsid w:val="19C228B7"/>
    <w:rsid w:val="19D22110"/>
    <w:rsid w:val="19D45285"/>
    <w:rsid w:val="19E46802"/>
    <w:rsid w:val="19E85A85"/>
    <w:rsid w:val="19F53675"/>
    <w:rsid w:val="1A41745E"/>
    <w:rsid w:val="1A704A5B"/>
    <w:rsid w:val="1AEA2BF3"/>
    <w:rsid w:val="1B2B55D1"/>
    <w:rsid w:val="1B8D003A"/>
    <w:rsid w:val="1BE15B35"/>
    <w:rsid w:val="1C0105CA"/>
    <w:rsid w:val="1C167AE4"/>
    <w:rsid w:val="1C593B16"/>
    <w:rsid w:val="1C5F6EA1"/>
    <w:rsid w:val="1C6E39C8"/>
    <w:rsid w:val="1C7C2048"/>
    <w:rsid w:val="1CD633EC"/>
    <w:rsid w:val="1CFD0B75"/>
    <w:rsid w:val="1D0C2B83"/>
    <w:rsid w:val="1D3D4309"/>
    <w:rsid w:val="1D851A95"/>
    <w:rsid w:val="1D8C1FC6"/>
    <w:rsid w:val="1DC55ED8"/>
    <w:rsid w:val="1E0B06DC"/>
    <w:rsid w:val="1E1505E3"/>
    <w:rsid w:val="1E1E141D"/>
    <w:rsid w:val="1E214A6A"/>
    <w:rsid w:val="1E291AF4"/>
    <w:rsid w:val="1EF1137F"/>
    <w:rsid w:val="1F0119C9"/>
    <w:rsid w:val="1F3606B1"/>
    <w:rsid w:val="1F8958E8"/>
    <w:rsid w:val="1FDF7040"/>
    <w:rsid w:val="1FE74446"/>
    <w:rsid w:val="208C5217"/>
    <w:rsid w:val="20D47DF7"/>
    <w:rsid w:val="20EF7C8E"/>
    <w:rsid w:val="211F1734"/>
    <w:rsid w:val="216329E3"/>
    <w:rsid w:val="217B191A"/>
    <w:rsid w:val="21B47B32"/>
    <w:rsid w:val="21F273B2"/>
    <w:rsid w:val="22096CF9"/>
    <w:rsid w:val="222D4C46"/>
    <w:rsid w:val="22532154"/>
    <w:rsid w:val="226F628F"/>
    <w:rsid w:val="227502AE"/>
    <w:rsid w:val="22B17B39"/>
    <w:rsid w:val="23093CFD"/>
    <w:rsid w:val="2314439D"/>
    <w:rsid w:val="23203542"/>
    <w:rsid w:val="23B41832"/>
    <w:rsid w:val="23C95987"/>
    <w:rsid w:val="2474197B"/>
    <w:rsid w:val="24A2158D"/>
    <w:rsid w:val="24CA0594"/>
    <w:rsid w:val="253E5425"/>
    <w:rsid w:val="2551167A"/>
    <w:rsid w:val="259775DC"/>
    <w:rsid w:val="25C44396"/>
    <w:rsid w:val="26196B41"/>
    <w:rsid w:val="268E3277"/>
    <w:rsid w:val="26E145D8"/>
    <w:rsid w:val="272359E4"/>
    <w:rsid w:val="27777774"/>
    <w:rsid w:val="27811553"/>
    <w:rsid w:val="27A241B6"/>
    <w:rsid w:val="27A801EB"/>
    <w:rsid w:val="284A3118"/>
    <w:rsid w:val="28920D08"/>
    <w:rsid w:val="2901473B"/>
    <w:rsid w:val="2910047C"/>
    <w:rsid w:val="291165FF"/>
    <w:rsid w:val="2A257690"/>
    <w:rsid w:val="2A575678"/>
    <w:rsid w:val="2AB86E2B"/>
    <w:rsid w:val="2B1B10FF"/>
    <w:rsid w:val="2B62697D"/>
    <w:rsid w:val="2BF00715"/>
    <w:rsid w:val="2C0E2201"/>
    <w:rsid w:val="2C1F3FBC"/>
    <w:rsid w:val="2C2A71DF"/>
    <w:rsid w:val="2C515992"/>
    <w:rsid w:val="2C9254B0"/>
    <w:rsid w:val="2CA21912"/>
    <w:rsid w:val="2CF75313"/>
    <w:rsid w:val="2D726799"/>
    <w:rsid w:val="2D9E1C33"/>
    <w:rsid w:val="2DC5368D"/>
    <w:rsid w:val="2DCD5B93"/>
    <w:rsid w:val="2DE67AAF"/>
    <w:rsid w:val="2E177BB2"/>
    <w:rsid w:val="2E1A4EAB"/>
    <w:rsid w:val="2E7035CF"/>
    <w:rsid w:val="2F1702E9"/>
    <w:rsid w:val="2F311AF4"/>
    <w:rsid w:val="2F337F86"/>
    <w:rsid w:val="2F450F87"/>
    <w:rsid w:val="2F544B25"/>
    <w:rsid w:val="2F576F11"/>
    <w:rsid w:val="2F856001"/>
    <w:rsid w:val="2F861616"/>
    <w:rsid w:val="2F8E22F1"/>
    <w:rsid w:val="2FA74A26"/>
    <w:rsid w:val="2FA8323D"/>
    <w:rsid w:val="2FB344DB"/>
    <w:rsid w:val="30B33C47"/>
    <w:rsid w:val="30C145B6"/>
    <w:rsid w:val="30C954BC"/>
    <w:rsid w:val="30D32C78"/>
    <w:rsid w:val="310F212F"/>
    <w:rsid w:val="31346291"/>
    <w:rsid w:val="313F0059"/>
    <w:rsid w:val="315C4D8C"/>
    <w:rsid w:val="31750EFD"/>
    <w:rsid w:val="3199300C"/>
    <w:rsid w:val="31A23F7B"/>
    <w:rsid w:val="31BF5CA8"/>
    <w:rsid w:val="32100E8E"/>
    <w:rsid w:val="32102103"/>
    <w:rsid w:val="3262110E"/>
    <w:rsid w:val="3275099D"/>
    <w:rsid w:val="328945D8"/>
    <w:rsid w:val="328B1374"/>
    <w:rsid w:val="328D2D62"/>
    <w:rsid w:val="32D305D1"/>
    <w:rsid w:val="33005408"/>
    <w:rsid w:val="33260DF3"/>
    <w:rsid w:val="333C07D1"/>
    <w:rsid w:val="336743E3"/>
    <w:rsid w:val="337A3E72"/>
    <w:rsid w:val="33992634"/>
    <w:rsid w:val="33B67F0F"/>
    <w:rsid w:val="33FD3B57"/>
    <w:rsid w:val="340E4FF9"/>
    <w:rsid w:val="346236BF"/>
    <w:rsid w:val="3490635C"/>
    <w:rsid w:val="34E03976"/>
    <w:rsid w:val="34E46AC5"/>
    <w:rsid w:val="352D75A8"/>
    <w:rsid w:val="35357321"/>
    <w:rsid w:val="353848BB"/>
    <w:rsid w:val="35574976"/>
    <w:rsid w:val="35C02FED"/>
    <w:rsid w:val="364517E5"/>
    <w:rsid w:val="364A5420"/>
    <w:rsid w:val="366277AB"/>
    <w:rsid w:val="36C52CD5"/>
    <w:rsid w:val="36C82DE0"/>
    <w:rsid w:val="372F7C7C"/>
    <w:rsid w:val="37400E32"/>
    <w:rsid w:val="374910FA"/>
    <w:rsid w:val="375978BF"/>
    <w:rsid w:val="37A60CD0"/>
    <w:rsid w:val="37BF1123"/>
    <w:rsid w:val="37BF5371"/>
    <w:rsid w:val="37F548CB"/>
    <w:rsid w:val="38682ACE"/>
    <w:rsid w:val="387B3B55"/>
    <w:rsid w:val="38B72660"/>
    <w:rsid w:val="38C704D8"/>
    <w:rsid w:val="38FB70E7"/>
    <w:rsid w:val="39100C9E"/>
    <w:rsid w:val="39237C4C"/>
    <w:rsid w:val="39701E67"/>
    <w:rsid w:val="399C2315"/>
    <w:rsid w:val="39C8288E"/>
    <w:rsid w:val="39E3734B"/>
    <w:rsid w:val="3A6C1EF2"/>
    <w:rsid w:val="3A7109B0"/>
    <w:rsid w:val="3A836438"/>
    <w:rsid w:val="3ADC0091"/>
    <w:rsid w:val="3AFE702D"/>
    <w:rsid w:val="3B0E0C3B"/>
    <w:rsid w:val="3B245489"/>
    <w:rsid w:val="3B412972"/>
    <w:rsid w:val="3B4C7DD1"/>
    <w:rsid w:val="3B606816"/>
    <w:rsid w:val="3B721655"/>
    <w:rsid w:val="3B88248B"/>
    <w:rsid w:val="3B8D12BF"/>
    <w:rsid w:val="3BAD5578"/>
    <w:rsid w:val="3BCF138B"/>
    <w:rsid w:val="3BD833E8"/>
    <w:rsid w:val="3C1C1697"/>
    <w:rsid w:val="3CA81314"/>
    <w:rsid w:val="3CFD46F6"/>
    <w:rsid w:val="3D272798"/>
    <w:rsid w:val="3D5E65B2"/>
    <w:rsid w:val="3DE3611D"/>
    <w:rsid w:val="3E051245"/>
    <w:rsid w:val="3F1C30D1"/>
    <w:rsid w:val="3F4474D0"/>
    <w:rsid w:val="3F4A7B14"/>
    <w:rsid w:val="3FBC0130"/>
    <w:rsid w:val="405A7C3B"/>
    <w:rsid w:val="4069429E"/>
    <w:rsid w:val="40817065"/>
    <w:rsid w:val="40834B19"/>
    <w:rsid w:val="40875497"/>
    <w:rsid w:val="40AB6D62"/>
    <w:rsid w:val="40B92C8A"/>
    <w:rsid w:val="40D4575C"/>
    <w:rsid w:val="412D26C4"/>
    <w:rsid w:val="415B7E73"/>
    <w:rsid w:val="418F7C3E"/>
    <w:rsid w:val="41AA68A5"/>
    <w:rsid w:val="41AD1550"/>
    <w:rsid w:val="41D466A3"/>
    <w:rsid w:val="41D72F7F"/>
    <w:rsid w:val="4226071D"/>
    <w:rsid w:val="42340994"/>
    <w:rsid w:val="42380D8C"/>
    <w:rsid w:val="42566E71"/>
    <w:rsid w:val="42742222"/>
    <w:rsid w:val="42816D07"/>
    <w:rsid w:val="42A67168"/>
    <w:rsid w:val="42B912F6"/>
    <w:rsid w:val="42BA7D84"/>
    <w:rsid w:val="42D215DC"/>
    <w:rsid w:val="42E06D32"/>
    <w:rsid w:val="435042A4"/>
    <w:rsid w:val="43B2604B"/>
    <w:rsid w:val="43B56A1D"/>
    <w:rsid w:val="44061480"/>
    <w:rsid w:val="440869A2"/>
    <w:rsid w:val="440E7195"/>
    <w:rsid w:val="4458105D"/>
    <w:rsid w:val="446701AF"/>
    <w:rsid w:val="44BF6C07"/>
    <w:rsid w:val="44F34C11"/>
    <w:rsid w:val="45044829"/>
    <w:rsid w:val="451E392D"/>
    <w:rsid w:val="45B933A3"/>
    <w:rsid w:val="45C11920"/>
    <w:rsid w:val="461F6BBA"/>
    <w:rsid w:val="46344881"/>
    <w:rsid w:val="46650EBF"/>
    <w:rsid w:val="467A641B"/>
    <w:rsid w:val="46A14635"/>
    <w:rsid w:val="46AF075C"/>
    <w:rsid w:val="46CE3131"/>
    <w:rsid w:val="46D47503"/>
    <w:rsid w:val="46D67CDB"/>
    <w:rsid w:val="46E464B1"/>
    <w:rsid w:val="47047A36"/>
    <w:rsid w:val="472736E8"/>
    <w:rsid w:val="47663C8A"/>
    <w:rsid w:val="478B7AE2"/>
    <w:rsid w:val="47B63AAE"/>
    <w:rsid w:val="4822043E"/>
    <w:rsid w:val="482B1991"/>
    <w:rsid w:val="483336B9"/>
    <w:rsid w:val="48385546"/>
    <w:rsid w:val="489F4D85"/>
    <w:rsid w:val="48F34C98"/>
    <w:rsid w:val="490278F1"/>
    <w:rsid w:val="498F7498"/>
    <w:rsid w:val="499E7C75"/>
    <w:rsid w:val="49A72AAE"/>
    <w:rsid w:val="49A92D17"/>
    <w:rsid w:val="49B82999"/>
    <w:rsid w:val="49D63838"/>
    <w:rsid w:val="49FF1D5A"/>
    <w:rsid w:val="4A4D1F7E"/>
    <w:rsid w:val="4A563B69"/>
    <w:rsid w:val="4A593B07"/>
    <w:rsid w:val="4A816461"/>
    <w:rsid w:val="4AA61C10"/>
    <w:rsid w:val="4AE57DE1"/>
    <w:rsid w:val="4AFB026D"/>
    <w:rsid w:val="4B210BE7"/>
    <w:rsid w:val="4B241F45"/>
    <w:rsid w:val="4B63653E"/>
    <w:rsid w:val="4B8453F8"/>
    <w:rsid w:val="4BBD24BD"/>
    <w:rsid w:val="4BDE7972"/>
    <w:rsid w:val="4C161686"/>
    <w:rsid w:val="4C19155C"/>
    <w:rsid w:val="4C2D41B9"/>
    <w:rsid w:val="4C3118A2"/>
    <w:rsid w:val="4C493635"/>
    <w:rsid w:val="4C4D6A70"/>
    <w:rsid w:val="4C99724C"/>
    <w:rsid w:val="4CD54B68"/>
    <w:rsid w:val="4CDE1DAF"/>
    <w:rsid w:val="4D07114B"/>
    <w:rsid w:val="4D534390"/>
    <w:rsid w:val="4D547B07"/>
    <w:rsid w:val="4D6709E0"/>
    <w:rsid w:val="4D77222D"/>
    <w:rsid w:val="4D7C28D9"/>
    <w:rsid w:val="4DAE38FF"/>
    <w:rsid w:val="4DB00337"/>
    <w:rsid w:val="4DB34E2F"/>
    <w:rsid w:val="4DB56DF9"/>
    <w:rsid w:val="4DBC0187"/>
    <w:rsid w:val="4DCB2178"/>
    <w:rsid w:val="4E1D48EF"/>
    <w:rsid w:val="4E406DDB"/>
    <w:rsid w:val="4E6C395B"/>
    <w:rsid w:val="4E993459"/>
    <w:rsid w:val="4EEF73F7"/>
    <w:rsid w:val="4EF66934"/>
    <w:rsid w:val="4F186185"/>
    <w:rsid w:val="4FED4628"/>
    <w:rsid w:val="50A31CC7"/>
    <w:rsid w:val="50E52242"/>
    <w:rsid w:val="50FB13F8"/>
    <w:rsid w:val="50FD59A5"/>
    <w:rsid w:val="512C73D2"/>
    <w:rsid w:val="51960CEF"/>
    <w:rsid w:val="51BC4694"/>
    <w:rsid w:val="523E390B"/>
    <w:rsid w:val="523F67FE"/>
    <w:rsid w:val="527A1A5D"/>
    <w:rsid w:val="5301670B"/>
    <w:rsid w:val="538F2BDD"/>
    <w:rsid w:val="541C5635"/>
    <w:rsid w:val="54A87D2B"/>
    <w:rsid w:val="54CF07A0"/>
    <w:rsid w:val="54D34BDF"/>
    <w:rsid w:val="5580364E"/>
    <w:rsid w:val="558502F6"/>
    <w:rsid w:val="55C554D3"/>
    <w:rsid w:val="55F56E2B"/>
    <w:rsid w:val="55FB249E"/>
    <w:rsid w:val="55FF5829"/>
    <w:rsid w:val="56075771"/>
    <w:rsid w:val="561F4841"/>
    <w:rsid w:val="563B4BB3"/>
    <w:rsid w:val="56611E44"/>
    <w:rsid w:val="5697353F"/>
    <w:rsid w:val="56B57E6A"/>
    <w:rsid w:val="56F629E5"/>
    <w:rsid w:val="575E5568"/>
    <w:rsid w:val="576C3254"/>
    <w:rsid w:val="578373DA"/>
    <w:rsid w:val="57AF2EE7"/>
    <w:rsid w:val="57C93BCD"/>
    <w:rsid w:val="57F03F81"/>
    <w:rsid w:val="581E2F41"/>
    <w:rsid w:val="583D1EC5"/>
    <w:rsid w:val="58445C6A"/>
    <w:rsid w:val="584C69E9"/>
    <w:rsid w:val="58C57B3F"/>
    <w:rsid w:val="58DB5A41"/>
    <w:rsid w:val="59374B66"/>
    <w:rsid w:val="59684D44"/>
    <w:rsid w:val="59CF4C23"/>
    <w:rsid w:val="59CF728C"/>
    <w:rsid w:val="59F12F67"/>
    <w:rsid w:val="5A0C5057"/>
    <w:rsid w:val="5A294B9D"/>
    <w:rsid w:val="5A454098"/>
    <w:rsid w:val="5A9E6907"/>
    <w:rsid w:val="5AA035EC"/>
    <w:rsid w:val="5B307029"/>
    <w:rsid w:val="5B3A093D"/>
    <w:rsid w:val="5B5547DA"/>
    <w:rsid w:val="5B955B74"/>
    <w:rsid w:val="5BA168FC"/>
    <w:rsid w:val="5BA37FCD"/>
    <w:rsid w:val="5C052AA0"/>
    <w:rsid w:val="5C11011B"/>
    <w:rsid w:val="5C460AC9"/>
    <w:rsid w:val="5D0B70A2"/>
    <w:rsid w:val="5DAE78AC"/>
    <w:rsid w:val="5E471CBA"/>
    <w:rsid w:val="5ED64310"/>
    <w:rsid w:val="5F161176"/>
    <w:rsid w:val="5F180F96"/>
    <w:rsid w:val="5F63370B"/>
    <w:rsid w:val="5F9C1BC7"/>
    <w:rsid w:val="5FAD7930"/>
    <w:rsid w:val="5FB52C88"/>
    <w:rsid w:val="5FD0361E"/>
    <w:rsid w:val="5FE460A5"/>
    <w:rsid w:val="5FEB2206"/>
    <w:rsid w:val="603D3630"/>
    <w:rsid w:val="60811B6D"/>
    <w:rsid w:val="617D362A"/>
    <w:rsid w:val="61897F29"/>
    <w:rsid w:val="618E2B9D"/>
    <w:rsid w:val="61BE5813"/>
    <w:rsid w:val="61E04DA4"/>
    <w:rsid w:val="62380FD2"/>
    <w:rsid w:val="6260512D"/>
    <w:rsid w:val="62800487"/>
    <w:rsid w:val="62A42563"/>
    <w:rsid w:val="62A57F95"/>
    <w:rsid w:val="6321544B"/>
    <w:rsid w:val="638B4EB9"/>
    <w:rsid w:val="63AC7512"/>
    <w:rsid w:val="63B260C2"/>
    <w:rsid w:val="64046F03"/>
    <w:rsid w:val="647411B1"/>
    <w:rsid w:val="64E060B2"/>
    <w:rsid w:val="64EF1431"/>
    <w:rsid w:val="64F33DA4"/>
    <w:rsid w:val="650B581C"/>
    <w:rsid w:val="65213472"/>
    <w:rsid w:val="652D759A"/>
    <w:rsid w:val="657C62D3"/>
    <w:rsid w:val="65891836"/>
    <w:rsid w:val="658C194A"/>
    <w:rsid w:val="659333ED"/>
    <w:rsid w:val="65A27A78"/>
    <w:rsid w:val="65C6693B"/>
    <w:rsid w:val="65D76F67"/>
    <w:rsid w:val="662D3578"/>
    <w:rsid w:val="66353D46"/>
    <w:rsid w:val="663D44AA"/>
    <w:rsid w:val="66C0269F"/>
    <w:rsid w:val="67553383"/>
    <w:rsid w:val="676C33A7"/>
    <w:rsid w:val="677C408B"/>
    <w:rsid w:val="67966EFB"/>
    <w:rsid w:val="67A9144A"/>
    <w:rsid w:val="67B50903"/>
    <w:rsid w:val="67F34EBC"/>
    <w:rsid w:val="683F4CAE"/>
    <w:rsid w:val="685B68C2"/>
    <w:rsid w:val="686C598B"/>
    <w:rsid w:val="690A0C77"/>
    <w:rsid w:val="69456E27"/>
    <w:rsid w:val="6972741B"/>
    <w:rsid w:val="69B875FD"/>
    <w:rsid w:val="69F541EE"/>
    <w:rsid w:val="6A1E64B3"/>
    <w:rsid w:val="6A3A734F"/>
    <w:rsid w:val="6A5A336A"/>
    <w:rsid w:val="6A685113"/>
    <w:rsid w:val="6A782DDE"/>
    <w:rsid w:val="6A850B2F"/>
    <w:rsid w:val="6A911100"/>
    <w:rsid w:val="6A9F7F15"/>
    <w:rsid w:val="6B6A1A47"/>
    <w:rsid w:val="6B6E673B"/>
    <w:rsid w:val="6BA13111"/>
    <w:rsid w:val="6BB3513A"/>
    <w:rsid w:val="6C101972"/>
    <w:rsid w:val="6C9C7F3A"/>
    <w:rsid w:val="6CE35466"/>
    <w:rsid w:val="6CF22E26"/>
    <w:rsid w:val="6D0B57C5"/>
    <w:rsid w:val="6D1F1486"/>
    <w:rsid w:val="6D545671"/>
    <w:rsid w:val="6F5854A1"/>
    <w:rsid w:val="6F623225"/>
    <w:rsid w:val="6F773207"/>
    <w:rsid w:val="7019691C"/>
    <w:rsid w:val="70334A73"/>
    <w:rsid w:val="706B3AA2"/>
    <w:rsid w:val="714B1F38"/>
    <w:rsid w:val="714B3F9C"/>
    <w:rsid w:val="717E2D35"/>
    <w:rsid w:val="719B1D2C"/>
    <w:rsid w:val="71C31235"/>
    <w:rsid w:val="724E1DBC"/>
    <w:rsid w:val="727F69D0"/>
    <w:rsid w:val="729624A5"/>
    <w:rsid w:val="72B140FE"/>
    <w:rsid w:val="72C029C9"/>
    <w:rsid w:val="733D289D"/>
    <w:rsid w:val="733D34B8"/>
    <w:rsid w:val="73600996"/>
    <w:rsid w:val="73600997"/>
    <w:rsid w:val="73BB5871"/>
    <w:rsid w:val="73FC19B3"/>
    <w:rsid w:val="743E4348"/>
    <w:rsid w:val="745C6091"/>
    <w:rsid w:val="746E77D6"/>
    <w:rsid w:val="74E41BEE"/>
    <w:rsid w:val="74E925BC"/>
    <w:rsid w:val="755840E0"/>
    <w:rsid w:val="75D27E05"/>
    <w:rsid w:val="76531935"/>
    <w:rsid w:val="767A51D7"/>
    <w:rsid w:val="768A0D34"/>
    <w:rsid w:val="76F95118"/>
    <w:rsid w:val="77016E10"/>
    <w:rsid w:val="771B3C14"/>
    <w:rsid w:val="77753BCB"/>
    <w:rsid w:val="77A73846"/>
    <w:rsid w:val="77BA6C36"/>
    <w:rsid w:val="77C173B4"/>
    <w:rsid w:val="781B127F"/>
    <w:rsid w:val="78383D0D"/>
    <w:rsid w:val="784C4C99"/>
    <w:rsid w:val="785830E9"/>
    <w:rsid w:val="78786761"/>
    <w:rsid w:val="787A5E48"/>
    <w:rsid w:val="78962251"/>
    <w:rsid w:val="78C478A5"/>
    <w:rsid w:val="78DB6E64"/>
    <w:rsid w:val="790A6F56"/>
    <w:rsid w:val="79BF34A3"/>
    <w:rsid w:val="7A384E9A"/>
    <w:rsid w:val="7A4D275A"/>
    <w:rsid w:val="7A645D9E"/>
    <w:rsid w:val="7A6D6D1F"/>
    <w:rsid w:val="7A8725F9"/>
    <w:rsid w:val="7A8E0E68"/>
    <w:rsid w:val="7A926A27"/>
    <w:rsid w:val="7AF85B30"/>
    <w:rsid w:val="7B0B4B7F"/>
    <w:rsid w:val="7B1C357F"/>
    <w:rsid w:val="7B4E7DC1"/>
    <w:rsid w:val="7B694BFB"/>
    <w:rsid w:val="7BCF3EB0"/>
    <w:rsid w:val="7C23576F"/>
    <w:rsid w:val="7C305719"/>
    <w:rsid w:val="7C41492F"/>
    <w:rsid w:val="7CD73DE6"/>
    <w:rsid w:val="7CF93EF1"/>
    <w:rsid w:val="7D1278C0"/>
    <w:rsid w:val="7D156746"/>
    <w:rsid w:val="7D1D3EEF"/>
    <w:rsid w:val="7DC50303"/>
    <w:rsid w:val="7DCC321F"/>
    <w:rsid w:val="7DE26FC4"/>
    <w:rsid w:val="7DEF317C"/>
    <w:rsid w:val="7DF021B4"/>
    <w:rsid w:val="7E0A50F3"/>
    <w:rsid w:val="7E3A462D"/>
    <w:rsid w:val="7E956169"/>
    <w:rsid w:val="7EAD4F2F"/>
    <w:rsid w:val="7EB326C5"/>
    <w:rsid w:val="7EDD0445"/>
    <w:rsid w:val="7FC6270F"/>
    <w:rsid w:val="7FCF0063"/>
    <w:rsid w:val="7FD52D0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9"/>
    <w:pPr>
      <w:keepNext/>
      <w:keepLines/>
      <w:spacing w:before="340" w:after="330" w:line="578" w:lineRule="auto"/>
      <w:outlineLvl w:val="0"/>
    </w:pPr>
    <w:rPr>
      <w:b/>
      <w:bCs/>
      <w:kern w:val="44"/>
      <w:sz w:val="44"/>
      <w:szCs w:val="44"/>
    </w:rPr>
  </w:style>
  <w:style w:type="paragraph" w:styleId="5">
    <w:name w:val="heading 2"/>
    <w:basedOn w:val="1"/>
    <w:next w:val="1"/>
    <w:qFormat/>
    <w:uiPriority w:val="0"/>
    <w:pPr>
      <w:keepNext/>
      <w:keepLines/>
      <w:tabs>
        <w:tab w:val="left" w:pos="567"/>
      </w:tabs>
      <w:spacing w:line="360" w:lineRule="auto"/>
      <w:ind w:left="567" w:hanging="567"/>
      <w:outlineLvl w:val="1"/>
    </w:pPr>
    <w:rPr>
      <w:rFonts w:ascii="Arial" w:hAnsi="Arial"/>
      <w:bCs/>
      <w:color w:val="000000"/>
      <w:sz w:val="28"/>
      <w:szCs w:val="32"/>
      <w:lang w:val="pt-BR"/>
    </w:rPr>
  </w:style>
  <w:style w:type="paragraph" w:styleId="6">
    <w:name w:val="heading 3"/>
    <w:basedOn w:val="1"/>
    <w:next w:val="1"/>
    <w:link w:val="29"/>
    <w:qFormat/>
    <w:uiPriority w:val="0"/>
    <w:pPr>
      <w:keepNext/>
      <w:keepLines/>
      <w:outlineLvl w:val="2"/>
    </w:pPr>
    <w:rPr>
      <w:rFonts w:ascii="Calibri" w:hAnsi="Calibri"/>
      <w:b/>
      <w:sz w:val="32"/>
    </w:rPr>
  </w:style>
  <w:style w:type="paragraph" w:styleId="7">
    <w:name w:val="heading 4"/>
    <w:basedOn w:val="1"/>
    <w:next w:val="1"/>
    <w:qFormat/>
    <w:uiPriority w:val="0"/>
    <w:pPr>
      <w:keepNext/>
      <w:spacing w:before="240" w:after="60"/>
      <w:outlineLvl w:val="3"/>
    </w:pPr>
    <w:rPr>
      <w:b/>
      <w:bCs/>
      <w:sz w:val="28"/>
      <w:szCs w:val="28"/>
    </w:rPr>
  </w:style>
  <w:style w:type="paragraph" w:styleId="8">
    <w:name w:val="heading 5"/>
    <w:basedOn w:val="1"/>
    <w:next w:val="1"/>
    <w:qFormat/>
    <w:uiPriority w:val="0"/>
    <w:pPr>
      <w:keepNext/>
      <w:keepLines/>
      <w:widowControl/>
      <w:tabs>
        <w:tab w:val="left" w:pos="360"/>
      </w:tabs>
      <w:overflowPunct w:val="0"/>
      <w:autoSpaceDE w:val="0"/>
      <w:autoSpaceDN w:val="0"/>
      <w:adjustRightInd w:val="0"/>
      <w:snapToGrid w:val="0"/>
      <w:spacing w:before="280" w:after="290" w:line="376" w:lineRule="auto"/>
      <w:ind w:firstLine="510"/>
      <w:textAlignment w:val="baseline"/>
      <w:outlineLvl w:val="4"/>
    </w:pPr>
    <w:rPr>
      <w:b/>
      <w:kern w:val="0"/>
      <w:sz w:val="28"/>
      <w:szCs w:val="20"/>
    </w:rPr>
  </w:style>
  <w:style w:type="character" w:default="1" w:styleId="23">
    <w:name w:val="Default Paragraph Font"/>
    <w:unhideWhenUsed/>
    <w:qFormat/>
    <w:uiPriority w:val="1"/>
  </w:style>
  <w:style w:type="table" w:default="1" w:styleId="21">
    <w:name w:val="Normal Table"/>
    <w:unhideWhenUsed/>
    <w:qFormat/>
    <w:uiPriority w:val="99"/>
    <w:tblPr>
      <w:tblCellMar>
        <w:top w:w="0" w:type="dxa"/>
        <w:left w:w="108" w:type="dxa"/>
        <w:bottom w:w="0" w:type="dxa"/>
        <w:right w:w="108" w:type="dxa"/>
      </w:tblCellMar>
    </w:tblPr>
  </w:style>
  <w:style w:type="paragraph" w:styleId="2">
    <w:name w:val="Body Text First Indent 2"/>
    <w:basedOn w:val="3"/>
    <w:unhideWhenUsed/>
    <w:qFormat/>
    <w:uiPriority w:val="99"/>
    <w:pPr>
      <w:ind w:firstLine="420" w:firstLineChars="200"/>
    </w:pPr>
  </w:style>
  <w:style w:type="paragraph" w:styleId="3">
    <w:name w:val="Body Text Indent"/>
    <w:basedOn w:val="1"/>
    <w:qFormat/>
    <w:uiPriority w:val="0"/>
    <w:pPr>
      <w:spacing w:after="120"/>
      <w:ind w:left="420" w:leftChars="200"/>
    </w:pPr>
  </w:style>
  <w:style w:type="paragraph" w:styleId="9">
    <w:name w:val="index 8"/>
    <w:basedOn w:val="1"/>
    <w:next w:val="1"/>
    <w:qFormat/>
    <w:uiPriority w:val="0"/>
    <w:pPr>
      <w:ind w:left="2940"/>
    </w:pPr>
  </w:style>
  <w:style w:type="paragraph" w:styleId="10">
    <w:name w:val="Normal Indent"/>
    <w:basedOn w:val="1"/>
    <w:qFormat/>
    <w:uiPriority w:val="99"/>
    <w:pPr>
      <w:ind w:firstLine="420"/>
    </w:pPr>
    <w:rPr>
      <w:szCs w:val="20"/>
    </w:rPr>
  </w:style>
  <w:style w:type="paragraph" w:styleId="11">
    <w:name w:val="annotation text"/>
    <w:basedOn w:val="1"/>
    <w:qFormat/>
    <w:uiPriority w:val="0"/>
    <w:pPr>
      <w:jc w:val="left"/>
    </w:pPr>
  </w:style>
  <w:style w:type="paragraph" w:styleId="12">
    <w:name w:val="Body Text 3"/>
    <w:basedOn w:val="1"/>
    <w:qFormat/>
    <w:uiPriority w:val="0"/>
    <w:pPr>
      <w:spacing w:line="500" w:lineRule="exact"/>
    </w:pPr>
    <w:rPr>
      <w:b/>
      <w:bCs/>
      <w:kern w:val="0"/>
      <w:sz w:val="24"/>
    </w:rPr>
  </w:style>
  <w:style w:type="paragraph" w:styleId="13">
    <w:name w:val="Body Text"/>
    <w:basedOn w:val="1"/>
    <w:next w:val="1"/>
    <w:link w:val="37"/>
    <w:qFormat/>
    <w:uiPriority w:val="0"/>
  </w:style>
  <w:style w:type="paragraph" w:styleId="14">
    <w:name w:val="toc 3"/>
    <w:basedOn w:val="1"/>
    <w:next w:val="1"/>
    <w:unhideWhenUsed/>
    <w:qFormat/>
    <w:uiPriority w:val="39"/>
    <w:pPr>
      <w:ind w:left="840" w:leftChars="400"/>
    </w:pPr>
  </w:style>
  <w:style w:type="paragraph" w:styleId="15">
    <w:name w:val="Plain Text"/>
    <w:basedOn w:val="1"/>
    <w:next w:val="7"/>
    <w:link w:val="36"/>
    <w:qFormat/>
    <w:uiPriority w:val="0"/>
    <w:rPr>
      <w:rFonts w:ascii="宋体" w:hAnsi="Courier New"/>
      <w:szCs w:val="20"/>
    </w:rPr>
  </w:style>
  <w:style w:type="paragraph" w:styleId="16">
    <w:name w:val="Date"/>
    <w:basedOn w:val="1"/>
    <w:next w:val="1"/>
    <w:link w:val="35"/>
    <w:qFormat/>
    <w:uiPriority w:val="0"/>
    <w:pPr>
      <w:ind w:left="100" w:leftChars="2500"/>
    </w:pPr>
  </w:style>
  <w:style w:type="paragraph" w:styleId="17">
    <w:name w:val="footer"/>
    <w:basedOn w:val="1"/>
    <w:qFormat/>
    <w:uiPriority w:val="99"/>
    <w:pPr>
      <w:tabs>
        <w:tab w:val="center" w:pos="4153"/>
        <w:tab w:val="right" w:pos="8306"/>
      </w:tabs>
      <w:snapToGrid w:val="0"/>
      <w:jc w:val="left"/>
    </w:pPr>
    <w:rPr>
      <w:sz w:val="18"/>
      <w:szCs w:val="18"/>
    </w:rPr>
  </w:style>
  <w:style w:type="paragraph" w:styleId="18">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1"/>
    <w:unhideWhenUsed/>
    <w:qFormat/>
    <w:uiPriority w:val="39"/>
  </w:style>
  <w:style w:type="paragraph" w:styleId="20">
    <w:name w:val="toc 2"/>
    <w:basedOn w:val="1"/>
    <w:next w:val="1"/>
    <w:unhideWhenUsed/>
    <w:qFormat/>
    <w:uiPriority w:val="39"/>
    <w:pPr>
      <w:ind w:left="420" w:leftChars="200"/>
    </w:pPr>
  </w:style>
  <w:style w:type="table" w:styleId="22">
    <w:name w:val="Table Grid"/>
    <w:basedOn w:val="21"/>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Hyperlink"/>
    <w:basedOn w:val="23"/>
    <w:qFormat/>
    <w:uiPriority w:val="99"/>
    <w:rPr>
      <w:color w:val="333333"/>
      <w:u w:val="none"/>
    </w:rPr>
  </w:style>
  <w:style w:type="paragraph" w:customStyle="1" w:styleId="25">
    <w:name w:val="BodyText"/>
    <w:basedOn w:val="1"/>
    <w:qFormat/>
    <w:uiPriority w:val="0"/>
    <w:pPr>
      <w:spacing w:line="380" w:lineRule="exact"/>
      <w:textAlignment w:val="baseline"/>
    </w:pPr>
    <w:rPr>
      <w:sz w:val="24"/>
    </w:rPr>
  </w:style>
  <w:style w:type="paragraph" w:customStyle="1" w:styleId="26">
    <w:name w:val="Heading2"/>
    <w:basedOn w:val="1"/>
    <w:next w:val="1"/>
    <w:qFormat/>
    <w:uiPriority w:val="0"/>
    <w:pPr>
      <w:keepNext/>
      <w:keepLines/>
      <w:spacing w:before="260" w:after="260" w:line="416" w:lineRule="auto"/>
    </w:pPr>
    <w:rPr>
      <w:rFonts w:ascii="Arial" w:hAnsi="Arial" w:eastAsia="黑体"/>
      <w:b/>
      <w:bCs/>
      <w:kern w:val="0"/>
      <w:sz w:val="32"/>
      <w:szCs w:val="32"/>
    </w:rPr>
  </w:style>
  <w:style w:type="paragraph" w:customStyle="1" w:styleId="27">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28">
    <w:name w:val="列出段落1"/>
    <w:basedOn w:val="1"/>
    <w:qFormat/>
    <w:uiPriority w:val="99"/>
    <w:pPr>
      <w:ind w:firstLine="420" w:firstLineChars="200"/>
    </w:pPr>
  </w:style>
  <w:style w:type="character" w:customStyle="1" w:styleId="29">
    <w:name w:val="标题 3 字符"/>
    <w:link w:val="6"/>
    <w:qFormat/>
    <w:uiPriority w:val="0"/>
    <w:rPr>
      <w:rFonts w:ascii="Calibri" w:hAnsi="Calibri" w:eastAsia="宋体"/>
      <w:b/>
      <w:sz w:val="32"/>
    </w:rPr>
  </w:style>
  <w:style w:type="paragraph" w:customStyle="1" w:styleId="30">
    <w:name w:val="正文格式"/>
    <w:basedOn w:val="1"/>
    <w:qFormat/>
    <w:uiPriority w:val="0"/>
    <w:pPr>
      <w:widowControl/>
      <w:adjustRightInd w:val="0"/>
      <w:snapToGrid w:val="0"/>
      <w:spacing w:line="400" w:lineRule="atLeast"/>
      <w:ind w:firstLine="482"/>
      <w:textAlignment w:val="baseline"/>
    </w:pPr>
    <w:rPr>
      <w:kern w:val="0"/>
      <w:sz w:val="24"/>
    </w:rPr>
  </w:style>
  <w:style w:type="paragraph" w:customStyle="1" w:styleId="31">
    <w:name w:val="无间隔1"/>
    <w:qFormat/>
    <w:uiPriority w:val="1"/>
    <w:pPr>
      <w:widowControl w:val="0"/>
      <w:jc w:val="both"/>
    </w:pPr>
    <w:rPr>
      <w:rFonts w:ascii="Calibri" w:hAnsi="Calibri" w:eastAsia="宋体" w:cs="Times New Roman"/>
      <w:kern w:val="2"/>
      <w:sz w:val="21"/>
      <w:szCs w:val="22"/>
      <w:lang w:val="en-US" w:eastAsia="zh-CN" w:bidi="ar-SA"/>
    </w:rPr>
  </w:style>
  <w:style w:type="paragraph" w:customStyle="1" w:styleId="32">
    <w:name w:val="p0"/>
    <w:basedOn w:val="1"/>
    <w:qFormat/>
    <w:uiPriority w:val="0"/>
    <w:pPr>
      <w:widowControl/>
    </w:pPr>
    <w:rPr>
      <w:rFonts w:ascii="Calibri" w:hAnsi="Calibri" w:cs="宋体"/>
      <w:kern w:val="0"/>
      <w:szCs w:val="21"/>
    </w:rPr>
  </w:style>
  <w:style w:type="paragraph" w:customStyle="1" w:styleId="33">
    <w:name w:val="_Style 6"/>
    <w:basedOn w:val="4"/>
    <w:next w:val="1"/>
    <w:qFormat/>
    <w:uiPriority w:val="0"/>
    <w:pPr>
      <w:outlineLvl w:val="9"/>
    </w:pPr>
  </w:style>
  <w:style w:type="character" w:customStyle="1" w:styleId="34">
    <w:name w:val="NormalCharacter"/>
    <w:semiHidden/>
    <w:qFormat/>
    <w:uiPriority w:val="0"/>
  </w:style>
  <w:style w:type="character" w:customStyle="1" w:styleId="35">
    <w:name w:val="日期 字符"/>
    <w:basedOn w:val="23"/>
    <w:link w:val="16"/>
    <w:qFormat/>
    <w:uiPriority w:val="0"/>
    <w:rPr>
      <w:kern w:val="2"/>
      <w:sz w:val="21"/>
      <w:szCs w:val="24"/>
    </w:rPr>
  </w:style>
  <w:style w:type="character" w:customStyle="1" w:styleId="36">
    <w:name w:val="纯文本 字符"/>
    <w:basedOn w:val="23"/>
    <w:link w:val="15"/>
    <w:qFormat/>
    <w:uiPriority w:val="0"/>
    <w:rPr>
      <w:rFonts w:ascii="宋体" w:hAnsi="Courier New"/>
      <w:kern w:val="2"/>
      <w:sz w:val="21"/>
    </w:rPr>
  </w:style>
  <w:style w:type="character" w:customStyle="1" w:styleId="37">
    <w:name w:val="正文文本 字符"/>
    <w:basedOn w:val="23"/>
    <w:link w:val="13"/>
    <w:qFormat/>
    <w:uiPriority w:val="0"/>
    <w:rPr>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header" Target="header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4" Type="http://schemas.openxmlformats.org/officeDocument/2006/relationships/fontTable" Target="fontTable.xml"/><Relationship Id="rId23" Type="http://schemas.openxmlformats.org/officeDocument/2006/relationships/customXml" Target="../customXml/item2.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5.wmf"/><Relationship Id="rId2" Type="http://schemas.openxmlformats.org/officeDocument/2006/relationships/settings" Target="settings.xml"/><Relationship Id="rId19" Type="http://schemas.openxmlformats.org/officeDocument/2006/relationships/oleObject" Target="embeddings/oleObject5.bin"/><Relationship Id="rId18" Type="http://schemas.openxmlformats.org/officeDocument/2006/relationships/image" Target="media/image4.wmf"/><Relationship Id="rId17" Type="http://schemas.openxmlformats.org/officeDocument/2006/relationships/oleObject" Target="embeddings/oleObject4.bin"/><Relationship Id="rId16" Type="http://schemas.openxmlformats.org/officeDocument/2006/relationships/image" Target="media/image3.wmf"/><Relationship Id="rId15" Type="http://schemas.openxmlformats.org/officeDocument/2006/relationships/oleObject" Target="embeddings/oleObject3.bin"/><Relationship Id="rId14" Type="http://schemas.openxmlformats.org/officeDocument/2006/relationships/image" Target="media/image2.wmf"/><Relationship Id="rId13" Type="http://schemas.openxmlformats.org/officeDocument/2006/relationships/oleObject" Target="embeddings/oleObject2.bin"/><Relationship Id="rId12" Type="http://schemas.openxmlformats.org/officeDocument/2006/relationships/image" Target="media/image1.wmf"/><Relationship Id="rId11" Type="http://schemas.openxmlformats.org/officeDocument/2006/relationships/oleObject" Target="embeddings/oleObject1.bin"/><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1E09CB-13B0-46D5-BB12-658743F4E779}">
  <ds:schemaRefs/>
</ds:datastoreItem>
</file>

<file path=docProps/app.xml><?xml version="1.0" encoding="utf-8"?>
<Properties xmlns="http://schemas.openxmlformats.org/officeDocument/2006/extended-properties" xmlns:vt="http://schemas.openxmlformats.org/officeDocument/2006/docPropsVTypes">
  <Template>Normal</Template>
  <Pages>114</Pages>
  <Words>22147</Words>
  <Characters>24357</Characters>
  <Lines>771</Lines>
  <Paragraphs>217</Paragraphs>
  <TotalTime>0</TotalTime>
  <ScaleCrop>false</ScaleCrop>
  <LinksUpToDate>false</LinksUpToDate>
  <CharactersWithSpaces>26971</CharactersWithSpaces>
  <Application>WPS Office_12.8.2.17149_F1E327BC-269C-435d-A152-05C5408002CA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2023-04-28T07:32:00Z</dcterms:created>
  <dc:creator>Administrator</dc:creator>
  <cp:lastModifiedBy>馨怡</cp:lastModifiedBy>
  <cp:lastPrinted>2021-09-22T06:58:00Z</cp:lastPrinted>
  <dcterms:modified xsi:type="dcterms:W3CDTF">2026-09-12T03:39:57Z</dcterms:modified>
  <cp:revision>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2052-12.8.2.17149</vt:lpwstr>
  </property>
  <property fmtid="{D5CDD505-2E9C-101B-9397-08002B2CF9AE}" pid="3" name="ICV">
    <vt:lpwstr>83346BA9FC0A4BF2937DB8573641E361_13</vt:lpwstr>
  </property>
  <property fmtid="{D5CDD505-2E9C-101B-9397-08002B2CF9AE}" pid="4" name="KSOTemplateDocerSaveRecord">
    <vt:lpwstr>eyJoZGlkIjoiNzM3ODI1ZjM1NDNlNjk5YmY0YWFmNmVhNmEyOWJlNTgiLCJ1c2VySWQiOiIxMjYwMTM2MTg0In0=</vt:lpwstr>
  </property>
</Properties>
</file>