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2C4D7">
      <w:pPr>
        <w:spacing w:line="360" w:lineRule="auto"/>
        <w:jc w:val="center"/>
        <w:rPr>
          <w:rFonts w:ascii="宋体" w:hAnsi="宋体" w:cs="宋体"/>
          <w:b/>
          <w:color w:val="auto"/>
          <w:sz w:val="44"/>
          <w:szCs w:val="44"/>
          <w:highlight w:val="none"/>
        </w:rPr>
      </w:pPr>
    </w:p>
    <w:p w14:paraId="73B88AEB">
      <w:pPr>
        <w:adjustRightInd/>
        <w:spacing w:line="360" w:lineRule="auto"/>
        <w:jc w:val="center"/>
        <w:rPr>
          <w:rFonts w:hint="eastAsia" w:ascii="宋体" w:hAnsi="宋体" w:eastAsia="宋体" w:cs="宋体"/>
          <w:b/>
          <w:bCs/>
          <w:color w:val="auto"/>
          <w:sz w:val="36"/>
          <w:szCs w:val="36"/>
          <w:highlight w:val="none"/>
          <w:u w:val="single"/>
          <w:lang w:eastAsia="zh-CN"/>
        </w:rPr>
      </w:pPr>
      <w:r>
        <w:rPr>
          <w:rFonts w:hint="eastAsia" w:ascii="宋体" w:hAnsi="宋体" w:cs="宋体"/>
          <w:b/>
          <w:bCs/>
          <w:color w:val="auto"/>
          <w:sz w:val="36"/>
          <w:szCs w:val="36"/>
          <w:highlight w:val="none"/>
          <w:u w:val="single"/>
          <w:lang w:eastAsia="zh-CN"/>
        </w:rPr>
        <w:t>北海市海洋监管综合执法指挥平台项目</w:t>
      </w:r>
    </w:p>
    <w:p w14:paraId="0C438431">
      <w:pPr>
        <w:adjustRightInd/>
        <w:spacing w:line="360" w:lineRule="auto"/>
        <w:jc w:val="center"/>
        <w:rPr>
          <w:rFonts w:hint="eastAsia" w:ascii="宋体" w:hAnsi="宋体" w:cs="宋体"/>
          <w:color w:val="auto"/>
          <w:sz w:val="48"/>
          <w:szCs w:val="48"/>
          <w:highlight w:val="none"/>
        </w:rPr>
      </w:pPr>
    </w:p>
    <w:p w14:paraId="186972D2">
      <w:pPr>
        <w:adjustRightInd/>
        <w:spacing w:line="360" w:lineRule="auto"/>
        <w:jc w:val="center"/>
        <w:rPr>
          <w:rFonts w:ascii="宋体" w:hAnsi="宋体" w:cs="宋体"/>
          <w:b w:val="0"/>
          <w:bCs w:val="0"/>
          <w:color w:val="auto"/>
          <w:sz w:val="52"/>
          <w:szCs w:val="52"/>
          <w:highlight w:val="none"/>
        </w:rPr>
      </w:pPr>
      <w:r>
        <w:rPr>
          <w:rFonts w:hint="eastAsia" w:asciiTheme="minorEastAsia" w:hAnsiTheme="minorEastAsia" w:eastAsiaTheme="minorEastAsia" w:cstheme="minorEastAsia"/>
          <w:b/>
          <w:bCs/>
          <w:color w:val="auto"/>
          <w:sz w:val="60"/>
          <w:szCs w:val="60"/>
          <w:highlight w:val="none"/>
        </w:rPr>
        <w:t>招</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标</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文</w:t>
      </w:r>
      <w:r>
        <w:rPr>
          <w:rFonts w:hint="eastAsia" w:asciiTheme="minorEastAsia" w:hAnsiTheme="minorEastAsia" w:eastAsiaTheme="minorEastAsia" w:cstheme="minorEastAsia"/>
          <w:b/>
          <w:bCs/>
          <w:color w:val="auto"/>
          <w:sz w:val="60"/>
          <w:szCs w:val="60"/>
          <w:highlight w:val="none"/>
          <w:lang w:val="en-US" w:eastAsia="zh-CN"/>
        </w:rPr>
        <w:t xml:space="preserve"> </w:t>
      </w:r>
      <w:r>
        <w:rPr>
          <w:rFonts w:hint="eastAsia" w:asciiTheme="minorEastAsia" w:hAnsiTheme="minorEastAsia" w:eastAsiaTheme="minorEastAsia" w:cstheme="minorEastAsia"/>
          <w:b/>
          <w:bCs/>
          <w:color w:val="auto"/>
          <w:sz w:val="60"/>
          <w:szCs w:val="60"/>
          <w:highlight w:val="none"/>
        </w:rPr>
        <w:t>件</w:t>
      </w:r>
      <w:r>
        <w:rPr>
          <w:rFonts w:hint="eastAsia" w:ascii="宋体" w:hAnsi="宋体" w:cs="宋体"/>
          <w:b w:val="0"/>
          <w:bCs w:val="0"/>
          <w:color w:val="auto"/>
          <w:sz w:val="52"/>
          <w:szCs w:val="52"/>
          <w:highlight w:val="none"/>
        </w:rPr>
        <w:t xml:space="preserve"> </w:t>
      </w:r>
    </w:p>
    <w:p w14:paraId="69503910">
      <w:pPr>
        <w:adjustRightInd/>
        <w:spacing w:line="360" w:lineRule="auto"/>
        <w:jc w:val="center"/>
        <w:rPr>
          <w:rFonts w:ascii="宋体" w:hAnsi="宋体" w:cs="宋体"/>
          <w:b w:val="0"/>
          <w:bCs/>
          <w:color w:val="auto"/>
          <w:sz w:val="40"/>
          <w:szCs w:val="40"/>
          <w:highlight w:val="none"/>
        </w:rPr>
      </w:pPr>
      <w:r>
        <w:rPr>
          <w:rFonts w:hint="eastAsia" w:ascii="宋体" w:hAnsi="宋体" w:cs="宋体"/>
          <w:b w:val="0"/>
          <w:bCs/>
          <w:color w:val="auto"/>
          <w:sz w:val="36"/>
          <w:szCs w:val="36"/>
          <w:highlight w:val="none"/>
        </w:rPr>
        <w:t>（电子招投标）</w:t>
      </w:r>
    </w:p>
    <w:p w14:paraId="43348FD4">
      <w:pPr>
        <w:snapToGrid w:val="0"/>
        <w:spacing w:line="360" w:lineRule="auto"/>
        <w:jc w:val="center"/>
        <w:rPr>
          <w:rFonts w:hint="eastAsia" w:ascii="宋体" w:hAnsi="宋体" w:eastAsia="宋体" w:cs="宋体"/>
          <w:b w:val="0"/>
          <w:bCs w:val="0"/>
          <w:color w:val="auto"/>
          <w:sz w:val="30"/>
          <w:szCs w:val="30"/>
          <w:highlight w:val="none"/>
          <w:lang w:eastAsia="zh-CN"/>
        </w:rPr>
      </w:pPr>
      <w:r>
        <w:rPr>
          <w:rFonts w:hint="eastAsia" w:ascii="宋体" w:hAnsi="宋体" w:cs="宋体"/>
          <w:b w:val="0"/>
          <w:bCs w:val="0"/>
          <w:color w:val="auto"/>
          <w:sz w:val="30"/>
          <w:szCs w:val="30"/>
          <w:highlight w:val="none"/>
          <w:lang w:val="en-US" w:eastAsia="zh-CN"/>
        </w:rPr>
        <w:t>项目</w:t>
      </w:r>
      <w:r>
        <w:rPr>
          <w:rFonts w:hint="eastAsia" w:ascii="宋体" w:hAnsi="宋体" w:cs="宋体"/>
          <w:b w:val="0"/>
          <w:bCs w:val="0"/>
          <w:color w:val="auto"/>
          <w:sz w:val="30"/>
          <w:szCs w:val="30"/>
          <w:highlight w:val="none"/>
        </w:rPr>
        <w:t>编号:BHZC2026-G3-990118-BBWH</w:t>
      </w:r>
    </w:p>
    <w:p w14:paraId="01056785">
      <w:pPr>
        <w:adjustRightInd/>
        <w:spacing w:line="360" w:lineRule="auto"/>
        <w:jc w:val="center"/>
        <w:rPr>
          <w:rFonts w:ascii="宋体" w:hAnsi="宋体" w:cs="宋体"/>
          <w:color w:val="auto"/>
          <w:sz w:val="28"/>
          <w:szCs w:val="20"/>
          <w:highlight w:val="none"/>
        </w:rPr>
      </w:pPr>
      <w:r>
        <w:rPr>
          <w:rFonts w:hint="eastAsia" w:ascii="宋体" w:hAnsi="宋体" w:eastAsia="宋体" w:cs="宋体"/>
          <w:color w:val="auto"/>
          <w:sz w:val="28"/>
          <w:highlight w:val="none"/>
        </w:rPr>
        <w:drawing>
          <wp:inline distT="0" distB="0" distL="114300" distR="114300">
            <wp:extent cx="2514600" cy="2271395"/>
            <wp:effectExtent l="0" t="0" r="0" b="14605"/>
            <wp:docPr id="11" name="图片 11"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宏亚logo"/>
                    <pic:cNvPicPr>
                      <a:picLocks noChangeAspect="1"/>
                    </pic:cNvPicPr>
                  </pic:nvPicPr>
                  <pic:blipFill>
                    <a:blip r:embed="rId26"/>
                    <a:stretch>
                      <a:fillRect/>
                    </a:stretch>
                  </pic:blipFill>
                  <pic:spPr>
                    <a:xfrm>
                      <a:off x="0" y="0"/>
                      <a:ext cx="2514600" cy="2271395"/>
                    </a:xfrm>
                    <a:prstGeom prst="rect">
                      <a:avLst/>
                    </a:prstGeom>
                    <a:noFill/>
                    <a:ln>
                      <a:noFill/>
                    </a:ln>
                  </pic:spPr>
                </pic:pic>
              </a:graphicData>
            </a:graphic>
          </wp:inline>
        </w:drawing>
      </w:r>
    </w:p>
    <w:p w14:paraId="65050104">
      <w:pPr>
        <w:spacing w:line="360" w:lineRule="auto"/>
        <w:rPr>
          <w:rFonts w:ascii="宋体" w:hAnsi="宋体" w:cs="宋体"/>
          <w:color w:val="auto"/>
          <w:sz w:val="32"/>
          <w:szCs w:val="32"/>
          <w:highlight w:val="none"/>
        </w:rPr>
      </w:pPr>
    </w:p>
    <w:p w14:paraId="220F5822">
      <w:pPr>
        <w:spacing w:line="360" w:lineRule="auto"/>
        <w:rPr>
          <w:rFonts w:ascii="宋体" w:hAnsi="宋体" w:cs="宋体"/>
          <w:color w:val="auto"/>
          <w:sz w:val="32"/>
          <w:szCs w:val="32"/>
          <w:highlight w:val="none"/>
        </w:rPr>
      </w:pPr>
    </w:p>
    <w:p w14:paraId="33196E39">
      <w:pPr>
        <w:snapToGrid w:val="0"/>
        <w:spacing w:line="360" w:lineRule="auto"/>
        <w:jc w:val="center"/>
        <w:rPr>
          <w:rFonts w:hint="eastAsia" w:ascii="宋体" w:hAnsi="宋体" w:cs="宋体"/>
          <w:color w:val="auto"/>
          <w:sz w:val="32"/>
          <w:szCs w:val="32"/>
          <w:highlight w:val="none"/>
          <w:lang w:val="en-US" w:eastAsia="zh-CN"/>
        </w:rPr>
      </w:pPr>
    </w:p>
    <w:p w14:paraId="76A12E90">
      <w:pPr>
        <w:snapToGrid w:val="0"/>
        <w:spacing w:line="360" w:lineRule="auto"/>
        <w:jc w:val="center"/>
        <w:rPr>
          <w:rFonts w:hint="eastAsia" w:ascii="宋体" w:hAnsi="宋体" w:cs="宋体"/>
          <w:color w:val="auto"/>
          <w:sz w:val="32"/>
          <w:szCs w:val="32"/>
          <w:highlight w:val="none"/>
          <w:lang w:val="en-US" w:eastAsia="zh-CN"/>
        </w:rPr>
      </w:pPr>
    </w:p>
    <w:p w14:paraId="6E3AACB4">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招标人：</w:t>
      </w:r>
      <w:r>
        <w:rPr>
          <w:rFonts w:hint="eastAsia" w:ascii="宋体" w:hAnsi="宋体" w:cs="宋体"/>
          <w:color w:val="auto"/>
          <w:sz w:val="32"/>
          <w:szCs w:val="32"/>
          <w:highlight w:val="none"/>
          <w:lang w:eastAsia="zh-CN"/>
        </w:rPr>
        <w:t>北海市海洋局</w:t>
      </w:r>
    </w:p>
    <w:p w14:paraId="287744E4">
      <w:pPr>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lang w:val="en-US" w:eastAsia="zh-CN"/>
        </w:rPr>
        <w:t>采购代理机构：</w:t>
      </w:r>
      <w:r>
        <w:rPr>
          <w:rFonts w:hint="eastAsia" w:ascii="宋体" w:hAnsi="宋体" w:cs="宋体"/>
          <w:bCs/>
          <w:color w:val="auto"/>
          <w:sz w:val="32"/>
          <w:szCs w:val="32"/>
          <w:highlight w:val="none"/>
        </w:rPr>
        <w:t>广西北部湾宏亚建设管理有限公司</w:t>
      </w:r>
    </w:p>
    <w:p w14:paraId="25CAA165">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月</w:t>
      </w:r>
    </w:p>
    <w:p w14:paraId="167CF28D">
      <w:pPr>
        <w:rPr>
          <w:rFonts w:hint="eastAsia" w:ascii="宋体" w:hAnsi="宋体" w:cs="宋体"/>
          <w:b/>
          <w:color w:val="auto"/>
          <w:sz w:val="48"/>
          <w:szCs w:val="48"/>
          <w:highlight w:val="none"/>
        </w:rPr>
      </w:pPr>
      <w:bookmarkStart w:id="0" w:name="_Hlt67893495"/>
      <w:bookmarkEnd w:id="0"/>
      <w:r>
        <w:rPr>
          <w:rFonts w:hint="eastAsia" w:ascii="宋体" w:hAnsi="宋体" w:cs="宋体"/>
          <w:b/>
          <w:color w:val="auto"/>
          <w:sz w:val="48"/>
          <w:szCs w:val="48"/>
          <w:highlight w:val="none"/>
        </w:rPr>
        <w:br w:type="page"/>
      </w:r>
    </w:p>
    <w:p w14:paraId="05D212A8">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01341AA3">
      <w:pPr>
        <w:pStyle w:val="44"/>
        <w:tabs>
          <w:tab w:val="right" w:leader="dot" w:pos="9060"/>
        </w:tabs>
        <w:spacing w:line="360" w:lineRule="auto"/>
        <w:rPr>
          <w:rFonts w:cs="宋体" w:asciiTheme="minorEastAsia" w:hAnsiTheme="minorEastAsia" w:eastAsiaTheme="minorEastAsia"/>
          <w:color w:val="auto"/>
          <w:sz w:val="32"/>
          <w:szCs w:val="32"/>
          <w:highlight w:val="none"/>
        </w:rPr>
      </w:pPr>
      <w:bookmarkStart w:id="1" w:name="_Hlt91233176"/>
      <w:bookmarkEnd w:id="1"/>
      <w:bookmarkStart w:id="2" w:name="_Toc91899869"/>
      <w:r>
        <w:rPr>
          <w:rFonts w:cs="宋体" w:asciiTheme="minorEastAsia" w:hAnsiTheme="minorEastAsia" w:eastAsiaTheme="minorEastAsia"/>
          <w:color w:val="auto"/>
          <w:sz w:val="32"/>
          <w:szCs w:val="32"/>
          <w:highlight w:val="none"/>
        </w:rPr>
        <w:fldChar w:fldCharType="begin"/>
      </w:r>
      <w:r>
        <w:rPr>
          <w:rFonts w:cs="宋体" w:asciiTheme="minorEastAsia" w:hAnsiTheme="minorEastAsia" w:eastAsiaTheme="minorEastAsia"/>
          <w:color w:val="auto"/>
          <w:sz w:val="32"/>
          <w:szCs w:val="32"/>
          <w:highlight w:val="none"/>
        </w:rPr>
        <w:instrText xml:space="preserve"> TOC \o "1-1" \h \z \u </w:instrText>
      </w:r>
      <w:r>
        <w:rPr>
          <w:rFonts w:cs="宋体" w:asciiTheme="minorEastAsia" w:hAnsiTheme="minorEastAsia" w:eastAsiaTheme="minorEastAsia"/>
          <w:color w:val="auto"/>
          <w:sz w:val="32"/>
          <w:szCs w:val="32"/>
          <w:highlight w:val="none"/>
        </w:rPr>
        <w:fldChar w:fldCharType="separate"/>
      </w:r>
    </w:p>
    <w:sdt>
      <w:sdtPr>
        <w:rPr>
          <w:rFonts w:ascii="宋体" w:hAnsi="宋体" w:eastAsia="宋体" w:cs="Times New Roman"/>
          <w:color w:val="auto"/>
          <w:kern w:val="2"/>
          <w:sz w:val="21"/>
          <w:szCs w:val="24"/>
          <w:highlight w:val="none"/>
          <w:lang w:val="en-US" w:eastAsia="zh-CN" w:bidi="ar-SA"/>
        </w:rPr>
        <w:id w:val="147453561"/>
        <w15:color w:val="DBDBDB"/>
        <w:docPartObj>
          <w:docPartGallery w:val="Table of Contents"/>
          <w:docPartUnique/>
        </w:docPartObj>
      </w:sdtPr>
      <w:sdtEndPr>
        <w:rPr>
          <w:rFonts w:ascii="Times New Roman" w:hAnsi="Times New Roman" w:eastAsia="宋体" w:cs="Times New Roman"/>
          <w:color w:val="auto"/>
          <w:kern w:val="2"/>
          <w:sz w:val="32"/>
          <w:szCs w:val="32"/>
          <w:highlight w:val="none"/>
          <w:lang w:val="en-US" w:eastAsia="zh-CN" w:bidi="ar-SA"/>
        </w:rPr>
      </w:sdtEndPr>
      <w:sdtContent>
        <w:p w14:paraId="2326C924">
          <w:pPr>
            <w:spacing w:before="0" w:beforeLines="0" w:after="0" w:afterLines="0" w:line="240" w:lineRule="auto"/>
            <w:ind w:left="0" w:leftChars="0" w:right="0" w:rightChars="0" w:firstLine="0" w:firstLineChars="0"/>
            <w:jc w:val="center"/>
            <w:rPr>
              <w:color w:val="auto"/>
              <w:highlight w:val="none"/>
            </w:rPr>
          </w:pPr>
        </w:p>
        <w:p w14:paraId="6350DD0E">
          <w:pPr>
            <w:pStyle w:val="44"/>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TOC \o "1-1" \h \u </w:instrText>
          </w:r>
          <w:r>
            <w:rPr>
              <w:color w:val="auto"/>
              <w:sz w:val="32"/>
              <w:szCs w:val="32"/>
              <w:highlight w:val="none"/>
            </w:rPr>
            <w:fldChar w:fldCharType="separate"/>
          </w:r>
          <w:r>
            <w:rPr>
              <w:color w:val="auto"/>
              <w:sz w:val="32"/>
              <w:szCs w:val="32"/>
              <w:highlight w:val="none"/>
            </w:rPr>
            <w:fldChar w:fldCharType="begin"/>
          </w:r>
          <w:r>
            <w:rPr>
              <w:color w:val="auto"/>
              <w:sz w:val="32"/>
              <w:szCs w:val="32"/>
              <w:highlight w:val="none"/>
            </w:rPr>
            <w:instrText xml:space="preserve"> HYPERLINK \l _Toc18574 </w:instrText>
          </w:r>
          <w:r>
            <w:rPr>
              <w:color w:val="auto"/>
              <w:sz w:val="32"/>
              <w:szCs w:val="32"/>
              <w:highlight w:val="none"/>
            </w:rPr>
            <w:fldChar w:fldCharType="separate"/>
          </w:r>
          <w:r>
            <w:rPr>
              <w:rFonts w:hint="eastAsia"/>
              <w:color w:val="auto"/>
              <w:sz w:val="32"/>
              <w:szCs w:val="32"/>
              <w:highlight w:val="none"/>
            </w:rPr>
            <w:t>第一部分 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_Toc18574 \h </w:instrText>
          </w:r>
          <w:r>
            <w:rPr>
              <w:color w:val="auto"/>
              <w:sz w:val="32"/>
              <w:szCs w:val="32"/>
              <w:highlight w:val="none"/>
            </w:rPr>
            <w:fldChar w:fldCharType="separate"/>
          </w:r>
          <w:r>
            <w:rPr>
              <w:color w:val="auto"/>
              <w:sz w:val="32"/>
              <w:szCs w:val="32"/>
              <w:highlight w:val="none"/>
            </w:rPr>
            <w:t>1</w:t>
          </w:r>
          <w:r>
            <w:rPr>
              <w:color w:val="auto"/>
              <w:sz w:val="32"/>
              <w:szCs w:val="32"/>
              <w:highlight w:val="none"/>
            </w:rPr>
            <w:fldChar w:fldCharType="end"/>
          </w:r>
          <w:r>
            <w:rPr>
              <w:color w:val="auto"/>
              <w:sz w:val="32"/>
              <w:szCs w:val="32"/>
              <w:highlight w:val="none"/>
            </w:rPr>
            <w:fldChar w:fldCharType="end"/>
          </w:r>
        </w:p>
        <w:p w14:paraId="0F160A10">
          <w:pPr>
            <w:pStyle w:val="44"/>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_Toc2531 </w:instrText>
          </w:r>
          <w:r>
            <w:rPr>
              <w:color w:val="auto"/>
              <w:sz w:val="32"/>
              <w:szCs w:val="32"/>
              <w:highlight w:val="none"/>
            </w:rPr>
            <w:fldChar w:fldCharType="separate"/>
          </w:r>
          <w:r>
            <w:rPr>
              <w:rFonts w:hint="eastAsia"/>
              <w:color w:val="auto"/>
              <w:sz w:val="32"/>
              <w:szCs w:val="32"/>
              <w:highlight w:val="none"/>
            </w:rPr>
            <w:t>第二部分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_Toc2531 \h </w:instrText>
          </w:r>
          <w:r>
            <w:rPr>
              <w:color w:val="auto"/>
              <w:sz w:val="32"/>
              <w:szCs w:val="32"/>
              <w:highlight w:val="none"/>
            </w:rPr>
            <w:fldChar w:fldCharType="separate"/>
          </w:r>
          <w:r>
            <w:rPr>
              <w:color w:val="auto"/>
              <w:sz w:val="32"/>
              <w:szCs w:val="32"/>
              <w:highlight w:val="none"/>
            </w:rPr>
            <w:t>5</w:t>
          </w:r>
          <w:r>
            <w:rPr>
              <w:color w:val="auto"/>
              <w:sz w:val="32"/>
              <w:szCs w:val="32"/>
              <w:highlight w:val="none"/>
            </w:rPr>
            <w:fldChar w:fldCharType="end"/>
          </w:r>
          <w:r>
            <w:rPr>
              <w:color w:val="auto"/>
              <w:sz w:val="32"/>
              <w:szCs w:val="32"/>
              <w:highlight w:val="none"/>
            </w:rPr>
            <w:fldChar w:fldCharType="end"/>
          </w:r>
        </w:p>
        <w:p w14:paraId="7CFFC989">
          <w:pPr>
            <w:pStyle w:val="44"/>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_Toc18347 </w:instrText>
          </w:r>
          <w:r>
            <w:rPr>
              <w:color w:val="auto"/>
              <w:sz w:val="32"/>
              <w:szCs w:val="32"/>
              <w:highlight w:val="none"/>
            </w:rPr>
            <w:fldChar w:fldCharType="separate"/>
          </w:r>
          <w:r>
            <w:rPr>
              <w:rFonts w:hint="eastAsia"/>
              <w:color w:val="auto"/>
              <w:sz w:val="32"/>
              <w:szCs w:val="32"/>
              <w:highlight w:val="none"/>
            </w:rPr>
            <w:t>第三部分 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_Toc18347 \h </w:instrText>
          </w:r>
          <w:r>
            <w:rPr>
              <w:color w:val="auto"/>
              <w:sz w:val="32"/>
              <w:szCs w:val="32"/>
              <w:highlight w:val="none"/>
            </w:rPr>
            <w:fldChar w:fldCharType="separate"/>
          </w:r>
          <w:r>
            <w:rPr>
              <w:color w:val="auto"/>
              <w:sz w:val="32"/>
              <w:szCs w:val="32"/>
              <w:highlight w:val="none"/>
            </w:rPr>
            <w:t>27</w:t>
          </w:r>
          <w:r>
            <w:rPr>
              <w:color w:val="auto"/>
              <w:sz w:val="32"/>
              <w:szCs w:val="32"/>
              <w:highlight w:val="none"/>
            </w:rPr>
            <w:fldChar w:fldCharType="end"/>
          </w:r>
          <w:r>
            <w:rPr>
              <w:color w:val="auto"/>
              <w:sz w:val="32"/>
              <w:szCs w:val="32"/>
              <w:highlight w:val="none"/>
            </w:rPr>
            <w:fldChar w:fldCharType="end"/>
          </w:r>
        </w:p>
        <w:p w14:paraId="561DB77F">
          <w:pPr>
            <w:pStyle w:val="44"/>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_Toc28524 </w:instrText>
          </w:r>
          <w:r>
            <w:rPr>
              <w:color w:val="auto"/>
              <w:sz w:val="32"/>
              <w:szCs w:val="32"/>
              <w:highlight w:val="none"/>
            </w:rPr>
            <w:fldChar w:fldCharType="separate"/>
          </w:r>
          <w:r>
            <w:rPr>
              <w:rFonts w:hint="eastAsia"/>
              <w:color w:val="auto"/>
              <w:sz w:val="32"/>
              <w:szCs w:val="32"/>
              <w:highlight w:val="none"/>
            </w:rPr>
            <w:t>第四部分 评标办法</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_Toc28524 \h </w:instrText>
          </w:r>
          <w:r>
            <w:rPr>
              <w:color w:val="auto"/>
              <w:sz w:val="32"/>
              <w:szCs w:val="32"/>
              <w:highlight w:val="none"/>
            </w:rPr>
            <w:fldChar w:fldCharType="separate"/>
          </w:r>
          <w:r>
            <w:rPr>
              <w:color w:val="auto"/>
              <w:sz w:val="32"/>
              <w:szCs w:val="32"/>
              <w:highlight w:val="none"/>
            </w:rPr>
            <w:t>40</w:t>
          </w:r>
          <w:r>
            <w:rPr>
              <w:color w:val="auto"/>
              <w:sz w:val="32"/>
              <w:szCs w:val="32"/>
              <w:highlight w:val="none"/>
            </w:rPr>
            <w:fldChar w:fldCharType="end"/>
          </w:r>
          <w:r>
            <w:rPr>
              <w:color w:val="auto"/>
              <w:sz w:val="32"/>
              <w:szCs w:val="32"/>
              <w:highlight w:val="none"/>
            </w:rPr>
            <w:fldChar w:fldCharType="end"/>
          </w:r>
        </w:p>
        <w:p w14:paraId="258A0C7C">
          <w:pPr>
            <w:pStyle w:val="44"/>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_Toc24967 </w:instrText>
          </w:r>
          <w:r>
            <w:rPr>
              <w:color w:val="auto"/>
              <w:sz w:val="32"/>
              <w:szCs w:val="32"/>
              <w:highlight w:val="none"/>
            </w:rPr>
            <w:fldChar w:fldCharType="separate"/>
          </w:r>
          <w:r>
            <w:rPr>
              <w:rFonts w:hint="eastAsia"/>
              <w:color w:val="auto"/>
              <w:sz w:val="32"/>
              <w:szCs w:val="32"/>
              <w:highlight w:val="none"/>
            </w:rPr>
            <w:t>第五部分 拟签订的合同文本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_Toc24967 \h </w:instrText>
          </w:r>
          <w:r>
            <w:rPr>
              <w:color w:val="auto"/>
              <w:sz w:val="32"/>
              <w:szCs w:val="32"/>
              <w:highlight w:val="none"/>
            </w:rPr>
            <w:fldChar w:fldCharType="separate"/>
          </w:r>
          <w:r>
            <w:rPr>
              <w:color w:val="auto"/>
              <w:sz w:val="32"/>
              <w:szCs w:val="32"/>
              <w:highlight w:val="none"/>
            </w:rPr>
            <w:t>51</w:t>
          </w:r>
          <w:r>
            <w:rPr>
              <w:color w:val="auto"/>
              <w:sz w:val="32"/>
              <w:szCs w:val="32"/>
              <w:highlight w:val="none"/>
            </w:rPr>
            <w:fldChar w:fldCharType="end"/>
          </w:r>
          <w:r>
            <w:rPr>
              <w:color w:val="auto"/>
              <w:sz w:val="32"/>
              <w:szCs w:val="32"/>
              <w:highlight w:val="none"/>
            </w:rPr>
            <w:fldChar w:fldCharType="end"/>
          </w:r>
        </w:p>
        <w:p w14:paraId="0164BA64">
          <w:pPr>
            <w:pStyle w:val="44"/>
            <w:keepNext w:val="0"/>
            <w:keepLines w:val="0"/>
            <w:pageBreakBefore w:val="0"/>
            <w:widowControl w:val="0"/>
            <w:tabs>
              <w:tab w:val="right" w:leader="dot" w:pos="9071"/>
            </w:tabs>
            <w:kinsoku/>
            <w:wordWrap/>
            <w:overflowPunct/>
            <w:topLinePunct w:val="0"/>
            <w:autoSpaceDE/>
            <w:autoSpaceDN/>
            <w:bidi w:val="0"/>
            <w:adjustRightInd w:val="0"/>
            <w:snapToGrid/>
            <w:spacing w:line="360" w:lineRule="auto"/>
            <w:textAlignment w:val="auto"/>
            <w:rPr>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_Toc26893 </w:instrText>
          </w:r>
          <w:r>
            <w:rPr>
              <w:color w:val="auto"/>
              <w:sz w:val="32"/>
              <w:szCs w:val="32"/>
              <w:highlight w:val="none"/>
            </w:rPr>
            <w:fldChar w:fldCharType="separate"/>
          </w:r>
          <w:r>
            <w:rPr>
              <w:rFonts w:hint="eastAsia"/>
              <w:color w:val="auto"/>
              <w:sz w:val="32"/>
              <w:szCs w:val="32"/>
              <w:highlight w:val="none"/>
            </w:rPr>
            <w:t>第六部分 应提交的有关格式范例</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_Toc26893 \h </w:instrText>
          </w:r>
          <w:r>
            <w:rPr>
              <w:color w:val="auto"/>
              <w:sz w:val="32"/>
              <w:szCs w:val="32"/>
              <w:highlight w:val="none"/>
            </w:rPr>
            <w:fldChar w:fldCharType="separate"/>
          </w:r>
          <w:r>
            <w:rPr>
              <w:color w:val="auto"/>
              <w:sz w:val="32"/>
              <w:szCs w:val="32"/>
              <w:highlight w:val="none"/>
            </w:rPr>
            <w:t>62</w:t>
          </w:r>
          <w:r>
            <w:rPr>
              <w:color w:val="auto"/>
              <w:sz w:val="32"/>
              <w:szCs w:val="32"/>
              <w:highlight w:val="none"/>
            </w:rPr>
            <w:fldChar w:fldCharType="end"/>
          </w:r>
          <w:r>
            <w:rPr>
              <w:color w:val="auto"/>
              <w:sz w:val="32"/>
              <w:szCs w:val="32"/>
              <w:highlight w:val="none"/>
            </w:rPr>
            <w:fldChar w:fldCharType="end"/>
          </w:r>
        </w:p>
        <w:p w14:paraId="59DA6365">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Times New Roman" w:hAnsi="Times New Roman" w:eastAsia="宋体" w:cs="Times New Roman"/>
              <w:color w:val="auto"/>
              <w:kern w:val="2"/>
              <w:sz w:val="32"/>
              <w:szCs w:val="32"/>
              <w:highlight w:val="none"/>
              <w:lang w:val="en-US" w:eastAsia="zh-CN" w:bidi="ar-SA"/>
            </w:rPr>
          </w:pPr>
          <w:r>
            <w:rPr>
              <w:color w:val="auto"/>
              <w:sz w:val="32"/>
              <w:szCs w:val="32"/>
              <w:highlight w:val="none"/>
            </w:rPr>
            <w:fldChar w:fldCharType="end"/>
          </w:r>
        </w:p>
      </w:sdtContent>
    </w:sdt>
    <w:p w14:paraId="61839141">
      <w:pPr>
        <w:pStyle w:val="3"/>
        <w:rPr>
          <w:color w:val="auto"/>
          <w:highlight w:val="none"/>
        </w:rPr>
      </w:pPr>
    </w:p>
    <w:p w14:paraId="618ECB79">
      <w:pPr>
        <w:spacing w:line="360" w:lineRule="auto"/>
        <w:ind w:firstLine="732" w:firstLineChars="229"/>
        <w:rPr>
          <w:rFonts w:ascii="宋体" w:hAnsi="宋体" w:cs="宋体"/>
          <w:color w:val="auto"/>
          <w:sz w:val="24"/>
          <w:highlight w:val="none"/>
        </w:rPr>
      </w:pPr>
      <w:r>
        <w:rPr>
          <w:rFonts w:cs="宋体" w:asciiTheme="minorEastAsia" w:hAnsiTheme="minorEastAsia" w:eastAsiaTheme="minorEastAsia"/>
          <w:color w:val="auto"/>
          <w:sz w:val="32"/>
          <w:szCs w:val="32"/>
          <w:highlight w:val="none"/>
        </w:rPr>
        <w:fldChar w:fldCharType="end"/>
      </w:r>
    </w:p>
    <w:p w14:paraId="375D4E3A">
      <w:pPr>
        <w:spacing w:line="360" w:lineRule="auto"/>
        <w:ind w:firstLine="549" w:firstLineChars="229"/>
        <w:rPr>
          <w:rFonts w:ascii="宋体" w:hAnsi="宋体" w:cs="宋体"/>
          <w:color w:val="auto"/>
          <w:sz w:val="24"/>
          <w:highlight w:val="none"/>
        </w:rPr>
      </w:pPr>
    </w:p>
    <w:p w14:paraId="4D6A6FBE">
      <w:pPr>
        <w:spacing w:line="360" w:lineRule="auto"/>
        <w:ind w:firstLine="549" w:firstLineChars="229"/>
        <w:rPr>
          <w:rFonts w:ascii="宋体" w:hAnsi="宋体" w:cs="宋体"/>
          <w:color w:val="auto"/>
          <w:sz w:val="24"/>
          <w:highlight w:val="none"/>
        </w:rPr>
      </w:pPr>
    </w:p>
    <w:p w14:paraId="0965A3C2">
      <w:pPr>
        <w:spacing w:line="360" w:lineRule="auto"/>
        <w:ind w:firstLine="549" w:firstLineChars="229"/>
        <w:rPr>
          <w:rFonts w:ascii="宋体" w:hAnsi="宋体" w:cs="宋体"/>
          <w:color w:val="auto"/>
          <w:sz w:val="24"/>
          <w:highlight w:val="none"/>
        </w:rPr>
      </w:pPr>
    </w:p>
    <w:p w14:paraId="1F3B456D">
      <w:pPr>
        <w:spacing w:line="360" w:lineRule="auto"/>
        <w:ind w:firstLine="549" w:firstLineChars="229"/>
        <w:rPr>
          <w:rFonts w:ascii="宋体" w:hAnsi="宋体" w:cs="宋体"/>
          <w:color w:val="auto"/>
          <w:sz w:val="24"/>
          <w:highlight w:val="none"/>
        </w:rPr>
      </w:pPr>
    </w:p>
    <w:p w14:paraId="1AF4AB96">
      <w:pPr>
        <w:spacing w:line="360" w:lineRule="auto"/>
        <w:ind w:firstLine="549" w:firstLineChars="229"/>
        <w:rPr>
          <w:rFonts w:ascii="宋体" w:hAnsi="宋体" w:cs="宋体"/>
          <w:color w:val="auto"/>
          <w:sz w:val="24"/>
          <w:highlight w:val="none"/>
        </w:rPr>
      </w:pPr>
    </w:p>
    <w:p w14:paraId="3EA9F762">
      <w:pPr>
        <w:spacing w:line="360" w:lineRule="auto"/>
        <w:ind w:firstLine="549" w:firstLineChars="229"/>
        <w:rPr>
          <w:rFonts w:ascii="宋体" w:hAnsi="宋体" w:cs="宋体"/>
          <w:color w:val="auto"/>
          <w:sz w:val="24"/>
          <w:highlight w:val="none"/>
        </w:rPr>
      </w:pPr>
    </w:p>
    <w:p w14:paraId="10CDB475">
      <w:pPr>
        <w:spacing w:line="360" w:lineRule="auto"/>
        <w:ind w:firstLine="549" w:firstLineChars="229"/>
        <w:rPr>
          <w:rFonts w:ascii="宋体" w:hAnsi="宋体" w:cs="宋体"/>
          <w:color w:val="auto"/>
          <w:sz w:val="24"/>
          <w:highlight w:val="none"/>
        </w:rPr>
      </w:pPr>
    </w:p>
    <w:p w14:paraId="2F2CFDF3">
      <w:pPr>
        <w:spacing w:line="360" w:lineRule="auto"/>
        <w:ind w:firstLine="549" w:firstLineChars="229"/>
        <w:rPr>
          <w:rFonts w:ascii="宋体" w:hAnsi="宋体" w:cs="宋体"/>
          <w:color w:val="auto"/>
          <w:sz w:val="24"/>
          <w:highlight w:val="none"/>
        </w:rPr>
      </w:pPr>
    </w:p>
    <w:p w14:paraId="1DF2CCFA">
      <w:pPr>
        <w:spacing w:line="360" w:lineRule="auto"/>
        <w:ind w:firstLine="549" w:firstLineChars="229"/>
        <w:rPr>
          <w:rFonts w:ascii="宋体" w:hAnsi="宋体" w:cs="宋体"/>
          <w:color w:val="auto"/>
          <w:sz w:val="24"/>
          <w:highlight w:val="none"/>
        </w:rPr>
      </w:pPr>
    </w:p>
    <w:p w14:paraId="05B0589E">
      <w:pPr>
        <w:spacing w:line="360" w:lineRule="auto"/>
        <w:ind w:firstLine="549" w:firstLineChars="229"/>
        <w:rPr>
          <w:rFonts w:ascii="宋体" w:hAnsi="宋体" w:cs="宋体"/>
          <w:color w:val="auto"/>
          <w:sz w:val="24"/>
          <w:highlight w:val="none"/>
        </w:rPr>
      </w:pPr>
    </w:p>
    <w:p w14:paraId="5ED17C9F">
      <w:pPr>
        <w:spacing w:line="360" w:lineRule="auto"/>
        <w:ind w:firstLine="549" w:firstLineChars="229"/>
        <w:rPr>
          <w:rFonts w:ascii="宋体" w:hAnsi="宋体" w:cs="宋体"/>
          <w:color w:val="auto"/>
          <w:sz w:val="24"/>
          <w:highlight w:val="none"/>
        </w:rPr>
      </w:pPr>
    </w:p>
    <w:p w14:paraId="0B1E1F1B">
      <w:pPr>
        <w:spacing w:line="360" w:lineRule="auto"/>
        <w:ind w:firstLine="549" w:firstLineChars="229"/>
        <w:rPr>
          <w:rFonts w:ascii="宋体" w:hAnsi="宋体" w:cs="宋体"/>
          <w:color w:val="auto"/>
          <w:sz w:val="24"/>
          <w:highlight w:val="none"/>
        </w:rPr>
      </w:pPr>
    </w:p>
    <w:p w14:paraId="4973EFB3">
      <w:pPr>
        <w:spacing w:line="360" w:lineRule="auto"/>
        <w:rPr>
          <w:rFonts w:ascii="宋体" w:hAnsi="宋体" w:cs="宋体"/>
          <w:color w:val="auto"/>
          <w:sz w:val="24"/>
          <w:highlight w:val="none"/>
        </w:rPr>
      </w:pPr>
    </w:p>
    <w:bookmarkEnd w:id="2"/>
    <w:p w14:paraId="458A4063">
      <w:pPr>
        <w:adjustRightInd/>
        <w:spacing w:line="360" w:lineRule="auto"/>
        <w:jc w:val="center"/>
        <w:outlineLvl w:val="0"/>
        <w:rPr>
          <w:rFonts w:hint="eastAsia" w:ascii="宋体" w:hAnsi="宋体" w:cs="宋体"/>
          <w:b/>
          <w:color w:val="auto"/>
          <w:sz w:val="36"/>
          <w:szCs w:val="20"/>
          <w:highlight w:val="none"/>
        </w:rPr>
        <w:sectPr>
          <w:headerReference r:id="rId3" w:type="default"/>
          <w:pgSz w:w="11905" w:h="16838"/>
          <w:pgMar w:top="1701" w:right="1417" w:bottom="1701" w:left="1417" w:header="851" w:footer="850" w:gutter="0"/>
          <w:cols w:space="0" w:num="1"/>
          <w:rtlGutter w:val="0"/>
          <w:docGrid w:linePitch="312" w:charSpace="0"/>
        </w:sectPr>
      </w:pPr>
      <w:bookmarkStart w:id="3" w:name="_Hlt74728647"/>
      <w:bookmarkEnd w:id="3"/>
      <w:bookmarkStart w:id="4" w:name="_Hlt74649545"/>
      <w:bookmarkEnd w:id="4"/>
      <w:bookmarkStart w:id="5" w:name="_Hlt74729822"/>
      <w:bookmarkEnd w:id="5"/>
      <w:bookmarkStart w:id="6" w:name="_Hlt74707423"/>
      <w:bookmarkEnd w:id="6"/>
      <w:bookmarkStart w:id="7" w:name="_Toc176368902"/>
      <w:bookmarkStart w:id="8" w:name="第二部分"/>
      <w:bookmarkStart w:id="9" w:name="_Toc91899870"/>
      <w:bookmarkStart w:id="10" w:name="_Toc91899871"/>
    </w:p>
    <w:p w14:paraId="48ABB685">
      <w:pPr>
        <w:pStyle w:val="2"/>
        <w:pageBreakBefore w:val="0"/>
        <w:widowControl w:val="0"/>
        <w:kinsoku/>
        <w:wordWrap/>
        <w:overflowPunct/>
        <w:topLinePunct w:val="0"/>
        <w:autoSpaceDE/>
        <w:autoSpaceDN/>
        <w:bidi w:val="0"/>
        <w:adjustRightInd w:val="0"/>
        <w:snapToGrid/>
        <w:spacing w:line="360" w:lineRule="auto"/>
        <w:jc w:val="center"/>
        <w:textAlignment w:val="auto"/>
        <w:rPr>
          <w:rFonts w:hint="eastAsia"/>
          <w:color w:val="auto"/>
          <w:sz w:val="36"/>
          <w:szCs w:val="36"/>
          <w:highlight w:val="none"/>
        </w:rPr>
      </w:pPr>
      <w:bookmarkStart w:id="11" w:name="_Toc18574"/>
      <w:r>
        <w:rPr>
          <w:rFonts w:hint="eastAsia"/>
          <w:color w:val="auto"/>
          <w:sz w:val="36"/>
          <w:szCs w:val="36"/>
          <w:highlight w:val="none"/>
        </w:rPr>
        <w:t>第一部分 招标公告</w:t>
      </w:r>
      <w:bookmarkEnd w:id="7"/>
      <w:bookmarkEnd w:id="11"/>
    </w:p>
    <w:p w14:paraId="1C85AAC5">
      <w:pPr>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pacing w:val="-10"/>
          <w:sz w:val="32"/>
          <w:szCs w:val="32"/>
          <w:highlight w:val="none"/>
          <w:lang w:eastAsia="zh-CN"/>
        </w:rPr>
        <w:t>广西北部湾宏亚建设管理有限公司关于</w:t>
      </w:r>
      <w:r>
        <w:rPr>
          <w:rFonts w:hint="eastAsia" w:ascii="宋体" w:hAnsi="宋体" w:cs="宋体"/>
          <w:b/>
          <w:color w:val="auto"/>
          <w:spacing w:val="-10"/>
          <w:sz w:val="32"/>
          <w:szCs w:val="32"/>
          <w:highlight w:val="none"/>
          <w:lang w:eastAsia="zh-CN"/>
        </w:rPr>
        <w:t>北海市海洋监管综合执法指挥平台项目（项目编号：BHZC2026-G3-990118-BBWH）</w:t>
      </w:r>
      <w:r>
        <w:rPr>
          <w:rFonts w:hint="eastAsia" w:ascii="宋体" w:hAnsi="宋体" w:cs="宋体"/>
          <w:b/>
          <w:color w:val="auto"/>
          <w:sz w:val="32"/>
          <w:szCs w:val="32"/>
          <w:highlight w:val="none"/>
          <w:lang w:eastAsia="zh-CN"/>
        </w:rPr>
        <w:t>招标</w:t>
      </w:r>
      <w:r>
        <w:rPr>
          <w:rFonts w:hint="eastAsia" w:ascii="宋体" w:hAnsi="宋体" w:eastAsia="宋体" w:cs="宋体"/>
          <w:b/>
          <w:color w:val="auto"/>
          <w:sz w:val="32"/>
          <w:szCs w:val="32"/>
          <w:highlight w:val="none"/>
        </w:rPr>
        <w:t>公告</w:t>
      </w:r>
      <w:r>
        <w:rPr>
          <w:rFonts w:hint="eastAsia" w:ascii="宋体" w:hAnsi="宋体" w:eastAsia="宋体" w:cs="宋体"/>
          <w:b/>
          <w:color w:val="auto"/>
          <w:sz w:val="32"/>
          <w:szCs w:val="32"/>
          <w:highlight w:val="none"/>
          <w:lang w:eastAsia="zh-CN"/>
        </w:rPr>
        <w:t>（远程异地评标）</w:t>
      </w:r>
    </w:p>
    <w:p w14:paraId="0610EB22">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rPr>
        <w:t>项目概况</w:t>
      </w:r>
    </w:p>
    <w:p w14:paraId="6AD153B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北海市海洋监管综合执法指挥平台项目</w:t>
      </w:r>
      <w:r>
        <w:rPr>
          <w:rFonts w:hint="eastAsia" w:ascii="宋体" w:hAnsi="宋体" w:cs="宋体"/>
          <w:color w:val="auto"/>
          <w:sz w:val="24"/>
          <w:highlight w:val="none"/>
        </w:rPr>
        <w:t>招标项目的潜在投标人应在广西政府采购云平台（https://www.gcy.zfcg.gxzf.gov.cn/）获取（下载）招标文件，并于202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09时00</w:t>
      </w:r>
      <w:r>
        <w:rPr>
          <w:rFonts w:hint="eastAsia" w:ascii="宋体" w:hAnsi="宋体" w:cs="宋体"/>
          <w:color w:val="auto"/>
          <w:sz w:val="24"/>
          <w:highlight w:val="none"/>
        </w:rPr>
        <w:t>分</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4625DDE3">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369504EC">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项目编号：BHZC2026-G3-990118-BBWH</w:t>
      </w:r>
    </w:p>
    <w:p w14:paraId="2B0F9BD2">
      <w:pPr>
        <w:keepNext w:val="0"/>
        <w:keepLines w:val="0"/>
        <w:pageBreakBefore w:val="0"/>
        <w:kinsoku/>
        <w:overflowPunct/>
        <w:topLinePunct w:val="0"/>
        <w:autoSpaceDE/>
        <w:autoSpaceDN/>
        <w:bidi w:val="0"/>
        <w:adjustRightInd w:val="0"/>
        <w:spacing w:line="44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项目名称：</w:t>
      </w:r>
      <w:r>
        <w:rPr>
          <w:rFonts w:hint="eastAsia" w:ascii="宋体" w:hAnsi="宋体" w:cs="宋体"/>
          <w:color w:val="auto"/>
          <w:sz w:val="24"/>
          <w:highlight w:val="none"/>
          <w:lang w:eastAsia="zh-CN"/>
        </w:rPr>
        <w:t>北海市海洋监管综合执法指挥平台项目</w:t>
      </w:r>
    </w:p>
    <w:p w14:paraId="1B914DA3">
      <w:pPr>
        <w:keepNext w:val="0"/>
        <w:keepLines w:val="0"/>
        <w:pageBreakBefore w:val="0"/>
        <w:kinsoku/>
        <w:overflowPunct/>
        <w:topLinePunct w:val="0"/>
        <w:autoSpaceDE/>
        <w:autoSpaceDN/>
        <w:bidi w:val="0"/>
        <w:adjustRightInd w:val="0"/>
        <w:snapToGrid w:val="0"/>
        <w:spacing w:line="440" w:lineRule="exact"/>
        <w:ind w:firstLine="48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3889115.77</w:t>
      </w:r>
    </w:p>
    <w:p w14:paraId="4D8D71E6">
      <w:pPr>
        <w:keepNext w:val="0"/>
        <w:keepLines w:val="0"/>
        <w:pageBreakBefore w:val="0"/>
        <w:kinsoku/>
        <w:overflowPunct/>
        <w:topLinePunct w:val="0"/>
        <w:autoSpaceDE/>
        <w:autoSpaceDN/>
        <w:bidi w:val="0"/>
        <w:adjustRightInd w:val="0"/>
        <w:snapToGrid w:val="0"/>
        <w:spacing w:line="440" w:lineRule="exact"/>
        <w:ind w:firstLine="48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采购需求：</w:t>
      </w:r>
    </w:p>
    <w:p w14:paraId="669116B5">
      <w:pPr>
        <w:pStyle w:val="59"/>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标项名称</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cs="宋体" w:eastAsiaTheme="minorEastAsia"/>
          <w:color w:val="auto"/>
          <w:sz w:val="24"/>
          <w:highlight w:val="none"/>
          <w:lang w:eastAsia="zh-CN"/>
        </w:rPr>
        <w:t>北海市海洋监管综合执法指挥平台项目</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数量</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rPr>
        <w:t>1</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预算金额（元）</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宋体" w:hAnsi="宋体" w:cs="宋体"/>
          <w:color w:val="auto"/>
          <w:sz w:val="24"/>
          <w:highlight w:val="none"/>
          <w:lang w:val="en-US" w:eastAsia="zh-CN"/>
        </w:rPr>
        <w:t>3889115.77</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rPr>
        <w:t>简要规格描述或项目基本概况介绍、用途：</w:t>
      </w:r>
      <w:r>
        <w:rPr>
          <w:rFonts w:hint="eastAsia" w:cs="宋体" w:eastAsiaTheme="minorEastAsia"/>
          <w:color w:val="auto"/>
          <w:sz w:val="24"/>
          <w:highlight w:val="none"/>
          <w:lang w:eastAsia="zh-CN"/>
        </w:rPr>
        <w:t>北海市海洋监管综合执法指挥平台项目，</w:t>
      </w:r>
      <w:r>
        <w:rPr>
          <w:rFonts w:hint="eastAsia" w:asciiTheme="minorEastAsia" w:hAnsiTheme="minorEastAsia" w:eastAsiaTheme="minorEastAsia" w:cstheme="minorEastAsia"/>
          <w:i w:val="0"/>
          <w:iCs w:val="0"/>
          <w:caps w:val="0"/>
          <w:color w:val="auto"/>
          <w:spacing w:val="0"/>
          <w:sz w:val="24"/>
          <w:szCs w:val="24"/>
          <w:highlight w:val="none"/>
        </w:rPr>
        <w:t>包括综合执法驾驶舱</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rPr>
        <w:t>全域智能监控</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rPr>
        <w:t>智能分析预警</w:t>
      </w:r>
      <w:r>
        <w:rPr>
          <w:rFonts w:hint="eastAsia" w:asciiTheme="minorEastAsia" w:hAnsiTheme="minorEastAsia" w:eastAsiaTheme="minorEastAsia" w:cstheme="minorEastAsia"/>
          <w:i w:val="0"/>
          <w:iCs w:val="0"/>
          <w:caps w:val="0"/>
          <w:color w:val="auto"/>
          <w:spacing w:val="0"/>
          <w:sz w:val="24"/>
          <w:szCs w:val="24"/>
          <w:highlight w:val="none"/>
          <w:lang w:eastAsia="zh-CN"/>
        </w:rPr>
        <w:t>、渔船（乡镇船舶）智能化在线管理平台、</w:t>
      </w:r>
      <w:r>
        <w:rPr>
          <w:rFonts w:hint="eastAsia" w:asciiTheme="minorEastAsia" w:hAnsiTheme="minorEastAsia" w:eastAsiaTheme="minorEastAsia" w:cstheme="minorEastAsia"/>
          <w:i w:val="0"/>
          <w:iCs w:val="0"/>
          <w:caps w:val="0"/>
          <w:color w:val="auto"/>
          <w:spacing w:val="0"/>
          <w:sz w:val="24"/>
          <w:szCs w:val="24"/>
          <w:highlight w:val="none"/>
        </w:rPr>
        <w:t>执法</w:t>
      </w:r>
      <w:r>
        <w:rPr>
          <w:rFonts w:hint="eastAsia" w:asciiTheme="minorEastAsia" w:hAnsiTheme="minorEastAsia" w:eastAsiaTheme="minorEastAsia" w:cstheme="minorEastAsia"/>
          <w:i w:val="0"/>
          <w:iCs w:val="0"/>
          <w:caps w:val="0"/>
          <w:color w:val="auto"/>
          <w:spacing w:val="0"/>
          <w:sz w:val="24"/>
          <w:szCs w:val="24"/>
          <w:highlight w:val="none"/>
          <w:lang w:eastAsia="zh-CN"/>
        </w:rPr>
        <w:t>管理模块、</w:t>
      </w:r>
      <w:r>
        <w:rPr>
          <w:rFonts w:hint="eastAsia" w:asciiTheme="minorEastAsia" w:hAnsiTheme="minorEastAsia" w:eastAsiaTheme="minorEastAsia" w:cstheme="minorEastAsia"/>
          <w:i w:val="0"/>
          <w:iCs w:val="0"/>
          <w:caps w:val="0"/>
          <w:color w:val="auto"/>
          <w:spacing w:val="0"/>
          <w:sz w:val="24"/>
          <w:szCs w:val="24"/>
          <w:highlight w:val="none"/>
        </w:rPr>
        <w:t>渔港安全模块</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rPr>
        <w:t>执法通讯模块</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rPr>
        <w:t>移动端应用APP</w:t>
      </w:r>
      <w:r>
        <w:rPr>
          <w:rFonts w:hint="eastAsia" w:asciiTheme="minorEastAsia" w:hAnsiTheme="minorEastAsia" w:eastAsiaTheme="minorEastAsia" w:cstheme="minorEastAsia"/>
          <w:i w:val="0"/>
          <w:iCs w:val="0"/>
          <w:caps w:val="0"/>
          <w:color w:val="auto"/>
          <w:spacing w:val="0"/>
          <w:sz w:val="24"/>
          <w:szCs w:val="24"/>
          <w:highlight w:val="none"/>
          <w:lang w:eastAsia="zh-CN"/>
        </w:rPr>
        <w:t>、</w:t>
      </w:r>
      <w:r>
        <w:rPr>
          <w:rFonts w:hint="eastAsia" w:asciiTheme="minorEastAsia" w:hAnsiTheme="minorEastAsia" w:eastAsiaTheme="minorEastAsia" w:cstheme="minorEastAsia"/>
          <w:i w:val="0"/>
          <w:iCs w:val="0"/>
          <w:caps w:val="0"/>
          <w:color w:val="auto"/>
          <w:spacing w:val="0"/>
          <w:sz w:val="24"/>
          <w:szCs w:val="24"/>
          <w:highlight w:val="none"/>
        </w:rPr>
        <w:t>第三方平台对接</w:t>
      </w:r>
      <w:r>
        <w:rPr>
          <w:rFonts w:hint="eastAsia" w:asciiTheme="minorEastAsia" w:hAnsiTheme="minorEastAsia" w:eastAsiaTheme="minorEastAsia" w:cstheme="minorEastAsia"/>
          <w:i w:val="0"/>
          <w:iCs w:val="0"/>
          <w:caps w:val="0"/>
          <w:color w:val="auto"/>
          <w:spacing w:val="0"/>
          <w:sz w:val="24"/>
          <w:szCs w:val="24"/>
          <w:highlight w:val="none"/>
          <w:lang w:eastAsia="zh-CN"/>
        </w:rPr>
        <w:t>、平台运维服务</w:t>
      </w:r>
      <w:r>
        <w:rPr>
          <w:rFonts w:hint="eastAsia" w:asciiTheme="minorEastAsia" w:hAnsiTheme="minorEastAsia" w:eastAsiaTheme="minorEastAsia" w:cstheme="minorEastAsia"/>
          <w:i w:val="0"/>
          <w:iCs w:val="0"/>
          <w:caps w:val="0"/>
          <w:color w:val="auto"/>
          <w:spacing w:val="0"/>
          <w:sz w:val="24"/>
          <w:szCs w:val="24"/>
          <w:highlight w:val="none"/>
          <w:lang w:val="en-US" w:eastAsia="zh-CN"/>
        </w:rPr>
        <w:t>等</w:t>
      </w:r>
      <w:r>
        <w:rPr>
          <w:rFonts w:hint="eastAsia" w:asciiTheme="minorEastAsia" w:hAnsiTheme="minorEastAsia" w:eastAsiaTheme="minorEastAsia" w:cstheme="minorEastAsia"/>
          <w:i w:val="0"/>
          <w:iCs w:val="0"/>
          <w:caps w:val="0"/>
          <w:color w:val="auto"/>
          <w:spacing w:val="0"/>
          <w:sz w:val="24"/>
          <w:szCs w:val="24"/>
          <w:highlight w:val="none"/>
        </w:rPr>
        <w:t>，</w:t>
      </w:r>
      <w:r>
        <w:rPr>
          <w:rFonts w:hint="eastAsia" w:asciiTheme="minorEastAsia" w:hAnsiTheme="minorEastAsia" w:eastAsiaTheme="minorEastAsia" w:cstheme="minorEastAsia"/>
          <w:i w:val="0"/>
          <w:iCs w:val="0"/>
          <w:caps w:val="0"/>
          <w:color w:val="auto"/>
          <w:spacing w:val="0"/>
          <w:sz w:val="24"/>
          <w:szCs w:val="24"/>
          <w:highlight w:val="none"/>
          <w:lang w:val="en-US" w:eastAsia="zh-CN"/>
        </w:rPr>
        <w:t>具体内容详见采购需求。</w:t>
      </w:r>
    </w:p>
    <w:p w14:paraId="2B8CA8B2">
      <w:pPr>
        <w:pStyle w:val="59"/>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最高限价（如有）：</w:t>
      </w:r>
    </w:p>
    <w:p w14:paraId="33494434">
      <w:pPr>
        <w:pStyle w:val="59"/>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sz w:val="24"/>
          <w:szCs w:val="24"/>
          <w:highlight w:val="none"/>
        </w:rPr>
        <w:t>合同履约期限：</w:t>
      </w:r>
      <w:r>
        <w:rPr>
          <w:rFonts w:hint="eastAsia" w:asciiTheme="minorEastAsia" w:hAnsiTheme="minorEastAsia" w:eastAsiaTheme="minorEastAsia" w:cstheme="minorEastAsia"/>
          <w:i w:val="0"/>
          <w:iCs w:val="0"/>
          <w:caps w:val="0"/>
          <w:color w:val="auto"/>
          <w:spacing w:val="0"/>
          <w:sz w:val="24"/>
          <w:szCs w:val="24"/>
          <w:highlight w:val="none"/>
          <w:lang w:eastAsia="zh-CN"/>
        </w:rPr>
        <w:t>自通过平台功能验收之日起质保期1年，质保期结束</w:t>
      </w:r>
      <w:r>
        <w:rPr>
          <w:rFonts w:hint="eastAsia" w:asciiTheme="minorEastAsia" w:hAnsiTheme="minorEastAsia" w:eastAsiaTheme="minorEastAsia" w:cstheme="minorEastAsia"/>
          <w:i w:val="0"/>
          <w:iCs w:val="0"/>
          <w:caps w:val="0"/>
          <w:color w:val="auto"/>
          <w:spacing w:val="0"/>
          <w:sz w:val="24"/>
          <w:szCs w:val="24"/>
          <w:highlight w:val="none"/>
          <w:lang w:val="en-US" w:eastAsia="zh-CN"/>
        </w:rPr>
        <w:t>之日起</w:t>
      </w:r>
      <w:r>
        <w:rPr>
          <w:rFonts w:hint="eastAsia" w:asciiTheme="minorEastAsia" w:hAnsiTheme="minorEastAsia" w:eastAsiaTheme="minorEastAsia" w:cstheme="minorEastAsia"/>
          <w:i w:val="0"/>
          <w:iCs w:val="0"/>
          <w:caps w:val="0"/>
          <w:color w:val="auto"/>
          <w:spacing w:val="0"/>
          <w:sz w:val="24"/>
          <w:szCs w:val="24"/>
          <w:highlight w:val="none"/>
          <w:lang w:eastAsia="zh-CN"/>
        </w:rPr>
        <w:t>提供3年系统运维服务</w:t>
      </w:r>
      <w:r>
        <w:rPr>
          <w:rFonts w:hint="eastAsia" w:asciiTheme="minorEastAsia" w:hAnsiTheme="minorEastAsia" w:eastAsiaTheme="minorEastAsia" w:cstheme="minorEastAsia"/>
          <w:i w:val="0"/>
          <w:iCs w:val="0"/>
          <w:caps w:val="0"/>
          <w:color w:val="auto"/>
          <w:spacing w:val="0"/>
          <w:sz w:val="24"/>
          <w:szCs w:val="24"/>
          <w:highlight w:val="none"/>
        </w:rPr>
        <w:t>。</w:t>
      </w:r>
    </w:p>
    <w:p w14:paraId="4F3D1549">
      <w:pPr>
        <w:pStyle w:val="59"/>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0" w:right="0" w:firstLine="480" w:firstLineChars="200"/>
        <w:textAlignment w:val="auto"/>
        <w:rPr>
          <w:rFonts w:hint="default"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lang w:val="en-US" w:eastAsia="zh-CN"/>
        </w:rPr>
        <w:t>项目交付期限：自合同签订之日起60个日历日内完成</w:t>
      </w:r>
      <w:r>
        <w:rPr>
          <w:rFonts w:hint="eastAsia" w:cs="宋体" w:eastAsiaTheme="minorEastAsia"/>
          <w:color w:val="auto"/>
          <w:sz w:val="24"/>
          <w:highlight w:val="none"/>
          <w:lang w:eastAsia="zh-CN"/>
        </w:rPr>
        <w:t>北海市海洋监管综合执法指挥平台</w:t>
      </w:r>
      <w:r>
        <w:rPr>
          <w:rFonts w:hint="eastAsia" w:asciiTheme="minorEastAsia" w:hAnsiTheme="minorEastAsia" w:eastAsiaTheme="minorEastAsia" w:cstheme="minorEastAsia"/>
          <w:i w:val="0"/>
          <w:iCs w:val="0"/>
          <w:caps w:val="0"/>
          <w:color w:val="auto"/>
          <w:spacing w:val="0"/>
          <w:sz w:val="24"/>
          <w:szCs w:val="24"/>
          <w:highlight w:val="none"/>
          <w:lang w:val="en-US" w:eastAsia="zh-CN"/>
        </w:rPr>
        <w:t>开发服务并交付使用。</w:t>
      </w:r>
    </w:p>
    <w:p w14:paraId="6F088FF7">
      <w:pPr>
        <w:pStyle w:val="59"/>
        <w:keepNext w:val="0"/>
        <w:keepLines w:val="0"/>
        <w:pageBreakBefore w:val="0"/>
        <w:widowControl/>
        <w:suppressLineNumbers w:val="0"/>
        <w:kinsoku/>
        <w:wordWrap w:val="0"/>
        <w:overflowPunct/>
        <w:topLinePunct w:val="0"/>
        <w:autoSpaceDE/>
        <w:autoSpaceDN/>
        <w:bidi w:val="0"/>
        <w:adjustRightInd w:val="0"/>
        <w:spacing w:before="0" w:beforeAutospacing="0" w:after="0" w:afterAutospacing="0" w:line="440" w:lineRule="exact"/>
        <w:ind w:left="479" w:leftChars="228" w:right="0" w:firstLine="0" w:firstLineChars="0"/>
        <w:textAlignment w:val="auto"/>
        <w:rPr>
          <w:rFonts w:hint="eastAsia" w:asciiTheme="minorEastAsia" w:hAnsiTheme="minorEastAsia" w:eastAsiaTheme="minorEastAsia" w:cstheme="minorEastAsia"/>
          <w:i w:val="0"/>
          <w:iCs w:val="0"/>
          <w:caps w:val="0"/>
          <w:color w:val="auto"/>
          <w:spacing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rPr>
        <w:t>本标项（</w:t>
      </w:r>
      <w:r>
        <w:rPr>
          <w:rStyle w:val="80"/>
          <w:rFonts w:hint="eastAsia" w:asciiTheme="minorEastAsia" w:hAnsiTheme="minorEastAsia" w:eastAsiaTheme="minorEastAsia" w:cstheme="minorEastAsia"/>
          <w:i w:val="0"/>
          <w:iCs w:val="0"/>
          <w:caps w:val="0"/>
          <w:color w:val="auto"/>
          <w:spacing w:val="0"/>
          <w:sz w:val="24"/>
          <w:szCs w:val="24"/>
          <w:highlight w:val="none"/>
        </w:rPr>
        <w:t>否</w:t>
      </w:r>
      <w:r>
        <w:rPr>
          <w:rFonts w:hint="eastAsia" w:asciiTheme="minorEastAsia" w:hAnsiTheme="minorEastAsia" w:eastAsiaTheme="minorEastAsia" w:cstheme="minorEastAsia"/>
          <w:i w:val="0"/>
          <w:iCs w:val="0"/>
          <w:caps w:val="0"/>
          <w:color w:val="auto"/>
          <w:spacing w:val="0"/>
          <w:sz w:val="24"/>
          <w:szCs w:val="24"/>
          <w:highlight w:val="none"/>
        </w:rPr>
        <w:t>）接受联合体投标</w:t>
      </w:r>
      <w:r>
        <w:rPr>
          <w:rFonts w:hint="eastAsia" w:asciiTheme="minorEastAsia" w:hAnsiTheme="minorEastAsia" w:eastAsiaTheme="minorEastAsia" w:cstheme="minorEastAsia"/>
          <w:i w:val="0"/>
          <w:iCs w:val="0"/>
          <w:caps w:val="0"/>
          <w:color w:val="auto"/>
          <w:spacing w:val="0"/>
          <w:sz w:val="24"/>
          <w:szCs w:val="24"/>
          <w:highlight w:val="none"/>
        </w:rPr>
        <w:br w:type="textWrapping"/>
      </w:r>
      <w:r>
        <w:rPr>
          <w:rFonts w:hint="eastAsia" w:asciiTheme="minorEastAsia" w:hAnsiTheme="minorEastAsia" w:eastAsiaTheme="minorEastAsia" w:cstheme="minorEastAsia"/>
          <w:i w:val="0"/>
          <w:iCs w:val="0"/>
          <w:caps w:val="0"/>
          <w:color w:val="auto"/>
          <w:spacing w:val="0"/>
          <w:sz w:val="24"/>
          <w:szCs w:val="24"/>
          <w:highlight w:val="none"/>
        </w:rPr>
        <w:t>备注：</w:t>
      </w:r>
      <w:r>
        <w:rPr>
          <w:rFonts w:hint="eastAsia" w:asciiTheme="minorEastAsia" w:hAnsiTheme="minorEastAsia" w:eastAsiaTheme="minorEastAsia" w:cstheme="minorEastAsia"/>
          <w:i w:val="0"/>
          <w:iCs w:val="0"/>
          <w:caps w:val="0"/>
          <w:color w:val="auto"/>
          <w:spacing w:val="0"/>
          <w:sz w:val="24"/>
          <w:szCs w:val="24"/>
          <w:highlight w:val="none"/>
          <w:lang w:val="en-US" w:eastAsia="zh-CN"/>
        </w:rPr>
        <w:t>无</w:t>
      </w:r>
    </w:p>
    <w:p w14:paraId="0121DE7B">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5D980790">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r>
        <w:rPr>
          <w:rFonts w:ascii="宋体" w:hAnsi="宋体" w:cs="宋体"/>
          <w:snapToGrid w:val="0"/>
          <w:color w:val="auto"/>
          <w:kern w:val="28"/>
          <w:sz w:val="24"/>
          <w:szCs w:val="20"/>
          <w:highlight w:val="none"/>
        </w:rPr>
        <w:t xml:space="preserve"> </w:t>
      </w:r>
    </w:p>
    <w:p w14:paraId="3A0320E6">
      <w:pPr>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color w:val="auto"/>
          <w:sz w:val="24"/>
          <w:highlight w:val="none"/>
          <w:lang w:val="en-US" w:eastAsia="zh-CN"/>
        </w:rPr>
        <w:t>无</w:t>
      </w:r>
      <w:r>
        <w:rPr>
          <w:rFonts w:hint="eastAsia" w:ascii="宋体" w:hAnsi="宋体" w:cs="宋体"/>
          <w:snapToGrid w:val="0"/>
          <w:color w:val="auto"/>
          <w:kern w:val="28"/>
          <w:sz w:val="24"/>
          <w:szCs w:val="20"/>
          <w:highlight w:val="none"/>
          <w:lang w:val="en-US" w:eastAsia="zh-CN"/>
        </w:rPr>
        <w:t>；</w:t>
      </w:r>
    </w:p>
    <w:p w14:paraId="6E7996A2">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lang w:val="en-US" w:eastAsia="zh-CN"/>
        </w:rPr>
        <w:t>无</w:t>
      </w:r>
      <w:r>
        <w:rPr>
          <w:rFonts w:hint="eastAsia" w:ascii="宋体" w:hAnsi="宋体" w:cs="宋体"/>
          <w:color w:val="auto"/>
          <w:sz w:val="24"/>
          <w:highlight w:val="none"/>
          <w:lang w:eastAsia="zh-CN"/>
        </w:rPr>
        <w:t>。</w:t>
      </w:r>
    </w:p>
    <w:p w14:paraId="6A7E955B">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3A3494C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，下午12:00至23:59（北京时间，法定节假日除外）</w:t>
      </w:r>
    </w:p>
    <w:p w14:paraId="4F95DB1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地点（网址）：广西政府采购云平台（https://www.gcy.zfcg.gxzf.gov.cn/） </w:t>
      </w:r>
    </w:p>
    <w:p w14:paraId="6246E20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 xml:space="preserve">登录广西政府采购云平台（https://www.gcy.zfcg.gxzf.gov.cn/）在线申请获取采购文件（进入“项目采购”应用，在获取采购文件菜单中选择项目，申请获取采购文件）。 </w:t>
      </w:r>
    </w:p>
    <w:p w14:paraId="6E290C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售价（元）：0</w:t>
      </w:r>
      <w:r>
        <w:rPr>
          <w:rFonts w:hint="eastAsia" w:ascii="宋体" w:hAnsi="宋体" w:cs="宋体"/>
          <w:color w:val="auto"/>
          <w:sz w:val="24"/>
          <w:highlight w:val="none"/>
        </w:rPr>
        <w:tab/>
      </w:r>
    </w:p>
    <w:p w14:paraId="6F51369A">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3BE8A4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提交投标文件截止时间：</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09时00</w:t>
      </w:r>
      <w:r>
        <w:rPr>
          <w:rFonts w:hint="eastAsia" w:ascii="宋体" w:hAnsi="宋体" w:cs="宋体"/>
          <w:color w:val="auto"/>
          <w:sz w:val="24"/>
          <w:highlight w:val="none"/>
          <w:u w:val="single"/>
        </w:rPr>
        <w:t>分</w:t>
      </w:r>
      <w:r>
        <w:rPr>
          <w:rFonts w:hint="eastAsia" w:ascii="宋体" w:hAnsi="宋体" w:cs="宋体"/>
          <w:color w:val="auto"/>
          <w:sz w:val="24"/>
          <w:highlight w:val="none"/>
        </w:rPr>
        <w:t>（北京时间）</w:t>
      </w:r>
    </w:p>
    <w:p w14:paraId="32BF7F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投标地点（网址）：广西政府采购云平台（https://www.gcy.zfcg.gxzf.gov.cn/） </w:t>
      </w:r>
    </w:p>
    <w:p w14:paraId="32CD9D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u w:val="single"/>
          <w:lang w:eastAsia="zh-CN"/>
        </w:rPr>
        <w:t>2026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09时00</w:t>
      </w:r>
      <w:r>
        <w:rPr>
          <w:rFonts w:hint="eastAsia" w:ascii="宋体" w:hAnsi="宋体" w:cs="宋体"/>
          <w:color w:val="auto"/>
          <w:sz w:val="24"/>
          <w:highlight w:val="none"/>
          <w:u w:val="single"/>
        </w:rPr>
        <w:t>分</w:t>
      </w:r>
      <w:r>
        <w:rPr>
          <w:rFonts w:hint="eastAsia" w:ascii="宋体" w:hAnsi="宋体" w:cs="宋体"/>
          <w:color w:val="auto"/>
          <w:sz w:val="24"/>
          <w:highlight w:val="none"/>
        </w:rPr>
        <w:t>（北京时间）</w:t>
      </w:r>
    </w:p>
    <w:p w14:paraId="3DE3B2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开标地点（网址）：广西政府采购云平台（https://www.gcy.zfcg.gxzf.gov.cn/）</w:t>
      </w:r>
    </w:p>
    <w:p w14:paraId="647CAA34">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64030B8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542A3B31">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383BC4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1.投标保证金：</w:t>
      </w:r>
      <w:r>
        <w:rPr>
          <w:rFonts w:hint="eastAsia" w:ascii="宋体" w:hAnsi="宋体" w:cs="宋体"/>
          <w:color w:val="auto"/>
          <w:sz w:val="24"/>
          <w:highlight w:val="none"/>
          <w:lang w:val="en-US" w:eastAsia="zh-CN"/>
        </w:rPr>
        <w:t>本项目不收取投标保证金</w:t>
      </w:r>
      <w:r>
        <w:rPr>
          <w:rFonts w:hint="eastAsia" w:ascii="宋体" w:hAnsi="宋体" w:cs="宋体"/>
          <w:color w:val="auto"/>
          <w:sz w:val="24"/>
          <w:highlight w:val="none"/>
        </w:rPr>
        <w:t>。</w:t>
      </w:r>
    </w:p>
    <w:p w14:paraId="449C635E">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其他要求：（1）</w:t>
      </w:r>
      <w:r>
        <w:rPr>
          <w:rFonts w:hint="eastAsia" w:ascii="宋体" w:hAnsi="宋体" w:cs="宋体"/>
          <w:color w:val="auto"/>
          <w:sz w:val="24"/>
          <w:highlight w:val="none"/>
        </w:rPr>
        <w:t>单位负责人为同一人或者存在直接控股、管理关系的不同</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，不得参加同一合同项下的政府采购活动；为采购项目提供整体设计、规范编制或者项目管理、监理、检测等服务后不得再参加该采购项目的其他采购活动。</w:t>
      </w:r>
    </w:p>
    <w:p w14:paraId="69B04CA8">
      <w:pPr>
        <w:adjustRightInd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未被“信用中国”（www.creditchina.gov.cn)、中国政府采购网（www.ccgp.gov.cn）列入失信被执行人、重大税收违法案件当事人名单、政府采购严重违法失信行为记录名单</w:t>
      </w:r>
      <w:r>
        <w:rPr>
          <w:rFonts w:hint="eastAsia" w:ascii="宋体" w:hAnsi="宋体" w:cs="宋体"/>
          <w:color w:val="auto"/>
          <w:sz w:val="24"/>
          <w:highlight w:val="none"/>
          <w:lang w:eastAsia="zh-CN"/>
        </w:rPr>
        <w:t>。</w:t>
      </w:r>
    </w:p>
    <w:p w14:paraId="456A9427">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（3）如分支机构或分公司投标时，需提供具有独立法人资格的总公司授权，授权书须加盖总公司的公章。</w:t>
      </w:r>
    </w:p>
    <w:p w14:paraId="72DEFF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本项目需要落实的政府采购政策：（1）支持采用本国产品：政府采购应当采购本国产品，确需采购进口产品的，实行审核管理。优先采购向我国企业转让技术、与我国企业签订消化吸收再创新方案的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1F407C92">
      <w:pPr>
        <w:spacing w:line="360" w:lineRule="auto"/>
        <w:ind w:firstLine="480" w:firstLineChars="200"/>
        <w:rPr>
          <w:color w:val="auto"/>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若有融资意向，详见《关于贯彻落实政府采购领域促进中小企业发展措施的通知》，或登录北海市政府采购中心网站自助查询。</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中标后也可在“广西政府采购云”平台申请政采贷：操作路径：登录广西政府采购云平台-金融服务中心-【融资服务】，可在热门申请中选择产品直接申请。</w:t>
      </w:r>
    </w:p>
    <w:p w14:paraId="0DDEF5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.网上公告媒体查询</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广西政府采购网（http://zfcg.gxzf.gov.cn/）、中国政府采购网（http://www.ccgp.gov.cn/）、全国公共资源交易平台（广西·北海）（http://ggzy.jgswj.gxzf.gov.cn/bhggzy/）</w:t>
      </w:r>
      <w:r>
        <w:rPr>
          <w:rFonts w:hint="eastAsia" w:ascii="宋体" w:hAnsi="宋体" w:cs="宋体"/>
          <w:color w:val="auto"/>
          <w:sz w:val="24"/>
          <w:highlight w:val="none"/>
        </w:rPr>
        <w:t>。</w:t>
      </w:r>
    </w:p>
    <w:p w14:paraId="4D1CBD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.本项目通过广西政府采购云平台实行在线投标响应（电子投标），为确保网上操作合法、有效和安全，</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应当在</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9335F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14:paraId="505FE21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eastAsia="宋体" w:cs="宋体"/>
          <w:color w:val="auto"/>
          <w:sz w:val="24"/>
          <w:highlight w:val="none"/>
          <w:lang w:val="en-US" w:eastAsia="zh-CN"/>
        </w:rPr>
        <w:t>本项目采用远程异地评标</w:t>
      </w:r>
      <w:r>
        <w:rPr>
          <w:rFonts w:hint="eastAsia" w:ascii="宋体" w:hAnsi="宋体" w:cs="宋体"/>
          <w:color w:val="auto"/>
          <w:sz w:val="24"/>
          <w:highlight w:val="none"/>
          <w:lang w:val="en-US" w:eastAsia="zh-CN"/>
        </w:rPr>
        <w:t>。</w:t>
      </w:r>
    </w:p>
    <w:p w14:paraId="5001B064">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639B4C4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信息</w:t>
      </w:r>
    </w:p>
    <w:p w14:paraId="3587E35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北海市海洋局</w:t>
      </w:r>
    </w:p>
    <w:p w14:paraId="434128A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北海市银海区广东南路241号</w:t>
      </w:r>
      <w:r>
        <w:rPr>
          <w:rFonts w:hint="eastAsia" w:ascii="宋体" w:hAnsi="宋体" w:cs="宋体"/>
          <w:color w:val="auto"/>
          <w:sz w:val="24"/>
          <w:highlight w:val="none"/>
        </w:rPr>
        <w:t xml:space="preserve">      </w:t>
      </w:r>
    </w:p>
    <w:p w14:paraId="7CDA66F7">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符工</w:t>
      </w:r>
      <w:r>
        <w:rPr>
          <w:rFonts w:hint="eastAsia" w:ascii="宋体" w:hAnsi="宋体" w:eastAsia="宋体" w:cs="宋体"/>
          <w:color w:val="auto"/>
          <w:sz w:val="24"/>
          <w:highlight w:val="none"/>
          <w:lang w:eastAsia="zh-CN"/>
        </w:rPr>
        <w:t xml:space="preserve">  </w:t>
      </w:r>
    </w:p>
    <w:p w14:paraId="41BD3285">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eastAsia="zh-CN"/>
        </w:rPr>
        <w:t>0779-3058352</w:t>
      </w:r>
    </w:p>
    <w:p w14:paraId="0409717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3DC2A9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402745BF">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称：广西北部湾宏亚建设管理有限公司</w:t>
      </w:r>
    </w:p>
    <w:p w14:paraId="0F637858">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北海市海城区银河城市科技产业城2幢0101号</w:t>
      </w:r>
    </w:p>
    <w:p w14:paraId="635F51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韦丽丹</w:t>
      </w:r>
      <w:r>
        <w:rPr>
          <w:rFonts w:hint="eastAsia" w:ascii="宋体" w:hAnsi="宋体" w:cs="宋体"/>
          <w:color w:val="auto"/>
          <w:sz w:val="24"/>
          <w:highlight w:val="none"/>
        </w:rPr>
        <w:t xml:space="preserve"> </w:t>
      </w:r>
    </w:p>
    <w:p w14:paraId="0A719C1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eastAsia="zh-CN"/>
        </w:rPr>
        <w:t>0779-3928925/17777900073</w:t>
      </w:r>
      <w:r>
        <w:rPr>
          <w:rFonts w:hint="eastAsia" w:ascii="宋体" w:hAnsi="宋体" w:cs="宋体"/>
          <w:color w:val="auto"/>
          <w:sz w:val="24"/>
          <w:highlight w:val="none"/>
        </w:rPr>
        <w:t xml:space="preserve"> </w:t>
      </w:r>
    </w:p>
    <w:p w14:paraId="79215876">
      <w:pPr>
        <w:spacing w:line="360" w:lineRule="auto"/>
        <w:rPr>
          <w:color w:val="auto"/>
          <w:highlight w:val="none"/>
        </w:rPr>
      </w:pPr>
    </w:p>
    <w:p w14:paraId="3D1A6C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73A80A73">
      <w:pPr>
        <w:rPr>
          <w:color w:val="auto"/>
          <w:highlight w:val="none"/>
        </w:rPr>
      </w:pPr>
    </w:p>
    <w:p w14:paraId="089031C4">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7F59145C">
      <w:pPr>
        <w:pStyle w:val="2"/>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bookmarkStart w:id="12" w:name="_Toc2531"/>
      <w:bookmarkStart w:id="13" w:name="_Toc176368903"/>
      <w:r>
        <w:rPr>
          <w:rFonts w:hint="eastAsia"/>
          <w:color w:val="auto"/>
          <w:sz w:val="36"/>
          <w:szCs w:val="36"/>
          <w:highlight w:val="none"/>
        </w:rPr>
        <w:t>第二部分</w:t>
      </w:r>
      <w:bookmarkEnd w:id="8"/>
      <w:r>
        <w:rPr>
          <w:rFonts w:hint="eastAsia"/>
          <w:color w:val="auto"/>
          <w:sz w:val="36"/>
          <w:szCs w:val="36"/>
          <w:highlight w:val="none"/>
        </w:rPr>
        <w:t xml:space="preserve"> 投标人须知</w:t>
      </w:r>
      <w:bookmarkEnd w:id="9"/>
      <w:bookmarkEnd w:id="12"/>
      <w:bookmarkEnd w:id="13"/>
    </w:p>
    <w:p w14:paraId="0AC79A41">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0CCE6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tcPr>
          <w:p w14:paraId="43D0EBB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6AB59B9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59FC986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1049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1660D00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6CCB9271">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3ECABD47">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4E1A8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DC91F3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CC672D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7282654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宋体" w:hAnsi="宋体" w:eastAsia="宋体" w:cs="宋体"/>
                <w:color w:val="auto"/>
                <w:highlight w:val="none"/>
                <w:lang w:val="en-US"/>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北海市海洋监管综合执法指挥平台项目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软件和信息技术服务业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tc>
      </w:tr>
      <w:tr w14:paraId="2AE42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1C398E2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211272C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E10330D">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bookmarkStart w:id="511" w:name="_GoBack"/>
                <w:r>
                  <w:rPr>
                    <w:rFonts w:hint="eastAsia" w:ascii="宋体" w:hAnsi="宋体" w:cs="宋体"/>
                    <w:color w:val="auto"/>
                    <w:kern w:val="0"/>
                    <w:sz w:val="24"/>
                    <w:highlight w:val="none"/>
                  </w:rPr>
                  <w:sym w:font="Wingdings" w:char="F0FE"/>
                </w:r>
                <w:bookmarkEnd w:id="511"/>
              </w:sdtContent>
            </w:sdt>
            <w:r>
              <w:rPr>
                <w:rFonts w:hint="eastAsia" w:ascii="宋体" w:hAnsi="宋体" w:cs="宋体"/>
                <w:color w:val="auto"/>
                <w:kern w:val="0"/>
                <w:sz w:val="24"/>
                <w:highlight w:val="none"/>
              </w:rPr>
              <w:t>本项目不允许采购进口产品。</w:t>
            </w:r>
          </w:p>
          <w:p w14:paraId="1824E8D6">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684AA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167E1BD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BAFA8C8">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19C57F5A">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127633135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70552E9F">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24BE2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4DACDE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BF557C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4C120D0A">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06147F67">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tc>
      </w:tr>
      <w:tr w14:paraId="55904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03C6A5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FE86D6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28E0E3BC">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2AA8C21C">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28839C24">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FBF5208">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88ECCD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561B4E24">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BD25614">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或采购代理机构将不予接收，并将清场并封闭样品现场。</w:t>
            </w:r>
          </w:p>
          <w:p w14:paraId="6F6F66C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、采购代理机构将通知未中标人在规定的时间内取回，逾期未取回的，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、采购代理机构不负保管义务；对于中标人提供的样品，</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将进行保管、封存，并作为履约验收的参考。</w:t>
            </w:r>
          </w:p>
          <w:p w14:paraId="3BAFE5B4">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6F22F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5" w:hRule="atLeast"/>
        </w:trPr>
        <w:tc>
          <w:tcPr>
            <w:tcW w:w="629" w:type="dxa"/>
            <w:tcBorders>
              <w:top w:val="single" w:color="auto" w:sz="4" w:space="0"/>
              <w:left w:val="single" w:color="auto" w:sz="4" w:space="0"/>
              <w:bottom w:val="single" w:color="auto" w:sz="4" w:space="0"/>
              <w:right w:val="single" w:color="auto" w:sz="4" w:space="0"/>
            </w:tcBorders>
            <w:vAlign w:val="center"/>
          </w:tcPr>
          <w:p w14:paraId="0F64FF5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165C910">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5BDAE04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17FED4D">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B组织。</w:t>
            </w:r>
          </w:p>
          <w:p w14:paraId="12866C8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评标阶段，将安排投标人进行</w:t>
            </w:r>
            <w:r>
              <w:rPr>
                <w:rFonts w:hint="eastAsia" w:ascii="宋体" w:hAnsi="宋体" w:cs="宋体"/>
                <w:color w:val="auto"/>
                <w:kern w:val="0"/>
                <w:sz w:val="24"/>
                <w:highlight w:val="none"/>
                <w:lang w:eastAsia="zh-CN"/>
              </w:rPr>
              <w:t>平台</w:t>
            </w:r>
            <w:r>
              <w:rPr>
                <w:rFonts w:hint="eastAsia" w:ascii="宋体" w:hAnsi="宋体" w:cs="宋体"/>
                <w:color w:val="auto"/>
                <w:kern w:val="0"/>
                <w:sz w:val="24"/>
                <w:highlight w:val="none"/>
              </w:rPr>
              <w:t>演示。</w:t>
            </w:r>
            <w:r>
              <w:rPr>
                <w:rFonts w:hint="eastAsia" w:ascii="宋体" w:hAnsi="宋体" w:cs="宋体"/>
                <w:color w:val="auto"/>
                <w:kern w:val="0"/>
                <w:sz w:val="24"/>
                <w:highlight w:val="none"/>
                <w:lang w:val="en-US" w:eastAsia="zh-CN"/>
              </w:rPr>
              <w:t>每位</w:t>
            </w:r>
            <w:r>
              <w:rPr>
                <w:rFonts w:hint="eastAsia" w:ascii="宋体" w:hAnsi="宋体" w:cs="宋体"/>
                <w:color w:val="auto"/>
                <w:kern w:val="0"/>
                <w:sz w:val="24"/>
                <w:highlight w:val="none"/>
              </w:rPr>
              <w:t>投标人</w:t>
            </w:r>
            <w:r>
              <w:rPr>
                <w:rFonts w:hint="eastAsia" w:ascii="宋体" w:hAnsi="宋体" w:cs="宋体"/>
                <w:color w:val="auto"/>
                <w:kern w:val="0"/>
                <w:sz w:val="24"/>
                <w:highlight w:val="none"/>
                <w:lang w:val="en-US" w:eastAsia="zh-CN"/>
              </w:rPr>
              <w:t>演示</w:t>
            </w:r>
            <w:r>
              <w:rPr>
                <w:rFonts w:hint="eastAsia" w:ascii="宋体" w:hAnsi="宋体" w:cs="宋体"/>
                <w:color w:val="auto"/>
                <w:kern w:val="0"/>
                <w:sz w:val="24"/>
                <w:highlight w:val="none"/>
              </w:rPr>
              <w:t>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rPr>
              <w:t>人。讲解演示结束后</w:t>
            </w:r>
            <w:r>
              <w:rPr>
                <w:rFonts w:hint="eastAsia" w:ascii="宋体" w:hAnsi="宋体" w:cs="宋体"/>
                <w:color w:val="auto"/>
                <w:kern w:val="0"/>
                <w:sz w:val="24"/>
                <w:highlight w:val="none"/>
                <w:lang w:val="en-US" w:eastAsia="zh-CN"/>
              </w:rPr>
              <w:t>需就</w:t>
            </w:r>
            <w:r>
              <w:rPr>
                <w:rFonts w:hint="eastAsia" w:ascii="宋体" w:hAnsi="宋体" w:cs="宋体"/>
                <w:color w:val="auto"/>
                <w:kern w:val="0"/>
                <w:sz w:val="24"/>
                <w:highlight w:val="none"/>
              </w:rPr>
              <w:t>评标委员会</w:t>
            </w:r>
            <w:r>
              <w:rPr>
                <w:rFonts w:hint="eastAsia" w:ascii="宋体" w:hAnsi="宋体" w:cs="宋体"/>
                <w:color w:val="auto"/>
                <w:kern w:val="0"/>
                <w:sz w:val="24"/>
                <w:highlight w:val="none"/>
                <w:lang w:val="en-US" w:eastAsia="zh-CN"/>
              </w:rPr>
              <w:t>的</w:t>
            </w:r>
            <w:r>
              <w:rPr>
                <w:rFonts w:hint="eastAsia" w:ascii="宋体" w:hAnsi="宋体" w:cs="宋体"/>
                <w:color w:val="auto"/>
                <w:kern w:val="0"/>
                <w:sz w:val="24"/>
                <w:highlight w:val="none"/>
              </w:rPr>
              <w:t>提问</w:t>
            </w:r>
            <w:r>
              <w:rPr>
                <w:rFonts w:hint="eastAsia" w:ascii="宋体" w:hAnsi="宋体" w:cs="宋体"/>
                <w:color w:val="auto"/>
                <w:kern w:val="0"/>
                <w:sz w:val="24"/>
                <w:highlight w:val="none"/>
                <w:lang w:val="en-US" w:eastAsia="zh-CN"/>
              </w:rPr>
              <w:t>进行现场答疑</w:t>
            </w:r>
            <w:r>
              <w:rPr>
                <w:rFonts w:hint="eastAsia" w:ascii="宋体" w:hAnsi="宋体" w:cs="宋体"/>
                <w:color w:val="auto"/>
                <w:kern w:val="0"/>
                <w:sz w:val="24"/>
                <w:highlight w:val="none"/>
              </w:rPr>
              <w:t>。</w:t>
            </w:r>
          </w:p>
          <w:p w14:paraId="5EC14B5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（2）方案讲解演示方式：</w:t>
            </w:r>
          </w:p>
          <w:p w14:paraId="30429AE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广西政府采购云平台在线讲解演示。广西政府采购云平台在线讲解需投标人根据广西政府采购云平台操作要求做好准备工作，提前完善软</w:t>
            </w:r>
            <w:r>
              <w:rPr>
                <w:rFonts w:hint="eastAsia" w:ascii="宋体" w:hAnsi="宋体" w:cs="宋体"/>
                <w:color w:val="auto"/>
                <w:kern w:val="0"/>
                <w:sz w:val="24"/>
                <w:highlight w:val="none"/>
                <w:lang w:val="en-US" w:eastAsia="zh-CN"/>
              </w:rPr>
              <w:t>件</w:t>
            </w:r>
            <w:r>
              <w:rPr>
                <w:rFonts w:hint="eastAsia" w:ascii="宋体" w:hAnsi="宋体" w:cs="宋体"/>
                <w:color w:val="auto"/>
                <w:kern w:val="0"/>
                <w:sz w:val="24"/>
                <w:highlight w:val="none"/>
              </w:rPr>
              <w:t>硬件配置环境。</w:t>
            </w:r>
          </w:p>
          <w:p w14:paraId="08D4683D">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w:t>
            </w:r>
            <w:r>
              <w:rPr>
                <w:rFonts w:hint="eastAsia" w:ascii="宋体" w:hAnsi="宋体" w:cs="宋体"/>
                <w:color w:val="auto"/>
                <w:kern w:val="0"/>
                <w:sz w:val="24"/>
                <w:highlight w:val="none"/>
                <w:lang w:val="en-US" w:eastAsia="zh-CN"/>
              </w:rPr>
              <w:t>意</w:t>
            </w:r>
            <w:r>
              <w:rPr>
                <w:rFonts w:hint="eastAsia" w:ascii="宋体" w:hAnsi="宋体" w:cs="宋体"/>
                <w:color w:val="auto"/>
                <w:kern w:val="0"/>
                <w:sz w:val="24"/>
                <w:highlight w:val="none"/>
              </w:rPr>
              <w:t>：因投标人自身原因导致无法演示或者演示效果不理想的，责任自负。因平台原因导致本项目方案讲解演示环节无法顺利开展，按照相关规定执行。</w:t>
            </w:r>
          </w:p>
        </w:tc>
      </w:tr>
      <w:tr w14:paraId="7DA22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5555827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0896008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6F49B563">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D80A3FF">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7BC75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3F741648">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7268ACAF">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4C50AC4B">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14:paraId="6BFA75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9EFA9D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1EC4A6A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6A4168C">
            <w:pPr>
              <w:snapToGrid w:val="0"/>
              <w:spacing w:line="360" w:lineRule="auto"/>
              <w:rPr>
                <w:rFonts w:ascii="宋体" w:hAnsi="宋体" w:cs="宋体"/>
                <w:color w:val="auto"/>
                <w:highlight w:val="none"/>
              </w:rPr>
            </w:pP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拟采购的产品属于品目清单范围的，</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及其委托的采购代理机构将依据国家确定的认证机构出具的、处于有效期之内的节能产品、环境标志产品认证证书，对获得证书的产品实施政府优先采购或强制采购。</w:t>
            </w:r>
          </w:p>
        </w:tc>
      </w:tr>
      <w:tr w14:paraId="34163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89"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4BDC87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102359F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C790794">
            <w:pPr>
              <w:numPr>
                <w:ilvl w:val="0"/>
                <w:numId w:val="1"/>
              </w:numPr>
              <w:snapToGrid w:val="0"/>
              <w:spacing w:line="360" w:lineRule="auto"/>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报价已包含履行合同全部义务所需的人工费、材料费、</w:t>
            </w:r>
            <w:r>
              <w:rPr>
                <w:rFonts w:hint="eastAsia" w:ascii="宋体" w:hAnsi="宋体" w:cs="宋体"/>
                <w:color w:val="auto"/>
                <w:kern w:val="0"/>
                <w:sz w:val="24"/>
                <w:highlight w:val="none"/>
                <w:lang w:val="en-US" w:eastAsia="zh-CN"/>
              </w:rPr>
              <w:t>技术</w:t>
            </w:r>
            <w:r>
              <w:rPr>
                <w:rFonts w:hint="eastAsia" w:ascii="宋体" w:hAnsi="宋体" w:cs="宋体"/>
                <w:color w:val="auto"/>
                <w:kern w:val="0"/>
                <w:sz w:val="24"/>
                <w:highlight w:val="none"/>
                <w:lang w:val="zh-CN"/>
              </w:rPr>
              <w:t>使用费、管理</w:t>
            </w:r>
            <w:r>
              <w:rPr>
                <w:rFonts w:hint="eastAsia" w:ascii="宋体" w:hAnsi="宋体" w:cs="宋体"/>
                <w:color w:val="auto"/>
                <w:kern w:val="0"/>
                <w:sz w:val="24"/>
                <w:highlight w:val="none"/>
                <w:lang w:val="en-US" w:eastAsia="zh-CN"/>
              </w:rPr>
              <w:t>费用</w:t>
            </w:r>
            <w:r>
              <w:rPr>
                <w:rFonts w:hint="eastAsia" w:ascii="宋体" w:hAnsi="宋体" w:cs="宋体"/>
                <w:color w:val="auto"/>
                <w:kern w:val="0"/>
                <w:sz w:val="24"/>
                <w:highlight w:val="none"/>
                <w:lang w:val="zh-CN"/>
              </w:rPr>
              <w:t>、保险、税费、规费、利润、售后服务等一切费用，招标人无需另行支付任何其他费用。</w:t>
            </w:r>
          </w:p>
          <w:p w14:paraId="5054FE93">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p>
          <w:p w14:paraId="250A1BE6">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投标文件中价格全部采用人民币报价。</w:t>
            </w:r>
          </w:p>
          <w:p w14:paraId="0535AF17">
            <w:pPr>
              <w:numPr>
                <w:ilvl w:val="0"/>
                <w:numId w:val="1"/>
              </w:num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招标文件未列明，而投标人认为必需的费用也需列入报价。</w:t>
            </w:r>
          </w:p>
          <w:p w14:paraId="4BE7ECEB">
            <w:pPr>
              <w:snapToGrid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投标报价出现下列情形的，投标无效：</w:t>
            </w:r>
          </w:p>
          <w:p w14:paraId="4D3AD7C0">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①</w:t>
            </w:r>
            <w:r>
              <w:rPr>
                <w:rFonts w:hint="eastAsia" w:ascii="宋体" w:hAnsi="宋体" w:cs="宋体"/>
                <w:color w:val="auto"/>
                <w:kern w:val="0"/>
                <w:sz w:val="24"/>
                <w:highlight w:val="none"/>
                <w:lang w:val="zh-CN"/>
              </w:rPr>
              <w:t>投标文件出现不是唯一的、有选择性投标报价的；</w:t>
            </w:r>
          </w:p>
          <w:p w14:paraId="17CAD809">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en-US" w:eastAsia="zh-CN"/>
              </w:rPr>
              <w:t>②</w:t>
            </w:r>
            <w:r>
              <w:rPr>
                <w:rFonts w:hint="eastAsia" w:ascii="宋体" w:hAnsi="宋体" w:cs="宋体"/>
                <w:color w:val="auto"/>
                <w:kern w:val="0"/>
                <w:sz w:val="24"/>
                <w:highlight w:val="none"/>
                <w:lang w:val="zh-CN"/>
              </w:rPr>
              <w:t>投标报价超过招标文件中规定的预算金额或者最高限价的;</w:t>
            </w:r>
          </w:p>
          <w:p w14:paraId="5BFEC01C">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③</w:t>
            </w:r>
            <w:r>
              <w:rPr>
                <w:rFonts w:hint="eastAsia" w:ascii="宋体" w:hAnsi="宋体" w:cs="宋体"/>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color w:val="auto"/>
                <w:sz w:val="24"/>
                <w:szCs w:val="21"/>
                <w:highlight w:val="none"/>
              </w:rPr>
              <w:t>;</w:t>
            </w:r>
          </w:p>
          <w:p w14:paraId="3731D4E1">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en-US" w:eastAsia="zh-CN"/>
              </w:rPr>
              <w:t>④</w:t>
            </w: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14:paraId="4C838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050CE50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55A5E7C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27AE3D51">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w:t>
            </w: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若有融资意向，详见《关于贯彻落实政府采购领域促进中小企业发展措施的通知》，或登录北海市政府采购中心网站自助查询。</w:t>
            </w:r>
          </w:p>
          <w:p w14:paraId="114BEB14">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lang w:eastAsia="zh-CN"/>
              </w:rPr>
              <w:t>投标人</w:t>
            </w:r>
            <w:r>
              <w:rPr>
                <w:rFonts w:hint="eastAsia" w:ascii="宋体" w:hAnsi="宋体" w:cs="宋体"/>
                <w:snapToGrid w:val="0"/>
                <w:color w:val="auto"/>
                <w:kern w:val="28"/>
                <w:sz w:val="24"/>
                <w:highlight w:val="none"/>
              </w:rPr>
              <w:t>中标后也可在“广西政府采购云”平台申请政采贷：操作路径：登录广西政府采购云平台-金融服务中心-【融资服务】，可在热门申请中选择产品直接申请。</w:t>
            </w:r>
          </w:p>
        </w:tc>
      </w:tr>
      <w:tr w14:paraId="78728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3BF98DD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6A28BE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4464FEE7">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552692D8">
            <w:pPr>
              <w:pStyle w:val="34"/>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lang w:eastAsia="zh-CN"/>
              </w:rPr>
              <w:t>招标人</w:t>
            </w:r>
            <w:r>
              <w:rPr>
                <w:rFonts w:hint="eastAsia" w:hAnsi="宋体" w:cs="宋体"/>
                <w:b/>
                <w:color w:val="auto"/>
                <w:sz w:val="24"/>
                <w:highlight w:val="none"/>
              </w:rPr>
              <w:t>、采购代理机构不强制或变相强制投标人提交备份投标文件。</w:t>
            </w:r>
          </w:p>
        </w:tc>
      </w:tr>
      <w:tr w14:paraId="234F8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778E3E0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1FD49E9E">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2BFE994A">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7442A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17375C10">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1D1613B9">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6AD41EDF">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7CB8AB0B">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33375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0B2CF64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7411626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6CB8DC4A">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w:t>
            </w:r>
            <w:r>
              <w:rPr>
                <w:rFonts w:hint="eastAsia" w:cs="Arial" w:asciiTheme="minorEastAsia" w:hAnsiTheme="minorEastAsia" w:eastAsiaTheme="minorEastAsia"/>
                <w:color w:val="auto"/>
                <w:kern w:val="0"/>
                <w:sz w:val="24"/>
                <w:highlight w:val="none"/>
                <w:lang w:eastAsia="zh-CN"/>
              </w:rPr>
              <w:t>招标人</w:t>
            </w:r>
            <w:r>
              <w:rPr>
                <w:rFonts w:hint="eastAsia" w:cs="Arial" w:asciiTheme="minorEastAsia" w:hAnsiTheme="minorEastAsia" w:eastAsiaTheme="minorEastAsia"/>
                <w:color w:val="auto"/>
                <w:kern w:val="0"/>
                <w:sz w:val="24"/>
                <w:highlight w:val="none"/>
              </w:rPr>
              <w:t>及代理机构。</w:t>
            </w:r>
          </w:p>
        </w:tc>
      </w:tr>
    </w:tbl>
    <w:p w14:paraId="6961E9E0">
      <w:pPr>
        <w:snapToGrid w:val="0"/>
        <w:spacing w:line="360" w:lineRule="auto"/>
        <w:jc w:val="center"/>
        <w:rPr>
          <w:rFonts w:ascii="宋体" w:hAnsi="宋体" w:cs="宋体"/>
          <w:b/>
          <w:color w:val="auto"/>
          <w:sz w:val="32"/>
          <w:szCs w:val="20"/>
          <w:highlight w:val="none"/>
        </w:rPr>
      </w:pPr>
    </w:p>
    <w:bookmarkEnd w:id="10"/>
    <w:p w14:paraId="7AA31088">
      <w:pPr>
        <w:rPr>
          <w:rFonts w:hint="eastAsia" w:ascii="宋体" w:hAnsi="宋体" w:cs="宋体"/>
          <w:b/>
          <w:color w:val="auto"/>
          <w:sz w:val="32"/>
          <w:szCs w:val="20"/>
          <w:highlight w:val="none"/>
        </w:rPr>
      </w:pPr>
      <w:bookmarkStart w:id="14" w:name="_Toc164416483"/>
      <w:bookmarkStart w:id="15" w:name="第三部分"/>
      <w:r>
        <w:rPr>
          <w:rFonts w:hint="eastAsia" w:ascii="宋体" w:hAnsi="宋体" w:cs="宋体"/>
          <w:b/>
          <w:color w:val="auto"/>
          <w:sz w:val="32"/>
          <w:szCs w:val="20"/>
          <w:highlight w:val="none"/>
        </w:rPr>
        <w:br w:type="page"/>
      </w:r>
    </w:p>
    <w:p w14:paraId="5D01D1BD">
      <w:pPr>
        <w:adjustRightInd/>
        <w:spacing w:line="360" w:lineRule="auto"/>
        <w:ind w:firstLine="3845" w:firstLineChars="1197"/>
        <w:outlineLvl w:val="1"/>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5F246F33">
      <w:pPr>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 适用范围</w:t>
      </w:r>
    </w:p>
    <w:p w14:paraId="78E414A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2AF49B97">
      <w:pPr>
        <w:adjustRightInd/>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2.定义</w:t>
      </w:r>
    </w:p>
    <w:p w14:paraId="1FC50E5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w:t>
      </w:r>
    </w:p>
    <w:p w14:paraId="28F750F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268626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102BFB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14:paraId="79700B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03BBA3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的法定代表人（负责人）或其委托代理人的电子签名；如果</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没有法定代表人（负责人）或其委托代理人的电子签名，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也可以线下签名或盖姓名章后扫描上传。电子投标文件加盖公章部分均采用CA签章。</w:t>
      </w:r>
    </w:p>
    <w:p w14:paraId="6F6835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2.6“电子交易平台”系指本项目政府采购活动所依托的广西政府采购云平台（https://www.gcy.zfcg.gxzf.gov.cn/）。</w:t>
      </w:r>
    </w:p>
    <w:p w14:paraId="249A94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14:paraId="72359A7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511172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采购进口产品，已经在采购活动开始前向财政部门提出申请并获得财政部门审核同意，且在采购需求中明确规定可以采购进口产品（但如果因信息不对称等原因，仍有满足需求的国内产品要求参与采购竞争的，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的进口产品</w:t>
      </w:r>
      <w:r>
        <w:rPr>
          <w:rFonts w:hint="eastAsia" w:ascii="宋体" w:hAnsi="宋体" w:cs="宋体"/>
          <w:color w:val="auto"/>
          <w:sz w:val="24"/>
          <w:highlight w:val="none"/>
        </w:rPr>
        <w:t>。</w:t>
      </w:r>
    </w:p>
    <w:p w14:paraId="54B658A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 支持绿色发展</w:t>
      </w:r>
    </w:p>
    <w:p w14:paraId="7AD653C4">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拟采购的产品属于品目清单范围的，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拟采购的产品属于政府强制采购的节能产品品目清单范围的，投标人相应的投标产品未获得国家确定的认证机构出具的、处于有效期之内的节能产品认证证书的，投标无效。</w:t>
      </w:r>
    </w:p>
    <w:p w14:paraId="101C34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应将绿色建筑和绿色建材性能、指标等作为实质性条件纳入招标文件和合同。</w:t>
      </w:r>
    </w:p>
    <w:p w14:paraId="7FB612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4C8D9A0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在参加政府采购过程中开展绿色设计、选择绿色材料、打造绿色制造工艺、开展绿色运输、做好废弃产品回收处理，实现产品全周期的绿色环保。鼓励采购单位对其提高预付款比例、免收履约保证金。</w:t>
      </w:r>
    </w:p>
    <w:p w14:paraId="23A053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3.3支持中小企业发展</w:t>
      </w:r>
    </w:p>
    <w:p w14:paraId="533E45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66CA369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F1B58A4">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4EA299D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27E27538">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16" w:name="_Hlk101132181"/>
      <w:r>
        <w:rPr>
          <w:rFonts w:hint="eastAsia" w:ascii="宋体" w:hAnsi="宋体" w:cs="宋体"/>
          <w:color w:val="auto"/>
          <w:sz w:val="24"/>
          <w:highlight w:val="none"/>
        </w:rPr>
        <w:t>联合协议或者分包意向协议约定小微企业的合同份额占到合同总金额30%以上的</w:t>
      </w:r>
      <w:bookmarkEnd w:id="16"/>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14:paraId="76E2A0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2B7C53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86C2B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2DA90D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316F14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0F11A9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优先采购被认定为首台套产品和“制造精品”的自主创新产品。</w:t>
      </w:r>
    </w:p>
    <w:p w14:paraId="3851F51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267340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w:t>
      </w:r>
    </w:p>
    <w:p w14:paraId="11959F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是内资还是外资企业，均应依法保障其平等参与政府采购活动的权利。不得以所有制形式、组织形式、股权结构、投资者国别、产品品牌以及其他不合理的条件对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予以限定。平等对待内外资企业，切实保障企业公平竞争，平等维护企业的合法利益。</w:t>
      </w:r>
    </w:p>
    <w:p w14:paraId="2BEE9EBF">
      <w:pPr>
        <w:pStyle w:val="85"/>
        <w:rPr>
          <w:bCs/>
          <w:color w:val="auto"/>
          <w:highlight w:val="none"/>
        </w:rPr>
      </w:pPr>
      <w:r>
        <w:rPr>
          <w:rFonts w:hint="eastAsia"/>
          <w:color w:val="auto"/>
          <w:highlight w:val="none"/>
        </w:rPr>
        <w:t>3.6平等对待符合条件的破产重整企业</w:t>
      </w:r>
    </w:p>
    <w:p w14:paraId="2F5FE9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23AAFB9A">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4. 询问、质疑、投诉</w:t>
      </w:r>
    </w:p>
    <w:p w14:paraId="6B09BBF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w:t>
      </w:r>
    </w:p>
    <w:p w14:paraId="5C63642E">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投标人在线提起询问、质疑、投诉，路径为：投标人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30217F37">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询问联系部门：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r>
        <w:rPr>
          <w:rFonts w:hint="eastAsia"/>
          <w:color w:val="auto"/>
          <w:highlight w:val="none"/>
          <w:lang w:val="zh-CN" w:eastAsia="zh-CN"/>
        </w:rPr>
        <w:t xml:space="preserve">  </w:t>
      </w:r>
      <w:r>
        <w:rPr>
          <w:rFonts w:hint="eastAsia"/>
          <w:color w:val="auto"/>
          <w:highlight w:val="none"/>
          <w:lang w:val="zh-CN"/>
        </w:rPr>
        <w:t>联系电话：</w:t>
      </w:r>
      <w:r>
        <w:rPr>
          <w:rFonts w:hint="eastAsia"/>
          <w:color w:val="auto"/>
          <w:highlight w:val="none"/>
          <w:lang w:val="zh-CN" w:eastAsia="zh-CN"/>
        </w:rPr>
        <w:t>0779-3928925</w:t>
      </w:r>
    </w:p>
    <w:p w14:paraId="661F24A8">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联系人：</w:t>
      </w:r>
      <w:r>
        <w:rPr>
          <w:rFonts w:hint="eastAsia"/>
          <w:color w:val="auto"/>
          <w:highlight w:val="none"/>
          <w:lang w:val="zh-CN" w:eastAsia="zh-CN"/>
        </w:rPr>
        <w:t>韦工</w:t>
      </w:r>
      <w:r>
        <w:rPr>
          <w:rFonts w:hint="eastAsia"/>
          <w:color w:val="auto"/>
          <w:highlight w:val="none"/>
          <w:lang w:val="zh-CN"/>
        </w:rPr>
        <w:t xml:space="preserve">    地址：</w:t>
      </w:r>
      <w:r>
        <w:rPr>
          <w:rFonts w:hint="eastAsia"/>
          <w:color w:val="auto"/>
          <w:highlight w:val="none"/>
          <w:lang w:val="zh-CN" w:eastAsia="zh-CN"/>
        </w:rPr>
        <w:t>北海市海城区银河城市科技产业城2幢0101号</w:t>
      </w:r>
    </w:p>
    <w:p w14:paraId="22B7E0A3">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质疑联系部门：</w:t>
      </w:r>
      <w:r>
        <w:rPr>
          <w:rFonts w:hint="eastAsia"/>
          <w:color w:val="auto"/>
          <w:highlight w:val="none"/>
          <w:lang w:val="zh-CN" w:eastAsia="zh-CN"/>
        </w:rPr>
        <w:t>广西北部湾宏亚建设管理有限公司</w:t>
      </w:r>
      <w:r>
        <w:rPr>
          <w:rFonts w:hint="eastAsia"/>
          <w:color w:val="auto"/>
          <w:highlight w:val="none"/>
          <w:lang w:val="zh-CN"/>
        </w:rPr>
        <w:t xml:space="preserve">   </w:t>
      </w:r>
      <w:r>
        <w:rPr>
          <w:rFonts w:hint="eastAsia"/>
          <w:color w:val="auto"/>
          <w:highlight w:val="none"/>
          <w:lang w:val="zh-CN" w:eastAsia="zh-CN"/>
        </w:rPr>
        <w:t xml:space="preserve">  </w:t>
      </w:r>
      <w:r>
        <w:rPr>
          <w:rFonts w:hint="eastAsia"/>
          <w:color w:val="auto"/>
          <w:highlight w:val="none"/>
          <w:lang w:val="zh-CN"/>
        </w:rPr>
        <w:t>联系电话：</w:t>
      </w:r>
      <w:r>
        <w:rPr>
          <w:rFonts w:hint="eastAsia"/>
          <w:color w:val="auto"/>
          <w:highlight w:val="none"/>
          <w:lang w:val="zh-CN" w:eastAsia="zh-CN"/>
        </w:rPr>
        <w:t>0779-3928925</w:t>
      </w:r>
    </w:p>
    <w:p w14:paraId="5CF2A106">
      <w:pPr>
        <w:pStyle w:val="888"/>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联系人：</w:t>
      </w:r>
      <w:r>
        <w:rPr>
          <w:rFonts w:hint="eastAsia"/>
          <w:color w:val="auto"/>
          <w:highlight w:val="none"/>
          <w:lang w:val="zh-CN" w:eastAsia="zh-CN"/>
        </w:rPr>
        <w:t>韦工</w:t>
      </w:r>
      <w:r>
        <w:rPr>
          <w:rFonts w:hint="eastAsia"/>
          <w:color w:val="auto"/>
          <w:highlight w:val="none"/>
          <w:lang w:val="zh-CN"/>
        </w:rPr>
        <w:t xml:space="preserve">   地址：</w:t>
      </w:r>
      <w:r>
        <w:rPr>
          <w:rFonts w:hint="eastAsia"/>
          <w:color w:val="auto"/>
          <w:highlight w:val="none"/>
          <w:lang w:val="zh-CN" w:eastAsia="zh-CN"/>
        </w:rPr>
        <w:t>北海市海城区银河城市科技产业城2幢0101号</w:t>
      </w:r>
      <w:r>
        <w:rPr>
          <w:rFonts w:hint="eastAsia"/>
          <w:color w:val="auto"/>
          <w:highlight w:val="none"/>
          <w:lang w:val="zh-CN"/>
        </w:rPr>
        <w:t xml:space="preserve">        </w:t>
      </w:r>
    </w:p>
    <w:p w14:paraId="6E924314">
      <w:pPr>
        <w:pStyle w:val="888"/>
        <w:shd w:val="clear" w:color="auto" w:fill="FFFFFF"/>
        <w:snapToGrid w:val="0"/>
        <w:spacing w:before="0" w:beforeAutospacing="0" w:after="0" w:afterAutospacing="0" w:line="360" w:lineRule="auto"/>
        <w:ind w:left="479" w:leftChars="228" w:firstLine="0" w:firstLineChars="0"/>
        <w:contextualSpacing/>
        <w:rPr>
          <w:rFonts w:hint="eastAsia"/>
          <w:color w:val="auto"/>
          <w:highlight w:val="none"/>
          <w:lang w:val="zh-CN" w:eastAsia="zh-CN"/>
        </w:rPr>
      </w:pPr>
      <w:r>
        <w:rPr>
          <w:rFonts w:hint="eastAsia"/>
          <w:color w:val="auto"/>
          <w:highlight w:val="none"/>
          <w:lang w:val="zh-CN"/>
        </w:rPr>
        <w:t xml:space="preserve">投诉联系部门：北海市财政局      </w:t>
      </w:r>
      <w:r>
        <w:rPr>
          <w:rFonts w:hint="eastAsia"/>
          <w:color w:val="auto"/>
          <w:highlight w:val="none"/>
          <w:lang w:val="en-US" w:eastAsia="zh-CN"/>
        </w:rPr>
        <w:t>联系电话：</w:t>
      </w:r>
      <w:r>
        <w:rPr>
          <w:rFonts w:hint="eastAsia"/>
          <w:color w:val="auto"/>
          <w:highlight w:val="none"/>
          <w:lang w:val="zh-CN"/>
        </w:rPr>
        <w:t xml:space="preserve">0779-3063975     </w:t>
      </w:r>
      <w:r>
        <w:rPr>
          <w:rFonts w:hint="eastAsia"/>
          <w:color w:val="auto"/>
          <w:highlight w:val="none"/>
          <w:lang w:val="zh-CN" w:eastAsia="zh-CN"/>
        </w:rPr>
        <w:t xml:space="preserve"> </w:t>
      </w:r>
    </w:p>
    <w:p w14:paraId="678FCC66">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4.2投标人询问</w:t>
      </w:r>
    </w:p>
    <w:p w14:paraId="198CFBB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对政府采购活动事项有疑问的，可以提出询问，招标人或者采购代理机构应当在3个工作日内对投标人依法提出的询问作出答复，但答复的内容不得涉及商业秘密。投标人提出的询问超出招标人对采购代理机构委托授权范围的，采购代理机构应当告知投标人向招标人提出。</w:t>
      </w:r>
    </w:p>
    <w:p w14:paraId="6545800C">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4.3投标人质疑</w:t>
      </w:r>
    </w:p>
    <w:p w14:paraId="4F565D09">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w:t>
      </w:r>
      <w:r>
        <w:rPr>
          <w:rFonts w:hint="eastAsia" w:hAnsi="宋体" w:cs="宋体"/>
          <w:color w:val="auto"/>
          <w:sz w:val="24"/>
          <w:highlight w:val="none"/>
          <w:lang w:eastAsia="zh-CN"/>
        </w:rPr>
        <w:t>投标人</w:t>
      </w:r>
      <w:r>
        <w:rPr>
          <w:rFonts w:hint="eastAsia" w:hAnsi="宋体" w:cs="宋体"/>
          <w:color w:val="auto"/>
          <w:sz w:val="24"/>
          <w:highlight w:val="none"/>
        </w:rPr>
        <w:t>应当是参与所质疑项目采购活动的</w:t>
      </w:r>
      <w:r>
        <w:rPr>
          <w:rFonts w:hint="eastAsia" w:hAnsi="宋体" w:cs="宋体"/>
          <w:color w:val="auto"/>
          <w:sz w:val="24"/>
          <w:highlight w:val="none"/>
          <w:lang w:eastAsia="zh-CN"/>
        </w:rPr>
        <w:t>投标人</w:t>
      </w:r>
      <w:r>
        <w:rPr>
          <w:rFonts w:hint="eastAsia" w:hAnsi="宋体" w:cs="宋体"/>
          <w:color w:val="auto"/>
          <w:sz w:val="24"/>
          <w:highlight w:val="none"/>
        </w:rPr>
        <w:t>。潜在</w:t>
      </w:r>
      <w:r>
        <w:rPr>
          <w:rFonts w:hint="eastAsia" w:hAnsi="宋体" w:cs="宋体"/>
          <w:color w:val="auto"/>
          <w:sz w:val="24"/>
          <w:highlight w:val="none"/>
          <w:lang w:eastAsia="zh-CN"/>
        </w:rPr>
        <w:t>投标人</w:t>
      </w:r>
      <w:r>
        <w:rPr>
          <w:rFonts w:hint="eastAsia" w:hAnsi="宋体" w:cs="宋体"/>
          <w:color w:val="auto"/>
          <w:sz w:val="24"/>
          <w:highlight w:val="none"/>
        </w:rPr>
        <w:t>已依法获取其可质疑的招标文件的，可以对该文件提出质疑。</w:t>
      </w:r>
    </w:p>
    <w:p w14:paraId="73213AFC">
      <w:pPr>
        <w:pStyle w:val="34"/>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w:t>
      </w:r>
      <w:r>
        <w:rPr>
          <w:rFonts w:hint="eastAsia" w:hAnsi="宋体" w:cs="宋体"/>
          <w:color w:val="auto"/>
          <w:sz w:val="24"/>
          <w:highlight w:val="none"/>
          <w:lang w:eastAsia="zh-CN"/>
        </w:rPr>
        <w:t>投标人</w:t>
      </w:r>
      <w:r>
        <w:rPr>
          <w:rFonts w:hint="eastAsia" w:hAnsi="宋体" w:cs="宋体"/>
          <w:color w:val="auto"/>
          <w:sz w:val="24"/>
          <w:highlight w:val="none"/>
        </w:rPr>
        <w:t>认为招标文件、采购过程和中标结果使自己的权益受到损害的，可以在知道或者应知其权益受到损害之日起七个工作日内，以书面形式向</w:t>
      </w:r>
      <w:r>
        <w:rPr>
          <w:rFonts w:hint="eastAsia" w:hAnsi="宋体" w:cs="宋体"/>
          <w:color w:val="auto"/>
          <w:sz w:val="24"/>
          <w:highlight w:val="none"/>
          <w:lang w:eastAsia="zh-CN"/>
        </w:rPr>
        <w:t>招标人</w:t>
      </w:r>
      <w:r>
        <w:rPr>
          <w:rFonts w:hint="eastAsia" w:hAnsi="宋体" w:cs="宋体"/>
          <w:color w:val="auto"/>
          <w:sz w:val="24"/>
          <w:highlight w:val="none"/>
        </w:rPr>
        <w:t>或者采购代理机构提出质疑，否则，</w:t>
      </w:r>
      <w:r>
        <w:rPr>
          <w:rFonts w:hint="eastAsia" w:hAnsi="宋体" w:cs="宋体"/>
          <w:color w:val="auto"/>
          <w:sz w:val="24"/>
          <w:highlight w:val="none"/>
          <w:lang w:eastAsia="zh-CN"/>
        </w:rPr>
        <w:t>招标人</w:t>
      </w:r>
      <w:r>
        <w:rPr>
          <w:rFonts w:hint="eastAsia" w:hAnsi="宋体" w:cs="宋体"/>
          <w:color w:val="auto"/>
          <w:sz w:val="24"/>
          <w:highlight w:val="none"/>
        </w:rPr>
        <w:t>或者采购代理机构不予受理：</w:t>
      </w:r>
    </w:p>
    <w:p w14:paraId="76F6A279">
      <w:pPr>
        <w:pStyle w:val="1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w:t>
      </w:r>
      <w:r>
        <w:rPr>
          <w:rFonts w:hint="eastAsia" w:hAnsi="宋体" w:cs="宋体"/>
          <w:snapToGrid/>
          <w:color w:val="auto"/>
          <w:kern w:val="2"/>
          <w:sz w:val="24"/>
          <w:highlight w:val="none"/>
          <w:lang w:eastAsia="zh-CN"/>
        </w:rPr>
        <w:t>投标人</w:t>
      </w:r>
      <w:r>
        <w:rPr>
          <w:rFonts w:hint="eastAsia" w:hAnsi="宋体" w:cs="宋体"/>
          <w:snapToGrid/>
          <w:color w:val="auto"/>
          <w:kern w:val="2"/>
          <w:sz w:val="24"/>
          <w:highlight w:val="none"/>
        </w:rPr>
        <w:t>获得招标文件之日或者招标文件公告期限届满之日起计算。</w:t>
      </w:r>
    </w:p>
    <w:p w14:paraId="07F4FD80">
      <w:pPr>
        <w:pStyle w:val="34"/>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599E8DEF">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lang w:eastAsia="zh-CN"/>
        </w:rPr>
        <w:t>投标人</w:t>
      </w:r>
      <w:r>
        <w:rPr>
          <w:rFonts w:hint="eastAsia" w:hAnsi="宋体" w:cs="宋体"/>
          <w:color w:val="auto"/>
          <w:sz w:val="24"/>
          <w:highlight w:val="none"/>
        </w:rPr>
        <w:t>提出质疑应当提交质疑函和必要的证明材料。质疑函应当包括下列内容：</w:t>
      </w:r>
    </w:p>
    <w:p w14:paraId="7B8BECC1">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4.3.3.1投标人的姓名或者名称、地址、邮编、联系人及联系电话；</w:t>
      </w:r>
    </w:p>
    <w:p w14:paraId="095E63C5">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2BA27A9D">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1F314C48">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4.3.3.4事实依据；</w:t>
      </w:r>
    </w:p>
    <w:p w14:paraId="11E7F9F3">
      <w:pPr>
        <w:pStyle w:val="34"/>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67D7DB2F">
      <w:pPr>
        <w:pStyle w:val="34"/>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65308029">
      <w:pPr>
        <w:pStyle w:val="34"/>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投标人提交的质疑函需一式三份。投标人为自然人的，应当由本人签字；投标人为法人或者其他组织的，应当由法定代表人、主要负责人，或者其授权代表签字或者盖章，并加盖公章。</w:t>
      </w:r>
    </w:p>
    <w:p w14:paraId="027EC032">
      <w:pPr>
        <w:pStyle w:val="34"/>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4.3.4对同一采购程序环节的质疑，</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须在法定质疑期内一次性提出。</w:t>
      </w:r>
    </w:p>
    <w:p w14:paraId="346883B5">
      <w:pPr>
        <w:pStyle w:val="34"/>
        <w:spacing w:line="360" w:lineRule="auto"/>
        <w:ind w:firstLine="480" w:firstLineChars="200"/>
        <w:rPr>
          <w:color w:val="auto"/>
          <w:highlight w:val="none"/>
        </w:rPr>
      </w:pPr>
      <w:r>
        <w:rPr>
          <w:rFonts w:hint="eastAsia" w:ascii="宋体" w:hAnsi="宋体" w:eastAsia="宋体" w:cs="宋体"/>
          <w:color w:val="auto"/>
          <w:kern w:val="0"/>
          <w:sz w:val="24"/>
          <w:highlight w:val="none"/>
          <w:lang w:val="zh-CN"/>
        </w:rPr>
        <w:t>4.3.5</w:t>
      </w:r>
      <w:r>
        <w:rPr>
          <w:rFonts w:hint="eastAsia" w:hAnsi="宋体" w:cs="宋体"/>
          <w:color w:val="auto"/>
          <w:kern w:val="0"/>
          <w:sz w:val="24"/>
          <w:highlight w:val="none"/>
          <w:lang w:val="zh-CN"/>
        </w:rPr>
        <w:t>招标人</w:t>
      </w:r>
      <w:r>
        <w:rPr>
          <w:rFonts w:hint="eastAsia" w:ascii="宋体" w:hAnsi="宋体" w:eastAsia="宋体" w:cs="宋体"/>
          <w:color w:val="auto"/>
          <w:kern w:val="0"/>
          <w:sz w:val="24"/>
          <w:highlight w:val="none"/>
          <w:lang w:val="zh-CN"/>
        </w:rPr>
        <w:t>或者采购代理机构应当在收到</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的书面质疑后七个工作日内作出答复，并以书面形式通知质疑</w:t>
      </w:r>
      <w:r>
        <w:rPr>
          <w:rFonts w:hint="eastAsia" w:ascii="宋体" w:hAnsi="宋体" w:eastAsia="宋体" w:cs="宋体"/>
          <w:color w:val="auto"/>
          <w:kern w:val="0"/>
          <w:sz w:val="24"/>
          <w:highlight w:val="none"/>
          <w:lang w:val="zh-CN" w:eastAsia="zh-CN"/>
        </w:rPr>
        <w:t>投标人</w:t>
      </w:r>
      <w:r>
        <w:rPr>
          <w:rFonts w:hint="eastAsia" w:ascii="宋体" w:hAnsi="宋体" w:eastAsia="宋体" w:cs="宋体"/>
          <w:color w:val="auto"/>
          <w:kern w:val="0"/>
          <w:sz w:val="24"/>
          <w:highlight w:val="none"/>
          <w:lang w:val="zh-CN"/>
        </w:rPr>
        <w:t>和其他与质疑处理结果有利害关系的政府采购当事人，但答复的内容不得涉及商业秘密。</w:t>
      </w:r>
      <w:r>
        <w:rPr>
          <w:rFonts w:hint="eastAsia" w:hAnsi="宋体" w:cs="宋体"/>
          <w:color w:val="auto"/>
          <w:kern w:val="0"/>
          <w:sz w:val="24"/>
          <w:highlight w:val="none"/>
          <w:lang w:val="zh-CN"/>
        </w:rPr>
        <w:t>招标人</w:t>
      </w:r>
      <w:r>
        <w:rPr>
          <w:rFonts w:hint="eastAsia" w:ascii="宋体" w:hAnsi="宋体" w:eastAsia="宋体" w:cs="宋体"/>
          <w:color w:val="auto"/>
          <w:kern w:val="0"/>
          <w:sz w:val="24"/>
          <w:highlight w:val="none"/>
          <w:lang w:val="zh-CN"/>
        </w:rPr>
        <w:t>或者采购代理机构应当质疑回复后5个工作日内，在广西政府采购网公开质疑答复，答复内容应当完整。</w:t>
      </w:r>
    </w:p>
    <w:p w14:paraId="14B8F3EC">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4.3.6根据</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与采购代理机构签订的采购委托协议，质疑答复责任主体如下：</w:t>
      </w:r>
      <w:r>
        <w:rPr>
          <w:rFonts w:asciiTheme="minorEastAsia" w:hAnsiTheme="minorEastAsia" w:eastAsiaTheme="minorEastAsia"/>
          <w:color w:val="auto"/>
          <w:sz w:val="24"/>
          <w:highlight w:val="none"/>
        </w:rPr>
        <w:t xml:space="preserve"> </w:t>
      </w:r>
    </w:p>
    <w:p w14:paraId="4B4A6138">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CC4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2236B1B1">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37BD6A57">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1E7B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4CA469CC">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1B190ABA">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6AB42A8A">
            <w:pPr>
              <w:pStyle w:val="34"/>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招标人</w:t>
            </w:r>
          </w:p>
        </w:tc>
      </w:tr>
      <w:tr w14:paraId="34AE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2FF1A4">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09A9DCC4">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7B621E58">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2D62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6249B7FE">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D1B4706">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EEEBECD">
            <w:pPr>
              <w:pStyle w:val="34"/>
              <w:spacing w:line="360" w:lineRule="auto"/>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招标人</w:t>
            </w:r>
          </w:p>
        </w:tc>
      </w:tr>
      <w:tr w14:paraId="2098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2161D8E">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6B1E6183">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09CB0DBC">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77A8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1CD6FE12">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069C21A">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4E3A86C0">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070ADBE9">
      <w:pPr>
        <w:pStyle w:val="888"/>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lang w:eastAsia="zh-CN"/>
        </w:rPr>
        <w:t>招标人</w:t>
      </w:r>
      <w:r>
        <w:rPr>
          <w:rFonts w:hint="eastAsia" w:asciiTheme="minorEastAsia" w:hAnsiTheme="minorEastAsia" w:eastAsiaTheme="minorEastAsia"/>
          <w:color w:val="auto"/>
          <w:highlight w:val="none"/>
        </w:rPr>
        <w:t>或代理机构或应当协助质疑答复责任主体及时答复</w:t>
      </w:r>
      <w:r>
        <w:rPr>
          <w:rFonts w:hint="eastAsia" w:eastAsiaTheme="minorEastAsia"/>
          <w:color w:val="auto"/>
          <w:highlight w:val="none"/>
          <w:lang w:eastAsia="zh-CN"/>
        </w:rPr>
        <w:t>投标人</w:t>
      </w:r>
      <w:r>
        <w:rPr>
          <w:rFonts w:hint="eastAsia"/>
          <w:color w:val="auto"/>
          <w:highlight w:val="none"/>
        </w:rPr>
        <w:t>的书面质疑。</w:t>
      </w:r>
    </w:p>
    <w:p w14:paraId="1BA89703">
      <w:pPr>
        <w:pStyle w:val="888"/>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.7询问或者质疑事项可能影响采购结果的，</w:t>
      </w:r>
      <w:r>
        <w:rPr>
          <w:rFonts w:hint="eastAsia"/>
          <w:color w:val="auto"/>
          <w:highlight w:val="none"/>
          <w:lang w:eastAsia="zh-CN"/>
        </w:rPr>
        <w:t>招标人</w:t>
      </w:r>
      <w:r>
        <w:rPr>
          <w:rFonts w:hint="eastAsia"/>
          <w:color w:val="auto"/>
          <w:highlight w:val="none"/>
        </w:rPr>
        <w:t>应当暂停签订合同，已经签订合同的，应当中止履行合同。</w:t>
      </w:r>
    </w:p>
    <w:p w14:paraId="018FCB67">
      <w:pPr>
        <w:pStyle w:val="888"/>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4.4投标人投诉</w:t>
      </w:r>
    </w:p>
    <w:p w14:paraId="4C3C1407">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4.4.1质疑</w:t>
      </w:r>
      <w:r>
        <w:rPr>
          <w:rFonts w:hint="eastAsia"/>
          <w:color w:val="auto"/>
          <w:highlight w:val="none"/>
          <w:lang w:eastAsia="zh-CN"/>
        </w:rPr>
        <w:t>投标人</w:t>
      </w:r>
      <w:r>
        <w:rPr>
          <w:rFonts w:hint="eastAsia"/>
          <w:color w:val="auto"/>
          <w:highlight w:val="none"/>
        </w:rPr>
        <w:t>对</w:t>
      </w:r>
      <w:r>
        <w:rPr>
          <w:rFonts w:hint="eastAsia"/>
          <w:color w:val="auto"/>
          <w:highlight w:val="none"/>
          <w:lang w:eastAsia="zh-CN"/>
        </w:rPr>
        <w:t>招标人</w:t>
      </w:r>
      <w:r>
        <w:rPr>
          <w:rFonts w:hint="eastAsia"/>
          <w:color w:val="auto"/>
          <w:highlight w:val="none"/>
        </w:rPr>
        <w:t>、采购代理机构的答复不满意或者</w:t>
      </w:r>
      <w:r>
        <w:rPr>
          <w:rFonts w:hint="eastAsia"/>
          <w:color w:val="auto"/>
          <w:highlight w:val="none"/>
          <w:lang w:eastAsia="zh-CN"/>
        </w:rPr>
        <w:t>招标人</w:t>
      </w:r>
      <w:r>
        <w:rPr>
          <w:rFonts w:hint="eastAsia"/>
          <w:color w:val="auto"/>
          <w:highlight w:val="none"/>
        </w:rPr>
        <w:t>、采购代理机构未在规定的时间内作出答复的，可以在答复期满后十五个工作日内向同级政府采购监督管理部门提出投诉。</w:t>
      </w:r>
    </w:p>
    <w:p w14:paraId="4B10591E">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lang w:eastAsia="zh-CN"/>
        </w:rPr>
        <w:t>投标人</w:t>
      </w:r>
      <w:r>
        <w:rPr>
          <w:rFonts w:hint="eastAsia"/>
          <w:color w:val="auto"/>
          <w:highlight w:val="none"/>
        </w:rPr>
        <w:t>投诉的事项不得超出已质疑事项的范围，基于质疑答复内容提出的投诉事项除外。</w:t>
      </w:r>
    </w:p>
    <w:p w14:paraId="781FDB6C">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w:t>
      </w:r>
      <w:r>
        <w:rPr>
          <w:rFonts w:hint="eastAsia"/>
          <w:color w:val="auto"/>
          <w:highlight w:val="none"/>
          <w:lang w:eastAsia="zh-CN"/>
        </w:rPr>
        <w:t>投标人</w:t>
      </w:r>
      <w:r>
        <w:rPr>
          <w:rFonts w:hint="eastAsia"/>
          <w:color w:val="auto"/>
          <w:highlight w:val="none"/>
        </w:rPr>
        <w:t>投诉应当有明确的请求和必要的证明材料。</w:t>
      </w:r>
    </w:p>
    <w:p w14:paraId="5E191A20">
      <w:pPr>
        <w:pStyle w:val="888"/>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4.4.4以联合体形式参加政府采购活动的，其投诉应当由组成联合体的所有</w:t>
      </w:r>
      <w:r>
        <w:rPr>
          <w:rFonts w:hint="eastAsia"/>
          <w:color w:val="auto"/>
          <w:highlight w:val="none"/>
          <w:lang w:eastAsia="zh-CN"/>
        </w:rPr>
        <w:t>投标人</w:t>
      </w:r>
      <w:r>
        <w:rPr>
          <w:rFonts w:hint="eastAsia"/>
          <w:color w:val="auto"/>
          <w:highlight w:val="none"/>
        </w:rPr>
        <w:t>共同提出。</w:t>
      </w:r>
    </w:p>
    <w:p w14:paraId="17BC2BE6">
      <w:pPr>
        <w:pStyle w:val="888"/>
        <w:shd w:val="clear" w:color="auto" w:fill="FFFFFF"/>
        <w:snapToGrid w:val="0"/>
        <w:spacing w:after="240" w:afterAutospacing="0" w:line="360" w:lineRule="auto"/>
        <w:ind w:firstLine="400"/>
        <w:contextualSpacing/>
        <w:rPr>
          <w:color w:val="auto"/>
          <w:highlight w:val="none"/>
        </w:rPr>
      </w:pPr>
    </w:p>
    <w:p w14:paraId="3F7F56B5">
      <w:pPr>
        <w:pStyle w:val="131"/>
        <w:snapToGrid w:val="0"/>
        <w:spacing w:before="0"/>
        <w:ind w:firstLine="360"/>
        <w:rPr>
          <w:rFonts w:ascii="宋体" w:hAnsi="宋体" w:cs="宋体"/>
          <w:color w:val="auto"/>
          <w:sz w:val="18"/>
          <w:szCs w:val="18"/>
          <w:highlight w:val="none"/>
        </w:rPr>
      </w:pPr>
    </w:p>
    <w:p w14:paraId="64B001C2">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01737571">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61FAD343">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2D79CB88">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5.1.1招标公告；</w:t>
      </w:r>
    </w:p>
    <w:p w14:paraId="3B48CA7E">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5.1.2投标人须知；</w:t>
      </w:r>
    </w:p>
    <w:p w14:paraId="39C926BB">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5.1.3采购需求；</w:t>
      </w:r>
    </w:p>
    <w:p w14:paraId="4B56A308">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5.1.4评标办法；</w:t>
      </w:r>
    </w:p>
    <w:p w14:paraId="0316EC03">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5.1.5拟签订的合同文本；</w:t>
      </w:r>
    </w:p>
    <w:p w14:paraId="6356B7D9">
      <w:pPr>
        <w:pStyle w:val="34"/>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590439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0C6E0FD5">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5B01893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6.1已获取招标文件的潜在投标人，若有问题需要澄清，应于投标截止时间前，以书面形式向采购代理机构提出。</w:t>
      </w:r>
    </w:p>
    <w:p w14:paraId="0E6F6C89">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E257049">
      <w:pPr>
        <w:pStyle w:val="24"/>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7DC7162C">
      <w:pPr>
        <w:adjustRightInd/>
        <w:spacing w:line="360" w:lineRule="auto"/>
        <w:jc w:val="center"/>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3B0ECD0E">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3AB5B51E">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77940A8B">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5261EB30">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lang w:eastAsia="zh-CN"/>
        </w:rPr>
        <w:t>招标人</w:t>
      </w:r>
      <w:r>
        <w:rPr>
          <w:rFonts w:hint="eastAsia" w:hAnsi="宋体" w:cs="宋体"/>
          <w:color w:val="auto"/>
          <w:sz w:val="24"/>
          <w:szCs w:val="24"/>
          <w:highlight w:val="none"/>
        </w:rPr>
        <w:t>组织潜在投标人现场考察或者召开开标前答疑会的，潜在投标人按第二部分投标人须知前附表的规定参加现场考察或者开标前答疑会。</w:t>
      </w:r>
    </w:p>
    <w:p w14:paraId="137F01B7">
      <w:pPr>
        <w:pStyle w:val="34"/>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48DAAEAE">
      <w:pPr>
        <w:pStyle w:val="16"/>
        <w:spacing w:line="360" w:lineRule="auto"/>
        <w:ind w:firstLine="470" w:firstLineChars="196"/>
        <w:rPr>
          <w:rFonts w:hAnsi="宋体" w:cs="宋体"/>
          <w:color w:val="auto"/>
          <w:sz w:val="24"/>
          <w:highlight w:val="none"/>
        </w:rPr>
      </w:pPr>
      <w:r>
        <w:rPr>
          <w:rFonts w:hint="eastAsia" w:hAnsi="宋体" w:cs="宋体"/>
          <w:color w:val="auto"/>
          <w:sz w:val="24"/>
          <w:highlight w:val="none"/>
        </w:rPr>
        <w:t>9.1</w:t>
      </w:r>
      <w:r>
        <w:rPr>
          <w:rFonts w:hint="eastAsia" w:hAnsi="宋体" w:cs="宋体"/>
          <w:color w:val="auto"/>
          <w:sz w:val="24"/>
          <w:highlight w:val="none"/>
          <w:lang w:eastAsia="zh-CN"/>
        </w:rPr>
        <w:t>招标人</w:t>
      </w:r>
      <w:r>
        <w:rPr>
          <w:rFonts w:hint="eastAsia" w:hAnsi="宋体" w:cs="宋体"/>
          <w:color w:val="auto"/>
          <w:sz w:val="24"/>
          <w:highlight w:val="none"/>
        </w:rPr>
        <w:t>在采购文件中要求提交投标保证金的，投标保证金的数额不得超过采购项目预算金额的1%，鼓励对诚信记录良好的</w:t>
      </w:r>
      <w:r>
        <w:rPr>
          <w:rFonts w:hint="eastAsia" w:hAnsi="宋体" w:cs="宋体"/>
          <w:color w:val="auto"/>
          <w:sz w:val="24"/>
          <w:highlight w:val="none"/>
          <w:lang w:eastAsia="zh-CN"/>
        </w:rPr>
        <w:t>投标人</w:t>
      </w:r>
      <w:r>
        <w:rPr>
          <w:rFonts w:hint="eastAsia" w:hAnsi="宋体" w:cs="宋体"/>
          <w:color w:val="auto"/>
          <w:sz w:val="24"/>
          <w:highlight w:val="none"/>
        </w:rPr>
        <w:t>免收或者减少收取投标保证金，对于需要收取保证金的政府采购项目，政府采购信用白名单</w:t>
      </w:r>
      <w:r>
        <w:rPr>
          <w:rFonts w:hint="eastAsia" w:hAnsi="宋体" w:cs="宋体"/>
          <w:color w:val="auto"/>
          <w:sz w:val="24"/>
          <w:highlight w:val="none"/>
          <w:lang w:eastAsia="zh-CN"/>
        </w:rPr>
        <w:t>投标人</w:t>
      </w:r>
      <w:r>
        <w:rPr>
          <w:rFonts w:hint="eastAsia" w:hAnsi="宋体" w:cs="宋体"/>
          <w:color w:val="auto"/>
          <w:sz w:val="24"/>
          <w:highlight w:val="none"/>
        </w:rPr>
        <w:t>可以免于缴纳保证金，降低信用白名单</w:t>
      </w:r>
      <w:r>
        <w:rPr>
          <w:rFonts w:hint="eastAsia" w:hAnsi="宋体" w:cs="宋体"/>
          <w:color w:val="auto"/>
          <w:sz w:val="24"/>
          <w:highlight w:val="none"/>
          <w:lang w:eastAsia="zh-CN"/>
        </w:rPr>
        <w:t>投标人</w:t>
      </w:r>
      <w:r>
        <w:rPr>
          <w:rFonts w:hint="eastAsia" w:hAnsi="宋体" w:cs="宋体"/>
          <w:color w:val="auto"/>
          <w:sz w:val="24"/>
          <w:highlight w:val="none"/>
        </w:rPr>
        <w:t>参与政府采购活动成本。投标保证金应当以支票、汇票、本票或者金融机构、担保机构出具的保函等非现金形式提交。</w:t>
      </w:r>
    </w:p>
    <w:p w14:paraId="4DB6FA6D">
      <w:pPr>
        <w:pStyle w:val="85"/>
        <w:ind w:firstLine="480" w:firstLineChars="200"/>
        <w:rPr>
          <w:rFonts w:cs="宋体"/>
          <w:color w:val="auto"/>
          <w:kern w:val="2"/>
          <w:szCs w:val="24"/>
          <w:highlight w:val="none"/>
        </w:rPr>
      </w:pPr>
      <w:r>
        <w:rPr>
          <w:rFonts w:hint="eastAsia" w:cs="宋体"/>
          <w:color w:val="auto"/>
          <w:kern w:val="2"/>
          <w:szCs w:val="24"/>
          <w:highlight w:val="none"/>
        </w:rPr>
        <w:t>投标保证金收取银行账户</w:t>
      </w:r>
    </w:p>
    <w:p w14:paraId="41A5690C">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 xml:space="preserve">开户名称： </w:t>
      </w:r>
      <w:r>
        <w:rPr>
          <w:rFonts w:hint="eastAsia" w:cs="宋体"/>
          <w:color w:val="auto"/>
          <w:kern w:val="2"/>
          <w:szCs w:val="24"/>
          <w:highlight w:val="none"/>
          <w:lang w:val="en-US" w:eastAsia="zh-CN"/>
        </w:rPr>
        <w:t>/</w:t>
      </w:r>
    </w:p>
    <w:p w14:paraId="30735893">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 xml:space="preserve">开户银行： </w:t>
      </w:r>
      <w:r>
        <w:rPr>
          <w:rFonts w:hint="eastAsia" w:cs="宋体"/>
          <w:color w:val="auto"/>
          <w:kern w:val="2"/>
          <w:szCs w:val="24"/>
          <w:highlight w:val="none"/>
          <w:lang w:val="en-US" w:eastAsia="zh-CN"/>
        </w:rPr>
        <w:t>/</w:t>
      </w:r>
    </w:p>
    <w:p w14:paraId="1727545C">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 xml:space="preserve"> /</w:t>
      </w:r>
    </w:p>
    <w:p w14:paraId="24A3C41E">
      <w:pPr>
        <w:pStyle w:val="16"/>
        <w:spacing w:line="360" w:lineRule="auto"/>
        <w:ind w:firstLine="470" w:firstLineChars="196"/>
        <w:rPr>
          <w:rFonts w:hAnsi="宋体" w:cs="宋体"/>
          <w:color w:val="auto"/>
          <w:sz w:val="24"/>
          <w:highlight w:val="none"/>
        </w:rPr>
      </w:pPr>
      <w:r>
        <w:rPr>
          <w:rFonts w:hint="eastAsia" w:hAnsi="宋体" w:cs="宋体"/>
          <w:color w:val="auto"/>
          <w:sz w:val="24"/>
          <w:highlight w:val="none"/>
        </w:rPr>
        <w:t>9.2投标人在投标截止时间前撤回已提交的投标文件的，</w:t>
      </w:r>
      <w:r>
        <w:rPr>
          <w:rFonts w:hint="eastAsia" w:hAnsi="宋体" w:cs="宋体"/>
          <w:color w:val="auto"/>
          <w:sz w:val="24"/>
          <w:highlight w:val="none"/>
          <w:lang w:eastAsia="zh-CN"/>
        </w:rPr>
        <w:t>招标人</w:t>
      </w:r>
      <w:r>
        <w:rPr>
          <w:rFonts w:hint="eastAsia" w:hAnsi="宋体" w:cs="宋体"/>
          <w:color w:val="auto"/>
          <w:sz w:val="24"/>
          <w:highlight w:val="none"/>
        </w:rPr>
        <w:t>或者采购代理机构应当自收到投标人书面撤回通知之日起５个工作日内，退还已收取的投标保证金，但因投标人自身原因导致无法及时退还的除外。</w:t>
      </w:r>
    </w:p>
    <w:p w14:paraId="5CAC97D5">
      <w:pPr>
        <w:pStyle w:val="16"/>
        <w:spacing w:line="360" w:lineRule="auto"/>
        <w:ind w:firstLine="470" w:firstLineChars="196"/>
        <w:rPr>
          <w:rFonts w:hAnsi="宋体" w:cs="宋体"/>
          <w:color w:val="auto"/>
          <w:sz w:val="24"/>
          <w:highlight w:val="none"/>
        </w:rPr>
      </w:pPr>
      <w:r>
        <w:rPr>
          <w:rFonts w:hint="eastAsia" w:hAnsi="宋体" w:cs="宋体"/>
          <w:color w:val="auto"/>
          <w:sz w:val="24"/>
          <w:highlight w:val="none"/>
          <w:lang w:eastAsia="zh-CN"/>
        </w:rPr>
        <w:t>招标人</w:t>
      </w:r>
      <w:r>
        <w:rPr>
          <w:rFonts w:hint="eastAsia" w:hAnsi="宋体" w:cs="宋体"/>
          <w:color w:val="auto"/>
          <w:sz w:val="24"/>
          <w:highlight w:val="none"/>
        </w:rPr>
        <w:t>或者采购代理机构应当自中标通知书发出之日起5个工作日内退还未中标人的投标保证金，自采购合同签订之日起5个工作日内退还中标人的投标保证金或者转为中标人的履约保证金。</w:t>
      </w:r>
    </w:p>
    <w:p w14:paraId="685526D1">
      <w:pPr>
        <w:pStyle w:val="16"/>
        <w:spacing w:line="360" w:lineRule="auto"/>
        <w:ind w:firstLine="470" w:firstLineChars="196"/>
        <w:rPr>
          <w:rFonts w:hAnsi="宋体" w:cs="宋体"/>
          <w:color w:val="auto"/>
          <w:sz w:val="24"/>
          <w:highlight w:val="none"/>
        </w:rPr>
      </w:pPr>
      <w:r>
        <w:rPr>
          <w:rFonts w:hint="eastAsia" w:hAnsi="宋体" w:cs="宋体"/>
          <w:color w:val="auto"/>
          <w:sz w:val="24"/>
          <w:highlight w:val="none"/>
          <w:lang w:eastAsia="zh-CN"/>
        </w:rPr>
        <w:t>招标人</w:t>
      </w:r>
      <w:r>
        <w:rPr>
          <w:rFonts w:hint="eastAsia" w:hAnsi="宋体" w:cs="宋体"/>
          <w:color w:val="auto"/>
          <w:sz w:val="24"/>
          <w:highlight w:val="none"/>
        </w:rPr>
        <w:t>或者采购代理机构逾期退还投标保证金的，除应当退还投标保证金本金外，还应当按中国人民银行同期贷款基准利率上浮20％后的利率支付超期资金占用费，但因投标人自身原因导致无法及时退还的除外。</w:t>
      </w:r>
    </w:p>
    <w:p w14:paraId="53DAFD88">
      <w:pPr>
        <w:pStyle w:val="34"/>
        <w:spacing w:line="360" w:lineRule="auto"/>
        <w:ind w:firstLine="480" w:firstLineChars="200"/>
        <w:rPr>
          <w:rFonts w:hAnsi="宋体" w:cs="宋体"/>
          <w:color w:val="auto"/>
          <w:sz w:val="24"/>
          <w:highlight w:val="none"/>
        </w:rPr>
      </w:pPr>
      <w:r>
        <w:rPr>
          <w:rFonts w:hint="eastAsia" w:hAnsi="宋体" w:cs="宋体"/>
          <w:color w:val="auto"/>
          <w:sz w:val="24"/>
          <w:highlight w:val="none"/>
        </w:rPr>
        <w:t>9.3保证金不予退还情形：（1）投标人在投标有效期内撤销投标文件的；（2）采购文件规定的其他情形。</w:t>
      </w:r>
    </w:p>
    <w:p w14:paraId="08FAB811">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5C2BF5E3">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BA4FCBF">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投标文件的组成（标注“▲”为实质性要求，</w:t>
      </w:r>
      <w:r>
        <w:rPr>
          <w:rFonts w:hint="eastAsia" w:hAnsi="宋体" w:cs="宋体"/>
          <w:b/>
          <w:color w:val="auto"/>
          <w:sz w:val="24"/>
          <w:szCs w:val="24"/>
          <w:highlight w:val="none"/>
          <w:lang w:eastAsia="zh-CN"/>
        </w:rPr>
        <w:t>投标人</w:t>
      </w:r>
      <w:r>
        <w:rPr>
          <w:rFonts w:hint="eastAsia" w:hAnsi="宋体" w:cs="宋体"/>
          <w:b/>
          <w:color w:val="auto"/>
          <w:sz w:val="24"/>
          <w:szCs w:val="24"/>
          <w:highlight w:val="none"/>
        </w:rPr>
        <w:t>必须提供，否则投标无效。相关格式见招标文件第六部分）</w:t>
      </w:r>
    </w:p>
    <w:p w14:paraId="561274F4">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0DB3E754">
      <w:pPr>
        <w:pageBreakBefore w:val="0"/>
        <w:kinsoku/>
        <w:wordWrap/>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lang w:eastAsia="zh-CN"/>
        </w:rPr>
      </w:pPr>
      <w:r>
        <w:rPr>
          <w:rFonts w:hint="eastAsia" w:hAnsi="宋体" w:cs="宋体"/>
          <w:b/>
          <w:color w:val="auto"/>
          <w:sz w:val="24"/>
          <w:highlight w:val="none"/>
        </w:rPr>
        <w:t>▲</w:t>
      </w:r>
      <w:r>
        <w:rPr>
          <w:rFonts w:hint="eastAsia" w:ascii="宋体" w:hAnsi="宋体" w:cs="宋体"/>
          <w:color w:val="auto"/>
          <w:sz w:val="24"/>
          <w:highlight w:val="none"/>
        </w:rPr>
        <w:t>11.1.1</w:t>
      </w:r>
      <w:r>
        <w:rPr>
          <w:rFonts w:hint="eastAsia" w:ascii="宋体" w:hAnsi="宋体" w:cs="宋体"/>
          <w:color w:val="auto"/>
          <w:sz w:val="24"/>
          <w:highlight w:val="none"/>
          <w:lang w:val="en-US" w:eastAsia="zh-CN"/>
        </w:rPr>
        <w:t>投标人</w:t>
      </w:r>
      <w:r>
        <w:rPr>
          <w:rFonts w:hint="eastAsia" w:ascii="宋体" w:hAnsi="宋体" w:cs="宋体"/>
          <w:snapToGrid w:val="0"/>
          <w:color w:val="auto"/>
          <w:kern w:val="28"/>
          <w:sz w:val="24"/>
          <w:szCs w:val="20"/>
          <w:highlight w:val="none"/>
        </w:rPr>
        <w:t>满足《中华人民共和国政府采购法》第二十二条规定</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lang w:val="en-US" w:eastAsia="zh-CN"/>
        </w:rPr>
        <w:t>需按要求提供</w:t>
      </w:r>
      <w:r>
        <w:rPr>
          <w:rFonts w:hint="eastAsia" w:ascii="宋体" w:hAnsi="宋体" w:cs="宋体"/>
          <w:color w:val="auto"/>
          <w:sz w:val="24"/>
          <w:highlight w:val="none"/>
        </w:rPr>
        <w:t>北海市政府采购</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信用承诺函；</w:t>
      </w:r>
      <w:r>
        <w:rPr>
          <w:rFonts w:hint="eastAsia" w:ascii="宋体" w:hAnsi="宋体" w:cs="宋体"/>
          <w:b/>
          <w:bCs/>
          <w:color w:val="auto"/>
          <w:sz w:val="24"/>
          <w:szCs w:val="24"/>
          <w:highlight w:val="none"/>
          <w:lang w:eastAsia="zh-CN"/>
        </w:rPr>
        <w:t>（格式后附，必须提供）</w:t>
      </w:r>
    </w:p>
    <w:p w14:paraId="0BE45E53">
      <w:pPr>
        <w:snapToGrid w:val="0"/>
        <w:spacing w:line="360" w:lineRule="auto"/>
        <w:ind w:firstLine="482" w:firstLineChars="200"/>
        <w:rPr>
          <w:rFonts w:hint="eastAsia"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2如分支机构或分公司投标，需提供具有独立法人资格的总公司授权，授权书须加盖总公司的公章；</w:t>
      </w:r>
      <w:r>
        <w:rPr>
          <w:rFonts w:hint="eastAsia" w:ascii="宋体" w:hAnsi="宋体" w:cs="宋体"/>
          <w:b/>
          <w:bCs/>
          <w:snapToGrid w:val="0"/>
          <w:color w:val="auto"/>
          <w:kern w:val="28"/>
          <w:sz w:val="24"/>
          <w:szCs w:val="20"/>
          <w:highlight w:val="none"/>
        </w:rPr>
        <w:t>（</w:t>
      </w:r>
      <w:r>
        <w:rPr>
          <w:rFonts w:hint="eastAsia" w:ascii="宋体" w:hAnsi="宋体" w:cs="宋体"/>
          <w:b/>
          <w:bCs/>
          <w:snapToGrid w:val="0"/>
          <w:color w:val="auto"/>
          <w:kern w:val="28"/>
          <w:sz w:val="24"/>
          <w:szCs w:val="20"/>
          <w:highlight w:val="none"/>
          <w:lang w:val="en-US" w:eastAsia="zh-CN"/>
        </w:rPr>
        <w:t>格式自拟，如投标人为分公司则必须提供</w:t>
      </w:r>
      <w:r>
        <w:rPr>
          <w:rFonts w:hint="eastAsia" w:ascii="宋体" w:hAnsi="宋体" w:cs="宋体"/>
          <w:b/>
          <w:bCs/>
          <w:snapToGrid w:val="0"/>
          <w:color w:val="auto"/>
          <w:kern w:val="28"/>
          <w:sz w:val="24"/>
          <w:szCs w:val="20"/>
          <w:highlight w:val="none"/>
        </w:rPr>
        <w:t>)</w:t>
      </w:r>
    </w:p>
    <w:p w14:paraId="40C7ECF5">
      <w:pPr>
        <w:pageBreakBefore w:val="0"/>
        <w:kinsoku/>
        <w:wordWrap/>
        <w:overflowPunct/>
        <w:topLinePunct w:val="0"/>
        <w:bidi w:val="0"/>
        <w:snapToGrid w:val="0"/>
        <w:spacing w:line="360" w:lineRule="auto"/>
        <w:ind w:firstLine="482" w:firstLineChars="200"/>
        <w:rPr>
          <w:rFonts w:hint="eastAsia" w:ascii="宋体" w:hAnsi="宋体" w:cs="宋体"/>
          <w:b/>
          <w:bCs/>
          <w:color w:val="auto"/>
          <w:sz w:val="24"/>
          <w:szCs w:val="24"/>
          <w:highlight w:val="none"/>
          <w:shd w:val="clear" w:color="auto" w:fill="auto"/>
          <w:lang w:eastAsia="zh-CN"/>
        </w:rPr>
      </w:pPr>
      <w:r>
        <w:rPr>
          <w:rFonts w:hint="eastAsia" w:hAnsi="宋体" w:cs="宋体"/>
          <w:b/>
          <w:color w:val="auto"/>
          <w:sz w:val="24"/>
          <w:highlight w:val="none"/>
        </w:rPr>
        <w:t>▲</w:t>
      </w:r>
      <w:r>
        <w:rPr>
          <w:rFonts w:hint="eastAsia" w:ascii="宋体" w:hAnsi="宋体" w:eastAsia="宋体" w:cs="宋体"/>
          <w:color w:val="auto"/>
          <w:sz w:val="24"/>
          <w:szCs w:val="24"/>
          <w:highlight w:val="none"/>
          <w:lang w:val="en-US" w:eastAsia="zh-CN"/>
        </w:rPr>
        <w:t>11.1.</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shd w:val="clear" w:color="auto" w:fill="auto"/>
          <w:lang w:eastAsia="zh-CN"/>
        </w:rPr>
        <w:t>投标人</w:t>
      </w:r>
      <w:r>
        <w:rPr>
          <w:rFonts w:hint="eastAsia" w:ascii="宋体" w:hAnsi="宋体" w:eastAsia="宋体" w:cs="宋体"/>
          <w:color w:val="auto"/>
          <w:sz w:val="24"/>
          <w:szCs w:val="24"/>
          <w:highlight w:val="none"/>
          <w:shd w:val="clear" w:color="auto" w:fill="auto"/>
        </w:rPr>
        <w:t>直接控股、管理关系信息表</w:t>
      </w:r>
      <w:r>
        <w:rPr>
          <w:rFonts w:hint="eastAsia" w:ascii="宋体" w:hAnsi="宋体" w:cs="宋体"/>
          <w:color w:val="auto"/>
          <w:sz w:val="24"/>
          <w:szCs w:val="24"/>
          <w:highlight w:val="none"/>
          <w:shd w:val="clear" w:color="auto" w:fill="auto"/>
          <w:lang w:eastAsia="zh-CN"/>
        </w:rPr>
        <w:t>；</w:t>
      </w:r>
      <w:r>
        <w:rPr>
          <w:rFonts w:hint="eastAsia" w:ascii="宋体" w:hAnsi="宋体" w:cs="宋体"/>
          <w:b/>
          <w:bCs/>
          <w:color w:val="auto"/>
          <w:sz w:val="24"/>
          <w:szCs w:val="24"/>
          <w:highlight w:val="none"/>
          <w:shd w:val="clear" w:color="auto" w:fill="auto"/>
          <w:lang w:eastAsia="zh-CN"/>
        </w:rPr>
        <w:t>（格式后附，必须提供）</w:t>
      </w:r>
    </w:p>
    <w:p w14:paraId="609BA3A1">
      <w:pPr>
        <w:pageBreakBefore w:val="0"/>
        <w:kinsoku/>
        <w:wordWrap/>
        <w:overflowPunct/>
        <w:topLinePunct w:val="0"/>
        <w:bidi w:val="0"/>
        <w:snapToGrid w:val="0"/>
        <w:spacing w:line="360" w:lineRule="auto"/>
        <w:ind w:firstLine="480" w:firstLineChars="200"/>
        <w:rPr>
          <w:rFonts w:hint="default" w:ascii="宋体" w:hAnsi="宋体" w:cs="宋体"/>
          <w:b w:val="0"/>
          <w:bCs w:val="0"/>
          <w:color w:val="auto"/>
          <w:sz w:val="24"/>
          <w:szCs w:val="24"/>
          <w:highlight w:val="none"/>
          <w:shd w:val="clear" w:color="auto" w:fill="auto"/>
          <w:lang w:val="en-US" w:eastAsia="zh-CN"/>
        </w:rPr>
      </w:pPr>
      <w:r>
        <w:rPr>
          <w:rFonts w:hint="eastAsia" w:ascii="宋体" w:hAnsi="宋体" w:cs="宋体"/>
          <w:b w:val="0"/>
          <w:bCs w:val="0"/>
          <w:color w:val="auto"/>
          <w:sz w:val="24"/>
          <w:szCs w:val="24"/>
          <w:highlight w:val="none"/>
          <w:shd w:val="clear" w:color="auto" w:fill="auto"/>
          <w:lang w:val="en-US" w:eastAsia="zh-CN"/>
        </w:rPr>
        <w:t>11.1.4 投标人认为需要提供的其他资格证明文件。</w:t>
      </w:r>
    </w:p>
    <w:p w14:paraId="161C50CF">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1CFBC133">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11.2.1投标函；</w:t>
      </w:r>
      <w:r>
        <w:rPr>
          <w:rFonts w:hint="eastAsia" w:ascii="宋体" w:hAnsi="宋体" w:cs="宋体"/>
          <w:b/>
          <w:bCs/>
          <w:color w:val="auto"/>
          <w:sz w:val="24"/>
          <w:szCs w:val="24"/>
          <w:highlight w:val="none"/>
          <w:shd w:val="clear" w:color="auto" w:fill="auto"/>
          <w:lang w:eastAsia="zh-CN"/>
        </w:rPr>
        <w:t>（格式后附，必须提供）</w:t>
      </w:r>
      <w:r>
        <w:rPr>
          <w:rFonts w:hint="eastAsia" w:ascii="宋体" w:hAnsi="宋体" w:cs="宋体"/>
          <w:color w:val="auto"/>
          <w:sz w:val="24"/>
          <w:highlight w:val="none"/>
          <w:lang w:val="zh-CN"/>
        </w:rPr>
        <w:t xml:space="preserve"> </w:t>
      </w:r>
    </w:p>
    <w:p w14:paraId="1BD74771">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11.2.2法定代表人（负责人）授权委托书和委托代理人身份证复印件（委托代理时必须提供），法定代表人（负责人）参加</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时，提供法定代表人（负责人）身份证明书和身份证复印件；</w:t>
      </w:r>
      <w:r>
        <w:rPr>
          <w:rFonts w:hint="eastAsia" w:ascii="宋体" w:hAnsi="宋体" w:cs="宋体"/>
          <w:b/>
          <w:bCs/>
          <w:color w:val="auto"/>
          <w:sz w:val="24"/>
          <w:szCs w:val="24"/>
          <w:highlight w:val="none"/>
          <w:shd w:val="clear" w:color="auto" w:fill="auto"/>
          <w:lang w:eastAsia="zh-CN"/>
        </w:rPr>
        <w:t>（格式后附，必须提供）</w:t>
      </w:r>
    </w:p>
    <w:p w14:paraId="1501A462">
      <w:pPr>
        <w:pageBreakBefore w:val="0"/>
        <w:kinsoku/>
        <w:wordWrap/>
        <w:overflowPunct/>
        <w:topLinePunct w:val="0"/>
        <w:bidi w:val="0"/>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商务技术偏离表；</w:t>
      </w:r>
      <w:r>
        <w:rPr>
          <w:rFonts w:hint="eastAsia" w:ascii="宋体" w:hAnsi="宋体" w:cs="宋体"/>
          <w:b/>
          <w:bCs/>
          <w:color w:val="auto"/>
          <w:sz w:val="24"/>
          <w:szCs w:val="24"/>
          <w:highlight w:val="none"/>
          <w:shd w:val="clear" w:color="auto" w:fill="auto"/>
          <w:lang w:eastAsia="zh-CN"/>
        </w:rPr>
        <w:t>（格式后附，必须提供）</w:t>
      </w:r>
    </w:p>
    <w:p w14:paraId="57E40912">
      <w:pPr>
        <w:pageBreakBefore w:val="0"/>
        <w:kinsoku/>
        <w:wordWrap/>
        <w:overflowPunct/>
        <w:topLinePunct w:val="0"/>
        <w:bidi w:val="0"/>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政府采购投标人廉洁自律承诺书；</w:t>
      </w:r>
      <w:r>
        <w:rPr>
          <w:rFonts w:hint="eastAsia" w:ascii="宋体" w:hAnsi="宋体" w:cs="宋体"/>
          <w:b/>
          <w:bCs/>
          <w:color w:val="auto"/>
          <w:sz w:val="24"/>
          <w:szCs w:val="24"/>
          <w:highlight w:val="none"/>
          <w:shd w:val="clear" w:color="auto" w:fill="auto"/>
          <w:lang w:eastAsia="zh-CN"/>
        </w:rPr>
        <w:t>（格式后附，必须提供）</w:t>
      </w:r>
    </w:p>
    <w:p w14:paraId="30A97E56">
      <w:pPr>
        <w:pageBreakBefore w:val="0"/>
        <w:kinsoku/>
        <w:wordWrap/>
        <w:overflowPunct/>
        <w:topLinePunct w:val="0"/>
        <w:bidi w:val="0"/>
        <w:snapToGrid w:val="0"/>
        <w:spacing w:line="360" w:lineRule="auto"/>
        <w:ind w:firstLine="482" w:firstLineChars="200"/>
        <w:rPr>
          <w:color w:val="auto"/>
          <w:highlight w:val="none"/>
        </w:rPr>
      </w:pPr>
      <w:r>
        <w:rPr>
          <w:rFonts w:hint="eastAsia" w:hAnsi="宋体" w:cs="宋体"/>
          <w:b/>
          <w:color w:val="auto"/>
          <w:sz w:val="24"/>
          <w:highlight w:val="none"/>
        </w:rPr>
        <w:t>▲</w:t>
      </w:r>
      <w:r>
        <w:rPr>
          <w:rFonts w:hint="eastAsia" w:ascii="宋体" w:hAnsi="宋体" w:eastAsia="宋体" w:cs="宋体"/>
          <w:color w:val="auto"/>
          <w:sz w:val="24"/>
          <w:highlight w:val="none"/>
          <w:lang w:val="zh-CN"/>
        </w:rPr>
        <w:t>11.2.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rPr>
        <w:t>承诺函；</w:t>
      </w:r>
      <w:r>
        <w:rPr>
          <w:rFonts w:hint="eastAsia" w:ascii="宋体" w:hAnsi="宋体" w:cs="宋体"/>
          <w:b/>
          <w:bCs/>
          <w:color w:val="auto"/>
          <w:sz w:val="24"/>
          <w:szCs w:val="24"/>
          <w:highlight w:val="none"/>
          <w:shd w:val="clear" w:color="auto" w:fill="auto"/>
          <w:lang w:eastAsia="zh-CN"/>
        </w:rPr>
        <w:t>（格式后附，必须提供）</w:t>
      </w:r>
    </w:p>
    <w:p w14:paraId="12802AE3">
      <w:pPr>
        <w:pStyle w:val="85"/>
        <w:ind w:firstLine="482" w:firstLineChars="200"/>
        <w:rPr>
          <w:rFonts w:hint="eastAsia" w:ascii="宋体" w:hAnsi="宋体" w:cs="宋体"/>
          <w:b/>
          <w:bCs/>
          <w:color w:val="auto"/>
          <w:sz w:val="24"/>
          <w:szCs w:val="24"/>
          <w:highlight w:val="none"/>
          <w:shd w:val="clear" w:color="auto" w:fill="auto"/>
          <w:lang w:eastAsia="zh-CN"/>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6技术方案；</w:t>
      </w:r>
      <w:r>
        <w:rPr>
          <w:rFonts w:hint="eastAsia" w:ascii="宋体" w:hAnsi="宋体" w:cs="宋体"/>
          <w:b/>
          <w:bCs/>
          <w:color w:val="auto"/>
          <w:sz w:val="24"/>
          <w:szCs w:val="24"/>
          <w:highlight w:val="none"/>
          <w:shd w:val="clear" w:color="auto" w:fill="auto"/>
          <w:lang w:eastAsia="zh-CN"/>
        </w:rPr>
        <w:t>（必须提供）</w:t>
      </w:r>
    </w:p>
    <w:p w14:paraId="142BAE32">
      <w:pPr>
        <w:pStyle w:val="85"/>
        <w:ind w:firstLine="482" w:firstLineChars="200"/>
        <w:rPr>
          <w:rFonts w:hint="eastAsia" w:ascii="宋体" w:hAnsi="宋体" w:cs="宋体"/>
          <w:b/>
          <w:bCs/>
          <w:color w:val="auto"/>
          <w:sz w:val="24"/>
          <w:szCs w:val="24"/>
          <w:highlight w:val="none"/>
          <w:shd w:val="clear" w:color="auto" w:fill="auto"/>
          <w:lang w:eastAsia="zh-CN"/>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7实施方案；</w:t>
      </w:r>
      <w:r>
        <w:rPr>
          <w:rFonts w:hint="eastAsia" w:ascii="宋体" w:hAnsi="宋体" w:cs="宋体"/>
          <w:b/>
          <w:bCs/>
          <w:color w:val="auto"/>
          <w:sz w:val="24"/>
          <w:szCs w:val="24"/>
          <w:highlight w:val="none"/>
          <w:shd w:val="clear" w:color="auto" w:fill="auto"/>
          <w:lang w:eastAsia="zh-CN"/>
        </w:rPr>
        <w:t>（必须提供）</w:t>
      </w:r>
    </w:p>
    <w:p w14:paraId="7D35A78F">
      <w:pPr>
        <w:pStyle w:val="85"/>
        <w:ind w:firstLine="482" w:firstLineChars="200"/>
        <w:rPr>
          <w:rFonts w:hint="eastAsia" w:ascii="宋体" w:hAnsi="宋体" w:cs="宋体"/>
          <w:b/>
          <w:bCs/>
          <w:color w:val="auto"/>
          <w:sz w:val="24"/>
          <w:szCs w:val="24"/>
          <w:highlight w:val="none"/>
          <w:shd w:val="clear" w:color="auto" w:fill="auto"/>
          <w:lang w:eastAsia="zh-CN"/>
        </w:rPr>
      </w:pPr>
      <w:r>
        <w:rPr>
          <w:rFonts w:hint="eastAsia" w:cs="宋体"/>
          <w:b/>
          <w:color w:val="auto"/>
          <w:szCs w:val="24"/>
          <w:highlight w:val="none"/>
        </w:rPr>
        <w:t>▲</w:t>
      </w:r>
      <w:r>
        <w:rPr>
          <w:rFonts w:hint="eastAsia"/>
          <w:color w:val="auto"/>
          <w:highlight w:val="none"/>
        </w:rPr>
        <w:t>11.2.</w:t>
      </w:r>
      <w:r>
        <w:rPr>
          <w:rFonts w:hint="eastAsia"/>
          <w:color w:val="auto"/>
          <w:highlight w:val="none"/>
          <w:lang w:val="en-US" w:eastAsia="zh-CN"/>
        </w:rPr>
        <w:t>8售后服务方案；</w:t>
      </w:r>
      <w:r>
        <w:rPr>
          <w:rFonts w:hint="eastAsia" w:ascii="宋体" w:hAnsi="宋体" w:cs="宋体"/>
          <w:b/>
          <w:bCs/>
          <w:color w:val="auto"/>
          <w:sz w:val="24"/>
          <w:szCs w:val="24"/>
          <w:highlight w:val="none"/>
          <w:shd w:val="clear" w:color="auto" w:fill="auto"/>
          <w:lang w:eastAsia="zh-CN"/>
        </w:rPr>
        <w:t>（必须提供）</w:t>
      </w:r>
    </w:p>
    <w:p w14:paraId="476A468F">
      <w:pPr>
        <w:snapToGrid w:val="0"/>
        <w:spacing w:line="360" w:lineRule="auto"/>
        <w:ind w:firstLine="480" w:firstLineChars="200"/>
        <w:rPr>
          <w:rFonts w:hint="eastAsia" w:ascii="宋体" w:hAnsi="宋体" w:cs="宋体"/>
          <w:snapToGrid w:val="0"/>
          <w:color w:val="auto"/>
          <w:kern w:val="28"/>
          <w:sz w:val="24"/>
          <w:szCs w:val="20"/>
          <w:highlight w:val="none"/>
          <w:lang w:val="en-US" w:eastAsia="zh-CN"/>
        </w:rPr>
      </w:pPr>
      <w:r>
        <w:rPr>
          <w:rFonts w:hint="eastAsia" w:ascii="宋体" w:hAnsi="宋体" w:cs="宋体"/>
          <w:color w:val="auto"/>
          <w:sz w:val="24"/>
          <w:highlight w:val="none"/>
        </w:rPr>
        <w:t>11.2.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lang w:val="en-US" w:eastAsia="zh-CN"/>
        </w:rPr>
        <w:t>；</w:t>
      </w:r>
    </w:p>
    <w:p w14:paraId="13AB1F4D">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lang w:val="en-US" w:eastAsia="zh-CN"/>
        </w:rPr>
        <w:t>11.2.10</w:t>
      </w:r>
      <w:r>
        <w:rPr>
          <w:rFonts w:hint="eastAsia" w:ascii="宋体" w:hAnsi="宋体" w:cs="宋体"/>
          <w:color w:val="auto"/>
          <w:sz w:val="24"/>
          <w:highlight w:val="none"/>
          <w:lang w:eastAsia="zh-CN"/>
        </w:rPr>
        <w:t>投标人认为需要提供的其他商务、技术文件</w:t>
      </w:r>
      <w:r>
        <w:rPr>
          <w:rFonts w:hint="eastAsia" w:ascii="宋体" w:hAnsi="宋体" w:cs="宋体"/>
          <w:snapToGrid w:val="0"/>
          <w:color w:val="auto"/>
          <w:kern w:val="28"/>
          <w:sz w:val="24"/>
          <w:szCs w:val="20"/>
          <w:highlight w:val="none"/>
          <w:lang w:eastAsia="zh-CN"/>
        </w:rPr>
        <w:t>。</w:t>
      </w:r>
    </w:p>
    <w:p w14:paraId="527EB349">
      <w:pPr>
        <w:snapToGrid w:val="0"/>
        <w:spacing w:line="360" w:lineRule="auto"/>
        <w:ind w:firstLine="482" w:firstLineChars="200"/>
        <w:rPr>
          <w:rFonts w:ascii="宋体" w:hAnsi="宋体" w:cs="宋体"/>
          <w:b/>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sz w:val="24"/>
          <w:highlight w:val="none"/>
        </w:rPr>
        <w:t xml:space="preserve">报价文件： </w:t>
      </w:r>
    </w:p>
    <w:p w14:paraId="613DABC8">
      <w:pPr>
        <w:snapToGrid w:val="0"/>
        <w:spacing w:line="360" w:lineRule="auto"/>
        <w:ind w:firstLine="482" w:firstLineChars="200"/>
        <w:rPr>
          <w:rFonts w:hint="eastAsia" w:ascii="宋体" w:hAnsi="宋体" w:cs="宋体"/>
          <w:b/>
          <w:bCs/>
          <w:color w:val="auto"/>
          <w:sz w:val="24"/>
          <w:szCs w:val="24"/>
          <w:highlight w:val="none"/>
          <w:lang w:eastAsia="zh-CN"/>
        </w:rPr>
      </w:pPr>
      <w:r>
        <w:rPr>
          <w:rFonts w:hint="eastAsia" w:hAnsi="宋体" w:cs="宋体"/>
          <w:b/>
          <w:color w:val="auto"/>
          <w:sz w:val="24"/>
          <w:highlight w:val="none"/>
        </w:rPr>
        <w:t>▲</w:t>
      </w:r>
      <w:r>
        <w:rPr>
          <w:rFonts w:hint="eastAsia" w:ascii="宋体" w:hAnsi="宋体" w:cs="宋体"/>
          <w:color w:val="auto"/>
          <w:sz w:val="24"/>
          <w:highlight w:val="none"/>
        </w:rPr>
        <w:t>11.3.1开标一览表（报价表）；</w:t>
      </w:r>
      <w:r>
        <w:rPr>
          <w:rFonts w:hint="eastAsia" w:ascii="宋体" w:hAnsi="宋体" w:cs="宋体"/>
          <w:b/>
          <w:bCs/>
          <w:color w:val="auto"/>
          <w:sz w:val="24"/>
          <w:szCs w:val="24"/>
          <w:highlight w:val="none"/>
          <w:lang w:eastAsia="zh-CN"/>
        </w:rPr>
        <w:t>（格式后附，必须提供）</w:t>
      </w:r>
    </w:p>
    <w:p w14:paraId="72081416">
      <w:pPr>
        <w:snapToGrid w:val="0"/>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11.3.2 中小企业声明函或者残疾人福利性单位声明函或者投标人属于监狱企业的证明材料</w:t>
      </w:r>
      <w:r>
        <w:rPr>
          <w:rFonts w:hint="eastAsia" w:ascii="宋体" w:hAnsi="宋体" w:cs="宋体"/>
          <w:color w:val="auto"/>
          <w:sz w:val="24"/>
          <w:highlight w:val="none"/>
        </w:rPr>
        <w:t>；</w:t>
      </w:r>
      <w:r>
        <w:rPr>
          <w:rFonts w:hint="eastAsia" w:ascii="宋体" w:hAnsi="宋体" w:cs="宋体"/>
          <w:b/>
          <w:bCs/>
          <w:color w:val="auto"/>
          <w:sz w:val="24"/>
          <w:szCs w:val="24"/>
          <w:highlight w:val="none"/>
          <w:lang w:eastAsia="zh-CN"/>
        </w:rPr>
        <w:t>（格式后附，</w:t>
      </w:r>
      <w:r>
        <w:rPr>
          <w:rFonts w:hint="eastAsia" w:ascii="宋体" w:hAnsi="宋体" w:cs="宋体"/>
          <w:b/>
          <w:bCs/>
          <w:color w:val="auto"/>
          <w:sz w:val="24"/>
          <w:szCs w:val="24"/>
          <w:highlight w:val="none"/>
          <w:lang w:val="en-US" w:eastAsia="zh-CN"/>
        </w:rPr>
        <w:t>如有请</w:t>
      </w:r>
      <w:r>
        <w:rPr>
          <w:rFonts w:hint="eastAsia" w:ascii="宋体" w:hAnsi="宋体" w:cs="宋体"/>
          <w:b/>
          <w:bCs/>
          <w:color w:val="auto"/>
          <w:sz w:val="24"/>
          <w:szCs w:val="24"/>
          <w:highlight w:val="none"/>
          <w:lang w:eastAsia="zh-CN"/>
        </w:rPr>
        <w:t>提供）</w:t>
      </w:r>
    </w:p>
    <w:p w14:paraId="3F0630C2">
      <w:pPr>
        <w:snapToGrid w:val="0"/>
        <w:spacing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11.3.3投标人认为需要提供的其他文件。</w:t>
      </w:r>
    </w:p>
    <w:p w14:paraId="653ADEF1">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不能接受的附加条件的，投标无效；</w:t>
      </w:r>
    </w:p>
    <w:p w14:paraId="3F4B0A56">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51EEB096">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764F22CE">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77E588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广西政府采购云平台电子交易客户端”，并按照招标文件和电子交易平台的要求编制并加密投标文件。投标人未按规定加密的投标文件，电子交易平台将拒收并提示。</w:t>
      </w:r>
    </w:p>
    <w:p w14:paraId="7BB6112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5E4C82E9">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65A38335">
      <w:pPr>
        <w:pStyle w:val="131"/>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75D4E633">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13.2为确保网上操作合法、有效和安全，投标人应当在投标截止时间前完成在“广西政府采购云平台”的身份认证，确保在电子投标过程中能够对相关数据电文进行加密和使用电子签名。</w:t>
      </w:r>
    </w:p>
    <w:p w14:paraId="48030474">
      <w:pPr>
        <w:pStyle w:val="131"/>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13.3招标文件对投标文件签署、盖章的要求适用于电子签名、CA签章以及招标文件明确允许的其他方式。</w:t>
      </w:r>
    </w:p>
    <w:p w14:paraId="76ACDC76">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7DA02345">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 xml:space="preserve">14.1 </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BEC3C5F">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发出确认回执通知。在投标截止时间前，除</w:t>
      </w:r>
      <w:r>
        <w:rPr>
          <w:rFonts w:hint="eastAsia" w:ascii="宋体" w:hAnsi="宋体" w:cs="宋体"/>
          <w:color w:val="auto"/>
          <w:szCs w:val="24"/>
          <w:highlight w:val="none"/>
          <w:lang w:eastAsia="zh-CN"/>
        </w:rPr>
        <w:t>投标人</w:t>
      </w:r>
      <w:r>
        <w:rPr>
          <w:rFonts w:hint="eastAsia" w:ascii="宋体" w:hAnsi="宋体" w:cs="宋体"/>
          <w:color w:val="auto"/>
          <w:szCs w:val="24"/>
          <w:highlight w:val="none"/>
        </w:rPr>
        <w:t>补充、修改或者撤回投标文件外，任何单位和个人不得解密或提取投标文件。</w:t>
      </w:r>
    </w:p>
    <w:p w14:paraId="5C461BD4">
      <w:pPr>
        <w:pStyle w:val="131"/>
        <w:spacing w:before="0"/>
        <w:ind w:firstLine="480"/>
        <w:rPr>
          <w:rFonts w:ascii="宋体" w:hAnsi="宋体" w:cs="宋体"/>
          <w:color w:val="auto"/>
          <w:szCs w:val="24"/>
          <w:highlight w:val="none"/>
        </w:rPr>
      </w:pPr>
      <w:r>
        <w:rPr>
          <w:rFonts w:hint="eastAsia" w:ascii="宋体" w:hAnsi="宋体" w:cs="宋体"/>
          <w:color w:val="auto"/>
          <w:szCs w:val="24"/>
          <w:highlight w:val="none"/>
        </w:rPr>
        <w:t>14.3</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、采购代理机构可以视情况延长投标文件提交的截止时间。在上述情况下，采购代理机构与投标人以前在投标截止期方面的全部权利、责任和义务，将适用于延长至新的投标截止期。</w:t>
      </w:r>
    </w:p>
    <w:p w14:paraId="591D1651">
      <w:pPr>
        <w:pStyle w:val="34"/>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01A0C3D2">
      <w:pPr>
        <w:pStyle w:val="34"/>
        <w:spacing w:line="360" w:lineRule="auto"/>
        <w:ind w:firstLine="360" w:firstLineChars="150"/>
        <w:rPr>
          <w:rFonts w:hAnsi="宋体" w:cs="宋体"/>
          <w:b w:val="0"/>
          <w:bCs/>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val="0"/>
          <w:bCs/>
          <w:color w:val="auto"/>
          <w:sz w:val="24"/>
          <w:szCs w:val="24"/>
          <w:highlight w:val="none"/>
        </w:rPr>
        <w:t>但</w:t>
      </w:r>
      <w:r>
        <w:rPr>
          <w:rFonts w:hint="eastAsia" w:hAnsi="宋体" w:cs="宋体"/>
          <w:b w:val="0"/>
          <w:bCs/>
          <w:color w:val="auto"/>
          <w:sz w:val="24"/>
          <w:szCs w:val="24"/>
          <w:highlight w:val="none"/>
          <w:lang w:eastAsia="zh-CN"/>
        </w:rPr>
        <w:t>招标人</w:t>
      </w:r>
      <w:r>
        <w:rPr>
          <w:rFonts w:hint="eastAsia" w:hAnsi="宋体" w:cs="宋体"/>
          <w:b w:val="0"/>
          <w:bCs/>
          <w:color w:val="auto"/>
          <w:sz w:val="24"/>
          <w:szCs w:val="24"/>
          <w:highlight w:val="none"/>
        </w:rPr>
        <w:t>、采购代理机构不强制或变相强制投标人提交备份投标文件。</w:t>
      </w:r>
    </w:p>
    <w:p w14:paraId="22EF2928">
      <w:pPr>
        <w:pStyle w:val="34"/>
        <w:spacing w:line="360" w:lineRule="auto"/>
        <w:ind w:firstLine="480" w:firstLineChars="200"/>
        <w:rPr>
          <w:rFonts w:hAnsi="宋体" w:cs="宋体"/>
          <w:b w:val="0"/>
          <w:bCs/>
          <w:color w:val="auto"/>
          <w:sz w:val="24"/>
          <w:szCs w:val="24"/>
          <w:highlight w:val="none"/>
        </w:rPr>
      </w:pPr>
      <w:r>
        <w:rPr>
          <w:rFonts w:hint="eastAsia" w:hAnsi="宋体" w:cs="宋体"/>
          <w:color w:val="auto"/>
          <w:sz w:val="24"/>
          <w:szCs w:val="24"/>
          <w:highlight w:val="none"/>
        </w:rPr>
        <w:t>15.2备份投标文件须在“</w:t>
      </w:r>
      <w:r>
        <w:rPr>
          <w:rFonts w:hint="eastAsia" w:hAnsi="宋体" w:cs="宋体"/>
          <w:color w:val="auto"/>
          <w:sz w:val="24"/>
          <w:highlight w:val="none"/>
        </w:rPr>
        <w:t>广西政府采购云平台</w:t>
      </w:r>
      <w:r>
        <w:rPr>
          <w:rFonts w:hint="eastAsia" w:hAnsi="宋体" w:cs="宋体"/>
          <w:color w:val="auto"/>
          <w:sz w:val="24"/>
          <w:szCs w:val="24"/>
          <w:highlight w:val="none"/>
        </w:rPr>
        <w:t>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val="0"/>
          <w:bCs/>
          <w:color w:val="auto"/>
          <w:sz w:val="24"/>
          <w:highlight w:val="none"/>
        </w:rPr>
        <w:t>不符合上述制作、</w:t>
      </w:r>
      <w:r>
        <w:rPr>
          <w:rFonts w:hint="eastAsia" w:hAnsi="宋体" w:cs="宋体"/>
          <w:b w:val="0"/>
          <w:bCs/>
          <w:color w:val="auto"/>
          <w:sz w:val="24"/>
          <w:szCs w:val="24"/>
          <w:highlight w:val="none"/>
        </w:rPr>
        <w:t>存储、密封规定的备份投标文件将被视为无效或者被拒绝接收。</w:t>
      </w:r>
    </w:p>
    <w:p w14:paraId="18F0E702">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15.3直接提交备份投标文件的，投标人应于投标截止时间前在招标公告中载明的开标地点将备份投标文件提交给采购代理机构，采购代理机构将拒绝接受逾期送达的备份投标文件。</w:t>
      </w:r>
    </w:p>
    <w:p w14:paraId="382F7DFD">
      <w:pPr>
        <w:pStyle w:val="34"/>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342DC1F6">
      <w:pPr>
        <w:pStyle w:val="34"/>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722A5723">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7223C100">
      <w:pPr>
        <w:pStyle w:val="26"/>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1971710A">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770CC5BE">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0AD152B3">
      <w:pPr>
        <w:pStyle w:val="131"/>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40DDDE92">
      <w:pPr>
        <w:pStyle w:val="131"/>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或采购代理机构可以以书面形式通知所有投标人延长投标有效期。投标人同意延长的，不得要求或被允许修改其投标文件，投标人拒绝延长的，其投标无效。</w:t>
      </w:r>
    </w:p>
    <w:p w14:paraId="7581D4EF">
      <w:pPr>
        <w:pStyle w:val="131"/>
        <w:spacing w:before="0"/>
        <w:ind w:firstLine="643"/>
        <w:rPr>
          <w:rFonts w:ascii="宋体" w:hAnsi="宋体" w:cs="宋体"/>
          <w:b/>
          <w:color w:val="auto"/>
          <w:sz w:val="32"/>
          <w:highlight w:val="none"/>
        </w:rPr>
      </w:pPr>
    </w:p>
    <w:p w14:paraId="6C30E903">
      <w:pPr>
        <w:pStyle w:val="131"/>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195B0DB2">
      <w:pPr>
        <w:pStyle w:val="556"/>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2EDB4850">
      <w:pPr>
        <w:pStyle w:val="556"/>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18.1采购代理机构按照招标文件规定的时间通过电子交易平台组织开标，所有投标人均应当准时在线参加。投标人不足3家的，不得开标。</w:t>
      </w:r>
    </w:p>
    <w:p w14:paraId="091B4E68">
      <w:pPr>
        <w:pStyle w:val="556"/>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18.2开标时，电子交易平台按开标时间自动提取所有投标文件。采购代理机构依托电子交易平台发起开始解密指令，投标人按照平台提示和招标文件的规定在半小时内完成在线解密。</w:t>
      </w:r>
    </w:p>
    <w:p w14:paraId="6A8229D1">
      <w:pPr>
        <w:pStyle w:val="556"/>
        <w:spacing w:before="0" w:line="360" w:lineRule="auto"/>
        <w:ind w:left="0" w:firstLine="240" w:firstLineChars="100"/>
        <w:contextualSpacing/>
        <w:rPr>
          <w:rFonts w:ascii="宋体" w:hAnsi="宋体" w:cs="宋体"/>
          <w:b w:val="0"/>
          <w:bCs w:val="0"/>
          <w:color w:val="auto"/>
          <w:sz w:val="24"/>
          <w:highlight w:val="none"/>
        </w:rPr>
      </w:pPr>
      <w:r>
        <w:rPr>
          <w:rFonts w:hint="eastAsia" w:ascii="宋体" w:hAnsi="宋体" w:cs="宋体"/>
          <w:color w:val="auto"/>
          <w:sz w:val="24"/>
          <w:highlight w:val="none"/>
        </w:rPr>
        <w:t>　</w:t>
      </w:r>
      <w:r>
        <w:rPr>
          <w:rFonts w:hint="eastAsia" w:ascii="宋体" w:hAnsi="宋体" w:cs="宋体"/>
          <w:b w:val="0"/>
          <w:bCs w:val="0"/>
          <w:color w:val="auto"/>
          <w:sz w:val="24"/>
          <w:highlight w:val="none"/>
        </w:rPr>
        <w:t>18.3投标文件未按时解密，投标人提供了备份投标文件的，以备份投标文件作为依据，否则视为投标文件撤回。投标文件已按时解密的，备份投标文件自动失效。</w:t>
      </w:r>
    </w:p>
    <w:p w14:paraId="700DC0A5">
      <w:pPr>
        <w:widowControl/>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4EE5EC6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或采购代理机构依据法律法规和招标文件的规定，对投标人的资格进行审查。</w:t>
      </w:r>
    </w:p>
    <w:p w14:paraId="6BEC5422">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19.2投标人未按照招标文件要求提供与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52042E24">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3对未通过资格审查的投标人，</w:t>
      </w:r>
      <w:r>
        <w:rPr>
          <w:rFonts w:hint="eastAsia" w:ascii="宋体" w:hAnsi="宋体" w:cs="宋体"/>
          <w:color w:val="auto"/>
          <w:highlight w:val="none"/>
          <w:lang w:eastAsia="zh-CN"/>
        </w:rPr>
        <w:t>招标人</w:t>
      </w:r>
      <w:r>
        <w:rPr>
          <w:rFonts w:hint="eastAsia" w:ascii="宋体" w:hAnsi="宋体" w:cs="宋体"/>
          <w:color w:val="auto"/>
          <w:highlight w:val="none"/>
        </w:rPr>
        <w:t>或采购代理机构告知其未通过的原因。</w:t>
      </w:r>
    </w:p>
    <w:p w14:paraId="1707EAB1">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4合格投标人不足3家的，不再评标。</w:t>
      </w:r>
    </w:p>
    <w:p w14:paraId="39322B35">
      <w:pPr>
        <w:pStyle w:val="131"/>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5D2A8AAE">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招标人</w:t>
      </w:r>
      <w:r>
        <w:rPr>
          <w:rFonts w:hint="eastAsia" w:ascii="宋体" w:hAnsi="宋体" w:cs="宋体"/>
          <w:color w:val="auto"/>
          <w:kern w:val="0"/>
          <w:szCs w:val="24"/>
          <w:highlight w:val="none"/>
        </w:rPr>
        <w:t>或采购代理机构将在资格审查时通过“信用中国”网站(www.creditchina.gov.cn)、中国政府采购网(www.ccgp.gov.cn)渠道查询投标人接受资格时的信用记录。</w:t>
      </w:r>
    </w:p>
    <w:p w14:paraId="234963B4">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7157E880">
      <w:pPr>
        <w:pStyle w:val="131"/>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4A296E4F">
      <w:pPr>
        <w:pStyle w:val="131"/>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w:t>
      </w:r>
      <w:r>
        <w:rPr>
          <w:rFonts w:hint="eastAsia" w:ascii="宋体" w:hAnsi="宋体" w:cs="宋体"/>
          <w:color w:val="auto"/>
          <w:kern w:val="0"/>
          <w:szCs w:val="24"/>
          <w:highlight w:val="none"/>
          <w:lang w:eastAsia="zh-CN"/>
        </w:rPr>
        <w:t>投标人</w:t>
      </w:r>
      <w:r>
        <w:rPr>
          <w:rFonts w:hint="eastAsia" w:ascii="宋体" w:hAnsi="宋体" w:cs="宋体"/>
          <w:color w:val="auto"/>
          <w:kern w:val="0"/>
          <w:szCs w:val="24"/>
          <w:highlight w:val="none"/>
        </w:rPr>
        <w:t>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131152A5">
      <w:pPr>
        <w:pStyle w:val="131"/>
        <w:spacing w:before="0"/>
        <w:ind w:firstLine="0" w:firstLineChars="0"/>
        <w:rPr>
          <w:rFonts w:ascii="宋体" w:hAnsi="宋体" w:cs="宋体"/>
          <w:color w:val="auto"/>
          <w:kern w:val="0"/>
          <w:szCs w:val="24"/>
          <w:highlight w:val="none"/>
        </w:rPr>
      </w:pPr>
    </w:p>
    <w:p w14:paraId="426C8CD4">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01FD0A1F">
      <w:pPr>
        <w:spacing w:line="360" w:lineRule="auto"/>
        <w:rPr>
          <w:rFonts w:ascii="宋体" w:hAnsi="宋体" w:cs="宋体"/>
          <w:b/>
          <w:color w:val="auto"/>
          <w:sz w:val="24"/>
          <w:highlight w:val="none"/>
        </w:rPr>
      </w:pPr>
      <w:bookmarkStart w:id="17" w:name="_Toc91899903"/>
      <w:r>
        <w:rPr>
          <w:rFonts w:hint="eastAsia" w:ascii="宋体" w:hAnsi="宋体" w:cs="宋体"/>
          <w:b/>
          <w:color w:val="auto"/>
          <w:sz w:val="24"/>
          <w:highlight w:val="none"/>
        </w:rPr>
        <w:t>21.评标</w:t>
      </w:r>
    </w:p>
    <w:p w14:paraId="406F2EE4">
      <w:pPr>
        <w:pStyle w:val="85"/>
        <w:rPr>
          <w:color w:val="auto"/>
          <w:highlight w:val="none"/>
        </w:rPr>
      </w:pPr>
      <w:r>
        <w:rPr>
          <w:rFonts w:hint="eastAsia"/>
          <w:color w:val="auto"/>
          <w:highlight w:val="none"/>
        </w:rPr>
        <w:t>21.1本招标采购项目的评标委员会由</w:t>
      </w:r>
      <w:r>
        <w:rPr>
          <w:rFonts w:hint="eastAsia"/>
          <w:color w:val="auto"/>
          <w:highlight w:val="none"/>
          <w:lang w:eastAsia="zh-CN"/>
        </w:rPr>
        <w:t>招标人</w:t>
      </w:r>
      <w:r>
        <w:rPr>
          <w:rFonts w:hint="eastAsia"/>
          <w:color w:val="auto"/>
          <w:highlight w:val="none"/>
        </w:rPr>
        <w:t>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7D3155A0">
      <w:pPr>
        <w:spacing w:line="360" w:lineRule="auto"/>
        <w:ind w:firstLine="482" w:firstLineChars="200"/>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21.2</w:t>
      </w:r>
      <w:r>
        <w:rPr>
          <w:rFonts w:hint="eastAsia" w:cs="宋体" w:asciiTheme="minorEastAsia" w:hAnsiTheme="minorEastAsia" w:eastAsia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auto"/>
          <w:sz w:val="24"/>
          <w:highlight w:val="none"/>
        </w:rPr>
        <w:t>详见招标文件第四部分评标办法。</w:t>
      </w:r>
    </w:p>
    <w:p w14:paraId="46445375">
      <w:pPr>
        <w:spacing w:line="360" w:lineRule="auto"/>
        <w:rPr>
          <w:rFonts w:ascii="宋体" w:hAnsi="宋体" w:cs="宋体"/>
          <w:b/>
          <w:color w:val="auto"/>
          <w:sz w:val="24"/>
          <w:highlight w:val="none"/>
        </w:rPr>
      </w:pPr>
    </w:p>
    <w:p w14:paraId="2D55265F">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631B691D">
      <w:pPr>
        <w:pStyle w:val="26"/>
        <w:spacing w:line="360" w:lineRule="auto"/>
        <w:ind w:left="479" w:hanging="479" w:hangingChars="199"/>
        <w:rPr>
          <w:rFonts w:hint="eastAsia" w:eastAsia="宋体" w:cs="宋体"/>
          <w:b/>
          <w:color w:val="auto"/>
          <w:highlight w:val="none"/>
          <w:lang w:eastAsia="zh-CN"/>
        </w:rPr>
      </w:pPr>
      <w:r>
        <w:rPr>
          <w:rFonts w:hint="eastAsia" w:cs="宋体"/>
          <w:b/>
          <w:color w:val="auto"/>
          <w:highlight w:val="none"/>
        </w:rPr>
        <w:t>22. 确定中标</w:t>
      </w:r>
      <w:r>
        <w:rPr>
          <w:rFonts w:hint="eastAsia" w:cs="宋体"/>
          <w:b/>
          <w:color w:val="auto"/>
          <w:highlight w:val="none"/>
          <w:lang w:val="en-US" w:eastAsia="zh-CN"/>
        </w:rPr>
        <w:t>人</w:t>
      </w:r>
    </w:p>
    <w:p w14:paraId="0B71757E">
      <w:pPr>
        <w:pStyle w:val="131"/>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w:t>
      </w:r>
      <w:r>
        <w:rPr>
          <w:rFonts w:hint="eastAsia" w:ascii="宋体" w:hAnsi="宋体" w:cs="宋体"/>
          <w:color w:val="auto"/>
          <w:szCs w:val="24"/>
          <w:highlight w:val="none"/>
          <w:lang w:eastAsia="zh-CN"/>
        </w:rPr>
        <w:t>招标人</w:t>
      </w:r>
      <w:r>
        <w:rPr>
          <w:rFonts w:hint="eastAsia" w:ascii="宋体" w:hAnsi="宋体" w:cs="宋体"/>
          <w:color w:val="auto"/>
          <w:szCs w:val="24"/>
          <w:highlight w:val="none"/>
        </w:rPr>
        <w:t>。采购单位应当自收到评审报告之日起5个工作日内在线确定中标</w:t>
      </w:r>
      <w:r>
        <w:rPr>
          <w:rFonts w:hint="eastAsia" w:ascii="宋体" w:hAnsi="宋体" w:cs="宋体"/>
          <w:color w:val="auto"/>
          <w:szCs w:val="24"/>
          <w:highlight w:val="none"/>
          <w:lang w:val="en-US" w:eastAsia="zh-CN"/>
        </w:rPr>
        <w:t>人</w:t>
      </w:r>
      <w:r>
        <w:rPr>
          <w:rFonts w:hint="eastAsia" w:ascii="宋体" w:hAnsi="宋体" w:cs="宋体"/>
          <w:color w:val="auto"/>
          <w:szCs w:val="24"/>
          <w:highlight w:val="none"/>
        </w:rPr>
        <w:t>。中标通知书和中标结果公告应当在规定时间内同时发出。</w:t>
      </w:r>
    </w:p>
    <w:p w14:paraId="13EF83DB">
      <w:pPr>
        <w:pStyle w:val="131"/>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00080623">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23.1自中标人确定之日起2个工作日内，采购代理机构通过电子交易平台向中标人发出中标通知书，同时编制发布采购结果公告。采购代理机构也可以以纸质形式进行中标通知。</w:t>
      </w:r>
    </w:p>
    <w:p w14:paraId="67B997F1">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及其委托的采购代理机构的名称、地址、联系方式，项目名称和项目编号，中标人名称、地址和中标金额，主要中标标的的名称、</w:t>
      </w:r>
      <w:r>
        <w:rPr>
          <w:rFonts w:hint="eastAsia" w:ascii="宋体" w:hAnsi="宋体" w:cs="宋体"/>
          <w:color w:val="auto"/>
          <w:sz w:val="24"/>
          <w:highlight w:val="none"/>
          <w:lang w:val="en-US" w:eastAsia="zh-CN"/>
        </w:rPr>
        <w:t>服务内容</w:t>
      </w:r>
      <w:r>
        <w:rPr>
          <w:rFonts w:hint="eastAsia" w:ascii="宋体" w:hAnsi="宋体" w:cs="宋体"/>
          <w:color w:val="auto"/>
          <w:sz w:val="24"/>
          <w:highlight w:val="none"/>
        </w:rPr>
        <w:t>、数量、单价、服务要求，中标公告期限以及评审专家名单。项目采购采用最低评标价法的，公告中标结果时应当同时公告因落实政府采购政策等原因进行价格扣除后中标</w:t>
      </w:r>
      <w:r>
        <w:rPr>
          <w:rFonts w:hint="eastAsia" w:ascii="宋体" w:hAnsi="宋体" w:cs="宋体"/>
          <w:color w:val="auto"/>
          <w:sz w:val="24"/>
          <w:highlight w:val="none"/>
          <w:lang w:val="en-US" w:eastAsia="zh-CN"/>
        </w:rPr>
        <w:t>人的评审价格</w:t>
      </w:r>
      <w:r>
        <w:rPr>
          <w:rFonts w:hint="eastAsia" w:ascii="宋体" w:hAnsi="宋体" w:cs="宋体"/>
          <w:color w:val="auto"/>
          <w:sz w:val="24"/>
          <w:highlight w:val="none"/>
        </w:rPr>
        <w:t>；项目采购采用综合评分法的，公告中标结果时应当同时公告中标</w:t>
      </w:r>
      <w:r>
        <w:rPr>
          <w:rFonts w:hint="eastAsia" w:ascii="宋体" w:hAnsi="宋体" w:cs="宋体"/>
          <w:color w:val="auto"/>
          <w:sz w:val="24"/>
          <w:highlight w:val="none"/>
          <w:lang w:val="en-US" w:eastAsia="zh-CN"/>
        </w:rPr>
        <w:t>人</w:t>
      </w:r>
      <w:r>
        <w:rPr>
          <w:rFonts w:hint="eastAsia" w:ascii="宋体" w:hAnsi="宋体" w:cs="宋体"/>
          <w:color w:val="auto"/>
          <w:sz w:val="24"/>
          <w:highlight w:val="none"/>
        </w:rPr>
        <w:t>评审总得分。鼓励发布中标结果公告时加大评审过程公开力度，但发布内容不得涉及国家秘密和商业秘密。</w:t>
      </w:r>
    </w:p>
    <w:p w14:paraId="1D4C8854">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23.3公告期限为1个工作日。</w:t>
      </w:r>
    </w:p>
    <w:p w14:paraId="68B7ED0A">
      <w:pPr>
        <w:snapToGrid w:val="0"/>
        <w:spacing w:line="360" w:lineRule="auto"/>
        <w:ind w:left="120" w:leftChars="57" w:firstLine="482" w:firstLineChars="150"/>
        <w:jc w:val="center"/>
        <w:rPr>
          <w:rFonts w:ascii="宋体" w:hAnsi="宋体" w:cs="宋体"/>
          <w:b/>
          <w:color w:val="auto"/>
          <w:sz w:val="32"/>
          <w:highlight w:val="none"/>
        </w:rPr>
      </w:pPr>
    </w:p>
    <w:p w14:paraId="3C1B224D">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七、合同授予</w:t>
      </w:r>
    </w:p>
    <w:p w14:paraId="78517433">
      <w:pPr>
        <w:pStyle w:val="26"/>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6EBC89E2">
      <w:pPr>
        <w:pStyle w:val="26"/>
        <w:spacing w:line="360" w:lineRule="auto"/>
        <w:ind w:left="479" w:hanging="479" w:hangingChars="199"/>
        <w:rPr>
          <w:rFonts w:cs="宋体"/>
          <w:b/>
          <w:color w:val="auto"/>
          <w:highlight w:val="none"/>
        </w:rPr>
      </w:pPr>
      <w:r>
        <w:rPr>
          <w:rFonts w:hint="eastAsia" w:cs="宋体"/>
          <w:b/>
          <w:color w:val="auto"/>
          <w:highlight w:val="none"/>
        </w:rPr>
        <w:t>25. 合同的签订</w:t>
      </w:r>
    </w:p>
    <w:p w14:paraId="052BCC2C">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与中标</w:t>
      </w:r>
      <w:r>
        <w:rPr>
          <w:rFonts w:hint="eastAsia" w:ascii="宋体" w:hAnsi="宋体" w:cs="宋体"/>
          <w:color w:val="auto"/>
          <w:kern w:val="0"/>
          <w:sz w:val="24"/>
          <w:highlight w:val="none"/>
          <w:lang w:val="en-US" w:eastAsia="zh-CN"/>
        </w:rPr>
        <w:t>人</w:t>
      </w:r>
      <w:r>
        <w:rPr>
          <w:rFonts w:hint="eastAsia" w:ascii="宋体" w:hAnsi="宋体" w:cs="宋体"/>
          <w:color w:val="auto"/>
          <w:kern w:val="0"/>
          <w:sz w:val="24"/>
          <w:highlight w:val="none"/>
        </w:rPr>
        <w:t>应当自中标通知书发出之日起25日内，按照采购文件确定的事项签订政府采购电子合同，具备条件的项目应缩短合同签订时间至8个工作日内。</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因不可抗力原因延迟签订电子合同的，应当自不可抗力事由消除之日起5个工作日内完成合同签订事宜。鼓励</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通过完善内部流程进一步缩短电子合同签订期限。</w:t>
      </w:r>
    </w:p>
    <w:p w14:paraId="6B1E1D3A">
      <w:pPr>
        <w:pStyle w:val="131"/>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25.2中标人按规定的日期、时间、地点，由法定代表人或其授权代表与招标人代表签订合同。如中标人为联合体的，由联合体成员各方法定代表人或其授权代表与招标人代表签订合同。</w:t>
      </w:r>
    </w:p>
    <w:p w14:paraId="17A2149A">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w:t>
      </w:r>
      <w:r>
        <w:rPr>
          <w:rFonts w:hint="eastAsia" w:ascii="宋体" w:hAnsi="宋体" w:cs="宋体"/>
          <w:color w:val="auto"/>
          <w:highlight w:val="none"/>
          <w:lang w:eastAsia="zh-CN"/>
        </w:rPr>
        <w:t>投标人</w:t>
      </w:r>
      <w:r>
        <w:rPr>
          <w:rFonts w:hint="eastAsia" w:ascii="宋体" w:hAnsi="宋体" w:cs="宋体"/>
          <w:color w:val="auto"/>
          <w:highlight w:val="none"/>
        </w:rPr>
        <w:t>无故拒绝或延期，除按照合同条款处理外，列入不良行为记录一次，并给予通报。</w:t>
      </w:r>
    </w:p>
    <w:p w14:paraId="57E28E7C">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25.4中标</w:t>
      </w:r>
      <w:r>
        <w:rPr>
          <w:rFonts w:hint="eastAsia" w:ascii="宋体" w:hAnsi="宋体" w:cs="宋体"/>
          <w:color w:val="auto"/>
          <w:highlight w:val="none"/>
          <w:lang w:val="en-US" w:eastAsia="zh-CN"/>
        </w:rPr>
        <w:t>人</w:t>
      </w:r>
      <w:r>
        <w:rPr>
          <w:rFonts w:hint="eastAsia" w:ascii="宋体" w:hAnsi="宋体" w:cs="宋体"/>
          <w:color w:val="auto"/>
          <w:highlight w:val="none"/>
        </w:rPr>
        <w:t>拒绝与</w:t>
      </w:r>
      <w:r>
        <w:rPr>
          <w:rFonts w:hint="eastAsia" w:ascii="宋体" w:hAnsi="宋体" w:cs="宋体"/>
          <w:color w:val="auto"/>
          <w:highlight w:val="none"/>
          <w:lang w:eastAsia="zh-CN"/>
        </w:rPr>
        <w:t>招标人</w:t>
      </w:r>
      <w:r>
        <w:rPr>
          <w:rFonts w:hint="eastAsia" w:ascii="宋体" w:hAnsi="宋体" w:cs="宋体"/>
          <w:color w:val="auto"/>
          <w:highlight w:val="none"/>
        </w:rPr>
        <w:t>签订合同的，</w:t>
      </w:r>
      <w:r>
        <w:rPr>
          <w:rFonts w:hint="eastAsia" w:ascii="宋体" w:hAnsi="宋体" w:cs="宋体"/>
          <w:color w:val="auto"/>
          <w:highlight w:val="none"/>
          <w:lang w:eastAsia="zh-CN"/>
        </w:rPr>
        <w:t>招标人</w:t>
      </w:r>
      <w:r>
        <w:rPr>
          <w:rFonts w:hint="eastAsia" w:ascii="宋体" w:hAnsi="宋体" w:cs="宋体"/>
          <w:color w:val="auto"/>
          <w:highlight w:val="none"/>
        </w:rPr>
        <w:t>可以按照评审报告推荐的中标候选人名单排序，确定下一候选人为中标</w:t>
      </w:r>
      <w:r>
        <w:rPr>
          <w:rFonts w:hint="eastAsia" w:ascii="宋体" w:hAnsi="宋体" w:cs="宋体"/>
          <w:color w:val="auto"/>
          <w:highlight w:val="none"/>
          <w:lang w:val="en-US" w:eastAsia="zh-CN"/>
        </w:rPr>
        <w:t>人</w:t>
      </w:r>
      <w:r>
        <w:rPr>
          <w:rFonts w:hint="eastAsia" w:ascii="宋体" w:hAnsi="宋体" w:cs="宋体"/>
          <w:color w:val="auto"/>
          <w:highlight w:val="none"/>
        </w:rPr>
        <w:t>，也可以重新开展政府采购活动。</w:t>
      </w:r>
    </w:p>
    <w:p w14:paraId="43604BCD">
      <w:pPr>
        <w:pStyle w:val="131"/>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w:t>
      </w:r>
      <w:r>
        <w:rPr>
          <w:rFonts w:hint="eastAsia" w:ascii="宋体" w:hAnsi="宋体" w:cs="宋体"/>
          <w:color w:val="auto"/>
          <w:highlight w:val="none"/>
          <w:lang w:eastAsia="zh-CN"/>
        </w:rPr>
        <w:t>招标人</w:t>
      </w:r>
      <w:r>
        <w:rPr>
          <w:rFonts w:hint="eastAsia" w:ascii="宋体" w:hAnsi="宋体" w:cs="宋体"/>
          <w:color w:val="auto"/>
          <w:highlight w:val="none"/>
        </w:rPr>
        <w:t>与中标</w:t>
      </w:r>
      <w:r>
        <w:rPr>
          <w:rFonts w:hint="eastAsia" w:ascii="宋体" w:hAnsi="宋体" w:cs="宋体"/>
          <w:color w:val="auto"/>
          <w:highlight w:val="none"/>
          <w:lang w:val="en-US" w:eastAsia="zh-CN"/>
        </w:rPr>
        <w:t>人</w:t>
      </w:r>
      <w:r>
        <w:rPr>
          <w:rFonts w:hint="eastAsia" w:ascii="宋体" w:hAnsi="宋体" w:cs="宋体"/>
          <w:color w:val="auto"/>
          <w:highlight w:val="none"/>
        </w:rPr>
        <w:t>根据招标文件、投标文件等内容通过政府采购电子交易平台在线签订，自动备案。</w:t>
      </w:r>
    </w:p>
    <w:p w14:paraId="6CC26B59">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25.6政采贷</w:t>
      </w:r>
    </w:p>
    <w:p w14:paraId="00E0DD63">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3B08FF2">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w:t>
      </w:r>
      <w:r>
        <w:rPr>
          <w:rFonts w:hint="eastAsia" w:ascii="宋体" w:hAnsi="宋体" w:cs="宋体"/>
          <w:color w:val="auto"/>
          <w:highlight w:val="none"/>
          <w:lang w:val="en-US" w:eastAsia="zh-CN"/>
        </w:rPr>
        <w:t>投标人</w:t>
      </w:r>
      <w:r>
        <w:rPr>
          <w:rFonts w:hint="eastAsia" w:ascii="宋体" w:hAnsi="宋体" w:cs="宋体"/>
          <w:color w:val="auto"/>
          <w:highlight w:val="none"/>
        </w:rPr>
        <w:t>取得《中标通知书》后，在签订采购合同前，向贷款金融机构递交融资申请表。中标</w:t>
      </w:r>
      <w:r>
        <w:rPr>
          <w:rFonts w:hint="eastAsia" w:ascii="宋体" w:hAnsi="宋体" w:cs="宋体"/>
          <w:color w:val="auto"/>
          <w:highlight w:val="none"/>
          <w:lang w:val="en-US" w:eastAsia="zh-CN"/>
        </w:rPr>
        <w:t>人</w:t>
      </w:r>
      <w:r>
        <w:rPr>
          <w:rFonts w:hint="eastAsia" w:ascii="宋体" w:hAnsi="宋体" w:cs="宋体"/>
          <w:color w:val="auto"/>
          <w:highlight w:val="none"/>
        </w:rPr>
        <w:t>可以根据贷款需求等实际情况选择是否需要北海市小微企业融资担保有限公司提供担保增信，如需要提供担保增信则同时向北海市小微企业融资担保有限公司递交融资申请表。</w:t>
      </w:r>
    </w:p>
    <w:p w14:paraId="48447BB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w:t>
      </w:r>
      <w:r>
        <w:rPr>
          <w:rFonts w:hint="eastAsia" w:ascii="宋体" w:hAnsi="宋体" w:cs="宋体"/>
          <w:color w:val="auto"/>
          <w:highlight w:val="none"/>
          <w:lang w:eastAsia="zh-CN"/>
        </w:rPr>
        <w:t>投标人</w:t>
      </w:r>
      <w:r>
        <w:rPr>
          <w:rFonts w:hint="eastAsia" w:ascii="宋体" w:hAnsi="宋体" w:cs="宋体"/>
          <w:color w:val="auto"/>
          <w:highlight w:val="none"/>
        </w:rPr>
        <w:t>有关资料，进行贷前独立评审，决定是否提供融资或融资担保。双方达成融资意向后，确定融资方案和回款账户，</w:t>
      </w:r>
      <w:r>
        <w:rPr>
          <w:rFonts w:hint="eastAsia" w:ascii="宋体" w:hAnsi="宋体" w:cs="宋体"/>
          <w:color w:val="auto"/>
          <w:highlight w:val="none"/>
          <w:lang w:eastAsia="zh-CN"/>
        </w:rPr>
        <w:t>投标人</w:t>
      </w:r>
      <w:r>
        <w:rPr>
          <w:rFonts w:hint="eastAsia" w:ascii="宋体" w:hAnsi="宋体" w:cs="宋体"/>
          <w:color w:val="auto"/>
          <w:highlight w:val="none"/>
        </w:rPr>
        <w:t>与采购单位签订《政府采购合同》，并将金融机构监管账户设定为合同收款账户。其中，需北海市小微企业融资担保有限公司提供担保增信的，还需北海市小微企业融资担保有限公司进行保前独立评审。</w:t>
      </w:r>
    </w:p>
    <w:p w14:paraId="73B75398">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w:t>
      </w:r>
      <w:r>
        <w:rPr>
          <w:rFonts w:hint="eastAsia" w:ascii="宋体" w:hAnsi="宋体" w:cs="宋体"/>
          <w:color w:val="auto"/>
          <w:highlight w:val="none"/>
          <w:lang w:eastAsia="zh-CN"/>
        </w:rPr>
        <w:t>投标人</w:t>
      </w:r>
      <w:r>
        <w:rPr>
          <w:rFonts w:hint="eastAsia" w:ascii="宋体" w:hAnsi="宋体" w:cs="宋体"/>
          <w:color w:val="auto"/>
          <w:highlight w:val="none"/>
        </w:rPr>
        <w:t>签订贷款协议。需要北海市小微企业融资担保有限公司提供担保增信的，由其与贷款金融机构查看采购合同信息，确认账户无误后，贷款金融机构与</w:t>
      </w:r>
      <w:r>
        <w:rPr>
          <w:rFonts w:hint="eastAsia" w:ascii="宋体" w:hAnsi="宋体" w:cs="宋体"/>
          <w:color w:val="auto"/>
          <w:highlight w:val="none"/>
          <w:lang w:eastAsia="zh-CN"/>
        </w:rPr>
        <w:t>投标人</w:t>
      </w:r>
      <w:r>
        <w:rPr>
          <w:rFonts w:hint="eastAsia" w:ascii="宋体" w:hAnsi="宋体" w:cs="宋体"/>
          <w:color w:val="auto"/>
          <w:highlight w:val="none"/>
        </w:rPr>
        <w:t>签订贷款协议、北海市小微企业融资担保有限公司与</w:t>
      </w:r>
      <w:r>
        <w:rPr>
          <w:rFonts w:hint="eastAsia" w:ascii="宋体" w:hAnsi="宋体" w:cs="宋体"/>
          <w:color w:val="auto"/>
          <w:highlight w:val="none"/>
          <w:lang w:eastAsia="zh-CN"/>
        </w:rPr>
        <w:t>投标人</w:t>
      </w:r>
      <w:r>
        <w:rPr>
          <w:rFonts w:hint="eastAsia" w:ascii="宋体" w:hAnsi="宋体" w:cs="宋体"/>
          <w:color w:val="auto"/>
          <w:highlight w:val="none"/>
        </w:rPr>
        <w:t>签订委托担保合同。</w:t>
      </w:r>
    </w:p>
    <w:p w14:paraId="2B4FD1F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w:t>
      </w:r>
      <w:r>
        <w:rPr>
          <w:rFonts w:hint="eastAsia" w:ascii="宋体" w:hAnsi="宋体" w:cs="宋体"/>
          <w:color w:val="auto"/>
          <w:highlight w:val="none"/>
          <w:lang w:eastAsia="zh-CN"/>
        </w:rPr>
        <w:t>投标人</w:t>
      </w:r>
      <w:r>
        <w:rPr>
          <w:rFonts w:hint="eastAsia" w:ascii="宋体" w:hAnsi="宋体" w:cs="宋体"/>
          <w:color w:val="auto"/>
          <w:highlight w:val="none"/>
        </w:rPr>
        <w:t>发放贷款。</w:t>
      </w:r>
    </w:p>
    <w:p w14:paraId="76F5D7CE">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（五）按期还款。</w:t>
      </w:r>
      <w:r>
        <w:rPr>
          <w:rFonts w:hint="eastAsia" w:ascii="宋体" w:hAnsi="宋体" w:cs="宋体"/>
          <w:color w:val="auto"/>
          <w:highlight w:val="none"/>
          <w:lang w:eastAsia="zh-CN"/>
        </w:rPr>
        <w:t>投标人</w:t>
      </w:r>
      <w:r>
        <w:rPr>
          <w:rFonts w:hint="eastAsia" w:ascii="宋体" w:hAnsi="宋体" w:cs="宋体"/>
          <w:color w:val="auto"/>
          <w:highlight w:val="none"/>
        </w:rPr>
        <w:t>获得贷款后应自觉履行政府采购合同，合同履行完毕后，采购单位根据合同约定时间和账户信息，严格按照财政资金管理的相关规定，及时将资金支付到采购合同收款账户。</w:t>
      </w:r>
    </w:p>
    <w:p w14:paraId="13F310C0">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14:paraId="585F87E3">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14:paraId="4841AE68">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w:t>
      </w:r>
      <w:r>
        <w:rPr>
          <w:rFonts w:hint="eastAsia" w:ascii="宋体" w:hAnsi="宋体" w:cs="宋体"/>
          <w:color w:val="auto"/>
          <w:highlight w:val="none"/>
          <w:lang w:eastAsia="zh-CN"/>
        </w:rPr>
        <w:t>投标人</w:t>
      </w:r>
      <w:r>
        <w:rPr>
          <w:rFonts w:hint="eastAsia" w:ascii="宋体" w:hAnsi="宋体" w:cs="宋体"/>
          <w:color w:val="auto"/>
          <w:highlight w:val="none"/>
        </w:rPr>
        <w:t>，在获取“政采贷”流水贷产品时给予更高的授信额度，在申请“政采贷”合同贷产品时，可享受较低的贷款利率，同时信用白名单</w:t>
      </w:r>
      <w:r>
        <w:rPr>
          <w:rFonts w:hint="eastAsia" w:ascii="宋体" w:hAnsi="宋体" w:cs="宋体"/>
          <w:color w:val="auto"/>
          <w:highlight w:val="none"/>
          <w:lang w:eastAsia="zh-CN"/>
        </w:rPr>
        <w:t>投标人</w:t>
      </w:r>
      <w:r>
        <w:rPr>
          <w:rFonts w:hint="eastAsia" w:ascii="宋体" w:hAnsi="宋体" w:cs="宋体"/>
          <w:color w:val="auto"/>
          <w:highlight w:val="none"/>
        </w:rPr>
        <w:t>获得信贷时长进一步缩短。</w:t>
      </w:r>
    </w:p>
    <w:p w14:paraId="700AE39E">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lang w:eastAsia="zh-CN"/>
        </w:rPr>
        <w:t>投标人</w:t>
      </w:r>
      <w:r>
        <w:rPr>
          <w:rFonts w:hint="eastAsia" w:ascii="宋体" w:hAnsi="宋体" w:cs="宋体"/>
          <w:color w:val="auto"/>
          <w:sz w:val="24"/>
          <w:szCs w:val="20"/>
          <w:highlight w:val="none"/>
        </w:rPr>
        <w:t>中标后可在“广西政府采购云”平台申请政采贷：操作路径：登录广西政府采购云平台-金融服务中心-【融资服务】，可在热门申请中选择产品直接申请。详见如下：</w:t>
      </w:r>
    </w:p>
    <w:p w14:paraId="6011B81A">
      <w:pPr>
        <w:pStyle w:val="85"/>
        <w:rPr>
          <w:color w:val="auto"/>
          <w:highlight w:val="none"/>
        </w:rPr>
      </w:pPr>
      <w:r>
        <w:rPr>
          <w:rFonts w:hint="eastAsia"/>
          <w:color w:val="auto"/>
          <w:highlight w:val="none"/>
        </w:rPr>
        <w:t>1.有贷款需求的</w:t>
      </w:r>
      <w:r>
        <w:rPr>
          <w:rFonts w:hint="eastAsia"/>
          <w:color w:val="auto"/>
          <w:highlight w:val="none"/>
          <w:lang w:eastAsia="zh-CN"/>
        </w:rPr>
        <w:t>投标人</w:t>
      </w:r>
      <w:r>
        <w:rPr>
          <w:rFonts w:hint="eastAsia"/>
          <w:color w:val="auto"/>
          <w:highlight w:val="none"/>
        </w:rPr>
        <w:t>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7"/>
          <w:rFonts w:ascii="宋体" w:hAnsi="宋体" w:eastAsia="宋体" w:cs="Times New Roman"/>
          <w:snapToGrid/>
          <w:color w:val="auto"/>
          <w:sz w:val="24"/>
          <w:szCs w:val="20"/>
          <w:highlight w:val="none"/>
        </w:rPr>
        <w:t>https://jinrong.gcy.zfcg.gxzf.gov.cn/finance/loan/gx</w:t>
      </w:r>
      <w:r>
        <w:rPr>
          <w:rStyle w:val="77"/>
          <w:rFonts w:ascii="宋体" w:hAnsi="宋体" w:eastAsia="宋体" w:cs="Times New Roman"/>
          <w:snapToGrid/>
          <w:color w:val="auto"/>
          <w:sz w:val="24"/>
          <w:szCs w:val="20"/>
          <w:highlight w:val="none"/>
        </w:rPr>
        <w:fldChar w:fldCharType="end"/>
      </w:r>
      <w:r>
        <w:rPr>
          <w:rFonts w:hint="eastAsia"/>
          <w:color w:val="auto"/>
          <w:highlight w:val="none"/>
        </w:rPr>
        <w:t>）</w:t>
      </w:r>
    </w:p>
    <w:p w14:paraId="35BB3879">
      <w:pPr>
        <w:pStyle w:val="85"/>
        <w:rPr>
          <w:color w:val="auto"/>
          <w:highlight w:val="none"/>
        </w:rPr>
      </w:pPr>
      <w:r>
        <w:rPr>
          <w:rFonts w:hint="eastAsia"/>
          <w:color w:val="auto"/>
          <w:highlight w:val="none"/>
        </w:rPr>
        <w:t>2.合作银行咨询办理</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757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30D9E7">
            <w:pPr>
              <w:pStyle w:val="85"/>
              <w:ind w:firstLine="0"/>
              <w:jc w:val="center"/>
              <w:rPr>
                <w:color w:val="auto"/>
                <w:highlight w:val="none"/>
              </w:rPr>
            </w:pPr>
            <w:r>
              <w:rPr>
                <w:rFonts w:hint="eastAsia"/>
                <w:color w:val="auto"/>
                <w:highlight w:val="none"/>
              </w:rPr>
              <w:t>银行名称</w:t>
            </w:r>
          </w:p>
        </w:tc>
        <w:tc>
          <w:tcPr>
            <w:tcW w:w="1134" w:type="dxa"/>
            <w:vAlign w:val="center"/>
          </w:tcPr>
          <w:p w14:paraId="45D5506E">
            <w:pPr>
              <w:pStyle w:val="85"/>
              <w:ind w:firstLine="0"/>
              <w:jc w:val="center"/>
              <w:rPr>
                <w:color w:val="auto"/>
                <w:highlight w:val="none"/>
              </w:rPr>
            </w:pPr>
            <w:r>
              <w:rPr>
                <w:rFonts w:hint="eastAsia"/>
                <w:color w:val="auto"/>
                <w:highlight w:val="none"/>
              </w:rPr>
              <w:t>联系电话</w:t>
            </w:r>
          </w:p>
        </w:tc>
        <w:tc>
          <w:tcPr>
            <w:tcW w:w="1701" w:type="dxa"/>
            <w:vAlign w:val="center"/>
          </w:tcPr>
          <w:p w14:paraId="057E7FE5">
            <w:pPr>
              <w:pStyle w:val="85"/>
              <w:ind w:firstLine="0"/>
              <w:jc w:val="center"/>
              <w:rPr>
                <w:color w:val="auto"/>
                <w:highlight w:val="none"/>
              </w:rPr>
            </w:pPr>
            <w:r>
              <w:rPr>
                <w:rFonts w:hint="eastAsia"/>
                <w:color w:val="auto"/>
                <w:highlight w:val="none"/>
              </w:rPr>
              <w:t>最高授信金额</w:t>
            </w:r>
          </w:p>
        </w:tc>
        <w:tc>
          <w:tcPr>
            <w:tcW w:w="993" w:type="dxa"/>
            <w:vAlign w:val="center"/>
          </w:tcPr>
          <w:p w14:paraId="6C26AC7C">
            <w:pPr>
              <w:pStyle w:val="85"/>
              <w:ind w:firstLine="0"/>
              <w:jc w:val="center"/>
              <w:rPr>
                <w:color w:val="auto"/>
                <w:highlight w:val="none"/>
              </w:rPr>
            </w:pPr>
            <w:r>
              <w:rPr>
                <w:rFonts w:hint="eastAsia"/>
                <w:color w:val="auto"/>
                <w:highlight w:val="none"/>
              </w:rPr>
              <w:t>最长授信期限</w:t>
            </w:r>
          </w:p>
        </w:tc>
        <w:tc>
          <w:tcPr>
            <w:tcW w:w="850" w:type="dxa"/>
            <w:vAlign w:val="center"/>
          </w:tcPr>
          <w:p w14:paraId="55430499">
            <w:pPr>
              <w:pStyle w:val="85"/>
              <w:ind w:firstLine="0"/>
              <w:jc w:val="center"/>
              <w:rPr>
                <w:color w:val="auto"/>
                <w:highlight w:val="none"/>
              </w:rPr>
            </w:pPr>
            <w:r>
              <w:rPr>
                <w:rFonts w:hint="eastAsia"/>
                <w:color w:val="auto"/>
                <w:highlight w:val="none"/>
              </w:rPr>
              <w:t>最低利率</w:t>
            </w:r>
          </w:p>
        </w:tc>
        <w:tc>
          <w:tcPr>
            <w:tcW w:w="3366" w:type="dxa"/>
            <w:vAlign w:val="center"/>
          </w:tcPr>
          <w:p w14:paraId="29172CC3">
            <w:pPr>
              <w:pStyle w:val="85"/>
              <w:ind w:firstLine="0"/>
              <w:jc w:val="center"/>
              <w:rPr>
                <w:color w:val="auto"/>
                <w:highlight w:val="none"/>
              </w:rPr>
            </w:pPr>
            <w:r>
              <w:rPr>
                <w:rFonts w:hint="eastAsia"/>
                <w:color w:val="auto"/>
                <w:highlight w:val="none"/>
              </w:rPr>
              <w:t>流程简介</w:t>
            </w:r>
          </w:p>
        </w:tc>
      </w:tr>
      <w:tr w14:paraId="52E3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E513511">
            <w:pPr>
              <w:pStyle w:val="85"/>
              <w:ind w:firstLine="0"/>
              <w:jc w:val="center"/>
              <w:rPr>
                <w:color w:val="auto"/>
                <w:highlight w:val="none"/>
              </w:rPr>
            </w:pPr>
            <w:r>
              <w:rPr>
                <w:rFonts w:hint="eastAsia"/>
                <w:color w:val="auto"/>
                <w:highlight w:val="none"/>
              </w:rPr>
              <w:t>建设银行</w:t>
            </w:r>
          </w:p>
        </w:tc>
        <w:tc>
          <w:tcPr>
            <w:tcW w:w="1134" w:type="dxa"/>
            <w:vAlign w:val="center"/>
          </w:tcPr>
          <w:p w14:paraId="603EE84E">
            <w:pPr>
              <w:pStyle w:val="85"/>
              <w:ind w:firstLine="0"/>
              <w:jc w:val="center"/>
              <w:rPr>
                <w:color w:val="auto"/>
                <w:highlight w:val="none"/>
              </w:rPr>
            </w:pPr>
            <w:r>
              <w:rPr>
                <w:rFonts w:hint="eastAsia"/>
                <w:color w:val="auto"/>
                <w:highlight w:val="none"/>
              </w:rPr>
              <w:t>13077729988</w:t>
            </w:r>
          </w:p>
        </w:tc>
        <w:tc>
          <w:tcPr>
            <w:tcW w:w="1701" w:type="dxa"/>
            <w:vAlign w:val="center"/>
          </w:tcPr>
          <w:p w14:paraId="3340A3EB">
            <w:pPr>
              <w:pStyle w:val="85"/>
              <w:ind w:firstLine="0"/>
              <w:rPr>
                <w:color w:val="auto"/>
                <w:highlight w:val="none"/>
              </w:rPr>
            </w:pPr>
            <w:r>
              <w:rPr>
                <w:rFonts w:hint="eastAsia"/>
                <w:color w:val="auto"/>
                <w:highlight w:val="none"/>
              </w:rPr>
              <w:t>最高3千万</w:t>
            </w:r>
          </w:p>
        </w:tc>
        <w:tc>
          <w:tcPr>
            <w:tcW w:w="993" w:type="dxa"/>
            <w:vAlign w:val="center"/>
          </w:tcPr>
          <w:p w14:paraId="5A792B12">
            <w:pPr>
              <w:pStyle w:val="85"/>
              <w:ind w:firstLine="0"/>
              <w:jc w:val="center"/>
              <w:rPr>
                <w:color w:val="auto"/>
                <w:highlight w:val="none"/>
              </w:rPr>
            </w:pPr>
            <w:r>
              <w:rPr>
                <w:rFonts w:hint="eastAsia"/>
                <w:color w:val="auto"/>
                <w:highlight w:val="none"/>
              </w:rPr>
              <w:t>1年</w:t>
            </w:r>
          </w:p>
        </w:tc>
        <w:tc>
          <w:tcPr>
            <w:tcW w:w="850" w:type="dxa"/>
            <w:vAlign w:val="center"/>
          </w:tcPr>
          <w:p w14:paraId="3FF5E118">
            <w:pPr>
              <w:pStyle w:val="85"/>
              <w:ind w:firstLine="0"/>
              <w:jc w:val="center"/>
              <w:rPr>
                <w:color w:val="auto"/>
                <w:highlight w:val="none"/>
              </w:rPr>
            </w:pPr>
            <w:r>
              <w:rPr>
                <w:rFonts w:hint="eastAsia"/>
                <w:color w:val="auto"/>
                <w:highlight w:val="none"/>
              </w:rPr>
              <w:t>4%</w:t>
            </w:r>
          </w:p>
        </w:tc>
        <w:tc>
          <w:tcPr>
            <w:tcW w:w="3366" w:type="dxa"/>
            <w:vAlign w:val="center"/>
          </w:tcPr>
          <w:p w14:paraId="2AA90080">
            <w:pPr>
              <w:pStyle w:val="85"/>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14:paraId="51D3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70CAE78">
            <w:pPr>
              <w:pStyle w:val="85"/>
              <w:ind w:firstLine="0"/>
              <w:jc w:val="center"/>
              <w:rPr>
                <w:color w:val="auto"/>
                <w:highlight w:val="none"/>
              </w:rPr>
            </w:pPr>
            <w:r>
              <w:rPr>
                <w:rFonts w:hint="eastAsia"/>
                <w:color w:val="auto"/>
                <w:highlight w:val="none"/>
              </w:rPr>
              <w:t>中国银行</w:t>
            </w:r>
          </w:p>
        </w:tc>
        <w:tc>
          <w:tcPr>
            <w:tcW w:w="1134" w:type="dxa"/>
            <w:vAlign w:val="center"/>
          </w:tcPr>
          <w:p w14:paraId="2AE2A6CA">
            <w:pPr>
              <w:pStyle w:val="85"/>
              <w:ind w:firstLine="0"/>
              <w:jc w:val="center"/>
              <w:rPr>
                <w:color w:val="auto"/>
                <w:highlight w:val="none"/>
              </w:rPr>
            </w:pPr>
            <w:r>
              <w:rPr>
                <w:rFonts w:hint="eastAsia"/>
                <w:color w:val="auto"/>
                <w:highlight w:val="none"/>
              </w:rPr>
              <w:t>0779-3997084</w:t>
            </w:r>
          </w:p>
        </w:tc>
        <w:tc>
          <w:tcPr>
            <w:tcW w:w="1701" w:type="dxa"/>
            <w:vAlign w:val="center"/>
          </w:tcPr>
          <w:p w14:paraId="795125D2">
            <w:pPr>
              <w:pStyle w:val="85"/>
              <w:ind w:firstLine="0"/>
              <w:rPr>
                <w:color w:val="auto"/>
                <w:highlight w:val="none"/>
              </w:rPr>
            </w:pPr>
            <w:r>
              <w:rPr>
                <w:rFonts w:hint="eastAsia"/>
                <w:color w:val="auto"/>
                <w:highlight w:val="none"/>
              </w:rPr>
              <w:t>最高1千万</w:t>
            </w:r>
          </w:p>
        </w:tc>
        <w:tc>
          <w:tcPr>
            <w:tcW w:w="993" w:type="dxa"/>
            <w:vAlign w:val="center"/>
          </w:tcPr>
          <w:p w14:paraId="3BB8D64C">
            <w:pPr>
              <w:pStyle w:val="85"/>
              <w:ind w:firstLine="0"/>
              <w:jc w:val="center"/>
              <w:rPr>
                <w:color w:val="auto"/>
                <w:highlight w:val="none"/>
              </w:rPr>
            </w:pPr>
            <w:r>
              <w:rPr>
                <w:rFonts w:hint="eastAsia"/>
                <w:color w:val="auto"/>
                <w:highlight w:val="none"/>
              </w:rPr>
              <w:t>3年</w:t>
            </w:r>
          </w:p>
        </w:tc>
        <w:tc>
          <w:tcPr>
            <w:tcW w:w="850" w:type="dxa"/>
            <w:vAlign w:val="center"/>
          </w:tcPr>
          <w:p w14:paraId="1E3CBB37">
            <w:pPr>
              <w:pStyle w:val="85"/>
              <w:ind w:firstLine="0"/>
              <w:jc w:val="center"/>
              <w:rPr>
                <w:color w:val="auto"/>
                <w:highlight w:val="none"/>
              </w:rPr>
            </w:pPr>
            <w:r>
              <w:rPr>
                <w:rFonts w:hint="eastAsia"/>
                <w:color w:val="auto"/>
                <w:highlight w:val="none"/>
              </w:rPr>
              <w:t>1.93%</w:t>
            </w:r>
          </w:p>
        </w:tc>
        <w:tc>
          <w:tcPr>
            <w:tcW w:w="3366" w:type="dxa"/>
            <w:vAlign w:val="center"/>
          </w:tcPr>
          <w:p w14:paraId="3832904B">
            <w:pPr>
              <w:pStyle w:val="85"/>
              <w:ind w:firstLine="0"/>
              <w:rPr>
                <w:color w:val="auto"/>
                <w:highlight w:val="none"/>
              </w:rPr>
            </w:pPr>
            <w:r>
              <w:rPr>
                <w:rFonts w:hint="eastAsia"/>
                <w:color w:val="auto"/>
                <w:highlight w:val="none"/>
              </w:rPr>
              <w:t>在银行开户，线上申请，上传所需材料，等待审批，审批通过后可直接在手机银行提款。</w:t>
            </w:r>
          </w:p>
        </w:tc>
      </w:tr>
      <w:tr w14:paraId="780F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C363A0B">
            <w:pPr>
              <w:pStyle w:val="85"/>
              <w:ind w:firstLine="0"/>
              <w:jc w:val="center"/>
              <w:rPr>
                <w:color w:val="auto"/>
                <w:highlight w:val="none"/>
              </w:rPr>
            </w:pPr>
            <w:r>
              <w:rPr>
                <w:rFonts w:hint="eastAsia"/>
                <w:color w:val="auto"/>
                <w:highlight w:val="none"/>
              </w:rPr>
              <w:t>兴业银行</w:t>
            </w:r>
          </w:p>
        </w:tc>
        <w:tc>
          <w:tcPr>
            <w:tcW w:w="1134" w:type="dxa"/>
            <w:vAlign w:val="center"/>
          </w:tcPr>
          <w:p w14:paraId="62AC49DE">
            <w:pPr>
              <w:pStyle w:val="85"/>
              <w:ind w:firstLine="0"/>
              <w:jc w:val="center"/>
              <w:rPr>
                <w:color w:val="auto"/>
                <w:highlight w:val="none"/>
              </w:rPr>
            </w:pPr>
            <w:r>
              <w:rPr>
                <w:rFonts w:hint="eastAsia"/>
                <w:color w:val="auto"/>
                <w:highlight w:val="none"/>
              </w:rPr>
              <w:t>0779-3158330</w:t>
            </w:r>
          </w:p>
        </w:tc>
        <w:tc>
          <w:tcPr>
            <w:tcW w:w="1701" w:type="dxa"/>
            <w:vAlign w:val="center"/>
          </w:tcPr>
          <w:p w14:paraId="1DBE6C4A">
            <w:pPr>
              <w:pStyle w:val="85"/>
              <w:ind w:firstLine="0"/>
              <w:rPr>
                <w:color w:val="auto"/>
                <w:highlight w:val="none"/>
              </w:rPr>
            </w:pPr>
            <w:r>
              <w:rPr>
                <w:rFonts w:hint="eastAsia"/>
                <w:color w:val="auto"/>
                <w:highlight w:val="none"/>
              </w:rPr>
              <w:t>最高1千万（单笔提款金额达合同金额70%）</w:t>
            </w:r>
          </w:p>
        </w:tc>
        <w:tc>
          <w:tcPr>
            <w:tcW w:w="993" w:type="dxa"/>
            <w:vAlign w:val="center"/>
          </w:tcPr>
          <w:p w14:paraId="07DE1CFE">
            <w:pPr>
              <w:pStyle w:val="85"/>
              <w:ind w:firstLine="0"/>
              <w:jc w:val="center"/>
              <w:rPr>
                <w:color w:val="auto"/>
                <w:highlight w:val="none"/>
              </w:rPr>
            </w:pPr>
            <w:r>
              <w:rPr>
                <w:rFonts w:hint="eastAsia"/>
                <w:color w:val="auto"/>
                <w:highlight w:val="none"/>
              </w:rPr>
              <w:t>1年</w:t>
            </w:r>
          </w:p>
        </w:tc>
        <w:tc>
          <w:tcPr>
            <w:tcW w:w="850" w:type="dxa"/>
            <w:vAlign w:val="center"/>
          </w:tcPr>
          <w:p w14:paraId="6EB3E640">
            <w:pPr>
              <w:pStyle w:val="85"/>
              <w:ind w:firstLine="0"/>
              <w:jc w:val="center"/>
              <w:rPr>
                <w:color w:val="auto"/>
                <w:highlight w:val="none"/>
              </w:rPr>
            </w:pPr>
            <w:r>
              <w:rPr>
                <w:rFonts w:hint="eastAsia"/>
                <w:color w:val="auto"/>
                <w:highlight w:val="none"/>
              </w:rPr>
              <w:t>3.70%</w:t>
            </w:r>
          </w:p>
        </w:tc>
        <w:tc>
          <w:tcPr>
            <w:tcW w:w="3366" w:type="dxa"/>
            <w:vAlign w:val="center"/>
          </w:tcPr>
          <w:p w14:paraId="2B55B106">
            <w:pPr>
              <w:pStyle w:val="85"/>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14:paraId="7996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E61B11D">
            <w:pPr>
              <w:pStyle w:val="85"/>
              <w:ind w:firstLine="0"/>
              <w:jc w:val="center"/>
              <w:rPr>
                <w:color w:val="auto"/>
                <w:highlight w:val="none"/>
              </w:rPr>
            </w:pPr>
            <w:r>
              <w:rPr>
                <w:rFonts w:hint="eastAsia"/>
                <w:color w:val="auto"/>
                <w:highlight w:val="none"/>
              </w:rPr>
              <w:t>工商银行</w:t>
            </w:r>
          </w:p>
        </w:tc>
        <w:tc>
          <w:tcPr>
            <w:tcW w:w="1134" w:type="dxa"/>
            <w:vAlign w:val="center"/>
          </w:tcPr>
          <w:p w14:paraId="42081B35">
            <w:pPr>
              <w:pStyle w:val="85"/>
              <w:ind w:firstLine="0"/>
              <w:jc w:val="center"/>
              <w:rPr>
                <w:color w:val="auto"/>
                <w:highlight w:val="none"/>
              </w:rPr>
            </w:pPr>
            <w:r>
              <w:rPr>
                <w:rFonts w:hint="eastAsia"/>
                <w:color w:val="auto"/>
                <w:highlight w:val="none"/>
              </w:rPr>
              <w:t>0779-3050645</w:t>
            </w:r>
          </w:p>
        </w:tc>
        <w:tc>
          <w:tcPr>
            <w:tcW w:w="1701" w:type="dxa"/>
            <w:vAlign w:val="center"/>
          </w:tcPr>
          <w:p w14:paraId="1100C96E">
            <w:pPr>
              <w:pStyle w:val="85"/>
              <w:ind w:firstLine="0"/>
              <w:rPr>
                <w:color w:val="auto"/>
                <w:highlight w:val="none"/>
              </w:rPr>
            </w:pPr>
            <w:r>
              <w:rPr>
                <w:rFonts w:hint="eastAsia"/>
                <w:color w:val="auto"/>
                <w:highlight w:val="none"/>
              </w:rPr>
              <w:t>最高1千万且不超过合同金额70%</w:t>
            </w:r>
          </w:p>
        </w:tc>
        <w:tc>
          <w:tcPr>
            <w:tcW w:w="993" w:type="dxa"/>
            <w:vAlign w:val="center"/>
          </w:tcPr>
          <w:p w14:paraId="63EB6853">
            <w:pPr>
              <w:pStyle w:val="85"/>
              <w:ind w:firstLine="0"/>
              <w:jc w:val="center"/>
              <w:rPr>
                <w:color w:val="auto"/>
                <w:highlight w:val="none"/>
              </w:rPr>
            </w:pPr>
            <w:r>
              <w:rPr>
                <w:rFonts w:hint="eastAsia"/>
                <w:color w:val="auto"/>
                <w:highlight w:val="none"/>
              </w:rPr>
              <w:t>货物类1年</w:t>
            </w:r>
          </w:p>
          <w:p w14:paraId="37CB6476">
            <w:pPr>
              <w:pStyle w:val="85"/>
              <w:ind w:firstLine="0"/>
              <w:jc w:val="center"/>
              <w:rPr>
                <w:color w:val="auto"/>
                <w:highlight w:val="none"/>
              </w:rPr>
            </w:pPr>
            <w:r>
              <w:rPr>
                <w:rFonts w:hint="eastAsia"/>
                <w:color w:val="auto"/>
                <w:highlight w:val="none"/>
              </w:rPr>
              <w:t>服务类3年</w:t>
            </w:r>
          </w:p>
          <w:p w14:paraId="163D85A3">
            <w:pPr>
              <w:pStyle w:val="85"/>
              <w:ind w:firstLine="0"/>
              <w:jc w:val="center"/>
              <w:rPr>
                <w:color w:val="auto"/>
                <w:highlight w:val="none"/>
              </w:rPr>
            </w:pPr>
            <w:r>
              <w:rPr>
                <w:rFonts w:hint="eastAsia"/>
                <w:color w:val="auto"/>
                <w:highlight w:val="none"/>
              </w:rPr>
              <w:t>工程类5年</w:t>
            </w:r>
          </w:p>
        </w:tc>
        <w:tc>
          <w:tcPr>
            <w:tcW w:w="850" w:type="dxa"/>
            <w:vAlign w:val="center"/>
          </w:tcPr>
          <w:p w14:paraId="704E67E4">
            <w:pPr>
              <w:pStyle w:val="85"/>
              <w:ind w:firstLine="0"/>
              <w:jc w:val="center"/>
              <w:rPr>
                <w:color w:val="auto"/>
                <w:highlight w:val="none"/>
              </w:rPr>
            </w:pPr>
            <w:r>
              <w:rPr>
                <w:rFonts w:hint="eastAsia"/>
                <w:color w:val="auto"/>
                <w:highlight w:val="none"/>
              </w:rPr>
              <w:t>3.45%</w:t>
            </w:r>
          </w:p>
        </w:tc>
        <w:tc>
          <w:tcPr>
            <w:tcW w:w="3366" w:type="dxa"/>
            <w:vAlign w:val="center"/>
          </w:tcPr>
          <w:p w14:paraId="4293DCD5">
            <w:pPr>
              <w:pStyle w:val="85"/>
              <w:ind w:firstLine="0"/>
              <w:rPr>
                <w:color w:val="auto"/>
                <w:highlight w:val="none"/>
              </w:rPr>
            </w:pPr>
            <w:r>
              <w:rPr>
                <w:rFonts w:hint="eastAsia"/>
                <w:color w:val="auto"/>
                <w:highlight w:val="none"/>
              </w:rPr>
              <w:t>为中征系统白名单企业，提供相关要求材料，内部审批后放款自主借还。</w:t>
            </w:r>
          </w:p>
        </w:tc>
      </w:tr>
      <w:tr w14:paraId="559EE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E322F71">
            <w:pPr>
              <w:pStyle w:val="85"/>
              <w:ind w:firstLine="0"/>
              <w:jc w:val="center"/>
              <w:rPr>
                <w:color w:val="auto"/>
                <w:highlight w:val="none"/>
              </w:rPr>
            </w:pPr>
            <w:r>
              <w:rPr>
                <w:rFonts w:hint="eastAsia"/>
                <w:color w:val="auto"/>
                <w:highlight w:val="none"/>
              </w:rPr>
              <w:t>国民村镇银行</w:t>
            </w:r>
          </w:p>
        </w:tc>
        <w:tc>
          <w:tcPr>
            <w:tcW w:w="1134" w:type="dxa"/>
            <w:vAlign w:val="center"/>
          </w:tcPr>
          <w:p w14:paraId="269720C5">
            <w:pPr>
              <w:pStyle w:val="85"/>
              <w:ind w:firstLine="0"/>
              <w:jc w:val="center"/>
              <w:rPr>
                <w:color w:val="auto"/>
                <w:highlight w:val="none"/>
              </w:rPr>
            </w:pPr>
            <w:r>
              <w:rPr>
                <w:rFonts w:hint="eastAsia"/>
                <w:color w:val="auto"/>
                <w:highlight w:val="none"/>
              </w:rPr>
              <w:t>0779-2668801</w:t>
            </w:r>
          </w:p>
        </w:tc>
        <w:tc>
          <w:tcPr>
            <w:tcW w:w="1701" w:type="dxa"/>
            <w:vAlign w:val="center"/>
          </w:tcPr>
          <w:p w14:paraId="5092036D">
            <w:pPr>
              <w:pStyle w:val="85"/>
              <w:ind w:firstLine="0"/>
              <w:rPr>
                <w:color w:val="auto"/>
                <w:highlight w:val="none"/>
              </w:rPr>
            </w:pPr>
            <w:r>
              <w:rPr>
                <w:rFonts w:hint="eastAsia"/>
                <w:color w:val="auto"/>
                <w:highlight w:val="none"/>
              </w:rPr>
              <w:t>最高500万</w:t>
            </w:r>
          </w:p>
        </w:tc>
        <w:tc>
          <w:tcPr>
            <w:tcW w:w="993" w:type="dxa"/>
            <w:vAlign w:val="center"/>
          </w:tcPr>
          <w:p w14:paraId="6BDAD047">
            <w:pPr>
              <w:pStyle w:val="85"/>
              <w:ind w:firstLine="0"/>
              <w:jc w:val="center"/>
              <w:rPr>
                <w:color w:val="auto"/>
                <w:highlight w:val="none"/>
              </w:rPr>
            </w:pPr>
            <w:r>
              <w:rPr>
                <w:rFonts w:hint="eastAsia"/>
                <w:color w:val="auto"/>
                <w:highlight w:val="none"/>
              </w:rPr>
              <w:t>5年</w:t>
            </w:r>
          </w:p>
        </w:tc>
        <w:tc>
          <w:tcPr>
            <w:tcW w:w="850" w:type="dxa"/>
            <w:vAlign w:val="center"/>
          </w:tcPr>
          <w:p w14:paraId="5B244D83">
            <w:pPr>
              <w:pStyle w:val="85"/>
              <w:ind w:firstLine="0"/>
              <w:jc w:val="center"/>
              <w:rPr>
                <w:color w:val="auto"/>
                <w:highlight w:val="none"/>
              </w:rPr>
            </w:pPr>
            <w:r>
              <w:rPr>
                <w:rFonts w:hint="eastAsia"/>
                <w:color w:val="auto"/>
                <w:highlight w:val="none"/>
              </w:rPr>
              <w:t>2.80%</w:t>
            </w:r>
          </w:p>
        </w:tc>
        <w:tc>
          <w:tcPr>
            <w:tcW w:w="3366" w:type="dxa"/>
            <w:vAlign w:val="center"/>
          </w:tcPr>
          <w:p w14:paraId="1FF4FB8B">
            <w:pPr>
              <w:pStyle w:val="85"/>
              <w:ind w:firstLine="0"/>
              <w:rPr>
                <w:color w:val="auto"/>
                <w:highlight w:val="none"/>
              </w:rPr>
            </w:pPr>
            <w:r>
              <w:rPr>
                <w:rFonts w:hint="eastAsia"/>
                <w:color w:val="auto"/>
                <w:highlight w:val="none"/>
              </w:rPr>
              <w:t>银行开户，线下申请并提供材料，信用良好企业最快1天获批即可提款</w:t>
            </w:r>
          </w:p>
        </w:tc>
      </w:tr>
      <w:tr w14:paraId="6F25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C0AA4F9">
            <w:pPr>
              <w:pStyle w:val="85"/>
              <w:ind w:firstLine="0"/>
              <w:jc w:val="center"/>
              <w:rPr>
                <w:color w:val="auto"/>
                <w:highlight w:val="none"/>
              </w:rPr>
            </w:pPr>
            <w:r>
              <w:rPr>
                <w:rFonts w:hint="eastAsia"/>
                <w:color w:val="auto"/>
                <w:highlight w:val="none"/>
              </w:rPr>
              <w:t>桂林银行</w:t>
            </w:r>
          </w:p>
        </w:tc>
        <w:tc>
          <w:tcPr>
            <w:tcW w:w="1134" w:type="dxa"/>
            <w:vAlign w:val="center"/>
          </w:tcPr>
          <w:p w14:paraId="6C39DB38">
            <w:pPr>
              <w:pStyle w:val="85"/>
              <w:ind w:firstLine="0"/>
              <w:jc w:val="center"/>
              <w:rPr>
                <w:color w:val="auto"/>
                <w:highlight w:val="none"/>
              </w:rPr>
            </w:pPr>
            <w:r>
              <w:rPr>
                <w:rFonts w:hint="eastAsia"/>
                <w:color w:val="auto"/>
                <w:highlight w:val="none"/>
              </w:rPr>
              <w:t>18577993959</w:t>
            </w:r>
          </w:p>
        </w:tc>
        <w:tc>
          <w:tcPr>
            <w:tcW w:w="1701" w:type="dxa"/>
            <w:vAlign w:val="center"/>
          </w:tcPr>
          <w:p w14:paraId="130912A9">
            <w:pPr>
              <w:pStyle w:val="85"/>
              <w:ind w:firstLine="0"/>
              <w:rPr>
                <w:color w:val="auto"/>
                <w:highlight w:val="none"/>
              </w:rPr>
            </w:pPr>
            <w:r>
              <w:rPr>
                <w:rFonts w:hint="eastAsia"/>
                <w:color w:val="auto"/>
                <w:highlight w:val="none"/>
              </w:rPr>
              <w:t>最高1千万</w:t>
            </w:r>
          </w:p>
        </w:tc>
        <w:tc>
          <w:tcPr>
            <w:tcW w:w="993" w:type="dxa"/>
            <w:vAlign w:val="center"/>
          </w:tcPr>
          <w:p w14:paraId="27FE7469">
            <w:pPr>
              <w:pStyle w:val="85"/>
              <w:ind w:firstLine="0"/>
              <w:jc w:val="center"/>
              <w:rPr>
                <w:color w:val="auto"/>
                <w:highlight w:val="none"/>
              </w:rPr>
            </w:pPr>
            <w:r>
              <w:rPr>
                <w:rFonts w:hint="eastAsia"/>
                <w:color w:val="auto"/>
                <w:highlight w:val="none"/>
              </w:rPr>
              <w:t>1年</w:t>
            </w:r>
          </w:p>
        </w:tc>
        <w:tc>
          <w:tcPr>
            <w:tcW w:w="850" w:type="dxa"/>
            <w:vAlign w:val="center"/>
          </w:tcPr>
          <w:p w14:paraId="645206E7">
            <w:pPr>
              <w:pStyle w:val="85"/>
              <w:ind w:firstLine="0"/>
              <w:jc w:val="center"/>
              <w:rPr>
                <w:color w:val="auto"/>
                <w:highlight w:val="none"/>
              </w:rPr>
            </w:pPr>
            <w:r>
              <w:rPr>
                <w:rFonts w:hint="eastAsia"/>
                <w:color w:val="auto"/>
                <w:highlight w:val="none"/>
              </w:rPr>
              <w:t>3.45%</w:t>
            </w:r>
          </w:p>
        </w:tc>
        <w:tc>
          <w:tcPr>
            <w:tcW w:w="3366" w:type="dxa"/>
            <w:vAlign w:val="center"/>
          </w:tcPr>
          <w:p w14:paraId="696C3367">
            <w:pPr>
              <w:pStyle w:val="85"/>
              <w:ind w:firstLine="0"/>
              <w:rPr>
                <w:color w:val="auto"/>
                <w:highlight w:val="none"/>
              </w:rPr>
            </w:pPr>
            <w:r>
              <w:rPr>
                <w:rFonts w:hint="eastAsia"/>
                <w:color w:val="auto"/>
                <w:highlight w:val="none"/>
              </w:rPr>
              <w:t>线下申请，材料齐全最快1周内即可放款。</w:t>
            </w:r>
          </w:p>
        </w:tc>
      </w:tr>
      <w:tr w14:paraId="2A03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69AEA5B">
            <w:pPr>
              <w:pStyle w:val="85"/>
              <w:ind w:firstLine="0"/>
              <w:jc w:val="center"/>
              <w:rPr>
                <w:color w:val="auto"/>
                <w:highlight w:val="none"/>
              </w:rPr>
            </w:pPr>
            <w:r>
              <w:rPr>
                <w:rFonts w:hint="eastAsia"/>
                <w:color w:val="auto"/>
                <w:highlight w:val="none"/>
              </w:rPr>
              <w:t>中小微商务服务公司</w:t>
            </w:r>
          </w:p>
        </w:tc>
        <w:tc>
          <w:tcPr>
            <w:tcW w:w="1134" w:type="dxa"/>
            <w:vAlign w:val="center"/>
          </w:tcPr>
          <w:p w14:paraId="1C99455A">
            <w:pPr>
              <w:pStyle w:val="85"/>
              <w:ind w:firstLine="0"/>
              <w:jc w:val="center"/>
              <w:rPr>
                <w:color w:val="auto"/>
                <w:highlight w:val="none"/>
              </w:rPr>
            </w:pPr>
            <w:r>
              <w:rPr>
                <w:rFonts w:hint="eastAsia"/>
                <w:color w:val="auto"/>
                <w:highlight w:val="none"/>
              </w:rPr>
              <w:t>19907799988</w:t>
            </w:r>
          </w:p>
        </w:tc>
        <w:tc>
          <w:tcPr>
            <w:tcW w:w="1701" w:type="dxa"/>
            <w:vAlign w:val="center"/>
          </w:tcPr>
          <w:p w14:paraId="27D34974">
            <w:pPr>
              <w:pStyle w:val="85"/>
              <w:ind w:firstLine="0"/>
              <w:rPr>
                <w:color w:val="auto"/>
                <w:highlight w:val="none"/>
              </w:rPr>
            </w:pPr>
          </w:p>
        </w:tc>
        <w:tc>
          <w:tcPr>
            <w:tcW w:w="993" w:type="dxa"/>
            <w:vAlign w:val="center"/>
          </w:tcPr>
          <w:p w14:paraId="463D8F82">
            <w:pPr>
              <w:pStyle w:val="85"/>
              <w:ind w:firstLine="0"/>
              <w:jc w:val="center"/>
              <w:rPr>
                <w:color w:val="auto"/>
                <w:highlight w:val="none"/>
              </w:rPr>
            </w:pPr>
          </w:p>
        </w:tc>
        <w:tc>
          <w:tcPr>
            <w:tcW w:w="850" w:type="dxa"/>
            <w:vAlign w:val="center"/>
          </w:tcPr>
          <w:p w14:paraId="6990EA1B">
            <w:pPr>
              <w:pStyle w:val="85"/>
              <w:ind w:firstLine="0"/>
              <w:jc w:val="center"/>
              <w:rPr>
                <w:color w:val="auto"/>
                <w:highlight w:val="none"/>
              </w:rPr>
            </w:pPr>
          </w:p>
        </w:tc>
        <w:tc>
          <w:tcPr>
            <w:tcW w:w="3366" w:type="dxa"/>
            <w:vAlign w:val="center"/>
          </w:tcPr>
          <w:p w14:paraId="14446960">
            <w:pPr>
              <w:pStyle w:val="85"/>
              <w:ind w:firstLine="0"/>
              <w:rPr>
                <w:color w:val="auto"/>
                <w:highlight w:val="none"/>
              </w:rPr>
            </w:pPr>
            <w:r>
              <w:rPr>
                <w:rFonts w:hint="eastAsia"/>
                <w:color w:val="auto"/>
                <w:highlight w:val="none"/>
              </w:rPr>
              <w:t>具体业务可电话咨询。</w:t>
            </w:r>
          </w:p>
        </w:tc>
      </w:tr>
    </w:tbl>
    <w:p w14:paraId="326F3C0A">
      <w:pPr>
        <w:pStyle w:val="85"/>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2B8016B7">
      <w:pPr>
        <w:pStyle w:val="131"/>
        <w:snapToGrid w:val="0"/>
        <w:spacing w:before="0"/>
        <w:ind w:firstLine="480"/>
        <w:rPr>
          <w:rFonts w:ascii="宋体" w:hAnsi="宋体" w:cs="宋体"/>
          <w:color w:val="auto"/>
          <w:highlight w:val="none"/>
        </w:rPr>
      </w:pPr>
    </w:p>
    <w:p w14:paraId="1440E479">
      <w:pPr>
        <w:pStyle w:val="26"/>
        <w:spacing w:line="360" w:lineRule="auto"/>
        <w:ind w:left="479" w:hanging="479" w:hangingChars="199"/>
        <w:rPr>
          <w:rFonts w:hint="default" w:eastAsia="宋体" w:cs="宋体"/>
          <w:b/>
          <w:color w:val="auto"/>
          <w:highlight w:val="none"/>
          <w:lang w:val="en-US" w:eastAsia="zh-CN"/>
        </w:rPr>
      </w:pPr>
      <w:r>
        <w:rPr>
          <w:rFonts w:hint="eastAsia" w:cs="宋体"/>
          <w:b/>
          <w:color w:val="auto"/>
          <w:highlight w:val="none"/>
        </w:rPr>
        <w:t>26. 履约保证金</w:t>
      </w:r>
      <w:r>
        <w:rPr>
          <w:rFonts w:hint="eastAsia" w:cs="宋体"/>
          <w:b/>
          <w:color w:val="auto"/>
          <w:highlight w:val="none"/>
          <w:lang w:eastAsia="zh-CN"/>
        </w:rPr>
        <w:t>（</w:t>
      </w:r>
      <w:r>
        <w:rPr>
          <w:rFonts w:hint="eastAsia" w:cs="宋体"/>
          <w:b/>
          <w:color w:val="auto"/>
          <w:highlight w:val="none"/>
          <w:lang w:val="en-US" w:eastAsia="zh-CN"/>
        </w:rPr>
        <w:t>本项目不收取履约保证金）</w:t>
      </w:r>
    </w:p>
    <w:p w14:paraId="44D55C6F">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26.1拟签订的合同文本要求</w:t>
      </w:r>
      <w:r>
        <w:rPr>
          <w:rFonts w:hint="eastAsia" w:ascii="宋体" w:hAnsi="宋体" w:cs="宋体"/>
          <w:color w:val="auto"/>
          <w:kern w:val="0"/>
          <w:sz w:val="24"/>
          <w:highlight w:val="none"/>
          <w:lang w:eastAsia="zh-CN"/>
        </w:rPr>
        <w:t>中标人</w:t>
      </w:r>
      <w:r>
        <w:rPr>
          <w:rFonts w:hint="eastAsia" w:ascii="宋体" w:hAnsi="宋体" w:cs="宋体"/>
          <w:color w:val="auto"/>
          <w:kern w:val="0"/>
          <w:sz w:val="24"/>
          <w:highlight w:val="none"/>
        </w:rPr>
        <w:t>提交履约保证金的，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的投标保证金可转为履约保证金。鼓励根据项目特点、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诚信等因素免收履约保证金或降低缴纳比例，对于需要收取保证金的政府采购项目，政府采购信用白名单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可以免于缴纳保证金，降低信用白名单</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参与政府采购活动成本。鼓励和支持</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以银行、保险公司出具的保函形式提供履约保证金。</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8E2671D">
      <w:pPr>
        <w:pStyle w:val="85"/>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68A53501">
      <w:pPr>
        <w:pStyle w:val="85"/>
        <w:ind w:firstLine="480" w:firstLineChars="200"/>
        <w:rPr>
          <w:rFonts w:cs="宋体"/>
          <w:color w:val="auto"/>
          <w:kern w:val="2"/>
          <w:szCs w:val="24"/>
          <w:highlight w:val="none"/>
        </w:rPr>
      </w:pPr>
      <w:r>
        <w:rPr>
          <w:rFonts w:hint="eastAsia" w:cs="宋体"/>
          <w:color w:val="auto"/>
          <w:kern w:val="2"/>
          <w:szCs w:val="24"/>
          <w:highlight w:val="none"/>
        </w:rPr>
        <w:t>开户名称：</w:t>
      </w:r>
      <w:r>
        <w:rPr>
          <w:rFonts w:hint="eastAsia" w:cs="宋体"/>
          <w:color w:val="auto"/>
          <w:kern w:val="2"/>
          <w:szCs w:val="24"/>
          <w:highlight w:val="none"/>
          <w:lang w:val="en-US" w:eastAsia="zh-CN"/>
        </w:rPr>
        <w:t>/</w:t>
      </w:r>
      <w:r>
        <w:rPr>
          <w:rFonts w:hint="eastAsia" w:cs="宋体"/>
          <w:color w:val="auto"/>
          <w:kern w:val="2"/>
          <w:szCs w:val="24"/>
          <w:highlight w:val="none"/>
        </w:rPr>
        <w:t xml:space="preserve"> </w:t>
      </w:r>
    </w:p>
    <w:p w14:paraId="6B3EB96D">
      <w:pPr>
        <w:pStyle w:val="85"/>
        <w:ind w:firstLine="480" w:firstLineChars="200"/>
        <w:rPr>
          <w:rFonts w:cs="宋体"/>
          <w:color w:val="auto"/>
          <w:kern w:val="2"/>
          <w:szCs w:val="24"/>
          <w:highlight w:val="none"/>
        </w:rPr>
      </w:pPr>
      <w:r>
        <w:rPr>
          <w:rFonts w:hint="eastAsia" w:cs="宋体"/>
          <w:color w:val="auto"/>
          <w:kern w:val="2"/>
          <w:szCs w:val="24"/>
          <w:highlight w:val="none"/>
        </w:rPr>
        <w:t>开户银行：</w:t>
      </w:r>
      <w:r>
        <w:rPr>
          <w:rFonts w:hint="eastAsia" w:cs="宋体"/>
          <w:color w:val="auto"/>
          <w:kern w:val="2"/>
          <w:szCs w:val="24"/>
          <w:highlight w:val="none"/>
          <w:lang w:val="en-US" w:eastAsia="zh-CN"/>
        </w:rPr>
        <w:t>/</w:t>
      </w:r>
      <w:r>
        <w:rPr>
          <w:rFonts w:hint="eastAsia" w:cs="宋体"/>
          <w:color w:val="auto"/>
          <w:kern w:val="2"/>
          <w:szCs w:val="24"/>
          <w:highlight w:val="none"/>
        </w:rPr>
        <w:t xml:space="preserve"> </w:t>
      </w:r>
    </w:p>
    <w:p w14:paraId="5DDE95D2">
      <w:pPr>
        <w:pStyle w:val="85"/>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银行账号：</w:t>
      </w:r>
      <w:r>
        <w:rPr>
          <w:rFonts w:hint="eastAsia" w:cs="宋体"/>
          <w:color w:val="auto"/>
          <w:kern w:val="2"/>
          <w:szCs w:val="24"/>
          <w:highlight w:val="none"/>
          <w:lang w:val="en-US" w:eastAsia="zh-CN"/>
        </w:rPr>
        <w:t>/</w:t>
      </w:r>
    </w:p>
    <w:p w14:paraId="16B1DBCE">
      <w:pPr>
        <w:pStyle w:val="85"/>
        <w:ind w:firstLine="480" w:firstLineChars="200"/>
        <w:rPr>
          <w:snapToGrid w:val="0"/>
          <w:color w:val="auto"/>
          <w:highlight w:val="none"/>
        </w:rPr>
      </w:pPr>
      <w:r>
        <w:rPr>
          <w:rFonts w:hint="eastAsia"/>
          <w:snapToGrid w:val="0"/>
          <w:color w:val="auto"/>
          <w:highlight w:val="none"/>
        </w:rPr>
        <w:t>26.2积极推广电子保函，支持</w:t>
      </w:r>
      <w:r>
        <w:rPr>
          <w:rFonts w:hint="eastAsia"/>
          <w:snapToGrid w:val="0"/>
          <w:color w:val="auto"/>
          <w:highlight w:val="none"/>
          <w:lang w:eastAsia="zh-CN"/>
        </w:rPr>
        <w:t>投标人</w:t>
      </w:r>
      <w:r>
        <w:rPr>
          <w:rFonts w:hint="eastAsia"/>
          <w:snapToGrid w:val="0"/>
          <w:color w:val="auto"/>
          <w:highlight w:val="none"/>
        </w:rPr>
        <w:t>使用电子保函替代保证金。</w:t>
      </w:r>
      <w:r>
        <w:rPr>
          <w:rFonts w:hint="eastAsia"/>
          <w:snapToGrid w:val="0"/>
          <w:color w:val="auto"/>
          <w:highlight w:val="none"/>
          <w:lang w:eastAsia="zh-CN"/>
        </w:rPr>
        <w:t>投标人</w:t>
      </w:r>
      <w:r>
        <w:rPr>
          <w:rFonts w:hint="eastAsia"/>
          <w:snapToGrid w:val="0"/>
          <w:color w:val="auto"/>
          <w:highlight w:val="none"/>
        </w:rPr>
        <w:t>可登录广西政府采购云平台-【金融服务】—【我的项目】—【已备案合同】以保函形式提供：1、</w:t>
      </w:r>
      <w:r>
        <w:rPr>
          <w:rFonts w:hint="eastAsia"/>
          <w:snapToGrid w:val="0"/>
          <w:color w:val="auto"/>
          <w:highlight w:val="none"/>
          <w:lang w:eastAsia="zh-CN"/>
        </w:rPr>
        <w:t>投标人</w:t>
      </w:r>
      <w:r>
        <w:rPr>
          <w:rFonts w:hint="eastAsia"/>
          <w:snapToGrid w:val="0"/>
          <w:color w:val="auto"/>
          <w:highlight w:val="none"/>
        </w:rPr>
        <w:t>在合同列表选择需要投保的合同，点击[保函推荐]。2、在弹框里查看推荐的保函产品，</w:t>
      </w:r>
      <w:r>
        <w:rPr>
          <w:rFonts w:hint="eastAsia"/>
          <w:snapToGrid w:val="0"/>
          <w:color w:val="auto"/>
          <w:highlight w:val="none"/>
          <w:lang w:eastAsia="zh-CN"/>
        </w:rPr>
        <w:t>投标人</w:t>
      </w:r>
      <w:r>
        <w:rPr>
          <w:rFonts w:hint="eastAsia"/>
          <w:snapToGrid w:val="0"/>
          <w:color w:val="auto"/>
          <w:highlight w:val="none"/>
        </w:rPr>
        <w:t>自行选择保函产品，点击[立即申请]。3、在弹框里填写保函申请信息。具体步骤：选择产品—填写</w:t>
      </w:r>
      <w:r>
        <w:rPr>
          <w:rFonts w:hint="eastAsia"/>
          <w:snapToGrid w:val="0"/>
          <w:color w:val="auto"/>
          <w:highlight w:val="none"/>
          <w:lang w:eastAsia="zh-CN"/>
        </w:rPr>
        <w:t>投标人</w:t>
      </w:r>
      <w:r>
        <w:rPr>
          <w:rFonts w:hint="eastAsia"/>
          <w:snapToGrid w:val="0"/>
          <w:color w:val="auto"/>
          <w:highlight w:val="none"/>
        </w:rPr>
        <w:t>信息—选择中标项目—确认信息—等待保险/保函受理—确认保单—支付保费—成功出单。广西政府采购云平台金融专线400-903-9583。</w:t>
      </w:r>
    </w:p>
    <w:p w14:paraId="2BF627FC">
      <w:pPr>
        <w:pStyle w:val="85"/>
        <w:rPr>
          <w:color w:val="auto"/>
          <w:highlight w:val="none"/>
        </w:rPr>
      </w:pPr>
      <w:r>
        <w:rPr>
          <w:rFonts w:hint="eastAsia"/>
          <w:color w:val="auto"/>
          <w:highlight w:val="none"/>
        </w:rPr>
        <w:t>26.3履约保证金的退还。验收合格的政府采购项目，</w:t>
      </w:r>
      <w:r>
        <w:rPr>
          <w:rFonts w:hint="eastAsia"/>
          <w:color w:val="auto"/>
          <w:highlight w:val="none"/>
          <w:lang w:eastAsia="zh-CN"/>
        </w:rPr>
        <w:t>招标人</w:t>
      </w:r>
      <w:r>
        <w:rPr>
          <w:rFonts w:hint="eastAsia"/>
          <w:color w:val="auto"/>
          <w:highlight w:val="none"/>
        </w:rPr>
        <w:t>应当按照合同约定的退还方式，在5个工作日内办理履约保证金退还手续。</w:t>
      </w:r>
    </w:p>
    <w:p w14:paraId="38845E77">
      <w:pPr>
        <w:pStyle w:val="85"/>
        <w:rPr>
          <w:color w:val="auto"/>
          <w:highlight w:val="none"/>
        </w:rPr>
      </w:pPr>
      <w:r>
        <w:rPr>
          <w:rFonts w:hint="eastAsia"/>
          <w:color w:val="auto"/>
          <w:highlight w:val="none"/>
        </w:rPr>
        <w:t>26.4履约保证金不予退还情形：（1）</w:t>
      </w:r>
      <w:r>
        <w:rPr>
          <w:rFonts w:hint="eastAsia"/>
          <w:color w:val="auto"/>
          <w:highlight w:val="none"/>
          <w:lang w:eastAsia="zh-CN"/>
        </w:rPr>
        <w:t>中标人</w:t>
      </w:r>
      <w:r>
        <w:rPr>
          <w:rFonts w:hint="eastAsia"/>
          <w:color w:val="auto"/>
          <w:highlight w:val="none"/>
        </w:rPr>
        <w:t>未能全部履行政府采购合同的；（2）采购文件规定的其他情形。</w:t>
      </w:r>
    </w:p>
    <w:p w14:paraId="2A9F2223">
      <w:pPr>
        <w:pStyle w:val="85"/>
        <w:rPr>
          <w:color w:val="auto"/>
          <w:highlight w:val="none"/>
        </w:rPr>
      </w:pPr>
      <w:r>
        <w:rPr>
          <w:color w:val="auto"/>
          <w:highlight w:val="none"/>
        </w:rPr>
        <w:t>27.预付款</w:t>
      </w:r>
    </w:p>
    <w:p w14:paraId="29E13B69">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w:t>
      </w:r>
      <w:r>
        <w:rPr>
          <w:rFonts w:hint="eastAsia" w:ascii="宋体" w:hAnsi="宋体"/>
          <w:color w:val="auto"/>
          <w:sz w:val="24"/>
          <w:highlight w:val="none"/>
          <w:lang w:eastAsia="zh-CN"/>
        </w:rPr>
        <w:t>投标人</w:t>
      </w:r>
      <w:r>
        <w:rPr>
          <w:rFonts w:ascii="宋体" w:hAnsi="宋体"/>
          <w:color w:val="auto"/>
          <w:sz w:val="24"/>
          <w:highlight w:val="none"/>
        </w:rPr>
        <w:t>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lang w:eastAsia="zh-CN"/>
        </w:rPr>
        <w:t>投标人</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w:t>
      </w:r>
      <w:r>
        <w:rPr>
          <w:rFonts w:hint="eastAsia" w:ascii="宋体" w:hAnsi="宋体"/>
          <w:color w:val="auto"/>
          <w:sz w:val="24"/>
          <w:highlight w:val="none"/>
          <w:lang w:eastAsia="zh-CN"/>
        </w:rPr>
        <w:t>投标人</w:t>
      </w:r>
      <w:r>
        <w:rPr>
          <w:rFonts w:ascii="宋体" w:hAnsi="宋体"/>
          <w:color w:val="auto"/>
          <w:sz w:val="24"/>
          <w:highlight w:val="none"/>
        </w:rPr>
        <w:t>诚信等因素，可以要求</w:t>
      </w:r>
      <w:r>
        <w:rPr>
          <w:rFonts w:hint="eastAsia" w:ascii="宋体" w:hAnsi="宋体"/>
          <w:color w:val="auto"/>
          <w:sz w:val="24"/>
          <w:highlight w:val="none"/>
          <w:lang w:eastAsia="zh-CN"/>
        </w:rPr>
        <w:t>投标人</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E80168E">
      <w:pPr>
        <w:adjustRightInd/>
        <w:spacing w:line="360" w:lineRule="auto"/>
        <w:ind w:firstLine="480" w:firstLineChars="200"/>
        <w:rPr>
          <w:color w:val="auto"/>
          <w:highlight w:val="none"/>
        </w:rPr>
      </w:pPr>
      <w:r>
        <w:rPr>
          <w:rFonts w:hint="eastAsia" w:ascii="宋体" w:hAnsi="宋体"/>
          <w:color w:val="auto"/>
          <w:sz w:val="24"/>
          <w:highlight w:val="none"/>
          <w:lang w:eastAsia="zh-CN"/>
        </w:rPr>
        <w:t>投标人</w:t>
      </w:r>
      <w:r>
        <w:rPr>
          <w:rFonts w:hint="eastAsia" w:ascii="宋体" w:hAnsi="宋体"/>
          <w:color w:val="auto"/>
          <w:sz w:val="24"/>
          <w:highlight w:val="none"/>
        </w:rPr>
        <w:t>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w:t>
      </w:r>
      <w:r>
        <w:rPr>
          <w:rFonts w:hint="eastAsia" w:ascii="宋体" w:hAnsi="宋体"/>
          <w:color w:val="auto"/>
          <w:sz w:val="24"/>
          <w:highlight w:val="none"/>
          <w:lang w:eastAsia="zh-CN"/>
        </w:rPr>
        <w:t>投标人</w:t>
      </w:r>
      <w:r>
        <w:rPr>
          <w:rFonts w:hint="eastAsia" w:ascii="宋体" w:hAnsi="宋体"/>
          <w:color w:val="auto"/>
          <w:sz w:val="24"/>
          <w:highlight w:val="none"/>
        </w:rPr>
        <w:t>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3B677F94">
      <w:pPr>
        <w:snapToGrid w:val="0"/>
        <w:spacing w:line="360" w:lineRule="auto"/>
        <w:jc w:val="center"/>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2904B0AE">
      <w:pPr>
        <w:pStyle w:val="131"/>
        <w:snapToGrid w:val="0"/>
        <w:spacing w:before="0"/>
        <w:ind w:firstLine="0" w:firstLineChars="0"/>
        <w:rPr>
          <w:rFonts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1672D67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6081B8BD">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3F544BE5">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1E4CC38B">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721AAE67">
      <w:pPr>
        <w:pStyle w:val="131"/>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1CBD61E8">
      <w:pPr>
        <w:pStyle w:val="131"/>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28F2D1A1">
      <w:pPr>
        <w:tabs>
          <w:tab w:val="left" w:pos="0"/>
        </w:tabs>
        <w:spacing w:line="360" w:lineRule="auto"/>
        <w:ind w:firstLine="480"/>
        <w:rPr>
          <w:rFonts w:ascii="宋体" w:hAnsi="宋体" w:cs="宋体"/>
          <w:color w:val="auto"/>
          <w:sz w:val="24"/>
          <w:highlight w:val="none"/>
        </w:rPr>
      </w:pPr>
    </w:p>
    <w:p w14:paraId="7120CC8D">
      <w:pPr>
        <w:snapToGrid w:val="0"/>
        <w:spacing w:line="360" w:lineRule="auto"/>
        <w:jc w:val="center"/>
        <w:outlineLvl w:val="1"/>
        <w:rPr>
          <w:rFonts w:ascii="宋体" w:hAnsi="宋体" w:cs="宋体"/>
          <w:b/>
          <w:color w:val="auto"/>
          <w:sz w:val="32"/>
          <w:highlight w:val="none"/>
        </w:rPr>
      </w:pPr>
      <w:r>
        <w:rPr>
          <w:rFonts w:hint="eastAsia" w:ascii="宋体" w:hAnsi="宋体" w:cs="宋体"/>
          <w:b/>
          <w:color w:val="auto"/>
          <w:sz w:val="32"/>
          <w:highlight w:val="none"/>
        </w:rPr>
        <w:t>九、验收</w:t>
      </w:r>
    </w:p>
    <w:p w14:paraId="0275F8ED">
      <w:pPr>
        <w:pStyle w:val="26"/>
        <w:spacing w:line="360" w:lineRule="auto"/>
        <w:ind w:firstLine="0" w:firstLineChars="0"/>
        <w:rPr>
          <w:rFonts w:cs="宋体"/>
          <w:b/>
          <w:color w:val="auto"/>
          <w:highlight w:val="none"/>
        </w:rPr>
      </w:pPr>
      <w:r>
        <w:rPr>
          <w:rFonts w:hint="eastAsia" w:cs="宋体"/>
          <w:b/>
          <w:color w:val="auto"/>
          <w:highlight w:val="none"/>
        </w:rPr>
        <w:t>30.验收</w:t>
      </w:r>
    </w:p>
    <w:p w14:paraId="08FE353A">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组织对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须承担由此发生的一切损失和费用，并接受相应的处理。</w:t>
      </w:r>
    </w:p>
    <w:p w14:paraId="55ACB57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可以邀请参加本项目的其他投标人或者第三方机构参与验收。参与验收的投标人或者第三方机构的意见作为验收书的参考资料一并存档。</w:t>
      </w:r>
    </w:p>
    <w:p w14:paraId="24EFD47C">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成立验收小组，按照采购合同的约定对</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98E2975">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将根据采购合同的约定及时向</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支付采购资金、退还履约保证金。验收不合格的项目，</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将依法及时处理。采购合同的履行、违约责任和解决争议的方式等适用《中华人民共和国民法典》。</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在履约过程中有政府采购法律法规规定的违法违规情形的，</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应当及时报告本级财政部门。</w:t>
      </w:r>
    </w:p>
    <w:p w14:paraId="11012CF6">
      <w:pPr>
        <w:tabs>
          <w:tab w:val="left" w:pos="0"/>
        </w:tabs>
        <w:spacing w:line="360" w:lineRule="auto"/>
        <w:ind w:firstLine="480"/>
        <w:rPr>
          <w:rFonts w:ascii="宋体" w:hAnsi="宋体" w:cs="宋体"/>
          <w:color w:val="auto"/>
          <w:kern w:val="0"/>
          <w:sz w:val="24"/>
          <w:highlight w:val="none"/>
        </w:rPr>
      </w:pPr>
    </w:p>
    <w:p w14:paraId="51BD0341">
      <w:pPr>
        <w:snapToGrid w:val="0"/>
        <w:spacing w:line="360" w:lineRule="auto"/>
        <w:jc w:val="center"/>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14:paraId="6E1555F8">
      <w:pPr>
        <w:pStyle w:val="26"/>
        <w:spacing w:line="360" w:lineRule="auto"/>
        <w:ind w:firstLine="0" w:firstLineChars="0"/>
        <w:rPr>
          <w:rFonts w:cs="宋体"/>
          <w:b/>
          <w:color w:val="auto"/>
          <w:highlight w:val="none"/>
        </w:rPr>
      </w:pPr>
      <w:r>
        <w:rPr>
          <w:rFonts w:hint="eastAsia" w:cs="宋体"/>
          <w:b/>
          <w:color w:val="auto"/>
          <w:highlight w:val="none"/>
        </w:rPr>
        <w:t>31.代理费用的收取标准和方式</w:t>
      </w:r>
    </w:p>
    <w:p w14:paraId="03408E65">
      <w:pPr>
        <w:pStyle w:val="85"/>
        <w:ind w:firstLine="480" w:firstLineChars="200"/>
        <w:rPr>
          <w:rFonts w:cs="宋体"/>
          <w:color w:val="auto"/>
          <w:kern w:val="2"/>
          <w:szCs w:val="24"/>
          <w:highlight w:val="none"/>
        </w:rPr>
      </w:pPr>
      <w:r>
        <w:rPr>
          <w:rFonts w:hint="eastAsia" w:cs="宋体"/>
          <w:color w:val="auto"/>
          <w:kern w:val="2"/>
          <w:szCs w:val="24"/>
          <w:highlight w:val="none"/>
        </w:rPr>
        <w:t>31.1采购代理费支付方式：</w:t>
      </w:r>
    </w:p>
    <w:p w14:paraId="53CE8A3A">
      <w:pPr>
        <w:pStyle w:val="85"/>
        <w:ind w:firstLine="480" w:firstLineChars="200"/>
        <w:rPr>
          <w:rFonts w:cs="宋体"/>
          <w:color w:val="auto"/>
          <w:kern w:val="2"/>
          <w:szCs w:val="24"/>
          <w:highlight w:val="none"/>
        </w:rPr>
      </w:pPr>
      <w:r>
        <w:rPr>
          <w:rFonts w:hint="eastAsia" w:cs="宋体"/>
          <w:color w:val="auto"/>
          <w:kern w:val="2"/>
          <w:szCs w:val="24"/>
          <w:highlight w:val="none"/>
        </w:rPr>
        <w:t>本项目代理服务费由</w:t>
      </w:r>
      <w:r>
        <w:rPr>
          <w:rFonts w:hint="eastAsia" w:cs="宋体"/>
          <w:color w:val="auto"/>
          <w:kern w:val="2"/>
          <w:szCs w:val="24"/>
          <w:highlight w:val="none"/>
          <w:lang w:eastAsia="zh-CN"/>
        </w:rPr>
        <w:t>中标人</w:t>
      </w:r>
      <w:r>
        <w:rPr>
          <w:rFonts w:hint="eastAsia" w:cs="宋体"/>
          <w:color w:val="auto"/>
          <w:kern w:val="2"/>
          <w:szCs w:val="24"/>
          <w:highlight w:val="none"/>
        </w:rPr>
        <w:t>支付。</w:t>
      </w:r>
    </w:p>
    <w:p w14:paraId="0E502C79">
      <w:pPr>
        <w:pStyle w:val="85"/>
        <w:ind w:firstLine="480" w:firstLineChars="200"/>
        <w:rPr>
          <w:rFonts w:cs="宋体"/>
          <w:color w:val="auto"/>
          <w:kern w:val="2"/>
          <w:szCs w:val="24"/>
          <w:highlight w:val="none"/>
        </w:rPr>
      </w:pPr>
      <w:r>
        <w:rPr>
          <w:rFonts w:hint="eastAsia" w:cs="宋体"/>
          <w:color w:val="auto"/>
          <w:kern w:val="2"/>
          <w:szCs w:val="24"/>
          <w:highlight w:val="none"/>
        </w:rPr>
        <w:t>31.2采购代理费收取银行账户</w:t>
      </w:r>
    </w:p>
    <w:bookmarkEnd w:id="14"/>
    <w:bookmarkEnd w:id="15"/>
    <w:bookmarkEnd w:id="17"/>
    <w:p w14:paraId="24EF1830">
      <w:pPr>
        <w:pStyle w:val="85"/>
        <w:ind w:firstLine="480" w:firstLineChars="200"/>
        <w:rPr>
          <w:rFonts w:cs="宋体"/>
          <w:color w:val="auto"/>
          <w:kern w:val="2"/>
          <w:szCs w:val="24"/>
          <w:highlight w:val="none"/>
        </w:rPr>
      </w:pPr>
      <w:bookmarkStart w:id="18" w:name="_Toc176368904"/>
      <w:bookmarkStart w:id="19" w:name="第四部分"/>
      <w:r>
        <w:rPr>
          <w:rFonts w:hint="eastAsia" w:cs="宋体"/>
          <w:color w:val="auto"/>
          <w:kern w:val="2"/>
          <w:szCs w:val="24"/>
          <w:highlight w:val="none"/>
        </w:rPr>
        <w:t xml:space="preserve">开户名称：广西北部湾宏亚建设管理有限公司北海分公司 </w:t>
      </w:r>
    </w:p>
    <w:p w14:paraId="3F4E6912">
      <w:pPr>
        <w:pStyle w:val="85"/>
        <w:ind w:firstLine="480" w:firstLineChars="200"/>
        <w:rPr>
          <w:rFonts w:cs="宋体"/>
          <w:color w:val="auto"/>
          <w:kern w:val="2"/>
          <w:szCs w:val="24"/>
          <w:highlight w:val="none"/>
        </w:rPr>
      </w:pPr>
      <w:r>
        <w:rPr>
          <w:rFonts w:hint="eastAsia" w:cs="宋体"/>
          <w:color w:val="auto"/>
          <w:kern w:val="2"/>
          <w:szCs w:val="24"/>
          <w:highlight w:val="none"/>
        </w:rPr>
        <w:t xml:space="preserve">开户银行：北海工行江苏路支行 </w:t>
      </w:r>
    </w:p>
    <w:p w14:paraId="3D343B8B">
      <w:pPr>
        <w:pStyle w:val="85"/>
        <w:ind w:firstLine="480" w:firstLineChars="200"/>
        <w:rPr>
          <w:rFonts w:cs="宋体"/>
          <w:color w:val="auto"/>
          <w:kern w:val="2"/>
          <w:szCs w:val="24"/>
          <w:highlight w:val="none"/>
        </w:rPr>
      </w:pPr>
      <w:r>
        <w:rPr>
          <w:rFonts w:hint="eastAsia" w:cs="宋体"/>
          <w:color w:val="auto"/>
          <w:kern w:val="2"/>
          <w:szCs w:val="24"/>
          <w:highlight w:val="none"/>
        </w:rPr>
        <w:t>银行账号：2107 5309 0930 0049 767</w:t>
      </w:r>
    </w:p>
    <w:p w14:paraId="4BF89944">
      <w:pPr>
        <w:snapToGrid w:val="0"/>
        <w:spacing w:line="360" w:lineRule="auto"/>
        <w:ind w:firstLine="480" w:firstLineChars="200"/>
        <w:rPr>
          <w:rFonts w:ascii="宋体" w:hAnsi="宋体" w:cs="宋体"/>
          <w:b/>
          <w:color w:val="auto"/>
          <w:sz w:val="36"/>
          <w:szCs w:val="36"/>
          <w:highlight w:val="none"/>
        </w:rPr>
      </w:pPr>
      <w:r>
        <w:rPr>
          <w:rFonts w:hint="eastAsia" w:ascii="宋体" w:hAnsi="宋体" w:cs="宋体"/>
          <w:bCs/>
          <w:color w:val="auto"/>
          <w:sz w:val="24"/>
          <w:highlight w:val="none"/>
        </w:rPr>
        <w:t>31.</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代理服务收费标准：</w:t>
      </w:r>
      <w:r>
        <w:rPr>
          <w:rFonts w:hint="eastAsia" w:ascii="宋体" w:hAnsi="宋体" w:cs="宋体"/>
          <w:bCs/>
          <w:color w:val="auto"/>
          <w:sz w:val="24"/>
          <w:highlight w:val="none"/>
          <w:lang w:val="en-US" w:eastAsia="zh-CN"/>
        </w:rPr>
        <w:t>代理</w:t>
      </w:r>
      <w:r>
        <w:rPr>
          <w:rFonts w:hint="eastAsia" w:ascii="宋体" w:hAnsi="宋体" w:cs="宋体"/>
          <w:bCs/>
          <w:color w:val="auto"/>
          <w:sz w:val="24"/>
          <w:highlight w:val="none"/>
        </w:rPr>
        <w:t>服务费按国家发改价格〔2015〕299号文件规定，实行市场调节价。由</w:t>
      </w:r>
      <w:r>
        <w:rPr>
          <w:rFonts w:hint="eastAsia" w:ascii="宋体" w:hAnsi="宋体" w:cs="宋体"/>
          <w:bCs/>
          <w:color w:val="auto"/>
          <w:sz w:val="24"/>
          <w:highlight w:val="none"/>
          <w:lang w:val="en-US" w:eastAsia="zh-CN"/>
        </w:rPr>
        <w:t>中标人</w:t>
      </w:r>
      <w:r>
        <w:rPr>
          <w:rFonts w:hint="eastAsia" w:ascii="宋体" w:hAnsi="宋体" w:cs="宋体"/>
          <w:bCs/>
          <w:color w:val="auto"/>
          <w:sz w:val="24"/>
          <w:highlight w:val="none"/>
        </w:rPr>
        <w:t>在领取</w:t>
      </w:r>
      <w:r>
        <w:rPr>
          <w:rFonts w:hint="eastAsia" w:ascii="宋体" w:hAnsi="宋体" w:cs="宋体"/>
          <w:bCs/>
          <w:color w:val="auto"/>
          <w:sz w:val="24"/>
          <w:highlight w:val="none"/>
          <w:lang w:val="en-US" w:eastAsia="zh-CN"/>
        </w:rPr>
        <w:t>中标</w:t>
      </w:r>
      <w:r>
        <w:rPr>
          <w:rFonts w:hint="eastAsia" w:ascii="宋体" w:hAnsi="宋体" w:cs="宋体"/>
          <w:bCs/>
          <w:color w:val="auto"/>
          <w:sz w:val="24"/>
          <w:highlight w:val="none"/>
        </w:rPr>
        <w:t>通知书时，一次性向采购代理机构支付</w:t>
      </w:r>
      <w:r>
        <w:rPr>
          <w:rFonts w:hint="eastAsia" w:ascii="宋体" w:hAnsi="宋体" w:cs="宋体"/>
          <w:bCs/>
          <w:color w:val="auto"/>
          <w:sz w:val="24"/>
          <w:highlight w:val="none"/>
          <w:lang w:val="en-US" w:eastAsia="zh-CN"/>
        </w:rPr>
        <w:t>。</w:t>
      </w:r>
      <w:r>
        <w:rPr>
          <w:rFonts w:ascii="宋体" w:hAnsi="宋体" w:cs="宋体"/>
          <w:b/>
          <w:color w:val="auto"/>
          <w:sz w:val="36"/>
          <w:szCs w:val="36"/>
          <w:highlight w:val="none"/>
        </w:rPr>
        <w:br w:type="page"/>
      </w:r>
    </w:p>
    <w:p w14:paraId="1A04FF45">
      <w:pPr>
        <w:pStyle w:val="2"/>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bookmarkStart w:id="20" w:name="_Toc18347"/>
      <w:r>
        <w:rPr>
          <w:rFonts w:hint="eastAsia"/>
          <w:color w:val="auto"/>
          <w:sz w:val="36"/>
          <w:szCs w:val="36"/>
          <w:highlight w:val="none"/>
        </w:rPr>
        <w:t>第三部分 采购需求</w:t>
      </w:r>
      <w:bookmarkEnd w:id="18"/>
      <w:bookmarkEnd w:id="20"/>
    </w:p>
    <w:p w14:paraId="03ECB031">
      <w:pPr>
        <w:keepNext w:val="0"/>
        <w:keepLines w:val="0"/>
        <w:pageBreakBefore w:val="0"/>
        <w:widowControl w:val="0"/>
        <w:numPr>
          <w:ilvl w:val="0"/>
          <w:numId w:val="0"/>
        </w:numPr>
        <w:kinsoku/>
        <w:wordWrap/>
        <w:overflowPunct/>
        <w:topLinePunct w:val="0"/>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21" w:name="_Toc176368905"/>
      <w:r>
        <w:rPr>
          <w:rFonts w:hint="eastAsia" w:asciiTheme="minorEastAsia" w:hAnsiTheme="minorEastAsia" w:eastAsiaTheme="minorEastAsia" w:cstheme="minorEastAsia"/>
          <w:b/>
          <w:bCs/>
          <w:color w:val="auto"/>
          <w:kern w:val="2"/>
          <w:sz w:val="24"/>
          <w:szCs w:val="24"/>
          <w:highlight w:val="none"/>
          <w:lang w:val="en-US" w:eastAsia="zh-CN" w:bidi="ar-SA"/>
        </w:rPr>
        <w:t>一、</w:t>
      </w:r>
      <w:r>
        <w:rPr>
          <w:rFonts w:hint="eastAsia" w:asciiTheme="minorEastAsia" w:hAnsiTheme="minorEastAsia" w:eastAsiaTheme="minorEastAsia" w:cstheme="minorEastAsia"/>
          <w:b/>
          <w:bCs/>
          <w:color w:val="auto"/>
          <w:sz w:val="24"/>
          <w:szCs w:val="24"/>
          <w:highlight w:val="none"/>
          <w:lang w:val="en-US" w:eastAsia="zh-CN"/>
        </w:rPr>
        <w:t>项目概况</w:t>
      </w:r>
    </w:p>
    <w:p w14:paraId="6722D486">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项目名称：</w:t>
      </w:r>
      <w:r>
        <w:rPr>
          <w:rFonts w:hint="eastAsia" w:ascii="宋体" w:hAnsi="宋体" w:cs="宋体" w:eastAsiaTheme="minorEastAsia"/>
          <w:color w:val="auto"/>
          <w:sz w:val="24"/>
          <w:highlight w:val="none"/>
          <w:lang w:eastAsia="zh-CN"/>
        </w:rPr>
        <w:t>北海市海洋监管综合执法指挥平台项目</w:t>
      </w:r>
    </w:p>
    <w:p w14:paraId="3D85B1DB">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项目编号：</w:t>
      </w:r>
      <w:r>
        <w:rPr>
          <w:rFonts w:hint="eastAsia" w:ascii="宋体" w:hAnsi="宋体" w:cs="宋体"/>
          <w:color w:val="auto"/>
          <w:sz w:val="24"/>
          <w:highlight w:val="none"/>
        </w:rPr>
        <w:t>BHZC2026-G3-990118-BBWH</w:t>
      </w:r>
    </w:p>
    <w:p w14:paraId="65786042">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项目类型：服务采购</w:t>
      </w:r>
    </w:p>
    <w:p w14:paraId="00B9AFB7">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采购预算：人民币叁佰捌拾捌万玖仟壹佰壹拾伍元柒角柒分（3889115.77元），超过采购预算的报价，为无效报价。</w:t>
      </w:r>
    </w:p>
    <w:p w14:paraId="7AE29911">
      <w:pPr>
        <w:keepNext w:val="0"/>
        <w:keepLines w:val="0"/>
        <w:pageBreakBefore w:val="0"/>
        <w:widowControl w:val="0"/>
        <w:numPr>
          <w:ilvl w:val="0"/>
          <w:numId w:val="2"/>
        </w:numPr>
        <w:kinsoku/>
        <w:wordWrap/>
        <w:overflowPunct/>
        <w:topLinePunct w:val="0"/>
        <w:autoSpaceDE/>
        <w:autoSpaceDN/>
        <w:bidi w:val="0"/>
        <w:adjustRightInd w:val="0"/>
        <w:snapToGrid/>
        <w:spacing w:line="460" w:lineRule="exact"/>
        <w:ind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本项目采购标的对应的行业：软件和信息技术服务业</w:t>
      </w:r>
      <w:r>
        <w:rPr>
          <w:rFonts w:hint="eastAsia" w:asciiTheme="minorEastAsia" w:hAnsiTheme="minorEastAsia" w:eastAsiaTheme="minorEastAsia" w:cstheme="minorEastAsia"/>
          <w:color w:val="auto"/>
          <w:kern w:val="2"/>
          <w:sz w:val="24"/>
          <w:szCs w:val="24"/>
          <w:highlight w:val="none"/>
          <w:u w:val="none"/>
          <w:lang w:val="en-US" w:eastAsia="zh-CN"/>
        </w:rPr>
        <w:t>。</w:t>
      </w:r>
    </w:p>
    <w:p w14:paraId="428D1E98">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二、</w:t>
      </w:r>
      <w:r>
        <w:rPr>
          <w:rFonts w:hint="eastAsia" w:asciiTheme="minorEastAsia" w:hAnsiTheme="minorEastAsia" w:eastAsiaTheme="minorEastAsia" w:cstheme="minorEastAsia"/>
          <w:b/>
          <w:bCs/>
          <w:color w:val="auto"/>
          <w:kern w:val="2"/>
          <w:sz w:val="24"/>
          <w:szCs w:val="24"/>
          <w:highlight w:val="none"/>
          <w:u w:val="none"/>
          <w:lang w:val="en-US" w:eastAsia="zh-CN"/>
        </w:rPr>
        <w:t>服务内容及要求</w:t>
      </w:r>
    </w:p>
    <w:p w14:paraId="2536BB03">
      <w:pPr>
        <w:keepNext w:val="0"/>
        <w:keepLines w:val="0"/>
        <w:pageBreakBefore w:val="0"/>
        <w:widowControl w:val="0"/>
        <w:numPr>
          <w:ilvl w:val="0"/>
          <w:numId w:val="3"/>
        </w:numPr>
        <w:kinsoku/>
        <w:wordWrap/>
        <w:overflowPunct/>
        <w:topLinePunct w:val="0"/>
        <w:bidi w:val="0"/>
        <w:adjustRightInd w:val="0"/>
        <w:snapToGrid/>
        <w:spacing w:line="46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服务内容</w:t>
      </w:r>
    </w:p>
    <w:p w14:paraId="013EE56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北海市海洋监管综合执法指挥平台项目，包含平台架构设计、定制开发、测试部署、上线试运行、用户培训、技术交付、漏洞修复、功能优化、系统升级、应急保障、第三方平台对接、平台运维服务等全流程服务。其中，指挥平台功能模块包括：综合执法驾驶舱、全域智能监控、智能分析预警、渔船（乡镇船舶）智能化在线管理平台、执法管理模块、渔港安全模块、执法通讯模块、移动端应用APP。</w:t>
      </w:r>
    </w:p>
    <w:p w14:paraId="10222B7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lang w:val="en-US" w:eastAsia="zh-CN" w:bidi="ar-SA"/>
        </w:rPr>
        <w:t>（二）</w:t>
      </w:r>
      <w:r>
        <w:rPr>
          <w:rFonts w:hint="eastAsia" w:asciiTheme="minorEastAsia" w:hAnsiTheme="minorEastAsia" w:eastAsiaTheme="minorEastAsia" w:cstheme="minorEastAsia"/>
          <w:b/>
          <w:bCs/>
          <w:color w:val="auto"/>
          <w:kern w:val="2"/>
          <w:sz w:val="24"/>
          <w:szCs w:val="24"/>
          <w:highlight w:val="none"/>
          <w:u w:val="none"/>
          <w:lang w:val="en-US" w:eastAsia="zh-CN"/>
        </w:rPr>
        <w:t>服务要求</w:t>
      </w:r>
    </w:p>
    <w:p w14:paraId="4CD0273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2" w:firstLineChars="200"/>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1、总体服务要求</w:t>
      </w:r>
    </w:p>
    <w:p w14:paraId="4EBEC1B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 xml:space="preserve">所有服务需严格遵循国家和地方相关法律法规以及行业标准，确保服务的合法性与合规性。服务过程中要注重数据安全和隐私保护，对涉及的各类信息采取有效的加密和防护措施，防止信息泄露。服务团队应具备快速响应机制，对于出现的问题和故障要在规定时间内做出响应并及时解决。同时，要建立完善的服务记录和反馈机制，定期对服务质量进行评估和改进，不断提升服务水平，以满足北海市海洋监管综合执法指挥平台项目的实际需求。在服务执行过程中，要与采购单位保持密切沟通，及时了解其需求变化，并根据反馈对服务内容和方式进行调整优化。服务人员要具备良好的职业道德和专业素养，严格遵守服务规范和操作流程，严禁出现违规操作和不诚信行为。此外，要积极配合采购单位的各项检查和审计工作，提供真实、准确的服务数据和资料。 </w:t>
      </w:r>
    </w:p>
    <w:p w14:paraId="2F1329BD">
      <w:pPr>
        <w:pStyle w:val="24"/>
        <w:numPr>
          <w:ilvl w:val="0"/>
          <w:numId w:val="0"/>
        </w:numPr>
        <w:ind w:left="480" w:leftChars="0" w:firstLine="0" w:firstLineChars="0"/>
        <w:rPr>
          <w:rFonts w:hint="eastAsia"/>
          <w:b/>
          <w:bCs/>
          <w:color w:val="auto"/>
          <w:highlight w:val="none"/>
          <w:lang w:val="en-US" w:eastAsia="zh-CN"/>
        </w:rPr>
      </w:pPr>
      <w:r>
        <w:rPr>
          <w:rFonts w:hint="eastAsia" w:ascii="宋体" w:hAnsi="Arial" w:eastAsia="宋体" w:cs="Arial"/>
          <w:b/>
          <w:bCs/>
          <w:snapToGrid w:val="0"/>
          <w:color w:val="auto"/>
          <w:kern w:val="2"/>
          <w:sz w:val="24"/>
          <w:szCs w:val="21"/>
          <w:highlight w:val="none"/>
          <w:lang w:val="en-US" w:eastAsia="zh-CN" w:bidi="ar-SA"/>
        </w:rPr>
        <w:t>2、</w:t>
      </w:r>
      <w:r>
        <w:rPr>
          <w:rFonts w:hint="eastAsia"/>
          <w:b/>
          <w:bCs/>
          <w:color w:val="auto"/>
          <w:highlight w:val="none"/>
          <w:lang w:val="en-US" w:eastAsia="zh-CN"/>
        </w:rPr>
        <w:t>服务人员基本要求</w:t>
      </w:r>
    </w:p>
    <w:p w14:paraId="366F2D5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1）拟投入本项目的项目负责人1人，负责本项目的总体策划、布局及信息安全保障工作。项目负责人应为投标人在岗员工，需在投标文件中提供身份证复印件以及2026年01月至投标截止时间任意一个月投标人为其缴纳的社保证明复印件。</w:t>
      </w:r>
    </w:p>
    <w:p w14:paraId="5289275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Theme="minorEastAsia" w:hAnsiTheme="minorEastAsia" w:eastAsiaTheme="minorEastAsia" w:cstheme="minorEastAsia"/>
          <w:b w:val="0"/>
          <w:bCs w:val="0"/>
          <w:color w:val="auto"/>
          <w:kern w:val="2"/>
          <w:sz w:val="24"/>
          <w:szCs w:val="24"/>
          <w:highlight w:val="none"/>
          <w:u w:val="none"/>
          <w:lang w:val="en-US" w:eastAsia="zh-CN"/>
        </w:rPr>
        <w:t>（2）拟投入本项目的服务团队技术人员应达到3人以上（除项目负责人外）</w:t>
      </w:r>
      <w:r>
        <w:rPr>
          <w:rFonts w:hint="eastAsia" w:asciiTheme="minorEastAsia" w:hAnsiTheme="minorEastAsia" w:eastAsiaTheme="minorEastAsia" w:cstheme="minorEastAsia"/>
          <w:b w:val="0"/>
          <w:bCs w:val="0"/>
          <w:color w:val="auto"/>
          <w:sz w:val="24"/>
          <w:szCs w:val="24"/>
          <w:highlight w:val="none"/>
          <w:lang w:val="en-US" w:eastAsia="zh-CN"/>
        </w:rPr>
        <w:t>，需提供服务团队所有成员的</w:t>
      </w:r>
      <w:r>
        <w:rPr>
          <w:rFonts w:hint="eastAsia" w:asciiTheme="minorEastAsia" w:hAnsiTheme="minorEastAsia" w:eastAsiaTheme="minorEastAsia" w:cstheme="minorEastAsia"/>
          <w:b w:val="0"/>
          <w:bCs w:val="0"/>
          <w:color w:val="auto"/>
          <w:kern w:val="2"/>
          <w:sz w:val="24"/>
          <w:szCs w:val="24"/>
          <w:highlight w:val="none"/>
          <w:u w:val="none"/>
          <w:lang w:val="en-US" w:eastAsia="zh-CN"/>
        </w:rPr>
        <w:t>身份证复印件以及2026年01月至投标截止时间任意一个月投标人为其缴纳的社保证明复印件。</w:t>
      </w:r>
    </w:p>
    <w:p w14:paraId="5DF1E319">
      <w:pPr>
        <w:pStyle w:val="24"/>
        <w:numPr>
          <w:ilvl w:val="0"/>
          <w:numId w:val="0"/>
        </w:numPr>
        <w:ind w:left="480" w:leftChars="0" w:firstLine="0" w:firstLineChars="0"/>
        <w:rPr>
          <w:rFonts w:hint="eastAsia" w:ascii="宋体" w:eastAsia="宋体"/>
          <w:b/>
          <w:bCs/>
          <w:color w:val="auto"/>
          <w:highlight w:val="none"/>
          <w:lang w:val="en-US" w:eastAsia="zh-CN"/>
        </w:rPr>
      </w:pPr>
      <w:r>
        <w:rPr>
          <w:rFonts w:hint="eastAsia" w:ascii="宋体" w:eastAsia="宋体"/>
          <w:b/>
          <w:bCs/>
          <w:color w:val="auto"/>
          <w:highlight w:val="none"/>
          <w:lang w:val="en-US" w:eastAsia="zh-CN"/>
        </w:rPr>
        <w:t>3、采购需求一览表</w:t>
      </w:r>
    </w:p>
    <w:tbl>
      <w:tblPr>
        <w:tblStyle w:val="6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
        <w:gridCol w:w="2001"/>
        <w:gridCol w:w="5142"/>
        <w:gridCol w:w="643"/>
        <w:gridCol w:w="645"/>
      </w:tblGrid>
      <w:tr w14:paraId="523A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B22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505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项目名称</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2A4E83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详细功能描述</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EF6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数量</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882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r>
      <w:tr w14:paraId="0B29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049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w:t>
            </w:r>
          </w:p>
        </w:tc>
        <w:tc>
          <w:tcPr>
            <w:tcW w:w="4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F3BB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北海市海洋监管综合执法指挥平台</w:t>
            </w:r>
          </w:p>
        </w:tc>
      </w:tr>
      <w:tr w14:paraId="2338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F4E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606D">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综合执法驾驶舱</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D566DB4">
            <w:pPr>
              <w:jc w:val="left"/>
              <w:rPr>
                <w:rFonts w:hint="eastAsia" w:ascii="宋体" w:hAnsi="宋体" w:eastAsia="宋体" w:cs="宋体"/>
                <w:b/>
                <w:bCs/>
                <w:i w:val="0"/>
                <w:iCs w:val="0"/>
                <w:color w:val="auto"/>
                <w:sz w:val="22"/>
                <w:szCs w:val="22"/>
                <w:highlight w:val="none"/>
                <w:u w:val="none"/>
              </w:rPr>
            </w:pP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528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1 </w:t>
            </w: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780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套</w:t>
            </w:r>
          </w:p>
        </w:tc>
      </w:tr>
      <w:tr w14:paraId="5B5F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8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FA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多源数据融合</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F9DA3F9">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9D9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3305">
            <w:pPr>
              <w:jc w:val="center"/>
              <w:rPr>
                <w:rFonts w:hint="eastAsia" w:ascii="宋体" w:hAnsi="宋体" w:eastAsia="宋体" w:cs="宋体"/>
                <w:b/>
                <w:bCs/>
                <w:i w:val="0"/>
                <w:iCs w:val="0"/>
                <w:color w:val="auto"/>
                <w:sz w:val="22"/>
                <w:szCs w:val="22"/>
                <w:highlight w:val="none"/>
                <w:u w:val="none"/>
              </w:rPr>
            </w:pPr>
          </w:p>
        </w:tc>
      </w:tr>
      <w:tr w14:paraId="6863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E6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73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船位数据融合分析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F6BC6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对同一船舶不同来源的设备定位数据（AIS、北斗和雷达等）进行融合分析，根据每条船舶的定位时间，对不同设备进行融合，确定唯一的最新定位数据在电子地图上进行显示。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93E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130E">
            <w:pPr>
              <w:jc w:val="center"/>
              <w:rPr>
                <w:rFonts w:hint="eastAsia" w:ascii="宋体" w:hAnsi="宋体" w:eastAsia="宋体" w:cs="宋体"/>
                <w:b/>
                <w:bCs/>
                <w:i w:val="0"/>
                <w:iCs w:val="0"/>
                <w:color w:val="auto"/>
                <w:sz w:val="22"/>
                <w:szCs w:val="22"/>
                <w:highlight w:val="none"/>
                <w:u w:val="none"/>
              </w:rPr>
            </w:pPr>
          </w:p>
        </w:tc>
      </w:tr>
      <w:tr w14:paraId="18A9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6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78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多源定位数据整合</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6FEA1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采用标准化接入模式，兼容不同设备的定位数据格式与传输协议，实现AIS、北斗、雷达等数据的统一归集，打破设备间的数据壁垒，形成全量定位数据池。</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聚焦核心数据维度，提取每条定位数据的船舶唯一标识、定位时间、经纬度、定位精度等关键信息，忽略冗余字段，确保数据整合的高效性。</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CDA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3131">
            <w:pPr>
              <w:jc w:val="center"/>
              <w:rPr>
                <w:rFonts w:hint="eastAsia" w:ascii="宋体" w:hAnsi="宋体" w:eastAsia="宋体" w:cs="宋体"/>
                <w:b/>
                <w:bCs/>
                <w:i w:val="0"/>
                <w:iCs w:val="0"/>
                <w:color w:val="auto"/>
                <w:sz w:val="22"/>
                <w:szCs w:val="22"/>
                <w:highlight w:val="none"/>
                <w:u w:val="none"/>
              </w:rPr>
            </w:pPr>
          </w:p>
        </w:tc>
      </w:tr>
      <w:tr w14:paraId="38E8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94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37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时间维度对齐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6A39E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以统一的时间标准为基准，对不同设备的定位时间进行校准，消除设备时钟偏差导致的时间不一致问题，确保同一船舶的多源定位数据可按时间维度横向对比。</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按船舶唯一标识对定位数据分组，以时间为排序依据，梳理每条船舶的定位时间线，为后续筛选最新数据、判断定位连续性提供基础。</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7C1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2DC2">
            <w:pPr>
              <w:jc w:val="center"/>
              <w:rPr>
                <w:rFonts w:hint="eastAsia" w:ascii="宋体" w:hAnsi="宋体" w:eastAsia="宋体" w:cs="宋体"/>
                <w:b/>
                <w:bCs/>
                <w:i w:val="0"/>
                <w:iCs w:val="0"/>
                <w:color w:val="auto"/>
                <w:sz w:val="22"/>
                <w:szCs w:val="22"/>
                <w:highlight w:val="none"/>
                <w:u w:val="none"/>
              </w:rPr>
            </w:pPr>
          </w:p>
        </w:tc>
      </w:tr>
      <w:tr w14:paraId="2031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2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F0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定位数据融合择优</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8874D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基于定位时间的先后顺序，优先锁定最新时间节点的多源定位数据；针对同一时间节点的多条数据，结合设备定位精度、设备可靠性等因素，建立择优规则，筛选出最精准的定位结果。</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处理单源数据场景，若某一船舶仅单一设备提供定位数据，直接将该设备的最新定位数据作为有效结果，确保无多源数据时的定位连续性。</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5AA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D7BB">
            <w:pPr>
              <w:jc w:val="center"/>
              <w:rPr>
                <w:rFonts w:hint="eastAsia" w:ascii="宋体" w:hAnsi="宋体" w:eastAsia="宋体" w:cs="宋体"/>
                <w:b/>
                <w:bCs/>
                <w:i w:val="0"/>
                <w:iCs w:val="0"/>
                <w:color w:val="auto"/>
                <w:sz w:val="22"/>
                <w:szCs w:val="22"/>
                <w:highlight w:val="none"/>
                <w:u w:val="none"/>
              </w:rPr>
            </w:pPr>
          </w:p>
        </w:tc>
      </w:tr>
      <w:tr w14:paraId="23AC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11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88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结果输出展示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14419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将融合后的唯一最新定位数据，按电子地图适配的格式实时推送，确保地图上船舶位置的动态更新，直观呈现船舶实时航行状态。</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保留定位数据的融合痕迹，便于后续数据追溯与问题排查，同时为设备性能评估提供数据支撑。</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8AA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9B33">
            <w:pPr>
              <w:jc w:val="center"/>
              <w:rPr>
                <w:rFonts w:hint="eastAsia" w:ascii="宋体" w:hAnsi="宋体" w:eastAsia="宋体" w:cs="宋体"/>
                <w:b/>
                <w:bCs/>
                <w:i w:val="0"/>
                <w:iCs w:val="0"/>
                <w:color w:val="auto"/>
                <w:sz w:val="22"/>
                <w:szCs w:val="22"/>
                <w:highlight w:val="none"/>
                <w:u w:val="none"/>
              </w:rPr>
            </w:pPr>
          </w:p>
        </w:tc>
      </w:tr>
      <w:tr w14:paraId="696B0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F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EB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AIS雷达数据融合分析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A7CD4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通过AIS、RFID和雷达的数据融合分析，支持船舶雷达和AIS、RIFD融合身份识别渔船等信息。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7AC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7FCA">
            <w:pPr>
              <w:jc w:val="center"/>
              <w:rPr>
                <w:rFonts w:hint="eastAsia" w:ascii="宋体" w:hAnsi="宋体" w:eastAsia="宋体" w:cs="宋体"/>
                <w:b/>
                <w:bCs/>
                <w:i w:val="0"/>
                <w:iCs w:val="0"/>
                <w:color w:val="auto"/>
                <w:sz w:val="22"/>
                <w:szCs w:val="22"/>
                <w:highlight w:val="none"/>
                <w:u w:val="none"/>
              </w:rPr>
            </w:pPr>
          </w:p>
        </w:tc>
      </w:tr>
      <w:tr w14:paraId="0A371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9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45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渔船身份精准识别</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CC79E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立“双重核验”机制：以船舶唯一标识为核心，将AIS的MMSI与RFID标签ID进行关联绑定，形成“MMSI-标签ID”身份组合；通过数据融合比对，校验两类数据中的船舶基础信息（船名、船籍港等）一致性，确保身份识别准确性。</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处理单一数据缺失场景：若仅获取AIS或RFID数据，以现有数据为基础匹配渔船数据库完成身份识别；若两类数据均缺失，结合雷达目标位置与形态特征，辅助缩小身份排查范围，提升识别容错性。</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235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3C5C">
            <w:pPr>
              <w:jc w:val="center"/>
              <w:rPr>
                <w:rFonts w:hint="eastAsia" w:ascii="宋体" w:hAnsi="宋体" w:eastAsia="宋体" w:cs="宋体"/>
                <w:b/>
                <w:bCs/>
                <w:i w:val="0"/>
                <w:iCs w:val="0"/>
                <w:color w:val="auto"/>
                <w:sz w:val="22"/>
                <w:szCs w:val="22"/>
                <w:highlight w:val="none"/>
                <w:u w:val="none"/>
              </w:rPr>
            </w:pPr>
          </w:p>
        </w:tc>
      </w:tr>
      <w:tr w14:paraId="639E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F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0F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位置轨迹融合分析</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64E20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位置数据互补校准：以雷达实时位置数据为动态补充，校验并修正AIS定位偏差与RFID读写器触发的位置模糊问题；按统一时间标准（UTC）对齐三类数据的时间戳，梳理渔船连续航行轨迹。</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轨迹完整性保障：针对AIS信号中断、RFID未触发的场景，通过雷达数据补全轨迹片段；结合历史轨迹规律，对缺失数据段进行合理插值，确保轨迹的连续性与完整性，为行为分析提供基础。</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CAB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E473">
            <w:pPr>
              <w:jc w:val="center"/>
              <w:rPr>
                <w:rFonts w:hint="eastAsia" w:ascii="宋体" w:hAnsi="宋体" w:eastAsia="宋体" w:cs="宋体"/>
                <w:b/>
                <w:bCs/>
                <w:i w:val="0"/>
                <w:iCs w:val="0"/>
                <w:color w:val="auto"/>
                <w:sz w:val="22"/>
                <w:szCs w:val="22"/>
                <w:highlight w:val="none"/>
                <w:u w:val="none"/>
              </w:rPr>
            </w:pPr>
          </w:p>
        </w:tc>
      </w:tr>
      <w:tr w14:paraId="2594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01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7B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行为模式识别</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DA583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构建多维度行为判断指标：整合渔船的航行速度、航向变化、停留时间、轨迹形态等特征，建立行为模式模板。</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基于特征匹配实现模式识别：将实时融合的轨迹与行为特征，与预设模板进行比对，自动判定渔船当前行为状态；通过历史数据学习，优化行为特征权重，提升复杂场景下的识别准确性。</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B72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7082">
            <w:pPr>
              <w:jc w:val="center"/>
              <w:rPr>
                <w:rFonts w:hint="eastAsia" w:ascii="宋体" w:hAnsi="宋体" w:eastAsia="宋体" w:cs="宋体"/>
                <w:b/>
                <w:bCs/>
                <w:i w:val="0"/>
                <w:iCs w:val="0"/>
                <w:color w:val="auto"/>
                <w:sz w:val="22"/>
                <w:szCs w:val="22"/>
                <w:highlight w:val="none"/>
                <w:u w:val="none"/>
              </w:rPr>
            </w:pPr>
          </w:p>
        </w:tc>
      </w:tr>
      <w:tr w14:paraId="6D40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B8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C2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行为预警风险预判</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EB88A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建立预警规则体系：结合渔船的实时位置、航向与速度、行为模式，设定多维度预警触发条件。</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实现分级预警推送：通过数据融合分析预判潜在违法行为，按风险等级触发对应预警；预警信息同步关联渔船身份、实时位置、行为证据链，支撑执法人员快速响应。</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FF1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410D">
            <w:pPr>
              <w:jc w:val="center"/>
              <w:rPr>
                <w:rFonts w:hint="eastAsia" w:ascii="宋体" w:hAnsi="宋体" w:eastAsia="宋体" w:cs="宋体"/>
                <w:b/>
                <w:bCs/>
                <w:i w:val="0"/>
                <w:iCs w:val="0"/>
                <w:color w:val="auto"/>
                <w:sz w:val="22"/>
                <w:szCs w:val="22"/>
                <w:highlight w:val="none"/>
                <w:u w:val="none"/>
              </w:rPr>
            </w:pPr>
          </w:p>
        </w:tc>
      </w:tr>
      <w:tr w14:paraId="64A3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06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5A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海上整体管控（海洋一张图系统）</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3A2CE4F">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8F8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E807">
            <w:pPr>
              <w:jc w:val="center"/>
              <w:rPr>
                <w:rFonts w:hint="eastAsia" w:ascii="宋体" w:hAnsi="宋体" w:eastAsia="宋体" w:cs="宋体"/>
                <w:b/>
                <w:bCs/>
                <w:i w:val="0"/>
                <w:iCs w:val="0"/>
                <w:color w:val="auto"/>
                <w:sz w:val="22"/>
                <w:szCs w:val="22"/>
                <w:highlight w:val="none"/>
                <w:u w:val="none"/>
              </w:rPr>
            </w:pPr>
          </w:p>
        </w:tc>
      </w:tr>
      <w:tr w14:paraId="2667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12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10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大屏数据看板</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B15F3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指挥舱两侧对海洋、执法基础数据、业务预警信息、应急救援信息等信息进行汇总统计和实时展示，形成综合看板，直观掌握辖区执法监管态势。借助AIS定位、电子围栏和GIS电子地图，形成高效直观的综合展示看板，并为执法智慧化管理提供决策支撑，快速形成管理、调度、应急指挥建议，如快速查看报警点周边动态，辅助规划救援路线，以更好地保障作业安全。</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FB84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1776">
            <w:pPr>
              <w:jc w:val="center"/>
              <w:rPr>
                <w:rFonts w:hint="eastAsia" w:ascii="宋体" w:hAnsi="宋体" w:eastAsia="宋体" w:cs="宋体"/>
                <w:b/>
                <w:bCs/>
                <w:i w:val="0"/>
                <w:iCs w:val="0"/>
                <w:color w:val="auto"/>
                <w:sz w:val="22"/>
                <w:szCs w:val="22"/>
                <w:highlight w:val="none"/>
                <w:u w:val="none"/>
              </w:rPr>
            </w:pPr>
          </w:p>
        </w:tc>
      </w:tr>
      <w:tr w14:paraId="58E3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FB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70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多维度数据整合与分类展示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9FA13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基础数据-业务数据-预警信息-应急信息”四大类构建数据体系：基础数据涵盖辖区渔船数量、港口分布、执法力量配置等静态数据；业务数据包含渔船进出港记录、执法案件统计、多源数据融合结果等动态数据；预警信息聚焦违法疑似、碰撞风险、禁限区域闯入等实时告警；应急信息涵盖救援资源分布、事故上报详情、救援进度跟踪等内容。</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采用“总览+细分”的展示逻辑：大屏核心区域呈现全域关键指标，两侧分模块展示细分数据，兼顾全局把控与细节查看。</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B32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577C">
            <w:pPr>
              <w:jc w:val="center"/>
              <w:rPr>
                <w:rFonts w:hint="eastAsia" w:ascii="宋体" w:hAnsi="宋体" w:eastAsia="宋体" w:cs="宋体"/>
                <w:b/>
                <w:bCs/>
                <w:i w:val="0"/>
                <w:iCs w:val="0"/>
                <w:color w:val="auto"/>
                <w:sz w:val="22"/>
                <w:szCs w:val="22"/>
                <w:highlight w:val="none"/>
                <w:u w:val="none"/>
              </w:rPr>
            </w:pPr>
          </w:p>
        </w:tc>
      </w:tr>
      <w:tr w14:paraId="3AB5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A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86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地理空间可视化核心方向</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B8787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GIS电子地图为核心载体，叠加AIS实时定位数据，直观展示辖区内渔船位置、航行动态，.支持按渔船类型、风险等级、作业状态等维度筛选显示；集成电子围栏功能，高亮标注禁渔区、港口限定区、航道等管控区域，渔船闯入时自动触发地图高亮告警。</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实现地图交互功能：.支持缩放、平移、测距、图层切换，点击渔船图标可查看详细信息，点击报警点可联动显示周边渔船分布、执法力量位置、救援资源。</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F07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0B53">
            <w:pPr>
              <w:jc w:val="center"/>
              <w:rPr>
                <w:rFonts w:hint="eastAsia" w:ascii="宋体" w:hAnsi="宋体" w:eastAsia="宋体" w:cs="宋体"/>
                <w:b/>
                <w:bCs/>
                <w:i w:val="0"/>
                <w:iCs w:val="0"/>
                <w:color w:val="auto"/>
                <w:sz w:val="22"/>
                <w:szCs w:val="22"/>
                <w:highlight w:val="none"/>
                <w:u w:val="none"/>
              </w:rPr>
            </w:pPr>
          </w:p>
        </w:tc>
      </w:tr>
      <w:tr w14:paraId="2A0F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3D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64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业务预警与态势研判展示</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93EA7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预警信息分级可视化：按风险等级采用不同颜色在地图与数据面板同步标注，展示预警类型、涉及渔船、发生位置、触发原因，支持按时间、区域、类型筛选查询预警记录。</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执法态势统计分析：通过图表（柱状图、饼图、折线图）展示执法案件趋势、预警处置效率、渔船活动热度分布，直观呈现辖区执法监管重点与薄弱环节，为资源调配提供数据参考。</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1EE4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7A3E">
            <w:pPr>
              <w:jc w:val="center"/>
              <w:rPr>
                <w:rFonts w:hint="eastAsia" w:ascii="宋体" w:hAnsi="宋体" w:eastAsia="宋体" w:cs="宋体"/>
                <w:b/>
                <w:bCs/>
                <w:i w:val="0"/>
                <w:iCs w:val="0"/>
                <w:color w:val="auto"/>
                <w:sz w:val="22"/>
                <w:szCs w:val="22"/>
                <w:highlight w:val="none"/>
                <w:u w:val="none"/>
              </w:rPr>
            </w:pPr>
          </w:p>
        </w:tc>
      </w:tr>
      <w:tr w14:paraId="0460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3A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90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应急救援辅助决策展示</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0AE2C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救援场景联动展示：接到应急救援需求后，大屏自动定位事故地点，高亮周边救援资源、可调度执法力量，辅助规划最优救援路线。</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救援进度实时跟踪：在地图与面板同步展示救援队伍位置、行进状态、救援措施实施情况，关联显示事故渔船的实时动态，为指挥决策提供实时数据支撑。</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807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BCA7">
            <w:pPr>
              <w:jc w:val="center"/>
              <w:rPr>
                <w:rFonts w:hint="eastAsia" w:ascii="宋体" w:hAnsi="宋体" w:eastAsia="宋体" w:cs="宋体"/>
                <w:b/>
                <w:bCs/>
                <w:i w:val="0"/>
                <w:iCs w:val="0"/>
                <w:color w:val="auto"/>
                <w:sz w:val="22"/>
                <w:szCs w:val="22"/>
                <w:highlight w:val="none"/>
                <w:u w:val="none"/>
              </w:rPr>
            </w:pPr>
          </w:p>
        </w:tc>
      </w:tr>
      <w:tr w14:paraId="2EBE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E8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75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智能预警处理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15B9F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集成接入视频监控、AIS、RFID、北斗、雷达设备监测数据，当系统对检测目标智能分析，触发报警规则将系统将在大屏显示报警提醒管理人员查看处理。融合视频监控数据、雷达扫描数据、AIS和北斗报位数据等，进行渔船融合进出港分析判断。该功能可以关联渔船类型、伏休转港名单等，实现对养殖船、捕捞船的区分管控，以及白名单识别。系统能够与农业农村部中国渔政管理指挥系统、北海本地自管船数据库等进行对接，然后通过AIS、北斗等感知信息，获取船舶目标实时数据，对于出现在管辖范围内的船舶，查询其船舶档案信息是否为本辖区渔船或中国籍渔船，若为外地、外籍船舶，则生成外地、外籍船舶预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如我市可通过本平台建立外地籍渔船白名单制，对于常年停靠我市的合法渔船、签约渔船进行自动识别和放行，对于首次到访、突然进入、身份无法识别的外地籍渔船智能发现和预警，并自动推送至当地的执法人员、渔港人员等，结合自治区进出港登记程序进行跟踪分析，及时制止外地渔船进港停靠，维护我市渔港管理秩序，降低监管责任风险。</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24F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1BF4">
            <w:pPr>
              <w:jc w:val="center"/>
              <w:rPr>
                <w:rFonts w:hint="eastAsia" w:ascii="宋体" w:hAnsi="宋体" w:eastAsia="宋体" w:cs="宋体"/>
                <w:b/>
                <w:bCs/>
                <w:i w:val="0"/>
                <w:iCs w:val="0"/>
                <w:color w:val="auto"/>
                <w:sz w:val="22"/>
                <w:szCs w:val="22"/>
                <w:highlight w:val="none"/>
                <w:u w:val="none"/>
              </w:rPr>
            </w:pPr>
          </w:p>
        </w:tc>
      </w:tr>
      <w:tr w14:paraId="4877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B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E9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预警触发核心规则与场景</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27C38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渔船融合进出港预警：结合视频监控识别结果、雷达扫描轨迹、AIS/北斗报位数据，智能判断渔船进出港状态，关联渔船类型与伏休转港名单，对违规进出港、未按规定报备的渔船触发预警；</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船舶身份核验预警：通过AIS的MMSI、RFID标签信息关联船舶档案，核查管辖范围内船舶是否为本地渔船或中国籍渔船，对异地、外籍船舶自动生成身份预警；</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白名单差异化管控预警：建立外地籍渔船白名单机制，对常年停靠、合法签约的渔船自动识别并放行，对首次到访、突然进入、身份无法识别的外地籍渔船，触发重点预警并标记风险等级。</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3F6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5148">
            <w:pPr>
              <w:jc w:val="center"/>
              <w:rPr>
                <w:rFonts w:hint="eastAsia" w:ascii="宋体" w:hAnsi="宋体" w:eastAsia="宋体" w:cs="宋体"/>
                <w:b/>
                <w:bCs/>
                <w:i w:val="0"/>
                <w:iCs w:val="0"/>
                <w:color w:val="auto"/>
                <w:sz w:val="22"/>
                <w:szCs w:val="22"/>
                <w:highlight w:val="none"/>
                <w:u w:val="none"/>
              </w:rPr>
            </w:pPr>
          </w:p>
        </w:tc>
      </w:tr>
      <w:tr w14:paraId="2380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F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CD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预警展示精准推送</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423AD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大屏实时可视化提醒：预警信息同步在指挥舱大屏展示，按预警类型采用不同颜色标识，直观呈现预警船舶的位置、身份、触发原因等核心信息，支持管理人员快速定位查看；</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分级定向推送：根据预警风险等级，将预警信息精准推送至对应执法人员、渔港管理人员，推送内容包含船舶实时定位、身份详情、关联数据，确保相关人员及时接收并处置。</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653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56C5">
            <w:pPr>
              <w:jc w:val="center"/>
              <w:rPr>
                <w:rFonts w:hint="eastAsia" w:ascii="宋体" w:hAnsi="宋体" w:eastAsia="宋体" w:cs="宋体"/>
                <w:b/>
                <w:bCs/>
                <w:i w:val="0"/>
                <w:iCs w:val="0"/>
                <w:color w:val="auto"/>
                <w:sz w:val="22"/>
                <w:szCs w:val="22"/>
                <w:highlight w:val="none"/>
                <w:u w:val="none"/>
              </w:rPr>
            </w:pPr>
          </w:p>
        </w:tc>
      </w:tr>
      <w:tr w14:paraId="3AFC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0F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EE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预警处置跟踪联动</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5FE40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支持预警信息在线处理：管理人员可通过系统标记预警处置状态，录入处置结果，形成处置记录；</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联动进出港登记程序：对异地、外籍预警船舶，自动关联自治区进出港登记程序，跟踪其停靠、作业动态，辅助执法人员及时制止违规行为，维护渔港管理秩序。</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FB4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BE21">
            <w:pPr>
              <w:jc w:val="center"/>
              <w:rPr>
                <w:rFonts w:hint="eastAsia" w:ascii="宋体" w:hAnsi="宋体" w:eastAsia="宋体" w:cs="宋体"/>
                <w:b/>
                <w:bCs/>
                <w:i w:val="0"/>
                <w:iCs w:val="0"/>
                <w:color w:val="auto"/>
                <w:sz w:val="22"/>
                <w:szCs w:val="22"/>
                <w:highlight w:val="none"/>
                <w:u w:val="none"/>
              </w:rPr>
            </w:pPr>
          </w:p>
        </w:tc>
      </w:tr>
      <w:tr w14:paraId="5CE2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3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9F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白名单动态管理优化</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258D3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支持白名单全生命周期管理，可新增、修改、删除常年停靠的合法渔船、签约渔船信息，系统自动同步至预警规则库，确保白名单识别的准确性；</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基于预警处置结果与船舶活动数据，优化白名单判定逻辑，对长期合规停靠的外地籍渔船可自动推荐纳入白名单，对违规记录较多的船舶及时移出白名单，提升管控灵活性。</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7FEB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770C">
            <w:pPr>
              <w:jc w:val="center"/>
              <w:rPr>
                <w:rFonts w:hint="eastAsia" w:ascii="宋体" w:hAnsi="宋体" w:eastAsia="宋体" w:cs="宋体"/>
                <w:b/>
                <w:bCs/>
                <w:i w:val="0"/>
                <w:iCs w:val="0"/>
                <w:color w:val="auto"/>
                <w:sz w:val="22"/>
                <w:szCs w:val="22"/>
                <w:highlight w:val="none"/>
                <w:u w:val="none"/>
              </w:rPr>
            </w:pPr>
          </w:p>
        </w:tc>
      </w:tr>
      <w:tr w14:paraId="24B7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7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A6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电子地图模块</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BE663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台采用最新电子海图数据集，电子海图、卫星遥感和天地图等底图数据接入。进行加载GIS底图、调用统一的电子地图服务，在界面专用地图框架对电子海图进行加载，对底图进行动态呈现，采用切片技术快速加载，并在购买的服务更新之后快速响应切换到最新数据。</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B45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B953">
            <w:pPr>
              <w:jc w:val="center"/>
              <w:rPr>
                <w:rFonts w:hint="eastAsia" w:ascii="宋体" w:hAnsi="宋体" w:eastAsia="宋体" w:cs="宋体"/>
                <w:b/>
                <w:bCs/>
                <w:i w:val="0"/>
                <w:iCs w:val="0"/>
                <w:color w:val="auto"/>
                <w:sz w:val="22"/>
                <w:szCs w:val="22"/>
                <w:highlight w:val="none"/>
                <w:u w:val="none"/>
              </w:rPr>
            </w:pPr>
          </w:p>
        </w:tc>
      </w:tr>
      <w:tr w14:paraId="4A78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7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38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多源底图数据整合</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E839B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构建统一底图接入框架，集成电子海图、卫星遥感、天地图等多类型底图数据，覆盖海洋、渔港、航道等不同管控场景的空间可视化需求。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支持底图数据分层管理，按业务需求划分基础图层与业务图层，实现图层的灵活叠加、隐藏与切换。</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B34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2018">
            <w:pPr>
              <w:jc w:val="center"/>
              <w:rPr>
                <w:rFonts w:hint="eastAsia" w:ascii="宋体" w:hAnsi="宋体" w:eastAsia="宋体" w:cs="宋体"/>
                <w:b/>
                <w:bCs/>
                <w:i w:val="0"/>
                <w:iCs w:val="0"/>
                <w:color w:val="auto"/>
                <w:sz w:val="22"/>
                <w:szCs w:val="22"/>
                <w:highlight w:val="none"/>
                <w:u w:val="none"/>
              </w:rPr>
            </w:pPr>
          </w:p>
        </w:tc>
      </w:tr>
      <w:tr w14:paraId="0450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D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15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高效加载与动态呈现</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2012B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采用地图切片技术对底图数据进行预处理，将大规模地图数据切割为小尺寸切片，提升地图加载速度与渲染流畅度，满足大屏看板、实时监控等场景的高并发访问需求。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基于专用地图框架实现底图的动态加载与交互，支持地图缩放、平移、测距、标绘等基础操作，确保船舶定位、轨迹展示等业务数据与底图精准叠加、同步更新。</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DE2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8F12">
            <w:pPr>
              <w:jc w:val="center"/>
              <w:rPr>
                <w:rFonts w:hint="eastAsia" w:ascii="宋体" w:hAnsi="宋体" w:eastAsia="宋体" w:cs="宋体"/>
                <w:b/>
                <w:bCs/>
                <w:i w:val="0"/>
                <w:iCs w:val="0"/>
                <w:color w:val="auto"/>
                <w:sz w:val="22"/>
                <w:szCs w:val="22"/>
                <w:highlight w:val="none"/>
                <w:u w:val="none"/>
              </w:rPr>
            </w:pPr>
          </w:p>
        </w:tc>
      </w:tr>
      <w:tr w14:paraId="1504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FD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BD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数据更新与版本管理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7C6BC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建立底图数据快速更新机制，对接外部地图服务的更新接口，系统可同步最新切片数据，实现底图的无感切换，保障空间数据的时效性。</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02B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4F04">
            <w:pPr>
              <w:jc w:val="center"/>
              <w:rPr>
                <w:rFonts w:hint="eastAsia" w:ascii="宋体" w:hAnsi="宋体" w:eastAsia="宋体" w:cs="宋体"/>
                <w:b/>
                <w:bCs/>
                <w:i w:val="0"/>
                <w:iCs w:val="0"/>
                <w:color w:val="auto"/>
                <w:sz w:val="22"/>
                <w:szCs w:val="22"/>
                <w:highlight w:val="none"/>
                <w:u w:val="none"/>
              </w:rPr>
            </w:pPr>
          </w:p>
        </w:tc>
      </w:tr>
      <w:tr w14:paraId="4F14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80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78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业务支撑与扩展</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66A38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预留标准化GIS接口，支持与船位融合、虚拟卡口、智能预警等业务模块深度联动，实现船舶位置、预警信息、执法轨迹等数据的空间化展示与分析。</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支持自定义业务图层配置，允许管理人员根据执法需求新增专属图层，提升地图模块对业务场景的适配能力。</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EF9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9138">
            <w:pPr>
              <w:jc w:val="center"/>
              <w:rPr>
                <w:rFonts w:hint="eastAsia" w:ascii="宋体" w:hAnsi="宋体" w:eastAsia="宋体" w:cs="宋体"/>
                <w:b/>
                <w:bCs/>
                <w:i w:val="0"/>
                <w:iCs w:val="0"/>
                <w:color w:val="auto"/>
                <w:sz w:val="22"/>
                <w:szCs w:val="22"/>
                <w:highlight w:val="none"/>
                <w:u w:val="none"/>
              </w:rPr>
            </w:pPr>
          </w:p>
        </w:tc>
      </w:tr>
      <w:tr w14:paraId="52CD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9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0A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符号化管理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B77AE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通过网络接口或TCP协议实现对接北斗、AIS相关各类终端船位数据，以及渔船渔港动态监管系统，获取各类本地渔船、外地渔船等信息数据。系统在电子地图上实现通过不同的符号表示不同的设备来源的数据，包括AIS、北斗等。</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4E7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D292">
            <w:pPr>
              <w:jc w:val="center"/>
              <w:rPr>
                <w:rFonts w:hint="eastAsia" w:ascii="宋体" w:hAnsi="宋体" w:eastAsia="宋体" w:cs="宋体"/>
                <w:b/>
                <w:bCs/>
                <w:i w:val="0"/>
                <w:iCs w:val="0"/>
                <w:color w:val="auto"/>
                <w:sz w:val="22"/>
                <w:szCs w:val="22"/>
                <w:highlight w:val="none"/>
                <w:u w:val="none"/>
              </w:rPr>
            </w:pPr>
          </w:p>
        </w:tc>
      </w:tr>
      <w:tr w14:paraId="2F5A5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3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0B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差异化符号设计与映射</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D86F5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按设备来源（北斗、AIS）设计专属符号样式，通过不同形状、颜色、尺寸区分数据类型，例如北斗采用蓝色三角符号、AIS采用绿色圆形符号。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叠加渔船属性扩展符号维度，结合属地、风险等级对符号进行差异化标注，如外地渔船符号增加外框、高风险渔船符号闪烁显示。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111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DD81">
            <w:pPr>
              <w:jc w:val="center"/>
              <w:rPr>
                <w:rFonts w:hint="eastAsia" w:ascii="宋体" w:hAnsi="宋体" w:eastAsia="宋体" w:cs="宋体"/>
                <w:b/>
                <w:bCs/>
                <w:i w:val="0"/>
                <w:iCs w:val="0"/>
                <w:color w:val="auto"/>
                <w:sz w:val="22"/>
                <w:szCs w:val="22"/>
                <w:highlight w:val="none"/>
                <w:u w:val="none"/>
              </w:rPr>
            </w:pPr>
          </w:p>
        </w:tc>
      </w:tr>
      <w:tr w14:paraId="6C34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9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C1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符号可视化与交互控制</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9B0AE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在电子地图框架内实现符号的动态加载与渲染，确保符号与船位数据精准绑定，随船舶位置移动实时更新，不偏移、不卡顿。</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支持符号图层的灵活控制，可按需显示/隐藏特定设备来源的符号，也可通过地图缩放自适应调整符号大小，避免密集区域符号重叠。</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E42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E68C">
            <w:pPr>
              <w:jc w:val="center"/>
              <w:rPr>
                <w:rFonts w:hint="eastAsia" w:ascii="宋体" w:hAnsi="宋体" w:eastAsia="宋体" w:cs="宋体"/>
                <w:b/>
                <w:bCs/>
                <w:i w:val="0"/>
                <w:iCs w:val="0"/>
                <w:color w:val="auto"/>
                <w:sz w:val="22"/>
                <w:szCs w:val="22"/>
                <w:highlight w:val="none"/>
                <w:u w:val="none"/>
              </w:rPr>
            </w:pPr>
          </w:p>
        </w:tc>
      </w:tr>
      <w:tr w14:paraId="3D00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14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96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符号配置与扩展管理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A1877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提供符号样式自定义配置功能，支持新增设备来源符号、调整现有符号的颜色形状，适配后续新增感知设备的数据展示需求。</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E9BB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F12B">
            <w:pPr>
              <w:jc w:val="center"/>
              <w:rPr>
                <w:rFonts w:hint="eastAsia" w:ascii="宋体" w:hAnsi="宋体" w:eastAsia="宋体" w:cs="宋体"/>
                <w:b/>
                <w:bCs/>
                <w:i w:val="0"/>
                <w:iCs w:val="0"/>
                <w:color w:val="auto"/>
                <w:sz w:val="22"/>
                <w:szCs w:val="22"/>
                <w:highlight w:val="none"/>
                <w:u w:val="none"/>
              </w:rPr>
            </w:pPr>
          </w:p>
        </w:tc>
      </w:tr>
      <w:tr w14:paraId="6C97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1A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0F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电子围栏管理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161EE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提供渔区、水产种质资源保护区、海洋牧场、机动渔船底拖网禁渔区、和中越北部湾分界线电子围栏管理功能。系统支持圆形、矩形、多边形和自定义图形封闭式电子围栏增删改查，可固定为图层，非封闭式围栏需要设定触发方向。可与相关类型船舶的绑定，可设置围栏是否在海图显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6CC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9102">
            <w:pPr>
              <w:jc w:val="center"/>
              <w:rPr>
                <w:rFonts w:hint="eastAsia" w:ascii="宋体" w:hAnsi="宋体" w:eastAsia="宋体" w:cs="宋体"/>
                <w:b/>
                <w:bCs/>
                <w:i w:val="0"/>
                <w:iCs w:val="0"/>
                <w:color w:val="auto"/>
                <w:sz w:val="22"/>
                <w:szCs w:val="22"/>
                <w:highlight w:val="none"/>
                <w:u w:val="none"/>
              </w:rPr>
            </w:pPr>
          </w:p>
        </w:tc>
      </w:tr>
      <w:tr w14:paraId="2F12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35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73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围栏全生命周期管理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4AA88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新增围栏：基于电子地图可视化操作，支持在海图上手动绘制或输入坐标精准划定围栏范围，配置围栏名称、管控类型、生效时段等基础属性。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编辑围栏：支持对已创建围栏的边界进行调整、形状进行修改，同步更新围栏属性信息，修改后实时生效并同步至地图图层。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删除围栏：支持对失效或无需管控的围栏进行删除操作，删除前可触发二次确认，避免误操作，删除记录自动留存便于追溯。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查询围栏：提供多条件查询功能，可按围栏类型、名称、生效状态等筛选目标围栏，快速定位查看围栏详情与关联船舶信息。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23F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1009">
            <w:pPr>
              <w:jc w:val="center"/>
              <w:rPr>
                <w:rFonts w:hint="eastAsia" w:ascii="宋体" w:hAnsi="宋体" w:eastAsia="宋体" w:cs="宋体"/>
                <w:b/>
                <w:bCs/>
                <w:i w:val="0"/>
                <w:iCs w:val="0"/>
                <w:color w:val="auto"/>
                <w:sz w:val="22"/>
                <w:szCs w:val="22"/>
                <w:highlight w:val="none"/>
                <w:u w:val="none"/>
              </w:rPr>
            </w:pPr>
          </w:p>
        </w:tc>
      </w:tr>
      <w:tr w14:paraId="60A5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6B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68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围栏属性配置与图层管理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B504A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支持围栏与特定船舶类型绑定，可指定仅对捕捞船、养殖船或外地渔船等类型船舶触发越界判断，实现差异化管控。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配置围栏地图显示状态，可按需设置围栏是否在电子海图上显示，隐藏的围栏仍保持后台管控能力，不影响预警触发逻辑。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将围栏作为独立图层进行管理，支持图层的叠加、隐藏与优先级调整，避免与其他业务图层叠加混乱。</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8DD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EC24">
            <w:pPr>
              <w:jc w:val="center"/>
              <w:rPr>
                <w:rFonts w:hint="eastAsia" w:ascii="宋体" w:hAnsi="宋体" w:eastAsia="宋体" w:cs="宋体"/>
                <w:b/>
                <w:bCs/>
                <w:i w:val="0"/>
                <w:iCs w:val="0"/>
                <w:color w:val="auto"/>
                <w:sz w:val="22"/>
                <w:szCs w:val="22"/>
                <w:highlight w:val="none"/>
                <w:u w:val="none"/>
              </w:rPr>
            </w:pPr>
          </w:p>
        </w:tc>
      </w:tr>
      <w:tr w14:paraId="4F16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4A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20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业务联动与预警支撑</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0CEEC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预留与智能预警模块的联动接口，当船舶进入或驶出围栏管控区域时，自动触发越界预警，预警信息关联围栏类型、船舶身份及越界时间。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支持围栏管控规则的灵活配置，可设定预警触发条件，适配不同时段、不同区域的监管需求。</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92E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90E2">
            <w:pPr>
              <w:jc w:val="center"/>
              <w:rPr>
                <w:rFonts w:hint="eastAsia" w:ascii="宋体" w:hAnsi="宋体" w:eastAsia="宋体" w:cs="宋体"/>
                <w:b/>
                <w:bCs/>
                <w:i w:val="0"/>
                <w:iCs w:val="0"/>
                <w:color w:val="auto"/>
                <w:sz w:val="22"/>
                <w:szCs w:val="22"/>
                <w:highlight w:val="none"/>
                <w:u w:val="none"/>
              </w:rPr>
            </w:pPr>
          </w:p>
        </w:tc>
      </w:tr>
      <w:tr w14:paraId="480F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AE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D3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实时船位查询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E119B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输入船名号、北斗序列号、点选（圈选）或框选方式，实现对单船、群组船舶查询显示它的现在位置。系统能对任意指定区域、指定时间目标情况进行单一目标、多个目标历史回放分析，具备回放时间进度拖动、可快速播放，最大支持200倍数播放</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E7F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FB3B">
            <w:pPr>
              <w:jc w:val="center"/>
              <w:rPr>
                <w:rFonts w:hint="eastAsia" w:ascii="宋体" w:hAnsi="宋体" w:eastAsia="宋体" w:cs="宋体"/>
                <w:b/>
                <w:bCs/>
                <w:i w:val="0"/>
                <w:iCs w:val="0"/>
                <w:color w:val="auto"/>
                <w:sz w:val="22"/>
                <w:szCs w:val="22"/>
                <w:highlight w:val="none"/>
                <w:u w:val="none"/>
              </w:rPr>
            </w:pPr>
          </w:p>
        </w:tc>
      </w:tr>
      <w:tr w14:paraId="6B21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C4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B7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多方式船位查询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7CD8E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精准检索查询：支持输入船名号、北斗序列号等唯一标识，快速定位目标船舶，实时展示其当前位置、定位设备来源、航行状态等核心信息。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可视化圈选查询：支持在电子地图上通过点选、框选、多边形圈选等方式，批量选取指定区域内的船舶，实现群组船舶的位置集中展示，支持按船舶属地、类型等维度二次筛选。</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5F0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77E9">
            <w:pPr>
              <w:jc w:val="center"/>
              <w:rPr>
                <w:rFonts w:hint="eastAsia" w:ascii="宋体" w:hAnsi="宋体" w:eastAsia="宋体" w:cs="宋体"/>
                <w:b/>
                <w:bCs/>
                <w:i w:val="0"/>
                <w:iCs w:val="0"/>
                <w:color w:val="auto"/>
                <w:sz w:val="22"/>
                <w:szCs w:val="22"/>
                <w:highlight w:val="none"/>
                <w:u w:val="none"/>
              </w:rPr>
            </w:pPr>
          </w:p>
        </w:tc>
      </w:tr>
      <w:tr w14:paraId="2248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77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4A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历史轨迹回放分析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00B09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多条件回溯：支持按指定区域、指定时间范围，查询单一或多个目标船舶的历史轨迹，轨迹数据关联定位时间戳与设备来源，确保轨迹的连续性与准确性。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灵活回放控制：提供轨迹回放的进度拖动、速度调节功能，满足快速浏览历史航行过程的需求，同时支持暂停、分段回放，便于重点时段轨迹分析。</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964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F1CF">
            <w:pPr>
              <w:jc w:val="center"/>
              <w:rPr>
                <w:rFonts w:hint="eastAsia" w:ascii="宋体" w:hAnsi="宋体" w:eastAsia="宋体" w:cs="宋体"/>
                <w:b/>
                <w:bCs/>
                <w:i w:val="0"/>
                <w:iCs w:val="0"/>
                <w:color w:val="auto"/>
                <w:sz w:val="22"/>
                <w:szCs w:val="22"/>
                <w:highlight w:val="none"/>
                <w:u w:val="none"/>
              </w:rPr>
            </w:pPr>
          </w:p>
        </w:tc>
      </w:tr>
      <w:tr w14:paraId="569E6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9C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7F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查询结果展示交互</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775E3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实时位置可视化：查询结果在电子地图上通过符号化标识呈现，区分船舶类型、设备来源与风险等级，点击船舶图标可查看详细信息弹窗。</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数据导出与共享：支持将实时船位查询结果、历史轨迹数据导出为文件，便于后续存档与分析；预留接口与大屏看板联动，可将查询结果一键推送至指挥舱展示。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DE6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5431">
            <w:pPr>
              <w:jc w:val="center"/>
              <w:rPr>
                <w:rFonts w:hint="eastAsia" w:ascii="宋体" w:hAnsi="宋体" w:eastAsia="宋体" w:cs="宋体"/>
                <w:b/>
                <w:bCs/>
                <w:i w:val="0"/>
                <w:iCs w:val="0"/>
                <w:color w:val="auto"/>
                <w:sz w:val="22"/>
                <w:szCs w:val="22"/>
                <w:highlight w:val="none"/>
                <w:u w:val="none"/>
              </w:rPr>
            </w:pPr>
          </w:p>
        </w:tc>
      </w:tr>
      <w:tr w14:paraId="4D88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6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F0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特殊船只标记</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12B49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特殊船只打标签，同时，后台会根据数据运算，实时推送该船只信息。特殊船舶靠港报警，通过对船舶进行分类标记，特殊船舶靠港自动报警。当通过AIS系统、进出港报备系统识别出渔船身份，发现该渔船属于辖区外渔船时，对该船只信息进行标识与记录，并对该渔船进行重点监管。</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069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B7A3">
            <w:pPr>
              <w:jc w:val="center"/>
              <w:rPr>
                <w:rFonts w:hint="eastAsia" w:ascii="宋体" w:hAnsi="宋体" w:eastAsia="宋体" w:cs="宋体"/>
                <w:b/>
                <w:bCs/>
                <w:i w:val="0"/>
                <w:iCs w:val="0"/>
                <w:color w:val="auto"/>
                <w:sz w:val="22"/>
                <w:szCs w:val="22"/>
                <w:highlight w:val="none"/>
                <w:u w:val="none"/>
              </w:rPr>
            </w:pPr>
          </w:p>
        </w:tc>
      </w:tr>
      <w:tr w14:paraId="54922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F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3D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特殊船只标签体系构建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78477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建立多维度标签分类规则，涵盖船只属地、管控类型、作业属性等核心维度。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支持手动标记与自动标记双模式：管理人员可手动为特定船只添加自定义标签；系统根据AIS、进出港报备系统数据，自动识别辖区外渔船并打上“外地渔船”标签，实现标签动态更新。</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9A0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F8C3">
            <w:pPr>
              <w:jc w:val="center"/>
              <w:rPr>
                <w:rFonts w:hint="eastAsia" w:ascii="宋体" w:hAnsi="宋体" w:eastAsia="宋体" w:cs="宋体"/>
                <w:b/>
                <w:bCs/>
                <w:i w:val="0"/>
                <w:iCs w:val="0"/>
                <w:color w:val="auto"/>
                <w:sz w:val="22"/>
                <w:szCs w:val="22"/>
                <w:highlight w:val="none"/>
                <w:u w:val="none"/>
              </w:rPr>
            </w:pPr>
          </w:p>
        </w:tc>
      </w:tr>
      <w:tr w14:paraId="0654C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7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D0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特殊船只信息实时推送</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2076B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基于标签触发信息推送机制，当标记的特殊船只出现位置异动、进出港等行为时，后台自动运算整合其身份信息、实时定位、航行轨迹等数据，推送至对应管理人员。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推送内容聚焦核心监管要素，包含船只基础档案、当前状态、关联预警信息，支持与指挥舱大屏联动，实现特殊船只信息一屏可视。</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40B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045B">
            <w:pPr>
              <w:jc w:val="center"/>
              <w:rPr>
                <w:rFonts w:hint="eastAsia" w:ascii="宋体" w:hAnsi="宋体" w:eastAsia="宋体" w:cs="宋体"/>
                <w:b/>
                <w:bCs/>
                <w:i w:val="0"/>
                <w:iCs w:val="0"/>
                <w:color w:val="auto"/>
                <w:sz w:val="22"/>
                <w:szCs w:val="22"/>
                <w:highlight w:val="none"/>
                <w:u w:val="none"/>
              </w:rPr>
            </w:pPr>
          </w:p>
        </w:tc>
      </w:tr>
      <w:tr w14:paraId="2D41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15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E0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特殊船舶靠港自动报警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B53A4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关联港口电子围栏与船只标签信息，当标记的特殊船只进入港口管控区域时，系统自动触发靠港报警。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报警信息同步关联船只身份核验结果，区分“白名单外地渔船”“首次到访外地渔船”等不同类型，按风险等级推送至执法与渔港管理人员。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015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B9E4">
            <w:pPr>
              <w:jc w:val="center"/>
              <w:rPr>
                <w:rFonts w:hint="eastAsia" w:ascii="宋体" w:hAnsi="宋体" w:eastAsia="宋体" w:cs="宋体"/>
                <w:b/>
                <w:bCs/>
                <w:i w:val="0"/>
                <w:iCs w:val="0"/>
                <w:color w:val="auto"/>
                <w:sz w:val="22"/>
                <w:szCs w:val="22"/>
                <w:highlight w:val="none"/>
                <w:u w:val="none"/>
              </w:rPr>
            </w:pPr>
          </w:p>
        </w:tc>
      </w:tr>
      <w:tr w14:paraId="7319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2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84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恶劣天气预警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F577F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现当出现恶劣天气时，根据当前海况、气象条件（风速、浪高），以及渔船类型，系统通过北斗短报文、手机短信、执法终端弹出信息等多种形式发布恶劣天气预警。并结合渔港内喇叭广播系统进行广播，提醒渔船注意进港避风。</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2E3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274D">
            <w:pPr>
              <w:jc w:val="center"/>
              <w:rPr>
                <w:rFonts w:hint="eastAsia" w:ascii="宋体" w:hAnsi="宋体" w:eastAsia="宋体" w:cs="宋体"/>
                <w:b/>
                <w:bCs/>
                <w:i w:val="0"/>
                <w:iCs w:val="0"/>
                <w:color w:val="auto"/>
                <w:sz w:val="22"/>
                <w:szCs w:val="22"/>
                <w:highlight w:val="none"/>
                <w:u w:val="none"/>
              </w:rPr>
            </w:pPr>
          </w:p>
        </w:tc>
      </w:tr>
      <w:tr w14:paraId="1A5B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8D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C0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预警触发与条件判定</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01B4D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对接气象监测系统，实时获取海况、风速、浪高等核心气象数据，设定分级预警阈值，区分不同恶劣天气等级。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结合渔船类型的抗风险能力差异，制定差异化预警触发规则，对抗风险弱的渔船优先触发预警。</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35C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A3F5">
            <w:pPr>
              <w:jc w:val="center"/>
              <w:rPr>
                <w:rFonts w:hint="eastAsia" w:ascii="宋体" w:hAnsi="宋体" w:eastAsia="宋体" w:cs="宋体"/>
                <w:b/>
                <w:bCs/>
                <w:i w:val="0"/>
                <w:iCs w:val="0"/>
                <w:color w:val="auto"/>
                <w:sz w:val="22"/>
                <w:szCs w:val="22"/>
                <w:highlight w:val="none"/>
                <w:u w:val="none"/>
              </w:rPr>
            </w:pPr>
          </w:p>
        </w:tc>
      </w:tr>
      <w:tr w14:paraId="238F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83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FD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渔船精准匹配与信息整合</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D752B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基于船舶数据库，关联渔船的实时位置、作业状态、所属渔港等信息，筛选出处于危险海域或作业状态的渔船。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整合目标渔船的通信联系方式、执法责任人信息，为多渠道预警推送提供数据支撑。</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5CE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02460">
            <w:pPr>
              <w:jc w:val="center"/>
              <w:rPr>
                <w:rFonts w:hint="eastAsia" w:ascii="宋体" w:hAnsi="宋体" w:eastAsia="宋体" w:cs="宋体"/>
                <w:b/>
                <w:bCs/>
                <w:i w:val="0"/>
                <w:iCs w:val="0"/>
                <w:color w:val="auto"/>
                <w:sz w:val="22"/>
                <w:szCs w:val="22"/>
                <w:highlight w:val="none"/>
                <w:u w:val="none"/>
              </w:rPr>
            </w:pPr>
          </w:p>
        </w:tc>
      </w:tr>
      <w:tr w14:paraId="31234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8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ED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多形式预警信息发布</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B231D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远程精准推送：通过北斗短报文向渔船终端发送预警信息，通过手机短信通知船主及相关责任人，在执法终端弹出预警提示并标注受影响渔船清单。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渔港本地广播：联动渔港内喇叭广播系统，自动触发预警广播，循环播报恶劣天气情况、避风要求及渔港避风泊位信息，提醒在港渔船做好防护、在外渔船及时返航。</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F30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9126">
            <w:pPr>
              <w:jc w:val="center"/>
              <w:rPr>
                <w:rFonts w:hint="eastAsia" w:ascii="宋体" w:hAnsi="宋体" w:eastAsia="宋体" w:cs="宋体"/>
                <w:b/>
                <w:bCs/>
                <w:i w:val="0"/>
                <w:iCs w:val="0"/>
                <w:color w:val="auto"/>
                <w:sz w:val="22"/>
                <w:szCs w:val="22"/>
                <w:highlight w:val="none"/>
                <w:u w:val="none"/>
              </w:rPr>
            </w:pPr>
          </w:p>
        </w:tc>
      </w:tr>
      <w:tr w14:paraId="7359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DDA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3A34">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全域智能监控</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E03DD58">
            <w:pPr>
              <w:jc w:val="left"/>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73A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890D">
            <w:pPr>
              <w:jc w:val="center"/>
              <w:rPr>
                <w:rFonts w:hint="eastAsia" w:ascii="宋体" w:hAnsi="宋体" w:eastAsia="宋体" w:cs="宋体"/>
                <w:b/>
                <w:bCs/>
                <w:i w:val="0"/>
                <w:iCs w:val="0"/>
                <w:color w:val="auto"/>
                <w:sz w:val="22"/>
                <w:szCs w:val="22"/>
                <w:highlight w:val="none"/>
                <w:u w:val="none"/>
              </w:rPr>
            </w:pPr>
          </w:p>
        </w:tc>
      </w:tr>
      <w:tr w14:paraId="6C6B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02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67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视频监控方案</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964E14E">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EB6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AAF4">
            <w:pPr>
              <w:jc w:val="center"/>
              <w:rPr>
                <w:rFonts w:hint="eastAsia" w:ascii="宋体" w:hAnsi="宋体" w:eastAsia="宋体" w:cs="宋体"/>
                <w:b/>
                <w:bCs/>
                <w:i w:val="0"/>
                <w:iCs w:val="0"/>
                <w:color w:val="auto"/>
                <w:sz w:val="22"/>
                <w:szCs w:val="22"/>
                <w:highlight w:val="none"/>
                <w:u w:val="none"/>
              </w:rPr>
            </w:pPr>
          </w:p>
        </w:tc>
      </w:tr>
      <w:tr w14:paraId="4D3E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C1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19D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在线视频监控</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0DDC2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通过对接平台网络接口，在现有设施覆盖范围内实现视频远程监控。可在线查看海岸线、港内航道安全监控、码头安全监控、水域情况监控等。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根据GB/T28281规范标准及大数据中心的有关规范要求对接北海市雪亮工程，并支持视频监控、智能云台控制、AR录像回放、客户端抓拍和录像、摄像头管理、摄像头在线离线状态检测（智能巡检）、摄像头自定义任意分组、摄像头地图标注、摄像头快速检索、AR信息叠加等功能，支持电视墙和地图两种方式打开实时监控界面，对于没有配置经纬度的摄像头，支持在本平台自定义经纬度标注，不影响大数据中心汇聚共享平台的数据。支持HLS、RTSP、RTMP等常见视频流对接，并支持基于视频流进行个性化视频应用功能。</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DDD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B581">
            <w:pPr>
              <w:jc w:val="center"/>
              <w:rPr>
                <w:rFonts w:hint="eastAsia" w:ascii="宋体" w:hAnsi="宋体" w:eastAsia="宋体" w:cs="宋体"/>
                <w:b/>
                <w:bCs/>
                <w:i w:val="0"/>
                <w:iCs w:val="0"/>
                <w:color w:val="auto"/>
                <w:sz w:val="22"/>
                <w:szCs w:val="22"/>
                <w:highlight w:val="none"/>
                <w:u w:val="none"/>
              </w:rPr>
            </w:pPr>
          </w:p>
        </w:tc>
      </w:tr>
      <w:tr w14:paraId="77FF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0F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93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多系统数据对接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F2B27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对接北海市雪亮工程平台，获取海岸线、港内航道、码头、水域等区域的实时视频流，支持HLS、RTSP、RTMP三种主流协议解析，接口超时时间设为</w:t>
            </w:r>
            <w:r>
              <w:rPr>
                <w:rFonts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3秒，失败后自动重试2次；同步对接大数据中心设备状态接口，每30秒获取一次摄像头在线/离线状态、分辨率、码率等参数，离线超过5分钟时自动记录日志并推送告警信息。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781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2F28">
            <w:pPr>
              <w:jc w:val="center"/>
              <w:rPr>
                <w:rFonts w:hint="eastAsia" w:ascii="宋体" w:hAnsi="宋体" w:eastAsia="宋体" w:cs="宋体"/>
                <w:b/>
                <w:bCs/>
                <w:i w:val="0"/>
                <w:iCs w:val="0"/>
                <w:color w:val="auto"/>
                <w:sz w:val="22"/>
                <w:szCs w:val="22"/>
                <w:highlight w:val="none"/>
                <w:u w:val="none"/>
              </w:rPr>
            </w:pPr>
          </w:p>
        </w:tc>
      </w:tr>
      <w:tr w14:paraId="68F4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64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07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多场景视频调看</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9475A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户在Web端或移动端可按区域、设备编号模糊检索监控点位，点击“实时监控”后，系统向雪亮工程平台发起视频流请求，解析后通过电视墙（支持1/4/9/16分屏）或GIS地图悬浮窗（点击矢量图层弹出）展示，画面加载延迟≤2秒，支持双击全屏/返回操作；针对带云台功能的摄像头，用户可通过界面摇杆或快捷键控制设备水平（0-360°）、垂直（-30°至90°）转动，调节焦距或调用预置位（如“码头全景位”“航道聚焦位”），指令响应时间≤1秒，同时同步更新画面中摄像头位置标签（含经纬度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A8A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C04C">
            <w:pPr>
              <w:jc w:val="center"/>
              <w:rPr>
                <w:rFonts w:hint="eastAsia" w:ascii="宋体" w:hAnsi="宋体" w:eastAsia="宋体" w:cs="宋体"/>
                <w:b/>
                <w:bCs/>
                <w:i w:val="0"/>
                <w:iCs w:val="0"/>
                <w:color w:val="auto"/>
                <w:sz w:val="22"/>
                <w:szCs w:val="22"/>
                <w:highlight w:val="none"/>
                <w:u w:val="none"/>
              </w:rPr>
            </w:pPr>
          </w:p>
        </w:tc>
      </w:tr>
      <w:tr w14:paraId="19EA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16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68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设备智能管理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EB435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摄像头自定义分组（如“北海港东港区组”“涠洲岛水域组”），用户可手动创建分组并添加关联设备；对无经纬度的摄像头，提供地图手动标注功能（拖拽图标至对应位置保存）；系统每日00:00自动执行设备巡检，检测所有摄像头在线状态，生成《设备巡检日报》，包含在线率、异常设备清单及处理建议。</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261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DDAB">
            <w:pPr>
              <w:jc w:val="center"/>
              <w:rPr>
                <w:rFonts w:hint="eastAsia" w:ascii="宋体" w:hAnsi="宋体" w:eastAsia="宋体" w:cs="宋体"/>
                <w:b/>
                <w:bCs/>
                <w:i w:val="0"/>
                <w:iCs w:val="0"/>
                <w:color w:val="auto"/>
                <w:sz w:val="22"/>
                <w:szCs w:val="22"/>
                <w:highlight w:val="none"/>
                <w:u w:val="none"/>
              </w:rPr>
            </w:pPr>
          </w:p>
        </w:tc>
      </w:tr>
      <w:tr w14:paraId="58F4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1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28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AR信息叠加与录像回放</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BEDCD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实时监控画面叠加AR数据（如船只距离、航向、摄像头可视域范围），用户点击AR标签可查看详细参数（如“目标船只-距离500米，航向30°”）；支持AR录像回放，回放过程中AR信息随时间轴同步更新，用户可拖动进度条定位至指定时间点查看历史画面。</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14B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B629">
            <w:pPr>
              <w:jc w:val="center"/>
              <w:rPr>
                <w:rFonts w:hint="eastAsia" w:ascii="宋体" w:hAnsi="宋体" w:eastAsia="宋体" w:cs="宋体"/>
                <w:b/>
                <w:bCs/>
                <w:i w:val="0"/>
                <w:iCs w:val="0"/>
                <w:color w:val="auto"/>
                <w:sz w:val="22"/>
                <w:szCs w:val="22"/>
                <w:highlight w:val="none"/>
                <w:u w:val="none"/>
              </w:rPr>
            </w:pPr>
          </w:p>
        </w:tc>
      </w:tr>
      <w:tr w14:paraId="696F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1D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AD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监控方案配置</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DBDFB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监控可进行多画面预览方案配置，输入方案名称，选择方案包括的摄像头，完成方案配置，选择方案可直接查看方案包括的摄像头视频实时画面。支持通过电视墙方式进行视频监控，支持1x1、2x2、3x3、4x4等排版格式，支持双击全屏和双击返回；支持通过在地图上点击摄像头图标打开悬浮视频框，然后点击视频框直接打开单摄像头大窗口看视频。</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6A9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3F169">
            <w:pPr>
              <w:jc w:val="center"/>
              <w:rPr>
                <w:rFonts w:hint="eastAsia" w:ascii="宋体" w:hAnsi="宋体" w:eastAsia="宋体" w:cs="宋体"/>
                <w:b/>
                <w:bCs/>
                <w:i w:val="0"/>
                <w:iCs w:val="0"/>
                <w:color w:val="auto"/>
                <w:sz w:val="22"/>
                <w:szCs w:val="22"/>
                <w:highlight w:val="none"/>
                <w:u w:val="none"/>
              </w:rPr>
            </w:pPr>
          </w:p>
        </w:tc>
      </w:tr>
      <w:tr w14:paraId="08F1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63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96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方案创建与编辑</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80D4A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户点击“新建监控方案”，输入方案名称（如“早间航道监控方案”），从摄像头列表中勾选需纳入的设备（支持模糊搜索），选择分屏格式（1x1/2x2/3x3/4x4），点击“保存”后系统生成唯一方案ID并关联设备信息；支持方案编辑，可修改名称、添加/移除摄像头、调整分屏格式，操作日志实时记录（含操作人、时间、内容）。</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ACE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7251">
            <w:pPr>
              <w:jc w:val="center"/>
              <w:rPr>
                <w:rFonts w:hint="eastAsia" w:ascii="宋体" w:hAnsi="宋体" w:eastAsia="宋体" w:cs="宋体"/>
                <w:b/>
                <w:bCs/>
                <w:i w:val="0"/>
                <w:iCs w:val="0"/>
                <w:color w:val="auto"/>
                <w:sz w:val="22"/>
                <w:szCs w:val="22"/>
                <w:highlight w:val="none"/>
                <w:u w:val="none"/>
              </w:rPr>
            </w:pPr>
          </w:p>
        </w:tc>
      </w:tr>
      <w:tr w14:paraId="7E66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AA1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D9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方案快速调用与管理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2B166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户在方案列表中点击目标方案，系统自动加载关联的所有摄像头视频流，按预设分屏格式展示，加载成功率≥99%，失败时提示“方案加载失败，请检查摄像头连接状态”；支持方案删除，删除前需二次确认“是否删除该方案，删除后不可恢复”，避免误操作。</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55B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5A7B">
            <w:pPr>
              <w:jc w:val="center"/>
              <w:rPr>
                <w:rFonts w:hint="eastAsia" w:ascii="宋体" w:hAnsi="宋体" w:eastAsia="宋体" w:cs="宋体"/>
                <w:b/>
                <w:bCs/>
                <w:i w:val="0"/>
                <w:iCs w:val="0"/>
                <w:color w:val="auto"/>
                <w:sz w:val="22"/>
                <w:szCs w:val="22"/>
                <w:highlight w:val="none"/>
                <w:u w:val="none"/>
              </w:rPr>
            </w:pPr>
          </w:p>
        </w:tc>
      </w:tr>
      <w:tr w14:paraId="277C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6C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AE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视频监控控制</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A7311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云台控制、抓图、录像、高点可视域展示。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云台控制：支持高空相机进行云台控制，云台转动时标签同步展示的功能。</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手动跟踪：支持大鹰眼设备手动跟踪功能。支持框选移动物体，支持框选后自动跟踪。</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场景切换：支持多个大鹰眼监控场景间的切换操作。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全景切换：支持大鹰眼场景下，对特写图像和全景图像进行切换的操作。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抓图、录像：支持预览过程中进行视频抓图、录像并保存至本地。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高点可视域：支持在电子地图上可以展示高点设备可视域范围。</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BB2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DB37">
            <w:pPr>
              <w:jc w:val="center"/>
              <w:rPr>
                <w:rFonts w:hint="eastAsia" w:ascii="宋体" w:hAnsi="宋体" w:eastAsia="宋体" w:cs="宋体"/>
                <w:b/>
                <w:bCs/>
                <w:i w:val="0"/>
                <w:iCs w:val="0"/>
                <w:color w:val="auto"/>
                <w:sz w:val="22"/>
                <w:szCs w:val="22"/>
                <w:highlight w:val="none"/>
                <w:u w:val="none"/>
              </w:rPr>
            </w:pPr>
          </w:p>
        </w:tc>
      </w:tr>
      <w:tr w14:paraId="74EB7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1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2F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云台与跟踪控制</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2157C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针对高空相机、大鹰眼设备，提供精细化云台控制功能，用户通过界面控件发送转动指令，设备转动时同步展示当前角度（如“水平180°，垂直0°”）；支持大鹰眼设备手动跟踪，用户框选画面中目标物体（如船只）后点击“开始跟踪”，系统自动控制云台跟随目标移动，跟踪精度误差≤5%，目标丢失时弹出“跟踪目标消失，是否停止跟踪”提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5F0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0201">
            <w:pPr>
              <w:jc w:val="center"/>
              <w:rPr>
                <w:rFonts w:hint="eastAsia" w:ascii="宋体" w:hAnsi="宋体" w:eastAsia="宋体" w:cs="宋体"/>
                <w:b/>
                <w:bCs/>
                <w:i w:val="0"/>
                <w:iCs w:val="0"/>
                <w:color w:val="auto"/>
                <w:sz w:val="22"/>
                <w:szCs w:val="22"/>
                <w:highlight w:val="none"/>
                <w:u w:val="none"/>
              </w:rPr>
            </w:pPr>
          </w:p>
        </w:tc>
      </w:tr>
      <w:tr w14:paraId="7A2B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9A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AE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场景与画面切换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B5675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预设多组监控场景（如“北海港主航道场景”“涠洲岛渔港场景”），每组场景关联特定摄像头及云台角度，用户点击场景名称可一键切换所有关联设备的画面与角度，切换时间≤3秒；大鹰眼设备支持全景（视角</w:t>
            </w:r>
            <w:r>
              <w:rPr>
                <w:rFonts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120°）与特写（视角</w:t>
            </w:r>
            <w:r>
              <w:rPr>
                <w:rFonts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30°）切换，点击对应按钮即可调节焦距，切换过程无黑屏卡顿。</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630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E1A1">
            <w:pPr>
              <w:jc w:val="center"/>
              <w:rPr>
                <w:rFonts w:hint="eastAsia" w:ascii="宋体" w:hAnsi="宋体" w:eastAsia="宋体" w:cs="宋体"/>
                <w:b/>
                <w:bCs/>
                <w:i w:val="0"/>
                <w:iCs w:val="0"/>
                <w:color w:val="auto"/>
                <w:sz w:val="22"/>
                <w:szCs w:val="22"/>
                <w:highlight w:val="none"/>
                <w:u w:val="none"/>
              </w:rPr>
            </w:pPr>
          </w:p>
        </w:tc>
      </w:tr>
      <w:tr w14:paraId="734A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6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F2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抓图录像与可视域展示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C13E5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览时用户点击“抓图”，系统将当前画面保存为JPG格式（分辨率与视频一致），存储路径为“监控抓图/日期/设备编号”；点击“录像”启动MP4格式录制，支持手动停止或定时停止（如10分钟），文件超1GB时自动分片存储；在GIS地图上点击高点设备图标，系统根据设备焦距计算并展示可视域范围（绿色为正常可视，红色为遮挡区域），支持拖动时间轴查看不同焦距下的可视域变化。</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A4C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6146">
            <w:pPr>
              <w:jc w:val="center"/>
              <w:rPr>
                <w:rFonts w:hint="eastAsia" w:ascii="宋体" w:hAnsi="宋体" w:eastAsia="宋体" w:cs="宋体"/>
                <w:b/>
                <w:bCs/>
                <w:i w:val="0"/>
                <w:iCs w:val="0"/>
                <w:color w:val="auto"/>
                <w:sz w:val="22"/>
                <w:szCs w:val="22"/>
                <w:highlight w:val="none"/>
                <w:u w:val="none"/>
              </w:rPr>
            </w:pPr>
          </w:p>
        </w:tc>
      </w:tr>
      <w:tr w14:paraId="74673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6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C9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视频点位弹窗播放</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F2731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基于GIS电子地图，可以将辖区内的视频监控点位在GIS地图上进行直观的位置展示，可点击GIS地图视频分布的矢量图层实现港区实时视频监控画面查看。</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C61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8AAF">
            <w:pPr>
              <w:jc w:val="center"/>
              <w:rPr>
                <w:rFonts w:hint="eastAsia" w:ascii="宋体" w:hAnsi="宋体" w:eastAsia="宋体" w:cs="宋体"/>
                <w:b/>
                <w:bCs/>
                <w:i w:val="0"/>
                <w:iCs w:val="0"/>
                <w:color w:val="auto"/>
                <w:sz w:val="22"/>
                <w:szCs w:val="22"/>
                <w:highlight w:val="none"/>
                <w:u w:val="none"/>
              </w:rPr>
            </w:pPr>
          </w:p>
        </w:tc>
      </w:tr>
      <w:tr w14:paraId="5C18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9A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65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GIS地图点位展示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96B9F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接北海市政务GIS地图服务，加载含海岸线、航道、渔港等要素的矢量底图，至少支持1:1000至1:100000缩放及平移操作；将所有监控点位按经纬度在地图上标记为图标，在线设备显示绿色，离线设备显示红色，鼠标悬停时弹出设备名称、编号、状态等基础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3D8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0D39">
            <w:pPr>
              <w:jc w:val="center"/>
              <w:rPr>
                <w:rFonts w:hint="eastAsia" w:ascii="宋体" w:hAnsi="宋体" w:eastAsia="宋体" w:cs="宋体"/>
                <w:b/>
                <w:bCs/>
                <w:i w:val="0"/>
                <w:iCs w:val="0"/>
                <w:color w:val="auto"/>
                <w:sz w:val="22"/>
                <w:szCs w:val="22"/>
                <w:highlight w:val="none"/>
                <w:u w:val="none"/>
              </w:rPr>
            </w:pPr>
          </w:p>
        </w:tc>
      </w:tr>
      <w:tr w14:paraId="4E21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DC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B4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弹窗视频交互</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27971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用户点击地图上的监控点位图标，弹出悬浮视频窗口（默认</w:t>
            </w:r>
            <w:r>
              <w:rPr>
                <w:rFonts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640×360像素），支持拖拽调整位置、拉伸改变大小；窗口自动加载该点位实时视频流，提供播放/暂停、音量调节功能，关闭窗口后自动停止视频传输以节省带宽，确保网络资源高效利用。</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8CF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039B">
            <w:pPr>
              <w:jc w:val="center"/>
              <w:rPr>
                <w:rFonts w:hint="eastAsia" w:ascii="宋体" w:hAnsi="宋体" w:eastAsia="宋体" w:cs="宋体"/>
                <w:b/>
                <w:bCs/>
                <w:i w:val="0"/>
                <w:iCs w:val="0"/>
                <w:color w:val="auto"/>
                <w:sz w:val="22"/>
                <w:szCs w:val="22"/>
                <w:highlight w:val="none"/>
                <w:u w:val="none"/>
              </w:rPr>
            </w:pPr>
          </w:p>
        </w:tc>
      </w:tr>
      <w:tr w14:paraId="707A9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6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03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历史视频查看</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A79B5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视频根据需求进行存储，选择需要回放的视频点位以及历史视频日期，进行历史视频画面回放。</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D76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DBF3">
            <w:pPr>
              <w:jc w:val="center"/>
              <w:rPr>
                <w:rFonts w:hint="eastAsia" w:ascii="宋体" w:hAnsi="宋体" w:eastAsia="宋体" w:cs="宋体"/>
                <w:b/>
                <w:bCs/>
                <w:i w:val="0"/>
                <w:iCs w:val="0"/>
                <w:color w:val="auto"/>
                <w:sz w:val="22"/>
                <w:szCs w:val="22"/>
                <w:highlight w:val="none"/>
                <w:u w:val="none"/>
              </w:rPr>
            </w:pPr>
          </w:p>
        </w:tc>
      </w:tr>
      <w:tr w14:paraId="36ED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03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DF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历史视频查询筛选</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BABA0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接后端视频存储服务器接口，用户选择监控点位、历史日期（如“2024-10-01”）并设置时间段（精确到分钟，如“08:00-12:00”），点击“查询”后系统获取符合条件的视频文件列表，支持按录制时长（从长到短/从短到长）排序，列表展示文件名称、大小、录制时长等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931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8756">
            <w:pPr>
              <w:jc w:val="center"/>
              <w:rPr>
                <w:rFonts w:hint="eastAsia" w:ascii="宋体" w:hAnsi="宋体" w:eastAsia="宋体" w:cs="宋体"/>
                <w:b/>
                <w:bCs/>
                <w:i w:val="0"/>
                <w:iCs w:val="0"/>
                <w:color w:val="auto"/>
                <w:sz w:val="22"/>
                <w:szCs w:val="22"/>
                <w:highlight w:val="none"/>
                <w:u w:val="none"/>
              </w:rPr>
            </w:pPr>
          </w:p>
        </w:tc>
      </w:tr>
      <w:tr w14:paraId="0FA7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B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05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多维度回放控制</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32D08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户点击目标视频文件启动回放，默认倍速1×，至少支持0.5×/1×/2×/4×倍速调节；可拖动时间轴快速定位至指定时间点，回放过程中点击“截图”可保存当前帧为JPG格式；支持查看回放画面中的AR信息（如当时的船只位置、距离），还原历史监控场景细节。</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88A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B7F2">
            <w:pPr>
              <w:jc w:val="center"/>
              <w:rPr>
                <w:rFonts w:hint="eastAsia" w:ascii="宋体" w:hAnsi="宋体" w:eastAsia="宋体" w:cs="宋体"/>
                <w:b/>
                <w:bCs/>
                <w:i w:val="0"/>
                <w:iCs w:val="0"/>
                <w:color w:val="auto"/>
                <w:sz w:val="22"/>
                <w:szCs w:val="22"/>
                <w:highlight w:val="none"/>
                <w:u w:val="none"/>
              </w:rPr>
            </w:pPr>
          </w:p>
        </w:tc>
      </w:tr>
      <w:tr w14:paraId="6C2F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2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EB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渔船信息智能识别</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7E824D6">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476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249B">
            <w:pPr>
              <w:jc w:val="center"/>
              <w:rPr>
                <w:rFonts w:hint="eastAsia" w:ascii="宋体" w:hAnsi="宋体" w:eastAsia="宋体" w:cs="宋体"/>
                <w:b/>
                <w:bCs/>
                <w:i w:val="0"/>
                <w:iCs w:val="0"/>
                <w:color w:val="auto"/>
                <w:sz w:val="22"/>
                <w:szCs w:val="22"/>
                <w:highlight w:val="none"/>
                <w:u w:val="none"/>
              </w:rPr>
            </w:pPr>
          </w:p>
        </w:tc>
      </w:tr>
      <w:tr w14:paraId="4B35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75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BA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渔船号AI智能识别</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7BD7C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船牌检测、角度分类、多GPU并行训练框架、自动标注工具、OCR的后端推理等过程实现船号识别，实现渔船跟踪显示，标记船舶图片或船舶视频片段抓拍时间、摄像头名称、地点，针对本地渔船船牌特点和自然环境进行定制训练，并不断提高模型准确度，同时支持关联船舶船主信息、北斗、AIS和RFID位置信息详情，辅助执法管理。</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462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5F08">
            <w:pPr>
              <w:jc w:val="center"/>
              <w:rPr>
                <w:rFonts w:hint="eastAsia" w:ascii="宋体" w:hAnsi="宋体" w:eastAsia="宋体" w:cs="宋体"/>
                <w:b/>
                <w:bCs/>
                <w:i w:val="0"/>
                <w:iCs w:val="0"/>
                <w:color w:val="auto"/>
                <w:sz w:val="22"/>
                <w:szCs w:val="22"/>
                <w:highlight w:val="none"/>
                <w:u w:val="none"/>
              </w:rPr>
            </w:pPr>
          </w:p>
        </w:tc>
      </w:tr>
      <w:tr w14:paraId="0959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96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4C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多源数据接入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B934A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入监控点位实时视频流（HLS/RTSP协议），每帧画面传输至AI算法模块进行灰度化、降噪预处理；同步接入北斗/AIS/RFID设备的渔船位置数据（经纬度、设备编号），10秒以内更新一次；对接渔政渔船数据库接口，获取渔船基础信息（船号、船主姓名、联系方式、船舶类型），支持按船号模糊查询关联数据。</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8C1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81E5">
            <w:pPr>
              <w:jc w:val="center"/>
              <w:rPr>
                <w:rFonts w:hint="eastAsia" w:ascii="宋体" w:hAnsi="宋体" w:eastAsia="宋体" w:cs="宋体"/>
                <w:b/>
                <w:bCs/>
                <w:i w:val="0"/>
                <w:iCs w:val="0"/>
                <w:color w:val="auto"/>
                <w:sz w:val="22"/>
                <w:szCs w:val="22"/>
                <w:highlight w:val="none"/>
                <w:u w:val="none"/>
              </w:rPr>
            </w:pPr>
          </w:p>
        </w:tc>
      </w:tr>
      <w:tr w14:paraId="4352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F9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7D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定制化模型训练</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89357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针对北海本地渔船船牌特点（如字体样式、颜色、摆放位置）和自然环境（逆光、雾天、海浪干扰），采用分布式训练框架，使用自动标注工具支持对10万以上船牌样本进行标注，训练生成自定义识别模型，模型准确率≥95%；每月自动采集新样本更新模型，确保识别精度持续优化。</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1D8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F89F">
            <w:pPr>
              <w:jc w:val="center"/>
              <w:rPr>
                <w:rFonts w:hint="eastAsia" w:ascii="宋体" w:hAnsi="宋体" w:eastAsia="宋体" w:cs="宋体"/>
                <w:b/>
                <w:bCs/>
                <w:i w:val="0"/>
                <w:iCs w:val="0"/>
                <w:color w:val="auto"/>
                <w:sz w:val="22"/>
                <w:szCs w:val="22"/>
                <w:highlight w:val="none"/>
                <w:u w:val="none"/>
              </w:rPr>
            </w:pPr>
          </w:p>
        </w:tc>
      </w:tr>
      <w:tr w14:paraId="3C407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30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73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实时识别与信息关联</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8154E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户可手动触发（点击“开始识别”）或设置定时触发（如每5分钟一次），系统对视频帧执行船牌检测（定位船牌位置）、角度分类（纠正倾斜船牌）、OCR后端推理（提取船号字符），识别结果实时叠加在监控画面中（如“识别船号：桂北渔00128”），识别耗时≤1秒/帧；识别出船号后，自动查询渔政数据库关联渔船详情，调取北斗/AIS实时位置数据在GIS地图标注，点击位置标签可查看近24小时完整轨迹。</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E015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FA70">
            <w:pPr>
              <w:jc w:val="center"/>
              <w:rPr>
                <w:rFonts w:hint="eastAsia" w:ascii="宋体" w:hAnsi="宋体" w:eastAsia="宋体" w:cs="宋体"/>
                <w:b/>
                <w:bCs/>
                <w:i w:val="0"/>
                <w:iCs w:val="0"/>
                <w:color w:val="auto"/>
                <w:sz w:val="22"/>
                <w:szCs w:val="22"/>
                <w:highlight w:val="none"/>
                <w:u w:val="none"/>
              </w:rPr>
            </w:pPr>
          </w:p>
        </w:tc>
      </w:tr>
      <w:tr w14:paraId="34A54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FC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EE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异常预警与证据留存</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F9807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若识别船号在渔政数据库无匹配记录（疑似“三无”船舶），系统弹出红色告警窗口并播放提示音，自动保存含时间、地点、摄像头信息的识别画面至证据库；证据库支持上传核实结果（如“经执法人员确认，为外籍渔船”），数据永久留存以备后续追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333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E261">
            <w:pPr>
              <w:jc w:val="center"/>
              <w:rPr>
                <w:rFonts w:hint="eastAsia" w:ascii="宋体" w:hAnsi="宋体" w:eastAsia="宋体" w:cs="宋体"/>
                <w:b/>
                <w:bCs/>
                <w:i w:val="0"/>
                <w:iCs w:val="0"/>
                <w:color w:val="auto"/>
                <w:sz w:val="22"/>
                <w:szCs w:val="22"/>
                <w:highlight w:val="none"/>
                <w:u w:val="none"/>
              </w:rPr>
            </w:pPr>
          </w:p>
        </w:tc>
      </w:tr>
      <w:tr w14:paraId="2C6C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A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59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渔船尾迹智能识别</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79DB4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对监控探头拍摄视频中实时识别出的渔船运动尾迹进行分析识别，进而做出进出港方向判断和流量统计。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系统可以同时结合雷达、光电、AIS、北斗等多种定位和识别方式，通过一系列算法融合人，实现对海上渔船的作业行为识别及身份匹配，然后通过实时渔船尾迹分析，获取正在作业的渔船，然后结合AIS、北斗身份识别，剔除能够识别身份的合法渔船，对无法识别身份，但疑似捕捞作业目标的及时发现和预警。</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188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AFDC">
            <w:pPr>
              <w:jc w:val="center"/>
              <w:rPr>
                <w:rFonts w:hint="eastAsia" w:ascii="宋体" w:hAnsi="宋体" w:eastAsia="宋体" w:cs="宋体"/>
                <w:b/>
                <w:bCs/>
                <w:i w:val="0"/>
                <w:iCs w:val="0"/>
                <w:color w:val="auto"/>
                <w:sz w:val="22"/>
                <w:szCs w:val="22"/>
                <w:highlight w:val="none"/>
                <w:u w:val="none"/>
              </w:rPr>
            </w:pPr>
          </w:p>
        </w:tc>
      </w:tr>
      <w:tr w14:paraId="7B3C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06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39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多设备数据同步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413BF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入监控探头视频流（提取渔船运动轨迹像素点）、雷达监测站目标数据（船只经度、纬度、速度、航向）、光电设备成像数据（船只轮廓、颜色）、北斗/AIS定位数据，所有数据按毫秒级时间戳同步至算法模块，确保数据时序一致性。</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FAE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DB41">
            <w:pPr>
              <w:jc w:val="center"/>
              <w:rPr>
                <w:rFonts w:hint="eastAsia" w:ascii="宋体" w:hAnsi="宋体" w:eastAsia="宋体" w:cs="宋体"/>
                <w:b/>
                <w:bCs/>
                <w:i w:val="0"/>
                <w:iCs w:val="0"/>
                <w:color w:val="auto"/>
                <w:sz w:val="22"/>
                <w:szCs w:val="22"/>
                <w:highlight w:val="none"/>
                <w:u w:val="none"/>
              </w:rPr>
            </w:pPr>
          </w:p>
        </w:tc>
      </w:tr>
      <w:tr w14:paraId="03F6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CA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81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尾迹分析与行为识别</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D2D0B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对视频流中渔船运动轨迹进行像素级跟踪，生成连续尾迹曲线，结合雷达数据校正海浪抖动导致的轨迹偏差，计算船只运动速度（单位：节）、方向（如“进港-东北方向”“出港-西南方向”）；根据尾迹曲线与港口电子围栏的交点判断进出港状态，结合北斗/AIS报备信息验证，未报备时触发预警。</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EBA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2B44">
            <w:pPr>
              <w:jc w:val="center"/>
              <w:rPr>
                <w:rFonts w:hint="eastAsia" w:ascii="宋体" w:hAnsi="宋体" w:eastAsia="宋体" w:cs="宋体"/>
                <w:b/>
                <w:bCs/>
                <w:i w:val="0"/>
                <w:iCs w:val="0"/>
                <w:color w:val="auto"/>
                <w:sz w:val="22"/>
                <w:szCs w:val="22"/>
                <w:highlight w:val="none"/>
                <w:u w:val="none"/>
              </w:rPr>
            </w:pPr>
          </w:p>
        </w:tc>
      </w:tr>
      <w:tr w14:paraId="4BB6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B8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A4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流量统计与异常预警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EE2DB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时间段（如每小时、每天）统计渔港进出港渔船数量，生成流量趋势报表（支持柱状图、折线图展示）；通过实时尾迹分析获取正在作业的渔船，结合AIS/北斗身份识别剔除合法渔船，对无法识别身份但疑似捕捞的目标，自动标记并推送预警信息至执法终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18E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4301">
            <w:pPr>
              <w:jc w:val="center"/>
              <w:rPr>
                <w:rFonts w:hint="eastAsia" w:ascii="宋体" w:hAnsi="宋体" w:eastAsia="宋体" w:cs="宋体"/>
                <w:b/>
                <w:bCs/>
                <w:i w:val="0"/>
                <w:iCs w:val="0"/>
                <w:color w:val="auto"/>
                <w:sz w:val="22"/>
                <w:szCs w:val="22"/>
                <w:highlight w:val="none"/>
                <w:u w:val="none"/>
              </w:rPr>
            </w:pPr>
          </w:p>
        </w:tc>
      </w:tr>
      <w:tr w14:paraId="69C4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5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2A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雷视预警管理系统</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7399F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接已建设雷达监测站，充分利用雷达全天时应用、全水域覆盖、全天候监视、目标种类全的优点，可对“三无”船舶、外籍渔船等特殊渔船实现严密监控，可检测过往船只的长度、速度、距离等信息，并可统计航道内经过船舶的数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雷达实时检测航道内船只的状况，有船只出现时，把船只在雷达坐标系内的坐标转化为云台相机坐标系内的坐标，并发送给云台相机，云台相机根据接收到的坐标信息进行转动、聚焦，对坐标位置的船只进行跟踪、抓拍，将抓拍得到的数据发送给终端服务器，在终端服务器内，对抓拍图片进行船号识别，将雷达数据与图片数据分析汇总，上传至平台。</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1AF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8B0C">
            <w:pPr>
              <w:jc w:val="center"/>
              <w:rPr>
                <w:rFonts w:hint="eastAsia" w:ascii="宋体" w:hAnsi="宋体" w:eastAsia="宋体" w:cs="宋体"/>
                <w:b/>
                <w:bCs/>
                <w:i w:val="0"/>
                <w:iCs w:val="0"/>
                <w:color w:val="auto"/>
                <w:sz w:val="22"/>
                <w:szCs w:val="22"/>
                <w:highlight w:val="none"/>
                <w:u w:val="none"/>
              </w:rPr>
            </w:pPr>
          </w:p>
        </w:tc>
      </w:tr>
      <w:tr w14:paraId="6E34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A0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92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雷达与云台联动</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A0358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对接已建成的雷达监测站，利用雷达全天时、全水域覆盖优势，实时检测航道内船只的长度、速度、距离等信息，统计航道通行船舶数量；</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6C3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E276">
            <w:pPr>
              <w:jc w:val="center"/>
              <w:rPr>
                <w:rFonts w:hint="eastAsia" w:ascii="宋体" w:hAnsi="宋体" w:eastAsia="宋体" w:cs="宋体"/>
                <w:b/>
                <w:bCs/>
                <w:i w:val="0"/>
                <w:iCs w:val="0"/>
                <w:color w:val="auto"/>
                <w:sz w:val="22"/>
                <w:szCs w:val="22"/>
                <w:highlight w:val="none"/>
                <w:u w:val="none"/>
              </w:rPr>
            </w:pPr>
          </w:p>
        </w:tc>
      </w:tr>
      <w:tr w14:paraId="43A5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92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D0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当雷达检测到船只时</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B1CDA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自动将雷达坐标系内的船只坐标转换为云台相机坐标系坐标，发送至云台设备控制其转动、聚焦，实现对目标船只的精准跟踪与抓拍。</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849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DEF5">
            <w:pPr>
              <w:jc w:val="center"/>
              <w:rPr>
                <w:rFonts w:hint="eastAsia" w:ascii="宋体" w:hAnsi="宋体" w:eastAsia="宋体" w:cs="宋体"/>
                <w:b/>
                <w:bCs/>
                <w:i w:val="0"/>
                <w:iCs w:val="0"/>
                <w:color w:val="auto"/>
                <w:sz w:val="22"/>
                <w:szCs w:val="22"/>
                <w:highlight w:val="none"/>
                <w:u w:val="none"/>
              </w:rPr>
            </w:pPr>
          </w:p>
        </w:tc>
      </w:tr>
      <w:tr w14:paraId="6895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F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B3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数据汇总与分析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86D0F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云台相机将抓拍图片传输至终端服务器，服务器对图片执行船号识别（调用渔船号AI识别模型），并将雷达数据（速度、距离）与图片识别结果（船号、船只类型）汇总，上传至指挥平台；</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829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D6B6">
            <w:pPr>
              <w:jc w:val="center"/>
              <w:rPr>
                <w:rFonts w:hint="eastAsia" w:ascii="宋体" w:hAnsi="宋体" w:eastAsia="宋体" w:cs="宋体"/>
                <w:b/>
                <w:bCs/>
                <w:i w:val="0"/>
                <w:iCs w:val="0"/>
                <w:color w:val="auto"/>
                <w:sz w:val="22"/>
                <w:szCs w:val="22"/>
                <w:highlight w:val="none"/>
                <w:u w:val="none"/>
              </w:rPr>
            </w:pPr>
          </w:p>
        </w:tc>
      </w:tr>
      <w:tr w14:paraId="1AFC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C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12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按时间段查询雷达监测记录</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2C207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平台支持按时间段查询雷达监测记录，展示船只通行轨迹、识别结果及关联的渔船信息，为执法监管提供数据支撑。</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D29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7E4E">
            <w:pPr>
              <w:jc w:val="center"/>
              <w:rPr>
                <w:rFonts w:hint="eastAsia" w:ascii="宋体" w:hAnsi="宋体" w:eastAsia="宋体" w:cs="宋体"/>
                <w:b/>
                <w:bCs/>
                <w:i w:val="0"/>
                <w:iCs w:val="0"/>
                <w:color w:val="auto"/>
                <w:sz w:val="22"/>
                <w:szCs w:val="22"/>
                <w:highlight w:val="none"/>
                <w:u w:val="none"/>
              </w:rPr>
            </w:pPr>
          </w:p>
        </w:tc>
      </w:tr>
      <w:tr w14:paraId="637B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AB9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3E11">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智能分析预警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F3C64A5">
            <w:pPr>
              <w:jc w:val="left"/>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2C3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ABBD">
            <w:pPr>
              <w:jc w:val="center"/>
              <w:rPr>
                <w:rFonts w:hint="eastAsia" w:ascii="宋体" w:hAnsi="宋体" w:eastAsia="宋体" w:cs="宋体"/>
                <w:b/>
                <w:bCs/>
                <w:i w:val="0"/>
                <w:iCs w:val="0"/>
                <w:color w:val="auto"/>
                <w:sz w:val="22"/>
                <w:szCs w:val="22"/>
                <w:highlight w:val="none"/>
                <w:u w:val="none"/>
              </w:rPr>
            </w:pPr>
          </w:p>
        </w:tc>
      </w:tr>
      <w:tr w14:paraId="03FB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9E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AC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智能分析研判</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D3B6AAD">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0A4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223B">
            <w:pPr>
              <w:jc w:val="center"/>
              <w:rPr>
                <w:rFonts w:hint="eastAsia" w:ascii="宋体" w:hAnsi="宋体" w:eastAsia="宋体" w:cs="宋体"/>
                <w:b/>
                <w:bCs/>
                <w:i w:val="0"/>
                <w:iCs w:val="0"/>
                <w:color w:val="auto"/>
                <w:sz w:val="22"/>
                <w:szCs w:val="22"/>
                <w:highlight w:val="none"/>
                <w:u w:val="none"/>
              </w:rPr>
            </w:pPr>
          </w:p>
        </w:tc>
      </w:tr>
      <w:tr w14:paraId="6C8F3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AE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6E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预警分析研判</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014B4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依托智能感知分析系统，整合前端设备采集的数据以及船舶AIS点位信息，综合大数据分析研判，构建可疑走私、非法捕捞、非法养殖、非法载客、末报备进出港预警、离线船舶预警、外来船舶预警、特殊船舶预警、航行轨迹预警、夜间可疑目标预警、AIS及北斗终端异常关闭预警等多种预警模型，对数据进行动态化管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多源数据整合：对接前端视频监控（雪亮工程）、雷达监测站、船舶AIS、北斗终端等设备，实时采集视频流、船舶位置（经纬度、航向、航速）、设备状态（在线/离线）等数据，数据同步频率≤10秒/次；同时接入渔政渔船数据库（渔船基础信息、报备记录）、气象数据（风速、浪高），构建统一数据池，支持数据清洗（剔除异常值，如定位漂移数据）与格式标准化（统一转换为JSON格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2.多类型预警模型构建：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疑走私预警：通过分析船舶轨迹（如“无报备记录且往返中越边境海域”）、航行速度（如“低速徘徊后突然加速”）、与其他船舶距离（如“多船近距离并行”），结合雷达监测的船舶载重特征，综合判定疑似走私行为，预警触发阈值可配置（如“满足3项特征即触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非法捕捞预警：融合视频画面（识别网具投放动作）、船舶停留时间（如“禁渔区停留超1.5小时”）、AIS轨迹（如“往复式作业轨迹”），建立AI识别模型，模型准确率≥90%，支持手动标注样本优化模型（如“标记误判案例为‘非违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-未报备进出港预警：对比船舶AIS定位（进出港时间）与渔政报备系统记录，若船舶实际进出港时间与报备时间偏差</w:t>
            </w:r>
            <w:r>
              <w:rPr>
                <w:rFonts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30分钟且未补报，自动触发预警；支持设置“特殊天气豁免”规则（如“台风天紧急避险未报备可延迟补报”）。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-其他预警：包括离线船舶预警（北斗/AIS终端离线超1小时）、外来船舶预警（非北海/钦州/防城港籍船舶进入辖区</w:t>
            </w:r>
            <w:r>
              <w:rPr>
                <w:rFonts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24小时未报备）、夜间可疑目标预警（如：22:00-6:00无报备且在敏感海域活动）等，每种预警均配置独立判定逻辑与参数。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动态化管控：支持实时调整预警模型参数（如“非法捕捞停留时间阈值从2小时改为1.5小时”），调整记录自动留存（含调整人、时间、原因）；系统每小时生成《预警模型运行报告》，展示各模型触发次数、准确率（人工核验后的数据），异常情况（如“某模型准确率骤降”）触发运维预警。</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DA7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BA22">
            <w:pPr>
              <w:jc w:val="center"/>
              <w:rPr>
                <w:rFonts w:hint="eastAsia" w:ascii="宋体" w:hAnsi="宋体" w:eastAsia="宋体" w:cs="宋体"/>
                <w:b/>
                <w:bCs/>
                <w:i w:val="0"/>
                <w:iCs w:val="0"/>
                <w:color w:val="auto"/>
                <w:sz w:val="22"/>
                <w:szCs w:val="22"/>
                <w:highlight w:val="none"/>
                <w:u w:val="none"/>
              </w:rPr>
            </w:pPr>
          </w:p>
        </w:tc>
      </w:tr>
      <w:tr w14:paraId="5B96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43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9C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报警模版配置</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61848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具有报警模版配置功能。通过报警模板支持对不同的终端（视频、雷达等）报警、目标（大小）类型进行设置。系统支持航速配置告警；支持基于报警名称和报警类型进行结果查询；系统支持告警通知展示配置管理，包括告警颜色、声音、弹窗、报警处理方式、是否需要二次审核等。</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812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AF28">
            <w:pPr>
              <w:jc w:val="center"/>
              <w:rPr>
                <w:rFonts w:hint="eastAsia" w:ascii="宋体" w:hAnsi="宋体" w:eastAsia="宋体" w:cs="宋体"/>
                <w:b/>
                <w:bCs/>
                <w:i w:val="0"/>
                <w:iCs w:val="0"/>
                <w:color w:val="auto"/>
                <w:sz w:val="22"/>
                <w:szCs w:val="22"/>
                <w:highlight w:val="none"/>
                <w:u w:val="none"/>
              </w:rPr>
            </w:pPr>
          </w:p>
        </w:tc>
      </w:tr>
      <w:tr w14:paraId="0D0A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1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B7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多维度模版配置</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D9796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-终端类型配置：支持按视频（如“高清摄像头”“热成像相机”）、雷达（如“X波段雷达”“C波段雷达”）等终端类型，分别设置报警规则（如“热成像相机触发夜间目标报警灵敏度为‘高’”）。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-目标类型配置：按船舶大小（如“小型渔船＜12米”“中型渔船12-24米”“大型渔船＞24米”）设置报警优先级（如“大型船舶报警优先级高于小型船舶”），优先级高的报警在界面置顶展示。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-航速配置：可按船舶类型设置航速告警阈值（如“小型渔船超15节触发超速报警”“执法船超20节触发超速报警”），支持设置“特殊区域航速例外”（如“渔港内航速阈值统一为5节”）。</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AD2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3125">
            <w:pPr>
              <w:jc w:val="center"/>
              <w:rPr>
                <w:rFonts w:hint="eastAsia" w:ascii="宋体" w:hAnsi="宋体" w:eastAsia="宋体" w:cs="宋体"/>
                <w:b/>
                <w:bCs/>
                <w:i w:val="0"/>
                <w:iCs w:val="0"/>
                <w:color w:val="auto"/>
                <w:sz w:val="22"/>
                <w:szCs w:val="22"/>
                <w:highlight w:val="none"/>
                <w:u w:val="none"/>
              </w:rPr>
            </w:pPr>
          </w:p>
        </w:tc>
      </w:tr>
      <w:tr w14:paraId="23E7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D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4A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报警查询与展示配置</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848F0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查询配置：支持按报警名称（如“非法捕捞报警”）、报警类型（如“设备故障报警”“安全事件报警”）设置快速查询条件，保存为查询模板（如“日常执法查询模板”“设备运维查询模板”），点击模板可一键加载查询条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展示配置：自定义告警通知样式（如“安全事件报警用红色弹窗”“设备故障报警用黄色弹窗”），设置声音提示（如“高优先级报警播放急促提示音”“低优先级报警播放平缓提示音”），配置是否需要二次审核（如“疑似走私报警需2名执法人员审核确认”“设备离线报警无需审核直接推送”）。</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391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2FB6">
            <w:pPr>
              <w:jc w:val="center"/>
              <w:rPr>
                <w:rFonts w:hint="eastAsia" w:ascii="宋体" w:hAnsi="宋体" w:eastAsia="宋体" w:cs="宋体"/>
                <w:b/>
                <w:bCs/>
                <w:i w:val="0"/>
                <w:iCs w:val="0"/>
                <w:color w:val="auto"/>
                <w:sz w:val="22"/>
                <w:szCs w:val="22"/>
                <w:highlight w:val="none"/>
                <w:u w:val="none"/>
              </w:rPr>
            </w:pPr>
          </w:p>
        </w:tc>
      </w:tr>
      <w:tr w14:paraId="3480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CD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9A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模版管理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DF2CA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模板新增（填写模板名称、配置项）、编辑（修改已有配置）、删除（需二次确认“是否删除该模板，删除后不可恢复”）、复制（基于现有模板快速创建新模板），所有操作记录实时留存至日志（含操作人、时间、操作内容）。</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002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6E74">
            <w:pPr>
              <w:jc w:val="center"/>
              <w:rPr>
                <w:rFonts w:hint="eastAsia" w:ascii="宋体" w:hAnsi="宋体" w:eastAsia="宋体" w:cs="宋体"/>
                <w:b/>
                <w:bCs/>
                <w:i w:val="0"/>
                <w:iCs w:val="0"/>
                <w:color w:val="auto"/>
                <w:sz w:val="22"/>
                <w:szCs w:val="22"/>
                <w:highlight w:val="none"/>
                <w:u w:val="none"/>
              </w:rPr>
            </w:pPr>
          </w:p>
        </w:tc>
      </w:tr>
      <w:tr w14:paraId="7B6C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A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17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预警展示处理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7FA1C9B">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42A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70FE">
            <w:pPr>
              <w:jc w:val="center"/>
              <w:rPr>
                <w:rFonts w:hint="eastAsia" w:ascii="宋体" w:hAnsi="宋体" w:eastAsia="宋体" w:cs="宋体"/>
                <w:b/>
                <w:bCs/>
                <w:i w:val="0"/>
                <w:iCs w:val="0"/>
                <w:color w:val="auto"/>
                <w:sz w:val="22"/>
                <w:szCs w:val="22"/>
                <w:highlight w:val="none"/>
                <w:u w:val="none"/>
              </w:rPr>
            </w:pPr>
          </w:p>
        </w:tc>
      </w:tr>
      <w:tr w14:paraId="197E4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4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E7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预警信息推送</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2E49D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预警信息通过电脑端系统或手机APP等方式提示相关执法管理人员进行处置，同时上报系统平台进行处理跟踪等。</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B5D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A0A5">
            <w:pPr>
              <w:jc w:val="center"/>
              <w:rPr>
                <w:rFonts w:hint="eastAsia" w:ascii="宋体" w:hAnsi="宋体" w:eastAsia="宋体" w:cs="宋体"/>
                <w:b/>
                <w:bCs/>
                <w:i w:val="0"/>
                <w:iCs w:val="0"/>
                <w:color w:val="auto"/>
                <w:sz w:val="22"/>
                <w:szCs w:val="22"/>
                <w:highlight w:val="none"/>
                <w:u w:val="none"/>
              </w:rPr>
            </w:pPr>
          </w:p>
        </w:tc>
      </w:tr>
      <w:tr w14:paraId="731E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52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62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多渠道推送</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0D721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-电脑端系统：预警信息实时弹出弹窗（含预警类型、船舶号、发生时间、地点），弹窗停留时间可配置（如“高优先级报警停留10秒”“低优先级报警停留5秒”），点击弹窗可跳转至预警详情页。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-手机APP：通过推送通知（如“【北海海洋执法】收到非法捕捞预警：桂北渔00128，时间2024-10-0109:30，地点北纬21°28′”）推送，支持设置“免打扰时段”（如“非值班时段仅推送高优先级报警”）。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-辅助推送：对紧急预警（如“渔船倾覆报警”），同步发送短信至执法人员手机（模板含预警核心信息、处置联系人电话），短信发送失败时自动重试2次。</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DDC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8EB9">
            <w:pPr>
              <w:jc w:val="center"/>
              <w:rPr>
                <w:rFonts w:hint="eastAsia" w:ascii="宋体" w:hAnsi="宋体" w:eastAsia="宋体" w:cs="宋体"/>
                <w:b/>
                <w:bCs/>
                <w:i w:val="0"/>
                <w:iCs w:val="0"/>
                <w:color w:val="auto"/>
                <w:sz w:val="22"/>
                <w:szCs w:val="22"/>
                <w:highlight w:val="none"/>
                <w:u w:val="none"/>
              </w:rPr>
            </w:pPr>
          </w:p>
        </w:tc>
      </w:tr>
      <w:tr w14:paraId="04689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C9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72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推送跟踪</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3CCA7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记录预警推送状态（“已推送”“未送达”“已读”），未送达的预警（如“APP推送失败”）自动切换为短信推送；执法人员查看预警后，系统标记“已读”状态，支持统计“预警推送成功率”“平均查看时长”，数据纳入月度运维报告。</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2F0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AF15">
            <w:pPr>
              <w:jc w:val="center"/>
              <w:rPr>
                <w:rFonts w:hint="eastAsia" w:ascii="宋体" w:hAnsi="宋体" w:eastAsia="宋体" w:cs="宋体"/>
                <w:b/>
                <w:bCs/>
                <w:i w:val="0"/>
                <w:iCs w:val="0"/>
                <w:color w:val="auto"/>
                <w:sz w:val="22"/>
                <w:szCs w:val="22"/>
                <w:highlight w:val="none"/>
                <w:u w:val="none"/>
              </w:rPr>
            </w:pPr>
          </w:p>
        </w:tc>
      </w:tr>
      <w:tr w14:paraId="79B0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1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8D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一键报警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68CBD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渔船发生水上生产安全事故、自然灾害事故和人员伤病，通过北斗、AIS终端报警信息的接收和面板展示。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16F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F4AA">
            <w:pPr>
              <w:jc w:val="center"/>
              <w:rPr>
                <w:rFonts w:hint="eastAsia" w:ascii="宋体" w:hAnsi="宋体" w:eastAsia="宋体" w:cs="宋体"/>
                <w:b/>
                <w:bCs/>
                <w:i w:val="0"/>
                <w:iCs w:val="0"/>
                <w:color w:val="auto"/>
                <w:sz w:val="22"/>
                <w:szCs w:val="22"/>
                <w:highlight w:val="none"/>
                <w:u w:val="none"/>
              </w:rPr>
            </w:pPr>
          </w:p>
        </w:tc>
      </w:tr>
      <w:tr w14:paraId="6ED17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8C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D1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报警信息接收</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3B165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接渔船北斗终端、AIS设备的报警接口，实时接收水上生产安全事故（如“碰撞”“搁浅”）、自然灾害事故（如“遭遇台风”）、人员伤病（如“船员突发疾病”）等报警信息，数据解析时间≤3秒，支持识别报警类型（自动匹配预设事故类型列表）。</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8F3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A77F">
            <w:pPr>
              <w:jc w:val="center"/>
              <w:rPr>
                <w:rFonts w:hint="eastAsia" w:ascii="宋体" w:hAnsi="宋体" w:eastAsia="宋体" w:cs="宋体"/>
                <w:b/>
                <w:bCs/>
                <w:i w:val="0"/>
                <w:iCs w:val="0"/>
                <w:color w:val="auto"/>
                <w:sz w:val="22"/>
                <w:szCs w:val="22"/>
                <w:highlight w:val="none"/>
                <w:u w:val="none"/>
              </w:rPr>
            </w:pPr>
          </w:p>
        </w:tc>
      </w:tr>
      <w:tr w14:paraId="661A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C6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5B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面板展示与联动</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FB0DD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-面板展示：在指挥中心大屏设置“一键报警专区”，实时展示报警渔船号、报警类型、当前位置（GIS地图标注）、报警时间、船员联系方式，支持点击“查看详情”调取渔船历史轨迹（</w:t>
            </w:r>
            <w:r>
              <w:rPr>
                <w:rFonts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1小时）、实时视频（关联附近监控摄像头）。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联动处置：点击“一键派单”按钮，自动生成处置工单（填充报警信息至工单表单），支持选择就近执法船艇/救援队伍（系统推荐距离最近的3个以上资源），工单提交后同步推送至对应人员APP/短信，推送记录自动留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0D6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1F6D">
            <w:pPr>
              <w:jc w:val="center"/>
              <w:rPr>
                <w:rFonts w:hint="eastAsia" w:ascii="宋体" w:hAnsi="宋体" w:eastAsia="宋体" w:cs="宋体"/>
                <w:b/>
                <w:bCs/>
                <w:i w:val="0"/>
                <w:iCs w:val="0"/>
                <w:color w:val="auto"/>
                <w:sz w:val="22"/>
                <w:szCs w:val="22"/>
                <w:highlight w:val="none"/>
                <w:u w:val="none"/>
              </w:rPr>
            </w:pPr>
          </w:p>
        </w:tc>
      </w:tr>
      <w:tr w14:paraId="369C2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18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9B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告警信息展示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76EBD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系统后台对船舶定位数据和视频监控数据进行智能分析产生的包括声音播放和标记报警图标等方式，并展示告警列表，可查看告警详情。有报警通知时，系统发出蜂鸣报警声进行提示。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系统通过报警列表展示待受理、受理中、已办结的报警事项。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可查看报警详情，面板展示报警事件、主体、联系方式、受理情况等。在地图上展示报警的位置信息、轨迹情况等。</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FF6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F942">
            <w:pPr>
              <w:jc w:val="center"/>
              <w:rPr>
                <w:rFonts w:hint="eastAsia" w:ascii="宋体" w:hAnsi="宋体" w:eastAsia="宋体" w:cs="宋体"/>
                <w:b/>
                <w:bCs/>
                <w:i w:val="0"/>
                <w:iCs w:val="0"/>
                <w:color w:val="auto"/>
                <w:sz w:val="22"/>
                <w:szCs w:val="22"/>
                <w:highlight w:val="none"/>
                <w:u w:val="none"/>
              </w:rPr>
            </w:pPr>
          </w:p>
        </w:tc>
      </w:tr>
      <w:tr w14:paraId="0D95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3A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3E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多形式告警提示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9BE98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声音提示：系统后台分析产生告警后，自动播放对应提示音（如“安全事件告警播放‘滴滴-滴滴’声”“设备故障告警播放‘嘀-嘀’声”），提示音音量可调节，支持“静音模式”（仅弹窗不发声，值班人员可手动开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-图标标记：在GIS地图上用不同图标标记告警位置（如“红色三角-安全事件告警”“黄色圆形-设备故障告警”），图标闪烁频率与告警优先级关联（高优先级每秒闪烁2次以上，低优先级每秒闪烁1次）。</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153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12B9">
            <w:pPr>
              <w:jc w:val="center"/>
              <w:rPr>
                <w:rFonts w:hint="eastAsia" w:ascii="宋体" w:hAnsi="宋体" w:eastAsia="宋体" w:cs="宋体"/>
                <w:b/>
                <w:bCs/>
                <w:i w:val="0"/>
                <w:iCs w:val="0"/>
                <w:color w:val="auto"/>
                <w:sz w:val="22"/>
                <w:szCs w:val="22"/>
                <w:highlight w:val="none"/>
                <w:u w:val="none"/>
              </w:rPr>
            </w:pPr>
          </w:p>
        </w:tc>
      </w:tr>
      <w:tr w14:paraId="7A15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C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A5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告警列表与详情展示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690DC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列表展示：按“待受理”“受理中”“已办结”三个状态分类展示告警事项，列表字段包含告警ID、类型、船舶号、发生时间、当前状态，支持按“发生时间”“优先级”排序，点击“筛选”可按告警类型、区域缩小范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详情展示：点击列表项进入详情面板，展示告警事件描述（如“桂北渔00128在禁渔区非法捕捞”）、主体信息（渔船基础信息、船员名单）、联系方式（船主电话、所属乡镇联系人）、受理情况（受理人、受理时间、处置进度）；同时在面板下方展示GIS地图，标注告警位置及周边执法资源（执法船艇、监控点位），支持地图缩放/拖动查看细节。</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0D0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D9B6">
            <w:pPr>
              <w:jc w:val="center"/>
              <w:rPr>
                <w:rFonts w:hint="eastAsia" w:ascii="宋体" w:hAnsi="宋体" w:eastAsia="宋体" w:cs="宋体"/>
                <w:b/>
                <w:bCs/>
                <w:i w:val="0"/>
                <w:iCs w:val="0"/>
                <w:color w:val="auto"/>
                <w:sz w:val="22"/>
                <w:szCs w:val="22"/>
                <w:highlight w:val="none"/>
                <w:u w:val="none"/>
              </w:rPr>
            </w:pPr>
          </w:p>
        </w:tc>
      </w:tr>
      <w:tr w14:paraId="28EA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C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2F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预警信息处理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6A737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系统实现预警信息处理，并会自动记录预警信息的类别，事件类型，时间等信息，并以表格的形式直观展示，方便管理人员处理。</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A77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5934">
            <w:pPr>
              <w:jc w:val="center"/>
              <w:rPr>
                <w:rFonts w:hint="eastAsia" w:ascii="宋体" w:hAnsi="宋体" w:eastAsia="宋体" w:cs="宋体"/>
                <w:b/>
                <w:bCs/>
                <w:i w:val="0"/>
                <w:iCs w:val="0"/>
                <w:color w:val="auto"/>
                <w:sz w:val="22"/>
                <w:szCs w:val="22"/>
                <w:highlight w:val="none"/>
                <w:u w:val="none"/>
              </w:rPr>
            </w:pPr>
          </w:p>
        </w:tc>
      </w:tr>
      <w:tr w14:paraId="273E5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33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83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处理流程设计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ADC7F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执法人员接收预警后，可在系统内填写处理动作（如“派执法船现场核查”“电话核实情况”“标记为误报”），选择处理结果（如“确认违规”“排除嫌疑”“待进一步调查”），上传处理凭证（如“现场照片”“通话记录截图”），所有信息实时同步至系统数据库。</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6FB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C7F5">
            <w:pPr>
              <w:jc w:val="center"/>
              <w:rPr>
                <w:rFonts w:hint="eastAsia" w:ascii="宋体" w:hAnsi="宋体" w:eastAsia="宋体" w:cs="宋体"/>
                <w:b/>
                <w:bCs/>
                <w:i w:val="0"/>
                <w:iCs w:val="0"/>
                <w:color w:val="auto"/>
                <w:sz w:val="22"/>
                <w:szCs w:val="22"/>
                <w:highlight w:val="none"/>
                <w:u w:val="none"/>
              </w:rPr>
            </w:pPr>
          </w:p>
        </w:tc>
      </w:tr>
      <w:tr w14:paraId="6DB4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75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E4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自动记录与展示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5DB01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自动记录预警信息的核心要素（类别：如“非法捕捞”；事件类型：如“禁渔期违规”；时间：精确到秒；处理人：当前登录用户；处理结果：如“确认违规”），并以表格形式展示在“预警处理台账”中，表格支持按处理时间、事件类型筛选，点击“导出”可生成Excel文件（含所有字段及凭证链接）。</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B5D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07C6">
            <w:pPr>
              <w:jc w:val="center"/>
              <w:rPr>
                <w:rFonts w:hint="eastAsia" w:ascii="宋体" w:hAnsi="宋体" w:eastAsia="宋体" w:cs="宋体"/>
                <w:b/>
                <w:bCs/>
                <w:i w:val="0"/>
                <w:iCs w:val="0"/>
                <w:color w:val="auto"/>
                <w:sz w:val="22"/>
                <w:szCs w:val="22"/>
                <w:highlight w:val="none"/>
                <w:u w:val="none"/>
              </w:rPr>
            </w:pPr>
          </w:p>
        </w:tc>
      </w:tr>
      <w:tr w14:paraId="2C5C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5B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处理提醒</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3690A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待受理”预警，系统至少每30分钟自动提醒（弹窗+APP推送）；对“受理中”预警，设置处理时限（如“24小时内完成”），超时前1小时发送提醒，超时后标记为“超时未处理”并置顶展示，同步通知上级管理人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EAE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824F">
            <w:pPr>
              <w:jc w:val="center"/>
              <w:rPr>
                <w:rFonts w:hint="eastAsia" w:ascii="宋体" w:hAnsi="宋体" w:eastAsia="宋体" w:cs="宋体"/>
                <w:b/>
                <w:bCs/>
                <w:i w:val="0"/>
                <w:iCs w:val="0"/>
                <w:color w:val="auto"/>
                <w:sz w:val="22"/>
                <w:szCs w:val="22"/>
                <w:highlight w:val="none"/>
                <w:u w:val="none"/>
              </w:rPr>
            </w:pPr>
          </w:p>
        </w:tc>
      </w:tr>
      <w:tr w14:paraId="2D02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C2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C9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预警信息分类</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1C211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系统支持按照事件类型、发生时间、地理位置等重要信息进行分类，为用户提供了极大的灵活性和便捷性。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在事件类型方面，系统可以根据预设的事件分类体系，如安全事件、设备故障、环境异常等，将预警信息自动归类。帮助执法人员快速识别不同性质的预警，能根据不同类型的事件制定针对性的处理策略。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系统支持按照时间维度对预警信息进行排序和筛选。可以选择特定的时间段，如最近24小时、本周、本月等，来查看该时间段内的所有预警信息。帮助执法人员把握预警的时效性，及时响应和处理。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地理位置方面，系统可以与地图功能相结合，根据预警信息中的地理坐标信息，将预警事件标注在地图上。帮助执法人员清晰地看到预警事件的具体位置，还能通过地图的缩放和拖动功能，快速定位到重点关注的区域。</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2C8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143C">
            <w:pPr>
              <w:jc w:val="center"/>
              <w:rPr>
                <w:rFonts w:hint="eastAsia" w:ascii="宋体" w:hAnsi="宋体" w:eastAsia="宋体" w:cs="宋体"/>
                <w:b/>
                <w:bCs/>
                <w:i w:val="0"/>
                <w:iCs w:val="0"/>
                <w:color w:val="auto"/>
                <w:sz w:val="22"/>
                <w:szCs w:val="22"/>
                <w:highlight w:val="none"/>
                <w:u w:val="none"/>
              </w:rPr>
            </w:pPr>
          </w:p>
        </w:tc>
      </w:tr>
      <w:tr w14:paraId="0D65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8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0A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事件类型分类</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B1067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设事件分类体系（安全事件：如非法捕捞、走私；设备故障：如终端离线、摄像头故障；环境异常：如赤潮、油污），系统接收预警后，根据预警内容自动匹配分类（如“北斗终端离线”匹配“设备故障”）；支持自定义新增分类（如“新增‘船员违规操作’分类”）、修改分类名称、调整分类层级（如将“走私”设为“安全事件”的子分类）。</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371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401E">
            <w:pPr>
              <w:jc w:val="center"/>
              <w:rPr>
                <w:rFonts w:hint="eastAsia" w:ascii="宋体" w:hAnsi="宋体" w:eastAsia="宋体" w:cs="宋体"/>
                <w:b/>
                <w:bCs/>
                <w:i w:val="0"/>
                <w:iCs w:val="0"/>
                <w:color w:val="auto"/>
                <w:sz w:val="22"/>
                <w:szCs w:val="22"/>
                <w:highlight w:val="none"/>
                <w:u w:val="none"/>
              </w:rPr>
            </w:pPr>
          </w:p>
        </w:tc>
      </w:tr>
      <w:tr w14:paraId="5C86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6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64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时间维度分类</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E86AD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时间筛选控件，支持选择“最近24小时”“最近7天”“最近30天”或自定义时间段（精确到小时），筛选后仅展示该时间段内的预警信息；同时支持按“预警发生时间”“预警处理时间”排序，帮助执法人员优先处理时效性强的预警（如“优先查看2小时内发生的预警”）。</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7F6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8145">
            <w:pPr>
              <w:jc w:val="center"/>
              <w:rPr>
                <w:rFonts w:hint="eastAsia" w:ascii="宋体" w:hAnsi="宋体" w:eastAsia="宋体" w:cs="宋体"/>
                <w:b/>
                <w:bCs/>
                <w:i w:val="0"/>
                <w:iCs w:val="0"/>
                <w:color w:val="auto"/>
                <w:sz w:val="22"/>
                <w:szCs w:val="22"/>
                <w:highlight w:val="none"/>
                <w:u w:val="none"/>
              </w:rPr>
            </w:pPr>
          </w:p>
        </w:tc>
      </w:tr>
      <w:tr w14:paraId="686E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FE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1C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地理位置分类</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17356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与GIS地图深度集成，支持两种地理分类方式：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-行政区域分类：按北海市辖区（如“海城区”“银海区”“铁山港区”）筛选预警，点击区域名称，地图自动定位至该区域并高亮显示该区域内的所有预警点位。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功能区域分类：按预设功能区（如“禁渔区”“养殖区”“渔港核心区”）筛选，筛选结果同步在地图上用不同颜色标注（如“禁渔区预警用红色”“养殖区预警用蓝色”），支持拖动地图范围缩小筛选范围（仅展示当前地图视窗内的预警）。</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C8A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46C8">
            <w:pPr>
              <w:jc w:val="center"/>
              <w:rPr>
                <w:rFonts w:hint="eastAsia" w:ascii="宋体" w:hAnsi="宋体" w:eastAsia="宋体" w:cs="宋体"/>
                <w:b/>
                <w:bCs/>
                <w:i w:val="0"/>
                <w:iCs w:val="0"/>
                <w:color w:val="auto"/>
                <w:sz w:val="22"/>
                <w:szCs w:val="22"/>
                <w:highlight w:val="none"/>
                <w:u w:val="none"/>
              </w:rPr>
            </w:pPr>
          </w:p>
        </w:tc>
      </w:tr>
      <w:tr w14:paraId="7C5A9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DC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B3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预警记录查询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015BD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实现系统所产生的所有预警信息，都将存储在大数据中心内，并通过可靠手段备份。并提供丰富的查询功能。可以按照预警事件类型、时间、区域、船舶号、船员号等多种方式进行查询。</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D5A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4E7F">
            <w:pPr>
              <w:jc w:val="center"/>
              <w:rPr>
                <w:rFonts w:hint="eastAsia" w:ascii="宋体" w:hAnsi="宋体" w:eastAsia="宋体" w:cs="宋体"/>
                <w:b/>
                <w:bCs/>
                <w:i w:val="0"/>
                <w:iCs w:val="0"/>
                <w:color w:val="auto"/>
                <w:sz w:val="22"/>
                <w:szCs w:val="22"/>
                <w:highlight w:val="none"/>
                <w:u w:val="none"/>
              </w:rPr>
            </w:pPr>
          </w:p>
        </w:tc>
      </w:tr>
      <w:tr w14:paraId="4973C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BA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5C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多条件查询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78E69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按预警事件类型（如“非法载客”）、时间范围（如“2024-09-01至2024-09-30”）、区域（如“涠洲岛附近海域”）、船舶号（精确查询，如“桂北渔00128”）、船员号（关联船员身份证号查询）设置查询条件，条件支持“且/或”逻辑组合（如“‘非法捕捞’且‘最近7天’”）。</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578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72B3">
            <w:pPr>
              <w:jc w:val="center"/>
              <w:rPr>
                <w:rFonts w:hint="eastAsia" w:ascii="宋体" w:hAnsi="宋体" w:eastAsia="宋体" w:cs="宋体"/>
                <w:b/>
                <w:bCs/>
                <w:i w:val="0"/>
                <w:iCs w:val="0"/>
                <w:color w:val="auto"/>
                <w:sz w:val="22"/>
                <w:szCs w:val="22"/>
                <w:highlight w:val="none"/>
                <w:u w:val="none"/>
              </w:rPr>
            </w:pPr>
          </w:p>
        </w:tc>
      </w:tr>
      <w:tr w14:paraId="64FB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2E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CE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数据存储与备份</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E046C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预警记录（含原始数据、处理记录、凭证链接）实时存储至北海市政务云大数据中心，采用“每日全量备份+每小时增量备份”策略，备份数据保留周期≥1年，支持手动触发备份（如“重大执法行动后手动备份当日记录”），备份失败时触发运维告警。</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A7B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C0EB">
            <w:pPr>
              <w:jc w:val="center"/>
              <w:rPr>
                <w:rFonts w:hint="eastAsia" w:ascii="宋体" w:hAnsi="宋体" w:eastAsia="宋体" w:cs="宋体"/>
                <w:b/>
                <w:bCs/>
                <w:i w:val="0"/>
                <w:iCs w:val="0"/>
                <w:color w:val="auto"/>
                <w:sz w:val="22"/>
                <w:szCs w:val="22"/>
                <w:highlight w:val="none"/>
                <w:u w:val="none"/>
              </w:rPr>
            </w:pPr>
          </w:p>
        </w:tc>
      </w:tr>
      <w:tr w14:paraId="41BE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0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17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查询结果处理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32B67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查询结果以列表形式展示，支持“导出”（Excel/PDF格式）、“打印”（含查询条件、结果列表、查询时间水印）；对高频查询需求（如“每周查询‘非法捕捞’预警”），支持保存查询条件为“查询模板”，后续点击模板可一键执行查询，查询历史自动留存（含查询人、时间、条件）。</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104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0CED">
            <w:pPr>
              <w:jc w:val="center"/>
              <w:rPr>
                <w:rFonts w:hint="eastAsia" w:ascii="宋体" w:hAnsi="宋体" w:eastAsia="宋体" w:cs="宋体"/>
                <w:b/>
                <w:bCs/>
                <w:i w:val="0"/>
                <w:iCs w:val="0"/>
                <w:color w:val="auto"/>
                <w:sz w:val="22"/>
                <w:szCs w:val="22"/>
                <w:highlight w:val="none"/>
                <w:u w:val="none"/>
              </w:rPr>
            </w:pPr>
          </w:p>
        </w:tc>
      </w:tr>
      <w:tr w14:paraId="1B4C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FC8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E6A1">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渔船（乡镇船舶）智能化在线管理平台</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8122E48">
            <w:pPr>
              <w:jc w:val="left"/>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966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1228">
            <w:pPr>
              <w:jc w:val="center"/>
              <w:rPr>
                <w:rFonts w:hint="eastAsia" w:ascii="宋体" w:hAnsi="宋体" w:eastAsia="宋体" w:cs="宋体"/>
                <w:b/>
                <w:bCs/>
                <w:i w:val="0"/>
                <w:iCs w:val="0"/>
                <w:color w:val="auto"/>
                <w:sz w:val="22"/>
                <w:szCs w:val="22"/>
                <w:highlight w:val="none"/>
                <w:u w:val="none"/>
              </w:rPr>
            </w:pPr>
          </w:p>
        </w:tc>
      </w:tr>
      <w:tr w14:paraId="74F4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6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7E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渔船基本信息管理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779091D">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205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B947">
            <w:pPr>
              <w:jc w:val="center"/>
              <w:rPr>
                <w:rFonts w:hint="eastAsia" w:ascii="宋体" w:hAnsi="宋体" w:eastAsia="宋体" w:cs="宋体"/>
                <w:b/>
                <w:bCs/>
                <w:i w:val="0"/>
                <w:iCs w:val="0"/>
                <w:color w:val="auto"/>
                <w:sz w:val="22"/>
                <w:szCs w:val="22"/>
                <w:highlight w:val="none"/>
                <w:u w:val="none"/>
              </w:rPr>
            </w:pPr>
          </w:p>
        </w:tc>
      </w:tr>
      <w:tr w14:paraId="0B3C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80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1A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渔船基础信息管理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AB24E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支持动态接入中国渔政管理指挥系统在册渔船数据，在册渔船信息与北斗ID、AIS九位码和RFID船舶身份信息绑定并实施更新。支持导入沿海各市乡镇管理船舶信息。渔船和乡镇管理船舶的信息包括但不限于船名、呼号/识别码、捕捞许可证编号、船舶类别、船舶所属地区、船舶所有人信息、建造完工日期、船体材质、作业类型、船舶状态等。</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FCE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05A2">
            <w:pPr>
              <w:jc w:val="center"/>
              <w:rPr>
                <w:rFonts w:hint="eastAsia" w:ascii="宋体" w:hAnsi="宋体" w:eastAsia="宋体" w:cs="宋体"/>
                <w:b/>
                <w:bCs/>
                <w:i w:val="0"/>
                <w:iCs w:val="0"/>
                <w:color w:val="auto"/>
                <w:sz w:val="22"/>
                <w:szCs w:val="22"/>
                <w:highlight w:val="none"/>
                <w:u w:val="none"/>
              </w:rPr>
            </w:pPr>
          </w:p>
        </w:tc>
      </w:tr>
      <w:tr w14:paraId="7A4B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D4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CB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多源数据接入与绑定</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01622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动态区级系统：通过API接口实时同步在册渔船数据（更新频率≤1小时/次），自动校验数据完整性（如“捕捞许可证编号格式是否正确”），缺失字段（如“船体材质”）标记为“待补录”并提醒管理人员；支持手动触发“全量同步”（如“系统升级后重新同步所有数据”），同步日志自动留存（含同步时间、成功/失败数量、失败原因）。</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身份信息绑定：将在册渔船数据与北斗ID、AIS九位码、RFID船舶身份标签进行唯一关联，形成“一船三码”绑定关系；若出现“一船多码”（如同一渔船对应2个AIS九位码）或“一码多船”异常，系统触发预警（弹出红色弹窗+声音提示），支持管理人员手动核查并解除异常绑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乡镇船舶信息导入：支持Excel模板导入沿海各市乡镇管理船舶信息（模板含必填字段：船名、呼号、所属乡镇、船舶所有人身份证号），导入前自动校验数据格式（如“身份证号是否符合18位标准”），错误数据生成《导入错误报告》（标注错误字段及原因），支持修改后重新导入。</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5D4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2FA9">
            <w:pPr>
              <w:jc w:val="center"/>
              <w:rPr>
                <w:rFonts w:hint="eastAsia" w:ascii="宋体" w:hAnsi="宋体" w:eastAsia="宋体" w:cs="宋体"/>
                <w:b/>
                <w:bCs/>
                <w:i w:val="0"/>
                <w:iCs w:val="0"/>
                <w:color w:val="auto"/>
                <w:sz w:val="22"/>
                <w:szCs w:val="22"/>
                <w:highlight w:val="none"/>
                <w:u w:val="none"/>
              </w:rPr>
            </w:pPr>
          </w:p>
        </w:tc>
      </w:tr>
      <w:tr w14:paraId="592F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86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DE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信息维护与更新</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14F00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条维护：点击渔船记录可进入详情页，修改船舶所有人信息（如“更换船主”）、作业类型（如“从拖网改为刺网”）等字段，修改时需填写变更原因（如“船主转让，提供转让协议”），变更记录自动存档（含变更前后内容、操作人、时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批量更新：支持按“所属地区”“船舶类别”筛选渔船，批量更新共性字段（如“某地区所有渔船的检验机构统一更新为‘北海市渔船检验站’”），批量操作前需二次确认（如“确认对120条渔船执行批量更新”）。</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B0A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3805">
            <w:pPr>
              <w:jc w:val="center"/>
              <w:rPr>
                <w:rFonts w:hint="eastAsia" w:ascii="宋体" w:hAnsi="宋体" w:eastAsia="宋体" w:cs="宋体"/>
                <w:b/>
                <w:bCs/>
                <w:i w:val="0"/>
                <w:iCs w:val="0"/>
                <w:color w:val="auto"/>
                <w:sz w:val="22"/>
                <w:szCs w:val="22"/>
                <w:highlight w:val="none"/>
                <w:u w:val="none"/>
              </w:rPr>
            </w:pPr>
          </w:p>
        </w:tc>
      </w:tr>
      <w:tr w14:paraId="2DF3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36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38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信息查询与导出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E85B0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-多条件查询：支持按船名（模糊查询）、捕捞许可证编号（精确查询）、所属地区（下拉选择）、船体材质（如“钢质”“木质”）组合筛选，查询结果支持按“建造完工日期”“船舶状态”排序。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-导出功能：查询结果可导出为Excel格式（含所有字段及数据字典说明），导出文件自动命名为“渔船基础信息_查询日期_操作人.xlsx”，支持设置导出数据范围（如“仅导出‘正常运营’状态的渔船”）。</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B26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6A75">
            <w:pPr>
              <w:jc w:val="center"/>
              <w:rPr>
                <w:rFonts w:hint="eastAsia" w:ascii="宋体" w:hAnsi="宋体" w:eastAsia="宋体" w:cs="宋体"/>
                <w:b/>
                <w:bCs/>
                <w:i w:val="0"/>
                <w:iCs w:val="0"/>
                <w:color w:val="auto"/>
                <w:sz w:val="22"/>
                <w:szCs w:val="22"/>
                <w:highlight w:val="none"/>
                <w:u w:val="none"/>
              </w:rPr>
            </w:pPr>
          </w:p>
        </w:tc>
      </w:tr>
      <w:tr w14:paraId="1EF1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D0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3A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渔船状态信息管理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F21D6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实现对渔船状态的管理，包括渔船历史记录信息（如进出港记录、违法违规记录等），渔船业务操作记录，如渔船被抵押的，需要进行抵押状态显示；渔船被列入管理黑名单的，需要进行黑名单状态显示。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FCA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79A4">
            <w:pPr>
              <w:jc w:val="center"/>
              <w:rPr>
                <w:rFonts w:hint="eastAsia" w:ascii="宋体" w:hAnsi="宋体" w:eastAsia="宋体" w:cs="宋体"/>
                <w:b/>
                <w:bCs/>
                <w:i w:val="0"/>
                <w:iCs w:val="0"/>
                <w:color w:val="auto"/>
                <w:sz w:val="22"/>
                <w:szCs w:val="22"/>
                <w:highlight w:val="none"/>
                <w:u w:val="none"/>
              </w:rPr>
            </w:pPr>
          </w:p>
        </w:tc>
      </w:tr>
      <w:tr w14:paraId="1FBF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C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0E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历史记录管理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9F24D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出港记录：自动关联渔船进出港报备系统数据，展示每艘渔船的进出港时间、港口名称、报备人、同行船员名单，支持点击“查看详情”调取对应进出港报备表单（含电子签名）；若渔船未按报备时间进出港，记录标记为“异常”并关联预警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违法违规记录：对接执法管控模块数据，展示渔船的违法违规类型（如“非法捕捞”“未报备进出港”）、处理结果（如“罚款5000元”“暂扣捕捞许可证1个月”）、处理时间、执法人员，支持上传处理凭证（如“行政处罚决定书扫描件”），凭证文件存储至政务云，保留周期≥5年。</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62E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A7A3">
            <w:pPr>
              <w:jc w:val="center"/>
              <w:rPr>
                <w:rFonts w:hint="eastAsia" w:ascii="宋体" w:hAnsi="宋体" w:eastAsia="宋体" w:cs="宋体"/>
                <w:b/>
                <w:bCs/>
                <w:i w:val="0"/>
                <w:iCs w:val="0"/>
                <w:color w:val="auto"/>
                <w:sz w:val="22"/>
                <w:szCs w:val="22"/>
                <w:highlight w:val="none"/>
                <w:u w:val="none"/>
              </w:rPr>
            </w:pPr>
          </w:p>
        </w:tc>
      </w:tr>
      <w:tr w14:paraId="6DED3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4C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64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业务状态展示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80E62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抵押状态：对接渔船抵押登记系统，若渔船处于抵押中，在状态栏用“橙色抵押图标”标记，鼠标悬停显示抵押详情（抵押权人、抵押金额、抵押到期时间）；抵押到期前30天系统自动提醒（推送至船舶所有人及管理人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黑名单状态：对列入黑名单的渔船，用“红色黑名单图标”标记，展示拉入原因（如“多次非法捕捞”）、拉入时间、解除时间（若设置），黑名单期间限制其办理进出港报备、补助申请等业务，业务办理时系统自动弹出“黑名单限制提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2A3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2258">
            <w:pPr>
              <w:jc w:val="center"/>
              <w:rPr>
                <w:rFonts w:hint="eastAsia" w:ascii="宋体" w:hAnsi="宋体" w:eastAsia="宋体" w:cs="宋体"/>
                <w:b/>
                <w:bCs/>
                <w:i w:val="0"/>
                <w:iCs w:val="0"/>
                <w:color w:val="auto"/>
                <w:sz w:val="22"/>
                <w:szCs w:val="22"/>
                <w:highlight w:val="none"/>
                <w:u w:val="none"/>
              </w:rPr>
            </w:pPr>
          </w:p>
        </w:tc>
      </w:tr>
      <w:tr w14:paraId="52FE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C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93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状态查询与统计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535B9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-单船状态查询：输入船名或渔船编码，可一键查看该渔船所有状态信息（历史记录+当前业务状态），支持按时间范围筛选历史记录（如“查询2024年1-6月违法违规记录”）。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-状态统计：按“抵押状态”“黑名单状态”分类统计渔船数量，生成《渔船状态统计日报》，支持导出为PDF格式（含统计图表：饼图展示各状态占比）。</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08D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5E84">
            <w:pPr>
              <w:jc w:val="center"/>
              <w:rPr>
                <w:rFonts w:hint="eastAsia" w:ascii="宋体" w:hAnsi="宋体" w:eastAsia="宋体" w:cs="宋体"/>
                <w:b/>
                <w:bCs/>
                <w:i w:val="0"/>
                <w:iCs w:val="0"/>
                <w:color w:val="auto"/>
                <w:sz w:val="22"/>
                <w:szCs w:val="22"/>
                <w:highlight w:val="none"/>
                <w:u w:val="none"/>
              </w:rPr>
            </w:pPr>
          </w:p>
        </w:tc>
      </w:tr>
      <w:tr w14:paraId="4014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34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8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渔船信息统计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46211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现按照渔船类别、渔船所属地区、渔船状态等维度对港区管辖的渔船进行统计。在渔船类别方面，系统能够区分不同功能和类型的渔船，如捕捞船、养殖船、运输船等。通过对这些类别的渔船进行统计，清晰地了解到港区内各类渔船的数量和分布情况，为港区的资源配置和管理提供有力支持。系统按照渔船所属地区进行统计的功能。无论是按照行政区划还是港口划分，系统都能够准确地统计出各地区渔船的数量和相关信息。了解各地区渔船资源的分布情况，为区域间的渔船调配和合作提供数据支持。在渔船状态方面，系统能够实时追踪和记录渔船的动态信息，如正常作业、维修中、待检等。通过对渔船状态的统计，及时了解港区内渔船的工作状态和运营效率，为渔船的安全管理和作业调度提供重要参考。系统通过对统计数据的深入挖掘和分析，及时发现渔船资源的利用规律和潜在问题，为港区的科学管理和决策提供支持。系统支持将统计结果以图表、报告等形式进行展示，方便管理人员直观了解港区渔船的情况。</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D13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7947">
            <w:pPr>
              <w:jc w:val="center"/>
              <w:rPr>
                <w:rFonts w:hint="eastAsia" w:ascii="宋体" w:hAnsi="宋体" w:eastAsia="宋体" w:cs="宋体"/>
                <w:b/>
                <w:bCs/>
                <w:i w:val="0"/>
                <w:iCs w:val="0"/>
                <w:color w:val="auto"/>
                <w:sz w:val="22"/>
                <w:szCs w:val="22"/>
                <w:highlight w:val="none"/>
                <w:u w:val="none"/>
              </w:rPr>
            </w:pPr>
          </w:p>
        </w:tc>
      </w:tr>
      <w:tr w14:paraId="2C68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8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C69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多维度统计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7EB58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类别统计：区分捕捞船（细分为拖网、刺网、围网等）、养殖船、运输船等类别，统计各类型渔船数量、占比，支持按“所属地区”进一步筛选（如“统计北海市海城区捕捞船数量”）；统计结果用柱状图展示，点击柱子可查看该类别渔船详细列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所属地区统计：按行政区划（如“北海市”“钦州市”“防城港市”）或港口（如“北海港”“涠洲岛渔港”）统计渔船数量，支持按“船舶状态”二次筛选（如“统计北海港‘维修中’状态的渔船”）；结果用地图热力图展示（颜色越深表示渔船越密集），支持缩放地图查看区县级统计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船舶状态统计：实时统计“正常运营”“维修中”“待检”“停运”等状态的渔船数量，状态变更时统计数据实时更新（如“某渔船从‘维修中’改为‘正常运营’，对应状态数量同步调整”）；结果用折线图展示近7天状态变化趋势，帮助管理人员掌握渔船运营动态。</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4EC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2E56">
            <w:pPr>
              <w:jc w:val="center"/>
              <w:rPr>
                <w:rFonts w:hint="eastAsia" w:ascii="宋体" w:hAnsi="宋体" w:eastAsia="宋体" w:cs="宋体"/>
                <w:b/>
                <w:bCs/>
                <w:i w:val="0"/>
                <w:iCs w:val="0"/>
                <w:color w:val="auto"/>
                <w:sz w:val="22"/>
                <w:szCs w:val="22"/>
                <w:highlight w:val="none"/>
                <w:u w:val="none"/>
              </w:rPr>
            </w:pPr>
          </w:p>
        </w:tc>
      </w:tr>
      <w:tr w14:paraId="763F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C2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D8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统计分析与展示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09A9A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挖掘：系统自动分析统计数据，识别潜在问题（如“某地区养殖船数量骤降”“维修中渔船占比超30%”），生成《渔船资源分析报告》，包含问题描述、可能原因、建议措施（如“建议排查该地区养殖政策变化”“加强渔船维修服务资源调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多形式展示：支持切换统计结果展示形式（柱状图、饼图、热力图、折线图），图表支持导出为PNG格式（含统计时间、数据来源水印）；支持设置统计报表自动推送（如“每日9:00将《渔船统计日报》推送至管理人员邮箱”）。</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A4D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693C">
            <w:pPr>
              <w:jc w:val="center"/>
              <w:rPr>
                <w:rFonts w:hint="eastAsia" w:ascii="宋体" w:hAnsi="宋体" w:eastAsia="宋体" w:cs="宋体"/>
                <w:b/>
                <w:bCs/>
                <w:i w:val="0"/>
                <w:iCs w:val="0"/>
                <w:color w:val="auto"/>
                <w:sz w:val="22"/>
                <w:szCs w:val="22"/>
                <w:highlight w:val="none"/>
                <w:u w:val="none"/>
              </w:rPr>
            </w:pPr>
          </w:p>
        </w:tc>
      </w:tr>
      <w:tr w14:paraId="4F6A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F9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55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渔船动态管理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11E2056">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67A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4C9B">
            <w:pPr>
              <w:jc w:val="center"/>
              <w:rPr>
                <w:rFonts w:hint="eastAsia" w:ascii="宋体" w:hAnsi="宋体" w:eastAsia="宋体" w:cs="宋体"/>
                <w:b/>
                <w:bCs/>
                <w:i w:val="0"/>
                <w:iCs w:val="0"/>
                <w:color w:val="auto"/>
                <w:sz w:val="22"/>
                <w:szCs w:val="22"/>
                <w:highlight w:val="none"/>
                <w:u w:val="none"/>
              </w:rPr>
            </w:pPr>
          </w:p>
        </w:tc>
      </w:tr>
      <w:tr w14:paraId="64AB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F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93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船舶识别</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AEBDE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于“雷视联动+OCR识别”实现船牌号的智能抓拍与识别。系统主要由前端检测抓拍系统和后端管理平台两部分组成，前端检测抓拍系统联动雷达和云台相机（热成像或可见光光电设备），获取船只的数据信息，并通过终端服务器进行船牌号OCR检测分析，再上传至平台，平台对这些数据进行存储、分析、应用。</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CA0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AA5B">
            <w:pPr>
              <w:jc w:val="center"/>
              <w:rPr>
                <w:rFonts w:hint="eastAsia" w:ascii="宋体" w:hAnsi="宋体" w:eastAsia="宋体" w:cs="宋体"/>
                <w:b/>
                <w:bCs/>
                <w:i w:val="0"/>
                <w:iCs w:val="0"/>
                <w:color w:val="auto"/>
                <w:sz w:val="22"/>
                <w:szCs w:val="22"/>
                <w:highlight w:val="none"/>
                <w:u w:val="none"/>
              </w:rPr>
            </w:pPr>
          </w:p>
        </w:tc>
      </w:tr>
      <w:tr w14:paraId="14CC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D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A9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雷视联动抓拍</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AE8D0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端检测：联动雷达监测站与云台相机（热成像+可见光），雷达检测到航道内有船只时，自动将船只坐标（雷达坐标系）转换为云台相机坐标系，控制相机转动至目标位置并聚焦，触发抓拍（可见光相机抓拍船牌，热成像相机抓拍船体轮廓，适应夜间/雾天场景），抓拍间隔≤3秒/次。</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-数据传输：前端设备将抓拍图片、雷达数据（船只长度、速度、距离）通过加密专线传输至终端服务器，传输失败时自动重试（最多3次），重试失败触发设备故障预警（推送至运维人员）。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414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69DA">
            <w:pPr>
              <w:jc w:val="center"/>
              <w:rPr>
                <w:rFonts w:hint="eastAsia" w:ascii="宋体" w:hAnsi="宋体" w:eastAsia="宋体" w:cs="宋体"/>
                <w:b/>
                <w:bCs/>
                <w:i w:val="0"/>
                <w:iCs w:val="0"/>
                <w:color w:val="auto"/>
                <w:sz w:val="22"/>
                <w:szCs w:val="22"/>
                <w:highlight w:val="none"/>
                <w:u w:val="none"/>
              </w:rPr>
            </w:pPr>
          </w:p>
        </w:tc>
      </w:tr>
      <w:tr w14:paraId="7C7D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E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AA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OCR船牌识别</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0AAD0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识别处理：终端服务器对抓拍图片进行OCR检测（采用定制训练的渔船船牌识别模型，适配北海本地渔船船牌字体、颜色特征），提取船牌号（如“桂北渔00128”），识别准确率≥95%；对识别失败的图片（如“船牌模糊”），标记为“待人工审核”并提醒管理人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结果关联：将识别出的船牌号与渔船数据库匹配，获取对应渔船基础信息（船主、所属地区、船舶类型），若未匹配到（疑似“三无”船舶），自动触发外来船舶预警，预警信息包含抓拍图片、雷达数据、识别时间。</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AD2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1FD3">
            <w:pPr>
              <w:jc w:val="center"/>
              <w:rPr>
                <w:rFonts w:hint="eastAsia" w:ascii="宋体" w:hAnsi="宋体" w:eastAsia="宋体" w:cs="宋体"/>
                <w:b/>
                <w:bCs/>
                <w:i w:val="0"/>
                <w:iCs w:val="0"/>
                <w:color w:val="auto"/>
                <w:sz w:val="22"/>
                <w:szCs w:val="22"/>
                <w:highlight w:val="none"/>
                <w:u w:val="none"/>
              </w:rPr>
            </w:pPr>
          </w:p>
        </w:tc>
      </w:tr>
      <w:tr w14:paraId="0229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17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72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识别记录管理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6FFB9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-记录查询：支持按识别时间（如“2024-10-0108:00-12:00”）、摄像头位置（如“北海港东港区摄像头”）、船牌号（模糊查询）查询识别记录，展示识别图片、匹配结果、预警状态。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人工审核：管理人员可对“待人工审核”的记录进行手动标注（如“手动输入船牌号‘桂北渔00129’”“标记为‘非渔船’”），标注结果自动用于优化OCR识别模型（如“将标注的清晰船牌图片加入训练样本”）。</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7FB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36AD">
            <w:pPr>
              <w:jc w:val="center"/>
              <w:rPr>
                <w:rFonts w:hint="eastAsia" w:ascii="宋体" w:hAnsi="宋体" w:eastAsia="宋体" w:cs="宋体"/>
                <w:b/>
                <w:bCs/>
                <w:i w:val="0"/>
                <w:iCs w:val="0"/>
                <w:color w:val="auto"/>
                <w:sz w:val="22"/>
                <w:szCs w:val="22"/>
                <w:highlight w:val="none"/>
                <w:u w:val="none"/>
              </w:rPr>
            </w:pPr>
          </w:p>
        </w:tc>
      </w:tr>
      <w:tr w14:paraId="6DC3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B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DC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渔船AIS信息查询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63A38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获取渔船的用户识别码、航行状态、船位经度、纬度、时间标记等信息，并进行数据展示。查询渔船AIS信息：在系统里通过船名、终端号等查询条件查询到AIS基本信息和设备上报的定位信息。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EDD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047F">
            <w:pPr>
              <w:jc w:val="center"/>
              <w:rPr>
                <w:rFonts w:hint="eastAsia" w:ascii="宋体" w:hAnsi="宋体" w:eastAsia="宋体" w:cs="宋体"/>
                <w:b/>
                <w:bCs/>
                <w:i w:val="0"/>
                <w:iCs w:val="0"/>
                <w:color w:val="auto"/>
                <w:sz w:val="22"/>
                <w:szCs w:val="22"/>
                <w:highlight w:val="none"/>
                <w:u w:val="none"/>
              </w:rPr>
            </w:pPr>
          </w:p>
        </w:tc>
      </w:tr>
      <w:tr w14:paraId="277A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38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27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AIS数据实时获取与展示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F5A06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接入：对接AIS基站系统，实时获取渔船AIS数据（更新频率≤5秒/次），包含用户识别码（MMSI）、航行状态（如“在航”“锚泊”）、船位（经度、纬度，偏差≤10米）、航向、航速、时间标记，数据解析后存储至时序数据库（支持快速查询历史轨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-信息展示：在GIS地图上标注渔船位置，点击渔船图标弹出AIS信息面板，展示上述所有字段；支持按“航行状态”筛选渔船（如“仅显示‘在航’状态的渔船”），筛选结果实时更新地图标注。</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4BC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5B52">
            <w:pPr>
              <w:jc w:val="center"/>
              <w:rPr>
                <w:rFonts w:hint="eastAsia" w:ascii="宋体" w:hAnsi="宋体" w:eastAsia="宋体" w:cs="宋体"/>
                <w:b/>
                <w:bCs/>
                <w:i w:val="0"/>
                <w:iCs w:val="0"/>
                <w:color w:val="auto"/>
                <w:sz w:val="22"/>
                <w:szCs w:val="22"/>
                <w:highlight w:val="none"/>
                <w:u w:val="none"/>
              </w:rPr>
            </w:pPr>
          </w:p>
        </w:tc>
      </w:tr>
      <w:tr w14:paraId="79F92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D8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8F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多条件查询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C6FB1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-基础查询：通过船名（模糊查询）、AIS终端号（精确查询）、MMSI码（精确查询），快速定位目标渔船并展示其AIS信息，支持“一键居中”（地图自动定位至该渔船位置并放大）。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-高级查询：支持按航速范围（如“0-5节”“＞15节”）、航向范围（如“0-90°”）、时间范围（如“查询近1小时内AIS数据”）组合查询，查询结果支持导出为Excel（含每5秒一次的AIS数据快照）。</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6AA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3B94">
            <w:pPr>
              <w:jc w:val="center"/>
              <w:rPr>
                <w:rFonts w:hint="eastAsia" w:ascii="宋体" w:hAnsi="宋体" w:eastAsia="宋体" w:cs="宋体"/>
                <w:b/>
                <w:bCs/>
                <w:i w:val="0"/>
                <w:iCs w:val="0"/>
                <w:color w:val="auto"/>
                <w:sz w:val="22"/>
                <w:szCs w:val="22"/>
                <w:highlight w:val="none"/>
                <w:u w:val="none"/>
              </w:rPr>
            </w:pPr>
          </w:p>
        </w:tc>
      </w:tr>
      <w:tr w14:paraId="2FC97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F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E8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异常AIS数据预警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1D29B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-数据缺失预警：若某渔船AIS数据中断</w:t>
            </w:r>
            <w:r>
              <w:rPr>
                <w:rFonts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10分钟（排除“终端离线”已报备情况），系统触发预警，提示“渔船AIS数据异常缺失，可能存在终端故障或人为关闭”，预警信息同步推送至所属地区管理人员。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-数据异常预警：若AIS数据显示渔船航速骤升骤降（如“5秒内从5节升至20节”）、航向频繁变化（如“1分钟内航向变化超180°”），标记为“异常航行”并提醒管理人员关注。</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3CF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0728">
            <w:pPr>
              <w:jc w:val="center"/>
              <w:rPr>
                <w:rFonts w:hint="eastAsia" w:ascii="宋体" w:hAnsi="宋体" w:eastAsia="宋体" w:cs="宋体"/>
                <w:b/>
                <w:bCs/>
                <w:i w:val="0"/>
                <w:iCs w:val="0"/>
                <w:color w:val="auto"/>
                <w:sz w:val="22"/>
                <w:szCs w:val="22"/>
                <w:highlight w:val="none"/>
                <w:u w:val="none"/>
              </w:rPr>
            </w:pPr>
          </w:p>
        </w:tc>
      </w:tr>
      <w:tr w14:paraId="49C75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B0F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A5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辖区外渔船标识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8A138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通过AIS系统或船牌识别系统识别出渔船身份，发现该渔船属于辖区外渔船时，对该船只信息进行标识与记录，并对该渔船进行重点监管。辖区外渔船查询：系统后台定时对识别出的渔船的所属辖区进行检测，对属于辖区外渔船记录到数据库，在前端页面可进行查询。</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EF3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4E88">
            <w:pPr>
              <w:jc w:val="center"/>
              <w:rPr>
                <w:rFonts w:hint="eastAsia" w:ascii="宋体" w:hAnsi="宋体" w:eastAsia="宋体" w:cs="宋体"/>
                <w:b/>
                <w:bCs/>
                <w:i w:val="0"/>
                <w:iCs w:val="0"/>
                <w:color w:val="auto"/>
                <w:sz w:val="22"/>
                <w:szCs w:val="22"/>
                <w:highlight w:val="none"/>
                <w:u w:val="none"/>
              </w:rPr>
            </w:pPr>
          </w:p>
        </w:tc>
      </w:tr>
      <w:tr w14:paraId="1BE8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8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EC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自动识别与标识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E4A94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辖区判定：系统后台支持至少每30分钟对所有在港或辖区内航行的渔船进行辖区归属检测，通过渔船数据库中的“所属地区”字段（如“钦州市”“防城港市”“广东省湛江市”），判定是否为辖区外渔船（非北海/钦州/防城港籍）。</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地图标识：对辖区外渔船，在GIS地图上用“蓝色三角图标”（区别于辖区内渔船的“绿色圆形图标”）标记，图标旁显示所属地区（如“广东湛江”）；鼠标悬停时展示渔船基础信息（船名、船长、作业类型）及进入辖区时间。</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39C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C9B7">
            <w:pPr>
              <w:jc w:val="center"/>
              <w:rPr>
                <w:rFonts w:hint="eastAsia" w:ascii="宋体" w:hAnsi="宋体" w:eastAsia="宋体" w:cs="宋体"/>
                <w:b/>
                <w:bCs/>
                <w:i w:val="0"/>
                <w:iCs w:val="0"/>
                <w:color w:val="auto"/>
                <w:sz w:val="22"/>
                <w:szCs w:val="22"/>
                <w:highlight w:val="none"/>
                <w:u w:val="none"/>
              </w:rPr>
            </w:pPr>
          </w:p>
        </w:tc>
      </w:tr>
      <w:tr w14:paraId="63B0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5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A2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重点监管功能</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26FA8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-停留时间监控：记录辖区外渔船进入辖区的时间，若停留超24小时未报备，系统触发“外来渔船未报备预警”，预警信息包含渔船位置、停留时长、所属地区，支持一键推送至属地执法中队。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轨迹跟踪：对辖区外渔船，自动保存其在辖区内的航行轨迹（至少每10分钟记录一个航迹点），支持回放至少近7天轨迹（播放速度至少支持可调节倍速：0.5×/1×/2×），轨迹线条用蓝色标注，与辖区内渔船轨迹（黑色）区分。</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2B7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90C9">
            <w:pPr>
              <w:jc w:val="center"/>
              <w:rPr>
                <w:rFonts w:hint="eastAsia" w:ascii="宋体" w:hAnsi="宋体" w:eastAsia="宋体" w:cs="宋体"/>
                <w:b/>
                <w:bCs/>
                <w:i w:val="0"/>
                <w:iCs w:val="0"/>
                <w:color w:val="auto"/>
                <w:sz w:val="22"/>
                <w:szCs w:val="22"/>
                <w:highlight w:val="none"/>
                <w:u w:val="none"/>
              </w:rPr>
            </w:pPr>
          </w:p>
        </w:tc>
      </w:tr>
      <w:tr w14:paraId="58C2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15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D6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查询与统计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3E838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-实时查询：支持按“所属地区”（如“广东省”“海南省”）、“进入辖区时间”（如“近24小时”“近7天”）查询当前辖区内的外来渔船，查询结果展示渔船数量、详细列表及地图分布。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-统计报表：生成《辖区外渔船监管日报》，包含当日进入辖区数量、未报备数量、重点监管对象（如“停留超48小时未报备”），报表支持导出为PDF，自动推送至市级海洋局管理人员。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BCF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39FE">
            <w:pPr>
              <w:jc w:val="center"/>
              <w:rPr>
                <w:rFonts w:hint="eastAsia" w:ascii="宋体" w:hAnsi="宋体" w:eastAsia="宋体" w:cs="宋体"/>
                <w:b/>
                <w:bCs/>
                <w:i w:val="0"/>
                <w:iCs w:val="0"/>
                <w:color w:val="auto"/>
                <w:sz w:val="22"/>
                <w:szCs w:val="22"/>
                <w:highlight w:val="none"/>
                <w:u w:val="none"/>
              </w:rPr>
            </w:pPr>
          </w:p>
        </w:tc>
      </w:tr>
      <w:tr w14:paraId="19B5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7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D6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渔船安全监控</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7E82C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根据管理要求，渔船船检、国籍、捕捞等证书信息即将到期（时间可配置）、已过期情况进行预警提示，发送短信提醒渔民，在渔船进出港或办理证书、补助等时要实时提醒管理人员严格核查。</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599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65D0">
            <w:pPr>
              <w:jc w:val="center"/>
              <w:rPr>
                <w:rFonts w:hint="eastAsia" w:ascii="宋体" w:hAnsi="宋体" w:eastAsia="宋体" w:cs="宋体"/>
                <w:b/>
                <w:bCs/>
                <w:i w:val="0"/>
                <w:iCs w:val="0"/>
                <w:color w:val="auto"/>
                <w:sz w:val="22"/>
                <w:szCs w:val="22"/>
                <w:highlight w:val="none"/>
                <w:u w:val="none"/>
              </w:rPr>
            </w:pPr>
          </w:p>
        </w:tc>
      </w:tr>
      <w:tr w14:paraId="6693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3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C1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证书信息对接与预警配置</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3CE56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系统数据同步：对接渔船检验系统、国籍登记系统、捕捞许可系统，每日00:00自动同步渔船船检证书（有效期、检验机构）、国籍证书（有效期、发证机关）、捕捞许可证（有效期、作业类型）信息，同步失败时生成《数据同步异常报告》并推送至运维人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预警时间配置：支持按证书类型设置到期预警提前期（如“船检证书提前90天、捕捞许可证提前60天”），配置界面采用下拉选择+手动输入结合（如“提前[90]天”，可修改数字），配置记录自动留存（含配置人、时间、修改原因）。</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1D1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C8A4">
            <w:pPr>
              <w:jc w:val="center"/>
              <w:rPr>
                <w:rFonts w:hint="eastAsia" w:ascii="宋体" w:hAnsi="宋体" w:eastAsia="宋体" w:cs="宋体"/>
                <w:b/>
                <w:bCs/>
                <w:i w:val="0"/>
                <w:iCs w:val="0"/>
                <w:color w:val="auto"/>
                <w:sz w:val="22"/>
                <w:szCs w:val="22"/>
                <w:highlight w:val="none"/>
                <w:u w:val="none"/>
              </w:rPr>
            </w:pPr>
          </w:p>
        </w:tc>
      </w:tr>
      <w:tr w14:paraId="0DDEC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4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F2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多渠道预警提醒</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07C24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民提醒：证书到期前，系统自动发送短信至船舶所有人（模板：“【北海渔船管理】您的渔船（船名：XXX）船检证书将于X年X月X日到期，请及时到XX机构办理年检，咨询电话：XXX”），短信发送记录可查（含发送时间、状态：成功/失败），失败时自动重试2次以上。</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管理人员提醒：在渔船办理进出港报备、证书补换发、补助申请时，系统自动核查证书状态，若证书“即将到期”（如剩余不足30天）或“已过期”，弹出红色提醒窗口（如“该渔船捕捞许可证已过期，禁止办理补助申请”），窗口需管理人员点击“确认”后才能关闭，强制拦截违规业务办理。</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084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E723">
            <w:pPr>
              <w:jc w:val="center"/>
              <w:rPr>
                <w:rFonts w:hint="eastAsia" w:ascii="宋体" w:hAnsi="宋体" w:eastAsia="宋体" w:cs="宋体"/>
                <w:b/>
                <w:bCs/>
                <w:i w:val="0"/>
                <w:iCs w:val="0"/>
                <w:color w:val="auto"/>
                <w:sz w:val="22"/>
                <w:szCs w:val="22"/>
                <w:highlight w:val="none"/>
                <w:u w:val="none"/>
              </w:rPr>
            </w:pPr>
          </w:p>
        </w:tc>
      </w:tr>
      <w:tr w14:paraId="5782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5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29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证书状态查询与统计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16261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-单船查询：输入船名或渔船编码，可查看该渔船所有证书的有效期、预警状态（如“正常”“即将到期”“已过期”），支持点击“查看详情”调取证书扫描件（对接电子证照系统）。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批量统计：按“证书类型”“预警状态”“所属地区”统计渔船数量（如“北海市已过期捕捞许可证渔船32艘”），生成《渔船证书预警统计月报》，支持导出为Excel，报表包含渔船名单及联系方式，便于管理人员上门督促。</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047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3F53">
            <w:pPr>
              <w:jc w:val="center"/>
              <w:rPr>
                <w:rFonts w:hint="eastAsia" w:ascii="宋体" w:hAnsi="宋体" w:eastAsia="宋体" w:cs="宋体"/>
                <w:b/>
                <w:bCs/>
                <w:i w:val="0"/>
                <w:iCs w:val="0"/>
                <w:color w:val="auto"/>
                <w:sz w:val="22"/>
                <w:szCs w:val="22"/>
                <w:highlight w:val="none"/>
                <w:u w:val="none"/>
              </w:rPr>
            </w:pPr>
          </w:p>
        </w:tc>
      </w:tr>
      <w:tr w14:paraId="37DB1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05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40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特殊渔船显示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24BA9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在此看到特殊处理的渔船，包括被列为重点关注的船只和设置为报警免打扰的船只，并可进行移除操作。</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997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74A6">
            <w:pPr>
              <w:jc w:val="center"/>
              <w:rPr>
                <w:rFonts w:hint="eastAsia" w:ascii="宋体" w:hAnsi="宋体" w:eastAsia="宋体" w:cs="宋体"/>
                <w:b/>
                <w:bCs/>
                <w:i w:val="0"/>
                <w:iCs w:val="0"/>
                <w:color w:val="auto"/>
                <w:sz w:val="22"/>
                <w:szCs w:val="22"/>
                <w:highlight w:val="none"/>
                <w:u w:val="none"/>
              </w:rPr>
            </w:pPr>
          </w:p>
        </w:tc>
      </w:tr>
      <w:tr w14:paraId="5B57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69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87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重点关注渔船管理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42EA0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动标记：管理人员可在渔船列表或地图上，将渔船标记为“重点关注”（如“多次违规渔船”“老旧渔船”），标记时需选择关注原因（下拉选项：如“违规3次以上”“船龄超20年”），并设置关注期限（如“6个月”“长期”），关注信息实时同步至所有终端界面。</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-自动标记：系统对接执法模块数据，若渔船近1年内违法违规次数≥3次，自动标记为“重点关注”，标记原因显示“系统自动标记-违规次数超标”，管理人员可手动取消标记（需填写取消原因）。</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A44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9DDE">
            <w:pPr>
              <w:jc w:val="center"/>
              <w:rPr>
                <w:rFonts w:hint="eastAsia" w:ascii="宋体" w:hAnsi="宋体" w:eastAsia="宋体" w:cs="宋体"/>
                <w:b/>
                <w:bCs/>
                <w:i w:val="0"/>
                <w:iCs w:val="0"/>
                <w:color w:val="auto"/>
                <w:sz w:val="22"/>
                <w:szCs w:val="22"/>
                <w:highlight w:val="none"/>
                <w:u w:val="none"/>
              </w:rPr>
            </w:pPr>
          </w:p>
        </w:tc>
      </w:tr>
      <w:tr w14:paraId="350B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D9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9B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报警免打扰渔船管理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3109A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免打扰设置：对特殊用途渔船（如“渔政执法船”“海警巡逻船”），管理人员可设置“报警免打扰”，免打扰期间系统不推送该渔船的常规预警（如“航速轻微异常”），仅保留紧急预警（如“船舶侧翻告警”）；免打扰设置需填写理由（如“执法船正常巡逻”），并设置有效时间段（精确到小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-免打扰提醒：免打扰即将到期前24小时，系统提醒管理人员（APP推送+平台弹窗），避免遗漏取消；免打扰期间若需临时接收预警，支持“暂停免打扰”（如“暂停2小时接收所有预警”）。</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F3C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F466">
            <w:pPr>
              <w:jc w:val="center"/>
              <w:rPr>
                <w:rFonts w:hint="eastAsia" w:ascii="宋体" w:hAnsi="宋体" w:eastAsia="宋体" w:cs="宋体"/>
                <w:b/>
                <w:bCs/>
                <w:i w:val="0"/>
                <w:iCs w:val="0"/>
                <w:color w:val="auto"/>
                <w:sz w:val="22"/>
                <w:szCs w:val="22"/>
                <w:highlight w:val="none"/>
                <w:u w:val="none"/>
              </w:rPr>
            </w:pPr>
          </w:p>
        </w:tc>
      </w:tr>
      <w:tr w14:paraId="14D4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E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4F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特殊渔船展示与操作</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FA8CC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界面展示：在渔船列表中，重点关注渔船用“黄色星标”标记，报警免打扰渔船用“灰色静音图标”标记，鼠标悬停显示特殊状态详情（原因、期限）；地图上用对应图标标注，点击图标可快速查看或取消特殊状态。</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-移除操作：对重点关注到期或无需免打扰的渔船，管理人员可点击“移除特殊状态”，操作前需二次确认（如“确认取消该渔船的‘重点关注’状态？”），移除记录自动存档（含操作人、时间）。</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CD03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FB3A">
            <w:pPr>
              <w:jc w:val="center"/>
              <w:rPr>
                <w:rFonts w:hint="eastAsia" w:ascii="宋体" w:hAnsi="宋体" w:eastAsia="宋体" w:cs="宋体"/>
                <w:b/>
                <w:bCs/>
                <w:i w:val="0"/>
                <w:iCs w:val="0"/>
                <w:color w:val="auto"/>
                <w:sz w:val="22"/>
                <w:szCs w:val="22"/>
                <w:highlight w:val="none"/>
                <w:u w:val="none"/>
              </w:rPr>
            </w:pPr>
          </w:p>
        </w:tc>
      </w:tr>
      <w:tr w14:paraId="4B71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D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D1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渔船轨迹回放</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BFDF8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海图中拉框选择回放区域，在区域信息中可以对绘制的区域进行微调，选定时间段后进行区域内渔船历史航迹的查询和回放。航迹回放支持对一段历史时间内，多条渔船的多种类型终端进行海图航迹回放，回放时可控制播放的速度并支持快进和拖动，每一个航迹点支持通过标签的方式来显示船位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FEF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DC87">
            <w:pPr>
              <w:jc w:val="center"/>
              <w:rPr>
                <w:rFonts w:hint="eastAsia" w:ascii="宋体" w:hAnsi="宋体" w:eastAsia="宋体" w:cs="宋体"/>
                <w:b/>
                <w:bCs/>
                <w:i w:val="0"/>
                <w:iCs w:val="0"/>
                <w:color w:val="auto"/>
                <w:sz w:val="22"/>
                <w:szCs w:val="22"/>
                <w:highlight w:val="none"/>
                <w:u w:val="none"/>
              </w:rPr>
            </w:pPr>
          </w:p>
        </w:tc>
      </w:tr>
      <w:tr w14:paraId="1E9B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1E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B8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回放区域与时间设置</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BD3A7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区域选择：在GIS海图上支持三种区域选择方式：拉框选择（矩形区域）、圆形选择（拖动鼠标确定半径）、多边形选择（手动绘制不规则区域），选择后可微调边界（拖动顶点），区域范围实时显示面积（如“50平方公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-时间设置：支持选择时间段（精确到分钟，如“2024-10-0108:00-12:00”），时间跨度至少支持30天以上；提供“常用时间快捷选择”（如“近24小时”“近7天”），减少操作步骤。</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729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2ACB">
            <w:pPr>
              <w:jc w:val="center"/>
              <w:rPr>
                <w:rFonts w:hint="eastAsia" w:ascii="宋体" w:hAnsi="宋体" w:eastAsia="宋体" w:cs="宋体"/>
                <w:b/>
                <w:bCs/>
                <w:i w:val="0"/>
                <w:iCs w:val="0"/>
                <w:color w:val="auto"/>
                <w:sz w:val="22"/>
                <w:szCs w:val="22"/>
                <w:highlight w:val="none"/>
                <w:u w:val="none"/>
              </w:rPr>
            </w:pPr>
          </w:p>
        </w:tc>
      </w:tr>
      <w:tr w14:paraId="651E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E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09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多终端轨迹回放</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BA644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加载：系统自动加载选定区域、时间段内所有渔船的轨迹数据（含北斗、AIS终端数据），按终端类型用不同颜色区分（北斗-蓝色，AIS-红色），轨迹点密度可配置（如“每10秒一个点”“每1分钟一个点”），加载时间≤10秒（100条渔船以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回放控制：支持播放（默认1×速度）、暂停、快进（至少支持：2×/5×/10×/200×最大速度）、拖动时间轴定位（如“拖动至09:30查看该时刻轨迹”）；回放时点击轨迹点，弹出标签显示该点的船位信息（经纬度、时间、速度、航向），支持“轨迹截图”（保存当前回放画面为PNG格式）。</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73B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A740">
            <w:pPr>
              <w:jc w:val="center"/>
              <w:rPr>
                <w:rFonts w:hint="eastAsia" w:ascii="宋体" w:hAnsi="宋体" w:eastAsia="宋体" w:cs="宋体"/>
                <w:b/>
                <w:bCs/>
                <w:i w:val="0"/>
                <w:iCs w:val="0"/>
                <w:color w:val="auto"/>
                <w:sz w:val="22"/>
                <w:szCs w:val="22"/>
                <w:highlight w:val="none"/>
                <w:u w:val="none"/>
              </w:rPr>
            </w:pPr>
          </w:p>
        </w:tc>
      </w:tr>
      <w:tr w14:paraId="2FCF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ED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AD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回放数据导出与分析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E3E1C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导出：支持导出单条或多条渔船的轨迹数据（格式：KML/GPX，可导入谷歌地球等工具），导出文件包含每一个轨迹点的详细信息；支持导出回放视频（MP4格式，分辨率至少支持可选720P/1080P），视频自动添加时间水印和区域标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-轨迹分析：系统自动分析回放轨迹，识别异常行为（如“轨迹突然中断”“绕圈航行”），分析结果在回放结束后生成《轨迹分析报告》，标注异常时间段及可能原因（如“轨迹中断-可能终端离线”）。</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BE0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AD26">
            <w:pPr>
              <w:jc w:val="center"/>
              <w:rPr>
                <w:rFonts w:hint="eastAsia" w:ascii="宋体" w:hAnsi="宋体" w:eastAsia="宋体" w:cs="宋体"/>
                <w:b/>
                <w:bCs/>
                <w:i w:val="0"/>
                <w:iCs w:val="0"/>
                <w:color w:val="auto"/>
                <w:sz w:val="22"/>
                <w:szCs w:val="22"/>
                <w:highlight w:val="none"/>
                <w:u w:val="none"/>
              </w:rPr>
            </w:pPr>
          </w:p>
        </w:tc>
      </w:tr>
      <w:tr w14:paraId="32A2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45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2A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渔船状态智能预警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EC80E5F">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B44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E110">
            <w:pPr>
              <w:jc w:val="center"/>
              <w:rPr>
                <w:rFonts w:hint="eastAsia" w:ascii="宋体" w:hAnsi="宋体" w:eastAsia="宋体" w:cs="宋体"/>
                <w:b/>
                <w:bCs/>
                <w:i w:val="0"/>
                <w:iCs w:val="0"/>
                <w:color w:val="auto"/>
                <w:sz w:val="22"/>
                <w:szCs w:val="22"/>
                <w:highlight w:val="none"/>
                <w:u w:val="none"/>
              </w:rPr>
            </w:pPr>
          </w:p>
        </w:tc>
      </w:tr>
      <w:tr w14:paraId="53EA8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66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B8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航速分析预警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2094B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系统基于雷达、船载定位终端，对航速异常目标渔船、快艇等，智能识别预警系统会立即发出预警信息，通知执法人员事件处理。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通过雷达、AIS、北斗信息，将重点关注区域内低速、超速航行的船舶列入监视列表，使用运动跟踪模型对船舶轨迹进行预测跟踪，结合船舶实时轨迹数据，判断是否存在两艘船保持一定间距并行行驶的现象（轨迹特征高度相似），且持续一段时间，若符合以上特征，则生成船舶低速并靠预警。</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7C0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3DC8">
            <w:pPr>
              <w:jc w:val="center"/>
              <w:rPr>
                <w:rFonts w:hint="eastAsia" w:ascii="宋体" w:hAnsi="宋体" w:eastAsia="宋体" w:cs="宋体"/>
                <w:b/>
                <w:bCs/>
                <w:i w:val="0"/>
                <w:iCs w:val="0"/>
                <w:color w:val="auto"/>
                <w:sz w:val="22"/>
                <w:szCs w:val="22"/>
                <w:highlight w:val="none"/>
                <w:u w:val="none"/>
              </w:rPr>
            </w:pPr>
          </w:p>
        </w:tc>
      </w:tr>
      <w:tr w14:paraId="296D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E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07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多源数据融合与异常判定</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0959D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接入：实时对接雷达监测站（船只速度、距离）、渔船北斗/AIS终端（航速、航向），数据同步频率≤5秒/次，融合后生成“船只综合速度数据集”，剔除异常值（如“雷达与北斗速度偏差超5节，标记为‘数据异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-异常航速预警：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-超速/低速预警：按渔船类型设置航速阈值（如“小型渔船超速阈值15节，低速阈值2节”），当船只航速超出阈值且持续1分钟，触发预警，预警信息包含船只信息、当前速度、阈值范围。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低速并靠预警：通过运动跟踪模型分析船舶轨迹，（举例：两艘船保持500米以内间距并行行驶超30分钟，且轨迹特征高度相似（如“航向偏差≤10°，速度偏差≤2节”）），即可判定为“疑似并靠”，触发预警，预警画面自动标记两艘船的位置及行驶方向。</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A334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309A">
            <w:pPr>
              <w:jc w:val="center"/>
              <w:rPr>
                <w:rFonts w:hint="eastAsia" w:ascii="宋体" w:hAnsi="宋体" w:eastAsia="宋体" w:cs="宋体"/>
                <w:b/>
                <w:bCs/>
                <w:i w:val="0"/>
                <w:iCs w:val="0"/>
                <w:color w:val="auto"/>
                <w:sz w:val="22"/>
                <w:szCs w:val="22"/>
                <w:highlight w:val="none"/>
                <w:u w:val="none"/>
              </w:rPr>
            </w:pPr>
          </w:p>
        </w:tc>
      </w:tr>
      <w:tr w14:paraId="5457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60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05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预警推送与处置</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77FB2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-实时推送：预警触发后，支持至少10秒推送至辖区执法人员（APP弹窗+短信），短信包含预警类型、船只位置（经纬度）、预计到达时间（系统计算执法船至目标船只的时间）。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-处置跟踪：执法人员接收预警后，可在系统内反馈处置进度（如“已派船前往核查”“确认无异常”），处置结果实时同步至预警列表，未处置预警支持至少每30分钟提醒一次，超时2小时上报上级管理人员。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2DD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517B">
            <w:pPr>
              <w:jc w:val="center"/>
              <w:rPr>
                <w:rFonts w:hint="eastAsia" w:ascii="宋体" w:hAnsi="宋体" w:eastAsia="宋体" w:cs="宋体"/>
                <w:b/>
                <w:bCs/>
                <w:i w:val="0"/>
                <w:iCs w:val="0"/>
                <w:color w:val="auto"/>
                <w:sz w:val="22"/>
                <w:szCs w:val="22"/>
                <w:highlight w:val="none"/>
                <w:u w:val="none"/>
              </w:rPr>
            </w:pPr>
          </w:p>
        </w:tc>
      </w:tr>
      <w:tr w14:paraId="51BE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F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45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电子围栏预警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57ACD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实现发布禁航通知时，系统按照禁航时间，在禁航区域划定电子围栏。当发现渔船在禁航区航行时，智能预警系统会立即发出预警信息。向渔船发出警告，责令其离开禁航区。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标识底拖网禁拖线、乡镇船舶作业海域范围等电子围栏，拖网船舶进入禁拖线以内时及时提醒其不得捕捞作业，乡镇船舶超出作业海域范围时及时提醒其返航。</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BA3E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46612">
            <w:pPr>
              <w:jc w:val="center"/>
              <w:rPr>
                <w:rFonts w:hint="eastAsia" w:ascii="宋体" w:hAnsi="宋体" w:eastAsia="宋体" w:cs="宋体"/>
                <w:b/>
                <w:bCs/>
                <w:i w:val="0"/>
                <w:iCs w:val="0"/>
                <w:color w:val="auto"/>
                <w:sz w:val="22"/>
                <w:szCs w:val="22"/>
                <w:highlight w:val="none"/>
                <w:u w:val="none"/>
              </w:rPr>
            </w:pPr>
          </w:p>
        </w:tc>
      </w:tr>
      <w:tr w14:paraId="3CFD8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6B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AD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多类型电子围栏绘制与配置</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23F3C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-围栏绘制：支持绘制三种电子围栏：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-禁航区围栏：用于发布临时禁航通知（如“军事演习禁航”），绘制时需设置禁航时间（精确到分钟）、禁航原因，围栏在禁航时间内自动显示，过期后隐藏。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-禁拖线围栏：标识底拖网禁拖线（固定地理边界），围栏线用红色虚线标注，鼠标悬停显示“底拖网禁拖线-禁止拖网渔船进入”。</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-作业海域围栏：按乡镇船舶作业范围绘制（如“北海市银海区乡镇船舶作业海域”），围栏内用绿色填充，外侧用黄色警示线标注。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-围栏管理：支持围栏修改（拖动边界调整范围）、删除（需二次确认）、启用/禁用（如“临时关闭某禁拖线围栏”），所有操作记录留存至日志。</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BB8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B9EF">
            <w:pPr>
              <w:jc w:val="center"/>
              <w:rPr>
                <w:rFonts w:hint="eastAsia" w:ascii="宋体" w:hAnsi="宋体" w:eastAsia="宋体" w:cs="宋体"/>
                <w:b/>
                <w:bCs/>
                <w:i w:val="0"/>
                <w:iCs w:val="0"/>
                <w:color w:val="auto"/>
                <w:sz w:val="22"/>
                <w:szCs w:val="22"/>
                <w:highlight w:val="none"/>
                <w:u w:val="none"/>
              </w:rPr>
            </w:pPr>
          </w:p>
        </w:tc>
      </w:tr>
      <w:tr w14:paraId="32B17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EF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99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越围栏预警与处置</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B39FA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-实时监测：系统支持至少每5秒核查渔船位置与围栏的关系，若渔船进入禁航区、拖网渔船进入禁拖线、乡镇船舶超出作业海域，立即触发预警，预警信息包含渔船信息、围栏类型、越界时间。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-渔船提醒：通过北斗短报文（对无手机信号渔船）或短信（对有信号渔船），向渔船发送警告信息（如“您的渔船已进入禁航区，请立即驶离，否则将按规定处理”），提醒内容自动适配围栏类型。</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F91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AAEA">
            <w:pPr>
              <w:jc w:val="center"/>
              <w:rPr>
                <w:rFonts w:hint="eastAsia" w:ascii="宋体" w:hAnsi="宋体" w:eastAsia="宋体" w:cs="宋体"/>
                <w:b/>
                <w:bCs/>
                <w:i w:val="0"/>
                <w:iCs w:val="0"/>
                <w:color w:val="auto"/>
                <w:sz w:val="22"/>
                <w:szCs w:val="22"/>
                <w:highlight w:val="none"/>
                <w:u w:val="none"/>
              </w:rPr>
            </w:pPr>
          </w:p>
        </w:tc>
      </w:tr>
      <w:tr w14:paraId="2A9D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2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C9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越界预警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A7D58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通过集成AIS和北斗实时定位数据，对渔船进行定时监测。基于GIS电子围栏等技术，当渔船越界时，系统自动标识船只、记录渔船违规信息。当违规渔船回港时，系统发出预警，并提示执法部门人员采取相应的处罚措施。</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F2F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DBF5">
            <w:pPr>
              <w:jc w:val="center"/>
              <w:rPr>
                <w:rFonts w:hint="eastAsia" w:ascii="宋体" w:hAnsi="宋体" w:eastAsia="宋体" w:cs="宋体"/>
                <w:b/>
                <w:bCs/>
                <w:i w:val="0"/>
                <w:iCs w:val="0"/>
                <w:color w:val="auto"/>
                <w:sz w:val="22"/>
                <w:szCs w:val="22"/>
                <w:highlight w:val="none"/>
                <w:u w:val="none"/>
              </w:rPr>
            </w:pPr>
          </w:p>
        </w:tc>
      </w:tr>
      <w:tr w14:paraId="100C6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D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BB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越界监测与违规记录</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0C870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-实时监测：集成AIS和北斗定位数据（更新频率≤10秒/次），基于预设的行政区域或功能区域围栏（如“北海市管辖海域”“中越北部湾分界线我方一侧”），实时判断渔船是否越界，越界判定偏差≤100米。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-违规记录：渔船越界后，系统自动记录违规信息（越界时间、越界区域、渔船位置轨迹截图），违规记录标记为“待处理”，同步关联渔船基础信息（船主、所属地区）。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059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957F">
            <w:pPr>
              <w:jc w:val="center"/>
              <w:rPr>
                <w:rFonts w:hint="eastAsia" w:ascii="宋体" w:hAnsi="宋体" w:eastAsia="宋体" w:cs="宋体"/>
                <w:b/>
                <w:bCs/>
                <w:i w:val="0"/>
                <w:iCs w:val="0"/>
                <w:color w:val="auto"/>
                <w:sz w:val="22"/>
                <w:szCs w:val="22"/>
                <w:highlight w:val="none"/>
                <w:u w:val="none"/>
              </w:rPr>
            </w:pPr>
          </w:p>
        </w:tc>
      </w:tr>
      <w:tr w14:paraId="796F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A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89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回港预警与处罚提示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22FAA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-回港触发：当违规渔船返回辖区港口时，系统触发“违规渔船回港预警”，预警信息包含渔船预计回港时间、违规记录链接，推送至属地执法中队。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处罚提示：执法人员在系统内可查看违规详情，系统根据违规类型（如“越界进入外籍海域”“越界进入禁渔区”）推荐处罚建议（如“罚款3000元”“暂扣捕捞许可证”），支持执法人员填写实际处罚结果并上传处罚决定书。</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8A4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B419">
            <w:pPr>
              <w:jc w:val="center"/>
              <w:rPr>
                <w:rFonts w:hint="eastAsia" w:ascii="宋体" w:hAnsi="宋体" w:eastAsia="宋体" w:cs="宋体"/>
                <w:b/>
                <w:bCs/>
                <w:i w:val="0"/>
                <w:iCs w:val="0"/>
                <w:color w:val="auto"/>
                <w:sz w:val="22"/>
                <w:szCs w:val="22"/>
                <w:highlight w:val="none"/>
                <w:u w:val="none"/>
              </w:rPr>
            </w:pPr>
          </w:p>
        </w:tc>
      </w:tr>
      <w:tr w14:paraId="4D12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F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73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休渔期出海告警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05B5D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系统通过集成AIS和北斗实时定位数据，并进行定时监测，当发现休渔期AIS或北斗在海区突然出现信号时，首先根据渔船信息判定是否是钓具作业船只，如果是则为合法作业，如果不是系统将自动进行报警提醒。</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1B1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743C">
            <w:pPr>
              <w:jc w:val="center"/>
              <w:rPr>
                <w:rFonts w:hint="eastAsia" w:ascii="宋体" w:hAnsi="宋体" w:eastAsia="宋体" w:cs="宋体"/>
                <w:b/>
                <w:bCs/>
                <w:i w:val="0"/>
                <w:iCs w:val="0"/>
                <w:color w:val="auto"/>
                <w:sz w:val="22"/>
                <w:szCs w:val="22"/>
                <w:highlight w:val="none"/>
                <w:u w:val="none"/>
              </w:rPr>
            </w:pPr>
          </w:p>
        </w:tc>
      </w:tr>
      <w:tr w14:paraId="75B1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02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4E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休渔期设置与渔船判定</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59887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-休渔期配置：支持设置年度休渔期（如“2024年5月1日-8月16日”），并区分作业类型设置豁免规则（如“钓具作业渔船可正常出海”“养殖船仅允许在养殖区作业”），配置界面需市级管理员审批后生效。</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-渔船类型判定：系统对接渔政数据库，根据渔船“作业类型”字段，自动判定是否为豁免渔船（如“作业类型为‘钓具’则豁免”），豁免渔船在休渔期出海不触发告警；非豁免渔船标记为“休渔期禁出海”。</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A1A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6478">
            <w:pPr>
              <w:jc w:val="center"/>
              <w:rPr>
                <w:rFonts w:hint="eastAsia" w:ascii="宋体" w:hAnsi="宋体" w:eastAsia="宋体" w:cs="宋体"/>
                <w:b/>
                <w:bCs/>
                <w:i w:val="0"/>
                <w:iCs w:val="0"/>
                <w:color w:val="auto"/>
                <w:sz w:val="22"/>
                <w:szCs w:val="22"/>
                <w:highlight w:val="none"/>
                <w:u w:val="none"/>
              </w:rPr>
            </w:pPr>
          </w:p>
        </w:tc>
      </w:tr>
      <w:tr w14:paraId="39F6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11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E7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出海告警与处置</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D5247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-实时告警：休渔期内，若监测到非豁免渔船的AIS或北斗信号在海区出现（排除“紧急避险”报备情况），系统立即触发告警，告警信息包含渔船位置、出海时间、是否为首次违规。</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告警处置：告警推送至辖区执法人员，支持“一键派单”（生成执法任务工单），工单包含渔船轨迹（近1小时）、预计回港时间，执法人员处置后反馈结果（如“已拦截渔船，责令回港”），处置结果同步至渔政执法档案。</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E22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AA23">
            <w:pPr>
              <w:jc w:val="center"/>
              <w:rPr>
                <w:rFonts w:hint="eastAsia" w:ascii="宋体" w:hAnsi="宋体" w:eastAsia="宋体" w:cs="宋体"/>
                <w:b/>
                <w:bCs/>
                <w:i w:val="0"/>
                <w:iCs w:val="0"/>
                <w:color w:val="auto"/>
                <w:sz w:val="22"/>
                <w:szCs w:val="22"/>
                <w:highlight w:val="none"/>
                <w:u w:val="none"/>
              </w:rPr>
            </w:pPr>
          </w:p>
        </w:tc>
      </w:tr>
      <w:tr w14:paraId="4E697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FB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52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渔船信用管理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DC4EF83">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5DD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1268">
            <w:pPr>
              <w:jc w:val="center"/>
              <w:rPr>
                <w:rFonts w:hint="eastAsia" w:ascii="宋体" w:hAnsi="宋体" w:eastAsia="宋体" w:cs="宋体"/>
                <w:b/>
                <w:bCs/>
                <w:i w:val="0"/>
                <w:iCs w:val="0"/>
                <w:color w:val="auto"/>
                <w:sz w:val="22"/>
                <w:szCs w:val="22"/>
                <w:highlight w:val="none"/>
                <w:u w:val="none"/>
              </w:rPr>
            </w:pPr>
          </w:p>
        </w:tc>
      </w:tr>
      <w:tr w14:paraId="3B38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27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5B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渔船黑名单</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3E56B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存在不良安全记录和安全隐患的船舶实行“黑名单”管理，管理人员可将船舶拉入黑名单，并记录拉入黑名单的原因，同时为了灵活关联可设置黑名单自动解除时间，记录到黑名单的船舶在展示系统上显示特殊符号提醒。对曾有违法违规记录的渔船，也可显示其违法违规相关记录。</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082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8624">
            <w:pPr>
              <w:jc w:val="center"/>
              <w:rPr>
                <w:rFonts w:hint="eastAsia" w:ascii="宋体" w:hAnsi="宋体" w:eastAsia="宋体" w:cs="宋体"/>
                <w:b/>
                <w:bCs/>
                <w:i w:val="0"/>
                <w:iCs w:val="0"/>
                <w:color w:val="auto"/>
                <w:sz w:val="22"/>
                <w:szCs w:val="22"/>
                <w:highlight w:val="none"/>
                <w:u w:val="none"/>
              </w:rPr>
            </w:pPr>
          </w:p>
        </w:tc>
      </w:tr>
      <w:tr w14:paraId="755C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D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13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黑名单标记与管理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F63F7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动拉入：管理人员可在渔船列表中，将存在不良记录（如“多次违规拒不整改”“安全隐患未消除”）的渔船拉入黑名单，拉入时需填写原因（如“2024年违规捕捞3次，未缴纳罚款”），并设置自动解除时间（如“6个月后自动解除”“长期-需手动解除”），黑名单操作需双人审批（提交人+审核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自动拉入：系统对接执法模块，若渔船近1年内被行政处罚≥2次且未履行处罚（如“未缴纳罚款”），自动拉入黑名单，拉入原因显示“系统自动标记-未履行处罚”，管理人员可手动提前解除（需提供处罚履行证明）。</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0B2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E5A2">
            <w:pPr>
              <w:jc w:val="center"/>
              <w:rPr>
                <w:rFonts w:hint="eastAsia" w:ascii="宋体" w:hAnsi="宋体" w:eastAsia="宋体" w:cs="宋体"/>
                <w:b/>
                <w:bCs/>
                <w:i w:val="0"/>
                <w:iCs w:val="0"/>
                <w:color w:val="auto"/>
                <w:sz w:val="22"/>
                <w:szCs w:val="22"/>
                <w:highlight w:val="none"/>
                <w:u w:val="none"/>
              </w:rPr>
            </w:pPr>
          </w:p>
        </w:tc>
      </w:tr>
      <w:tr w14:paraId="1FFD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A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DC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黑名单展示与限制</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E8B8C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-界面展示：在渔船列表和地图上，黑名单渔船用“红色黑名单图标”标记，鼠标悬停显示拉入原因、解除时间；点击渔船记录，可查看历史违法违规记录（如“2024年3月非法捕捞罚款5000元未缴纳”）。</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-业务限制：黑名单期间，渔船无法办理进出港报备、捕捞许可证补换发、渔业补助申请。</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964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329E">
            <w:pPr>
              <w:jc w:val="center"/>
              <w:rPr>
                <w:rFonts w:hint="eastAsia" w:ascii="宋体" w:hAnsi="宋体" w:eastAsia="宋体" w:cs="宋体"/>
                <w:b/>
                <w:bCs/>
                <w:i w:val="0"/>
                <w:iCs w:val="0"/>
                <w:color w:val="auto"/>
                <w:sz w:val="22"/>
                <w:szCs w:val="22"/>
                <w:highlight w:val="none"/>
                <w:u w:val="none"/>
              </w:rPr>
            </w:pPr>
          </w:p>
        </w:tc>
      </w:tr>
      <w:tr w14:paraId="18D2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2B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FB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船员信用管理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9A1AD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以船员为主体，按照信用评价规则，对船员违法违规情况扣除相应的分值，可实时查询船员的扣分记录和实时分值及等级。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通过指标体系来对渔船的综合状况进行评价，最终得出渔船的信用指数。依托现有业务评价制度，如从渔船的船龄、设备配备、作业情况等多种角度多种因素设定评价指标，包括权重、计量方法等，最后根据预测实际情况进行加权计算，计算的结果进行分等级分类划分，用以反映渔船的综合信用状况。通过对渔船的信用指数进行量化评价。根据管理要求，通过阈值设置，对达到一定分值的渔船进行信用预警提示，在渔船进出港或办理证书、补助等时要实时提醒管理人员严格核查。</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C6E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2C6E">
            <w:pPr>
              <w:jc w:val="center"/>
              <w:rPr>
                <w:rFonts w:hint="eastAsia" w:ascii="宋体" w:hAnsi="宋体" w:eastAsia="宋体" w:cs="宋体"/>
                <w:b/>
                <w:bCs/>
                <w:i w:val="0"/>
                <w:iCs w:val="0"/>
                <w:color w:val="auto"/>
                <w:sz w:val="22"/>
                <w:szCs w:val="22"/>
                <w:highlight w:val="none"/>
                <w:u w:val="none"/>
              </w:rPr>
            </w:pPr>
          </w:p>
        </w:tc>
      </w:tr>
      <w:tr w14:paraId="214A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58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D9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数据对接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B0AE0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★对接区级系统，自动同步船员基础信息（姓名、身份证号、船员证书编号、服务船舶、从业年限），同步频率为每日1次；</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7D2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022C">
            <w:pPr>
              <w:jc w:val="center"/>
              <w:rPr>
                <w:rFonts w:hint="eastAsia" w:ascii="宋体" w:hAnsi="宋体" w:eastAsia="宋体" w:cs="宋体"/>
                <w:b/>
                <w:bCs/>
                <w:i w:val="0"/>
                <w:iCs w:val="0"/>
                <w:color w:val="auto"/>
                <w:sz w:val="22"/>
                <w:szCs w:val="22"/>
                <w:highlight w:val="none"/>
                <w:u w:val="none"/>
              </w:rPr>
            </w:pPr>
          </w:p>
        </w:tc>
      </w:tr>
      <w:tr w14:paraId="28D4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B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11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信息关联</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9A98A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建立船员与服务渔船的关联关系，支持单名船员关联多艘渔船（如“兼职船员服务2艘渔船”），关联信息变更时（如“船员换船服务”）需填写变更原因并留存操作日志（含操作人、时间、变更前后内容）。</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A62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E759">
            <w:pPr>
              <w:jc w:val="center"/>
              <w:rPr>
                <w:rFonts w:hint="eastAsia" w:ascii="宋体" w:hAnsi="宋体" w:eastAsia="宋体" w:cs="宋体"/>
                <w:b/>
                <w:bCs/>
                <w:i w:val="0"/>
                <w:iCs w:val="0"/>
                <w:color w:val="auto"/>
                <w:sz w:val="22"/>
                <w:szCs w:val="22"/>
                <w:highlight w:val="none"/>
                <w:u w:val="none"/>
              </w:rPr>
            </w:pPr>
          </w:p>
        </w:tc>
      </w:tr>
      <w:tr w14:paraId="28B4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7E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28B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船员信用评价规则配置</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496C7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规则设置：支持按违法违规类型设定扣分标准（下拉选择违法类型：如“无证上岗扣5分”“违规操作导致事故扣10分”“未参加年度培训扣3分”），每个扣分项目可配置“扣分上限”（如“同一违规类型年度累计最高扣15分”）和“扣分有效期”（如“扣分记录保留2年，期满自动清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信用等级划分：按船员实时分值划定等级（如“100-90分：优秀；89-70分：良好；69-60分：合格；＜60分：失信”），等级划分标准可修改，修改后系统自动重新计算所有船员等级并更新展示。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A10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BB5F">
            <w:pPr>
              <w:jc w:val="center"/>
              <w:rPr>
                <w:rFonts w:hint="eastAsia" w:ascii="宋体" w:hAnsi="宋体" w:eastAsia="宋体" w:cs="宋体"/>
                <w:b/>
                <w:bCs/>
                <w:i w:val="0"/>
                <w:iCs w:val="0"/>
                <w:color w:val="auto"/>
                <w:sz w:val="22"/>
                <w:szCs w:val="22"/>
                <w:highlight w:val="none"/>
                <w:u w:val="none"/>
              </w:rPr>
            </w:pPr>
          </w:p>
        </w:tc>
      </w:tr>
      <w:tr w14:paraId="1BAD7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A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DB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渔船信用指数计算与预警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4C8A1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动计算：系统每月自动计算所有渔船信用指数（如：按指标权重加权求和，总分100分），计算过程透明可查（展示各指标得分及计算依据），信用指数同步至渔船信息模块，在渔船列表中用星级展示（如：80-100分：5星；60-79分：4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信用预警：可设置信用指数预警阈值（如“≤60分触发预警”），预警渔船在办理进出港报备、证书补换发、补助申请时，系统弹出红色提醒窗口（如“该渔船信用指数58分，需严格核查船员资质及作业记录”），窗口需管理人员点击“确认核查”后才能关闭，同时推送预警信息至属地执法中队。</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954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FAE6">
            <w:pPr>
              <w:jc w:val="center"/>
              <w:rPr>
                <w:rFonts w:hint="eastAsia" w:ascii="宋体" w:hAnsi="宋体" w:eastAsia="宋体" w:cs="宋体"/>
                <w:b/>
                <w:bCs/>
                <w:i w:val="0"/>
                <w:iCs w:val="0"/>
                <w:color w:val="auto"/>
                <w:sz w:val="22"/>
                <w:szCs w:val="22"/>
                <w:highlight w:val="none"/>
                <w:u w:val="none"/>
              </w:rPr>
            </w:pPr>
          </w:p>
        </w:tc>
      </w:tr>
      <w:tr w14:paraId="3029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9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FD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哨所管理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C6E4F1B">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019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5D53">
            <w:pPr>
              <w:jc w:val="center"/>
              <w:rPr>
                <w:rFonts w:hint="eastAsia" w:ascii="宋体" w:hAnsi="宋体" w:eastAsia="宋体" w:cs="宋体"/>
                <w:b/>
                <w:bCs/>
                <w:i w:val="0"/>
                <w:iCs w:val="0"/>
                <w:color w:val="auto"/>
                <w:sz w:val="22"/>
                <w:szCs w:val="22"/>
                <w:highlight w:val="none"/>
                <w:u w:val="none"/>
              </w:rPr>
            </w:pPr>
          </w:p>
        </w:tc>
      </w:tr>
      <w:tr w14:paraId="707A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B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26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哨所管理查询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ECF63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★对辖区内哨所基础信息、人员配置及运行状态进行统一管理，支持哨所信息维护、人员值班管理与状态展示，为执法调度与指挥决策提供基础支撑。</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1F4F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F8FE">
            <w:pPr>
              <w:jc w:val="center"/>
              <w:rPr>
                <w:rFonts w:hint="eastAsia" w:ascii="宋体" w:hAnsi="宋体" w:eastAsia="宋体" w:cs="宋体"/>
                <w:b/>
                <w:bCs/>
                <w:i w:val="0"/>
                <w:iCs w:val="0"/>
                <w:color w:val="auto"/>
                <w:sz w:val="22"/>
                <w:szCs w:val="22"/>
                <w:highlight w:val="none"/>
                <w:u w:val="none"/>
              </w:rPr>
            </w:pPr>
          </w:p>
        </w:tc>
      </w:tr>
      <w:tr w14:paraId="2974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4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28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考勤管理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EDE6A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 PC 端对执法人员考勤数据进行统一管理与统计分析，支持考勤记录查看、异常处理与数据汇总，为人员管理与绩效考核提供数据支撑。</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D22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775E">
            <w:pPr>
              <w:jc w:val="center"/>
              <w:rPr>
                <w:rFonts w:hint="eastAsia" w:ascii="宋体" w:hAnsi="宋体" w:eastAsia="宋体" w:cs="宋体"/>
                <w:b/>
                <w:bCs/>
                <w:i w:val="0"/>
                <w:iCs w:val="0"/>
                <w:color w:val="auto"/>
                <w:sz w:val="22"/>
                <w:szCs w:val="22"/>
                <w:highlight w:val="none"/>
                <w:u w:val="none"/>
              </w:rPr>
            </w:pPr>
          </w:p>
        </w:tc>
      </w:tr>
      <w:tr w14:paraId="3666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F3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E3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乡镇船舶进出港</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EB851EF">
            <w:pPr>
              <w:jc w:val="left"/>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1EE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6145">
            <w:pPr>
              <w:jc w:val="center"/>
              <w:rPr>
                <w:rFonts w:hint="eastAsia" w:ascii="宋体" w:hAnsi="宋体" w:eastAsia="宋体" w:cs="宋体"/>
                <w:b/>
                <w:bCs/>
                <w:i w:val="0"/>
                <w:iCs w:val="0"/>
                <w:color w:val="auto"/>
                <w:sz w:val="22"/>
                <w:szCs w:val="22"/>
                <w:highlight w:val="none"/>
                <w:u w:val="none"/>
              </w:rPr>
            </w:pPr>
          </w:p>
        </w:tc>
      </w:tr>
      <w:tr w14:paraId="1650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6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EE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乡镇船舶进出港管理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26657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 PC 端对乡镇辖区内船舶进出港信息进行统一管理与监管，支持进出港记录维护、状态监控及数据统计，提升船舶动态管理与执法监管能力。</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175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3EE7">
            <w:pPr>
              <w:jc w:val="center"/>
              <w:rPr>
                <w:rFonts w:hint="eastAsia" w:ascii="宋体" w:hAnsi="宋体" w:eastAsia="宋体" w:cs="宋体"/>
                <w:b/>
                <w:bCs/>
                <w:i w:val="0"/>
                <w:iCs w:val="0"/>
                <w:color w:val="auto"/>
                <w:sz w:val="22"/>
                <w:szCs w:val="22"/>
                <w:highlight w:val="none"/>
                <w:u w:val="none"/>
              </w:rPr>
            </w:pPr>
          </w:p>
        </w:tc>
      </w:tr>
      <w:tr w14:paraId="7851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53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58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乡镇船舶</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24F3FEA">
            <w:pPr>
              <w:jc w:val="left"/>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28E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BE04">
            <w:pPr>
              <w:jc w:val="center"/>
              <w:rPr>
                <w:rFonts w:hint="eastAsia" w:ascii="宋体" w:hAnsi="宋体" w:eastAsia="宋体" w:cs="宋体"/>
                <w:b/>
                <w:bCs/>
                <w:i w:val="0"/>
                <w:iCs w:val="0"/>
                <w:color w:val="auto"/>
                <w:sz w:val="22"/>
                <w:szCs w:val="22"/>
                <w:highlight w:val="none"/>
                <w:u w:val="none"/>
              </w:rPr>
            </w:pPr>
          </w:p>
        </w:tc>
      </w:tr>
      <w:tr w14:paraId="0BAD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F5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28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乡镇船舶</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BAAD3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 PC 端对乡镇辖区内船舶基础信息、证照情况及动态数据进行统一管理与查询，实现船舶数据集中化、规范化管理，为日常监管与执法提供支撑。</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328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1000">
            <w:pPr>
              <w:jc w:val="center"/>
              <w:rPr>
                <w:rFonts w:hint="eastAsia" w:ascii="宋体" w:hAnsi="宋体" w:eastAsia="宋体" w:cs="宋体"/>
                <w:b/>
                <w:bCs/>
                <w:i w:val="0"/>
                <w:iCs w:val="0"/>
                <w:color w:val="auto"/>
                <w:sz w:val="22"/>
                <w:szCs w:val="22"/>
                <w:highlight w:val="none"/>
                <w:u w:val="none"/>
              </w:rPr>
            </w:pPr>
          </w:p>
        </w:tc>
      </w:tr>
      <w:tr w14:paraId="78B4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7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20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乡镇船舶统计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CD504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 PC 端对乡镇辖区内船舶数据进行统计分析与可视化展示，支持多维度统计与对比，为船舶管理、监管决策提供数据支撑。</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8E6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7D14">
            <w:pPr>
              <w:jc w:val="center"/>
              <w:rPr>
                <w:rFonts w:hint="eastAsia" w:ascii="宋体" w:hAnsi="宋体" w:eastAsia="宋体" w:cs="宋体"/>
                <w:b/>
                <w:bCs/>
                <w:i w:val="0"/>
                <w:iCs w:val="0"/>
                <w:color w:val="auto"/>
                <w:sz w:val="22"/>
                <w:szCs w:val="22"/>
                <w:highlight w:val="none"/>
                <w:u w:val="none"/>
              </w:rPr>
            </w:pPr>
          </w:p>
        </w:tc>
      </w:tr>
      <w:tr w14:paraId="748F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E7B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6CA8">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渔港安全模块</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25F822D">
            <w:pPr>
              <w:jc w:val="left"/>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F61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861B">
            <w:pPr>
              <w:jc w:val="center"/>
              <w:rPr>
                <w:rFonts w:hint="eastAsia" w:ascii="宋体" w:hAnsi="宋体" w:eastAsia="宋体" w:cs="宋体"/>
                <w:b/>
                <w:bCs/>
                <w:i w:val="0"/>
                <w:iCs w:val="0"/>
                <w:color w:val="auto"/>
                <w:sz w:val="22"/>
                <w:szCs w:val="22"/>
                <w:highlight w:val="none"/>
                <w:u w:val="none"/>
              </w:rPr>
            </w:pPr>
          </w:p>
        </w:tc>
      </w:tr>
      <w:tr w14:paraId="7450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88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8F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渔港停泊管理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E4E8BFF">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DFB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21F3">
            <w:pPr>
              <w:jc w:val="center"/>
              <w:rPr>
                <w:rFonts w:hint="eastAsia" w:ascii="宋体" w:hAnsi="宋体" w:eastAsia="宋体" w:cs="宋体"/>
                <w:b/>
                <w:bCs/>
                <w:i w:val="0"/>
                <w:iCs w:val="0"/>
                <w:color w:val="auto"/>
                <w:sz w:val="22"/>
                <w:szCs w:val="22"/>
                <w:highlight w:val="none"/>
                <w:u w:val="none"/>
              </w:rPr>
            </w:pPr>
          </w:p>
        </w:tc>
      </w:tr>
      <w:tr w14:paraId="6AE8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AB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75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渔船停泊位置展示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36054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接入智慧渔港信息，实时展示渔港内的渔船停泊情况、航道拥堵情况。</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实现对港区渔船的统计分析，包括按照渔船船籍、渔船作业类型（拖网、围网、刺网、张网、钓具、笼壶、杂渔具、陷阱、耙刺）、材质类型（钢质渔船、木质渔船、玻璃钢渔船、钢木混合渔船）、马力（大型渔船、中型渔船和小型渔船）。</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6FB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DAE9">
            <w:pPr>
              <w:jc w:val="center"/>
              <w:rPr>
                <w:rFonts w:hint="eastAsia" w:ascii="宋体" w:hAnsi="宋体" w:eastAsia="宋体" w:cs="宋体"/>
                <w:b/>
                <w:bCs/>
                <w:i w:val="0"/>
                <w:iCs w:val="0"/>
                <w:color w:val="auto"/>
                <w:sz w:val="22"/>
                <w:szCs w:val="22"/>
                <w:highlight w:val="none"/>
                <w:u w:val="none"/>
              </w:rPr>
            </w:pPr>
          </w:p>
        </w:tc>
      </w:tr>
      <w:tr w14:paraId="7DAB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5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BB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实时数据接入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EE340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对接智慧渔港信息系统，获取渔港内渔船实时停泊位置、航道占用状态等数据，动态更新展示，数据同步延迟≤3秒。</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A69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72AA">
            <w:pPr>
              <w:jc w:val="center"/>
              <w:rPr>
                <w:rFonts w:hint="eastAsia" w:ascii="宋体" w:hAnsi="宋体" w:eastAsia="宋体" w:cs="宋体"/>
                <w:b/>
                <w:bCs/>
                <w:i w:val="0"/>
                <w:iCs w:val="0"/>
                <w:color w:val="auto"/>
                <w:sz w:val="22"/>
                <w:szCs w:val="22"/>
                <w:highlight w:val="none"/>
                <w:u w:val="none"/>
              </w:rPr>
            </w:pPr>
          </w:p>
        </w:tc>
      </w:tr>
      <w:tr w14:paraId="68AC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B5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57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多维度统计分析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6563D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支持按渔船船籍（如本地/外地）、作业类型（拖网、围网、刺网等9类）、材质类型（钢质、木质、玻璃钢等4类）、马力等级（大型、中型、小型）进行分类统计，统计结果实时生成数据列表。</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5F1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E574">
            <w:pPr>
              <w:jc w:val="center"/>
              <w:rPr>
                <w:rFonts w:hint="eastAsia" w:ascii="宋体" w:hAnsi="宋体" w:eastAsia="宋体" w:cs="宋体"/>
                <w:b/>
                <w:bCs/>
                <w:i w:val="0"/>
                <w:iCs w:val="0"/>
                <w:color w:val="auto"/>
                <w:sz w:val="22"/>
                <w:szCs w:val="22"/>
                <w:highlight w:val="none"/>
                <w:u w:val="none"/>
              </w:rPr>
            </w:pPr>
          </w:p>
        </w:tc>
      </w:tr>
      <w:tr w14:paraId="7C17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2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80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可视化呈现</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0D7AD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在GIS地图上精准标记渔船停泊位置，不同作业类型/材质/马力的渔船用差异化图标区分；航道拥堵情况通过颜色标注（绿色=畅通、黄色=缓行、红色=拥堵），直观展示渔港运行状态。</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A16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6002">
            <w:pPr>
              <w:jc w:val="center"/>
              <w:rPr>
                <w:rFonts w:hint="eastAsia" w:ascii="宋体" w:hAnsi="宋体" w:eastAsia="宋体" w:cs="宋体"/>
                <w:b/>
                <w:bCs/>
                <w:i w:val="0"/>
                <w:iCs w:val="0"/>
                <w:color w:val="auto"/>
                <w:sz w:val="22"/>
                <w:szCs w:val="22"/>
                <w:highlight w:val="none"/>
                <w:u w:val="none"/>
              </w:rPr>
            </w:pPr>
          </w:p>
        </w:tc>
      </w:tr>
      <w:tr w14:paraId="58F1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F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12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渔港流量统计分析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39D41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基于渔港进出港数据和渔船船位数据，可随时统计港区内外的渔船名单，实时了解渔船进出港和锚泊信息，对渔船停泊进行合理调度。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实现以每天、每月或每年的形式统计渔船的流量情况。渔船流量统计能让管理部门了解渔船进出港，掌握航道是否拥挤，并且能根据流量统计信息，在渔船流量大的时候加强对渔船的管理，防止由于渔船流量过大造成违法渔船蒙混出海、航道内渔船碰撞等情况的发生。</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92E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12D0">
            <w:pPr>
              <w:jc w:val="center"/>
              <w:rPr>
                <w:rFonts w:hint="eastAsia" w:ascii="宋体" w:hAnsi="宋体" w:eastAsia="宋体" w:cs="宋体"/>
                <w:b/>
                <w:bCs/>
                <w:i w:val="0"/>
                <w:iCs w:val="0"/>
                <w:color w:val="auto"/>
                <w:sz w:val="22"/>
                <w:szCs w:val="22"/>
                <w:highlight w:val="none"/>
                <w:u w:val="none"/>
              </w:rPr>
            </w:pPr>
          </w:p>
        </w:tc>
      </w:tr>
      <w:tr w14:paraId="5EAE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64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DC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实时名单统计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C965B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基于渔船进出港数据和船位数据，自动生成港区内、外渔船名单，包含船号、船籍、停泊状态等信息，支持一键导出。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6BE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F722">
            <w:pPr>
              <w:jc w:val="center"/>
              <w:rPr>
                <w:rFonts w:hint="eastAsia" w:ascii="宋体" w:hAnsi="宋体" w:eastAsia="宋体" w:cs="宋体"/>
                <w:b/>
                <w:bCs/>
                <w:i w:val="0"/>
                <w:iCs w:val="0"/>
                <w:color w:val="auto"/>
                <w:sz w:val="22"/>
                <w:szCs w:val="22"/>
                <w:highlight w:val="none"/>
                <w:u w:val="none"/>
              </w:rPr>
            </w:pPr>
          </w:p>
        </w:tc>
      </w:tr>
      <w:tr w14:paraId="793F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5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6B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多周期流量统计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D44D9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支持按天、月、年或自定义时间范围统计渔港渔船流量，可选择具体渔港作为查询条件，获取进出港渔船数量。</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C54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F52D0">
            <w:pPr>
              <w:jc w:val="center"/>
              <w:rPr>
                <w:rFonts w:hint="eastAsia" w:ascii="宋体" w:hAnsi="宋体" w:eastAsia="宋体" w:cs="宋体"/>
                <w:b/>
                <w:bCs/>
                <w:i w:val="0"/>
                <w:iCs w:val="0"/>
                <w:color w:val="auto"/>
                <w:sz w:val="22"/>
                <w:szCs w:val="22"/>
                <w:highlight w:val="none"/>
                <w:u w:val="none"/>
              </w:rPr>
            </w:pPr>
          </w:p>
        </w:tc>
      </w:tr>
      <w:tr w14:paraId="4D57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7F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52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趋势可视化</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F1D23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生成进出港流量趋势图表（柱状图/折线图），直观展示流量变化规律；结合航道拥堵状态分析，为渔船调度、执法部署提供数据支撑，流量高峰时自动推送提醒至管理人员。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F0C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8782">
            <w:pPr>
              <w:jc w:val="center"/>
              <w:rPr>
                <w:rFonts w:hint="eastAsia" w:ascii="宋体" w:hAnsi="宋体" w:eastAsia="宋体" w:cs="宋体"/>
                <w:b/>
                <w:bCs/>
                <w:i w:val="0"/>
                <w:iCs w:val="0"/>
                <w:color w:val="auto"/>
                <w:sz w:val="22"/>
                <w:szCs w:val="22"/>
                <w:highlight w:val="none"/>
                <w:u w:val="none"/>
              </w:rPr>
            </w:pPr>
          </w:p>
        </w:tc>
      </w:tr>
      <w:tr w14:paraId="667B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8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3F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渔船进出港管理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5CC2959">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AE2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0DEC">
            <w:pPr>
              <w:jc w:val="center"/>
              <w:rPr>
                <w:rFonts w:hint="eastAsia" w:ascii="宋体" w:hAnsi="宋体" w:eastAsia="宋体" w:cs="宋体"/>
                <w:b/>
                <w:bCs/>
                <w:i w:val="0"/>
                <w:iCs w:val="0"/>
                <w:color w:val="auto"/>
                <w:sz w:val="22"/>
                <w:szCs w:val="22"/>
                <w:highlight w:val="none"/>
                <w:u w:val="none"/>
              </w:rPr>
            </w:pPr>
          </w:p>
        </w:tc>
      </w:tr>
      <w:tr w14:paraId="4C9E8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4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A4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渔船进出港身份识别与记录</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49CBC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针对安装有AIS和RFID设备的渔船，AIS或RFID系统传输的渔船位置信息进入到渔港识别范围时，则通过AIS或RFID系统确认该渔船身份信息；针对没有安装任何电子设备的渔船，当渔船经过渔港识别范围时，通过船牌识别系统确认渔船身份信息。当渔船身份无异常记录时，则将该条进出港数据进行记录，当渔船身份出行异常情况时，则进行预警，并发送相应预警信息到相关人员和渠道。</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0CA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AEF4">
            <w:pPr>
              <w:jc w:val="center"/>
              <w:rPr>
                <w:rFonts w:hint="eastAsia" w:ascii="宋体" w:hAnsi="宋体" w:eastAsia="宋体" w:cs="宋体"/>
                <w:b/>
                <w:bCs/>
                <w:i w:val="0"/>
                <w:iCs w:val="0"/>
                <w:color w:val="auto"/>
                <w:sz w:val="22"/>
                <w:szCs w:val="22"/>
                <w:highlight w:val="none"/>
                <w:u w:val="none"/>
              </w:rPr>
            </w:pPr>
          </w:p>
        </w:tc>
      </w:tr>
      <w:tr w14:paraId="79C45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0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C4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多方式身份确认</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15094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安装AIS/RFID设备的渔船，进入渔港识别范围后，系统自动接收设备传输的位置及身份信息完成核验；未安装电子设备的渔船，通过船牌识别系统捕捉船牌信息并比对确认身份。</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BAB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C573">
            <w:pPr>
              <w:jc w:val="center"/>
              <w:rPr>
                <w:rFonts w:hint="eastAsia" w:ascii="宋体" w:hAnsi="宋体" w:eastAsia="宋体" w:cs="宋体"/>
                <w:b/>
                <w:bCs/>
                <w:i w:val="0"/>
                <w:iCs w:val="0"/>
                <w:color w:val="auto"/>
                <w:sz w:val="22"/>
                <w:szCs w:val="22"/>
                <w:highlight w:val="none"/>
                <w:u w:val="none"/>
              </w:rPr>
            </w:pPr>
          </w:p>
        </w:tc>
      </w:tr>
      <w:tr w14:paraId="3B31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A3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DC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进出港数据记录</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374E2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身份无异常的渔船，系统自动记录进出港数据（船号、进出港时间、身份核验方式）；身份存在异常（如黑名单、证件过期）的渔船，立即触发预警，通过短信、系统通知推送至相关管理人员。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5A8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4030">
            <w:pPr>
              <w:jc w:val="center"/>
              <w:rPr>
                <w:rFonts w:hint="eastAsia" w:ascii="宋体" w:hAnsi="宋体" w:eastAsia="宋体" w:cs="宋体"/>
                <w:b/>
                <w:bCs/>
                <w:i w:val="0"/>
                <w:iCs w:val="0"/>
                <w:color w:val="auto"/>
                <w:sz w:val="22"/>
                <w:szCs w:val="22"/>
                <w:highlight w:val="none"/>
                <w:u w:val="none"/>
              </w:rPr>
            </w:pPr>
          </w:p>
        </w:tc>
      </w:tr>
      <w:tr w14:paraId="2C97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B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46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数据自动归档</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56D30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所有进出港记录按时间顺序归档至数据库，支持按日期、渔船类型、身份核验状态分类存储，便于后续追溯查询。</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52F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7CAB">
            <w:pPr>
              <w:jc w:val="center"/>
              <w:rPr>
                <w:rFonts w:hint="eastAsia" w:ascii="宋体" w:hAnsi="宋体" w:eastAsia="宋体" w:cs="宋体"/>
                <w:b/>
                <w:bCs/>
                <w:i w:val="0"/>
                <w:iCs w:val="0"/>
                <w:color w:val="auto"/>
                <w:sz w:val="22"/>
                <w:szCs w:val="22"/>
                <w:highlight w:val="none"/>
                <w:u w:val="none"/>
              </w:rPr>
            </w:pPr>
          </w:p>
        </w:tc>
      </w:tr>
      <w:tr w14:paraId="3D448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21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C6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渔船进出港记录查询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D4097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输入的条件查询出渔船的进出港报告信息。进出港报告记录内容包括船名号、渔船所属区域、拟出海时间、拟作业海域、事由、预计进渔港时间、船主姓名及联系方式、随船人员信息(包括姓名、职务、身份证号码、联系方式、家庭住址)。</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E01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B237">
            <w:pPr>
              <w:jc w:val="center"/>
              <w:rPr>
                <w:rFonts w:hint="eastAsia" w:ascii="宋体" w:hAnsi="宋体" w:eastAsia="宋体" w:cs="宋体"/>
                <w:b/>
                <w:bCs/>
                <w:i w:val="0"/>
                <w:iCs w:val="0"/>
                <w:color w:val="auto"/>
                <w:sz w:val="22"/>
                <w:szCs w:val="22"/>
                <w:highlight w:val="none"/>
                <w:u w:val="none"/>
              </w:rPr>
            </w:pPr>
          </w:p>
        </w:tc>
      </w:tr>
      <w:tr w14:paraId="203E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2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BF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多条件精准查询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8FC32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支持按船名号、所属区域、进出港时间、作业海域、事由等条件进行单一或组合查询，查询结果分页展示，支持模糊匹配（如输入部分船号快速检索）。</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217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2B0A">
            <w:pPr>
              <w:jc w:val="center"/>
              <w:rPr>
                <w:rFonts w:hint="eastAsia" w:ascii="宋体" w:hAnsi="宋体" w:eastAsia="宋体" w:cs="宋体"/>
                <w:b/>
                <w:bCs/>
                <w:i w:val="0"/>
                <w:iCs w:val="0"/>
                <w:color w:val="auto"/>
                <w:sz w:val="22"/>
                <w:szCs w:val="22"/>
                <w:highlight w:val="none"/>
                <w:u w:val="none"/>
              </w:rPr>
            </w:pPr>
          </w:p>
        </w:tc>
      </w:tr>
      <w:tr w14:paraId="7DC4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2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2D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完整记录展示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E3E13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查询结果包含船名号、所属区域、拟出海时间、拟作业海域、事由、预计进港时间、船主姓名及联系方式、随船人员详细信息（姓名、职务、身份证号、联系方式、家庭住址）等完整内容。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记录导出与打印：支持将查询到的进出港记录导出为Excel格式</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8B3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859B">
            <w:pPr>
              <w:jc w:val="center"/>
              <w:rPr>
                <w:rFonts w:hint="eastAsia" w:ascii="宋体" w:hAnsi="宋体" w:eastAsia="宋体" w:cs="宋体"/>
                <w:b/>
                <w:bCs/>
                <w:i w:val="0"/>
                <w:iCs w:val="0"/>
                <w:color w:val="auto"/>
                <w:sz w:val="22"/>
                <w:szCs w:val="22"/>
                <w:highlight w:val="none"/>
                <w:u w:val="none"/>
              </w:rPr>
            </w:pPr>
          </w:p>
        </w:tc>
      </w:tr>
      <w:tr w14:paraId="04F1C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1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A6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打印报表</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19AA2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满足存档、核对等业务需求。</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7E2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374E">
            <w:pPr>
              <w:jc w:val="center"/>
              <w:rPr>
                <w:rFonts w:hint="eastAsia" w:ascii="宋体" w:hAnsi="宋体" w:eastAsia="宋体" w:cs="宋体"/>
                <w:b/>
                <w:bCs/>
                <w:i w:val="0"/>
                <w:iCs w:val="0"/>
                <w:color w:val="auto"/>
                <w:sz w:val="22"/>
                <w:szCs w:val="22"/>
                <w:highlight w:val="none"/>
                <w:u w:val="none"/>
              </w:rPr>
            </w:pPr>
          </w:p>
        </w:tc>
      </w:tr>
      <w:tr w14:paraId="1C2E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0E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E5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渔船进出港标识与抓拍</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5C0C3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当渔船在进入渔港识别区范围内完成身份确认后，系统将通知相应智能监控系统，进行渔船抓拍，并将抓拍的图片信息与渔船进出港信息一起进行存档。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基于视频监控的智能分析功能，可捕捉和识别到进出港的渔船，获取渔船进出港动态，识别到船舶号之后，与数据库中的渔船信息进行比对关联，即可查询出渔船的档案资料。</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分析渔船是否为不许出海的黑名单船舶或休渔期禁止出海的渔船名单，对于不许出海的渔船进行告警提示管理人员。</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另外查询该船的定位终端信号，是否在线，如果不在线，可能是为逃避监管未开启定位终端，同样进行告警提示，通知管理人员。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254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6CE0">
            <w:pPr>
              <w:jc w:val="center"/>
              <w:rPr>
                <w:rFonts w:hint="eastAsia" w:ascii="宋体" w:hAnsi="宋体" w:eastAsia="宋体" w:cs="宋体"/>
                <w:b/>
                <w:bCs/>
                <w:i w:val="0"/>
                <w:iCs w:val="0"/>
                <w:color w:val="auto"/>
                <w:sz w:val="22"/>
                <w:szCs w:val="22"/>
                <w:highlight w:val="none"/>
                <w:u w:val="none"/>
              </w:rPr>
            </w:pPr>
          </w:p>
        </w:tc>
      </w:tr>
      <w:tr w14:paraId="26FCD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EC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50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智能抓拍联动</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729B1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渔船完成身份确认后，系统自动触发对应区域智能监控系统，对渔船进行多角度抓拍（船头、船尾、船身），抓拍图片自动与该渔船进出港信息关联存档。</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F31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4F35">
            <w:pPr>
              <w:jc w:val="center"/>
              <w:rPr>
                <w:rFonts w:hint="eastAsia" w:ascii="宋体" w:hAnsi="宋体" w:eastAsia="宋体" w:cs="宋体"/>
                <w:b/>
                <w:bCs/>
                <w:i w:val="0"/>
                <w:iCs w:val="0"/>
                <w:color w:val="auto"/>
                <w:sz w:val="22"/>
                <w:szCs w:val="22"/>
                <w:highlight w:val="none"/>
                <w:u w:val="none"/>
              </w:rPr>
            </w:pPr>
          </w:p>
        </w:tc>
      </w:tr>
      <w:tr w14:paraId="0219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6D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7B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渔船信息比对</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80169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通过视频监控智能分析，识别进出港渔船船号，与后台渔船数据库信息比对关联，快速调取渔船档案资料（证书状态、历史违规记录等）。</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847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C20A">
            <w:pPr>
              <w:jc w:val="center"/>
              <w:rPr>
                <w:rFonts w:hint="eastAsia" w:ascii="宋体" w:hAnsi="宋体" w:eastAsia="宋体" w:cs="宋体"/>
                <w:b/>
                <w:bCs/>
                <w:i w:val="0"/>
                <w:iCs w:val="0"/>
                <w:color w:val="auto"/>
                <w:sz w:val="22"/>
                <w:szCs w:val="22"/>
                <w:highlight w:val="none"/>
                <w:u w:val="none"/>
              </w:rPr>
            </w:pPr>
          </w:p>
        </w:tc>
      </w:tr>
      <w:tr w14:paraId="62BE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43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74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多场景预警告警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21B21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系统自动校验渔船是否属于黑名单船舶或休渔期禁止出海渔船，若为禁止出海对象立即告警；同时核查渔船定位终端在线状态，终端离线时触发预警，通知管理人员排查是否存在逃避监管情况。</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A9A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0A22">
            <w:pPr>
              <w:jc w:val="center"/>
              <w:rPr>
                <w:rFonts w:hint="eastAsia" w:ascii="宋体" w:hAnsi="宋体" w:eastAsia="宋体" w:cs="宋体"/>
                <w:b/>
                <w:bCs/>
                <w:i w:val="0"/>
                <w:iCs w:val="0"/>
                <w:color w:val="auto"/>
                <w:sz w:val="22"/>
                <w:szCs w:val="22"/>
                <w:highlight w:val="none"/>
                <w:u w:val="none"/>
              </w:rPr>
            </w:pPr>
          </w:p>
        </w:tc>
      </w:tr>
      <w:tr w14:paraId="33DBE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C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7B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渔港执法管理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567A0E2">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EA3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4860">
            <w:pPr>
              <w:jc w:val="center"/>
              <w:rPr>
                <w:rFonts w:hint="eastAsia" w:ascii="宋体" w:hAnsi="宋体" w:eastAsia="宋体" w:cs="宋体"/>
                <w:b/>
                <w:bCs/>
                <w:i w:val="0"/>
                <w:iCs w:val="0"/>
                <w:color w:val="auto"/>
                <w:sz w:val="22"/>
                <w:szCs w:val="22"/>
                <w:highlight w:val="none"/>
                <w:u w:val="none"/>
              </w:rPr>
            </w:pPr>
          </w:p>
        </w:tc>
      </w:tr>
      <w:tr w14:paraId="5A60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B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1D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渔港动态布控</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E744F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渔船进入渔港识别区，确认渔船身份信息后，如属于黑名单或者重点监控名单的渔船，则通知监控管理系统对目标渔船进行动态跟踪监控，实现对黑名单和重点监控渔船的动态跟踪监控。通过外部系统接入渔船自动识别系统和船位，对渔船在本港内的水域进行重点识别、标记。系统结合渔船船位和渔港视频监控系统，对渔船进行实时视频监控，必要时向渔船发送通知预警消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5BD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B50D">
            <w:pPr>
              <w:jc w:val="center"/>
              <w:rPr>
                <w:rFonts w:hint="eastAsia" w:ascii="宋体" w:hAnsi="宋体" w:eastAsia="宋体" w:cs="宋体"/>
                <w:b/>
                <w:bCs/>
                <w:i w:val="0"/>
                <w:iCs w:val="0"/>
                <w:color w:val="auto"/>
                <w:sz w:val="22"/>
                <w:szCs w:val="22"/>
                <w:highlight w:val="none"/>
                <w:u w:val="none"/>
              </w:rPr>
            </w:pPr>
          </w:p>
        </w:tc>
      </w:tr>
      <w:tr w14:paraId="5B32C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2B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43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重点渔船跟踪</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A1A9E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渔船进入渔港识别区并完成身份确认后，若属于黑名单或重点监控名单，系统立即通知监控管理系统启动动态跟踪，在GIS地图上高亮标记目标渔船位置，实时更新航行轨迹。</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A4A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42AD">
            <w:pPr>
              <w:jc w:val="center"/>
              <w:rPr>
                <w:rFonts w:hint="eastAsia" w:ascii="宋体" w:hAnsi="宋体" w:eastAsia="宋体" w:cs="宋体"/>
                <w:b/>
                <w:bCs/>
                <w:i w:val="0"/>
                <w:iCs w:val="0"/>
                <w:color w:val="auto"/>
                <w:sz w:val="22"/>
                <w:szCs w:val="22"/>
                <w:highlight w:val="none"/>
                <w:u w:val="none"/>
              </w:rPr>
            </w:pPr>
          </w:p>
        </w:tc>
      </w:tr>
      <w:tr w14:paraId="6032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3D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BC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多系统联动监控</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E1D62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结合渔船自动识别系统、船位数据和渔港视频监控系统，对重点渔船进行24小时实时视频监控，支持切换不同监控点位查看渔船动态。</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2FE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EDE3">
            <w:pPr>
              <w:jc w:val="center"/>
              <w:rPr>
                <w:rFonts w:hint="eastAsia" w:ascii="宋体" w:hAnsi="宋体" w:eastAsia="宋体" w:cs="宋体"/>
                <w:b/>
                <w:bCs/>
                <w:i w:val="0"/>
                <w:iCs w:val="0"/>
                <w:color w:val="auto"/>
                <w:sz w:val="22"/>
                <w:szCs w:val="22"/>
                <w:highlight w:val="none"/>
                <w:u w:val="none"/>
              </w:rPr>
            </w:pPr>
          </w:p>
        </w:tc>
      </w:tr>
      <w:tr w14:paraId="70F34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D2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C7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预警消息推送</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963E9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必要时系统可向目标渔船发送通知预警消息（如通过短信、渔港广播联动），同时向管理人员推送实时监控画面链接，便于及时处置。</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70B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063A">
            <w:pPr>
              <w:jc w:val="center"/>
              <w:rPr>
                <w:rFonts w:hint="eastAsia" w:ascii="宋体" w:hAnsi="宋体" w:eastAsia="宋体" w:cs="宋体"/>
                <w:b/>
                <w:bCs/>
                <w:i w:val="0"/>
                <w:iCs w:val="0"/>
                <w:color w:val="auto"/>
                <w:sz w:val="22"/>
                <w:szCs w:val="22"/>
                <w:highlight w:val="none"/>
                <w:u w:val="none"/>
              </w:rPr>
            </w:pPr>
          </w:p>
        </w:tc>
      </w:tr>
      <w:tr w14:paraId="74DC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3A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C6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违规取证</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E8DDE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进入本港发生乱丢垃圾、乱倒废水等违规行为后，系统智能提醒；获得通知后，可以迅速在电子海图上定位涉嫌违规的船只；通过渔船抓拍图片和监控录像，辅助后期执法取证。如果需现场执法，则进行现场纠违，并且拍照取证；远程执法则保存证据，待后续处理。</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985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DD0">
            <w:pPr>
              <w:jc w:val="center"/>
              <w:rPr>
                <w:rFonts w:hint="eastAsia" w:ascii="宋体" w:hAnsi="宋体" w:eastAsia="宋体" w:cs="宋体"/>
                <w:b/>
                <w:bCs/>
                <w:i w:val="0"/>
                <w:iCs w:val="0"/>
                <w:color w:val="auto"/>
                <w:sz w:val="22"/>
                <w:szCs w:val="22"/>
                <w:highlight w:val="none"/>
                <w:u w:val="none"/>
              </w:rPr>
            </w:pPr>
          </w:p>
        </w:tc>
      </w:tr>
      <w:tr w14:paraId="6102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6E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CC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违规智能提醒</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85A9D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系统通过视频监控智能分析，识别渔船乱丢垃圾、乱倒废水等违规行为后，立即向管理人员发送智能提醒，包含违规渔船位置、违规行为类型、疑似违规时间。</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A16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E5D5">
            <w:pPr>
              <w:jc w:val="center"/>
              <w:rPr>
                <w:rFonts w:hint="eastAsia" w:ascii="宋体" w:hAnsi="宋体" w:eastAsia="宋体" w:cs="宋体"/>
                <w:b/>
                <w:bCs/>
                <w:i w:val="0"/>
                <w:iCs w:val="0"/>
                <w:color w:val="auto"/>
                <w:sz w:val="22"/>
                <w:szCs w:val="22"/>
                <w:highlight w:val="none"/>
                <w:u w:val="none"/>
              </w:rPr>
            </w:pPr>
          </w:p>
        </w:tc>
      </w:tr>
      <w:tr w14:paraId="47685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81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6F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快速定位与证据留存</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FFD5F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管理人员接收提醒后，可在电子海图上快速定位涉嫌违规渔船，调取抓拍图片、监控录像等证据资料并归档存储，为后期执法提供支撑。</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0B8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EFEF">
            <w:pPr>
              <w:jc w:val="center"/>
              <w:rPr>
                <w:rFonts w:hint="eastAsia" w:ascii="宋体" w:hAnsi="宋体" w:eastAsia="宋体" w:cs="宋体"/>
                <w:b/>
                <w:bCs/>
                <w:i w:val="0"/>
                <w:iCs w:val="0"/>
                <w:color w:val="auto"/>
                <w:sz w:val="22"/>
                <w:szCs w:val="22"/>
                <w:highlight w:val="none"/>
                <w:u w:val="none"/>
              </w:rPr>
            </w:pPr>
          </w:p>
        </w:tc>
      </w:tr>
      <w:tr w14:paraId="0457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65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19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执法方式适配</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1128E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支持现场执法和远程执法两种模式，现场执法时可通过移动端上传纠违照片、笔录等取证材料；远程执法时自动保存完整证据链，待后续统一处理。</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EA7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759C">
            <w:pPr>
              <w:jc w:val="center"/>
              <w:rPr>
                <w:rFonts w:hint="eastAsia" w:ascii="宋体" w:hAnsi="宋体" w:eastAsia="宋体" w:cs="宋体"/>
                <w:b/>
                <w:bCs/>
                <w:i w:val="0"/>
                <w:iCs w:val="0"/>
                <w:color w:val="auto"/>
                <w:sz w:val="22"/>
                <w:szCs w:val="22"/>
                <w:highlight w:val="none"/>
                <w:u w:val="none"/>
              </w:rPr>
            </w:pPr>
          </w:p>
        </w:tc>
      </w:tr>
      <w:tr w14:paraId="7DCF9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BA8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（六）</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CBF3">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执法管控模块</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8274FE9">
            <w:pPr>
              <w:jc w:val="left"/>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78A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CC5A">
            <w:pPr>
              <w:jc w:val="center"/>
              <w:rPr>
                <w:rFonts w:hint="eastAsia" w:ascii="宋体" w:hAnsi="宋体" w:eastAsia="宋体" w:cs="宋体"/>
                <w:b/>
                <w:bCs/>
                <w:i w:val="0"/>
                <w:iCs w:val="0"/>
                <w:color w:val="auto"/>
                <w:sz w:val="22"/>
                <w:szCs w:val="22"/>
                <w:highlight w:val="none"/>
                <w:u w:val="none"/>
              </w:rPr>
            </w:pPr>
          </w:p>
        </w:tc>
      </w:tr>
      <w:tr w14:paraId="0121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B0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6D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指挥调度系统</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DAF68A7">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0C6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98CF">
            <w:pPr>
              <w:jc w:val="center"/>
              <w:rPr>
                <w:rFonts w:hint="eastAsia" w:ascii="宋体" w:hAnsi="宋体" w:eastAsia="宋体" w:cs="宋体"/>
                <w:b/>
                <w:bCs/>
                <w:i w:val="0"/>
                <w:iCs w:val="0"/>
                <w:color w:val="auto"/>
                <w:sz w:val="22"/>
                <w:szCs w:val="22"/>
                <w:highlight w:val="none"/>
                <w:u w:val="none"/>
              </w:rPr>
            </w:pPr>
          </w:p>
        </w:tc>
      </w:tr>
      <w:tr w14:paraId="0FC3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19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41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事件报警添加</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3A81F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事件报警信息可以根据智能预警触发生成，可以由后台管理人员进行手动新增添加，可以由群众举报投诉生成。</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226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728F">
            <w:pPr>
              <w:jc w:val="center"/>
              <w:rPr>
                <w:rFonts w:hint="eastAsia" w:ascii="宋体" w:hAnsi="宋体" w:eastAsia="宋体" w:cs="宋体"/>
                <w:b/>
                <w:bCs/>
                <w:i w:val="0"/>
                <w:iCs w:val="0"/>
                <w:color w:val="auto"/>
                <w:sz w:val="22"/>
                <w:szCs w:val="22"/>
                <w:highlight w:val="none"/>
                <w:u w:val="none"/>
              </w:rPr>
            </w:pPr>
          </w:p>
        </w:tc>
      </w:tr>
      <w:tr w14:paraId="70A5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E99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24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支持智能预警自动触发报警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9634E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系统对接智能预警模块，渔船违规作业、三无船舶识别等预警信息可自动生成事件报警，同步触发源、时间、地点等核心数据。</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8CE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9A39">
            <w:pPr>
              <w:jc w:val="center"/>
              <w:rPr>
                <w:rFonts w:hint="eastAsia" w:ascii="宋体" w:hAnsi="宋体" w:eastAsia="宋体" w:cs="宋体"/>
                <w:b/>
                <w:bCs/>
                <w:i w:val="0"/>
                <w:iCs w:val="0"/>
                <w:color w:val="auto"/>
                <w:sz w:val="22"/>
                <w:szCs w:val="22"/>
                <w:highlight w:val="none"/>
                <w:u w:val="none"/>
              </w:rPr>
            </w:pPr>
          </w:p>
        </w:tc>
      </w:tr>
      <w:tr w14:paraId="09D2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84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E6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支持管理人员手动新增报警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5D889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后台提供报警录入界面，可填写事件名称、等级、事发地点，上传佐证材料，系统自动校验信息完整性并分配唯一事件编号。</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093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85C0">
            <w:pPr>
              <w:jc w:val="center"/>
              <w:rPr>
                <w:rFonts w:hint="eastAsia" w:ascii="宋体" w:hAnsi="宋体" w:eastAsia="宋体" w:cs="宋体"/>
                <w:b/>
                <w:bCs/>
                <w:i w:val="0"/>
                <w:iCs w:val="0"/>
                <w:color w:val="auto"/>
                <w:sz w:val="22"/>
                <w:szCs w:val="22"/>
                <w:highlight w:val="none"/>
                <w:u w:val="none"/>
              </w:rPr>
            </w:pPr>
          </w:p>
        </w:tc>
      </w:tr>
      <w:tr w14:paraId="61A1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EA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AB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支持群众举报投诉转报警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AFD37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公众举报投诉经审核通过后，自动转为事件报警，关联举报单号、证据材料等原始信息，实现数据无缝联动。</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CF7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949C">
            <w:pPr>
              <w:jc w:val="center"/>
              <w:rPr>
                <w:rFonts w:hint="eastAsia" w:ascii="宋体" w:hAnsi="宋体" w:eastAsia="宋体" w:cs="宋体"/>
                <w:b/>
                <w:bCs/>
                <w:i w:val="0"/>
                <w:iCs w:val="0"/>
                <w:color w:val="auto"/>
                <w:sz w:val="22"/>
                <w:szCs w:val="22"/>
                <w:highlight w:val="none"/>
                <w:u w:val="none"/>
              </w:rPr>
            </w:pPr>
          </w:p>
        </w:tc>
      </w:tr>
      <w:tr w14:paraId="3B30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40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36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事件综合分析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D70CB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支持以GIS为统一展现界面，以事件为核心，对事故发生的地点以及简略信息呈现在一张图界面。针对事件进行综合分析，动态的分析执法力量、气候条件等因素，计算预计到达的时间和距离，选择就近的救援力量进行分析，通过计算给出最优的执法调度方案，方便能够准时快速的对事件进行处理。</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075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C6D3">
            <w:pPr>
              <w:jc w:val="center"/>
              <w:rPr>
                <w:rFonts w:hint="eastAsia" w:ascii="宋体" w:hAnsi="宋体" w:eastAsia="宋体" w:cs="宋体"/>
                <w:b/>
                <w:bCs/>
                <w:i w:val="0"/>
                <w:iCs w:val="0"/>
                <w:color w:val="auto"/>
                <w:sz w:val="22"/>
                <w:szCs w:val="22"/>
                <w:highlight w:val="none"/>
                <w:u w:val="none"/>
              </w:rPr>
            </w:pPr>
          </w:p>
        </w:tc>
      </w:tr>
      <w:tr w14:paraId="376D5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D7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A9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GIS地图统一展示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126C1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以GIS地图为核心界面，所有事件按事发地点精准标记，不同类型事件用差异化图标区分，点击可查看事件简略信息。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DE3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9C4C">
            <w:pPr>
              <w:jc w:val="center"/>
              <w:rPr>
                <w:rFonts w:hint="eastAsia" w:ascii="宋体" w:hAnsi="宋体" w:eastAsia="宋体" w:cs="宋体"/>
                <w:b/>
                <w:bCs/>
                <w:i w:val="0"/>
                <w:iCs w:val="0"/>
                <w:color w:val="auto"/>
                <w:sz w:val="22"/>
                <w:szCs w:val="22"/>
                <w:highlight w:val="none"/>
                <w:u w:val="none"/>
              </w:rPr>
            </w:pPr>
          </w:p>
        </w:tc>
      </w:tr>
      <w:tr w14:paraId="53A2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0C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89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多维度数据整合分析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09EE6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系统自动采集执法力量实时分布、事发地气候条件、地形特征等数据，动态计算各执法力量到达事件现场的预计时间和距离。</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812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881">
            <w:pPr>
              <w:jc w:val="center"/>
              <w:rPr>
                <w:rFonts w:hint="eastAsia" w:ascii="宋体" w:hAnsi="宋体" w:eastAsia="宋体" w:cs="宋体"/>
                <w:b/>
                <w:bCs/>
                <w:i w:val="0"/>
                <w:iCs w:val="0"/>
                <w:color w:val="auto"/>
                <w:sz w:val="22"/>
                <w:szCs w:val="22"/>
                <w:highlight w:val="none"/>
                <w:u w:val="none"/>
              </w:rPr>
            </w:pPr>
          </w:p>
        </w:tc>
      </w:tr>
      <w:tr w14:paraId="03B7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3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4B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最优调度方案推荐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0EBA1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基于分析结果筛选就近适配的执法/救援力量，生成至少2套调度方案并标注优劣势，支持手动选择或系统自动推荐最优方案，可导出或推送至相关终端。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25A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F432">
            <w:pPr>
              <w:jc w:val="center"/>
              <w:rPr>
                <w:rFonts w:hint="eastAsia" w:ascii="宋体" w:hAnsi="宋体" w:eastAsia="宋体" w:cs="宋体"/>
                <w:b/>
                <w:bCs/>
                <w:i w:val="0"/>
                <w:iCs w:val="0"/>
                <w:color w:val="auto"/>
                <w:sz w:val="22"/>
                <w:szCs w:val="22"/>
                <w:highlight w:val="none"/>
                <w:u w:val="none"/>
              </w:rPr>
            </w:pPr>
          </w:p>
        </w:tc>
      </w:tr>
      <w:tr w14:paraId="76EB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D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EE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事件处置跟踪</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6EB49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对进行的事件进度实时跟踪，可以对进度进行标记记录，落实执法的执行情况。</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0BE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C96D">
            <w:pPr>
              <w:jc w:val="center"/>
              <w:rPr>
                <w:rFonts w:hint="eastAsia" w:ascii="宋体" w:hAnsi="宋体" w:eastAsia="宋体" w:cs="宋体"/>
                <w:b/>
                <w:bCs/>
                <w:i w:val="0"/>
                <w:iCs w:val="0"/>
                <w:color w:val="auto"/>
                <w:sz w:val="22"/>
                <w:szCs w:val="22"/>
                <w:highlight w:val="none"/>
                <w:u w:val="none"/>
              </w:rPr>
            </w:pPr>
          </w:p>
        </w:tc>
      </w:tr>
      <w:tr w14:paraId="5349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22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1D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全流程进度记录</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35806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执法人员可实时更新事件处置进度（已出发/已抵达/正在处置/处置完毕），填写进度说明并上传现场照片，形成完整处置时间轴。</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3BB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7EE4">
            <w:pPr>
              <w:jc w:val="center"/>
              <w:rPr>
                <w:rFonts w:hint="eastAsia" w:ascii="宋体" w:hAnsi="宋体" w:eastAsia="宋体" w:cs="宋体"/>
                <w:b/>
                <w:bCs/>
                <w:i w:val="0"/>
                <w:iCs w:val="0"/>
                <w:color w:val="auto"/>
                <w:sz w:val="22"/>
                <w:szCs w:val="22"/>
                <w:highlight w:val="none"/>
                <w:u w:val="none"/>
              </w:rPr>
            </w:pPr>
          </w:p>
        </w:tc>
      </w:tr>
      <w:tr w14:paraId="1D3DE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C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DE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进度监督与提醒</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72378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管理人员可查看事件处置全流程节点，系统支持设置时间阈值提醒，超时未更新进度自动向相关人员发送预警通知。</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64B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35E4">
            <w:pPr>
              <w:jc w:val="center"/>
              <w:rPr>
                <w:rFonts w:hint="eastAsia" w:ascii="宋体" w:hAnsi="宋体" w:eastAsia="宋体" w:cs="宋体"/>
                <w:b/>
                <w:bCs/>
                <w:i w:val="0"/>
                <w:iCs w:val="0"/>
                <w:color w:val="auto"/>
                <w:sz w:val="22"/>
                <w:szCs w:val="22"/>
                <w:highlight w:val="none"/>
                <w:u w:val="none"/>
              </w:rPr>
            </w:pPr>
          </w:p>
        </w:tc>
      </w:tr>
      <w:tr w14:paraId="673E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52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A4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处置报告归档</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4F302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事件处置完成后，执法人员提交包含事件详情、处置过程、结果的报告，经审核通过后归档，事件状态标记为“已结案”。</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856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3662">
            <w:pPr>
              <w:jc w:val="center"/>
              <w:rPr>
                <w:rFonts w:hint="eastAsia" w:ascii="宋体" w:hAnsi="宋体" w:eastAsia="宋体" w:cs="宋体"/>
                <w:b/>
                <w:bCs/>
                <w:i w:val="0"/>
                <w:iCs w:val="0"/>
                <w:color w:val="auto"/>
                <w:sz w:val="22"/>
                <w:szCs w:val="22"/>
                <w:highlight w:val="none"/>
                <w:u w:val="none"/>
              </w:rPr>
            </w:pPr>
          </w:p>
        </w:tc>
      </w:tr>
      <w:tr w14:paraId="4F0A1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8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7A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执法任务管理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1407369">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F0A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33BE5">
            <w:pPr>
              <w:jc w:val="center"/>
              <w:rPr>
                <w:rFonts w:hint="eastAsia" w:ascii="宋体" w:hAnsi="宋体" w:eastAsia="宋体" w:cs="宋体"/>
                <w:b/>
                <w:bCs/>
                <w:i w:val="0"/>
                <w:iCs w:val="0"/>
                <w:color w:val="auto"/>
                <w:sz w:val="22"/>
                <w:szCs w:val="22"/>
                <w:highlight w:val="none"/>
                <w:u w:val="none"/>
              </w:rPr>
            </w:pPr>
          </w:p>
        </w:tc>
      </w:tr>
      <w:tr w14:paraId="58AE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37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C6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执法任务记录</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DDC5C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任务名、关键字、任务时间等索引进行查询。对于任务记录的任务名称、任务时间、任务地点、任务内容等基本信息进行维护。查询结果已分页表格的形式进行展示。可对信息进行新增、修改、删除、查看详情等操作。可对任务进行修改、删除、标记结束等操作。</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307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6515">
            <w:pPr>
              <w:jc w:val="center"/>
              <w:rPr>
                <w:rFonts w:hint="eastAsia" w:ascii="宋体" w:hAnsi="宋体" w:eastAsia="宋体" w:cs="宋体"/>
                <w:b/>
                <w:bCs/>
                <w:i w:val="0"/>
                <w:iCs w:val="0"/>
                <w:color w:val="auto"/>
                <w:sz w:val="22"/>
                <w:szCs w:val="22"/>
                <w:highlight w:val="none"/>
                <w:u w:val="none"/>
              </w:rPr>
            </w:pPr>
          </w:p>
        </w:tc>
      </w:tr>
      <w:tr w14:paraId="1585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A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ED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多条件查询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5BCF5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支持通过任务名、关键字、任务时间、状态等索引精准或模糊查询执法任务。</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AF4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EA85">
            <w:pPr>
              <w:jc w:val="center"/>
              <w:rPr>
                <w:rFonts w:hint="eastAsia" w:ascii="宋体" w:hAnsi="宋体" w:eastAsia="宋体" w:cs="宋体"/>
                <w:b/>
                <w:bCs/>
                <w:i w:val="0"/>
                <w:iCs w:val="0"/>
                <w:color w:val="auto"/>
                <w:sz w:val="22"/>
                <w:szCs w:val="22"/>
                <w:highlight w:val="none"/>
                <w:u w:val="none"/>
              </w:rPr>
            </w:pPr>
          </w:p>
        </w:tc>
      </w:tr>
      <w:tr w14:paraId="0F68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2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B1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任务信息维护</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68987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可新增、修改、删除任务基本信息（名称、时间、地点、内容、责任人员等），支持关联执法力量、设置任务优先级。</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B68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EBDE">
            <w:pPr>
              <w:jc w:val="center"/>
              <w:rPr>
                <w:rFonts w:hint="eastAsia" w:ascii="宋体" w:hAnsi="宋体" w:eastAsia="宋体" w:cs="宋体"/>
                <w:b/>
                <w:bCs/>
                <w:i w:val="0"/>
                <w:iCs w:val="0"/>
                <w:color w:val="auto"/>
                <w:sz w:val="22"/>
                <w:szCs w:val="22"/>
                <w:highlight w:val="none"/>
                <w:u w:val="none"/>
              </w:rPr>
            </w:pPr>
          </w:p>
        </w:tc>
      </w:tr>
      <w:tr w14:paraId="2BC2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12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53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状态管理与展示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55CD8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任务状态分为“未开始/进行中/已结束/已取消”，可标记任务结束并填写总结，查询结果以分页表格形式展示，支持自定义每页条数。</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214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D1D1">
            <w:pPr>
              <w:jc w:val="center"/>
              <w:rPr>
                <w:rFonts w:hint="eastAsia" w:ascii="宋体" w:hAnsi="宋体" w:eastAsia="宋体" w:cs="宋体"/>
                <w:b/>
                <w:bCs/>
                <w:i w:val="0"/>
                <w:iCs w:val="0"/>
                <w:color w:val="auto"/>
                <w:sz w:val="22"/>
                <w:szCs w:val="22"/>
                <w:highlight w:val="none"/>
                <w:u w:val="none"/>
              </w:rPr>
            </w:pPr>
          </w:p>
        </w:tc>
      </w:tr>
      <w:tr w14:paraId="357B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D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03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执法知识库</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4074D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管理人员通过系统面向执法队员乃至全部门提供相关的执法知识管理功能。在执法知识库中，系统提供了智能化的搜索引擎服务。用户可以按照各类筛选条件来进行搜索。</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420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FD31">
            <w:pPr>
              <w:jc w:val="center"/>
              <w:rPr>
                <w:rFonts w:hint="eastAsia" w:ascii="宋体" w:hAnsi="宋体" w:eastAsia="宋体" w:cs="宋体"/>
                <w:b/>
                <w:bCs/>
                <w:i w:val="0"/>
                <w:iCs w:val="0"/>
                <w:color w:val="auto"/>
                <w:sz w:val="22"/>
                <w:szCs w:val="22"/>
                <w:highlight w:val="none"/>
                <w:u w:val="none"/>
              </w:rPr>
            </w:pPr>
          </w:p>
        </w:tc>
      </w:tr>
      <w:tr w14:paraId="78AD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D1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17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知识内容管理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75BF4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管理人员可上传、编辑、删除执法相关知识（法律法规、执法流程、典型案例、应急预案等），支持富文本编辑和附件上传，按知识类型分类存储。</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B00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C004">
            <w:pPr>
              <w:jc w:val="center"/>
              <w:rPr>
                <w:rFonts w:hint="eastAsia" w:ascii="宋体" w:hAnsi="宋体" w:eastAsia="宋体" w:cs="宋体"/>
                <w:b/>
                <w:bCs/>
                <w:i w:val="0"/>
                <w:iCs w:val="0"/>
                <w:color w:val="auto"/>
                <w:sz w:val="22"/>
                <w:szCs w:val="22"/>
                <w:highlight w:val="none"/>
                <w:u w:val="none"/>
              </w:rPr>
            </w:pPr>
          </w:p>
        </w:tc>
      </w:tr>
      <w:tr w14:paraId="68AA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1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90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智能化搜索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77B1B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提供关键词搜索+多条件筛选功能，可按知识类型、发布时间、热度等缩小搜索范围，结果按相关性排序展示。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633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8B9B">
            <w:pPr>
              <w:jc w:val="center"/>
              <w:rPr>
                <w:rFonts w:hint="eastAsia" w:ascii="宋体" w:hAnsi="宋体" w:eastAsia="宋体" w:cs="宋体"/>
                <w:b/>
                <w:bCs/>
                <w:i w:val="0"/>
                <w:iCs w:val="0"/>
                <w:color w:val="auto"/>
                <w:sz w:val="22"/>
                <w:szCs w:val="22"/>
                <w:highlight w:val="none"/>
                <w:u w:val="none"/>
              </w:rPr>
            </w:pPr>
          </w:p>
        </w:tc>
      </w:tr>
      <w:tr w14:paraId="62165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51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C1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知识使用便捷性</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A492A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支持知识收藏、分享，自动统计浏览量和收藏量，生成热门知识排行榜，便于执法人员快速获取常用内容。</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561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0C67">
            <w:pPr>
              <w:jc w:val="center"/>
              <w:rPr>
                <w:rFonts w:hint="eastAsia" w:ascii="宋体" w:hAnsi="宋体" w:eastAsia="宋体" w:cs="宋体"/>
                <w:b/>
                <w:bCs/>
                <w:i w:val="0"/>
                <w:iCs w:val="0"/>
                <w:color w:val="auto"/>
                <w:sz w:val="22"/>
                <w:szCs w:val="22"/>
                <w:highlight w:val="none"/>
                <w:u w:val="none"/>
              </w:rPr>
            </w:pPr>
          </w:p>
        </w:tc>
      </w:tr>
      <w:tr w14:paraId="67FA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AD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21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执法数据查询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EAF14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系统支持日常巡查数据查询、一般性检查工作、违法违规作业检查、船员检查等，检查结果可在系统记录管理。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数据记录：日常巡检中产生的检查结果通过录入的方式上传到信息，除开一些基本信息还可进行照片和文件等上传更健全的维护信息。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F43F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67F3">
            <w:pPr>
              <w:jc w:val="center"/>
              <w:rPr>
                <w:rFonts w:hint="eastAsia" w:ascii="宋体" w:hAnsi="宋体" w:eastAsia="宋体" w:cs="宋体"/>
                <w:b/>
                <w:bCs/>
                <w:i w:val="0"/>
                <w:iCs w:val="0"/>
                <w:color w:val="auto"/>
                <w:sz w:val="22"/>
                <w:szCs w:val="22"/>
                <w:highlight w:val="none"/>
                <w:u w:val="none"/>
              </w:rPr>
            </w:pPr>
          </w:p>
        </w:tc>
      </w:tr>
      <w:tr w14:paraId="6A044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0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2B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案件数据汇总分析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E5E0A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执法人员填写录入相关执法案件情况，可分类为非法捕捞、非法养殖、非法载客、北斗终端异常关机等案件，对信息进行汇总，形成案件查处档案，汇总为案件数据库。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数据汇总：录入执法案件的相关情况后系统会整理进同类的信息表，和相关的案件形成有效的档案，同类档案可分析各类案件特征和数据的深度挖掘。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907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057E">
            <w:pPr>
              <w:jc w:val="center"/>
              <w:rPr>
                <w:rFonts w:hint="eastAsia" w:ascii="宋体" w:hAnsi="宋体" w:eastAsia="宋体" w:cs="宋体"/>
                <w:b/>
                <w:bCs/>
                <w:i w:val="0"/>
                <w:iCs w:val="0"/>
                <w:color w:val="auto"/>
                <w:sz w:val="22"/>
                <w:szCs w:val="22"/>
                <w:highlight w:val="none"/>
                <w:u w:val="none"/>
              </w:rPr>
            </w:pPr>
          </w:p>
        </w:tc>
      </w:tr>
      <w:tr w14:paraId="42D9B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C59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（七）</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E737">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执法通讯模块</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8D92001">
            <w:pPr>
              <w:jc w:val="left"/>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546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239F">
            <w:pPr>
              <w:jc w:val="center"/>
              <w:rPr>
                <w:rFonts w:hint="eastAsia" w:ascii="宋体" w:hAnsi="宋体" w:eastAsia="宋体" w:cs="宋体"/>
                <w:b/>
                <w:bCs/>
                <w:i w:val="0"/>
                <w:iCs w:val="0"/>
                <w:color w:val="auto"/>
                <w:sz w:val="22"/>
                <w:szCs w:val="22"/>
                <w:highlight w:val="none"/>
                <w:u w:val="none"/>
              </w:rPr>
            </w:pPr>
          </w:p>
        </w:tc>
      </w:tr>
      <w:tr w14:paraId="5848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2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3F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指挥中心功能</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538FB49">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EDA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A3CC">
            <w:pPr>
              <w:jc w:val="center"/>
              <w:rPr>
                <w:rFonts w:hint="eastAsia" w:ascii="宋体" w:hAnsi="宋体" w:eastAsia="宋体" w:cs="宋体"/>
                <w:b/>
                <w:bCs/>
                <w:i w:val="0"/>
                <w:iCs w:val="0"/>
                <w:color w:val="auto"/>
                <w:sz w:val="22"/>
                <w:szCs w:val="22"/>
                <w:highlight w:val="none"/>
                <w:u w:val="none"/>
              </w:rPr>
            </w:pPr>
          </w:p>
        </w:tc>
      </w:tr>
      <w:tr w14:paraId="6203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99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2D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视频资源统管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99678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指挥中心可通过指挥调度平台实现多种视频资源的统一监控调看，支持执法记录仪视频、移动单兵视频、无人机视频、移动布控球视频、智能手机视频等，支持多路视频资源的同步调看，系统预留对接接口。</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支持对于有云台功能等的视频监控终端、移动布控球，可通过指挥调度平台进行远程云台控制。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对于具备拾音和扩音功能的视频监控终端、移动布控球等视频终端，指挥调度平台可调看实时视频，支持实现双向语音对讲通话。</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DD6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1DE8">
            <w:pPr>
              <w:jc w:val="center"/>
              <w:rPr>
                <w:rFonts w:hint="eastAsia" w:ascii="宋体" w:hAnsi="宋体" w:eastAsia="宋体" w:cs="宋体"/>
                <w:b/>
                <w:bCs/>
                <w:i w:val="0"/>
                <w:iCs w:val="0"/>
                <w:color w:val="auto"/>
                <w:sz w:val="22"/>
                <w:szCs w:val="22"/>
                <w:highlight w:val="none"/>
                <w:u w:val="none"/>
              </w:rPr>
            </w:pPr>
          </w:p>
        </w:tc>
      </w:tr>
      <w:tr w14:paraId="550E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A9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0C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协同视频会商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A1497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在指挥中心处置突发事件过程中，值班人员可通过指挥调度平台快速组织前后端的多方视频会商。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一方面把处突现场的各种视频画面都拉入会议中，包含现场监控画面、现场无人机画面、现场手机画面、现场布控球画面、现场执法记录仪画面、现场单兵画面等。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另一方面可以把指挥中心会场画面、远程专家的微信同步拉入到会议中参会；可直接向参会人员发送手机短信，在短信里点击链接即可直接微信入会。</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同时，可支持和华为、腾讯等现有软硬件视频会议对接互通，现有软硬件视频会议会场可直接加入到应急视频会议，并可向现有软硬件视频会议会场按需推送现场多路视频画面（同步会场音频）。</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前端、后端、远端人员同步入会，共享多路视频画面，根据现场回传到多路画面进行协同分析决策。</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77B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7E02">
            <w:pPr>
              <w:jc w:val="center"/>
              <w:rPr>
                <w:rFonts w:hint="eastAsia" w:ascii="宋体" w:hAnsi="宋体" w:eastAsia="宋体" w:cs="宋体"/>
                <w:b/>
                <w:bCs/>
                <w:i w:val="0"/>
                <w:iCs w:val="0"/>
                <w:color w:val="auto"/>
                <w:sz w:val="22"/>
                <w:szCs w:val="22"/>
                <w:highlight w:val="none"/>
                <w:u w:val="none"/>
              </w:rPr>
            </w:pPr>
          </w:p>
        </w:tc>
      </w:tr>
      <w:tr w14:paraId="08B4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A5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E7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资源统一落图</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40B3F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指挥中心可在指挥调度平台地图页面标注重点场所、监控点位、广播点位、应急队伍、重要物资点位、人员实时位置等信息，辅助领导指挥决策。可在地图页面监控人员、物资、装备的位置和分布，在线条件检索。可通过指挥调度平台实时跟踪现场人员位置、历史轨迹回放；并可基于地图页面围绕事件点位扫描周边的执法人员，自动建组，可进行圈选视频会商、圈选集群对讲、圈选群组消息等可视化指挥业务。</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99A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3B21">
            <w:pPr>
              <w:jc w:val="center"/>
              <w:rPr>
                <w:rFonts w:hint="eastAsia" w:ascii="宋体" w:hAnsi="宋体" w:eastAsia="宋体" w:cs="宋体"/>
                <w:b/>
                <w:bCs/>
                <w:i w:val="0"/>
                <w:iCs w:val="0"/>
                <w:color w:val="auto"/>
                <w:sz w:val="22"/>
                <w:szCs w:val="22"/>
                <w:highlight w:val="none"/>
                <w:u w:val="none"/>
              </w:rPr>
            </w:pPr>
          </w:p>
        </w:tc>
      </w:tr>
      <w:tr w14:paraId="1E141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54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B5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视频通信调度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31620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指挥中心可通过指挥调度平台任意调看多种视频资源的统一监控调看，如指挥中心监控视频、执法记录仪视频、移动单兵视频、无人机视频、移动布控球视频、智能手机视频等。可实现和其他桌面指挥终端、移动指挥终端、移动单兵终端、执法记录仪、手机APP、微信、安卓手机（免安装APP）等多种类型的终端进行双向视频通话。</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9AB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2EE8">
            <w:pPr>
              <w:jc w:val="center"/>
              <w:rPr>
                <w:rFonts w:hint="eastAsia" w:ascii="宋体" w:hAnsi="宋体" w:eastAsia="宋体" w:cs="宋体"/>
                <w:b/>
                <w:bCs/>
                <w:i w:val="0"/>
                <w:iCs w:val="0"/>
                <w:color w:val="auto"/>
                <w:sz w:val="22"/>
                <w:szCs w:val="22"/>
                <w:highlight w:val="none"/>
                <w:u w:val="none"/>
              </w:rPr>
            </w:pPr>
          </w:p>
        </w:tc>
      </w:tr>
      <w:tr w14:paraId="4B823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EE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32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远程视频协助</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19C28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指挥中心现场救援场景下，指挥中心可实现和现场人员的双向视频通话，同时调度员可在现场回传画面中加入手势指引功能，同步到现场人员的移动端实时观看，方便远程指挥现场执法人员进行救援作业，通过远程手势指导可极大的减少声音指引的局限性，提高远程协助的准确度和救援效率。</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054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C0805">
            <w:pPr>
              <w:jc w:val="center"/>
              <w:rPr>
                <w:rFonts w:hint="eastAsia" w:ascii="宋体" w:hAnsi="宋体" w:eastAsia="宋体" w:cs="宋体"/>
                <w:b/>
                <w:bCs/>
                <w:i w:val="0"/>
                <w:iCs w:val="0"/>
                <w:color w:val="auto"/>
                <w:sz w:val="22"/>
                <w:szCs w:val="22"/>
                <w:highlight w:val="none"/>
                <w:u w:val="none"/>
              </w:rPr>
            </w:pPr>
          </w:p>
        </w:tc>
      </w:tr>
      <w:tr w14:paraId="7662B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45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247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值班电话调度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C3DFB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指挥中心需要呼叫指挥中心内工作人员时，直接在指挥调度平台上点击人员图标，选择语音呼叫，即可快速发起电话呼叫。</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可把指挥中心的内线分机、值班调度终端、人员手机、单兵终端、外联部门电话等号码信息统一录入到指挥调度平台，进行图标化定义，灵活分组，便于指挥中心人员一键快速调度相关人员。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54F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23B2">
            <w:pPr>
              <w:jc w:val="center"/>
              <w:rPr>
                <w:rFonts w:hint="eastAsia" w:ascii="宋体" w:hAnsi="宋体" w:eastAsia="宋体" w:cs="宋体"/>
                <w:b/>
                <w:bCs/>
                <w:i w:val="0"/>
                <w:iCs w:val="0"/>
                <w:color w:val="auto"/>
                <w:sz w:val="22"/>
                <w:szCs w:val="22"/>
                <w:highlight w:val="none"/>
                <w:u w:val="none"/>
              </w:rPr>
            </w:pPr>
          </w:p>
        </w:tc>
      </w:tr>
      <w:tr w14:paraId="40EF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CE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50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日常调度会议</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930C1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平时，指挥中心可通过指挥调度平台召开电视电话会议，包含电话会议和视频会议两种方式。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在会议过程中，可通过指挥调度平台临时邀请办公分机、个人手机号码入会。</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C79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DD4B">
            <w:pPr>
              <w:jc w:val="center"/>
              <w:rPr>
                <w:rFonts w:hint="eastAsia" w:ascii="宋体" w:hAnsi="宋体" w:eastAsia="宋体" w:cs="宋体"/>
                <w:b/>
                <w:bCs/>
                <w:i w:val="0"/>
                <w:iCs w:val="0"/>
                <w:color w:val="auto"/>
                <w:sz w:val="22"/>
                <w:szCs w:val="22"/>
                <w:highlight w:val="none"/>
                <w:u w:val="none"/>
              </w:rPr>
            </w:pPr>
          </w:p>
        </w:tc>
      </w:tr>
      <w:tr w14:paraId="5BFB0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3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B3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录音录像功能</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BC0B1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指挥调度过程中的语音通话、视频通话、对讲通话、电话会议、扩音广播、视频会商等多媒体通信过程均可实时录制。</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可通过指挥调度平台随时调看、回放。</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可给上层业务平台提供录音录像文件的API接口。</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7D1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DAA3B">
            <w:pPr>
              <w:jc w:val="center"/>
              <w:rPr>
                <w:rFonts w:hint="eastAsia" w:ascii="宋体" w:hAnsi="宋体" w:eastAsia="宋体" w:cs="宋体"/>
                <w:b/>
                <w:bCs/>
                <w:i w:val="0"/>
                <w:iCs w:val="0"/>
                <w:color w:val="auto"/>
                <w:sz w:val="22"/>
                <w:szCs w:val="22"/>
                <w:highlight w:val="none"/>
                <w:u w:val="none"/>
              </w:rPr>
            </w:pPr>
          </w:p>
        </w:tc>
      </w:tr>
      <w:tr w14:paraId="08BE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8E7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686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执法人员功能</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86CD474">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16D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04F5">
            <w:pPr>
              <w:jc w:val="center"/>
              <w:rPr>
                <w:rFonts w:hint="eastAsia" w:ascii="宋体" w:hAnsi="宋体" w:eastAsia="宋体" w:cs="宋体"/>
                <w:b/>
                <w:bCs/>
                <w:i w:val="0"/>
                <w:iCs w:val="0"/>
                <w:color w:val="auto"/>
                <w:sz w:val="22"/>
                <w:szCs w:val="22"/>
                <w:highlight w:val="none"/>
                <w:u w:val="none"/>
              </w:rPr>
            </w:pPr>
          </w:p>
        </w:tc>
      </w:tr>
      <w:tr w14:paraId="646F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1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BD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移动办公通信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71B46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现场执法人员可通过手机APP实现点对点的语音通话、视频通话。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可实现和指挥中心调度台、值班领导的桌面指挥终端/移动指挥终端双向语音通话、视频通话。</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并可实现和内部分机、外部手机号码的双向语音通话。</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0F6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49A1">
            <w:pPr>
              <w:jc w:val="center"/>
              <w:rPr>
                <w:rFonts w:hint="eastAsia" w:ascii="宋体" w:hAnsi="宋体" w:eastAsia="宋体" w:cs="宋体"/>
                <w:b/>
                <w:bCs/>
                <w:i w:val="0"/>
                <w:iCs w:val="0"/>
                <w:color w:val="auto"/>
                <w:sz w:val="22"/>
                <w:szCs w:val="22"/>
                <w:highlight w:val="none"/>
                <w:u w:val="none"/>
              </w:rPr>
            </w:pPr>
          </w:p>
        </w:tc>
      </w:tr>
      <w:tr w14:paraId="06F5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3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47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实时定位回传</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49764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现场执法人员可通过手机APP实时回传定位信息，在指挥中心调度台查看人员位置，并基于地图进行音视频指挥调度。</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F3E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88C2">
            <w:pPr>
              <w:jc w:val="center"/>
              <w:rPr>
                <w:rFonts w:hint="eastAsia" w:ascii="宋体" w:hAnsi="宋体" w:eastAsia="宋体" w:cs="宋体"/>
                <w:b/>
                <w:bCs/>
                <w:i w:val="0"/>
                <w:iCs w:val="0"/>
                <w:color w:val="auto"/>
                <w:sz w:val="22"/>
                <w:szCs w:val="22"/>
                <w:highlight w:val="none"/>
                <w:u w:val="none"/>
              </w:rPr>
            </w:pPr>
          </w:p>
        </w:tc>
      </w:tr>
      <w:tr w14:paraId="3212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EF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59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SOS紧急报警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03CF6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现场执法人员可通过手机APP实现SOS一键紧急报警，在指挥中心调度台进行报警音提醒接听。</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FDC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2BC2">
            <w:pPr>
              <w:jc w:val="center"/>
              <w:rPr>
                <w:rFonts w:hint="eastAsia" w:ascii="宋体" w:hAnsi="宋体" w:eastAsia="宋体" w:cs="宋体"/>
                <w:b/>
                <w:bCs/>
                <w:i w:val="0"/>
                <w:iCs w:val="0"/>
                <w:color w:val="auto"/>
                <w:sz w:val="22"/>
                <w:szCs w:val="22"/>
                <w:highlight w:val="none"/>
                <w:u w:val="none"/>
              </w:rPr>
            </w:pPr>
          </w:p>
        </w:tc>
      </w:tr>
      <w:tr w14:paraId="3B58A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2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1D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视频采集回传</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A9758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现场执法人员可通过手机APP采集现场音视频、图片等信息实时回传给指挥中心调度台。</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8C1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372B">
            <w:pPr>
              <w:jc w:val="center"/>
              <w:rPr>
                <w:rFonts w:hint="eastAsia" w:ascii="宋体" w:hAnsi="宋体" w:eastAsia="宋体" w:cs="宋体"/>
                <w:b/>
                <w:bCs/>
                <w:i w:val="0"/>
                <w:iCs w:val="0"/>
                <w:color w:val="auto"/>
                <w:sz w:val="22"/>
                <w:szCs w:val="22"/>
                <w:highlight w:val="none"/>
                <w:u w:val="none"/>
              </w:rPr>
            </w:pPr>
          </w:p>
        </w:tc>
      </w:tr>
      <w:tr w14:paraId="1CF80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3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74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视频监控调看</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888F8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现场执法人员可通过手机APP调看指挥中心监控图像、现场布控球图像、以及无人机图像等。</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ED9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10BD">
            <w:pPr>
              <w:jc w:val="center"/>
              <w:rPr>
                <w:rFonts w:hint="eastAsia" w:ascii="宋体" w:hAnsi="宋体" w:eastAsia="宋体" w:cs="宋体"/>
                <w:b/>
                <w:bCs/>
                <w:i w:val="0"/>
                <w:iCs w:val="0"/>
                <w:color w:val="auto"/>
                <w:sz w:val="22"/>
                <w:szCs w:val="22"/>
                <w:highlight w:val="none"/>
                <w:u w:val="none"/>
              </w:rPr>
            </w:pPr>
          </w:p>
        </w:tc>
      </w:tr>
      <w:tr w14:paraId="3FF9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26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15F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即时消息通信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66BC9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★现场执法人员可通过手机APP实现分组即时消息交互，在组内进行文本消息、语音消息、视频消息、图片信息、文件传输等类微信功能。</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A1C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3F87">
            <w:pPr>
              <w:jc w:val="center"/>
              <w:rPr>
                <w:rFonts w:hint="eastAsia" w:ascii="宋体" w:hAnsi="宋体" w:eastAsia="宋体" w:cs="宋体"/>
                <w:b/>
                <w:bCs/>
                <w:i w:val="0"/>
                <w:iCs w:val="0"/>
                <w:color w:val="auto"/>
                <w:sz w:val="22"/>
                <w:szCs w:val="22"/>
                <w:highlight w:val="none"/>
                <w:u w:val="none"/>
              </w:rPr>
            </w:pPr>
          </w:p>
        </w:tc>
      </w:tr>
      <w:tr w14:paraId="7E45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49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24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集群对讲通信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4080F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★现场执法人员可通过手机APP实现一呼百应的分组对讲通信。可实现和指挥中心进行一呼百应的分组集群对讲通信。</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6D7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95C8">
            <w:pPr>
              <w:jc w:val="center"/>
              <w:rPr>
                <w:rFonts w:hint="eastAsia" w:ascii="宋体" w:hAnsi="宋体" w:eastAsia="宋体" w:cs="宋体"/>
                <w:b/>
                <w:bCs/>
                <w:i w:val="0"/>
                <w:iCs w:val="0"/>
                <w:color w:val="auto"/>
                <w:sz w:val="22"/>
                <w:szCs w:val="22"/>
                <w:highlight w:val="none"/>
                <w:u w:val="none"/>
              </w:rPr>
            </w:pPr>
          </w:p>
        </w:tc>
      </w:tr>
      <w:tr w14:paraId="08DB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C4F8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（八）</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B69C">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移动端</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49630D1">
            <w:pPr>
              <w:jc w:val="left"/>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F1F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51FC">
            <w:pPr>
              <w:jc w:val="center"/>
              <w:rPr>
                <w:rFonts w:hint="eastAsia" w:ascii="宋体" w:hAnsi="宋体" w:eastAsia="宋体" w:cs="宋体"/>
                <w:b/>
                <w:bCs/>
                <w:i w:val="0"/>
                <w:iCs w:val="0"/>
                <w:color w:val="auto"/>
                <w:sz w:val="22"/>
                <w:szCs w:val="22"/>
                <w:highlight w:val="none"/>
                <w:u w:val="none"/>
              </w:rPr>
            </w:pPr>
          </w:p>
        </w:tc>
      </w:tr>
      <w:tr w14:paraId="04EF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C2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7C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管理端</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8F7D013">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636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2580">
            <w:pPr>
              <w:jc w:val="center"/>
              <w:rPr>
                <w:rFonts w:hint="eastAsia" w:ascii="宋体" w:hAnsi="宋体" w:eastAsia="宋体" w:cs="宋体"/>
                <w:b/>
                <w:bCs/>
                <w:i w:val="0"/>
                <w:iCs w:val="0"/>
                <w:color w:val="auto"/>
                <w:sz w:val="22"/>
                <w:szCs w:val="22"/>
                <w:highlight w:val="none"/>
                <w:u w:val="none"/>
              </w:rPr>
            </w:pPr>
          </w:p>
        </w:tc>
      </w:tr>
      <w:tr w14:paraId="5888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18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2E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船舶信息查询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73A13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移动端电子地图上，可查看辖区渔船的实时动态分布位置，查询船舶船号、船主、证书、图片等详细信息。加载专业化电子海图和矢量地图、影像底图等提供底图服务。作为不同工作环境下的工作底图，更好的配合业务工作。电子底图要求快速加载，采用切片技术，并快速响应切换到最新数据。</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980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17FF7">
            <w:pPr>
              <w:jc w:val="center"/>
              <w:rPr>
                <w:rFonts w:hint="eastAsia" w:ascii="宋体" w:hAnsi="宋体" w:eastAsia="宋体" w:cs="宋体"/>
                <w:b/>
                <w:bCs/>
                <w:i w:val="0"/>
                <w:iCs w:val="0"/>
                <w:color w:val="auto"/>
                <w:sz w:val="22"/>
                <w:szCs w:val="22"/>
                <w:highlight w:val="none"/>
                <w:u w:val="none"/>
              </w:rPr>
            </w:pPr>
          </w:p>
        </w:tc>
      </w:tr>
      <w:tr w14:paraId="79D2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9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80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底图服务支撑</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4F83D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入专业化电子海图、矢量地图、影像底图三类基础底图数据源，通过切片技术按行政区域、海域范围拆分底图文件，生成多级分辨率切片，支持底图缩放、平移、旋转操作，实时显示当前缩放级别、鼠标指向位置经纬度坐标，提供底图类型快速切换按钮。</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F45A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61B1">
            <w:pPr>
              <w:jc w:val="center"/>
              <w:rPr>
                <w:rFonts w:hint="eastAsia" w:ascii="宋体" w:hAnsi="宋体" w:eastAsia="宋体" w:cs="宋体"/>
                <w:b/>
                <w:bCs/>
                <w:i w:val="0"/>
                <w:iCs w:val="0"/>
                <w:color w:val="auto"/>
                <w:sz w:val="22"/>
                <w:szCs w:val="22"/>
                <w:highlight w:val="none"/>
                <w:u w:val="none"/>
              </w:rPr>
            </w:pPr>
          </w:p>
        </w:tc>
      </w:tr>
      <w:tr w14:paraId="3105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C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50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船舶实时动态展示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37A58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★对接AIS、北斗、雷达三类设备的实时定位数据，按“类型+状态”双重维度定义图标样式；支持按船舶类型、所属区域组合筛选。</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B8E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5B41">
            <w:pPr>
              <w:jc w:val="center"/>
              <w:rPr>
                <w:rFonts w:hint="eastAsia" w:ascii="宋体" w:hAnsi="宋体" w:eastAsia="宋体" w:cs="宋体"/>
                <w:b/>
                <w:bCs/>
                <w:i w:val="0"/>
                <w:iCs w:val="0"/>
                <w:color w:val="auto"/>
                <w:sz w:val="22"/>
                <w:szCs w:val="22"/>
                <w:highlight w:val="none"/>
                <w:u w:val="none"/>
              </w:rPr>
            </w:pPr>
          </w:p>
        </w:tc>
      </w:tr>
      <w:tr w14:paraId="0270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B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A3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船舶多维度查询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10110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提供精准查询入口，精准查询支持通过船名号、船舶编码、北斗终端号、AIS的MMSI码输入查询，支持模糊匹配。</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C11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A058">
            <w:pPr>
              <w:jc w:val="center"/>
              <w:rPr>
                <w:rFonts w:hint="eastAsia" w:ascii="宋体" w:hAnsi="宋体" w:eastAsia="宋体" w:cs="宋体"/>
                <w:b/>
                <w:bCs/>
                <w:i w:val="0"/>
                <w:iCs w:val="0"/>
                <w:color w:val="auto"/>
                <w:sz w:val="22"/>
                <w:szCs w:val="22"/>
                <w:highlight w:val="none"/>
                <w:u w:val="none"/>
              </w:rPr>
            </w:pPr>
          </w:p>
        </w:tc>
      </w:tr>
      <w:tr w14:paraId="1DAB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CA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94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船舶详情展示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24A50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点击地图船舶图标弹出详情面板，分标签展示核心信息：基础信息、证书信息、设备信息、实时动态；面板提供功能按钮。</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68D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FFC3">
            <w:pPr>
              <w:jc w:val="center"/>
              <w:rPr>
                <w:rFonts w:hint="eastAsia" w:ascii="宋体" w:hAnsi="宋体" w:eastAsia="宋体" w:cs="宋体"/>
                <w:b/>
                <w:bCs/>
                <w:i w:val="0"/>
                <w:iCs w:val="0"/>
                <w:color w:val="auto"/>
                <w:sz w:val="22"/>
                <w:szCs w:val="22"/>
                <w:highlight w:val="none"/>
                <w:u w:val="none"/>
              </w:rPr>
            </w:pPr>
          </w:p>
        </w:tc>
      </w:tr>
      <w:tr w14:paraId="7B45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67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48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船员信息查询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7FF45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为方便对船员信息管理，查询船员姓名、职务、身份证号码、联系方式、家庭住址等信息，管理人员可以通过移动APP端对所管辖的船员的基础信息进行增删查改功能。而船员则只能通过APP对自己的信息进行修改功能。管理人员和船员可以通过移动APP端查询人员的违规计分情况。</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4AC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C559">
            <w:pPr>
              <w:jc w:val="center"/>
              <w:rPr>
                <w:rFonts w:hint="eastAsia" w:ascii="宋体" w:hAnsi="宋体" w:eastAsia="宋体" w:cs="宋体"/>
                <w:b/>
                <w:bCs/>
                <w:i w:val="0"/>
                <w:iCs w:val="0"/>
                <w:color w:val="auto"/>
                <w:sz w:val="22"/>
                <w:szCs w:val="22"/>
                <w:highlight w:val="none"/>
                <w:u w:val="none"/>
              </w:rPr>
            </w:pPr>
          </w:p>
        </w:tc>
      </w:tr>
      <w:tr w14:paraId="23D5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F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AB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编辑基础信息</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C8BB6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管理人员通过移动APP可对管辖船员的基础信息（姓名、职务、身份证号码、联系方式、家庭住址）执行增删查改操作，新增信息时支持字段校验（如身份证号码格式验证、手机号合法性校验），确保数据准确。</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F73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4CFC">
            <w:pPr>
              <w:jc w:val="center"/>
              <w:rPr>
                <w:rFonts w:hint="eastAsia" w:ascii="宋体" w:hAnsi="宋体" w:eastAsia="宋体" w:cs="宋体"/>
                <w:b/>
                <w:bCs/>
                <w:i w:val="0"/>
                <w:iCs w:val="0"/>
                <w:color w:val="auto"/>
                <w:sz w:val="22"/>
                <w:szCs w:val="22"/>
                <w:highlight w:val="none"/>
                <w:u w:val="none"/>
              </w:rPr>
            </w:pPr>
          </w:p>
        </w:tc>
      </w:tr>
      <w:tr w14:paraId="7DFE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9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0D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修改本人信息</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296A8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船员通过APP仅能修改本人信息，修改记录自动留存（含修改前内容、修改时间、操作人），便于追溯核查。</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A4A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3A5E">
            <w:pPr>
              <w:jc w:val="center"/>
              <w:rPr>
                <w:rFonts w:hint="eastAsia" w:ascii="宋体" w:hAnsi="宋体" w:eastAsia="宋体" w:cs="宋体"/>
                <w:b/>
                <w:bCs/>
                <w:i w:val="0"/>
                <w:iCs w:val="0"/>
                <w:color w:val="auto"/>
                <w:sz w:val="22"/>
                <w:szCs w:val="22"/>
                <w:highlight w:val="none"/>
                <w:u w:val="none"/>
              </w:rPr>
            </w:pPr>
          </w:p>
        </w:tc>
      </w:tr>
      <w:tr w14:paraId="1E7D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1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A33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查询船员违规计分情况</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B67BB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管理人员和船员均可查询船员违规计分情况，计分页面展示累计分数、违规事由、处理时间等信息；船员若对计分有异议，可通过APP发起沟通申请，提交申诉说明及相关佐证材料。</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70C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B0F5">
            <w:pPr>
              <w:jc w:val="center"/>
              <w:rPr>
                <w:rFonts w:hint="eastAsia" w:ascii="宋体" w:hAnsi="宋体" w:eastAsia="宋体" w:cs="宋体"/>
                <w:b/>
                <w:bCs/>
                <w:i w:val="0"/>
                <w:iCs w:val="0"/>
                <w:color w:val="auto"/>
                <w:sz w:val="22"/>
                <w:szCs w:val="22"/>
                <w:highlight w:val="none"/>
                <w:u w:val="none"/>
              </w:rPr>
            </w:pPr>
          </w:p>
        </w:tc>
      </w:tr>
      <w:tr w14:paraId="793C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9C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D0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船员信息批量录入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86706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支持船员信息批量录入功能，管理人员可通过Excel模板导入船员数据，系统自动匹配对应渔船信息，导入结果进行提示。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74A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55A5">
            <w:pPr>
              <w:jc w:val="center"/>
              <w:rPr>
                <w:rFonts w:hint="eastAsia" w:ascii="宋体" w:hAnsi="宋体" w:eastAsia="宋体" w:cs="宋体"/>
                <w:b/>
                <w:bCs/>
                <w:i w:val="0"/>
                <w:iCs w:val="0"/>
                <w:color w:val="auto"/>
                <w:sz w:val="22"/>
                <w:szCs w:val="22"/>
                <w:highlight w:val="none"/>
                <w:u w:val="none"/>
              </w:rPr>
            </w:pPr>
          </w:p>
        </w:tc>
      </w:tr>
      <w:tr w14:paraId="35E97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58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22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资讯查看</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C24E6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可浏览渔港新闻动态、海洋政策执法宣传、海洋气象信息等咨询查看浏览。</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780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BEBD">
            <w:pPr>
              <w:jc w:val="center"/>
              <w:rPr>
                <w:rFonts w:hint="eastAsia" w:ascii="宋体" w:hAnsi="宋体" w:eastAsia="宋体" w:cs="宋体"/>
                <w:b/>
                <w:bCs/>
                <w:i w:val="0"/>
                <w:iCs w:val="0"/>
                <w:color w:val="auto"/>
                <w:sz w:val="22"/>
                <w:szCs w:val="22"/>
                <w:highlight w:val="none"/>
                <w:u w:val="none"/>
              </w:rPr>
            </w:pPr>
          </w:p>
        </w:tc>
      </w:tr>
      <w:tr w14:paraId="48EA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FD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9C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咨询浏览</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013F2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支持浏览渔港新闻动态、海洋政策执法宣传、海洋气象信息等资讯，资讯按类别分类展示（如“政策法规”“气象预警”“新闻动态”），用户可按发布时间排序（最新/最热）查看。</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6FB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ED6F">
            <w:pPr>
              <w:jc w:val="center"/>
              <w:rPr>
                <w:rFonts w:hint="eastAsia" w:ascii="宋体" w:hAnsi="宋体" w:eastAsia="宋体" w:cs="宋体"/>
                <w:b/>
                <w:bCs/>
                <w:i w:val="0"/>
                <w:iCs w:val="0"/>
                <w:color w:val="auto"/>
                <w:sz w:val="22"/>
                <w:szCs w:val="22"/>
                <w:highlight w:val="none"/>
                <w:u w:val="none"/>
              </w:rPr>
            </w:pPr>
          </w:p>
        </w:tc>
      </w:tr>
      <w:tr w14:paraId="3375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F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0E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富文本信息编辑</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7A8C0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管理员可通过系统富文本编辑器创作、编辑公众信息，支持上传图片、视频，并可设置文字样式、排版布局。</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E8C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2EF6">
            <w:pPr>
              <w:jc w:val="center"/>
              <w:rPr>
                <w:rFonts w:hint="eastAsia" w:ascii="宋体" w:hAnsi="宋体" w:eastAsia="宋体" w:cs="宋体"/>
                <w:b/>
                <w:bCs/>
                <w:i w:val="0"/>
                <w:iCs w:val="0"/>
                <w:color w:val="auto"/>
                <w:sz w:val="22"/>
                <w:szCs w:val="22"/>
                <w:highlight w:val="none"/>
                <w:u w:val="none"/>
              </w:rPr>
            </w:pPr>
          </w:p>
        </w:tc>
      </w:tr>
      <w:tr w14:paraId="320F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8D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9A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资讯编辑</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9A2D5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资讯发布后支持后续修改，修改记录自动保存版本（含原内容、修改内容、修改时间），管理员可回溯历史版本；资讯页面支持点赞、收藏功能，用户行为数据同步统计至后台。</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095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9EEA">
            <w:pPr>
              <w:jc w:val="center"/>
              <w:rPr>
                <w:rFonts w:hint="eastAsia" w:ascii="宋体" w:hAnsi="宋体" w:eastAsia="宋体" w:cs="宋体"/>
                <w:b/>
                <w:bCs/>
                <w:i w:val="0"/>
                <w:iCs w:val="0"/>
                <w:color w:val="auto"/>
                <w:sz w:val="22"/>
                <w:szCs w:val="22"/>
                <w:highlight w:val="none"/>
                <w:u w:val="none"/>
              </w:rPr>
            </w:pPr>
          </w:p>
        </w:tc>
      </w:tr>
      <w:tr w14:paraId="7123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D2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B4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执法信息录入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A9B8B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业行政执法可提高执法人员在港口例行检查、登船检查等一线处置过程中的执法效率。执法人员在系统查看检查对象的基本信息，并对其生产经营情况进行执法检查，可对现场执法检查照片文字材料记录，在确认填报无误后，执法对象进行电子签名完成提报。PC业务端可以对提报的信息进行编辑、删除、查询操作。</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415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DA9D">
            <w:pPr>
              <w:jc w:val="center"/>
              <w:rPr>
                <w:rFonts w:hint="eastAsia" w:ascii="宋体" w:hAnsi="宋体" w:eastAsia="宋体" w:cs="宋体"/>
                <w:b/>
                <w:bCs/>
                <w:i w:val="0"/>
                <w:iCs w:val="0"/>
                <w:color w:val="auto"/>
                <w:sz w:val="22"/>
                <w:szCs w:val="22"/>
                <w:highlight w:val="none"/>
                <w:u w:val="none"/>
              </w:rPr>
            </w:pPr>
          </w:p>
        </w:tc>
      </w:tr>
      <w:tr w14:paraId="3BE3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00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FD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例行检查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A0DE5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执法人员在港口例行检查、登船检查时，可通过APP查看检查对象（渔船/船员）的基础信息（船号、船主、证书状态、历史检查记录），快速掌握检查背景。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336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C836">
            <w:pPr>
              <w:jc w:val="center"/>
              <w:rPr>
                <w:rFonts w:hint="eastAsia" w:ascii="宋体" w:hAnsi="宋体" w:eastAsia="宋体" w:cs="宋体"/>
                <w:b/>
                <w:bCs/>
                <w:i w:val="0"/>
                <w:iCs w:val="0"/>
                <w:color w:val="auto"/>
                <w:sz w:val="22"/>
                <w:szCs w:val="22"/>
                <w:highlight w:val="none"/>
                <w:u w:val="none"/>
              </w:rPr>
            </w:pPr>
          </w:p>
        </w:tc>
      </w:tr>
      <w:tr w14:paraId="5326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14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A6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检查信息上报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6289A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★支持录入检查信息，包括检查时间、检查地点、检查项目（如安全设备、捕捞合规性）、检查结果（合格/不合格/整改），可上传现场照片（</w:t>
            </w:r>
            <w:r>
              <w:rPr>
                <w:rFonts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9张）、文字说明材料，支持语音输入转文字功能提高录入效率。</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2BE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38C3">
            <w:pPr>
              <w:jc w:val="center"/>
              <w:rPr>
                <w:rFonts w:hint="eastAsia" w:ascii="宋体" w:hAnsi="宋体" w:eastAsia="宋体" w:cs="宋体"/>
                <w:b/>
                <w:bCs/>
                <w:i w:val="0"/>
                <w:iCs w:val="0"/>
                <w:color w:val="auto"/>
                <w:sz w:val="22"/>
                <w:szCs w:val="22"/>
                <w:highlight w:val="none"/>
                <w:u w:val="none"/>
              </w:rPr>
            </w:pPr>
          </w:p>
        </w:tc>
      </w:tr>
      <w:tr w14:paraId="7CF8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91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76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电子签名</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74BF0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检查信息填报完成后，需执法对象进行电子签名确认，签名数据加密存储；PC业务端可对提报的执法信息执行编辑、删除、查询操作，查询支持按检查时间、区域、结果类型多维度筛选。</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34B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5642">
            <w:pPr>
              <w:jc w:val="center"/>
              <w:rPr>
                <w:rFonts w:hint="eastAsia" w:ascii="宋体" w:hAnsi="宋体" w:eastAsia="宋体" w:cs="宋体"/>
                <w:b/>
                <w:bCs/>
                <w:i w:val="0"/>
                <w:iCs w:val="0"/>
                <w:color w:val="auto"/>
                <w:sz w:val="22"/>
                <w:szCs w:val="22"/>
                <w:highlight w:val="none"/>
                <w:u w:val="none"/>
              </w:rPr>
            </w:pPr>
          </w:p>
        </w:tc>
      </w:tr>
      <w:tr w14:paraId="1E90C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C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20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案件信息上报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9EB44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将执法案件信息录入上报汇总，包括处罚对象信息、案件类型、处罚情况等。案件支持按照时间、类型、处置状态、区域等多种维度分类统计。</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544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633F">
            <w:pPr>
              <w:jc w:val="center"/>
              <w:rPr>
                <w:rFonts w:hint="eastAsia" w:ascii="宋体" w:hAnsi="宋体" w:eastAsia="宋体" w:cs="宋体"/>
                <w:b/>
                <w:bCs/>
                <w:i w:val="0"/>
                <w:iCs w:val="0"/>
                <w:color w:val="auto"/>
                <w:sz w:val="22"/>
                <w:szCs w:val="22"/>
                <w:highlight w:val="none"/>
                <w:u w:val="none"/>
              </w:rPr>
            </w:pPr>
          </w:p>
        </w:tc>
      </w:tr>
      <w:tr w14:paraId="2FF4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6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5F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执法案件信息录入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A662B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录入执法案件信息，包括处罚对象信息（船号、船主、联系方式）、案件类型（如非法捕捞、无证航行、违规作业）、处罚依据、处罚结果（罚款金额、整改要求、暂扣证书）等，录入字段支持关联选择（如选择案件类型后自动匹配对应处罚依据）。</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55D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DA1F">
            <w:pPr>
              <w:jc w:val="center"/>
              <w:rPr>
                <w:rFonts w:hint="eastAsia" w:ascii="宋体" w:hAnsi="宋体" w:eastAsia="宋体" w:cs="宋体"/>
                <w:b/>
                <w:bCs/>
                <w:i w:val="0"/>
                <w:iCs w:val="0"/>
                <w:color w:val="auto"/>
                <w:sz w:val="22"/>
                <w:szCs w:val="22"/>
                <w:highlight w:val="none"/>
                <w:u w:val="none"/>
              </w:rPr>
            </w:pPr>
          </w:p>
        </w:tc>
      </w:tr>
      <w:tr w14:paraId="35C96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88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F2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多维分类统计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B4B89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案件信息支持多维度分类统计，系统按时间（日/周/月/年）、案件类型、处置状态（待处理/处理中/已结案）、区域自动生成统计报表，报表支持柱状图、饼图、折线图展示，可导出为Excel/PDF格式。</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890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95A7">
            <w:pPr>
              <w:jc w:val="center"/>
              <w:rPr>
                <w:rFonts w:hint="eastAsia" w:ascii="宋体" w:hAnsi="宋体" w:eastAsia="宋体" w:cs="宋体"/>
                <w:b/>
                <w:bCs/>
                <w:i w:val="0"/>
                <w:iCs w:val="0"/>
                <w:color w:val="auto"/>
                <w:sz w:val="22"/>
                <w:szCs w:val="22"/>
                <w:highlight w:val="none"/>
                <w:u w:val="none"/>
              </w:rPr>
            </w:pPr>
          </w:p>
        </w:tc>
      </w:tr>
      <w:tr w14:paraId="1CE3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0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D4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自动分析上报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4A8D5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系统自动分析上报信息，提取特征点（如高频违法区域、主要案件类型）生成数据汇总报告，为执法监管决策提供数据支撑，报告可手动刷新或设置定时推送（如每月1日推送月度报告）。</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23C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FD80">
            <w:pPr>
              <w:jc w:val="center"/>
              <w:rPr>
                <w:rFonts w:hint="eastAsia" w:ascii="宋体" w:hAnsi="宋体" w:eastAsia="宋体" w:cs="宋体"/>
                <w:b/>
                <w:bCs/>
                <w:i w:val="0"/>
                <w:iCs w:val="0"/>
                <w:color w:val="auto"/>
                <w:sz w:val="22"/>
                <w:szCs w:val="22"/>
                <w:highlight w:val="none"/>
                <w:u w:val="none"/>
              </w:rPr>
            </w:pPr>
          </w:p>
        </w:tc>
      </w:tr>
      <w:tr w14:paraId="305C0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C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10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乡镇船舶录入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BC65E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乡镇管理人员可通过移动端对辖区内船舶信息进行统一录入与维护，支持基础信息填写、证照信息补充及船舶图片上传，实现乡镇船舶数据的标准化采集与动态管理。</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57A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9EBC">
            <w:pPr>
              <w:jc w:val="center"/>
              <w:rPr>
                <w:rFonts w:hint="eastAsia" w:ascii="宋体" w:hAnsi="宋体" w:eastAsia="宋体" w:cs="宋体"/>
                <w:b/>
                <w:bCs/>
                <w:i w:val="0"/>
                <w:iCs w:val="0"/>
                <w:color w:val="auto"/>
                <w:sz w:val="22"/>
                <w:szCs w:val="22"/>
                <w:highlight w:val="none"/>
                <w:u w:val="none"/>
              </w:rPr>
            </w:pPr>
          </w:p>
        </w:tc>
      </w:tr>
      <w:tr w14:paraId="1F1B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8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77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乡镇船舶信息查询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F0DE5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乡镇管理人员可通过移动端对辖区内船舶信息进行快速查询与查看，支持多条件筛选与详情展示，便于掌握船舶基础信息、证照状态及管理情况。</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135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AC19">
            <w:pPr>
              <w:jc w:val="center"/>
              <w:rPr>
                <w:rFonts w:hint="eastAsia" w:ascii="宋体" w:hAnsi="宋体" w:eastAsia="宋体" w:cs="宋体"/>
                <w:b/>
                <w:bCs/>
                <w:i w:val="0"/>
                <w:iCs w:val="0"/>
                <w:color w:val="auto"/>
                <w:sz w:val="22"/>
                <w:szCs w:val="22"/>
                <w:highlight w:val="none"/>
                <w:u w:val="none"/>
              </w:rPr>
            </w:pPr>
          </w:p>
        </w:tc>
      </w:tr>
      <w:tr w14:paraId="3179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35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5E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进出港查询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7D3DD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管理人员可通过移动端查询渔船进出港记录信息，实时掌握渔船进港、出港动态，支持多条件筛选与详情查看，提升港口监管与调度效率。</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367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3D6F">
            <w:pPr>
              <w:jc w:val="center"/>
              <w:rPr>
                <w:rFonts w:hint="eastAsia" w:ascii="宋体" w:hAnsi="宋体" w:eastAsia="宋体" w:cs="宋体"/>
                <w:b/>
                <w:bCs/>
                <w:i w:val="0"/>
                <w:iCs w:val="0"/>
                <w:color w:val="auto"/>
                <w:sz w:val="22"/>
                <w:szCs w:val="22"/>
                <w:highlight w:val="none"/>
                <w:u w:val="none"/>
              </w:rPr>
            </w:pPr>
          </w:p>
        </w:tc>
      </w:tr>
      <w:tr w14:paraId="5D44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99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29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哨所管理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325B4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★通过移动端实现哨所执法检查流程的电子化与可视化管理，支持任务派发、现场处置、过程记录与考核评价，全面提升执法响应效率与监管规范性。</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9F3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03E6">
            <w:pPr>
              <w:jc w:val="center"/>
              <w:rPr>
                <w:rFonts w:hint="eastAsia" w:ascii="宋体" w:hAnsi="宋体" w:eastAsia="宋体" w:cs="宋体"/>
                <w:b/>
                <w:bCs/>
                <w:i w:val="0"/>
                <w:iCs w:val="0"/>
                <w:color w:val="auto"/>
                <w:sz w:val="22"/>
                <w:szCs w:val="22"/>
                <w:highlight w:val="none"/>
                <w:u w:val="none"/>
              </w:rPr>
            </w:pPr>
          </w:p>
        </w:tc>
      </w:tr>
      <w:tr w14:paraId="55E4F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2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AD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公众服务端</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AF596E2">
            <w:pPr>
              <w:jc w:val="left"/>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C6E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0DA3">
            <w:pPr>
              <w:jc w:val="center"/>
              <w:rPr>
                <w:rFonts w:hint="eastAsia" w:ascii="宋体" w:hAnsi="宋体" w:eastAsia="宋体" w:cs="宋体"/>
                <w:b/>
                <w:bCs/>
                <w:i w:val="0"/>
                <w:iCs w:val="0"/>
                <w:color w:val="auto"/>
                <w:sz w:val="22"/>
                <w:szCs w:val="22"/>
                <w:highlight w:val="none"/>
                <w:u w:val="none"/>
              </w:rPr>
            </w:pPr>
          </w:p>
        </w:tc>
      </w:tr>
      <w:tr w14:paraId="188F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1C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4B6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资讯查看</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1164B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可浏览渔港新闻动态、海洋政策执法宣传、海洋气象信息等咨询查看浏览。</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C64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A7FD">
            <w:pPr>
              <w:jc w:val="center"/>
              <w:rPr>
                <w:rFonts w:hint="eastAsia" w:ascii="宋体" w:hAnsi="宋体" w:eastAsia="宋体" w:cs="宋体"/>
                <w:b/>
                <w:bCs/>
                <w:i w:val="0"/>
                <w:iCs w:val="0"/>
                <w:color w:val="auto"/>
                <w:sz w:val="22"/>
                <w:szCs w:val="22"/>
                <w:highlight w:val="none"/>
                <w:u w:val="none"/>
              </w:rPr>
            </w:pPr>
          </w:p>
        </w:tc>
      </w:tr>
      <w:tr w14:paraId="770F4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E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74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咨询发布</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E88DB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支持管理员操作输入资讯创作、资讯编辑、资讯发布、资讯删除），所有输入动作均触发内容格式校验与存储逻辑，富文本编辑支持图片、视频上传校验（格式、大小）。</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536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ED0F">
            <w:pPr>
              <w:jc w:val="center"/>
              <w:rPr>
                <w:rFonts w:hint="eastAsia" w:ascii="宋体" w:hAnsi="宋体" w:eastAsia="宋体" w:cs="宋体"/>
                <w:b/>
                <w:bCs/>
                <w:i w:val="0"/>
                <w:iCs w:val="0"/>
                <w:color w:val="auto"/>
                <w:sz w:val="22"/>
                <w:szCs w:val="22"/>
                <w:highlight w:val="none"/>
                <w:u w:val="none"/>
              </w:rPr>
            </w:pPr>
          </w:p>
        </w:tc>
      </w:tr>
      <w:tr w14:paraId="582B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B0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69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资讯维护</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5043F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本地维护资讯内容库、资讯分类库，存储资讯正文、图片视频地址、分类标签、发布时间等数据，支持按发布时间、阅读量排序，数据保留周期≥3年。</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CE3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99E8">
            <w:pPr>
              <w:jc w:val="center"/>
              <w:rPr>
                <w:rFonts w:hint="eastAsia" w:ascii="宋体" w:hAnsi="宋体" w:eastAsia="宋体" w:cs="宋体"/>
                <w:b/>
                <w:bCs/>
                <w:i w:val="0"/>
                <w:iCs w:val="0"/>
                <w:color w:val="auto"/>
                <w:sz w:val="22"/>
                <w:szCs w:val="22"/>
                <w:highlight w:val="none"/>
                <w:u w:val="none"/>
              </w:rPr>
            </w:pPr>
          </w:p>
        </w:tc>
      </w:tr>
      <w:tr w14:paraId="057C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B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4D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咨询展示</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5CD59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输出资讯列表展示、资讯详情展示、历史版本对比，展示内容含排版格式渲染、阅读量统计等派生逻辑，详情页加载时间≤1.5秒。</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15C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7098">
            <w:pPr>
              <w:jc w:val="center"/>
              <w:rPr>
                <w:rFonts w:hint="eastAsia" w:ascii="宋体" w:hAnsi="宋体" w:eastAsia="宋体" w:cs="宋体"/>
                <w:b/>
                <w:bCs/>
                <w:i w:val="0"/>
                <w:iCs w:val="0"/>
                <w:color w:val="auto"/>
                <w:sz w:val="22"/>
                <w:szCs w:val="22"/>
                <w:highlight w:val="none"/>
                <w:u w:val="none"/>
              </w:rPr>
            </w:pPr>
          </w:p>
        </w:tc>
      </w:tr>
      <w:tr w14:paraId="6430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7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24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分类查询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0E972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支持资讯分类查询、关键词检索，仅检索数据不修改存储内容，查询结果按相关性排序，检索准确率≥95%。</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631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26E0">
            <w:pPr>
              <w:jc w:val="center"/>
              <w:rPr>
                <w:rFonts w:hint="eastAsia" w:ascii="宋体" w:hAnsi="宋体" w:eastAsia="宋体" w:cs="宋体"/>
                <w:b/>
                <w:bCs/>
                <w:i w:val="0"/>
                <w:iCs w:val="0"/>
                <w:color w:val="auto"/>
                <w:sz w:val="22"/>
                <w:szCs w:val="22"/>
                <w:highlight w:val="none"/>
                <w:u w:val="none"/>
              </w:rPr>
            </w:pPr>
          </w:p>
        </w:tc>
      </w:tr>
      <w:tr w14:paraId="04AA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C0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0A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信息接收</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27BA6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接收发布的证书超期预警、证书办理、举报投资事件反馈等信息，用户可查看信息详情。</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45B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D76B">
            <w:pPr>
              <w:jc w:val="center"/>
              <w:rPr>
                <w:rFonts w:hint="eastAsia" w:ascii="宋体" w:hAnsi="宋体" w:eastAsia="宋体" w:cs="宋体"/>
                <w:b/>
                <w:bCs/>
                <w:i w:val="0"/>
                <w:iCs w:val="0"/>
                <w:color w:val="auto"/>
                <w:sz w:val="22"/>
                <w:szCs w:val="22"/>
                <w:highlight w:val="none"/>
                <w:u w:val="none"/>
              </w:rPr>
            </w:pPr>
          </w:p>
        </w:tc>
      </w:tr>
      <w:tr w14:paraId="0995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A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23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证书超期预警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93ECA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自动接收系统发布的证书超期预警、证书办理通知、举报反馈等信息，信息推送方式支持短信、APP内部通知、邮件三种渠道，用户可在APP设置中自定义接收渠道。</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051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B2E5">
            <w:pPr>
              <w:jc w:val="center"/>
              <w:rPr>
                <w:rFonts w:hint="eastAsia" w:ascii="宋体" w:hAnsi="宋体" w:eastAsia="宋体" w:cs="宋体"/>
                <w:b/>
                <w:bCs/>
                <w:i w:val="0"/>
                <w:iCs w:val="0"/>
                <w:color w:val="auto"/>
                <w:sz w:val="22"/>
                <w:szCs w:val="22"/>
                <w:highlight w:val="none"/>
                <w:u w:val="none"/>
              </w:rPr>
            </w:pPr>
          </w:p>
        </w:tc>
      </w:tr>
      <w:tr w14:paraId="2142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93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B4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告警详情</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23671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信息详情页面展示完整内容（如预警证书名称、超期时间、办理指引；举报反馈的处理结果、处理时间、执法人员联系方式），支持跳转至相关服务页面（如证书补办申请）。</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140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FB20">
            <w:pPr>
              <w:jc w:val="center"/>
              <w:rPr>
                <w:rFonts w:hint="eastAsia" w:ascii="宋体" w:hAnsi="宋体" w:eastAsia="宋体" w:cs="宋体"/>
                <w:b/>
                <w:bCs/>
                <w:i w:val="0"/>
                <w:iCs w:val="0"/>
                <w:color w:val="auto"/>
                <w:sz w:val="22"/>
                <w:szCs w:val="22"/>
                <w:highlight w:val="none"/>
                <w:u w:val="none"/>
              </w:rPr>
            </w:pPr>
          </w:p>
        </w:tc>
      </w:tr>
      <w:tr w14:paraId="46EA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E73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4D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进出港报备</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8D39A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船东/船长进出渔港前在移动端上传进出港报，包括时间、渔港、人数、配员等。对未进出港报告的渔船会进行告警。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进出港报告功能支持船员在渔船即将进出港之前，进行进出港报告信息填写和申报，支持将渔船信息与个人信息进行绑定，方便渔港管理人员在后端进行进出港信息确认和管理。具体建设功能包括渔船绑定、新增出港报告和新增进港报告。</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396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CC39">
            <w:pPr>
              <w:jc w:val="center"/>
              <w:rPr>
                <w:rFonts w:hint="eastAsia" w:ascii="宋体" w:hAnsi="宋体" w:eastAsia="宋体" w:cs="宋体"/>
                <w:b/>
                <w:bCs/>
                <w:i w:val="0"/>
                <w:iCs w:val="0"/>
                <w:color w:val="auto"/>
                <w:sz w:val="22"/>
                <w:szCs w:val="22"/>
                <w:highlight w:val="none"/>
                <w:u w:val="none"/>
              </w:rPr>
            </w:pPr>
          </w:p>
        </w:tc>
      </w:tr>
      <w:tr w14:paraId="1360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76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F7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渔船绑定</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6D586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渔船绑定功能支持船员在移动端上进行船名、所有人证号、手机号等信息的填写，同时支持手机号短信验证码即时获取功能。</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8D8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D3C6">
            <w:pPr>
              <w:jc w:val="center"/>
              <w:rPr>
                <w:rFonts w:hint="eastAsia" w:ascii="宋体" w:hAnsi="宋体" w:eastAsia="宋体" w:cs="宋体"/>
                <w:b/>
                <w:bCs/>
                <w:i w:val="0"/>
                <w:iCs w:val="0"/>
                <w:color w:val="auto"/>
                <w:sz w:val="22"/>
                <w:szCs w:val="22"/>
                <w:highlight w:val="none"/>
                <w:u w:val="none"/>
              </w:rPr>
            </w:pPr>
          </w:p>
        </w:tc>
      </w:tr>
      <w:tr w14:paraId="48CC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FD9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A6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进港报告</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A6C6E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新增进港报告支持船员在移动端上进行渔船选择、进港时间选择、拟进渔港选择、进港人员信息添加、鱼获情况填写等信息，管理人员进行审核，同时支持对添加的进港人员名单进行展示。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6D9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0FAB">
            <w:pPr>
              <w:jc w:val="center"/>
              <w:rPr>
                <w:rFonts w:hint="eastAsia" w:ascii="宋体" w:hAnsi="宋体" w:eastAsia="宋体" w:cs="宋体"/>
                <w:b/>
                <w:bCs/>
                <w:i w:val="0"/>
                <w:iCs w:val="0"/>
                <w:color w:val="auto"/>
                <w:sz w:val="22"/>
                <w:szCs w:val="22"/>
                <w:highlight w:val="none"/>
                <w:u w:val="none"/>
              </w:rPr>
            </w:pPr>
          </w:p>
        </w:tc>
      </w:tr>
      <w:tr w14:paraId="3D6A7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D7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DE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出港报告</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53DF0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新增出港报告支持船员在移动端上进行渔船选择、出港时间选择、出发渔港、同行船舶信息添加、联系方式添加、出港人员信息添加，管理人员进行审核，同时支持对添加的出港人员名单进行展示。</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9A1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4E4C">
            <w:pPr>
              <w:jc w:val="center"/>
              <w:rPr>
                <w:rFonts w:hint="eastAsia" w:ascii="宋体" w:hAnsi="宋体" w:eastAsia="宋体" w:cs="宋体"/>
                <w:b/>
                <w:bCs/>
                <w:i w:val="0"/>
                <w:iCs w:val="0"/>
                <w:color w:val="auto"/>
                <w:sz w:val="22"/>
                <w:szCs w:val="22"/>
                <w:highlight w:val="none"/>
                <w:u w:val="none"/>
              </w:rPr>
            </w:pPr>
          </w:p>
        </w:tc>
      </w:tr>
      <w:tr w14:paraId="5D19C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3E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D4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投诉举报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30AAF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对海洋渔业违法违规事件可实时投诉、举报。举报信息上传系统由管理人员处理，并实时更新举报信息处理状态。执法人员处理完成之后，公众可以查看事件处理反馈结果。</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212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E7B5">
            <w:pPr>
              <w:jc w:val="center"/>
              <w:rPr>
                <w:rFonts w:hint="eastAsia" w:ascii="宋体" w:hAnsi="宋体" w:eastAsia="宋体" w:cs="宋体"/>
                <w:b/>
                <w:bCs/>
                <w:i w:val="0"/>
                <w:iCs w:val="0"/>
                <w:color w:val="auto"/>
                <w:sz w:val="22"/>
                <w:szCs w:val="22"/>
                <w:highlight w:val="none"/>
                <w:u w:val="none"/>
              </w:rPr>
            </w:pPr>
          </w:p>
        </w:tc>
      </w:tr>
      <w:tr w14:paraId="25F7F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C2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A1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投诉举报上报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10BA3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公众可通过移动端填写投诉举报信息，包括事件类型、事发地点、事情经过）、证据上传。</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C78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3BC6">
            <w:pPr>
              <w:jc w:val="center"/>
              <w:rPr>
                <w:rFonts w:hint="eastAsia" w:ascii="宋体" w:hAnsi="宋体" w:eastAsia="宋体" w:cs="宋体"/>
                <w:b/>
                <w:bCs/>
                <w:i w:val="0"/>
                <w:iCs w:val="0"/>
                <w:color w:val="auto"/>
                <w:sz w:val="22"/>
                <w:szCs w:val="22"/>
                <w:highlight w:val="none"/>
                <w:u w:val="none"/>
              </w:rPr>
            </w:pPr>
          </w:p>
        </w:tc>
      </w:tr>
      <w:tr w14:paraId="43E8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B2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47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投诉受理状态</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54BE1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提交后举报信息状态显示为“待处理”，执法人员收到线索后进行处置，处置过程中可更新状态（“处理中”），处理完成后标记“已处理”或“不予处理”，并填写处理结果及依据。</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F45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0095">
            <w:pPr>
              <w:jc w:val="center"/>
              <w:rPr>
                <w:rFonts w:hint="eastAsia" w:ascii="宋体" w:hAnsi="宋体" w:eastAsia="宋体" w:cs="宋体"/>
                <w:b/>
                <w:bCs/>
                <w:i w:val="0"/>
                <w:iCs w:val="0"/>
                <w:color w:val="auto"/>
                <w:sz w:val="22"/>
                <w:szCs w:val="22"/>
                <w:highlight w:val="none"/>
                <w:u w:val="none"/>
              </w:rPr>
            </w:pPr>
          </w:p>
        </w:tc>
      </w:tr>
      <w:tr w14:paraId="240C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C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5C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投诉结果反馈</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7A3C5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公众可通过举报记录列表查看每条举报的状态、处理详情及反馈结果，支持对处理结果进行满意度评价</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094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3B66">
            <w:pPr>
              <w:jc w:val="center"/>
              <w:rPr>
                <w:rFonts w:hint="eastAsia" w:ascii="宋体" w:hAnsi="宋体" w:eastAsia="宋体" w:cs="宋体"/>
                <w:b/>
                <w:bCs/>
                <w:i w:val="0"/>
                <w:iCs w:val="0"/>
                <w:color w:val="auto"/>
                <w:sz w:val="22"/>
                <w:szCs w:val="22"/>
                <w:highlight w:val="none"/>
                <w:u w:val="none"/>
              </w:rPr>
            </w:pPr>
          </w:p>
        </w:tc>
      </w:tr>
      <w:tr w14:paraId="0066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8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98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紧急救援</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F9E8A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支持一键救援，向指挥中心发送救援信号，含船只信息、待救援人数、船只定位等。</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A4E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D2FB">
            <w:pPr>
              <w:jc w:val="center"/>
              <w:rPr>
                <w:rFonts w:hint="eastAsia" w:ascii="宋体" w:hAnsi="宋体" w:eastAsia="宋体" w:cs="宋体"/>
                <w:b/>
                <w:bCs/>
                <w:i w:val="0"/>
                <w:iCs w:val="0"/>
                <w:color w:val="auto"/>
                <w:sz w:val="22"/>
                <w:szCs w:val="22"/>
                <w:highlight w:val="none"/>
                <w:u w:val="none"/>
              </w:rPr>
            </w:pPr>
          </w:p>
        </w:tc>
      </w:tr>
      <w:tr w14:paraId="63B8F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3C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B4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一键救援</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35B00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支持一键救援功能，船员点击APP首页“紧急救援”按钮，系统自动向指挥中心发送救援信号，信号包含船只详细信息（船号、类型、装载物品、当前状态）、待救援人数、实时定位坐标（精度≤10米）。</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EC5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B6CF">
            <w:pPr>
              <w:jc w:val="center"/>
              <w:rPr>
                <w:rFonts w:hint="eastAsia" w:ascii="宋体" w:hAnsi="宋体" w:eastAsia="宋体" w:cs="宋体"/>
                <w:b/>
                <w:bCs/>
                <w:i w:val="0"/>
                <w:iCs w:val="0"/>
                <w:color w:val="auto"/>
                <w:sz w:val="22"/>
                <w:szCs w:val="22"/>
                <w:highlight w:val="none"/>
                <w:u w:val="none"/>
              </w:rPr>
            </w:pPr>
          </w:p>
        </w:tc>
      </w:tr>
      <w:tr w14:paraId="7247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E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17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救援进度查看</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AA50A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救援信号发送后，船员可在APP端查看救援进度（指挥中心已接收/救援队伍已派出/救援中/已获救），指挥中心可通过系统向船员发送实时通知（如“救援船只预计30分钟到达，请保持通讯畅通”）。</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F9B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8041">
            <w:pPr>
              <w:jc w:val="center"/>
              <w:rPr>
                <w:rFonts w:hint="eastAsia" w:ascii="宋体" w:hAnsi="宋体" w:eastAsia="宋体" w:cs="宋体"/>
                <w:b/>
                <w:bCs/>
                <w:i w:val="0"/>
                <w:iCs w:val="0"/>
                <w:color w:val="auto"/>
                <w:sz w:val="22"/>
                <w:szCs w:val="22"/>
                <w:highlight w:val="none"/>
                <w:u w:val="none"/>
              </w:rPr>
            </w:pPr>
          </w:p>
        </w:tc>
      </w:tr>
      <w:tr w14:paraId="5BCDC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6C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9C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信息自动匹配</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FB712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民群众通过手机号码登录后，自动匹配船舶、船员信息(无法匹配的，可手动输入)，并与后台系统相互验证更新。提交信息后后台匹配所对应的信息当群众的信息或者所绑定船舶有信息变化时会自己更新最新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BAF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5234">
            <w:pPr>
              <w:jc w:val="center"/>
              <w:rPr>
                <w:rFonts w:hint="eastAsia" w:ascii="宋体" w:hAnsi="宋体" w:eastAsia="宋体" w:cs="宋体"/>
                <w:b/>
                <w:bCs/>
                <w:i w:val="0"/>
                <w:iCs w:val="0"/>
                <w:color w:val="auto"/>
                <w:sz w:val="22"/>
                <w:szCs w:val="22"/>
                <w:highlight w:val="none"/>
                <w:u w:val="none"/>
              </w:rPr>
            </w:pPr>
          </w:p>
        </w:tc>
      </w:tr>
      <w:tr w14:paraId="56D8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5B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B6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证书管理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51E4C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民以及渔船主可在移动端查看渔船船检、国籍、捕捞等证书的过期情况，针对已经过期或者临期的证书会进行预警。渔民通过列表查看各类信息证书有变动的证书通过修改更新最新信息，上传证书需要填写各类信息以及证书图片确保证书信息的正确性。</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452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0419">
            <w:pPr>
              <w:jc w:val="center"/>
              <w:rPr>
                <w:rFonts w:hint="eastAsia" w:ascii="宋体" w:hAnsi="宋体" w:eastAsia="宋体" w:cs="宋体"/>
                <w:b/>
                <w:bCs/>
                <w:i w:val="0"/>
                <w:iCs w:val="0"/>
                <w:color w:val="auto"/>
                <w:sz w:val="22"/>
                <w:szCs w:val="22"/>
                <w:highlight w:val="none"/>
                <w:u w:val="none"/>
              </w:rPr>
            </w:pPr>
          </w:p>
        </w:tc>
      </w:tr>
      <w:tr w14:paraId="3166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F8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1B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船东注册</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3C7CC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船东可通过移动端完成账号注册与身份信息录入，建立个人及名下船舶的基础档案，为后续业务办理、进出港服务提供统一入口。</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0C6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AEC6">
            <w:pPr>
              <w:jc w:val="center"/>
              <w:rPr>
                <w:rFonts w:hint="eastAsia" w:ascii="宋体" w:hAnsi="宋体" w:eastAsia="宋体" w:cs="宋体"/>
                <w:b/>
                <w:bCs/>
                <w:i w:val="0"/>
                <w:iCs w:val="0"/>
                <w:color w:val="auto"/>
                <w:sz w:val="22"/>
                <w:szCs w:val="22"/>
                <w:highlight w:val="none"/>
                <w:u w:val="none"/>
              </w:rPr>
            </w:pPr>
          </w:p>
        </w:tc>
      </w:tr>
      <w:tr w14:paraId="6F239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920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（九）</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8743">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第三方平台对接</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0A5E93C">
            <w:pPr>
              <w:jc w:val="left"/>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9C9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481B">
            <w:pPr>
              <w:jc w:val="center"/>
              <w:rPr>
                <w:rFonts w:hint="eastAsia" w:ascii="宋体" w:hAnsi="宋体" w:eastAsia="宋体" w:cs="宋体"/>
                <w:b/>
                <w:bCs/>
                <w:i w:val="0"/>
                <w:iCs w:val="0"/>
                <w:color w:val="auto"/>
                <w:sz w:val="22"/>
                <w:szCs w:val="22"/>
                <w:highlight w:val="none"/>
                <w:u w:val="none"/>
              </w:rPr>
            </w:pPr>
          </w:p>
        </w:tc>
      </w:tr>
      <w:tr w14:paraId="1A06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CA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9E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北海市反走私综合治理预警系统</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7D0FC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1、系统授权。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2、已安装雷达点位识别信息。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3、已安装高点监控光电信息。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4、预警信息。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80A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F423">
            <w:pPr>
              <w:jc w:val="center"/>
              <w:rPr>
                <w:rFonts w:hint="eastAsia" w:ascii="宋体" w:hAnsi="宋体" w:eastAsia="宋体" w:cs="宋体"/>
                <w:b/>
                <w:bCs/>
                <w:i w:val="0"/>
                <w:iCs w:val="0"/>
                <w:color w:val="auto"/>
                <w:sz w:val="22"/>
                <w:szCs w:val="22"/>
                <w:highlight w:val="none"/>
                <w:u w:val="none"/>
              </w:rPr>
            </w:pPr>
          </w:p>
        </w:tc>
      </w:tr>
      <w:tr w14:paraId="117B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F5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12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雪亮工程</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87701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1、系统授权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2、系统已接入雪亮工程所有视频信息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3、重点监管区域视频流格式监控信息，方便植入识别算法</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3DD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2877">
            <w:pPr>
              <w:jc w:val="center"/>
              <w:rPr>
                <w:rFonts w:hint="eastAsia" w:ascii="宋体" w:hAnsi="宋体" w:eastAsia="宋体" w:cs="宋体"/>
                <w:b/>
                <w:bCs/>
                <w:i w:val="0"/>
                <w:iCs w:val="0"/>
                <w:color w:val="auto"/>
                <w:sz w:val="22"/>
                <w:szCs w:val="22"/>
                <w:highlight w:val="none"/>
                <w:u w:val="none"/>
              </w:rPr>
            </w:pPr>
          </w:p>
        </w:tc>
      </w:tr>
      <w:tr w14:paraId="499DB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B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DF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海岸视频监控系统</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A4E27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1、系统授权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2、已安装海岸高点视频监控信息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3、监控预设方案</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1D6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E646">
            <w:pPr>
              <w:jc w:val="center"/>
              <w:rPr>
                <w:rFonts w:hint="eastAsia" w:ascii="宋体" w:hAnsi="宋体" w:eastAsia="宋体" w:cs="宋体"/>
                <w:b/>
                <w:bCs/>
                <w:i w:val="0"/>
                <w:iCs w:val="0"/>
                <w:color w:val="auto"/>
                <w:sz w:val="22"/>
                <w:szCs w:val="22"/>
                <w:highlight w:val="none"/>
                <w:u w:val="none"/>
              </w:rPr>
            </w:pPr>
          </w:p>
        </w:tc>
      </w:tr>
      <w:tr w14:paraId="56C8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B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55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电建智慧渔港系统</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99277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1、系统授权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2、渔船进出港信息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3、渔船信息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4、船员信息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5、AIS基站识别外来渔船信息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EDF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49F2">
            <w:pPr>
              <w:jc w:val="center"/>
              <w:rPr>
                <w:rFonts w:hint="eastAsia" w:ascii="宋体" w:hAnsi="宋体" w:eastAsia="宋体" w:cs="宋体"/>
                <w:b/>
                <w:bCs/>
                <w:i w:val="0"/>
                <w:iCs w:val="0"/>
                <w:color w:val="auto"/>
                <w:sz w:val="22"/>
                <w:szCs w:val="22"/>
                <w:highlight w:val="none"/>
                <w:u w:val="none"/>
              </w:rPr>
            </w:pPr>
          </w:p>
        </w:tc>
      </w:tr>
      <w:tr w14:paraId="5E23D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5A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AD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中国渔政管理指挥系统</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C9202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1、系统授权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2、全国渔船信息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3、渔船数据实时更新同步接口服务</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AAE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0F61">
            <w:pPr>
              <w:jc w:val="center"/>
              <w:rPr>
                <w:rFonts w:hint="eastAsia" w:ascii="宋体" w:hAnsi="宋体" w:eastAsia="宋体" w:cs="宋体"/>
                <w:b/>
                <w:bCs/>
                <w:i w:val="0"/>
                <w:iCs w:val="0"/>
                <w:color w:val="auto"/>
                <w:sz w:val="22"/>
                <w:szCs w:val="22"/>
                <w:highlight w:val="none"/>
                <w:u w:val="none"/>
              </w:rPr>
            </w:pPr>
          </w:p>
        </w:tc>
      </w:tr>
      <w:tr w14:paraId="2971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C7A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3C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中国渔业船员管理系统</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CD50D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1、系统授权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2、全国船员信息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3、船员数据实时更新同步接口服务</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0BA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0F6D">
            <w:pPr>
              <w:jc w:val="center"/>
              <w:rPr>
                <w:rFonts w:hint="eastAsia" w:ascii="宋体" w:hAnsi="宋体" w:eastAsia="宋体" w:cs="宋体"/>
                <w:b/>
                <w:bCs/>
                <w:i w:val="0"/>
                <w:iCs w:val="0"/>
                <w:color w:val="auto"/>
                <w:sz w:val="22"/>
                <w:szCs w:val="22"/>
                <w:highlight w:val="none"/>
                <w:u w:val="none"/>
              </w:rPr>
            </w:pPr>
          </w:p>
        </w:tc>
      </w:tr>
      <w:tr w14:paraId="3553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7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FD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广西海洋渔船安全救助信息系统</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2C558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1、系统授权</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2、告警信息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3、船舶信息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16C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9113">
            <w:pPr>
              <w:jc w:val="center"/>
              <w:rPr>
                <w:rFonts w:hint="eastAsia" w:ascii="宋体" w:hAnsi="宋体" w:eastAsia="宋体" w:cs="宋体"/>
                <w:b/>
                <w:bCs/>
                <w:i w:val="0"/>
                <w:iCs w:val="0"/>
                <w:color w:val="auto"/>
                <w:sz w:val="22"/>
                <w:szCs w:val="22"/>
                <w:highlight w:val="none"/>
                <w:u w:val="none"/>
              </w:rPr>
            </w:pPr>
          </w:p>
        </w:tc>
      </w:tr>
      <w:tr w14:paraId="21821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3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7A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福建飞通渔船信息管理平台</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E3E01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★1、系统授权。2、区域渔船定位信息</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B69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A071">
            <w:pPr>
              <w:jc w:val="center"/>
              <w:rPr>
                <w:rFonts w:hint="eastAsia" w:ascii="宋体" w:hAnsi="宋体" w:eastAsia="宋体" w:cs="宋体"/>
                <w:b/>
                <w:bCs/>
                <w:i w:val="0"/>
                <w:iCs w:val="0"/>
                <w:color w:val="auto"/>
                <w:sz w:val="22"/>
                <w:szCs w:val="22"/>
                <w:highlight w:val="none"/>
                <w:u w:val="none"/>
              </w:rPr>
            </w:pPr>
          </w:p>
        </w:tc>
      </w:tr>
      <w:tr w14:paraId="09E3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21A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（十）</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0CBF">
            <w:pPr>
              <w:keepNext w:val="0"/>
              <w:keepLines w:val="0"/>
              <w:widowControl/>
              <w:suppressLineNumbers w:val="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应用支撑平台</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472C8BC">
            <w:pPr>
              <w:jc w:val="left"/>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D94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D796">
            <w:pPr>
              <w:jc w:val="center"/>
              <w:rPr>
                <w:rFonts w:hint="eastAsia" w:ascii="宋体" w:hAnsi="宋体" w:eastAsia="宋体" w:cs="宋体"/>
                <w:b/>
                <w:bCs/>
                <w:i w:val="0"/>
                <w:iCs w:val="0"/>
                <w:color w:val="auto"/>
                <w:sz w:val="22"/>
                <w:szCs w:val="22"/>
                <w:highlight w:val="none"/>
                <w:u w:val="none"/>
              </w:rPr>
            </w:pPr>
          </w:p>
        </w:tc>
      </w:tr>
      <w:tr w14:paraId="0A86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E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94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人工智能算法</w:t>
            </w:r>
          </w:p>
        </w:tc>
        <w:tc>
          <w:tcPr>
            <w:tcW w:w="2768" w:type="pct"/>
            <w:tcBorders>
              <w:top w:val="nil"/>
              <w:left w:val="nil"/>
              <w:bottom w:val="nil"/>
              <w:right w:val="nil"/>
            </w:tcBorders>
            <w:shd w:val="clear" w:color="auto" w:fill="auto"/>
            <w:vAlign w:val="center"/>
          </w:tcPr>
          <w:p w14:paraId="25C74772">
            <w:pPr>
              <w:rPr>
                <w:rFonts w:hint="eastAsia" w:ascii="宋体" w:hAnsi="宋体" w:eastAsia="宋体" w:cs="宋体"/>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206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B2A2">
            <w:pPr>
              <w:jc w:val="center"/>
              <w:rPr>
                <w:rFonts w:hint="eastAsia" w:ascii="宋体" w:hAnsi="宋体" w:eastAsia="宋体" w:cs="宋体"/>
                <w:b/>
                <w:bCs/>
                <w:i w:val="0"/>
                <w:iCs w:val="0"/>
                <w:color w:val="auto"/>
                <w:sz w:val="22"/>
                <w:szCs w:val="22"/>
                <w:highlight w:val="none"/>
                <w:u w:val="none"/>
              </w:rPr>
            </w:pPr>
          </w:p>
        </w:tc>
      </w:tr>
      <w:tr w14:paraId="1320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D1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02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船体识别算法</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4F622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可见光渔船智能识别归类模块可实现所有可见光探头视频中各类渔船及时识别，根据渔船形态特征不同确认渔船种类，并通过视频流转发服务传到指定系统。</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26D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8F89">
            <w:pPr>
              <w:jc w:val="center"/>
              <w:rPr>
                <w:rFonts w:hint="eastAsia" w:ascii="宋体" w:hAnsi="宋体" w:eastAsia="宋体" w:cs="宋体"/>
                <w:b/>
                <w:bCs/>
                <w:i w:val="0"/>
                <w:iCs w:val="0"/>
                <w:color w:val="auto"/>
                <w:sz w:val="22"/>
                <w:szCs w:val="22"/>
                <w:highlight w:val="none"/>
                <w:u w:val="none"/>
              </w:rPr>
            </w:pPr>
          </w:p>
        </w:tc>
      </w:tr>
      <w:tr w14:paraId="35AF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10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02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算法核心架构识别逻辑</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C1A2A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采用“目标检测+特征分类”两阶段深度学习算法架构，适配可见光探头视频流实时处理场景。</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目标检测：基于轻量化目标检测网络，从实时视频流中快速定位船体区域，过滤水面、岸线、其他船舶等干扰目标，输出船体坐标框与置信度，确保动态场景下的检测实时性。</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特征提取与分类：对检测到的船体区域，自动提取形态特征维度——包括船体长宽比、甲板结构、船首船尾形状、上层建筑布局、船体轮廓曲线等核心特征；通过分类网络对特征进行建模，与预设的渔船种类特征模板比对，实现精准归类。</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1FC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1134">
            <w:pPr>
              <w:jc w:val="center"/>
              <w:rPr>
                <w:rFonts w:hint="eastAsia" w:ascii="宋体" w:hAnsi="宋体" w:eastAsia="宋体" w:cs="宋体"/>
                <w:b/>
                <w:bCs/>
                <w:i w:val="0"/>
                <w:iCs w:val="0"/>
                <w:color w:val="auto"/>
                <w:sz w:val="22"/>
                <w:szCs w:val="22"/>
                <w:highlight w:val="none"/>
                <w:u w:val="none"/>
              </w:rPr>
            </w:pPr>
          </w:p>
        </w:tc>
      </w:tr>
      <w:tr w14:paraId="21FF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F0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66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渔船种类分类依据</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259E7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基于船体形态特征差异，划分核心渔船类型，覆盖主流作业场景：</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按作业方式关联形态：拖网渔船、围网渔船、钓具渔船等；</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按船体结构区分：单体渔船、双体渔船、多体渔船；</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按外观特征辅助：钢质渔船、木质渔船、玻璃钢渔船等，作为分类补充依据。</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526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1363">
            <w:pPr>
              <w:jc w:val="center"/>
              <w:rPr>
                <w:rFonts w:hint="eastAsia" w:ascii="宋体" w:hAnsi="宋体" w:eastAsia="宋体" w:cs="宋体"/>
                <w:b/>
                <w:bCs/>
                <w:i w:val="0"/>
                <w:iCs w:val="0"/>
                <w:color w:val="auto"/>
                <w:sz w:val="22"/>
                <w:szCs w:val="22"/>
                <w:highlight w:val="none"/>
                <w:u w:val="none"/>
              </w:rPr>
            </w:pPr>
          </w:p>
        </w:tc>
      </w:tr>
      <w:tr w14:paraId="0369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73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18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视频流处理与适配能力</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2B528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实时处理适配：支持接入不同分辨率、不同帧率的可见光探头视频流，自动适配探头安装角度，通过图像预处理优化船体特征提取效果，应对白天、阴天等不同光照条件；</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动态场景优化：针对渔船航行中的摇晃、部分遮挡、远距离小目标等场景，优化算法，通过多帧特征融合减少单帧误判，确保移动状态下的识别稳定性。</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078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1289">
            <w:pPr>
              <w:jc w:val="center"/>
              <w:rPr>
                <w:rFonts w:hint="eastAsia" w:ascii="宋体" w:hAnsi="宋体" w:eastAsia="宋体" w:cs="宋体"/>
                <w:b/>
                <w:bCs/>
                <w:i w:val="0"/>
                <w:iCs w:val="0"/>
                <w:color w:val="auto"/>
                <w:sz w:val="22"/>
                <w:szCs w:val="22"/>
                <w:highlight w:val="none"/>
                <w:u w:val="none"/>
              </w:rPr>
            </w:pPr>
          </w:p>
        </w:tc>
      </w:tr>
      <w:tr w14:paraId="0A65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7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B0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船号识别算法</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7D01F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船牌识别利用机器学习算法，通过对各种类型渔船，各种角度渔船照片进行模型训练，实现船牌识别能力。</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主要针对渔港摄像头捕获的照片进行船牌号码智能识别，辅助渔船进出港报备分析，并根据渔船数据库信息进行综合关联分析应用。该服务分为船牌检测和船名识别两个部分，系统先进行船牌检测，再将检测到的船牌进行船名识别。系统支持对英文、中文、繁体船名、不同渔船类型、不同船名标识风格的渔船进行船牌识别。</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F74E">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DC62">
            <w:pPr>
              <w:jc w:val="center"/>
              <w:rPr>
                <w:rFonts w:hint="eastAsia" w:ascii="宋体" w:hAnsi="宋体" w:eastAsia="宋体" w:cs="宋体"/>
                <w:b/>
                <w:bCs/>
                <w:i w:val="0"/>
                <w:iCs w:val="0"/>
                <w:color w:val="auto"/>
                <w:sz w:val="22"/>
                <w:szCs w:val="22"/>
                <w:highlight w:val="none"/>
                <w:u w:val="none"/>
              </w:rPr>
            </w:pPr>
          </w:p>
        </w:tc>
      </w:tr>
      <w:tr w14:paraId="5C6F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8E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86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核心技术训练逻辑</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A32AF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依托机器学习算法，通过覆盖多类型渔船、多拍摄角度的照片数据集进行模型训练，强化模型对不同场景船牌的适配能力。采用“船牌检测+船名识别”两阶段架构，检测阶段基于轻量化目标检测网络定位船牌区域，识别阶段通过字符序列识别算法解析信息，兼顾识别效率与准确性。</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8C7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53C5">
            <w:pPr>
              <w:jc w:val="center"/>
              <w:rPr>
                <w:rFonts w:hint="eastAsia" w:ascii="宋体" w:hAnsi="宋体" w:eastAsia="宋体" w:cs="宋体"/>
                <w:b/>
                <w:bCs/>
                <w:i w:val="0"/>
                <w:iCs w:val="0"/>
                <w:color w:val="auto"/>
                <w:sz w:val="22"/>
                <w:szCs w:val="22"/>
                <w:highlight w:val="none"/>
                <w:u w:val="none"/>
              </w:rPr>
            </w:pPr>
          </w:p>
        </w:tc>
      </w:tr>
      <w:tr w14:paraId="364D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9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73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双阶段识别核心流程</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22404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船牌检测：接收渔港摄像头捕获的照片，经图像预处理优化画质后，模型自动定位船牌位置，对倾斜、变形的船牌进行校正，为后续识别扫清障碍。</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船名识别：提取校正后船牌的字符信息，通过算法解析字符序列，支持中文、英文、繁体等多类字符识别，适配不同渔船的船名标识风格，输出完整船牌号码。</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983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C4A3">
            <w:pPr>
              <w:jc w:val="center"/>
              <w:rPr>
                <w:rFonts w:hint="eastAsia" w:ascii="宋体" w:hAnsi="宋体" w:eastAsia="宋体" w:cs="宋体"/>
                <w:b/>
                <w:bCs/>
                <w:i w:val="0"/>
                <w:iCs w:val="0"/>
                <w:color w:val="auto"/>
                <w:sz w:val="22"/>
                <w:szCs w:val="22"/>
                <w:highlight w:val="none"/>
                <w:u w:val="none"/>
              </w:rPr>
            </w:pPr>
          </w:p>
        </w:tc>
      </w:tr>
      <w:tr w14:paraId="503A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1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8F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场景适配能力</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41041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针对不同类型渔船的船牌特征，优化识别逻辑，适配各类材质、标识风格的船牌；应对照片中可能出现的船牌磨损、遮挡等情况，具备一定容错识别能力，确保复杂场景下的识别效果。</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9C8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CC4F">
            <w:pPr>
              <w:jc w:val="center"/>
              <w:rPr>
                <w:rFonts w:hint="eastAsia" w:ascii="宋体" w:hAnsi="宋体" w:eastAsia="宋体" w:cs="宋体"/>
                <w:b/>
                <w:bCs/>
                <w:i w:val="0"/>
                <w:iCs w:val="0"/>
                <w:color w:val="auto"/>
                <w:sz w:val="22"/>
                <w:szCs w:val="22"/>
                <w:highlight w:val="none"/>
                <w:u w:val="none"/>
              </w:rPr>
            </w:pPr>
          </w:p>
        </w:tc>
      </w:tr>
      <w:tr w14:paraId="173B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C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E9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渔船套牌分析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4EC2B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对船牌识别分析，结合渔船北斗、AIS位置信息，实时查询渔船信息，为辨别渔船身份真伪提供准确数据依据，结合大数据平台分析得出的可疑船只。将预警信息推送给执法总队，实现精准执法，解决船名号标识容易被模仿，基层执法缺乏，有效管理套牌、假牌等难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855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958C">
            <w:pPr>
              <w:jc w:val="center"/>
              <w:rPr>
                <w:rFonts w:hint="eastAsia" w:ascii="宋体" w:hAnsi="宋体" w:eastAsia="宋体" w:cs="宋体"/>
                <w:b/>
                <w:bCs/>
                <w:i w:val="0"/>
                <w:iCs w:val="0"/>
                <w:color w:val="auto"/>
                <w:sz w:val="22"/>
                <w:szCs w:val="22"/>
                <w:highlight w:val="none"/>
                <w:u w:val="none"/>
              </w:rPr>
            </w:pPr>
          </w:p>
        </w:tc>
      </w:tr>
      <w:tr w14:paraId="7FC7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10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1B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核心技术数据融合逻辑</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E05F9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船牌检测+船名识别”两阶段机器学习架构基础上，新增多源位置数据融合能力。系统自动关联船牌识别结果与渔船北斗、AIS实时定位数据，构建“船牌信息-位置坐标-时间戳”三维数据链，确保每一条识别记录都能对应真实空间位置，为身份核验提供双重数据支撑。模型训练阶段同步融入位置关联性特征，强化识别结果与航行轨迹的匹配度判断。</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857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0965">
            <w:pPr>
              <w:jc w:val="center"/>
              <w:rPr>
                <w:rFonts w:hint="eastAsia" w:ascii="宋体" w:hAnsi="宋体" w:eastAsia="宋体" w:cs="宋体"/>
                <w:b/>
                <w:bCs/>
                <w:i w:val="0"/>
                <w:iCs w:val="0"/>
                <w:color w:val="auto"/>
                <w:sz w:val="22"/>
                <w:szCs w:val="22"/>
                <w:highlight w:val="none"/>
                <w:u w:val="none"/>
              </w:rPr>
            </w:pPr>
          </w:p>
        </w:tc>
      </w:tr>
      <w:tr w14:paraId="32C7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BA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70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双阶段识别+位置核验流程</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01494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船牌识别：延续原有检测与识别流程，输出船牌号码、识别时间及捕获摄像头位置，同时标记识别置信度；</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位置关联：通过识别到的船牌号码，实时调用渔船北斗/AIS定位接口，获取同一时间戳下的船舶经纬度、航行状态等信息；</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身份交叉核验：将“船牌+位置”组合数据与渔船数据库进行比对，校验船牌登记信息与当前定位所属船籍港、航行许可范围是否一致，排查“船牌与位置不匹配”的异常情况。</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BA3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B86A">
            <w:pPr>
              <w:jc w:val="center"/>
              <w:rPr>
                <w:rFonts w:hint="eastAsia" w:ascii="宋体" w:hAnsi="宋体" w:eastAsia="宋体" w:cs="宋体"/>
                <w:b/>
                <w:bCs/>
                <w:i w:val="0"/>
                <w:iCs w:val="0"/>
                <w:color w:val="auto"/>
                <w:sz w:val="22"/>
                <w:szCs w:val="22"/>
                <w:highlight w:val="none"/>
                <w:u w:val="none"/>
              </w:rPr>
            </w:pPr>
          </w:p>
        </w:tc>
      </w:tr>
      <w:tr w14:paraId="6B14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6E7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06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场景适配与异常识别强化</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A48B3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针对船牌模仿、套牌、假牌等场景，优化识别与核验逻辑：</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适配航行中动态拍摄的船牌图像，结合北斗/AIS运动轨迹修正识别误差；</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对磨损、遮挡导致识别模糊的船牌，通过位置信息缩小数据库比对范围，提升核验准确率；</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重点检测“一牌多船”（同一船牌在不同位置同时出现）、“一船多牌”（同一北斗/AIS设备关联多个船牌）等套牌典型特征。</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7CC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53B6">
            <w:pPr>
              <w:jc w:val="center"/>
              <w:rPr>
                <w:rFonts w:hint="eastAsia" w:ascii="宋体" w:hAnsi="宋体" w:eastAsia="宋体" w:cs="宋体"/>
                <w:b/>
                <w:bCs/>
                <w:i w:val="0"/>
                <w:iCs w:val="0"/>
                <w:color w:val="auto"/>
                <w:sz w:val="22"/>
                <w:szCs w:val="22"/>
                <w:highlight w:val="none"/>
                <w:u w:val="none"/>
              </w:rPr>
            </w:pPr>
          </w:p>
        </w:tc>
      </w:tr>
      <w:tr w14:paraId="1DAD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B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DE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频繁过船分析</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35971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特定区域，建立虚拟卡口，对频繁进出虚拟卡口的船只，分析回传的AIS数据信息、历史航路信息，与已有的违法模型进行分析对比，找出高度疑似违法行为船只，系统自动跟踪预警，并以数字化的方式显示可疑违法程度。</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745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9D86">
            <w:pPr>
              <w:jc w:val="center"/>
              <w:rPr>
                <w:rFonts w:hint="eastAsia" w:ascii="宋体" w:hAnsi="宋体" w:eastAsia="宋体" w:cs="宋体"/>
                <w:b/>
                <w:bCs/>
                <w:i w:val="0"/>
                <w:iCs w:val="0"/>
                <w:color w:val="auto"/>
                <w:sz w:val="22"/>
                <w:szCs w:val="22"/>
                <w:highlight w:val="none"/>
                <w:u w:val="none"/>
              </w:rPr>
            </w:pPr>
          </w:p>
        </w:tc>
      </w:tr>
      <w:tr w14:paraId="5D99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8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F5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虚拟卡口与频繁行为界定</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6C035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采用灵活化管控思路，支持自定义划定管控区域与频繁判定标准，适配不同执法场景的差异化需求，无需固定统一规则，确保管控针对性。</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以船只唯一标识为核心，关联识别与定位数据，自动统计进出频次，快速筛选出高频活动船只，聚焦管控重点。</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E25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A262">
            <w:pPr>
              <w:jc w:val="center"/>
              <w:rPr>
                <w:rFonts w:hint="eastAsia" w:ascii="宋体" w:hAnsi="宋体" w:eastAsia="宋体" w:cs="宋体"/>
                <w:b/>
                <w:bCs/>
                <w:i w:val="0"/>
                <w:iCs w:val="0"/>
                <w:color w:val="auto"/>
                <w:sz w:val="22"/>
                <w:szCs w:val="22"/>
                <w:highlight w:val="none"/>
                <w:u w:val="none"/>
              </w:rPr>
            </w:pPr>
          </w:p>
        </w:tc>
      </w:tr>
      <w:tr w14:paraId="0462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84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31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多源数据融合分析方向</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8A30E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打破数据壁垒，将船只识别结果与位置数据、历史航行数据深度关联，构建完整的船只行为数据链，避免单一数据维度的研判局限性。</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重点关注“行为一致性”，通过对比当前行为与历史常规模式、登记信息与实际状态，挖掘“异常行为”“信息不符”等可疑线索，为后续研判提供支撑。</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3F06">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034D">
            <w:pPr>
              <w:jc w:val="center"/>
              <w:rPr>
                <w:rFonts w:hint="eastAsia" w:ascii="宋体" w:hAnsi="宋体" w:eastAsia="宋体" w:cs="宋体"/>
                <w:b/>
                <w:bCs/>
                <w:i w:val="0"/>
                <w:iCs w:val="0"/>
                <w:color w:val="auto"/>
                <w:sz w:val="22"/>
                <w:szCs w:val="22"/>
                <w:highlight w:val="none"/>
                <w:u w:val="none"/>
              </w:rPr>
            </w:pPr>
          </w:p>
        </w:tc>
      </w:tr>
      <w:tr w14:paraId="0B39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AA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A1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可疑程度智能研判方向</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30878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依托预设违法模型，建立多维度、可量化的研判标准，将频繁行为与异常特征、禁限规则、历史记录等关联，实现从“单一行为”到“综合风险”的研判升级。</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采用数字化评分思路，通过权重分配体现不同可疑特征的重要性，直观划分风险等级，让执法优先级清晰可辨，避免模糊化判定。</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035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08F3">
            <w:pPr>
              <w:jc w:val="center"/>
              <w:rPr>
                <w:rFonts w:hint="eastAsia" w:ascii="宋体" w:hAnsi="宋体" w:eastAsia="宋体" w:cs="宋体"/>
                <w:b/>
                <w:bCs/>
                <w:i w:val="0"/>
                <w:iCs w:val="0"/>
                <w:color w:val="auto"/>
                <w:sz w:val="22"/>
                <w:szCs w:val="22"/>
                <w:highlight w:val="none"/>
                <w:u w:val="none"/>
              </w:rPr>
            </w:pPr>
          </w:p>
        </w:tc>
      </w:tr>
      <w:tr w14:paraId="1458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CB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EB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预警与执法联动方向</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8B2ED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遵循“分级处置”原则，根据风险等级匹配不同的预警推送与跟踪策略，低风险后台监控、中高风险重点推送，提升执法资源利用效率。</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实现预警信息与执法需求的精准匹配，推送内容聚焦核心可疑依据与实时动态，确保执法人员快速掌握关键信息，支撑高效处置。</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85A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C86F">
            <w:pPr>
              <w:jc w:val="center"/>
              <w:rPr>
                <w:rFonts w:hint="eastAsia" w:ascii="宋体" w:hAnsi="宋体" w:eastAsia="宋体" w:cs="宋体"/>
                <w:b/>
                <w:bCs/>
                <w:i w:val="0"/>
                <w:iCs w:val="0"/>
                <w:color w:val="auto"/>
                <w:sz w:val="22"/>
                <w:szCs w:val="22"/>
                <w:highlight w:val="none"/>
                <w:u w:val="none"/>
              </w:rPr>
            </w:pPr>
          </w:p>
        </w:tc>
      </w:tr>
      <w:tr w14:paraId="037B1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AC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75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工作流引擎模块</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B2B66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作流引擎是基础应用支撑平台的核心组件，是各类业务流转与处理逻辑实现的基础，工作流引擎可以实现各种各样的办公业务处理，如收发文、请示汇报、申请审批等等，根据不同的用户和权限来限制用户可操作的数据，实现了权力约束关系。流程设计主要包括处理逻辑的设计，权限的控制，以及各类交互功能的设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建设业务流程定制服务，确保后续能满足业务发展需求。由于业务都是由不同环节的业务流程组成，工作流组件既要解决独立环节的业务问题，也要能将各个环节串联起来。基于工作流管理组件可以改进和优化业务流程，提高业务工作效率；实现对业务过程的控制，提高服务质量。用户可以通过拖拉的方式定制相关流程，同时可以对流程进行版本管理，同时支持对流程进行跟踪和监督。管理员还可以通过可视化的界面对流程进行管理，找出业务流转过程中出现的问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F60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E150">
            <w:pPr>
              <w:jc w:val="center"/>
              <w:rPr>
                <w:rFonts w:hint="eastAsia" w:ascii="宋体" w:hAnsi="宋体" w:eastAsia="宋体" w:cs="宋体"/>
                <w:b/>
                <w:bCs/>
                <w:i w:val="0"/>
                <w:iCs w:val="0"/>
                <w:color w:val="auto"/>
                <w:sz w:val="22"/>
                <w:szCs w:val="22"/>
                <w:highlight w:val="none"/>
                <w:u w:val="none"/>
              </w:rPr>
            </w:pPr>
          </w:p>
        </w:tc>
      </w:tr>
      <w:tr w14:paraId="78C0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4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16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消息服务模块</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028A8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消息服务模块的核心是事件驱动，消息服务是平台的消息管理的基础支撑，它提供了信息集成的能力，为业务模块之间的消息驱动提供基础支持。</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CE6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3098">
            <w:pPr>
              <w:jc w:val="center"/>
              <w:rPr>
                <w:rFonts w:hint="eastAsia" w:ascii="宋体" w:hAnsi="宋体" w:eastAsia="宋体" w:cs="宋体"/>
                <w:b/>
                <w:bCs/>
                <w:i w:val="0"/>
                <w:iCs w:val="0"/>
                <w:color w:val="auto"/>
                <w:sz w:val="22"/>
                <w:szCs w:val="22"/>
                <w:highlight w:val="none"/>
                <w:u w:val="none"/>
              </w:rPr>
            </w:pPr>
          </w:p>
        </w:tc>
      </w:tr>
      <w:tr w14:paraId="11938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C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6B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事件驱动架构</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143D5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业务模块无需直接交互，通过发布事件、订阅消息实现间接联动。自动生成消息，由消息服务路由至预警模块与执法模块，触发后续处置流程。</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支持事件与消息的标准化定义，统一事件类型、消息格式与传输协议，确保不同业务模块之间的消息互通兼容，降低集成成本。</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19E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672E">
            <w:pPr>
              <w:jc w:val="center"/>
              <w:rPr>
                <w:rFonts w:hint="eastAsia" w:ascii="宋体" w:hAnsi="宋体" w:eastAsia="宋体" w:cs="宋体"/>
                <w:b/>
                <w:bCs/>
                <w:i w:val="0"/>
                <w:iCs w:val="0"/>
                <w:color w:val="auto"/>
                <w:sz w:val="22"/>
                <w:szCs w:val="22"/>
                <w:highlight w:val="none"/>
                <w:u w:val="none"/>
              </w:rPr>
            </w:pPr>
          </w:p>
        </w:tc>
      </w:tr>
      <w:tr w14:paraId="7390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7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7F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信息集成能力</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11314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提供多类型消息的统一接入与处理能力，兼容业务系统内的指令消息、数据消息、预警消息等不同场景需求，同时支持跨系统消息集成，实现信息一站式流转。</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构建灵活的消息路由机制，基于预设规则自动分发消息，支持动态调整路由策略，适配业务流程的变更与扩展，无需修改核心代码。</w:t>
            </w: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7DB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2A25">
            <w:pPr>
              <w:jc w:val="center"/>
              <w:rPr>
                <w:rFonts w:hint="eastAsia" w:ascii="宋体" w:hAnsi="宋体" w:eastAsia="宋体" w:cs="宋体"/>
                <w:b/>
                <w:bCs/>
                <w:i w:val="0"/>
                <w:iCs w:val="0"/>
                <w:color w:val="auto"/>
                <w:sz w:val="22"/>
                <w:szCs w:val="22"/>
                <w:highlight w:val="none"/>
                <w:u w:val="none"/>
              </w:rPr>
            </w:pPr>
          </w:p>
        </w:tc>
      </w:tr>
      <w:tr w14:paraId="3E15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12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0C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基础支撑功能</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B225C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强化消息可靠性保障，通过消息持久化、重试机制、异常处理等设计，确保消息不丢失、不重复、有序传输，避免因消息异常导致业务流程中断。</w:t>
            </w:r>
            <w:r>
              <w:rPr>
                <w:rFonts w:hint="default" w:ascii="Times New Roman" w:hAnsi="Times New Roman" w:eastAsia="宋体" w:cs="Times New Roman"/>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提供消息生命周期管理能力，支持消息的存储、查询、追溯，便于业务问题排查与流程审计，同时兼顾性能优化，按需清理过期消息，降低存储压力。</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570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DDFB">
            <w:pPr>
              <w:jc w:val="center"/>
              <w:rPr>
                <w:rFonts w:hint="eastAsia" w:ascii="宋体" w:hAnsi="宋体" w:eastAsia="宋体" w:cs="宋体"/>
                <w:b/>
                <w:bCs/>
                <w:i w:val="0"/>
                <w:iCs w:val="0"/>
                <w:color w:val="auto"/>
                <w:sz w:val="22"/>
                <w:szCs w:val="22"/>
                <w:highlight w:val="none"/>
                <w:u w:val="none"/>
              </w:rPr>
            </w:pPr>
          </w:p>
        </w:tc>
      </w:tr>
      <w:tr w14:paraId="1FA3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F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8D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数据质量管理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CF39B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质量管理针对决策施政数据采集、处理和汇总情况从完整性、符合性、一致性、正确性、重复性和合理性等方面进行综合监控。系统可实现数据质量管理对数据平台数据处理环节的全程监控。通过对数据平台的数据流关键环节，如数据获取层、数据存储层、分析应用层、访问层，及各数据流阶段间的ETL过程中部署相应的数据质量检查点，对数据质量规则进行管理和配置，进行数据追溯管理，查看数据质量分析结果，并可将各类质量问题检查结果和问题数据推送到相关的业务单位进行处理，从而保证数据质量的不断改进和数据可用性的不断提升。</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D2C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75A3">
            <w:pPr>
              <w:jc w:val="center"/>
              <w:rPr>
                <w:rFonts w:hint="eastAsia" w:ascii="宋体" w:hAnsi="宋体" w:eastAsia="宋体" w:cs="宋体"/>
                <w:b/>
                <w:bCs/>
                <w:i w:val="0"/>
                <w:iCs w:val="0"/>
                <w:color w:val="auto"/>
                <w:sz w:val="22"/>
                <w:szCs w:val="22"/>
                <w:highlight w:val="none"/>
                <w:u w:val="none"/>
              </w:rPr>
            </w:pPr>
          </w:p>
        </w:tc>
      </w:tr>
      <w:tr w14:paraId="50D4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E5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EC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报表管理模块</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AF4A9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报表服务作为一种重要的信息载体，在渔港公司日常工作中起着至关重要的作用，是各种信息系统不可缺少的重要组成部分。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报表是决策分析人员管理的基本措施和途径，是安全监管部门日常工作中的基本业务要求。报表可以帮助渔港公司访问格式化数据，并把数据信息以可靠和安全的方式呈现给使用者。</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通过报表引擎设计各项业务统计分析的报表，并以支撑以表格形式和图形方式（饼图、柱状图、雷达图等）进行统计汇总，还提供多维度分析实现对突发事件的深度分析和研究，为指挥决策提供丰富、详实、直观的数据支持。</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55F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EF09">
            <w:pPr>
              <w:jc w:val="center"/>
              <w:rPr>
                <w:rFonts w:hint="eastAsia" w:ascii="宋体" w:hAnsi="宋体" w:eastAsia="宋体" w:cs="宋体"/>
                <w:b/>
                <w:bCs/>
                <w:i w:val="0"/>
                <w:iCs w:val="0"/>
                <w:color w:val="auto"/>
                <w:sz w:val="22"/>
                <w:szCs w:val="22"/>
                <w:highlight w:val="none"/>
                <w:u w:val="none"/>
              </w:rPr>
            </w:pPr>
          </w:p>
        </w:tc>
      </w:tr>
      <w:tr w14:paraId="5951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06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CC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搜索引擎模块</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9A999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根据一定的策略，当用户查询时，检索程序就根据事先建立的索引进行查找，为用户提供检索服务，将用户检索相关的信息展示给用户的系统。</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C80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06E8">
            <w:pPr>
              <w:jc w:val="center"/>
              <w:rPr>
                <w:rFonts w:hint="eastAsia" w:ascii="宋体" w:hAnsi="宋体" w:eastAsia="宋体" w:cs="宋体"/>
                <w:b/>
                <w:bCs/>
                <w:i w:val="0"/>
                <w:iCs w:val="0"/>
                <w:color w:val="auto"/>
                <w:sz w:val="22"/>
                <w:szCs w:val="22"/>
                <w:highlight w:val="none"/>
                <w:u w:val="none"/>
              </w:rPr>
            </w:pPr>
          </w:p>
        </w:tc>
      </w:tr>
      <w:tr w14:paraId="480F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7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CF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全文检索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5F72C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一定的策略，通过扫描文章中的每一个词，对每一个词建立一个索引，指明该词在文章中出现的次数和位置，当用户查询时，检索程序就根据事先建立的索引进行查找，为用户提供检索服务，将用户检索相关的信息展示给用户的系统。</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配备高性能多线程智能检索引擎，支持大量并发用户同时进行检索访问。引擎具备全方位全文检索功能，支持简单、组合、扩展等多种检索方式和精确、模糊等不同检索方法，提供日期、标题、关键词、大小等多种检索入口，可实现多重组合多级检索，检索结果支持多种排序、命中词反显和分类统计。支持中、英文及结构化和非结构化信息的混合检索。</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43D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3A42">
            <w:pPr>
              <w:jc w:val="center"/>
              <w:rPr>
                <w:rFonts w:hint="eastAsia" w:ascii="宋体" w:hAnsi="宋体" w:eastAsia="宋体" w:cs="宋体"/>
                <w:b/>
                <w:bCs/>
                <w:i w:val="0"/>
                <w:iCs w:val="0"/>
                <w:color w:val="auto"/>
                <w:sz w:val="22"/>
                <w:szCs w:val="22"/>
                <w:highlight w:val="none"/>
                <w:u w:val="none"/>
              </w:rPr>
            </w:pPr>
          </w:p>
        </w:tc>
      </w:tr>
      <w:tr w14:paraId="3A87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32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31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动态检索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1DAC0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动态搜索模块涵盖多种方式的动态搜索功能，提供便捷的内容检索查找方式，可以通过搜索发布者、内容等关键信息，让获取目标内容变得简单便捷，使用户检索信息更加灵活易用。</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动态搜索模块可以通过动态搜索范围、模糊搜索方式进行动态搜索，按照动态搜索规则，支持语音搜索、结果文字展示、结果图片展示、结果视频展示等多种动态搜索格式。</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6EB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22436">
            <w:pPr>
              <w:jc w:val="center"/>
              <w:rPr>
                <w:rFonts w:hint="eastAsia" w:ascii="宋体" w:hAnsi="宋体" w:eastAsia="宋体" w:cs="宋体"/>
                <w:b/>
                <w:bCs/>
                <w:i w:val="0"/>
                <w:iCs w:val="0"/>
                <w:color w:val="auto"/>
                <w:sz w:val="22"/>
                <w:szCs w:val="22"/>
                <w:highlight w:val="none"/>
                <w:u w:val="none"/>
              </w:rPr>
            </w:pPr>
          </w:p>
        </w:tc>
      </w:tr>
      <w:tr w14:paraId="0344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1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B1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关键字检索</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3E814E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户可输入关键字，智慧司法门户服务对相关记录信息进行关键字匹配检索，同时可根据关键字，自动对在线服务中积累的已解决的报障问题进行检索，展示检索结果，并可从检索结果即时跳转到符合结果信息集。</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981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5289">
            <w:pPr>
              <w:jc w:val="center"/>
              <w:rPr>
                <w:rFonts w:hint="eastAsia" w:ascii="宋体" w:hAnsi="宋体" w:eastAsia="宋体" w:cs="宋体"/>
                <w:b/>
                <w:bCs/>
                <w:i w:val="0"/>
                <w:iCs w:val="0"/>
                <w:color w:val="auto"/>
                <w:sz w:val="22"/>
                <w:szCs w:val="22"/>
                <w:highlight w:val="none"/>
                <w:u w:val="none"/>
              </w:rPr>
            </w:pPr>
          </w:p>
        </w:tc>
      </w:tr>
      <w:tr w14:paraId="4443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4D7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DA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敏感信息过滤</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2855BE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敏感信息过滤服务提供对敏感信息的过滤服务。通过设置不同的参数，实现敏感词及搜索结果的自动过滤。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敏感信息过滤服务主要包括搜索结果敏感度配置定制化、搜索结果敏感词过滤、搜索范围屏蔽和搜索内容审核等功能。</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EC07">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97D5">
            <w:pPr>
              <w:jc w:val="center"/>
              <w:rPr>
                <w:rFonts w:hint="eastAsia" w:ascii="宋体" w:hAnsi="宋体" w:eastAsia="宋体" w:cs="宋体"/>
                <w:b/>
                <w:bCs/>
                <w:i w:val="0"/>
                <w:iCs w:val="0"/>
                <w:color w:val="auto"/>
                <w:sz w:val="22"/>
                <w:szCs w:val="22"/>
                <w:highlight w:val="none"/>
                <w:u w:val="none"/>
              </w:rPr>
            </w:pPr>
          </w:p>
        </w:tc>
      </w:tr>
      <w:tr w14:paraId="0E9D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85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34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统一用户管理模块</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482855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于统一的开发组件和服务，不仅具有丰富、灵活的系统功能，而且有完善的安全管理措施，对于不同权限级别的用户和管理员都有不同的系统功能和数据访问范围，旨在帮助管理这进行有效的进行身份管理，提升使用者的用户体验并有效的控制用户行为。实现了统一用户管理、用户认证和单点登录三个层次的身份管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基于面向服务架构的设计模式，可灵活与第三方业务系统进行整合。</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90C0">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C2C4">
            <w:pPr>
              <w:jc w:val="center"/>
              <w:rPr>
                <w:rFonts w:hint="eastAsia" w:ascii="宋体" w:hAnsi="宋体" w:eastAsia="宋体" w:cs="宋体"/>
                <w:b/>
                <w:bCs/>
                <w:i w:val="0"/>
                <w:iCs w:val="0"/>
                <w:color w:val="auto"/>
                <w:sz w:val="22"/>
                <w:szCs w:val="22"/>
                <w:highlight w:val="none"/>
                <w:u w:val="none"/>
              </w:rPr>
            </w:pPr>
          </w:p>
        </w:tc>
      </w:tr>
      <w:tr w14:paraId="0CC8A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A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08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多种用户管理</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60AE6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支持多种用户管理方式，可兼顾不同时期开发的应用管理系统的需求，包括统一用户管理及单点登录、仅单点登录、以及对不同构架系统的统一用户支持。</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60F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2A31">
            <w:pPr>
              <w:jc w:val="center"/>
              <w:rPr>
                <w:rFonts w:hint="eastAsia" w:ascii="宋体" w:hAnsi="宋体" w:eastAsia="宋体" w:cs="宋体"/>
                <w:b/>
                <w:bCs/>
                <w:i w:val="0"/>
                <w:iCs w:val="0"/>
                <w:color w:val="auto"/>
                <w:sz w:val="22"/>
                <w:szCs w:val="22"/>
                <w:highlight w:val="none"/>
                <w:u w:val="none"/>
              </w:rPr>
            </w:pPr>
          </w:p>
        </w:tc>
      </w:tr>
      <w:tr w14:paraId="6BCB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4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C3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单点登录</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C3DA6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支持对于第三方用户数据的整合，即不需要将用户信息迁移到平台中也能实现单点登录。</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DE7C">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66D5">
            <w:pPr>
              <w:jc w:val="center"/>
              <w:rPr>
                <w:rFonts w:hint="eastAsia" w:ascii="宋体" w:hAnsi="宋体" w:eastAsia="宋体" w:cs="宋体"/>
                <w:b/>
                <w:bCs/>
                <w:i w:val="0"/>
                <w:iCs w:val="0"/>
                <w:color w:val="auto"/>
                <w:sz w:val="22"/>
                <w:szCs w:val="22"/>
                <w:highlight w:val="none"/>
                <w:u w:val="none"/>
              </w:rPr>
            </w:pPr>
          </w:p>
        </w:tc>
      </w:tr>
      <w:tr w14:paraId="0E6D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054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w:t>
            </w:r>
          </w:p>
        </w:tc>
        <w:tc>
          <w:tcPr>
            <w:tcW w:w="4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694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配套数据服务及数据库软件</w:t>
            </w:r>
          </w:p>
        </w:tc>
      </w:tr>
      <w:tr w14:paraId="655E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E9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53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海图服务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1CE657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海洋空间地理信息核心载体，融合精准地理数据、水文气象要素与海洋工程等标识,永久授权。</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A49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1 </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474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r>
      <w:tr w14:paraId="6A1D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C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94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数据服务</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78F313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购买3年船舶AIS数据和小北斗数据信息。</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223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1 </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3D5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r>
      <w:tr w14:paraId="7889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B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BE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国产数据库软件</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01FD77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一、核心资质要求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产品型号须列入《aktd 工程核心产品名录》及《安全可靠测评结果公告 (2023 年第 1 号)》；</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具备中国网络安全审查认证和市场监管大数据中心颁发的 IT 产品信息安全认证证书，认证级别为评估保障级 EAL4 增强级，且包含 ALC_FLR.1（基本的缺陷纠正）能力。</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二、基础功能要求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部署架构支持：同时兼容 ARM、x86 架构，支持云部署（公有云 / 私有云）及物理机部署模式；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索引类型支持：支持 B 树索引、聚集索引、唯一索引、非唯一索引、函数索引、分区索引（含本地分区索引、全局分区索引）；</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压缩 / 解压算法：①备份工具支持 LZ4、Zstandard 算法对备份文件的解压操作；②预写日志（WAL）文件支持 LZ4、Zstandard 算法压缩；</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全文检索能力：①支持 JSON、JSONB 数据类型；②支持中文全文检索及全文索引功能；③支持通过 Order by 对检索结果排序；</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几何数据可视化：支持至少 5 种几何数据类型、15 个几何函数、2 个几何运算符的可视化展示；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空间测量能力：①支持两点间距离、多点折线距离、平面距离、几何中心距离测量；②支持含镂空区域的面积测量；③支持基于地球曲率的球面大圆距离计算（提升结果精度）。</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三、安全性要求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基础安全能力：①具备身份鉴别、访问控制、数据完整性校验、数据备份与恢复功能；②支持国密算法（SM2/SM3/SM4 等）；</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操作审计能力：支持数据库全生命周期操作审计，含用户登录 / 退出、数据库启停、审计功能启停、用户锁定 / 解锁、数据库对象（表 / 索引 / 存储过程等）增删改查操作；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访问控制策略：支持 IP 白名单 / 黑名单设置，具备单 IP 允许 / 拒绝控制、CIDR 网段控制、多规则优先级配置；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身份鉴别机制：采用口令、密码技术、生物技术等两种或两种以上组合的鉴别技术，且其中一种鉴别技术需通过密码技术实现。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四、易用性要求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管理工具支持：提供图形化工具与命令行工具，包含数据库管理工具、迁移工具等，可便捷完成数据库管理、维护、迁移等操作；</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数据迁移能力：提供图形化向导式迁移工具，支持将 Oracle、MySQL、SQLServer、PostgreSQL 等主流数据库的表结构、数据、索引、存储过程、函数、触发器等对象自动化迁移，可记录并保存迁移过程中的异常信息；</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GIS 数据编辑：产品自带可视化管理工具，支持通过直观图形界面，以拖拽方式编辑 GIS 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五、兼容性要求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硬件与操作系统兼容：①支持国产硬件体系，含飞腾系列、龙芯系列、申威系列、兆芯系列、鲲鹏系列、海光系列等 CPU 架构服务器；②支持 UOS、麒麟、凝思磐石、中科方德、深之度、普华等国产操作系统平台；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数据库语法与函数兼容：①兼容 PostgreSQL 常用系统函数；②实现对数据查询语言（DQL）、数据操纵语言（DML）、数据定义语言（DDL）的兼容；</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应用框架兼容：支持 Hibernate、MyBatis、MyBatis-Plus、Spring 接口访问数据库；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空间数据引擎兼容：提供 PostGIS 空间数据引擎相关组件，兼容 PostGIS 2.0 至 PostGIS 3.4 的所有版本。</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六、性能指标要求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TPC-C 性能：单节点 TPC-C 测试中，1000 仓基础数据量下，1000 并发用户执行 1 小时，tpmC 值≥130 万；</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数据导入效率：支持数据文件到表的快速转换，支持分区表大量数据导入及索引创建；</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覆盖索引优化：支持覆盖索引功能，查询时可避免回溯操作；单并发查询场景下，扫描数据块数量减少 80%、性能提升 50%；10 并发查询场景下，性能提升 10%、TPS 提升 10%；</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大数据统计分析：支持千万级数据的近似统计分析，支持根据日期对指定列进行 HASH 处理后聚合至概率数据结构中。</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七、可靠性要求</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1.</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并发连接支持：支持 </w:t>
            </w:r>
            <w:r>
              <w:rPr>
                <w:rFonts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 xml:space="preserve">6 万并发物理连接，保障 </w:t>
            </w:r>
            <w:r>
              <w:rPr>
                <w:rFonts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24 小时稳定运行；</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服务可用性：数据库服务可靠性≥99.99%；</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集群部署能力：支持集群部署，具备集群扩展能力及高稳定性；</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集群模式自适应：集群流复制传输支持网络延时情况下自动从同步模式降级为异步模式，网络恢复后自动恢复为同步模式，集群各节点保持 streaming 与 running 状态正常；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w:t>
            </w:r>
            <w:r>
              <w:rPr>
                <w:rFonts w:ascii="Arial" w:hAnsi="Arial" w:eastAsia="宋体" w:cs="Arial"/>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故障切换能力：集群进行 Switchover 故障切换时，逻辑复制槽自动转移至新主节点。</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4007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2 </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194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套</w:t>
            </w:r>
          </w:p>
        </w:tc>
      </w:tr>
      <w:tr w14:paraId="29A4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C76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w:t>
            </w:r>
          </w:p>
        </w:tc>
        <w:tc>
          <w:tcPr>
            <w:tcW w:w="4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8B1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商用密码应用建设服务</w:t>
            </w:r>
          </w:p>
        </w:tc>
      </w:tr>
      <w:tr w14:paraId="3B8B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B1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BA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智能密码钥匙</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029B2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 SM2/SM3/SM4。主要作用是存储用户秘密信息（如私钥、数字证书）和用户身份鉴别，完成数据加解密、数据完整性校验、数字签名、访问控制等功能。</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AED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3 </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C40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套</w:t>
            </w:r>
          </w:p>
        </w:tc>
      </w:tr>
      <w:tr w14:paraId="6116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8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3E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用户个人数字证书</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689A3A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三年服务，支持 SM2/SM3/SM4。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AEA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3 </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F94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个</w:t>
            </w:r>
          </w:p>
        </w:tc>
      </w:tr>
      <w:tr w14:paraId="2FBD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6F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CFC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国密浏览器</w:t>
            </w:r>
          </w:p>
        </w:tc>
        <w:tc>
          <w:tcPr>
            <w:tcW w:w="2768" w:type="pct"/>
            <w:tcBorders>
              <w:top w:val="single" w:color="000000" w:sz="4" w:space="0"/>
              <w:left w:val="single" w:color="000000" w:sz="4" w:space="0"/>
              <w:bottom w:val="single" w:color="000000" w:sz="4" w:space="0"/>
              <w:right w:val="nil"/>
            </w:tcBorders>
            <w:shd w:val="clear" w:color="auto" w:fill="auto"/>
            <w:vAlign w:val="center"/>
          </w:tcPr>
          <w:p w14:paraId="56812E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支持 SM2/SM3/SM4。</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201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3 </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C29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套</w:t>
            </w:r>
          </w:p>
        </w:tc>
      </w:tr>
      <w:tr w14:paraId="70CA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DF7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四</w:t>
            </w:r>
          </w:p>
        </w:tc>
        <w:tc>
          <w:tcPr>
            <w:tcW w:w="4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5B6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平台运行维护服务</w:t>
            </w:r>
          </w:p>
        </w:tc>
      </w:tr>
      <w:tr w14:paraId="676E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F6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EB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运维人员安排</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1E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安排专职运维人员对系统日常运行进行维护，包括服务器运行维护、系统应用运维、数据维护、代码维护、机构和人员变动等维护。</w:t>
            </w: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BE5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 xml:space="preserve">1 </w:t>
            </w: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949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项</w:t>
            </w:r>
          </w:p>
        </w:tc>
      </w:tr>
      <w:tr w14:paraId="6E41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C1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FE1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及时响应和解决问题</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50E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驻场运维可以在第一时间响应和解决系统出现的问题，大大缩短故障排查和问题解决的时间，提高了系统的可用性和稳定性。</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55D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D5D9">
            <w:pPr>
              <w:jc w:val="center"/>
              <w:rPr>
                <w:rFonts w:hint="eastAsia" w:ascii="宋体" w:hAnsi="宋体" w:eastAsia="宋体" w:cs="宋体"/>
                <w:b/>
                <w:bCs/>
                <w:i w:val="0"/>
                <w:iCs w:val="0"/>
                <w:color w:val="auto"/>
                <w:sz w:val="22"/>
                <w:szCs w:val="22"/>
                <w:highlight w:val="none"/>
                <w:u w:val="none"/>
              </w:rPr>
            </w:pPr>
          </w:p>
        </w:tc>
      </w:tr>
      <w:tr w14:paraId="0FB9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6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B3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提高服务质量和效率</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21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由专业的工程师在现场进行服务，可以更好地了解系统和业务流程，根据用户的实际需求提供更加定制化的服务，提高服务质量和效率。</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F5F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E173">
            <w:pPr>
              <w:jc w:val="center"/>
              <w:rPr>
                <w:rFonts w:hint="eastAsia" w:ascii="宋体" w:hAnsi="宋体" w:eastAsia="宋体" w:cs="宋体"/>
                <w:b/>
                <w:bCs/>
                <w:i w:val="0"/>
                <w:iCs w:val="0"/>
                <w:color w:val="auto"/>
                <w:sz w:val="22"/>
                <w:szCs w:val="22"/>
                <w:highlight w:val="none"/>
                <w:u w:val="none"/>
              </w:rPr>
            </w:pPr>
          </w:p>
        </w:tc>
      </w:tr>
      <w:tr w14:paraId="6385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2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4B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降低运维成本</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94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通过工程师驻场服务，可以降低系统运维的人力成本和技术投入，同时避免了因技术困难和人力短缺导致的服务停滞和故障发生。</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BD4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8D63">
            <w:pPr>
              <w:jc w:val="center"/>
              <w:rPr>
                <w:rFonts w:hint="eastAsia" w:ascii="宋体" w:hAnsi="宋体" w:eastAsia="宋体" w:cs="宋体"/>
                <w:b/>
                <w:bCs/>
                <w:i w:val="0"/>
                <w:iCs w:val="0"/>
                <w:color w:val="auto"/>
                <w:sz w:val="22"/>
                <w:szCs w:val="22"/>
                <w:highlight w:val="none"/>
                <w:u w:val="none"/>
              </w:rPr>
            </w:pPr>
          </w:p>
        </w:tc>
      </w:tr>
      <w:tr w14:paraId="7AB1F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2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910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运维时长</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C58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7X24小时的在线微信、QQ客服，用户微信、QQ提交的故障问题解决时长不超过24小时。确保7X24小时进行维护服务，并及时提供所需的技术支持。接到重大故障通知后在2小时内响应，24小时内到达现场维修并解决故障，以保证采购单位的正常使用。</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12F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430A">
            <w:pPr>
              <w:jc w:val="center"/>
              <w:rPr>
                <w:rFonts w:hint="eastAsia" w:ascii="宋体" w:hAnsi="宋体" w:eastAsia="宋体" w:cs="宋体"/>
                <w:b/>
                <w:bCs/>
                <w:i w:val="0"/>
                <w:iCs w:val="0"/>
                <w:color w:val="auto"/>
                <w:sz w:val="22"/>
                <w:szCs w:val="22"/>
                <w:highlight w:val="none"/>
                <w:u w:val="none"/>
              </w:rPr>
            </w:pPr>
          </w:p>
        </w:tc>
      </w:tr>
      <w:tr w14:paraId="13387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C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AC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系统故障处理</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A2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于北海市海洋监管综合执法指挥平台运行过程的异常进行原因分析和故障排除，以恢复业务优先，及时对存在的缺陷进行处理。北海市海洋监管综合执法指挥平台主要包括综合执法指挥舱、全域智能监控、智能分析预警系统、渔船（乡镇船舶）智能化在线管理平台、渔港安全模块、执法管控模块、执法通讯模块、移动端应用APP等8个功能模块。</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1CB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AAAD">
            <w:pPr>
              <w:jc w:val="center"/>
              <w:rPr>
                <w:rFonts w:hint="eastAsia" w:ascii="宋体" w:hAnsi="宋体" w:eastAsia="宋体" w:cs="宋体"/>
                <w:b/>
                <w:bCs/>
                <w:i w:val="0"/>
                <w:iCs w:val="0"/>
                <w:color w:val="auto"/>
                <w:sz w:val="22"/>
                <w:szCs w:val="22"/>
                <w:highlight w:val="none"/>
                <w:u w:val="none"/>
              </w:rPr>
            </w:pPr>
          </w:p>
        </w:tc>
      </w:tr>
      <w:tr w14:paraId="53A26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5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B7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系统运行保障服务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EE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运行状况监控和管理，包括系统所使用的服务器、子系统、数据库。运行状况监控和管理主要是对服务器软硬件及网络环境进行定期、不定期地监控与维护管理，包括：服务器操作系统运行状态监控（CPU负载率、内存占用率等）、服务器日志监控（主要包括操作系统日志、应用程序日志、安全日志）、相关服务运行状态监控（数据库服务、中间件服务等）、进程监控、漏洞修复管理、网络状态监控、硬件状态监控、信息系统软硬件运行故障处理记录、数据库运行状态。</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016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EF05D">
            <w:pPr>
              <w:jc w:val="center"/>
              <w:rPr>
                <w:rFonts w:hint="eastAsia" w:ascii="宋体" w:hAnsi="宋体" w:eastAsia="宋体" w:cs="宋体"/>
                <w:b/>
                <w:bCs/>
                <w:i w:val="0"/>
                <w:iCs w:val="0"/>
                <w:color w:val="auto"/>
                <w:sz w:val="22"/>
                <w:szCs w:val="22"/>
                <w:highlight w:val="none"/>
                <w:u w:val="none"/>
              </w:rPr>
            </w:pPr>
          </w:p>
        </w:tc>
      </w:tr>
      <w:tr w14:paraId="4AE09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E9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21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功能维护与优化服务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3C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C97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F152">
            <w:pPr>
              <w:jc w:val="center"/>
              <w:rPr>
                <w:rFonts w:hint="eastAsia" w:ascii="宋体" w:hAnsi="宋体" w:eastAsia="宋体" w:cs="宋体"/>
                <w:b/>
                <w:bCs/>
                <w:i w:val="0"/>
                <w:iCs w:val="0"/>
                <w:color w:val="auto"/>
                <w:sz w:val="22"/>
                <w:szCs w:val="22"/>
                <w:highlight w:val="none"/>
                <w:u w:val="none"/>
              </w:rPr>
            </w:pPr>
          </w:p>
        </w:tc>
      </w:tr>
      <w:tr w14:paraId="29A2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A1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FE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进行缺陷处理</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93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现有系统存在的问题，提供修复和避免措施的服务。缺陷处理流程包括：1、定义缺陷 2、发布缺陷，并通知开发 3、分析和解决问题 4、跟踪缺陷解决进度 5、跟进缺陷信息变更的记录情况 6、建立系统的缺陷数据库。</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85A8">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9AA9">
            <w:pPr>
              <w:jc w:val="center"/>
              <w:rPr>
                <w:rFonts w:hint="eastAsia" w:ascii="宋体" w:hAnsi="宋体" w:eastAsia="宋体" w:cs="宋体"/>
                <w:b/>
                <w:bCs/>
                <w:i w:val="0"/>
                <w:iCs w:val="0"/>
                <w:color w:val="auto"/>
                <w:sz w:val="22"/>
                <w:szCs w:val="22"/>
                <w:highlight w:val="none"/>
                <w:u w:val="none"/>
              </w:rPr>
            </w:pPr>
          </w:p>
        </w:tc>
      </w:tr>
      <w:tr w14:paraId="2C67A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217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04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提供接口开发及强化系统安全</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736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对应相关系统接口开发。</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850D">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10EB">
            <w:pPr>
              <w:jc w:val="center"/>
              <w:rPr>
                <w:rFonts w:hint="eastAsia" w:ascii="宋体" w:hAnsi="宋体" w:eastAsia="宋体" w:cs="宋体"/>
                <w:b/>
                <w:bCs/>
                <w:i w:val="0"/>
                <w:iCs w:val="0"/>
                <w:color w:val="auto"/>
                <w:sz w:val="22"/>
                <w:szCs w:val="22"/>
                <w:highlight w:val="none"/>
                <w:u w:val="none"/>
              </w:rPr>
            </w:pPr>
          </w:p>
        </w:tc>
      </w:tr>
      <w:tr w14:paraId="307C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D5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77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技术咨询服务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D6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协助北海市海洋局到各个部门调研需求并提供相应的需求报告，为信息化项目提供咨询服务。</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F85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51D6">
            <w:pPr>
              <w:jc w:val="center"/>
              <w:rPr>
                <w:rFonts w:hint="eastAsia" w:ascii="宋体" w:hAnsi="宋体" w:eastAsia="宋体" w:cs="宋体"/>
                <w:b/>
                <w:bCs/>
                <w:i w:val="0"/>
                <w:iCs w:val="0"/>
                <w:color w:val="auto"/>
                <w:sz w:val="22"/>
                <w:szCs w:val="22"/>
                <w:highlight w:val="none"/>
                <w:u w:val="none"/>
              </w:rPr>
            </w:pPr>
          </w:p>
        </w:tc>
      </w:tr>
      <w:tr w14:paraId="33CF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5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B8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数据/存储/容灾服务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ED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对系统和业务数据进行统一存储、备份和复原。</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06C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29F9">
            <w:pPr>
              <w:jc w:val="center"/>
              <w:rPr>
                <w:rFonts w:hint="eastAsia" w:ascii="宋体" w:hAnsi="宋体" w:eastAsia="宋体" w:cs="宋体"/>
                <w:b/>
                <w:bCs/>
                <w:i w:val="0"/>
                <w:iCs w:val="0"/>
                <w:color w:val="auto"/>
                <w:sz w:val="22"/>
                <w:szCs w:val="22"/>
                <w:highlight w:val="none"/>
                <w:u w:val="none"/>
              </w:rPr>
            </w:pPr>
          </w:p>
        </w:tc>
      </w:tr>
      <w:tr w14:paraId="6E44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21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6D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系统安全整改服务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2E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照自治区政府关于安全整改的要求，及时响应并完成安全整改工作。其中针对风险等级为高的漏洞，需要在收到报告后的三个工作日内予以修复解决；针对风险等级为中、低的漏洞，需要在收到报告后的两周内予以修复解决。修复解决后提交给采购方相应的安全整改报告（如遇到系统较大版本升级改动等特殊情况需要延期解决，需在安全整改报告中说明，并给出具体完成修复时间）。</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2C184">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E850">
            <w:pPr>
              <w:jc w:val="center"/>
              <w:rPr>
                <w:rFonts w:hint="eastAsia" w:ascii="宋体" w:hAnsi="宋体" w:eastAsia="宋体" w:cs="宋体"/>
                <w:b/>
                <w:bCs/>
                <w:i w:val="0"/>
                <w:iCs w:val="0"/>
                <w:color w:val="auto"/>
                <w:sz w:val="22"/>
                <w:szCs w:val="22"/>
                <w:highlight w:val="none"/>
                <w:u w:val="none"/>
              </w:rPr>
            </w:pPr>
          </w:p>
        </w:tc>
      </w:tr>
      <w:tr w14:paraId="00E8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6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C3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网络通信运维</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BC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网络连接检查：定期检查系统中各设备之间的网络连接情况，包括有线网络和无线网络。确保网络线缆无损坏、接口无松动，无线网络信号强度稳定，连接正常。对于出现的网络故障，及时进行排查和修复，保障系统数据的正常传输。</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网络安全防护：加强网络安全防护措施，如部署防火墙、入侵检测系统、VPN等，防止外部网络攻击和非法入侵。定期更新网络安全设备的规则和策略，以适应不断变化的网络安全威胁。同时，对网络流量进行监测和分析，及时发现异常流量并进行处理。</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带宽管理：根据系统的业务需求和实际网络使用情况，合理分配网络带宽，确保关键业务（如实时监控视频传输、反制指令下达等）能够获得足够的带宽资源，避免因带宽不足而导致系统性能下降或业务中断。</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0D7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77E1">
            <w:pPr>
              <w:jc w:val="center"/>
              <w:rPr>
                <w:rFonts w:hint="eastAsia" w:ascii="宋体" w:hAnsi="宋体" w:eastAsia="宋体" w:cs="宋体"/>
                <w:b/>
                <w:bCs/>
                <w:i w:val="0"/>
                <w:iCs w:val="0"/>
                <w:color w:val="auto"/>
                <w:sz w:val="22"/>
                <w:szCs w:val="22"/>
                <w:highlight w:val="none"/>
                <w:u w:val="none"/>
              </w:rPr>
            </w:pPr>
          </w:p>
        </w:tc>
      </w:tr>
      <w:tr w14:paraId="61F0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6A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10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内容运维服务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75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进行系统指标、报表设计、任务发布与数据核对等工作。</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30AF">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85DF">
            <w:pPr>
              <w:jc w:val="center"/>
              <w:rPr>
                <w:rFonts w:hint="eastAsia" w:ascii="宋体" w:hAnsi="宋体" w:eastAsia="宋体" w:cs="宋体"/>
                <w:b/>
                <w:bCs/>
                <w:i w:val="0"/>
                <w:iCs w:val="0"/>
                <w:color w:val="auto"/>
                <w:sz w:val="22"/>
                <w:szCs w:val="22"/>
                <w:highlight w:val="none"/>
                <w:u w:val="none"/>
              </w:rPr>
            </w:pPr>
          </w:p>
        </w:tc>
      </w:tr>
      <w:tr w14:paraId="3CAE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A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2F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运行维护内容和任务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27E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漏洞修复与补丁管理。提供紧急漏洞修复服务，针对高危漏洞（如通信协议破解风险、权限绕过漏洞）提供72小时内修复补丁。提供常规补丁更新，定期发布累积性补丁，修复已知低风险问题（如界面显示错误、日志记录异常）。</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（2）性能调优与兼容性维护。提供运行效率优化服务，针对系统卡顿问题，调整进程调度策略（如降低光电跟踪线程的CPU优先级）。定期删除冗余数据（如无效告警记录），压缩日志文件占用空间。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（3）日志分析与故障诊断。提供日志监控服务，通过分析日志关键词（如“信号丢失”“内存溢出”），自动触发告警通知。对系统崩溃日志进行溯源，定位故障模块。提供远程诊断服务，</w:t>
            </w:r>
            <w:r>
              <w:rPr>
                <w:rFonts w:hint="eastAsia" w:ascii="宋体" w:hAnsi="宋体" w:cs="宋体"/>
                <w:i w:val="0"/>
                <w:iCs w:val="0"/>
                <w:color w:val="auto"/>
                <w:kern w:val="0"/>
                <w:sz w:val="22"/>
                <w:szCs w:val="22"/>
                <w:highlight w:val="none"/>
                <w:u w:val="none"/>
                <w:lang w:val="en-US" w:eastAsia="zh-CN" w:bidi="ar"/>
              </w:rPr>
              <w:t>投标人</w:t>
            </w:r>
            <w:r>
              <w:rPr>
                <w:rFonts w:hint="eastAsia" w:ascii="宋体" w:hAnsi="宋体" w:eastAsia="宋体" w:cs="宋体"/>
                <w:i w:val="0"/>
                <w:iCs w:val="0"/>
                <w:color w:val="auto"/>
                <w:kern w:val="0"/>
                <w:sz w:val="22"/>
                <w:szCs w:val="22"/>
                <w:highlight w:val="none"/>
                <w:u w:val="none"/>
                <w:lang w:val="en-US" w:eastAsia="zh-CN" w:bidi="ar"/>
              </w:rPr>
              <w:t>工程师通过VPN接入系统，现场复现问题并生成修复方案。系统运行过程中会产生大量的日志文件，包括设备日志、操作日志、报警日志等。对这些日志进行定期分析，有助于发现系统潜在的问题，如异常操作、设备故障迹象、安全威胁等，以便及时采取相应的措施。同时，按照规定的时间周期对日志进行清理和归档，避免日志文件占用过多的存储空间。</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数据迁移与备份恢复。提供数据迁移支持，协助将历史数据（如船舶识别特征库）迁移至新版本系统。提供异地备份方案，按需恢复关键数据。制定完善的数据备份策略，定期对系统中的关键数据，如船舶监控数据、值班监控记录、用户信息、系统配置数据等进行备份。并定期进行数据恢复测试，确保在系统出现故障或数据丢失时能够快速、准确地恢复数据。</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（5）系统更新：及时安装操作系统、数据库管理系统、中间件软件等的官方更新补丁，以修复软件漏洞，提高系统的安全性和稳定性，同时获取新功能和性能优化。</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（6）软件配置检查：定期检查软件的配置参数，确保其与系统实际运行环境和业务需求相匹配。如检查监控范围、反制策略、报警阈值等参数设置是否正确，如有需要，及时进行调整。</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EC39">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C96D">
            <w:pPr>
              <w:jc w:val="center"/>
              <w:rPr>
                <w:rFonts w:hint="eastAsia" w:ascii="宋体" w:hAnsi="宋体" w:eastAsia="宋体" w:cs="宋体"/>
                <w:b/>
                <w:bCs/>
                <w:i w:val="0"/>
                <w:iCs w:val="0"/>
                <w:color w:val="auto"/>
                <w:sz w:val="22"/>
                <w:szCs w:val="22"/>
                <w:highlight w:val="none"/>
                <w:u w:val="none"/>
              </w:rPr>
            </w:pPr>
          </w:p>
        </w:tc>
      </w:tr>
      <w:tr w14:paraId="7421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62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51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提供报表设计服务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1C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需按任务要求设计填报表模板和汇总报表模板，并在设计时对每张报表模板中的指标运算和元数据信息进行核对，在任务发布前进行报表填报测试，确保用户在填报的数据能符合要求。</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170B">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20C0">
            <w:pPr>
              <w:jc w:val="center"/>
              <w:rPr>
                <w:rFonts w:hint="eastAsia" w:ascii="宋体" w:hAnsi="宋体" w:eastAsia="宋体" w:cs="宋体"/>
                <w:b/>
                <w:bCs/>
                <w:i w:val="0"/>
                <w:iCs w:val="0"/>
                <w:color w:val="auto"/>
                <w:sz w:val="22"/>
                <w:szCs w:val="22"/>
                <w:highlight w:val="none"/>
                <w:u w:val="none"/>
              </w:rPr>
            </w:pPr>
          </w:p>
        </w:tc>
      </w:tr>
      <w:tr w14:paraId="123CB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5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4D4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提供维护报表、指标和元数据服务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87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对现有及历史的渔港基础信息数据、行政执法信息数据、气象信息数据、渔船基础资料数据、渔船位置数据等数据报表、指标和元数据进行维护，每周需要维护的报表模板数据项约为40项。</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5A8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F4A2">
            <w:pPr>
              <w:jc w:val="center"/>
              <w:rPr>
                <w:rFonts w:hint="eastAsia" w:ascii="宋体" w:hAnsi="宋体" w:eastAsia="宋体" w:cs="宋体"/>
                <w:b/>
                <w:bCs/>
                <w:i w:val="0"/>
                <w:iCs w:val="0"/>
                <w:color w:val="auto"/>
                <w:sz w:val="22"/>
                <w:szCs w:val="22"/>
                <w:highlight w:val="none"/>
                <w:u w:val="none"/>
              </w:rPr>
            </w:pPr>
          </w:p>
        </w:tc>
      </w:tr>
      <w:tr w14:paraId="2CDC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A7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A2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提供日常数据梳理及核对服务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97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下发任务数据进行核对与确认，每周任务产生的数据量约150条（不包括历史数据）。并在任务填报期间，对下发的填报表和汇总报表进行维护，对存在问题的报表、指标和元数据进行重新检查、验证、更新以及数据修复。</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720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E6A8">
            <w:pPr>
              <w:jc w:val="center"/>
              <w:rPr>
                <w:rFonts w:hint="eastAsia" w:ascii="宋体" w:hAnsi="宋体" w:eastAsia="宋体" w:cs="宋体"/>
                <w:b/>
                <w:bCs/>
                <w:i w:val="0"/>
                <w:iCs w:val="0"/>
                <w:color w:val="auto"/>
                <w:sz w:val="22"/>
                <w:szCs w:val="22"/>
                <w:highlight w:val="none"/>
                <w:u w:val="none"/>
              </w:rPr>
            </w:pPr>
          </w:p>
        </w:tc>
      </w:tr>
      <w:tr w14:paraId="02DE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70F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7F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提供调整变更及清洗数据服务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84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根据业务需求调整数据指标模型，提供指标元数据变更、指标数据抽取、指标数据分析服务；根据业务需求对原有数据进行加工处理，修改已下发的填报表和汇总表，增加计算指标等内容。</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AC6A">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1BE2">
            <w:pPr>
              <w:jc w:val="center"/>
              <w:rPr>
                <w:rFonts w:hint="eastAsia" w:ascii="宋体" w:hAnsi="宋体" w:eastAsia="宋体" w:cs="宋体"/>
                <w:b/>
                <w:bCs/>
                <w:i w:val="0"/>
                <w:iCs w:val="0"/>
                <w:color w:val="auto"/>
                <w:sz w:val="22"/>
                <w:szCs w:val="22"/>
                <w:highlight w:val="none"/>
                <w:u w:val="none"/>
              </w:rPr>
            </w:pPr>
          </w:p>
        </w:tc>
      </w:tr>
      <w:tr w14:paraId="5156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F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6B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提供异常数据检查与处理服务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00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协助用户对异常数据（主要为历史数据）进行修正处理。至少每天平均提供服务2人次。</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0522">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FFB4">
            <w:pPr>
              <w:jc w:val="center"/>
              <w:rPr>
                <w:rFonts w:hint="eastAsia" w:ascii="宋体" w:hAnsi="宋体" w:eastAsia="宋体" w:cs="宋体"/>
                <w:b/>
                <w:bCs/>
                <w:i w:val="0"/>
                <w:iCs w:val="0"/>
                <w:color w:val="auto"/>
                <w:sz w:val="22"/>
                <w:szCs w:val="22"/>
                <w:highlight w:val="none"/>
                <w:u w:val="none"/>
              </w:rPr>
            </w:pPr>
          </w:p>
        </w:tc>
      </w:tr>
      <w:tr w14:paraId="3497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C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DF2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提供操作人员培训服务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9A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采用线上培训与线下培训相结合的形式，培训对象包括管理人员、各行政区划业务人员。</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3615">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E69F">
            <w:pPr>
              <w:jc w:val="center"/>
              <w:rPr>
                <w:rFonts w:hint="eastAsia" w:ascii="宋体" w:hAnsi="宋体" w:eastAsia="宋体" w:cs="宋体"/>
                <w:b/>
                <w:bCs/>
                <w:i w:val="0"/>
                <w:iCs w:val="0"/>
                <w:color w:val="auto"/>
                <w:sz w:val="22"/>
                <w:szCs w:val="22"/>
                <w:highlight w:val="none"/>
                <w:u w:val="none"/>
              </w:rPr>
            </w:pPr>
          </w:p>
        </w:tc>
      </w:tr>
      <w:tr w14:paraId="30D04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6FC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F2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提供文档服务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F4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准备阶段文件、实施阶段文件、试运行和培训阶段文件、管理类文件、验收阶段文件、移交阶段文件的编制。对系统进行重大更新、数据处理、升级等操作，需要向采购方提供完整的解决方案和风险评估报告，待采购方确认后，再执行，必要时需要采购方参与其中。</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8B61">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E88E">
            <w:pPr>
              <w:jc w:val="center"/>
              <w:rPr>
                <w:rFonts w:hint="eastAsia" w:ascii="宋体" w:hAnsi="宋体" w:eastAsia="宋体" w:cs="宋体"/>
                <w:b/>
                <w:bCs/>
                <w:i w:val="0"/>
                <w:iCs w:val="0"/>
                <w:color w:val="auto"/>
                <w:sz w:val="22"/>
                <w:szCs w:val="22"/>
                <w:highlight w:val="none"/>
                <w:u w:val="none"/>
              </w:rPr>
            </w:pPr>
          </w:p>
        </w:tc>
      </w:tr>
      <w:tr w14:paraId="3C55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A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5C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报表服务</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7A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报表要求：（1）配表前，服务提供方要形成配表明细记录，标注每期报表中每个指标的环比、同比取数、逻辑校验等设置，提交给采购方审核后，再进行配表；（2）服务提供方配表完成后，要针对配表的内容，做再次审核。</w:t>
            </w: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A0D3">
            <w:pPr>
              <w:jc w:val="center"/>
              <w:rPr>
                <w:rFonts w:hint="eastAsia" w:ascii="宋体" w:hAnsi="宋体" w:eastAsia="宋体" w:cs="宋体"/>
                <w:b/>
                <w:bCs/>
                <w:i w:val="0"/>
                <w:iCs w:val="0"/>
                <w:color w:val="auto"/>
                <w:sz w:val="22"/>
                <w:szCs w:val="22"/>
                <w:highlight w:val="none"/>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9903">
            <w:pPr>
              <w:jc w:val="center"/>
              <w:rPr>
                <w:rFonts w:hint="eastAsia" w:ascii="宋体" w:hAnsi="宋体" w:eastAsia="宋体" w:cs="宋体"/>
                <w:b/>
                <w:bCs/>
                <w:i w:val="0"/>
                <w:iCs w:val="0"/>
                <w:color w:val="auto"/>
                <w:sz w:val="22"/>
                <w:szCs w:val="22"/>
                <w:highlight w:val="none"/>
                <w:u w:val="none"/>
              </w:rPr>
            </w:pPr>
          </w:p>
        </w:tc>
      </w:tr>
      <w:tr w14:paraId="392E4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4DB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w:t>
            </w:r>
          </w:p>
        </w:tc>
        <w:tc>
          <w:tcPr>
            <w:tcW w:w="4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1DC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等保密评</w:t>
            </w:r>
          </w:p>
        </w:tc>
      </w:tr>
      <w:tr w14:paraId="5AE8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CB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60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三级等保测评</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6A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依据《信息安全技术 网络安全等级保护基本要求》（GB/T 22239—2019），从安全物理环境、安全通信网络等层面对北海市海洋监管综合执法指挥平台进行整体测评，并向</w:t>
            </w:r>
            <w:r>
              <w:rPr>
                <w:rFonts w:hint="eastAsia" w:ascii="宋体" w:hAnsi="宋体" w:cs="宋体"/>
                <w:i w:val="0"/>
                <w:iCs w:val="0"/>
                <w:color w:val="auto"/>
                <w:kern w:val="0"/>
                <w:sz w:val="22"/>
                <w:szCs w:val="22"/>
                <w:highlight w:val="none"/>
                <w:u w:val="none"/>
                <w:lang w:val="en-US" w:eastAsia="zh-CN" w:bidi="ar"/>
              </w:rPr>
              <w:t>招标人</w:t>
            </w:r>
            <w:r>
              <w:rPr>
                <w:rFonts w:hint="eastAsia" w:ascii="宋体" w:hAnsi="宋体" w:eastAsia="宋体" w:cs="宋体"/>
                <w:i w:val="0"/>
                <w:iCs w:val="0"/>
                <w:color w:val="auto"/>
                <w:kern w:val="0"/>
                <w:sz w:val="22"/>
                <w:szCs w:val="22"/>
                <w:highlight w:val="none"/>
                <w:u w:val="none"/>
                <w:lang w:val="en-US" w:eastAsia="zh-CN" w:bidi="ar"/>
              </w:rPr>
              <w:t>提供国家相关管理部门认可的《网络安全等级保护测评报告》</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436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366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次</w:t>
            </w:r>
          </w:p>
        </w:tc>
      </w:tr>
      <w:tr w14:paraId="1B17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C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D0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三级商用密码测评</w:t>
            </w:r>
          </w:p>
        </w:tc>
        <w:tc>
          <w:tcPr>
            <w:tcW w:w="27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44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依照《信息安全技术 信息系统密码技术基本要求》(GB/T 39786 - 2021)、《中华人民共和国密码法》及相关商用密码应用要求和标准，对北海市海洋监管综合执法指挥平台开展商用密码应用安全性评估，并向</w:t>
            </w:r>
            <w:r>
              <w:rPr>
                <w:rFonts w:hint="eastAsia" w:ascii="宋体" w:hAnsi="宋体" w:cs="宋体"/>
                <w:i w:val="0"/>
                <w:iCs w:val="0"/>
                <w:color w:val="auto"/>
                <w:kern w:val="0"/>
                <w:sz w:val="22"/>
                <w:szCs w:val="22"/>
                <w:highlight w:val="none"/>
                <w:u w:val="none"/>
                <w:lang w:val="en-US" w:eastAsia="zh-CN" w:bidi="ar"/>
              </w:rPr>
              <w:t>招标人</w:t>
            </w:r>
            <w:r>
              <w:rPr>
                <w:rFonts w:hint="eastAsia" w:ascii="宋体" w:hAnsi="宋体" w:eastAsia="宋体" w:cs="宋体"/>
                <w:i w:val="0"/>
                <w:iCs w:val="0"/>
                <w:color w:val="auto"/>
                <w:kern w:val="0"/>
                <w:sz w:val="22"/>
                <w:szCs w:val="22"/>
                <w:highlight w:val="none"/>
                <w:u w:val="none"/>
                <w:lang w:val="en-US" w:eastAsia="zh-CN" w:bidi="ar"/>
              </w:rPr>
              <w:t>提供国家相关管理部门认可的《商用密码应用方案商用密码应用安全性评估报告》《商用密码应用安全性评估报告》并获得密码管理部门的备案证明。</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3BE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DA0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次</w:t>
            </w:r>
          </w:p>
        </w:tc>
      </w:tr>
    </w:tbl>
    <w:p w14:paraId="04F6ECDE">
      <w:pPr>
        <w:pStyle w:val="25"/>
        <w:ind w:left="0" w:leftChars="0" w:firstLine="0" w:firstLineChars="0"/>
        <w:rPr>
          <w:rFonts w:hint="eastAsia" w:ascii="宋体" w:eastAsia="宋体"/>
          <w:b/>
          <w:bCs/>
          <w:color w:val="auto"/>
          <w:highlight w:val="none"/>
          <w:lang w:val="en-US" w:eastAsia="zh-CN"/>
        </w:rPr>
      </w:pPr>
    </w:p>
    <w:p w14:paraId="5BCA02D8">
      <w:pPr>
        <w:keepNext w:val="0"/>
        <w:keepLines w:val="0"/>
        <w:pageBreakBefore w:val="0"/>
        <w:widowControl w:val="0"/>
        <w:numPr>
          <w:ilvl w:val="0"/>
          <w:numId w:val="4"/>
        </w:numPr>
        <w:kinsoku/>
        <w:wordWrap/>
        <w:overflowPunct/>
        <w:topLinePunct w:val="0"/>
        <w:autoSpaceDE/>
        <w:autoSpaceDN/>
        <w:bidi w:val="0"/>
        <w:adjustRightInd w:val="0"/>
        <w:snapToGrid/>
        <w:spacing w:line="360" w:lineRule="auto"/>
        <w:textAlignment w:val="auto"/>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商务要求</w:t>
      </w:r>
    </w:p>
    <w:p w14:paraId="67F0B00C">
      <w:pPr>
        <w:keepNext w:val="0"/>
        <w:keepLines w:val="0"/>
        <w:pageBreakBefore w:val="0"/>
        <w:widowControl/>
        <w:numPr>
          <w:ilvl w:val="0"/>
          <w:numId w:val="5"/>
        </w:numPr>
        <w:suppressLineNumbers w:val="0"/>
        <w:kinsoku/>
        <w:wordWrap/>
        <w:overflowPunct/>
        <w:topLinePunct w:val="0"/>
        <w:autoSpaceDE/>
        <w:autoSpaceDN/>
        <w:bidi w:val="0"/>
        <w:adjustRightInd w:val="0"/>
        <w:snapToGrid/>
        <w:spacing w:line="460" w:lineRule="exact"/>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合同签订时间：</w:t>
      </w:r>
    </w:p>
    <w:p w14:paraId="4E99E358">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自中标通知书发出之日起 25</w:t>
      </w:r>
      <w:r>
        <w:rPr>
          <w:rFonts w:hint="eastAsia" w:ascii="宋体" w:hAnsi="宋体" w:cs="宋体"/>
          <w:i w:val="0"/>
          <w:iCs w:val="0"/>
          <w:color w:val="auto"/>
          <w:kern w:val="0"/>
          <w:sz w:val="24"/>
          <w:szCs w:val="24"/>
          <w:highlight w:val="none"/>
          <w:u w:val="none"/>
          <w:lang w:val="en-US" w:eastAsia="zh-CN" w:bidi="ar"/>
        </w:rPr>
        <w:t>个日历</w:t>
      </w:r>
      <w:r>
        <w:rPr>
          <w:rFonts w:hint="eastAsia" w:ascii="宋体" w:hAnsi="宋体" w:eastAsia="宋体" w:cs="宋体"/>
          <w:i w:val="0"/>
          <w:iCs w:val="0"/>
          <w:color w:val="auto"/>
          <w:kern w:val="0"/>
          <w:sz w:val="24"/>
          <w:szCs w:val="24"/>
          <w:highlight w:val="none"/>
          <w:u w:val="none"/>
          <w:lang w:val="en-US" w:eastAsia="zh-CN" w:bidi="ar"/>
        </w:rPr>
        <w:t>日内。</w:t>
      </w:r>
    </w:p>
    <w:p w14:paraId="0B106913">
      <w:pPr>
        <w:keepNext w:val="0"/>
        <w:keepLines w:val="0"/>
        <w:pageBreakBefore w:val="0"/>
        <w:widowControl w:val="0"/>
        <w:numPr>
          <w:ilvl w:val="0"/>
          <w:numId w:val="5"/>
        </w:numPr>
        <w:kinsoku/>
        <w:wordWrap/>
        <w:overflowPunct/>
        <w:topLinePunct w:val="0"/>
        <w:autoSpaceDE/>
        <w:autoSpaceDN/>
        <w:bidi w:val="0"/>
        <w:adjustRightInd w:val="0"/>
        <w:snapToGrid/>
        <w:spacing w:line="360" w:lineRule="auto"/>
        <w:ind w:left="0" w:leftChars="0" w:firstLine="482" w:firstLineChars="200"/>
        <w:textAlignment w:val="auto"/>
        <w:rPr>
          <w:rFonts w:hint="eastAsia" w:cs="宋体" w:eastAsiaTheme="minorEastAsia"/>
          <w:b/>
          <w:bCs/>
          <w:color w:val="auto"/>
          <w:sz w:val="24"/>
          <w:highlight w:val="none"/>
          <w:lang w:val="en-US" w:eastAsia="zh-CN"/>
        </w:rPr>
      </w:pPr>
      <w:r>
        <w:rPr>
          <w:rFonts w:hint="eastAsia" w:cs="宋体" w:eastAsiaTheme="minorEastAsia"/>
          <w:b/>
          <w:bCs/>
          <w:color w:val="auto"/>
          <w:sz w:val="24"/>
          <w:highlight w:val="none"/>
          <w:lang w:val="en-US" w:eastAsia="zh-CN"/>
        </w:rPr>
        <w:t>服务周期：</w:t>
      </w:r>
    </w:p>
    <w:p w14:paraId="3398B76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200"/>
        <w:textAlignment w:val="auto"/>
        <w:rPr>
          <w:rFonts w:hint="eastAsia" w:cs="宋体" w:eastAsiaTheme="minorEastAsia"/>
          <w:color w:val="auto"/>
          <w:sz w:val="24"/>
          <w:highlight w:val="none"/>
          <w:lang w:val="en-US" w:eastAsia="zh-CN"/>
        </w:rPr>
      </w:pPr>
      <w:r>
        <w:rPr>
          <w:rFonts w:hint="eastAsia" w:cs="宋体" w:eastAsiaTheme="minorEastAsia"/>
          <w:color w:val="auto"/>
          <w:sz w:val="24"/>
          <w:highlight w:val="none"/>
          <w:lang w:val="en-US" w:eastAsia="zh-CN"/>
        </w:rPr>
        <w:t>项目服务周期包括：开发建设期和运维服务期。</w:t>
      </w:r>
    </w:p>
    <w:p w14:paraId="2E02C08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200"/>
        <w:textAlignment w:val="auto"/>
        <w:rPr>
          <w:rFonts w:hint="eastAsia" w:cs="宋体" w:eastAsiaTheme="minorEastAsia"/>
          <w:color w:val="auto"/>
          <w:sz w:val="24"/>
          <w:highlight w:val="none"/>
          <w:lang w:val="en-US" w:eastAsia="zh-CN"/>
        </w:rPr>
      </w:pPr>
      <w:r>
        <w:rPr>
          <w:rFonts w:hint="eastAsia" w:cs="宋体" w:eastAsiaTheme="minorEastAsia"/>
          <w:color w:val="auto"/>
          <w:sz w:val="24"/>
          <w:highlight w:val="none"/>
          <w:lang w:val="en-US" w:eastAsia="zh-CN"/>
        </w:rPr>
        <w:t>开发建设期限：自合同签订之日起60个日历日内完成北海市海洋监管综合执法</w:t>
      </w:r>
    </w:p>
    <w:p w14:paraId="6B4B06E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eastAsia" w:cs="宋体" w:eastAsiaTheme="minorEastAsia"/>
          <w:color w:val="auto"/>
          <w:sz w:val="24"/>
          <w:highlight w:val="none"/>
          <w:lang w:val="en-US" w:eastAsia="zh-CN"/>
        </w:rPr>
      </w:pPr>
      <w:r>
        <w:rPr>
          <w:rFonts w:hint="eastAsia" w:cs="宋体" w:eastAsiaTheme="minorEastAsia"/>
          <w:color w:val="auto"/>
          <w:sz w:val="24"/>
          <w:highlight w:val="none"/>
          <w:lang w:val="en-US" w:eastAsia="zh-CN"/>
        </w:rPr>
        <w:t>指挥平台开发建设，平稳试运行，并交付使用，</w:t>
      </w:r>
      <w:r>
        <w:rPr>
          <w:rFonts w:hint="eastAsia" w:cs="宋体" w:eastAsiaTheme="minorEastAsia"/>
          <w:color w:val="auto"/>
          <w:sz w:val="24"/>
          <w:highlight w:val="none"/>
          <w:lang w:val="en-US" w:eastAsia="zh-CN"/>
        </w:rPr>
        <w:t>通过平台功能验收。</w:t>
      </w:r>
    </w:p>
    <w:p w14:paraId="0BC8265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cs="宋体" w:eastAsiaTheme="minorEastAsia"/>
          <w:color w:val="auto"/>
          <w:sz w:val="24"/>
          <w:highlight w:val="none"/>
          <w:lang w:val="en-US" w:eastAsia="zh-CN"/>
        </w:rPr>
      </w:pPr>
      <w:r>
        <w:rPr>
          <w:rFonts w:hint="eastAsia" w:cs="宋体" w:eastAsiaTheme="minorEastAsia"/>
          <w:color w:val="auto"/>
          <w:sz w:val="24"/>
          <w:highlight w:val="none"/>
          <w:lang w:val="en-US" w:eastAsia="zh-CN"/>
        </w:rPr>
        <w:t>运维服务期限：自通过平台功能验收之日起质保期1年，质保期结束之日起提供3年系统免费运维服务。</w:t>
      </w:r>
    </w:p>
    <w:p w14:paraId="3CA077B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1"/>
        <w:textAlignment w:val="auto"/>
        <w:rPr>
          <w:rFonts w:hint="eastAsia" w:cs="宋体" w:eastAsiaTheme="minorEastAsia"/>
          <w:color w:val="auto"/>
          <w:sz w:val="24"/>
          <w:highlight w:val="none"/>
          <w:lang w:eastAsia="zh-CN"/>
        </w:rPr>
      </w:pPr>
      <w:r>
        <w:rPr>
          <w:rFonts w:hint="eastAsia" w:cs="宋体" w:eastAsiaTheme="minorEastAsia"/>
          <w:b/>
          <w:bCs/>
          <w:color w:val="auto"/>
          <w:sz w:val="24"/>
          <w:highlight w:val="none"/>
          <w:lang w:val="en-US" w:eastAsia="zh-CN"/>
        </w:rPr>
        <w:t>3、服务地点：</w:t>
      </w:r>
      <w:r>
        <w:rPr>
          <w:rFonts w:hint="eastAsia" w:cs="宋体" w:eastAsiaTheme="minorEastAsia"/>
          <w:color w:val="auto"/>
          <w:sz w:val="24"/>
          <w:highlight w:val="none"/>
          <w:lang w:val="en-US" w:eastAsia="zh-CN"/>
        </w:rPr>
        <w:t>招标人指定办公地点及线上远程服务场景。</w:t>
      </w:r>
    </w:p>
    <w:p w14:paraId="65A14724">
      <w:pPr>
        <w:keepNext w:val="0"/>
        <w:keepLines w:val="0"/>
        <w:pageBreakBefore w:val="0"/>
        <w:widowControl/>
        <w:suppressLineNumbers w:val="0"/>
        <w:kinsoku/>
        <w:wordWrap/>
        <w:overflowPunct/>
        <w:topLinePunct w:val="0"/>
        <w:autoSpaceDE/>
        <w:autoSpaceDN/>
        <w:bidi w:val="0"/>
        <w:adjustRightInd w:val="0"/>
        <w:snapToGrid/>
        <w:spacing w:line="460" w:lineRule="exact"/>
        <w:ind w:firstLine="482"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4</w:t>
      </w:r>
      <w:r>
        <w:rPr>
          <w:rFonts w:hint="eastAsia" w:ascii="宋体" w:hAnsi="宋体" w:eastAsia="宋体" w:cs="宋体"/>
          <w:b/>
          <w:bCs/>
          <w:i w:val="0"/>
          <w:iCs w:val="0"/>
          <w:color w:val="auto"/>
          <w:kern w:val="0"/>
          <w:sz w:val="24"/>
          <w:szCs w:val="24"/>
          <w:highlight w:val="none"/>
          <w:u w:val="none"/>
          <w:lang w:val="en-US" w:eastAsia="zh-CN" w:bidi="ar"/>
        </w:rPr>
        <w:t>、质量要求</w:t>
      </w:r>
      <w:r>
        <w:rPr>
          <w:rFonts w:hint="eastAsia" w:ascii="宋体" w:hAnsi="宋体" w:eastAsia="宋体" w:cs="宋体"/>
          <w:i w:val="0"/>
          <w:iCs w:val="0"/>
          <w:color w:val="auto"/>
          <w:kern w:val="0"/>
          <w:sz w:val="24"/>
          <w:szCs w:val="24"/>
          <w:highlight w:val="none"/>
          <w:u w:val="none"/>
          <w:lang w:val="en-US" w:eastAsia="zh-CN" w:bidi="ar"/>
        </w:rPr>
        <w:t>：</w:t>
      </w:r>
    </w:p>
    <w:p w14:paraId="24AFAB46">
      <w:pPr>
        <w:keepNext w:val="0"/>
        <w:keepLines w:val="0"/>
        <w:pageBreakBefore w:val="0"/>
        <w:widowControl/>
        <w:suppressLineNumbers w:val="0"/>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（1）符合国家相关规范</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标准，并且满足</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对本项目的服务质量要求；</w:t>
      </w:r>
    </w:p>
    <w:p w14:paraId="047402E4">
      <w:pPr>
        <w:keepNext w:val="0"/>
        <w:keepLines w:val="0"/>
        <w:pageBreakBefore w:val="0"/>
        <w:widowControl/>
        <w:suppressLineNumbers w:val="0"/>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（2）本地化运维要求：具备本地化运维服务团队，明确突发情况的储备技术人员，保证运维人员充足</w:t>
      </w:r>
      <w:r>
        <w:rPr>
          <w:rFonts w:hint="eastAsia" w:ascii="宋体" w:hAnsi="宋体" w:cs="宋体"/>
          <w:i w:val="0"/>
          <w:iCs w:val="0"/>
          <w:color w:val="auto"/>
          <w:kern w:val="0"/>
          <w:sz w:val="24"/>
          <w:szCs w:val="24"/>
          <w:highlight w:val="none"/>
          <w:u w:val="none"/>
          <w:lang w:val="en-US" w:eastAsia="zh-CN" w:bidi="ar"/>
        </w:rPr>
        <w:t>，在</w:t>
      </w:r>
      <w:r>
        <w:rPr>
          <w:rFonts w:hint="eastAsia" w:ascii="宋体" w:hAnsi="宋体" w:eastAsia="宋体" w:cs="宋体"/>
          <w:i w:val="0"/>
          <w:iCs w:val="0"/>
          <w:color w:val="auto"/>
          <w:kern w:val="0"/>
          <w:sz w:val="24"/>
          <w:szCs w:val="24"/>
          <w:highlight w:val="none"/>
          <w:u w:val="none"/>
          <w:lang w:val="en-US" w:eastAsia="zh-CN" w:bidi="ar"/>
        </w:rPr>
        <w:t>突发情况发生后</w:t>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小时内解决故障并恢复系统运行，能保障系统稳定进行；有日常紧急故障处理流程、方式、方法，设置有应急团队，明确突发情况的储备技术人员情况，保证运维人员充足；</w:t>
      </w:r>
    </w:p>
    <w:p w14:paraId="2A59A234">
      <w:pPr>
        <w:keepNext w:val="0"/>
        <w:keepLines w:val="0"/>
        <w:pageBreakBefore w:val="0"/>
        <w:widowControl/>
        <w:suppressLineNumbers w:val="0"/>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（3）会议保障要求：需组建专属会议保障小组，</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提前1-3个工作日下达保障需求，中标</w:t>
      </w:r>
      <w:r>
        <w:rPr>
          <w:rFonts w:hint="eastAsia" w:ascii="宋体" w:hAnsi="宋体" w:cs="宋体"/>
          <w:i w:val="0"/>
          <w:iCs w:val="0"/>
          <w:color w:val="auto"/>
          <w:kern w:val="0"/>
          <w:sz w:val="24"/>
          <w:szCs w:val="24"/>
          <w:highlight w:val="none"/>
          <w:u w:val="none"/>
          <w:lang w:val="en-US" w:eastAsia="zh-CN" w:bidi="ar"/>
        </w:rPr>
        <w:t>投标人</w:t>
      </w:r>
      <w:r>
        <w:rPr>
          <w:rFonts w:hint="eastAsia" w:ascii="宋体" w:hAnsi="宋体" w:eastAsia="宋体" w:cs="宋体"/>
          <w:i w:val="0"/>
          <w:iCs w:val="0"/>
          <w:color w:val="auto"/>
          <w:kern w:val="0"/>
          <w:sz w:val="24"/>
          <w:szCs w:val="24"/>
          <w:highlight w:val="none"/>
          <w:u w:val="none"/>
          <w:lang w:val="en-US" w:eastAsia="zh-CN" w:bidi="ar"/>
        </w:rPr>
        <w:t>需支撑北海市海洋指挥中心各类会议（含日常调度会、应急处置会、专项工作会等），具体要求如下：①会前筹备：</w:t>
      </w:r>
      <w:r>
        <w:rPr>
          <w:rFonts w:hint="eastAsia" w:ascii="宋体" w:hAnsi="宋体" w:cs="宋体"/>
          <w:i w:val="0"/>
          <w:iCs w:val="0"/>
          <w:color w:val="auto"/>
          <w:kern w:val="0"/>
          <w:sz w:val="24"/>
          <w:szCs w:val="24"/>
          <w:highlight w:val="none"/>
          <w:u w:val="none"/>
          <w:lang w:val="en-US" w:eastAsia="zh-CN" w:bidi="ar"/>
        </w:rPr>
        <w:t>提供会议桌牌服务</w:t>
      </w:r>
      <w:r>
        <w:rPr>
          <w:rFonts w:hint="eastAsia" w:ascii="宋体" w:hAnsi="宋体" w:eastAsia="宋体" w:cs="宋体"/>
          <w:i w:val="0"/>
          <w:iCs w:val="0"/>
          <w:color w:val="auto"/>
          <w:kern w:val="0"/>
          <w:sz w:val="24"/>
          <w:szCs w:val="24"/>
          <w:highlight w:val="none"/>
          <w:u w:val="none"/>
          <w:lang w:val="en-US" w:eastAsia="zh-CN" w:bidi="ar"/>
        </w:rPr>
        <w:t>；安排1-2名系统技术专员，结合会议主题梳理需演示的系统功能模块，准备</w:t>
      </w:r>
      <w:r>
        <w:rPr>
          <w:rFonts w:hint="eastAsia" w:ascii="宋体" w:hAnsi="宋体" w:cs="宋体"/>
          <w:i w:val="0"/>
          <w:iCs w:val="0"/>
          <w:color w:val="auto"/>
          <w:kern w:val="0"/>
          <w:sz w:val="24"/>
          <w:szCs w:val="24"/>
          <w:highlight w:val="none"/>
          <w:u w:val="none"/>
          <w:lang w:val="en-US" w:eastAsia="zh-CN" w:bidi="ar"/>
        </w:rPr>
        <w:t>系统演示</w:t>
      </w:r>
      <w:r>
        <w:rPr>
          <w:rFonts w:hint="eastAsia" w:ascii="宋体" w:hAnsi="宋体" w:eastAsia="宋体" w:cs="宋体"/>
          <w:i w:val="0"/>
          <w:iCs w:val="0"/>
          <w:color w:val="auto"/>
          <w:kern w:val="0"/>
          <w:sz w:val="24"/>
          <w:szCs w:val="24"/>
          <w:highlight w:val="none"/>
          <w:u w:val="none"/>
          <w:lang w:val="en-US" w:eastAsia="zh-CN" w:bidi="ar"/>
        </w:rPr>
        <w:t>。② 会中值守：保障小组全程驻场，</w:t>
      </w:r>
      <w:r>
        <w:rPr>
          <w:rFonts w:hint="eastAsia" w:ascii="宋体" w:hAnsi="宋体" w:cs="宋体"/>
          <w:i w:val="0"/>
          <w:iCs w:val="0"/>
          <w:color w:val="auto"/>
          <w:kern w:val="0"/>
          <w:sz w:val="24"/>
          <w:szCs w:val="24"/>
          <w:highlight w:val="none"/>
          <w:u w:val="none"/>
          <w:lang w:val="en-US" w:eastAsia="zh-CN" w:bidi="ar"/>
        </w:rPr>
        <w:t>确保系统</w:t>
      </w:r>
      <w:r>
        <w:rPr>
          <w:rFonts w:hint="eastAsia" w:ascii="宋体" w:hAnsi="宋体" w:eastAsia="宋体" w:cs="宋体"/>
          <w:i w:val="0"/>
          <w:iCs w:val="0"/>
          <w:color w:val="auto"/>
          <w:kern w:val="0"/>
          <w:sz w:val="24"/>
          <w:szCs w:val="24"/>
          <w:highlight w:val="none"/>
          <w:u w:val="none"/>
          <w:lang w:val="en-US" w:eastAsia="zh-CN" w:bidi="ar"/>
        </w:rPr>
        <w:t>网络连接</w:t>
      </w:r>
      <w:r>
        <w:rPr>
          <w:rFonts w:hint="eastAsia" w:ascii="宋体" w:hAnsi="宋体" w:cs="宋体"/>
          <w:i w:val="0"/>
          <w:iCs w:val="0"/>
          <w:color w:val="auto"/>
          <w:kern w:val="0"/>
          <w:sz w:val="24"/>
          <w:szCs w:val="24"/>
          <w:highlight w:val="none"/>
          <w:u w:val="none"/>
          <w:lang w:val="en-US" w:eastAsia="zh-CN" w:bidi="ar"/>
        </w:rPr>
        <w:t>正常</w:t>
      </w:r>
      <w:r>
        <w:rPr>
          <w:rFonts w:hint="eastAsia" w:ascii="宋体" w:hAnsi="宋体" w:eastAsia="宋体" w:cs="宋体"/>
          <w:i w:val="0"/>
          <w:iCs w:val="0"/>
          <w:color w:val="auto"/>
          <w:kern w:val="0"/>
          <w:sz w:val="24"/>
          <w:szCs w:val="24"/>
          <w:highlight w:val="none"/>
          <w:u w:val="none"/>
          <w:lang w:val="en-US" w:eastAsia="zh-CN" w:bidi="ar"/>
        </w:rPr>
        <w:t>、海上平台通讯信号及系统运行状态，遇设备故障、信号中断等问题，</w:t>
      </w:r>
      <w:r>
        <w:rPr>
          <w:rFonts w:hint="eastAsia" w:ascii="宋体" w:hAnsi="宋体" w:cs="宋体"/>
          <w:i w:val="0"/>
          <w:iCs w:val="0"/>
          <w:color w:val="auto"/>
          <w:kern w:val="0"/>
          <w:sz w:val="24"/>
          <w:szCs w:val="24"/>
          <w:highlight w:val="none"/>
          <w:u w:val="none"/>
          <w:lang w:val="en-US" w:eastAsia="zh-CN" w:bidi="ar"/>
        </w:rPr>
        <w:t>2小时</w:t>
      </w:r>
      <w:r>
        <w:rPr>
          <w:rFonts w:hint="eastAsia" w:ascii="宋体" w:hAnsi="宋体" w:eastAsia="宋体" w:cs="宋体"/>
          <w:i w:val="0"/>
          <w:iCs w:val="0"/>
          <w:color w:val="auto"/>
          <w:kern w:val="0"/>
          <w:sz w:val="24"/>
          <w:szCs w:val="24"/>
          <w:highlight w:val="none"/>
          <w:u w:val="none"/>
          <w:lang w:val="en-US" w:eastAsia="zh-CN" w:bidi="ar"/>
        </w:rPr>
        <w:t>内启动应急方案，一般问题</w:t>
      </w:r>
      <w:r>
        <w:rPr>
          <w:rFonts w:hint="eastAsia" w:ascii="宋体" w:hAnsi="宋体" w:cs="宋体"/>
          <w:i w:val="0"/>
          <w:iCs w:val="0"/>
          <w:color w:val="auto"/>
          <w:kern w:val="0"/>
          <w:sz w:val="24"/>
          <w:szCs w:val="24"/>
          <w:highlight w:val="none"/>
          <w:u w:val="none"/>
          <w:lang w:val="en-US" w:eastAsia="zh-CN" w:bidi="ar"/>
        </w:rPr>
        <w:t>24小时</w:t>
      </w:r>
      <w:r>
        <w:rPr>
          <w:rFonts w:hint="eastAsia" w:ascii="宋体" w:hAnsi="宋体" w:eastAsia="宋体" w:cs="宋体"/>
          <w:i w:val="0"/>
          <w:iCs w:val="0"/>
          <w:color w:val="auto"/>
          <w:kern w:val="0"/>
          <w:sz w:val="24"/>
          <w:szCs w:val="24"/>
          <w:highlight w:val="none"/>
          <w:u w:val="none"/>
          <w:lang w:val="en-US" w:eastAsia="zh-CN" w:bidi="ar"/>
        </w:rPr>
        <w:t>内解决；技术专员按需配合会议进程完成系统操作演示与答疑；</w:t>
      </w:r>
    </w:p>
    <w:p w14:paraId="138D4854">
      <w:pPr>
        <w:keepNext w:val="0"/>
        <w:keepLines w:val="0"/>
        <w:pageBreakBefore w:val="0"/>
        <w:widowControl/>
        <w:suppressLineNumbers w:val="0"/>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）培训服务：确保</w:t>
      </w:r>
      <w:r>
        <w:rPr>
          <w:rFonts w:hint="eastAsia" w:ascii="宋体" w:hAnsi="宋体" w:cs="宋体"/>
          <w:i w:val="0"/>
          <w:iCs w:val="0"/>
          <w:color w:val="auto"/>
          <w:kern w:val="0"/>
          <w:sz w:val="24"/>
          <w:szCs w:val="24"/>
          <w:highlight w:val="none"/>
          <w:u w:val="none"/>
          <w:lang w:val="en-US" w:eastAsia="zh-CN" w:bidi="ar"/>
        </w:rPr>
        <w:t>招标人</w:t>
      </w:r>
      <w:r>
        <w:rPr>
          <w:rFonts w:hint="eastAsia" w:ascii="宋体" w:hAnsi="宋体" w:eastAsia="宋体" w:cs="宋体"/>
          <w:i w:val="0"/>
          <w:iCs w:val="0"/>
          <w:color w:val="auto"/>
          <w:kern w:val="0"/>
          <w:sz w:val="24"/>
          <w:szCs w:val="24"/>
          <w:highlight w:val="none"/>
          <w:u w:val="none"/>
          <w:lang w:val="en-US" w:eastAsia="zh-CN" w:bidi="ar"/>
        </w:rPr>
        <w:t>市级/区级系统管理人员掌握系统操作、权限管控，一线执法人员熟练掌握监控视频调看、预警处置及执法任务填报等实操技能，乡镇级基础操作人员会用基础查询及数据上报功能。</w:t>
      </w:r>
    </w:p>
    <w:p w14:paraId="13AF2715">
      <w:pPr>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5、付款方式：</w:t>
      </w:r>
    </w:p>
    <w:p w14:paraId="5525AA58">
      <w:pPr>
        <w:spacing w:line="360" w:lineRule="auto"/>
        <w:ind w:firstLine="480" w:firstLineChars="200"/>
        <w:rPr>
          <w:rFonts w:hint="eastAsia"/>
          <w:b w:val="0"/>
          <w:bCs w:val="0"/>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）招标人</w:t>
      </w:r>
      <w:r>
        <w:rPr>
          <w:rFonts w:hint="eastAsia"/>
          <w:b w:val="0"/>
          <w:bCs w:val="0"/>
          <w:color w:val="auto"/>
          <w:sz w:val="24"/>
          <w:szCs w:val="24"/>
          <w:highlight w:val="none"/>
          <w:lang w:val="en-US" w:eastAsia="zh-CN"/>
        </w:rPr>
        <w:t>自合同签订生效生效之日起10个工作日内支付合同款的40%作为预付款、平台建设完成并上线正常运行，待项目交付验收合格之日起10个工作日内支付剩余合同款。</w:t>
      </w:r>
    </w:p>
    <w:p w14:paraId="7F0D67C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Times New Roman" w:eastAsia="宋体" w:cs="Times New Roman"/>
          <w:b w:val="0"/>
          <w:bCs w:val="0"/>
          <w:color w:val="auto"/>
          <w:kern w:val="2"/>
          <w:sz w:val="24"/>
          <w:szCs w:val="24"/>
          <w:highlight w:val="none"/>
          <w:lang w:val="en-US" w:eastAsia="zh-CN" w:bidi="ar-SA"/>
        </w:rPr>
        <w:t>（2）</w:t>
      </w:r>
      <w:r>
        <w:rPr>
          <w:rFonts w:hint="eastAsia" w:ascii="Times New Roman" w:hAnsi="Times New Roman" w:eastAsia="宋体" w:cs="Times New Roman"/>
          <w:b w:val="0"/>
          <w:bCs w:val="0"/>
          <w:color w:val="auto"/>
          <w:kern w:val="2"/>
          <w:sz w:val="24"/>
          <w:szCs w:val="24"/>
          <w:highlight w:val="none"/>
          <w:lang w:val="en-US" w:eastAsia="zh-CN" w:bidi="ar-SA"/>
        </w:rPr>
        <w:t>本项目使用财政资金，因财政资金拔付流程造成的支付时间延迟，不视为</w:t>
      </w:r>
      <w:r>
        <w:rPr>
          <w:rFonts w:hint="eastAsia" w:cs="Times New Roman"/>
          <w:b w:val="0"/>
          <w:bCs w:val="0"/>
          <w:color w:val="auto"/>
          <w:kern w:val="2"/>
          <w:sz w:val="24"/>
          <w:szCs w:val="24"/>
          <w:highlight w:val="none"/>
          <w:lang w:val="en-US" w:eastAsia="zh-CN" w:bidi="ar-SA"/>
        </w:rPr>
        <w:t>招标人</w:t>
      </w:r>
      <w:r>
        <w:rPr>
          <w:rFonts w:hint="eastAsia" w:ascii="Times New Roman" w:hAnsi="Times New Roman" w:eastAsia="宋体" w:cs="Times New Roman"/>
          <w:b w:val="0"/>
          <w:bCs w:val="0"/>
          <w:color w:val="auto"/>
          <w:kern w:val="2"/>
          <w:sz w:val="24"/>
          <w:szCs w:val="24"/>
          <w:highlight w:val="none"/>
          <w:lang w:val="en-US" w:eastAsia="zh-CN" w:bidi="ar-SA"/>
        </w:rPr>
        <w:t>违约。</w:t>
      </w:r>
      <w:r>
        <w:rPr>
          <w:rFonts w:hint="eastAsia" w:ascii="Times New Roman" w:eastAsia="宋体" w:cs="Times New Roman"/>
          <w:b w:val="0"/>
          <w:bCs w:val="0"/>
          <w:color w:val="auto"/>
          <w:kern w:val="2"/>
          <w:sz w:val="24"/>
          <w:szCs w:val="24"/>
          <w:highlight w:val="none"/>
          <w:lang w:val="en-US" w:eastAsia="zh-CN" w:bidi="ar-SA"/>
        </w:rPr>
        <w:t>若财政专项资金尚未到位，</w:t>
      </w:r>
      <w:r>
        <w:rPr>
          <w:rFonts w:hint="eastAsia" w:cs="Times New Roman"/>
          <w:b w:val="0"/>
          <w:bCs w:val="0"/>
          <w:color w:val="auto"/>
          <w:kern w:val="2"/>
          <w:sz w:val="24"/>
          <w:szCs w:val="24"/>
          <w:highlight w:val="none"/>
          <w:lang w:val="en-US" w:eastAsia="zh-CN" w:bidi="ar-SA"/>
        </w:rPr>
        <w:t>招标人</w:t>
      </w:r>
      <w:r>
        <w:rPr>
          <w:rFonts w:hint="eastAsia" w:ascii="Times New Roman" w:eastAsia="宋体" w:cs="Times New Roman"/>
          <w:b w:val="0"/>
          <w:bCs w:val="0"/>
          <w:color w:val="auto"/>
          <w:kern w:val="2"/>
          <w:sz w:val="24"/>
          <w:szCs w:val="24"/>
          <w:highlight w:val="none"/>
          <w:lang w:val="en-US" w:eastAsia="zh-CN" w:bidi="ar-SA"/>
        </w:rPr>
        <w:t>付款期限顺延至财政专项资金到达</w:t>
      </w:r>
      <w:r>
        <w:rPr>
          <w:rFonts w:hint="eastAsia" w:cs="Times New Roman"/>
          <w:b w:val="0"/>
          <w:bCs w:val="0"/>
          <w:color w:val="auto"/>
          <w:kern w:val="2"/>
          <w:sz w:val="24"/>
          <w:szCs w:val="24"/>
          <w:highlight w:val="none"/>
          <w:lang w:val="en-US" w:eastAsia="zh-CN" w:bidi="ar-SA"/>
        </w:rPr>
        <w:t>招标人</w:t>
      </w:r>
      <w:r>
        <w:rPr>
          <w:rFonts w:hint="eastAsia" w:ascii="Times New Roman" w:eastAsia="宋体" w:cs="Times New Roman"/>
          <w:b w:val="0"/>
          <w:bCs w:val="0"/>
          <w:color w:val="auto"/>
          <w:kern w:val="2"/>
          <w:sz w:val="24"/>
          <w:szCs w:val="24"/>
          <w:highlight w:val="none"/>
          <w:lang w:val="en-US" w:eastAsia="zh-CN" w:bidi="ar-SA"/>
        </w:rPr>
        <w:t>账户后10个工作日内。</w:t>
      </w:r>
    </w:p>
    <w:p w14:paraId="1BB4C7F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6</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cs="宋体"/>
          <w:b/>
          <w:bCs/>
          <w:i w:val="0"/>
          <w:iCs w:val="0"/>
          <w:color w:val="auto"/>
          <w:kern w:val="0"/>
          <w:sz w:val="24"/>
          <w:szCs w:val="24"/>
          <w:highlight w:val="none"/>
          <w:u w:val="none"/>
          <w:lang w:val="en-US" w:eastAsia="zh-CN" w:bidi="ar"/>
        </w:rPr>
        <w:t>报价要求：</w:t>
      </w:r>
    </w:p>
    <w:p w14:paraId="22DC6E3E">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投标人投标报价为全包价，包含</w:t>
      </w:r>
      <w:r>
        <w:rPr>
          <w:rFonts w:hint="eastAsia" w:ascii="宋体" w:hAnsi="宋体" w:cs="宋体"/>
          <w:i w:val="0"/>
          <w:iCs w:val="0"/>
          <w:color w:val="auto"/>
          <w:kern w:val="0"/>
          <w:sz w:val="24"/>
          <w:szCs w:val="24"/>
          <w:highlight w:val="none"/>
          <w:u w:val="none"/>
          <w:lang w:val="en-US" w:eastAsia="zh-CN" w:bidi="ar"/>
        </w:rPr>
        <w:t>项目</w:t>
      </w:r>
      <w:r>
        <w:rPr>
          <w:rFonts w:hint="eastAsia" w:ascii="宋体" w:hAnsi="宋体" w:eastAsia="宋体" w:cs="宋体"/>
          <w:i w:val="0"/>
          <w:iCs w:val="0"/>
          <w:color w:val="auto"/>
          <w:kern w:val="0"/>
          <w:sz w:val="24"/>
          <w:szCs w:val="24"/>
          <w:highlight w:val="none"/>
          <w:u w:val="none"/>
          <w:lang w:val="en-US" w:eastAsia="zh-CN" w:bidi="ar"/>
        </w:rPr>
        <w:t>平台架构设计、开发部署、测试优化、培训交付、运维服务、接口对接、安全加固、耗材、人工、税费、知识产权等所有相关费用，</w:t>
      </w:r>
      <w:r>
        <w:rPr>
          <w:rFonts w:hint="eastAsia" w:ascii="宋体" w:hAnsi="宋体" w:cs="宋体"/>
          <w:i w:val="0"/>
          <w:iCs w:val="0"/>
          <w:color w:val="auto"/>
          <w:kern w:val="0"/>
          <w:sz w:val="24"/>
          <w:szCs w:val="24"/>
          <w:highlight w:val="none"/>
          <w:u w:val="none"/>
          <w:lang w:val="en-US" w:eastAsia="zh-CN" w:bidi="ar"/>
        </w:rPr>
        <w:t>招标</w:t>
      </w:r>
      <w:r>
        <w:rPr>
          <w:rFonts w:hint="eastAsia" w:ascii="宋体" w:hAnsi="宋体" w:eastAsia="宋体" w:cs="宋体"/>
          <w:i w:val="0"/>
          <w:iCs w:val="0"/>
          <w:color w:val="auto"/>
          <w:kern w:val="0"/>
          <w:sz w:val="24"/>
          <w:szCs w:val="24"/>
          <w:highlight w:val="none"/>
          <w:u w:val="none"/>
          <w:lang w:val="en-US" w:eastAsia="zh-CN" w:bidi="ar"/>
        </w:rPr>
        <w:t>人无需额外支付任何费用，投标人需充分预估项目成本，后期无任何增项费用。</w:t>
      </w:r>
    </w:p>
    <w:p w14:paraId="0E78001D">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本项目</w:t>
      </w:r>
      <w:r>
        <w:rPr>
          <w:rFonts w:hint="eastAsia" w:ascii="宋体" w:hAnsi="宋体" w:eastAsia="宋体" w:cs="宋体"/>
          <w:i w:val="0"/>
          <w:iCs w:val="0"/>
          <w:color w:val="auto"/>
          <w:kern w:val="0"/>
          <w:sz w:val="24"/>
          <w:szCs w:val="24"/>
          <w:highlight w:val="none"/>
          <w:u w:val="none"/>
          <w:lang w:val="en-US" w:eastAsia="zh-CN" w:bidi="ar"/>
        </w:rPr>
        <w:t>采购预算：人民币叁佰捌拾捌万玖仟壹佰壹拾伍元柒角柒分（3889115.77元）。投标报价超过采购预算作无效投标处理。</w:t>
      </w:r>
    </w:p>
    <w:p w14:paraId="1CFFBC3F">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7、验收标准与方案</w:t>
      </w:r>
    </w:p>
    <w:p w14:paraId="72B077D5">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（1）验收依据</w:t>
      </w:r>
    </w:p>
    <w:p w14:paraId="0D63174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以招标文件、投标文件、合同条款、国家及行业相关标准为验收依据，严格开展项目验收工作。</w:t>
      </w:r>
    </w:p>
    <w:p w14:paraId="00CBD441">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（2）项目验收</w:t>
      </w:r>
    </w:p>
    <w:p w14:paraId="2E69EA6D">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项目全部开发完成、培训到位、资料齐全、系统稳定运行，所有功能、性能、安全、合规要求全部达标，投标人提交完整验收资料，招标人组织专家开展项目交付验收，验收合格后签署验收报告。</w:t>
      </w:r>
    </w:p>
    <w:p w14:paraId="6DE6010A">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（3）验收不合格处置</w:t>
      </w:r>
    </w:p>
    <w:p w14:paraId="42DFBB64">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若验收不合格，投标人需按照招标人整改要求，在规定时限内免费完成整改、优化、修复，直至验收合格，逾期未整改或整改不达标的，承担相应违约责任。</w:t>
      </w:r>
    </w:p>
    <w:p w14:paraId="7830E21A">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2" w:firstLineChars="200"/>
        <w:textAlignment w:val="auto"/>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8</w:t>
      </w:r>
      <w:r>
        <w:rPr>
          <w:rFonts w:hint="default" w:ascii="宋体" w:hAnsi="宋体" w:eastAsia="宋体" w:cs="宋体"/>
          <w:b/>
          <w:bCs/>
          <w:i w:val="0"/>
          <w:iCs w:val="0"/>
          <w:color w:val="auto"/>
          <w:kern w:val="0"/>
          <w:sz w:val="24"/>
          <w:szCs w:val="24"/>
          <w:highlight w:val="none"/>
          <w:u w:val="none"/>
          <w:lang w:val="en-US" w:eastAsia="zh-CN" w:bidi="ar"/>
        </w:rPr>
        <w:t>、安全与合规规范要求</w:t>
      </w:r>
    </w:p>
    <w:p w14:paraId="08D8DB6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r>
        <w:rPr>
          <w:rFonts w:hint="default" w:ascii="宋体" w:hAnsi="宋体" w:eastAsia="宋体" w:cs="宋体"/>
          <w:i w:val="0"/>
          <w:iCs w:val="0"/>
          <w:color w:val="auto"/>
          <w:kern w:val="0"/>
          <w:sz w:val="24"/>
          <w:szCs w:val="24"/>
          <w:highlight w:val="none"/>
          <w:u w:val="none"/>
          <w:lang w:val="en-US" w:eastAsia="zh-CN" w:bidi="ar"/>
        </w:rPr>
        <w:t>网络安全要求</w:t>
      </w:r>
    </w:p>
    <w:p w14:paraId="47708016">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系统建设及运维全程严格遵循《网络安全法》《数据安全法》《个人信息保护法》等法律法规，落实网络安全等级保护相关标准，具备完善的防攻击、防篡改、防泄露、防入侵能力，有效抵御SQL注入、XSS攻击、暴力破解等常见网络风险。</w:t>
      </w:r>
    </w:p>
    <w:p w14:paraId="44FE3536">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r>
        <w:rPr>
          <w:rFonts w:hint="default" w:ascii="宋体" w:hAnsi="宋体" w:eastAsia="宋体" w:cs="宋体"/>
          <w:i w:val="0"/>
          <w:iCs w:val="0"/>
          <w:color w:val="auto"/>
          <w:kern w:val="0"/>
          <w:sz w:val="24"/>
          <w:szCs w:val="24"/>
          <w:highlight w:val="none"/>
          <w:u w:val="none"/>
          <w:lang w:val="en-US" w:eastAsia="zh-CN" w:bidi="ar"/>
        </w:rPr>
        <w:t>数据安全要求</w:t>
      </w:r>
    </w:p>
    <w:p w14:paraId="0F83B1C4">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严格落实数据分级分类管理，规范数据采集、存储、传输、共享、使用、销毁全流程管理，严禁违规采集、泄露、篡改、删除</w:t>
      </w:r>
      <w:r>
        <w:rPr>
          <w:rFonts w:hint="eastAsia" w:ascii="宋体" w:hAnsi="宋体" w:cs="宋体"/>
          <w:i w:val="0"/>
          <w:iCs w:val="0"/>
          <w:color w:val="auto"/>
          <w:kern w:val="0"/>
          <w:sz w:val="24"/>
          <w:szCs w:val="24"/>
          <w:highlight w:val="none"/>
          <w:u w:val="none"/>
          <w:lang w:val="en-US" w:eastAsia="zh-CN" w:bidi="ar"/>
        </w:rPr>
        <w:t>招标人</w:t>
      </w:r>
      <w:r>
        <w:rPr>
          <w:rFonts w:hint="default" w:ascii="宋体" w:hAnsi="宋体" w:eastAsia="宋体" w:cs="宋体"/>
          <w:i w:val="0"/>
          <w:iCs w:val="0"/>
          <w:color w:val="auto"/>
          <w:kern w:val="0"/>
          <w:sz w:val="24"/>
          <w:szCs w:val="24"/>
          <w:highlight w:val="none"/>
          <w:u w:val="none"/>
          <w:lang w:val="en-US" w:eastAsia="zh-CN" w:bidi="ar"/>
        </w:rPr>
        <w:t>业务数据、涉密数据、个人信息。</w:t>
      </w:r>
    </w:p>
    <w:p w14:paraId="1F0E404F">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严控数据访问权限、导出权限，所有数据操作全程留痕、可追溯，杜绝数据外泄风险。</w:t>
      </w:r>
    </w:p>
    <w:p w14:paraId="68F3AD7C">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w:t>
      </w:r>
      <w:r>
        <w:rPr>
          <w:rFonts w:hint="default" w:ascii="宋体" w:hAnsi="宋体" w:eastAsia="宋体" w:cs="宋体"/>
          <w:i w:val="0"/>
          <w:iCs w:val="0"/>
          <w:color w:val="auto"/>
          <w:kern w:val="0"/>
          <w:sz w:val="24"/>
          <w:szCs w:val="24"/>
          <w:highlight w:val="none"/>
          <w:u w:val="none"/>
          <w:lang w:val="en-US" w:eastAsia="zh-CN" w:bidi="ar"/>
        </w:rPr>
        <w:t>保密管理要求</w:t>
      </w:r>
    </w:p>
    <w:p w14:paraId="6594D36B">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投标人需严格遵守保密制度，对项目建设、运维过程中接触的</w:t>
      </w:r>
      <w:r>
        <w:rPr>
          <w:rFonts w:hint="eastAsia" w:ascii="宋体" w:hAnsi="宋体" w:cs="宋体"/>
          <w:i w:val="0"/>
          <w:iCs w:val="0"/>
          <w:color w:val="auto"/>
          <w:kern w:val="0"/>
          <w:sz w:val="24"/>
          <w:szCs w:val="24"/>
          <w:highlight w:val="none"/>
          <w:u w:val="none"/>
          <w:lang w:val="en-US" w:eastAsia="zh-CN" w:bidi="ar"/>
        </w:rPr>
        <w:t>招标</w:t>
      </w:r>
      <w:r>
        <w:rPr>
          <w:rFonts w:hint="default" w:ascii="宋体" w:hAnsi="宋体" w:eastAsia="宋体" w:cs="宋体"/>
          <w:i w:val="0"/>
          <w:iCs w:val="0"/>
          <w:color w:val="auto"/>
          <w:kern w:val="0"/>
          <w:sz w:val="24"/>
          <w:szCs w:val="24"/>
          <w:highlight w:val="none"/>
          <w:u w:val="none"/>
          <w:lang w:val="en-US" w:eastAsia="zh-CN" w:bidi="ar"/>
        </w:rPr>
        <w:t>人业务信息、内部数据、涉密资料严格保密，严禁擅自复制、传播、外泄、商用。项目人员需签订保密协议，项目结束后全部移交数据资料，不得留存任何</w:t>
      </w:r>
      <w:r>
        <w:rPr>
          <w:rFonts w:hint="eastAsia" w:ascii="宋体" w:hAnsi="宋体" w:cs="宋体"/>
          <w:i w:val="0"/>
          <w:iCs w:val="0"/>
          <w:color w:val="auto"/>
          <w:kern w:val="0"/>
          <w:sz w:val="24"/>
          <w:szCs w:val="24"/>
          <w:highlight w:val="none"/>
          <w:u w:val="none"/>
          <w:lang w:val="en-US" w:eastAsia="zh-CN" w:bidi="ar"/>
        </w:rPr>
        <w:t>招标</w:t>
      </w:r>
      <w:r>
        <w:rPr>
          <w:rFonts w:hint="default" w:ascii="宋体" w:hAnsi="宋体" w:eastAsia="宋体" w:cs="宋体"/>
          <w:i w:val="0"/>
          <w:iCs w:val="0"/>
          <w:color w:val="auto"/>
          <w:kern w:val="0"/>
          <w:sz w:val="24"/>
          <w:szCs w:val="24"/>
          <w:highlight w:val="none"/>
          <w:u w:val="none"/>
          <w:lang w:val="en-US" w:eastAsia="zh-CN" w:bidi="ar"/>
        </w:rPr>
        <w:t>人涉密信息，若发生泄密问题，承担全部法律及经济责任。</w:t>
      </w:r>
    </w:p>
    <w:p w14:paraId="391DF9C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r>
        <w:rPr>
          <w:rFonts w:hint="default" w:ascii="宋体" w:hAnsi="宋体" w:eastAsia="宋体" w:cs="宋体"/>
          <w:i w:val="0"/>
          <w:iCs w:val="0"/>
          <w:color w:val="auto"/>
          <w:kern w:val="0"/>
          <w:sz w:val="24"/>
          <w:szCs w:val="24"/>
          <w:highlight w:val="none"/>
          <w:u w:val="none"/>
          <w:lang w:val="en-US" w:eastAsia="zh-CN" w:bidi="ar"/>
        </w:rPr>
        <w:t>知识产权要求</w:t>
      </w:r>
    </w:p>
    <w:p w14:paraId="04B0F12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本项目所有开发成果、源代码、软件著作权、文档资料、衍生成果全部知识产权归</w:t>
      </w:r>
      <w:r>
        <w:rPr>
          <w:rFonts w:hint="eastAsia" w:ascii="宋体" w:hAnsi="宋体" w:cs="宋体"/>
          <w:i w:val="0"/>
          <w:iCs w:val="0"/>
          <w:color w:val="auto"/>
          <w:kern w:val="0"/>
          <w:sz w:val="24"/>
          <w:szCs w:val="24"/>
          <w:highlight w:val="none"/>
          <w:u w:val="none"/>
          <w:lang w:val="en-US" w:eastAsia="zh-CN" w:bidi="ar"/>
        </w:rPr>
        <w:t>招标</w:t>
      </w:r>
      <w:r>
        <w:rPr>
          <w:rFonts w:hint="default" w:ascii="宋体" w:hAnsi="宋体" w:eastAsia="宋体" w:cs="宋体"/>
          <w:i w:val="0"/>
          <w:iCs w:val="0"/>
          <w:color w:val="auto"/>
          <w:kern w:val="0"/>
          <w:sz w:val="24"/>
          <w:szCs w:val="24"/>
          <w:highlight w:val="none"/>
          <w:u w:val="none"/>
          <w:lang w:val="en-US" w:eastAsia="zh-CN" w:bidi="ar"/>
        </w:rPr>
        <w:t>人独家所有。投标人不得将本项目成果用于其他项目、转让第三方或商用，项目开发无任何知识产权纠纷，若出现侵权问题，由投标人全权负责并承担全部损失。</w:t>
      </w:r>
    </w:p>
    <w:p w14:paraId="692D62B7">
      <w:pPr>
        <w:keepNext w:val="0"/>
        <w:keepLines w:val="0"/>
        <w:pageBreakBefore w:val="0"/>
        <w:widowControl w:val="0"/>
        <w:numPr>
          <w:ilvl w:val="0"/>
          <w:numId w:val="6"/>
        </w:numPr>
        <w:kinsoku/>
        <w:wordWrap/>
        <w:overflowPunct/>
        <w:topLinePunct w:val="0"/>
        <w:autoSpaceDE/>
        <w:autoSpaceDN/>
        <w:bidi w:val="0"/>
        <w:adjustRightInd w:val="0"/>
        <w:snapToGrid/>
        <w:spacing w:line="460" w:lineRule="exact"/>
        <w:ind w:firstLine="482" w:firstLineChars="200"/>
        <w:textAlignment w:val="auto"/>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其他要求</w:t>
      </w:r>
    </w:p>
    <w:p w14:paraId="19FD70F5">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textAlignment w:val="auto"/>
        <w:rPr>
          <w:rFonts w:hint="default"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 xml:space="preserve">    本章节所载明的所有商务、技术要求均为实质性要求，投标人需逐项响应，不接受负偏离，否则，将视为未实质性响应招标文件要求，投标无效。</w:t>
      </w:r>
    </w:p>
    <w:p w14:paraId="1DAC61B7">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default" w:ascii="宋体" w:hAnsi="宋体" w:eastAsia="宋体" w:cs="宋体"/>
          <w:i w:val="0"/>
          <w:iCs w:val="0"/>
          <w:color w:val="auto"/>
          <w:kern w:val="0"/>
          <w:sz w:val="24"/>
          <w:szCs w:val="24"/>
          <w:highlight w:val="none"/>
          <w:u w:val="none"/>
          <w:lang w:val="en-US" w:eastAsia="zh-CN" w:bidi="ar"/>
        </w:rPr>
      </w:pPr>
    </w:p>
    <w:p w14:paraId="41C740E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6DB2318">
      <w:pPr>
        <w:pStyle w:val="2"/>
        <w:keepNext/>
        <w:keepLines/>
        <w:pageBreakBefore w:val="0"/>
        <w:widowControl w:val="0"/>
        <w:kinsoku/>
        <w:wordWrap/>
        <w:overflowPunct/>
        <w:topLinePunct w:val="0"/>
        <w:autoSpaceDE/>
        <w:autoSpaceDN/>
        <w:bidi w:val="0"/>
        <w:adjustRightInd w:val="0"/>
        <w:snapToGrid/>
        <w:spacing w:line="360" w:lineRule="auto"/>
        <w:ind w:left="431" w:hanging="431"/>
        <w:jc w:val="center"/>
        <w:textAlignment w:val="auto"/>
        <w:rPr>
          <w:color w:val="auto"/>
          <w:sz w:val="36"/>
          <w:szCs w:val="36"/>
          <w:highlight w:val="none"/>
        </w:rPr>
      </w:pPr>
      <w:bookmarkStart w:id="22" w:name="_Toc28524"/>
      <w:r>
        <w:rPr>
          <w:rFonts w:hint="eastAsia"/>
          <w:color w:val="auto"/>
          <w:sz w:val="36"/>
          <w:szCs w:val="36"/>
          <w:highlight w:val="none"/>
        </w:rPr>
        <w:t>第四部分</w:t>
      </w:r>
      <w:bookmarkStart w:id="23" w:name="_Toc184312076"/>
      <w:bookmarkEnd w:id="23"/>
      <w:bookmarkStart w:id="24" w:name="_Toc184308082"/>
      <w:bookmarkEnd w:id="24"/>
      <w:bookmarkStart w:id="25" w:name="_Toc184308041"/>
      <w:bookmarkEnd w:id="25"/>
      <w:bookmarkStart w:id="26" w:name="_Toc184313292"/>
      <w:bookmarkEnd w:id="26"/>
      <w:bookmarkStart w:id="27" w:name="_Toc184312123"/>
      <w:bookmarkEnd w:id="27"/>
      <w:bookmarkStart w:id="28" w:name="_Toc184313288"/>
      <w:bookmarkEnd w:id="28"/>
      <w:bookmarkStart w:id="29" w:name="_Toc184308045"/>
      <w:bookmarkEnd w:id="29"/>
      <w:bookmarkStart w:id="30" w:name="_Toc184308089"/>
      <w:bookmarkEnd w:id="30"/>
      <w:bookmarkStart w:id="31" w:name="_Toc184313265"/>
      <w:bookmarkEnd w:id="31"/>
      <w:bookmarkStart w:id="32" w:name="_Toc184308063"/>
      <w:bookmarkEnd w:id="32"/>
      <w:bookmarkStart w:id="33" w:name="_Toc184308102"/>
      <w:bookmarkEnd w:id="33"/>
      <w:bookmarkStart w:id="34" w:name="_Toc184308055"/>
      <w:bookmarkEnd w:id="34"/>
      <w:bookmarkStart w:id="35" w:name="_Toc184312067"/>
      <w:bookmarkEnd w:id="35"/>
      <w:bookmarkStart w:id="36" w:name="_Toc184308100"/>
      <w:bookmarkEnd w:id="36"/>
      <w:bookmarkStart w:id="37" w:name="_Toc184312136"/>
      <w:bookmarkEnd w:id="37"/>
      <w:bookmarkStart w:id="38" w:name="_Toc184313307"/>
      <w:bookmarkEnd w:id="38"/>
      <w:bookmarkStart w:id="39" w:name="_Toc184313263"/>
      <w:bookmarkEnd w:id="39"/>
      <w:bookmarkStart w:id="40" w:name="_Toc184313287"/>
      <w:bookmarkEnd w:id="40"/>
      <w:bookmarkStart w:id="41" w:name="_Toc184308092"/>
      <w:bookmarkEnd w:id="41"/>
      <w:bookmarkStart w:id="42" w:name="_Toc184312138"/>
      <w:bookmarkEnd w:id="42"/>
      <w:bookmarkStart w:id="43" w:name="_Toc184314454"/>
      <w:bookmarkEnd w:id="43"/>
      <w:bookmarkStart w:id="44" w:name="_Toc184312085"/>
      <w:bookmarkEnd w:id="44"/>
      <w:bookmarkStart w:id="45" w:name="_Toc184314462"/>
      <w:bookmarkEnd w:id="45"/>
      <w:bookmarkStart w:id="46" w:name="_Toc184310337"/>
      <w:bookmarkEnd w:id="46"/>
      <w:bookmarkStart w:id="47" w:name="_Toc184308099"/>
      <w:bookmarkEnd w:id="47"/>
      <w:bookmarkStart w:id="48" w:name="_Toc184308066"/>
      <w:bookmarkEnd w:id="48"/>
      <w:bookmarkStart w:id="49" w:name="_Toc184310287"/>
      <w:bookmarkEnd w:id="49"/>
      <w:bookmarkStart w:id="50" w:name="_Toc184310298"/>
      <w:bookmarkEnd w:id="50"/>
      <w:bookmarkStart w:id="51" w:name="_Toc184308084"/>
      <w:bookmarkEnd w:id="51"/>
      <w:bookmarkStart w:id="52" w:name="_Toc184314464"/>
      <w:bookmarkEnd w:id="52"/>
      <w:bookmarkStart w:id="53" w:name="_Toc184312068"/>
      <w:bookmarkEnd w:id="53"/>
      <w:bookmarkStart w:id="54" w:name="_Toc184308049"/>
      <w:bookmarkEnd w:id="54"/>
      <w:bookmarkStart w:id="55" w:name="_Toc184314421"/>
      <w:bookmarkEnd w:id="55"/>
      <w:bookmarkStart w:id="56" w:name="_Toc184314434"/>
      <w:bookmarkEnd w:id="56"/>
      <w:bookmarkStart w:id="57" w:name="_Toc184308076"/>
      <w:bookmarkEnd w:id="57"/>
      <w:bookmarkStart w:id="58" w:name="_Toc184310332"/>
      <w:bookmarkEnd w:id="58"/>
      <w:bookmarkStart w:id="59" w:name="_Toc184314441"/>
      <w:bookmarkEnd w:id="59"/>
      <w:bookmarkStart w:id="60" w:name="_Toc184314439"/>
      <w:bookmarkEnd w:id="60"/>
      <w:bookmarkStart w:id="61" w:name="_Toc184314416"/>
      <w:bookmarkEnd w:id="61"/>
      <w:bookmarkStart w:id="62" w:name="_Toc184310305"/>
      <w:bookmarkEnd w:id="62"/>
      <w:bookmarkStart w:id="63" w:name="_Toc184313276"/>
      <w:bookmarkEnd w:id="63"/>
      <w:bookmarkStart w:id="64" w:name="_Toc184314423"/>
      <w:bookmarkEnd w:id="64"/>
      <w:bookmarkStart w:id="65" w:name="_Toc184310339"/>
      <w:bookmarkEnd w:id="65"/>
      <w:bookmarkStart w:id="66" w:name="_Toc184308079"/>
      <w:bookmarkEnd w:id="66"/>
      <w:bookmarkStart w:id="67" w:name="_Toc184313283"/>
      <w:bookmarkEnd w:id="67"/>
      <w:bookmarkStart w:id="68" w:name="_Toc184312128"/>
      <w:bookmarkEnd w:id="68"/>
      <w:bookmarkStart w:id="69" w:name="_Toc184312124"/>
      <w:bookmarkEnd w:id="69"/>
      <w:bookmarkStart w:id="70" w:name="_Toc184313240"/>
      <w:bookmarkEnd w:id="70"/>
      <w:bookmarkStart w:id="71" w:name="_Toc184312081"/>
      <w:bookmarkEnd w:id="71"/>
      <w:bookmarkStart w:id="72" w:name="_Toc184310329"/>
      <w:bookmarkEnd w:id="72"/>
      <w:bookmarkStart w:id="73" w:name="_Toc184308075"/>
      <w:bookmarkEnd w:id="73"/>
      <w:bookmarkStart w:id="74" w:name="_Toc184308044"/>
      <w:bookmarkEnd w:id="74"/>
      <w:bookmarkStart w:id="75" w:name="_Toc184308037"/>
      <w:bookmarkEnd w:id="75"/>
      <w:bookmarkStart w:id="76" w:name="_Toc184314474"/>
      <w:bookmarkEnd w:id="76"/>
      <w:bookmarkStart w:id="77" w:name="_Toc184312094"/>
      <w:bookmarkEnd w:id="77"/>
      <w:bookmarkStart w:id="78" w:name="_Toc184314450"/>
      <w:bookmarkEnd w:id="78"/>
      <w:bookmarkStart w:id="79" w:name="_Toc184313259"/>
      <w:bookmarkEnd w:id="79"/>
      <w:bookmarkStart w:id="80" w:name="_Toc184310303"/>
      <w:bookmarkEnd w:id="80"/>
      <w:bookmarkStart w:id="81" w:name="_Toc184312074"/>
      <w:bookmarkEnd w:id="81"/>
      <w:bookmarkStart w:id="82" w:name="_Toc184312122"/>
      <w:bookmarkEnd w:id="82"/>
      <w:bookmarkStart w:id="83" w:name="_Toc184312071"/>
      <w:bookmarkEnd w:id="83"/>
      <w:bookmarkStart w:id="84" w:name="_Toc184308050"/>
      <w:bookmarkEnd w:id="84"/>
      <w:bookmarkStart w:id="85" w:name="_Toc184313242"/>
      <w:bookmarkEnd w:id="85"/>
      <w:bookmarkStart w:id="86" w:name="_Toc184310335"/>
      <w:bookmarkEnd w:id="86"/>
      <w:bookmarkStart w:id="87" w:name="_Toc184313254"/>
      <w:bookmarkEnd w:id="87"/>
      <w:bookmarkStart w:id="88" w:name="_Toc184308095"/>
      <w:bookmarkEnd w:id="88"/>
      <w:bookmarkStart w:id="89" w:name="_Toc184312093"/>
      <w:bookmarkEnd w:id="89"/>
      <w:bookmarkStart w:id="90" w:name="_Toc184314455"/>
      <w:bookmarkEnd w:id="90"/>
      <w:bookmarkStart w:id="91" w:name="_Toc184312078"/>
      <w:bookmarkEnd w:id="91"/>
      <w:bookmarkStart w:id="92" w:name="_Toc184310297"/>
      <w:bookmarkEnd w:id="92"/>
      <w:bookmarkStart w:id="93" w:name="_Toc184313251"/>
      <w:bookmarkEnd w:id="93"/>
      <w:bookmarkStart w:id="94" w:name="_Toc184314410"/>
      <w:bookmarkEnd w:id="94"/>
      <w:bookmarkStart w:id="95" w:name="_Toc184308068"/>
      <w:bookmarkEnd w:id="95"/>
      <w:bookmarkStart w:id="96" w:name="_Toc184312097"/>
      <w:bookmarkEnd w:id="96"/>
      <w:bookmarkStart w:id="97" w:name="_Toc184313306"/>
      <w:bookmarkEnd w:id="97"/>
      <w:bookmarkStart w:id="98" w:name="_Toc184308098"/>
      <w:bookmarkEnd w:id="98"/>
      <w:bookmarkStart w:id="99" w:name="_Toc184313274"/>
      <w:bookmarkEnd w:id="99"/>
      <w:bookmarkStart w:id="100" w:name="_Toc184312139"/>
      <w:bookmarkEnd w:id="100"/>
      <w:bookmarkStart w:id="101" w:name="_Toc184312083"/>
      <w:bookmarkEnd w:id="101"/>
      <w:bookmarkStart w:id="102" w:name="_Toc184312109"/>
      <w:bookmarkEnd w:id="102"/>
      <w:bookmarkStart w:id="103" w:name="_Toc184308072"/>
      <w:bookmarkEnd w:id="103"/>
      <w:bookmarkStart w:id="104" w:name="_Toc184308086"/>
      <w:bookmarkEnd w:id="104"/>
      <w:bookmarkStart w:id="105" w:name="_Toc184314476"/>
      <w:bookmarkEnd w:id="105"/>
      <w:bookmarkStart w:id="106" w:name="_Toc184313244"/>
      <w:bookmarkEnd w:id="106"/>
      <w:bookmarkStart w:id="107" w:name="_Toc184313245"/>
      <w:bookmarkEnd w:id="107"/>
      <w:bookmarkStart w:id="108" w:name="_Toc184314425"/>
      <w:bookmarkEnd w:id="108"/>
      <w:bookmarkStart w:id="109" w:name="_Toc184314432"/>
      <w:bookmarkEnd w:id="109"/>
      <w:bookmarkStart w:id="110" w:name="_Toc184313243"/>
      <w:bookmarkEnd w:id="110"/>
      <w:bookmarkStart w:id="111" w:name="_Toc184314419"/>
      <w:bookmarkEnd w:id="111"/>
      <w:bookmarkStart w:id="112" w:name="_Toc184308071"/>
      <w:bookmarkEnd w:id="112"/>
      <w:bookmarkStart w:id="113" w:name="_Toc184308094"/>
      <w:bookmarkEnd w:id="113"/>
      <w:bookmarkStart w:id="114" w:name="_Toc184314431"/>
      <w:bookmarkEnd w:id="114"/>
      <w:bookmarkStart w:id="115" w:name="_Toc184312120"/>
      <w:bookmarkEnd w:id="115"/>
      <w:bookmarkStart w:id="116" w:name="_Toc184308062"/>
      <w:bookmarkEnd w:id="116"/>
      <w:bookmarkStart w:id="117" w:name="_Toc184312104"/>
      <w:bookmarkEnd w:id="117"/>
      <w:bookmarkStart w:id="118" w:name="_Toc184308048"/>
      <w:bookmarkEnd w:id="118"/>
      <w:bookmarkStart w:id="119" w:name="_Toc184312091"/>
      <w:bookmarkEnd w:id="119"/>
      <w:bookmarkStart w:id="120" w:name="_Toc184313271"/>
      <w:bookmarkEnd w:id="120"/>
      <w:bookmarkStart w:id="121" w:name="_Toc184308054"/>
      <w:bookmarkEnd w:id="121"/>
      <w:bookmarkStart w:id="122" w:name="_Toc184313246"/>
      <w:bookmarkEnd w:id="122"/>
      <w:bookmarkStart w:id="123" w:name="_Toc184314461"/>
      <w:bookmarkEnd w:id="123"/>
      <w:bookmarkStart w:id="124" w:name="_Toc184310326"/>
      <w:bookmarkEnd w:id="124"/>
      <w:bookmarkStart w:id="125" w:name="_Toc184313262"/>
      <w:bookmarkEnd w:id="125"/>
      <w:bookmarkStart w:id="126" w:name="_Toc184314457"/>
      <w:bookmarkEnd w:id="126"/>
      <w:bookmarkStart w:id="127" w:name="_Toc184312087"/>
      <w:bookmarkEnd w:id="127"/>
      <w:bookmarkStart w:id="128" w:name="_Toc184308093"/>
      <w:bookmarkEnd w:id="128"/>
      <w:bookmarkStart w:id="129" w:name="_Toc184310311"/>
      <w:bookmarkEnd w:id="129"/>
      <w:bookmarkStart w:id="130" w:name="_Toc184310338"/>
      <w:bookmarkEnd w:id="130"/>
      <w:bookmarkStart w:id="131" w:name="_Toc184312075"/>
      <w:bookmarkEnd w:id="131"/>
      <w:bookmarkStart w:id="132" w:name="_Toc184310307"/>
      <w:bookmarkEnd w:id="132"/>
      <w:bookmarkStart w:id="133" w:name="_Toc184308104"/>
      <w:bookmarkEnd w:id="133"/>
      <w:bookmarkStart w:id="134" w:name="_Toc184313275"/>
      <w:bookmarkEnd w:id="134"/>
      <w:bookmarkStart w:id="135" w:name="_Toc184313253"/>
      <w:bookmarkEnd w:id="135"/>
      <w:bookmarkStart w:id="136" w:name="_Toc184314442"/>
      <w:bookmarkEnd w:id="136"/>
      <w:bookmarkStart w:id="137" w:name="_Toc184314437"/>
      <w:bookmarkEnd w:id="137"/>
      <w:bookmarkStart w:id="138" w:name="_Toc184314451"/>
      <w:bookmarkEnd w:id="138"/>
      <w:bookmarkStart w:id="139" w:name="_Toc184314466"/>
      <w:bookmarkEnd w:id="139"/>
      <w:bookmarkStart w:id="140" w:name="_Toc184310343"/>
      <w:bookmarkEnd w:id="140"/>
      <w:bookmarkStart w:id="141" w:name="_Toc184313297"/>
      <w:bookmarkEnd w:id="141"/>
      <w:bookmarkStart w:id="142" w:name="_Toc184313260"/>
      <w:bookmarkEnd w:id="142"/>
      <w:bookmarkStart w:id="143" w:name="_Toc184314480"/>
      <w:bookmarkEnd w:id="143"/>
      <w:bookmarkStart w:id="144" w:name="_Toc184314459"/>
      <w:bookmarkEnd w:id="144"/>
      <w:bookmarkStart w:id="145" w:name="_Toc184310276"/>
      <w:bookmarkEnd w:id="145"/>
      <w:bookmarkStart w:id="146" w:name="_Toc184312137"/>
      <w:bookmarkEnd w:id="146"/>
      <w:bookmarkStart w:id="147" w:name="_Toc184312112"/>
      <w:bookmarkEnd w:id="147"/>
      <w:bookmarkStart w:id="148" w:name="_Toc184314424"/>
      <w:bookmarkEnd w:id="148"/>
      <w:bookmarkStart w:id="149" w:name="_Toc184314426"/>
      <w:bookmarkEnd w:id="149"/>
      <w:bookmarkStart w:id="150" w:name="_Toc184310319"/>
      <w:bookmarkEnd w:id="150"/>
      <w:bookmarkStart w:id="151" w:name="_Toc184314479"/>
      <w:bookmarkEnd w:id="151"/>
      <w:bookmarkStart w:id="152" w:name="_Toc184314478"/>
      <w:bookmarkEnd w:id="152"/>
      <w:bookmarkStart w:id="153" w:name="_Toc184314422"/>
      <w:bookmarkEnd w:id="153"/>
      <w:bookmarkStart w:id="154" w:name="_Toc184314413"/>
      <w:bookmarkEnd w:id="154"/>
      <w:bookmarkStart w:id="155" w:name="_Toc184314427"/>
      <w:bookmarkEnd w:id="155"/>
      <w:bookmarkStart w:id="156" w:name="_Toc184310318"/>
      <w:bookmarkEnd w:id="156"/>
      <w:bookmarkStart w:id="157" w:name="_Toc184310304"/>
      <w:bookmarkEnd w:id="157"/>
      <w:bookmarkStart w:id="158" w:name="_Toc184312116"/>
      <w:bookmarkEnd w:id="158"/>
      <w:bookmarkStart w:id="159" w:name="_Toc184310340"/>
      <w:bookmarkEnd w:id="159"/>
      <w:bookmarkStart w:id="160" w:name="_Toc184310302"/>
      <w:bookmarkEnd w:id="160"/>
      <w:bookmarkStart w:id="161" w:name="_Toc184314418"/>
      <w:bookmarkEnd w:id="161"/>
      <w:bookmarkStart w:id="162" w:name="_Toc184312134"/>
      <w:bookmarkEnd w:id="162"/>
      <w:bookmarkStart w:id="163" w:name="_Toc184312070"/>
      <w:bookmarkEnd w:id="163"/>
      <w:bookmarkStart w:id="164" w:name="_Toc184312082"/>
      <w:bookmarkEnd w:id="164"/>
      <w:bookmarkStart w:id="165" w:name="_Toc184312127"/>
      <w:bookmarkEnd w:id="165"/>
      <w:bookmarkStart w:id="166" w:name="_Toc184314477"/>
      <w:bookmarkEnd w:id="166"/>
      <w:bookmarkStart w:id="167" w:name="_Toc184308096"/>
      <w:bookmarkEnd w:id="167"/>
      <w:bookmarkStart w:id="168" w:name="_Toc184313279"/>
      <w:bookmarkEnd w:id="168"/>
      <w:bookmarkStart w:id="169" w:name="_Toc184310342"/>
      <w:bookmarkEnd w:id="169"/>
      <w:bookmarkStart w:id="170" w:name="_Toc184314453"/>
      <w:bookmarkEnd w:id="170"/>
      <w:bookmarkStart w:id="171" w:name="_Toc184312119"/>
      <w:bookmarkEnd w:id="171"/>
      <w:bookmarkStart w:id="172" w:name="_Toc184308080"/>
      <w:bookmarkEnd w:id="172"/>
      <w:bookmarkStart w:id="173" w:name="_Toc184313308"/>
      <w:bookmarkEnd w:id="173"/>
      <w:bookmarkStart w:id="174" w:name="_Toc184314412"/>
      <w:bookmarkEnd w:id="174"/>
      <w:bookmarkStart w:id="175" w:name="_Toc184314446"/>
      <w:bookmarkEnd w:id="175"/>
      <w:bookmarkStart w:id="176" w:name="_Toc184308051"/>
      <w:bookmarkEnd w:id="176"/>
      <w:bookmarkStart w:id="177" w:name="_Toc184314481"/>
      <w:bookmarkEnd w:id="177"/>
      <w:bookmarkStart w:id="178" w:name="_Toc184314436"/>
      <w:bookmarkEnd w:id="178"/>
      <w:bookmarkStart w:id="179" w:name="_Toc184308081"/>
      <w:bookmarkEnd w:id="179"/>
      <w:bookmarkStart w:id="180" w:name="_Toc184308105"/>
      <w:bookmarkEnd w:id="180"/>
      <w:bookmarkStart w:id="181" w:name="_Toc184314420"/>
      <w:bookmarkEnd w:id="181"/>
      <w:bookmarkStart w:id="182" w:name="_Toc184312103"/>
      <w:bookmarkEnd w:id="182"/>
      <w:bookmarkStart w:id="183" w:name="_Toc184314468"/>
      <w:bookmarkEnd w:id="183"/>
      <w:bookmarkStart w:id="184" w:name="_Toc184308103"/>
      <w:bookmarkEnd w:id="184"/>
      <w:bookmarkStart w:id="185" w:name="_Toc184312106"/>
      <w:bookmarkEnd w:id="185"/>
      <w:bookmarkStart w:id="186" w:name="_Toc184310336"/>
      <w:bookmarkEnd w:id="186"/>
      <w:bookmarkStart w:id="187" w:name="_Toc184313305"/>
      <w:bookmarkEnd w:id="187"/>
      <w:bookmarkStart w:id="188" w:name="_Toc184308038"/>
      <w:bookmarkEnd w:id="188"/>
      <w:bookmarkStart w:id="189" w:name="_Toc184308070"/>
      <w:bookmarkEnd w:id="189"/>
      <w:bookmarkStart w:id="190" w:name="_Toc184313267"/>
      <w:bookmarkEnd w:id="190"/>
      <w:bookmarkStart w:id="191" w:name="_Toc184312079"/>
      <w:bookmarkEnd w:id="191"/>
      <w:bookmarkStart w:id="192" w:name="_Toc184310289"/>
      <w:bookmarkEnd w:id="192"/>
      <w:bookmarkStart w:id="193" w:name="_Toc184312098"/>
      <w:bookmarkEnd w:id="193"/>
      <w:bookmarkStart w:id="194" w:name="_Toc184313282"/>
      <w:bookmarkEnd w:id="194"/>
      <w:bookmarkStart w:id="195" w:name="_Toc184308040"/>
      <w:bookmarkEnd w:id="195"/>
      <w:bookmarkStart w:id="196" w:name="_Toc184310295"/>
      <w:bookmarkEnd w:id="196"/>
      <w:bookmarkStart w:id="197" w:name="_Toc184312072"/>
      <w:bookmarkEnd w:id="197"/>
      <w:bookmarkStart w:id="198" w:name="_Toc184312095"/>
      <w:bookmarkEnd w:id="198"/>
      <w:bookmarkStart w:id="199" w:name="_Toc184314417"/>
      <w:bookmarkEnd w:id="199"/>
      <w:bookmarkStart w:id="200" w:name="_Toc184312133"/>
      <w:bookmarkEnd w:id="200"/>
      <w:bookmarkStart w:id="201" w:name="_Toc184314430"/>
      <w:bookmarkEnd w:id="201"/>
      <w:bookmarkStart w:id="202" w:name="_Toc184308090"/>
      <w:bookmarkEnd w:id="202"/>
      <w:bookmarkStart w:id="203" w:name="_Toc184312096"/>
      <w:bookmarkEnd w:id="203"/>
      <w:bookmarkStart w:id="204" w:name="_Toc184312080"/>
      <w:bookmarkEnd w:id="204"/>
      <w:bookmarkStart w:id="205" w:name="_Toc184310327"/>
      <w:bookmarkEnd w:id="205"/>
      <w:bookmarkStart w:id="206" w:name="_Toc184308042"/>
      <w:bookmarkEnd w:id="206"/>
      <w:bookmarkStart w:id="207" w:name="_Toc184313301"/>
      <w:bookmarkEnd w:id="207"/>
      <w:bookmarkStart w:id="208" w:name="_Toc184314438"/>
      <w:bookmarkEnd w:id="208"/>
      <w:bookmarkStart w:id="209" w:name="_Toc184314433"/>
      <w:bookmarkEnd w:id="209"/>
      <w:bookmarkStart w:id="210" w:name="_Toc184310274"/>
      <w:bookmarkEnd w:id="210"/>
      <w:bookmarkStart w:id="211" w:name="_Toc184308052"/>
      <w:bookmarkEnd w:id="211"/>
      <w:bookmarkStart w:id="212" w:name="_Toc184313303"/>
      <w:bookmarkEnd w:id="212"/>
      <w:bookmarkStart w:id="213" w:name="_Toc184310333"/>
      <w:bookmarkEnd w:id="213"/>
      <w:bookmarkStart w:id="214" w:name="_Toc184313258"/>
      <w:bookmarkEnd w:id="214"/>
      <w:bookmarkStart w:id="215" w:name="_Toc184308077"/>
      <w:bookmarkEnd w:id="215"/>
      <w:bookmarkStart w:id="216" w:name="_Toc184313299"/>
      <w:bookmarkEnd w:id="216"/>
      <w:bookmarkStart w:id="217" w:name="_Toc184308067"/>
      <w:bookmarkEnd w:id="217"/>
      <w:bookmarkStart w:id="218" w:name="_Toc184314472"/>
      <w:bookmarkEnd w:id="218"/>
      <w:bookmarkStart w:id="219" w:name="_Toc184313248"/>
      <w:bookmarkEnd w:id="219"/>
      <w:bookmarkStart w:id="220" w:name="_Toc184310334"/>
      <w:bookmarkEnd w:id="220"/>
      <w:bookmarkStart w:id="221" w:name="_Toc184308059"/>
      <w:bookmarkEnd w:id="221"/>
      <w:bookmarkStart w:id="222" w:name="_Toc184310317"/>
      <w:bookmarkEnd w:id="222"/>
      <w:bookmarkStart w:id="223" w:name="_Toc184313249"/>
      <w:bookmarkEnd w:id="223"/>
      <w:bookmarkStart w:id="224" w:name="_Toc184313252"/>
      <w:bookmarkEnd w:id="224"/>
      <w:bookmarkStart w:id="225" w:name="_Toc184308087"/>
      <w:bookmarkEnd w:id="225"/>
      <w:bookmarkStart w:id="226" w:name="_Toc184313264"/>
      <w:bookmarkEnd w:id="226"/>
      <w:bookmarkStart w:id="227" w:name="_Toc184308039"/>
      <w:bookmarkEnd w:id="227"/>
      <w:bookmarkStart w:id="228" w:name="_Toc184312102"/>
      <w:bookmarkEnd w:id="228"/>
      <w:bookmarkStart w:id="229" w:name="_Toc184308065"/>
      <w:bookmarkEnd w:id="229"/>
      <w:bookmarkStart w:id="230" w:name="_Toc184314428"/>
      <w:bookmarkEnd w:id="230"/>
      <w:bookmarkStart w:id="231" w:name="_Toc184314467"/>
      <w:bookmarkEnd w:id="231"/>
      <w:bookmarkStart w:id="232" w:name="_Toc184310325"/>
      <w:bookmarkEnd w:id="232"/>
      <w:bookmarkStart w:id="233" w:name="_Toc184312113"/>
      <w:bookmarkEnd w:id="233"/>
      <w:bookmarkStart w:id="234" w:name="_Toc184310293"/>
      <w:bookmarkEnd w:id="234"/>
      <w:bookmarkStart w:id="235" w:name="_Toc184308057"/>
      <w:bookmarkEnd w:id="235"/>
      <w:bookmarkStart w:id="236" w:name="_Toc184313285"/>
      <w:bookmarkEnd w:id="236"/>
      <w:bookmarkStart w:id="237" w:name="_Toc184310272"/>
      <w:bookmarkEnd w:id="237"/>
      <w:bookmarkStart w:id="238" w:name="_Toc184314482"/>
      <w:bookmarkEnd w:id="238"/>
      <w:bookmarkStart w:id="239" w:name="_Toc184314463"/>
      <w:bookmarkEnd w:id="239"/>
      <w:bookmarkStart w:id="240" w:name="_Toc184312117"/>
      <w:bookmarkEnd w:id="240"/>
      <w:bookmarkStart w:id="241" w:name="_Toc184308097"/>
      <w:bookmarkEnd w:id="241"/>
      <w:bookmarkStart w:id="242" w:name="_Toc184314475"/>
      <w:bookmarkEnd w:id="242"/>
      <w:bookmarkStart w:id="243" w:name="_Toc184312130"/>
      <w:bookmarkEnd w:id="243"/>
      <w:bookmarkStart w:id="244" w:name="_Toc184312126"/>
      <w:bookmarkEnd w:id="244"/>
      <w:bookmarkStart w:id="245" w:name="_Toc184313268"/>
      <w:bookmarkEnd w:id="245"/>
      <w:bookmarkStart w:id="246" w:name="_Toc184314465"/>
      <w:bookmarkEnd w:id="246"/>
      <w:bookmarkStart w:id="247" w:name="_Toc184310296"/>
      <w:bookmarkEnd w:id="247"/>
      <w:bookmarkStart w:id="248" w:name="_Toc184308047"/>
      <w:bookmarkEnd w:id="248"/>
      <w:bookmarkStart w:id="249" w:name="_Toc184310279"/>
      <w:bookmarkEnd w:id="249"/>
      <w:bookmarkStart w:id="250" w:name="_Toc184310323"/>
      <w:bookmarkEnd w:id="250"/>
      <w:bookmarkStart w:id="251" w:name="_Toc184310292"/>
      <w:bookmarkEnd w:id="251"/>
      <w:bookmarkStart w:id="252" w:name="_Toc184313261"/>
      <w:bookmarkEnd w:id="252"/>
      <w:bookmarkStart w:id="253" w:name="_Toc184314435"/>
      <w:bookmarkEnd w:id="253"/>
      <w:bookmarkStart w:id="254" w:name="_Toc184313250"/>
      <w:bookmarkEnd w:id="254"/>
      <w:bookmarkStart w:id="255" w:name="_Toc184310344"/>
      <w:bookmarkEnd w:id="255"/>
      <w:bookmarkStart w:id="256" w:name="_Toc184310277"/>
      <w:bookmarkEnd w:id="256"/>
      <w:bookmarkStart w:id="257" w:name="_Toc184310312"/>
      <w:bookmarkEnd w:id="257"/>
      <w:bookmarkStart w:id="258" w:name="_Toc184310321"/>
      <w:bookmarkEnd w:id="258"/>
      <w:bookmarkStart w:id="259" w:name="_Toc184313239"/>
      <w:bookmarkEnd w:id="259"/>
      <w:bookmarkStart w:id="260" w:name="_Toc184313273"/>
      <w:bookmarkEnd w:id="260"/>
      <w:bookmarkStart w:id="261" w:name="_Toc184308046"/>
      <w:bookmarkEnd w:id="261"/>
      <w:bookmarkStart w:id="262" w:name="_Toc184310328"/>
      <w:bookmarkEnd w:id="262"/>
      <w:bookmarkStart w:id="263" w:name="_Toc184310320"/>
      <w:bookmarkEnd w:id="263"/>
      <w:bookmarkStart w:id="264" w:name="_Toc184312107"/>
      <w:bookmarkEnd w:id="264"/>
      <w:bookmarkStart w:id="265" w:name="_Toc184308083"/>
      <w:bookmarkEnd w:id="265"/>
      <w:bookmarkStart w:id="266" w:name="_Toc184313238"/>
      <w:bookmarkEnd w:id="266"/>
      <w:bookmarkStart w:id="267" w:name="_Toc184313284"/>
      <w:bookmarkEnd w:id="267"/>
      <w:bookmarkStart w:id="268" w:name="_Toc184313289"/>
      <w:bookmarkEnd w:id="268"/>
      <w:bookmarkStart w:id="269" w:name="_Toc184314414"/>
      <w:bookmarkEnd w:id="269"/>
      <w:bookmarkStart w:id="270" w:name="_Toc184314473"/>
      <w:bookmarkEnd w:id="270"/>
      <w:bookmarkStart w:id="271" w:name="_Toc184308088"/>
      <w:bookmarkEnd w:id="271"/>
      <w:bookmarkStart w:id="272" w:name="_Toc184308056"/>
      <w:bookmarkEnd w:id="272"/>
      <w:bookmarkStart w:id="273" w:name="_Toc184310341"/>
      <w:bookmarkEnd w:id="273"/>
      <w:bookmarkStart w:id="274" w:name="_Toc184313269"/>
      <w:bookmarkEnd w:id="274"/>
      <w:bookmarkStart w:id="275" w:name="_Toc184310294"/>
      <w:bookmarkEnd w:id="275"/>
      <w:bookmarkStart w:id="276" w:name="_Toc184310280"/>
      <w:bookmarkEnd w:id="276"/>
      <w:bookmarkStart w:id="277" w:name="_Toc184308064"/>
      <w:bookmarkEnd w:id="277"/>
      <w:bookmarkStart w:id="278" w:name="_Toc184313295"/>
      <w:bookmarkEnd w:id="278"/>
      <w:bookmarkStart w:id="279" w:name="_Toc184310316"/>
      <w:bookmarkEnd w:id="279"/>
      <w:bookmarkStart w:id="280" w:name="_Toc184310283"/>
      <w:bookmarkEnd w:id="280"/>
      <w:bookmarkStart w:id="281" w:name="_Toc184310309"/>
      <w:bookmarkEnd w:id="281"/>
      <w:bookmarkStart w:id="282" w:name="_Toc184308074"/>
      <w:bookmarkEnd w:id="282"/>
      <w:bookmarkStart w:id="283" w:name="_Toc184313281"/>
      <w:bookmarkEnd w:id="283"/>
      <w:bookmarkStart w:id="284" w:name="_Toc184310275"/>
      <w:bookmarkEnd w:id="284"/>
      <w:bookmarkStart w:id="285" w:name="_Toc184314447"/>
      <w:bookmarkEnd w:id="285"/>
      <w:bookmarkStart w:id="286" w:name="_Toc184310301"/>
      <w:bookmarkEnd w:id="286"/>
      <w:bookmarkStart w:id="287" w:name="_Toc184310282"/>
      <w:bookmarkEnd w:id="287"/>
      <w:bookmarkStart w:id="288" w:name="_Toc184312073"/>
      <w:bookmarkEnd w:id="288"/>
      <w:bookmarkStart w:id="289" w:name="_Toc184313294"/>
      <w:bookmarkEnd w:id="289"/>
      <w:bookmarkStart w:id="290" w:name="_Toc184312115"/>
      <w:bookmarkEnd w:id="290"/>
      <w:bookmarkStart w:id="291" w:name="_Toc184312118"/>
      <w:bookmarkEnd w:id="291"/>
      <w:bookmarkStart w:id="292" w:name="_Toc184310290"/>
      <w:bookmarkEnd w:id="292"/>
      <w:bookmarkStart w:id="293" w:name="_Toc184308078"/>
      <w:bookmarkEnd w:id="293"/>
      <w:bookmarkStart w:id="294" w:name="_Toc184314469"/>
      <w:bookmarkEnd w:id="294"/>
      <w:bookmarkStart w:id="295" w:name="_Toc184313255"/>
      <w:bookmarkEnd w:id="295"/>
      <w:bookmarkStart w:id="296" w:name="_Toc184314452"/>
      <w:bookmarkEnd w:id="296"/>
      <w:bookmarkStart w:id="297" w:name="_Toc184310285"/>
      <w:bookmarkEnd w:id="297"/>
      <w:bookmarkStart w:id="298" w:name="_Toc184314448"/>
      <w:bookmarkEnd w:id="298"/>
      <w:bookmarkStart w:id="299" w:name="_Toc184313304"/>
      <w:bookmarkEnd w:id="299"/>
      <w:bookmarkStart w:id="300" w:name="_Toc184312099"/>
      <w:bookmarkEnd w:id="300"/>
      <w:bookmarkStart w:id="301" w:name="_Toc184312086"/>
      <w:bookmarkEnd w:id="301"/>
      <w:bookmarkStart w:id="302" w:name="_Toc184310324"/>
      <w:bookmarkEnd w:id="302"/>
      <w:bookmarkStart w:id="303" w:name="_Toc184310291"/>
      <w:bookmarkEnd w:id="303"/>
      <w:bookmarkStart w:id="304" w:name="_Toc184312114"/>
      <w:bookmarkEnd w:id="304"/>
      <w:bookmarkStart w:id="305" w:name="_Toc184308060"/>
      <w:bookmarkEnd w:id="305"/>
      <w:bookmarkStart w:id="306" w:name="_Toc184312084"/>
      <w:bookmarkEnd w:id="306"/>
      <w:bookmarkStart w:id="307" w:name="_Toc184313300"/>
      <w:bookmarkEnd w:id="307"/>
      <w:bookmarkStart w:id="308" w:name="_Toc184313310"/>
      <w:bookmarkEnd w:id="308"/>
      <w:bookmarkStart w:id="309" w:name="_Toc184310278"/>
      <w:bookmarkEnd w:id="309"/>
      <w:bookmarkStart w:id="310" w:name="_Toc184312105"/>
      <w:bookmarkEnd w:id="310"/>
      <w:bookmarkStart w:id="311" w:name="_Toc184313266"/>
      <w:bookmarkEnd w:id="311"/>
      <w:bookmarkStart w:id="312" w:name="_Toc184312129"/>
      <w:bookmarkEnd w:id="312"/>
      <w:bookmarkStart w:id="313" w:name="_Toc184310330"/>
      <w:bookmarkEnd w:id="313"/>
      <w:bookmarkStart w:id="314" w:name="_Toc184312090"/>
      <w:bookmarkEnd w:id="314"/>
      <w:bookmarkStart w:id="315" w:name="_Toc184308043"/>
      <w:bookmarkEnd w:id="315"/>
      <w:bookmarkStart w:id="316" w:name="_Toc184312135"/>
      <w:bookmarkEnd w:id="316"/>
      <w:bookmarkStart w:id="317" w:name="_Toc184313257"/>
      <w:bookmarkEnd w:id="317"/>
      <w:bookmarkStart w:id="318" w:name="_Toc184308053"/>
      <w:bookmarkEnd w:id="318"/>
      <w:bookmarkStart w:id="319" w:name="_Toc184314440"/>
      <w:bookmarkEnd w:id="319"/>
      <w:bookmarkStart w:id="320" w:name="_Toc184310286"/>
      <w:bookmarkEnd w:id="320"/>
      <w:bookmarkStart w:id="321" w:name="_Toc184308085"/>
      <w:bookmarkEnd w:id="321"/>
      <w:bookmarkStart w:id="322" w:name="_Toc184310315"/>
      <w:bookmarkEnd w:id="322"/>
      <w:bookmarkStart w:id="323" w:name="_Toc184310322"/>
      <w:bookmarkEnd w:id="323"/>
      <w:bookmarkStart w:id="324" w:name="_Toc184313247"/>
      <w:bookmarkEnd w:id="324"/>
      <w:bookmarkStart w:id="325" w:name="_Toc184314429"/>
      <w:bookmarkEnd w:id="325"/>
      <w:bookmarkStart w:id="326" w:name="_Toc184313293"/>
      <w:bookmarkEnd w:id="326"/>
      <w:bookmarkStart w:id="327" w:name="_Toc184308091"/>
      <w:bookmarkEnd w:id="327"/>
      <w:bookmarkStart w:id="328" w:name="_Toc184314449"/>
      <w:bookmarkEnd w:id="328"/>
      <w:bookmarkStart w:id="329" w:name="_Toc184314443"/>
      <w:bookmarkEnd w:id="329"/>
      <w:bookmarkStart w:id="330" w:name="_Toc184308069"/>
      <w:bookmarkEnd w:id="330"/>
      <w:bookmarkStart w:id="331" w:name="_Toc184312125"/>
      <w:bookmarkEnd w:id="331"/>
      <w:bookmarkStart w:id="332" w:name="_Toc184310284"/>
      <w:bookmarkEnd w:id="332"/>
      <w:bookmarkStart w:id="333" w:name="_Toc184310310"/>
      <w:bookmarkEnd w:id="333"/>
      <w:bookmarkStart w:id="334" w:name="_Toc184312092"/>
      <w:bookmarkEnd w:id="334"/>
      <w:bookmarkStart w:id="335" w:name="_Toc184314458"/>
      <w:bookmarkEnd w:id="335"/>
      <w:bookmarkStart w:id="336" w:name="_Toc184313298"/>
      <w:bookmarkEnd w:id="336"/>
      <w:bookmarkStart w:id="337" w:name="_Toc184313286"/>
      <w:bookmarkEnd w:id="337"/>
      <w:bookmarkStart w:id="338" w:name="_Toc184313278"/>
      <w:bookmarkEnd w:id="338"/>
      <w:bookmarkStart w:id="339" w:name="_Toc184310308"/>
      <w:bookmarkEnd w:id="339"/>
      <w:bookmarkStart w:id="340" w:name="_Toc184308073"/>
      <w:bookmarkEnd w:id="340"/>
      <w:bookmarkStart w:id="341" w:name="_Toc184308107"/>
      <w:bookmarkEnd w:id="341"/>
      <w:bookmarkStart w:id="342" w:name="_Toc184314456"/>
      <w:bookmarkEnd w:id="342"/>
      <w:bookmarkStart w:id="343" w:name="_Toc184313277"/>
      <w:bookmarkEnd w:id="343"/>
      <w:bookmarkStart w:id="344" w:name="_Toc184313302"/>
      <w:bookmarkEnd w:id="344"/>
      <w:bookmarkStart w:id="345" w:name="_Toc184312089"/>
      <w:bookmarkEnd w:id="345"/>
      <w:bookmarkStart w:id="346" w:name="_Toc184310273"/>
      <w:bookmarkEnd w:id="346"/>
      <w:bookmarkStart w:id="347" w:name="_Toc184310281"/>
      <w:bookmarkEnd w:id="347"/>
      <w:bookmarkStart w:id="348" w:name="_Toc184314444"/>
      <w:bookmarkEnd w:id="348"/>
      <w:bookmarkStart w:id="349" w:name="_Toc184308036"/>
      <w:bookmarkEnd w:id="349"/>
      <w:bookmarkStart w:id="350" w:name="_Toc184312101"/>
      <w:bookmarkEnd w:id="350"/>
      <w:bookmarkStart w:id="351" w:name="_Toc184312069"/>
      <w:bookmarkEnd w:id="351"/>
      <w:bookmarkStart w:id="352" w:name="_Toc184313272"/>
      <w:bookmarkEnd w:id="352"/>
      <w:bookmarkStart w:id="353" w:name="_Toc184312077"/>
      <w:bookmarkEnd w:id="353"/>
      <w:bookmarkStart w:id="354" w:name="_Toc184314470"/>
      <w:bookmarkEnd w:id="354"/>
      <w:bookmarkStart w:id="355" w:name="_Toc184310300"/>
      <w:bookmarkEnd w:id="355"/>
      <w:bookmarkStart w:id="356" w:name="_Toc184308061"/>
      <w:bookmarkEnd w:id="356"/>
      <w:bookmarkStart w:id="357" w:name="_Toc184310306"/>
      <w:bookmarkEnd w:id="357"/>
      <w:bookmarkStart w:id="358" w:name="_Toc184314445"/>
      <w:bookmarkEnd w:id="358"/>
      <w:bookmarkStart w:id="359" w:name="_Toc184310314"/>
      <w:bookmarkEnd w:id="359"/>
      <w:bookmarkStart w:id="360" w:name="_Toc184314411"/>
      <w:bookmarkEnd w:id="360"/>
      <w:bookmarkStart w:id="361" w:name="_Toc184313296"/>
      <w:bookmarkEnd w:id="361"/>
      <w:bookmarkStart w:id="362" w:name="_Toc184310313"/>
      <w:bookmarkEnd w:id="362"/>
      <w:bookmarkStart w:id="363" w:name="_Toc184312088"/>
      <w:bookmarkEnd w:id="363"/>
      <w:bookmarkStart w:id="364" w:name="_Toc184312100"/>
      <w:bookmarkEnd w:id="364"/>
      <w:bookmarkStart w:id="365" w:name="_Toc184314471"/>
      <w:bookmarkEnd w:id="365"/>
      <w:bookmarkStart w:id="366" w:name="_Toc184313280"/>
      <w:bookmarkEnd w:id="366"/>
      <w:bookmarkStart w:id="367" w:name="_Toc184308101"/>
      <w:bookmarkEnd w:id="367"/>
      <w:bookmarkStart w:id="368" w:name="_Toc184312110"/>
      <w:bookmarkEnd w:id="368"/>
      <w:bookmarkStart w:id="369" w:name="_Toc184312108"/>
      <w:bookmarkEnd w:id="369"/>
      <w:bookmarkStart w:id="370" w:name="_Toc184312131"/>
      <w:bookmarkEnd w:id="370"/>
      <w:bookmarkStart w:id="371" w:name="_Toc184313291"/>
      <w:bookmarkEnd w:id="371"/>
      <w:bookmarkStart w:id="372" w:name="_Toc184313241"/>
      <w:bookmarkEnd w:id="372"/>
      <w:bookmarkStart w:id="373" w:name="_Toc184313270"/>
      <w:bookmarkEnd w:id="373"/>
      <w:bookmarkStart w:id="374" w:name="_Toc184313290"/>
      <w:bookmarkEnd w:id="374"/>
      <w:bookmarkStart w:id="375" w:name="_Toc184310288"/>
      <w:bookmarkEnd w:id="375"/>
      <w:bookmarkStart w:id="376" w:name="_Toc184314415"/>
      <w:bookmarkEnd w:id="376"/>
      <w:bookmarkStart w:id="377" w:name="_Toc184310299"/>
      <w:bookmarkEnd w:id="377"/>
      <w:bookmarkStart w:id="378" w:name="_Toc184308058"/>
      <w:bookmarkEnd w:id="378"/>
      <w:bookmarkStart w:id="379" w:name="_Toc184312132"/>
      <w:bookmarkEnd w:id="379"/>
      <w:bookmarkStart w:id="380" w:name="_Toc184308106"/>
      <w:bookmarkEnd w:id="380"/>
      <w:bookmarkStart w:id="381" w:name="_Toc184314460"/>
      <w:bookmarkEnd w:id="381"/>
      <w:bookmarkStart w:id="382" w:name="_Toc184312111"/>
      <w:bookmarkEnd w:id="382"/>
      <w:bookmarkStart w:id="383" w:name="_Toc184308108"/>
      <w:bookmarkEnd w:id="383"/>
      <w:bookmarkStart w:id="384" w:name="_Toc184312121"/>
      <w:bookmarkEnd w:id="384"/>
      <w:bookmarkStart w:id="385" w:name="_Toc184313256"/>
      <w:bookmarkEnd w:id="385"/>
      <w:bookmarkStart w:id="386" w:name="_Toc184310331"/>
      <w:bookmarkEnd w:id="386"/>
      <w:bookmarkStart w:id="387" w:name="_Toc184313309"/>
      <w:bookmarkEnd w:id="387"/>
      <w:r>
        <w:rPr>
          <w:rFonts w:hint="eastAsia"/>
          <w:color w:val="auto"/>
          <w:sz w:val="36"/>
          <w:szCs w:val="36"/>
          <w:highlight w:val="none"/>
        </w:rPr>
        <w:t xml:space="preserve"> 评标办法</w:t>
      </w:r>
      <w:bookmarkEnd w:id="21"/>
      <w:bookmarkEnd w:id="22"/>
    </w:p>
    <w:p w14:paraId="237D8C60">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125"/>
        <w:gridCol w:w="5680"/>
        <w:gridCol w:w="1140"/>
        <w:gridCol w:w="766"/>
      </w:tblGrid>
      <w:tr w14:paraId="29CC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73C6063">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25" w:type="dxa"/>
            <w:vAlign w:val="center"/>
          </w:tcPr>
          <w:p w14:paraId="09DF12F4">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评分因素</w:t>
            </w:r>
          </w:p>
        </w:tc>
        <w:tc>
          <w:tcPr>
            <w:tcW w:w="5680" w:type="dxa"/>
            <w:vAlign w:val="center"/>
          </w:tcPr>
          <w:p w14:paraId="13F422C7">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评标标准</w:t>
            </w:r>
          </w:p>
        </w:tc>
        <w:tc>
          <w:tcPr>
            <w:tcW w:w="1140" w:type="dxa"/>
            <w:vAlign w:val="center"/>
          </w:tcPr>
          <w:p w14:paraId="1AF2FF66">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分值</w:t>
            </w:r>
          </w:p>
        </w:tc>
        <w:tc>
          <w:tcPr>
            <w:tcW w:w="766" w:type="dxa"/>
            <w:vAlign w:val="center"/>
          </w:tcPr>
          <w:p w14:paraId="39A5021B">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主观分/客观分属性</w:t>
            </w:r>
          </w:p>
        </w:tc>
      </w:tr>
      <w:tr w14:paraId="68E7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0AF62B7">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25" w:type="dxa"/>
            <w:vAlign w:val="center"/>
          </w:tcPr>
          <w:p w14:paraId="2812E9FE">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价格分（满分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分）</w:t>
            </w:r>
          </w:p>
        </w:tc>
        <w:tc>
          <w:tcPr>
            <w:tcW w:w="5680" w:type="dxa"/>
            <w:vAlign w:val="center"/>
          </w:tcPr>
          <w:p w14:paraId="2DB38E34">
            <w:pPr>
              <w:pStyle w:val="41"/>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投标报价（10分）</w:t>
            </w:r>
          </w:p>
          <w:p w14:paraId="4D61C067">
            <w:pPr>
              <w:pStyle w:val="41"/>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）有效投标报价的最低价作为评标基准价，其最低报价为满分；按［投标报价得分=（评标基准价/投标报价）</w:t>
            </w:r>
            <w:r>
              <w:rPr>
                <w:rFonts w:hint="default" w:ascii="Arial" w:hAnsi="Arial" w:eastAsia="宋体" w:cs="Arial"/>
                <w:bCs/>
                <w:color w:val="auto"/>
                <w:sz w:val="24"/>
                <w:szCs w:val="24"/>
                <w:highlight w:val="none"/>
              </w:rPr>
              <w:t>×</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］的计算公式计算。</w:t>
            </w:r>
          </w:p>
          <w:p w14:paraId="09AD1727">
            <w:pPr>
              <w:pStyle w:val="41"/>
              <w:widowControl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评标过程中，不得去掉报价中的最高报价和最低报价。</w:t>
            </w:r>
          </w:p>
          <w:p w14:paraId="7102699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）对于未预留份额专门面向中小企业采购的政府采购项目，以及预留份额政府采购项目中的非预留部分标项，对小型和微型企业的投标报价给予</w:t>
            </w: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w:t>
            </w:r>
          </w:p>
          <w:p w14:paraId="32471C5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ABDDF0B">
            <w:pPr>
              <w:keepNext w:val="0"/>
              <w:keepLines w:val="0"/>
              <w:pageBreakBefore w:val="0"/>
              <w:widowControl w:val="0"/>
              <w:numPr>
                <w:ilvl w:val="0"/>
                <w:numId w:val="0"/>
              </w:numPr>
              <w:kinsoku/>
              <w:wordWrap/>
              <w:overflowPunct/>
              <w:topLinePunct w:val="0"/>
              <w:bidi w:val="0"/>
              <w:adjustRightInd w:val="0"/>
              <w:spacing w:line="440" w:lineRule="exact"/>
              <w:ind w:leftChars="0" w:firstLine="42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7365A39">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异常低价审查处理</w:t>
            </w:r>
          </w:p>
          <w:p w14:paraId="04CD36AD">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①政府采购评审中出现下列情形之一的，评标委员会应当启动异常低价投标（响应）审查程序：</w:t>
            </w:r>
          </w:p>
          <w:p w14:paraId="084302A7">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A.投标报价低于全部通过符合性审查投标人投标报价平均值65%的，即投标报价＜全部通过符合性审查投标人投标报价平均值</w:t>
            </w:r>
            <w:r>
              <w:rPr>
                <w:rFonts w:hint="default" w:ascii="Arial" w:hAnsi="Arial" w:cs="Arial"/>
                <w:bCs/>
                <w:color w:val="auto"/>
                <w:sz w:val="24"/>
                <w:szCs w:val="24"/>
                <w:highlight w:val="none"/>
                <w:lang w:val="en-US" w:eastAsia="zh-CN"/>
              </w:rPr>
              <w:t>×</w:t>
            </w:r>
            <w:r>
              <w:rPr>
                <w:rFonts w:hint="eastAsia" w:ascii="宋体" w:hAnsi="宋体" w:cs="宋体"/>
                <w:bCs/>
                <w:color w:val="auto"/>
                <w:sz w:val="24"/>
                <w:szCs w:val="24"/>
                <w:highlight w:val="none"/>
                <w:lang w:val="en-US" w:eastAsia="zh-CN"/>
              </w:rPr>
              <w:t>65%；</w:t>
            </w:r>
          </w:p>
          <w:p w14:paraId="6436AFAD">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B.投标报价低于通过符合性审查且报价次低投标人投标报价65%的，即投标报价＜通过符合性审查且报价次低投标人投标报价</w:t>
            </w:r>
            <w:r>
              <w:rPr>
                <w:rFonts w:hint="default" w:ascii="Arial" w:hAnsi="Arial" w:cs="Arial"/>
                <w:bCs/>
                <w:color w:val="auto"/>
                <w:sz w:val="24"/>
                <w:szCs w:val="24"/>
                <w:highlight w:val="none"/>
                <w:lang w:val="en-US" w:eastAsia="zh-CN"/>
              </w:rPr>
              <w:t>×</w:t>
            </w:r>
            <w:r>
              <w:rPr>
                <w:rFonts w:hint="eastAsia" w:ascii="宋体" w:hAnsi="宋体" w:cs="宋体"/>
                <w:bCs/>
                <w:color w:val="auto"/>
                <w:sz w:val="24"/>
                <w:szCs w:val="24"/>
                <w:highlight w:val="none"/>
                <w:lang w:val="en-US" w:eastAsia="zh-CN"/>
              </w:rPr>
              <w:t>65%；</w:t>
            </w:r>
          </w:p>
          <w:p w14:paraId="2EFC5E02">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val="en-US" w:eastAsia="zh-CN"/>
              </w:rPr>
              <w:t>C.投标报价低于采购项目最高限价65%的，即投标报价＜采购项目最高限价</w:t>
            </w:r>
            <w:r>
              <w:rPr>
                <w:rFonts w:hint="default" w:ascii="Arial" w:hAnsi="Arial" w:cs="Arial"/>
                <w:bCs/>
                <w:color w:val="auto"/>
                <w:sz w:val="24"/>
                <w:szCs w:val="24"/>
                <w:highlight w:val="none"/>
                <w:lang w:val="en-US" w:eastAsia="zh-CN"/>
              </w:rPr>
              <w:t>×</w:t>
            </w:r>
            <w:r>
              <w:rPr>
                <w:rFonts w:hint="eastAsia" w:ascii="宋体" w:hAnsi="宋体" w:cs="宋体"/>
                <w:bCs/>
                <w:color w:val="auto"/>
                <w:sz w:val="24"/>
                <w:szCs w:val="24"/>
                <w:highlight w:val="none"/>
                <w:lang w:val="en-US" w:eastAsia="zh-CN"/>
              </w:rPr>
              <w:t>65%；</w:t>
            </w:r>
          </w:p>
          <w:p w14:paraId="0042C9CF">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D.其他评标委员会认为投标人报价过低，有可能影响产品质量或者不能诚信履约的情形。</w:t>
            </w:r>
          </w:p>
          <w:p w14:paraId="3872442F">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②审查工作流程：</w:t>
            </w:r>
          </w:p>
          <w:p w14:paraId="416A27C3">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A.相关投标人在评审现场合理的时间内提供书面说明及必要的证明材料，对响应价格作出解释。书面说明、证明材料主要是项目具体成本测算等与报价合理性相关的说明、材料。</w:t>
            </w:r>
          </w:p>
          <w:p w14:paraId="24ECB293">
            <w:pPr>
              <w:keepNext w:val="0"/>
              <w:keepLines w:val="0"/>
              <w:pageBreakBefore w:val="0"/>
              <w:widowControl w:val="0"/>
              <w:kinsoku/>
              <w:wordWrap/>
              <w:overflowPunct/>
              <w:topLinePunct w:val="0"/>
              <w:bidi w:val="0"/>
              <w:snapToGrid w:val="0"/>
              <w:spacing w:line="440" w:lineRule="exact"/>
              <w:ind w:firstLine="480" w:firstLineChars="200"/>
              <w:jc w:val="both"/>
              <w:textAlignment w:val="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B.评标委员会应当结合同类产品在主要电商平台的价格、该行业当地薪资水平等情况，依据专业经验对报价合理性进行判断。对异常低价存在争议的，应当按照少数服从多数的原则作出结论。</w:t>
            </w:r>
          </w:p>
          <w:p w14:paraId="57E4610B">
            <w:pPr>
              <w:keepNext w:val="0"/>
              <w:keepLines w:val="0"/>
              <w:pageBreakBefore w:val="0"/>
              <w:widowControl w:val="0"/>
              <w:numPr>
                <w:ilvl w:val="0"/>
                <w:numId w:val="0"/>
              </w:numPr>
              <w:kinsoku/>
              <w:wordWrap/>
              <w:overflowPunct/>
              <w:topLinePunct w:val="0"/>
              <w:bidi w:val="0"/>
              <w:adjustRightInd w:val="0"/>
              <w:spacing w:line="440" w:lineRule="exact"/>
              <w:ind w:leftChars="0" w:firstLine="420"/>
              <w:jc w:val="left"/>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C.如果响应投标人不提供书面说明、证明材料，或者提供的书面说明、证明材料不能证明其报价合理性的，应当将其作为无效响应处理。审查相关情况应当在评审报告中记录。</w:t>
            </w:r>
          </w:p>
        </w:tc>
        <w:tc>
          <w:tcPr>
            <w:tcW w:w="1140" w:type="dxa"/>
            <w:vAlign w:val="center"/>
          </w:tcPr>
          <w:p w14:paraId="0951EC07">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0~10分</w:t>
            </w:r>
          </w:p>
        </w:tc>
        <w:tc>
          <w:tcPr>
            <w:tcW w:w="766" w:type="dxa"/>
            <w:vAlign w:val="center"/>
          </w:tcPr>
          <w:p w14:paraId="50926095">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客观分</w:t>
            </w:r>
          </w:p>
        </w:tc>
      </w:tr>
      <w:tr w14:paraId="5A2D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BFCAE91">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8711" w:type="dxa"/>
            <w:gridSpan w:val="4"/>
            <w:vAlign w:val="center"/>
          </w:tcPr>
          <w:p w14:paraId="2277BE3D">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技术分</w:t>
            </w:r>
          </w:p>
        </w:tc>
      </w:tr>
      <w:tr w14:paraId="7456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4066430D">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p>
        </w:tc>
        <w:tc>
          <w:tcPr>
            <w:tcW w:w="1125" w:type="dxa"/>
            <w:vAlign w:val="center"/>
          </w:tcPr>
          <w:p w14:paraId="442952B1">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服务性能指标</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分（满分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分）</w:t>
            </w:r>
          </w:p>
        </w:tc>
        <w:tc>
          <w:tcPr>
            <w:tcW w:w="5680" w:type="dxa"/>
            <w:vAlign w:val="center"/>
          </w:tcPr>
          <w:p w14:paraId="5C2CB174">
            <w:pPr>
              <w:pStyle w:val="24"/>
              <w:spacing w:line="360" w:lineRule="auto"/>
              <w:ind w:firstLine="480" w:firstLineChars="200"/>
              <w:rPr>
                <w:rFonts w:hint="default"/>
                <w:color w:val="auto"/>
                <w:highlight w:val="none"/>
                <w:lang w:val="en-US" w:eastAsia="zh-CN"/>
              </w:rPr>
            </w:pPr>
            <w:r>
              <w:rPr>
                <w:rFonts w:hint="eastAsia"/>
                <w:color w:val="auto"/>
                <w:highlight w:val="none"/>
                <w:lang w:val="en-US" w:eastAsia="zh-CN"/>
              </w:rPr>
              <w:t>招标文件采购需求一览表中</w:t>
            </w:r>
            <w:r>
              <w:rPr>
                <w:rFonts w:hint="default"/>
                <w:color w:val="auto"/>
                <w:highlight w:val="none"/>
                <w:lang w:val="en-US" w:eastAsia="zh-CN"/>
              </w:rPr>
              <w:t>标注“★”的服务性能指标</w:t>
            </w:r>
            <w:r>
              <w:rPr>
                <w:rFonts w:hint="eastAsia"/>
                <w:color w:val="auto"/>
                <w:highlight w:val="none"/>
                <w:lang w:val="en-US" w:eastAsia="zh-CN"/>
              </w:rPr>
              <w:t>，</w:t>
            </w:r>
            <w:r>
              <w:rPr>
                <w:rFonts w:hint="default"/>
                <w:color w:val="auto"/>
                <w:highlight w:val="none"/>
                <w:lang w:val="en-US" w:eastAsia="zh-CN"/>
              </w:rPr>
              <w:t>为</w:t>
            </w:r>
            <w:r>
              <w:rPr>
                <w:rFonts w:hint="eastAsia"/>
                <w:color w:val="auto"/>
                <w:highlight w:val="none"/>
                <w:lang w:val="en-US" w:eastAsia="zh-CN"/>
              </w:rPr>
              <w:t>本项目的</w:t>
            </w:r>
            <w:r>
              <w:rPr>
                <w:rFonts w:hint="default"/>
                <w:color w:val="auto"/>
                <w:highlight w:val="none"/>
                <w:lang w:val="en-US" w:eastAsia="zh-CN"/>
              </w:rPr>
              <w:t>重要技术指标、功能项，将作为服务性能</w:t>
            </w:r>
            <w:r>
              <w:rPr>
                <w:rFonts w:hint="eastAsia"/>
                <w:color w:val="auto"/>
                <w:highlight w:val="none"/>
                <w:lang w:val="en-US" w:eastAsia="zh-CN"/>
              </w:rPr>
              <w:t>指标</w:t>
            </w:r>
            <w:r>
              <w:rPr>
                <w:rFonts w:hint="default"/>
                <w:color w:val="auto"/>
                <w:highlight w:val="none"/>
                <w:lang w:val="en-US" w:eastAsia="zh-CN"/>
              </w:rPr>
              <w:t>的评审依据。</w:t>
            </w:r>
          </w:p>
          <w:p w14:paraId="199CCA89">
            <w:pPr>
              <w:pStyle w:val="25"/>
              <w:rPr>
                <w:rFonts w:hint="default"/>
                <w:color w:val="auto"/>
                <w:highlight w:val="none"/>
                <w:lang w:val="en-US" w:eastAsia="zh-CN"/>
              </w:rPr>
            </w:pPr>
            <w:r>
              <w:rPr>
                <w:rFonts w:hint="eastAsia"/>
                <w:color w:val="auto"/>
                <w:highlight w:val="none"/>
                <w:lang w:val="en-US" w:eastAsia="zh-CN"/>
              </w:rPr>
              <w:t>采购需求一览表</w:t>
            </w:r>
            <w:r>
              <w:rPr>
                <w:rFonts w:hint="default"/>
                <w:color w:val="auto"/>
                <w:highlight w:val="none"/>
                <w:lang w:val="en-US" w:eastAsia="zh-CN"/>
              </w:rPr>
              <w:t>中每</w:t>
            </w:r>
            <w:r>
              <w:rPr>
                <w:rFonts w:hint="eastAsia"/>
                <w:color w:val="auto"/>
                <w:highlight w:val="none"/>
                <w:lang w:val="en-US" w:eastAsia="zh-CN"/>
              </w:rPr>
              <w:t>一</w:t>
            </w:r>
            <w:r>
              <w:rPr>
                <w:rFonts w:hint="default"/>
                <w:color w:val="auto"/>
                <w:highlight w:val="none"/>
                <w:lang w:val="en-US" w:eastAsia="zh-CN"/>
              </w:rPr>
              <w:t>项标注“★” 的服务性能指标均需提供系统功能截图或第三方检测报告</w:t>
            </w:r>
            <w:r>
              <w:rPr>
                <w:rFonts w:hint="eastAsia"/>
                <w:color w:val="auto"/>
                <w:highlight w:val="none"/>
                <w:lang w:val="en-US" w:eastAsia="zh-CN"/>
              </w:rPr>
              <w:t>，</w:t>
            </w:r>
            <w:r>
              <w:rPr>
                <w:rFonts w:hint="default"/>
                <w:color w:val="auto"/>
                <w:highlight w:val="none"/>
                <w:lang w:val="en-US" w:eastAsia="zh-CN"/>
              </w:rPr>
              <w:t>并加盖投标</w:t>
            </w:r>
            <w:r>
              <w:rPr>
                <w:rFonts w:hint="eastAsia"/>
                <w:color w:val="auto"/>
                <w:highlight w:val="none"/>
                <w:lang w:val="en-US" w:eastAsia="zh-CN"/>
              </w:rPr>
              <w:t>人单位</w:t>
            </w:r>
            <w:r>
              <w:rPr>
                <w:rFonts w:hint="default"/>
                <w:color w:val="auto"/>
                <w:highlight w:val="none"/>
                <w:lang w:val="en-US" w:eastAsia="zh-CN"/>
              </w:rPr>
              <w:t>公章，</w:t>
            </w:r>
            <w:r>
              <w:rPr>
                <w:rFonts w:hint="eastAsia"/>
                <w:color w:val="auto"/>
                <w:highlight w:val="none"/>
                <w:lang w:val="en-US" w:eastAsia="zh-CN"/>
              </w:rPr>
              <w:t>全部满足采购需求要求的，得10分。</w:t>
            </w:r>
            <w:r>
              <w:rPr>
                <w:rFonts w:hint="default"/>
                <w:color w:val="auto"/>
                <w:highlight w:val="none"/>
                <w:lang w:val="en-US" w:eastAsia="zh-CN"/>
              </w:rPr>
              <w:t>未按要求提供</w:t>
            </w:r>
            <w:r>
              <w:rPr>
                <w:rFonts w:hint="eastAsia"/>
                <w:color w:val="auto"/>
                <w:highlight w:val="none"/>
                <w:lang w:val="en-US" w:eastAsia="zh-CN"/>
              </w:rPr>
              <w:t>技术证明材料的</w:t>
            </w:r>
            <w:r>
              <w:rPr>
                <w:rFonts w:hint="default"/>
                <w:color w:val="auto"/>
                <w:highlight w:val="none"/>
                <w:lang w:val="en-US" w:eastAsia="zh-CN"/>
              </w:rPr>
              <w:t>或</w:t>
            </w:r>
            <w:r>
              <w:rPr>
                <w:rFonts w:hint="eastAsia"/>
                <w:color w:val="auto"/>
                <w:highlight w:val="none"/>
                <w:lang w:val="en-US" w:eastAsia="zh-CN"/>
              </w:rPr>
              <w:t>者</w:t>
            </w:r>
            <w:r>
              <w:rPr>
                <w:rFonts w:hint="default"/>
                <w:color w:val="auto"/>
                <w:highlight w:val="none"/>
                <w:lang w:val="en-US" w:eastAsia="zh-CN"/>
              </w:rPr>
              <w:t>所提供的证明材料</w:t>
            </w:r>
            <w:r>
              <w:rPr>
                <w:rFonts w:hint="eastAsia"/>
                <w:color w:val="auto"/>
                <w:highlight w:val="none"/>
                <w:lang w:val="en-US" w:eastAsia="zh-CN"/>
              </w:rPr>
              <w:t>不能完整体现性能技术指标完全满足采购需求要求的</w:t>
            </w:r>
            <w:r>
              <w:rPr>
                <w:rFonts w:hint="default"/>
                <w:color w:val="auto"/>
                <w:highlight w:val="none"/>
                <w:lang w:val="en-US" w:eastAsia="zh-CN"/>
              </w:rPr>
              <w:t xml:space="preserve">，每少一项扣 </w:t>
            </w:r>
            <w:r>
              <w:rPr>
                <w:rFonts w:hint="eastAsia"/>
                <w:color w:val="auto"/>
                <w:highlight w:val="none"/>
                <w:lang w:val="en-US" w:eastAsia="zh-CN"/>
              </w:rPr>
              <w:t>1</w:t>
            </w:r>
            <w:r>
              <w:rPr>
                <w:rFonts w:hint="default"/>
                <w:color w:val="auto"/>
                <w:highlight w:val="none"/>
                <w:lang w:val="en-US" w:eastAsia="zh-CN"/>
              </w:rPr>
              <w:t xml:space="preserve"> 分，扣完为止，不计负分。</w:t>
            </w:r>
          </w:p>
        </w:tc>
        <w:tc>
          <w:tcPr>
            <w:tcW w:w="1140" w:type="dxa"/>
            <w:vAlign w:val="center"/>
          </w:tcPr>
          <w:p w14:paraId="25B3FA2F">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0~10分</w:t>
            </w:r>
          </w:p>
        </w:tc>
        <w:tc>
          <w:tcPr>
            <w:tcW w:w="766" w:type="dxa"/>
            <w:vAlign w:val="center"/>
          </w:tcPr>
          <w:p w14:paraId="6968850F">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客观</w:t>
            </w:r>
            <w:r>
              <w:rPr>
                <w:rFonts w:hint="eastAsia" w:ascii="宋体" w:hAnsi="宋体" w:cs="宋体"/>
                <w:color w:val="auto"/>
                <w:sz w:val="24"/>
                <w:szCs w:val="24"/>
                <w:highlight w:val="none"/>
                <w:lang w:eastAsia="zh-CN"/>
              </w:rPr>
              <w:t>分</w:t>
            </w:r>
          </w:p>
        </w:tc>
      </w:tr>
      <w:tr w14:paraId="4309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576" w:type="dxa"/>
            <w:vAlign w:val="center"/>
          </w:tcPr>
          <w:p w14:paraId="389926FF">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125" w:type="dxa"/>
            <w:vAlign w:val="center"/>
          </w:tcPr>
          <w:p w14:paraId="5F3B15D5">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技术方案分（满分</w:t>
            </w:r>
            <w:r>
              <w:rPr>
                <w:rFonts w:hint="eastAsia" w:ascii="宋体" w:hAnsi="宋体" w:cs="宋体"/>
                <w:color w:val="auto"/>
                <w:sz w:val="24"/>
                <w:szCs w:val="24"/>
                <w:highlight w:val="none"/>
                <w:lang w:val="en-US" w:eastAsia="zh-CN"/>
              </w:rPr>
              <w:t>21</w:t>
            </w:r>
            <w:r>
              <w:rPr>
                <w:rFonts w:hint="default" w:ascii="宋体" w:hAnsi="宋体" w:cs="宋体"/>
                <w:color w:val="auto"/>
                <w:sz w:val="24"/>
                <w:szCs w:val="24"/>
                <w:highlight w:val="none"/>
                <w:lang w:val="en-US" w:eastAsia="zh-CN"/>
              </w:rPr>
              <w:t>分）</w:t>
            </w:r>
          </w:p>
        </w:tc>
        <w:tc>
          <w:tcPr>
            <w:tcW w:w="5680" w:type="dxa"/>
            <w:vAlign w:val="center"/>
          </w:tcPr>
          <w:p w14:paraId="578E0BDD">
            <w:pPr>
              <w:pStyle w:val="24"/>
              <w:rPr>
                <w:rFonts w:hint="default" w:ascii="宋体" w:hAnsi="宋体" w:eastAsia="宋体" w:cs="宋体"/>
                <w:color w:val="auto"/>
                <w:sz w:val="24"/>
                <w:szCs w:val="24"/>
                <w:highlight w:val="none"/>
                <w:lang w:val="en-US" w:eastAsia="zh-CN"/>
              </w:rPr>
            </w:pPr>
            <w:r>
              <w:rPr>
                <w:rFonts w:hint="eastAsia"/>
                <w:color w:val="auto"/>
                <w:highlight w:val="none"/>
                <w:lang w:val="en-US" w:eastAsia="zh-CN"/>
              </w:rPr>
              <w:t>技术方案应包括项目概述、项目需求分析与设计、项目建设方案等。</w:t>
            </w:r>
            <w:r>
              <w:rPr>
                <w:rFonts w:hint="default" w:ascii="宋体" w:hAnsi="宋体" w:eastAsia="宋体" w:cs="宋体"/>
                <w:color w:val="auto"/>
                <w:sz w:val="24"/>
                <w:szCs w:val="24"/>
                <w:highlight w:val="none"/>
                <w:lang w:val="en-US" w:eastAsia="zh-CN"/>
              </w:rPr>
              <w:t>评委根据各投标人的</w:t>
            </w:r>
            <w:r>
              <w:rPr>
                <w:rFonts w:hint="eastAsia" w:hAnsi="宋体" w:cs="宋体"/>
                <w:color w:val="auto"/>
                <w:sz w:val="24"/>
                <w:szCs w:val="24"/>
                <w:highlight w:val="none"/>
                <w:lang w:val="en-US" w:eastAsia="zh-CN"/>
              </w:rPr>
              <w:t>技术方案</w:t>
            </w:r>
            <w:r>
              <w:rPr>
                <w:rFonts w:hint="default" w:ascii="宋体" w:hAnsi="宋体" w:eastAsia="宋体" w:cs="宋体"/>
                <w:color w:val="auto"/>
                <w:sz w:val="24"/>
                <w:szCs w:val="24"/>
                <w:highlight w:val="none"/>
                <w:lang w:val="en-US" w:eastAsia="zh-CN"/>
              </w:rPr>
              <w:t>进行综合评估，按以下标准进行评分：</w:t>
            </w:r>
          </w:p>
          <w:p w14:paraId="79EE5224">
            <w:pPr>
              <w:pStyle w:val="25"/>
              <w:ind w:left="0" w:leftChars="0" w:firstLine="480" w:firstLineChars="200"/>
              <w:rPr>
                <w:rFonts w:hint="default"/>
                <w:color w:val="auto"/>
                <w:highlight w:val="none"/>
                <w:lang w:val="en-US" w:eastAsia="zh-CN"/>
              </w:rPr>
            </w:pPr>
            <w:r>
              <w:rPr>
                <w:rFonts w:hint="eastAsia" w:hAnsi="宋体" w:cs="宋体"/>
                <w:color w:val="auto"/>
                <w:sz w:val="24"/>
                <w:szCs w:val="24"/>
                <w:highlight w:val="none"/>
                <w:lang w:val="en-US" w:eastAsia="zh-CN"/>
              </w:rPr>
              <w:t>一档（0分）：</w:t>
            </w:r>
            <w:r>
              <w:rPr>
                <w:rFonts w:hint="eastAsia" w:ascii="宋体" w:hAnsi="宋体"/>
                <w:b w:val="0"/>
                <w:bCs/>
                <w:color w:val="auto"/>
                <w:kern w:val="0"/>
                <w:szCs w:val="21"/>
                <w:highlight w:val="none"/>
                <w:lang w:eastAsia="zh-CN"/>
              </w:rPr>
              <w:t>投标文件中</w:t>
            </w:r>
            <w:r>
              <w:rPr>
                <w:rFonts w:hint="eastAsia" w:ascii="宋体" w:hAnsi="宋体"/>
                <w:b w:val="0"/>
                <w:bCs/>
                <w:color w:val="auto"/>
                <w:kern w:val="0"/>
                <w:szCs w:val="21"/>
                <w:highlight w:val="none"/>
                <w:lang w:val="en-US" w:eastAsia="zh-CN"/>
              </w:rPr>
              <w:t>未</w:t>
            </w:r>
            <w:r>
              <w:rPr>
                <w:rFonts w:hint="eastAsia"/>
                <w:color w:val="auto"/>
                <w:highlight w:val="none"/>
                <w:lang w:val="en-US" w:eastAsia="zh-CN"/>
              </w:rPr>
              <w:t>提供</w:t>
            </w:r>
            <w:r>
              <w:rPr>
                <w:rFonts w:hint="default" w:ascii="宋体" w:hAnsi="宋体" w:cs="宋体"/>
                <w:color w:val="auto"/>
                <w:sz w:val="24"/>
                <w:szCs w:val="24"/>
                <w:highlight w:val="none"/>
                <w:lang w:val="en-US" w:eastAsia="zh-CN"/>
              </w:rPr>
              <w:t>技术</w:t>
            </w:r>
            <w:r>
              <w:rPr>
                <w:rFonts w:hint="eastAsia"/>
                <w:color w:val="auto"/>
                <w:highlight w:val="none"/>
                <w:lang w:val="en-US" w:eastAsia="zh-CN"/>
              </w:rPr>
              <w:t>方案的，</w:t>
            </w:r>
            <w:r>
              <w:rPr>
                <w:rFonts w:hint="default"/>
                <w:color w:val="auto"/>
                <w:highlight w:val="none"/>
                <w:lang w:val="en-US" w:eastAsia="zh-CN"/>
              </w:rPr>
              <w:t>不得分。</w:t>
            </w:r>
          </w:p>
          <w:p w14:paraId="518C2D05">
            <w:pPr>
              <w:pStyle w:val="24"/>
              <w:ind w:firstLine="480" w:firstLineChars="200"/>
              <w:rPr>
                <w:rFonts w:hint="eastAsia"/>
                <w:color w:val="auto"/>
                <w:highlight w:val="none"/>
                <w:lang w:val="en-US" w:eastAsia="zh-CN"/>
              </w:rPr>
            </w:pPr>
            <w:r>
              <w:rPr>
                <w:rFonts w:hint="eastAsia"/>
                <w:color w:val="auto"/>
                <w:highlight w:val="none"/>
                <w:lang w:val="en-US" w:eastAsia="zh-CN"/>
              </w:rPr>
              <w:t xml:space="preserve">二档（7分）：提供的技术方案内容简单，不能够完全实现本项目所有需求，项目需求分析与设计不准确、项目建设方案不完整。 </w:t>
            </w:r>
          </w:p>
          <w:p w14:paraId="18C082EE">
            <w:pPr>
              <w:pStyle w:val="24"/>
              <w:ind w:firstLine="480" w:firstLineChars="200"/>
              <w:rPr>
                <w:rFonts w:hint="eastAsia"/>
                <w:color w:val="auto"/>
                <w:highlight w:val="none"/>
                <w:lang w:val="en-US" w:eastAsia="zh-CN"/>
              </w:rPr>
            </w:pPr>
            <w:r>
              <w:rPr>
                <w:rFonts w:hint="eastAsia"/>
                <w:color w:val="auto"/>
                <w:highlight w:val="none"/>
                <w:lang w:val="en-US" w:eastAsia="zh-CN"/>
              </w:rPr>
              <w:t xml:space="preserve">三档（14分）：提供的技术方案基本完整，能深入理解北海海洋渔业综合执法的现状,能够基本实现本项目所有需求，项目需求分析与设计基本准确、项目建设方案较为合理。 </w:t>
            </w:r>
          </w:p>
          <w:p w14:paraId="1A6AC570">
            <w:pPr>
              <w:pStyle w:val="24"/>
              <w:ind w:firstLine="480" w:firstLineChars="200"/>
              <w:rPr>
                <w:rFonts w:hint="default"/>
                <w:color w:val="auto"/>
                <w:highlight w:val="none"/>
                <w:lang w:val="en-US" w:eastAsia="zh-CN"/>
              </w:rPr>
            </w:pPr>
            <w:r>
              <w:rPr>
                <w:rFonts w:hint="eastAsia"/>
                <w:color w:val="auto"/>
                <w:highlight w:val="none"/>
                <w:lang w:val="en-US" w:eastAsia="zh-CN"/>
              </w:rPr>
              <w:t>四档（21 分）：提供的技术方案详细、全面，能够完整实现本项目所有需求，项目需求分析与设计准确、项目建设方案设计合理，能深入理解北海海洋渔业综合执法的现状，并针对性地提出切合北海海洋监管综合执法实际情况的建设方案。技术</w:t>
            </w:r>
            <w:r>
              <w:rPr>
                <w:rFonts w:hint="eastAsia" w:ascii="宋体" w:hAnsi="宋体" w:eastAsia="宋体" w:cs="宋体"/>
                <w:color w:val="auto"/>
                <w:sz w:val="24"/>
                <w:highlight w:val="none"/>
              </w:rPr>
              <w:t>方案与招标需求的符合程度高，对整个项目背景、建设目标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建设内容描述正确</w:t>
            </w:r>
            <w:r>
              <w:rPr>
                <w:rFonts w:hint="eastAsia" w:ascii="宋体" w:hAnsi="宋体" w:eastAsia="宋体" w:cs="宋体"/>
                <w:color w:val="auto"/>
                <w:sz w:val="24"/>
                <w:highlight w:val="none"/>
                <w:lang w:eastAsia="zh-CN"/>
              </w:rPr>
              <w:t>；</w:t>
            </w:r>
            <w:r>
              <w:rPr>
                <w:rFonts w:hint="eastAsia" w:hAnsi="宋体" w:cs="宋体"/>
                <w:color w:val="auto"/>
                <w:sz w:val="24"/>
                <w:highlight w:val="none"/>
                <w:lang w:eastAsia="zh-CN"/>
              </w:rPr>
              <w:t>对</w:t>
            </w:r>
            <w:r>
              <w:rPr>
                <w:rFonts w:hint="eastAsia" w:ascii="宋体" w:hAnsi="宋体" w:eastAsia="宋体" w:cs="宋体"/>
                <w:color w:val="auto"/>
                <w:sz w:val="24"/>
                <w:highlight w:val="none"/>
              </w:rPr>
              <w:t>系统结构设计、软件开发设计要求进行详细阐述，对项目中系统软件的部署描述正确，系统的功能特点及应用模式均有详细说明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对于</w:t>
            </w:r>
            <w:r>
              <w:rPr>
                <w:rFonts w:hint="eastAsia" w:hAnsi="宋体" w:cs="宋体"/>
                <w:color w:val="auto"/>
                <w:sz w:val="24"/>
                <w:highlight w:val="none"/>
                <w:lang w:eastAsia="zh-CN"/>
              </w:rPr>
              <w:t>招标人</w:t>
            </w:r>
            <w:r>
              <w:rPr>
                <w:rFonts w:hint="eastAsia" w:ascii="宋体" w:hAnsi="宋体" w:eastAsia="宋体" w:cs="宋体"/>
                <w:color w:val="auto"/>
                <w:sz w:val="24"/>
                <w:highlight w:val="none"/>
                <w:lang w:val="en-US" w:eastAsia="zh-CN"/>
              </w:rPr>
              <w:t>要求的乡镇船舶定位数据对接提供</w:t>
            </w:r>
            <w:r>
              <w:rPr>
                <w:rFonts w:hint="eastAsia" w:ascii="宋体" w:hAnsi="宋体" w:eastAsia="宋体" w:cs="宋体"/>
                <w:color w:val="auto"/>
                <w:sz w:val="24"/>
                <w:highlight w:val="none"/>
              </w:rPr>
              <w:t>可行的对接设计方案，详细说明对接方式、接口规范性设计、数据同步机制及接口响应策略。</w:t>
            </w:r>
          </w:p>
        </w:tc>
        <w:tc>
          <w:tcPr>
            <w:tcW w:w="1140" w:type="dxa"/>
            <w:vAlign w:val="center"/>
          </w:tcPr>
          <w:p w14:paraId="5E2C86F2">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0~21分</w:t>
            </w:r>
          </w:p>
        </w:tc>
        <w:tc>
          <w:tcPr>
            <w:tcW w:w="766" w:type="dxa"/>
            <w:vAlign w:val="center"/>
          </w:tcPr>
          <w:p w14:paraId="15D23758">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主观</w:t>
            </w:r>
            <w:r>
              <w:rPr>
                <w:rFonts w:hint="eastAsia" w:ascii="宋体" w:hAnsi="宋体" w:cs="宋体"/>
                <w:color w:val="auto"/>
                <w:sz w:val="24"/>
                <w:szCs w:val="24"/>
                <w:highlight w:val="none"/>
                <w:lang w:eastAsia="zh-CN"/>
              </w:rPr>
              <w:t>分</w:t>
            </w:r>
          </w:p>
        </w:tc>
      </w:tr>
      <w:tr w14:paraId="4E75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F114738">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1125" w:type="dxa"/>
            <w:vAlign w:val="center"/>
          </w:tcPr>
          <w:p w14:paraId="3432DB56">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实施方案</w:t>
            </w:r>
            <w:r>
              <w:rPr>
                <w:rFonts w:hint="eastAsia" w:ascii="宋体" w:hAnsi="宋体" w:cs="宋体"/>
                <w:color w:val="auto"/>
                <w:sz w:val="24"/>
                <w:szCs w:val="24"/>
                <w:highlight w:val="none"/>
                <w:lang w:val="en-US" w:eastAsia="zh-CN"/>
              </w:rPr>
              <w:t>分</w:t>
            </w:r>
          </w:p>
          <w:p w14:paraId="24EA7A4B">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（满分1</w:t>
            </w:r>
            <w:r>
              <w:rPr>
                <w:rFonts w:hint="eastAsia" w:ascii="宋体" w:hAnsi="宋体" w:cs="宋体"/>
                <w:color w:val="auto"/>
                <w:sz w:val="24"/>
                <w:szCs w:val="24"/>
                <w:highlight w:val="none"/>
                <w:lang w:val="en-US" w:eastAsia="zh-CN"/>
              </w:rPr>
              <w:t>8</w:t>
            </w:r>
            <w:r>
              <w:rPr>
                <w:rFonts w:hint="default" w:ascii="宋体" w:hAnsi="宋体" w:cs="宋体"/>
                <w:color w:val="auto"/>
                <w:sz w:val="24"/>
                <w:szCs w:val="24"/>
                <w:highlight w:val="none"/>
                <w:lang w:val="en-US" w:eastAsia="zh-CN"/>
              </w:rPr>
              <w:t>分）</w:t>
            </w:r>
          </w:p>
        </w:tc>
        <w:tc>
          <w:tcPr>
            <w:tcW w:w="5680" w:type="dxa"/>
            <w:vAlign w:val="center"/>
          </w:tcPr>
          <w:p w14:paraId="2FB139E8">
            <w:pPr>
              <w:keepNext w:val="0"/>
              <w:keepLines w:val="0"/>
              <w:pageBreakBefore w:val="0"/>
              <w:widowControl w:val="0"/>
              <w:kinsoku/>
              <w:wordWrap/>
              <w:overflowPunct/>
              <w:topLinePunct w:val="0"/>
              <w:bidi w:val="0"/>
              <w:adjustRightInd w:val="0"/>
              <w:snapToGrid w:val="0"/>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Arial" w:cs="Arial"/>
                <w:snapToGrid w:val="0"/>
                <w:color w:val="auto"/>
                <w:kern w:val="2"/>
                <w:sz w:val="24"/>
                <w:szCs w:val="21"/>
                <w:highlight w:val="none"/>
                <w:lang w:val="en-US" w:eastAsia="zh-CN" w:bidi="ar-SA"/>
              </w:rPr>
              <w:t>实施方案应包括项目背景及目标、项目的实施流程及说明、项目进度计划、质量保障体系、风险管控与应对措施等。</w:t>
            </w:r>
            <w:r>
              <w:rPr>
                <w:rFonts w:hint="default" w:ascii="宋体" w:hAnsi="宋体" w:eastAsia="宋体" w:cs="宋体"/>
                <w:color w:val="auto"/>
                <w:sz w:val="24"/>
                <w:szCs w:val="24"/>
                <w:highlight w:val="none"/>
                <w:lang w:val="en-US" w:eastAsia="zh-CN"/>
              </w:rPr>
              <w:t>评委根据各投标人的</w:t>
            </w:r>
            <w:r>
              <w:rPr>
                <w:rFonts w:hint="eastAsia" w:ascii="宋体" w:hAnsi="宋体" w:cs="宋体"/>
                <w:color w:val="auto"/>
                <w:sz w:val="24"/>
                <w:szCs w:val="24"/>
                <w:highlight w:val="none"/>
                <w:lang w:val="en-US" w:eastAsia="zh-CN"/>
              </w:rPr>
              <w:t>实施方案</w:t>
            </w:r>
            <w:r>
              <w:rPr>
                <w:rFonts w:hint="default" w:ascii="宋体" w:hAnsi="宋体" w:eastAsia="宋体" w:cs="宋体"/>
                <w:color w:val="auto"/>
                <w:sz w:val="24"/>
                <w:szCs w:val="24"/>
                <w:highlight w:val="none"/>
                <w:lang w:val="en-US" w:eastAsia="zh-CN"/>
              </w:rPr>
              <w:t>进行综合评估，按以下标准进行评分：</w:t>
            </w:r>
          </w:p>
          <w:p w14:paraId="47DA9CE8">
            <w:pPr>
              <w:pStyle w:val="81"/>
              <w:ind w:firstLine="480" w:firstLineChars="200"/>
              <w:jc w:val="both"/>
              <w:rPr>
                <w:rFonts w:hint="default" w:ascii="宋体" w:hAnsi="Arial" w:eastAsia="宋体" w:cs="Arial"/>
                <w:snapToGrid w:val="0"/>
                <w:color w:val="auto"/>
                <w:kern w:val="2"/>
                <w:sz w:val="24"/>
                <w:szCs w:val="21"/>
                <w:highlight w:val="none"/>
                <w:lang w:val="en-US" w:eastAsia="zh-CN" w:bidi="ar-SA"/>
              </w:rPr>
            </w:pPr>
            <w:r>
              <w:rPr>
                <w:rFonts w:hint="eastAsia" w:ascii="宋体" w:hAnsi="Arial" w:eastAsia="宋体" w:cs="Arial"/>
                <w:snapToGrid w:val="0"/>
                <w:color w:val="auto"/>
                <w:kern w:val="2"/>
                <w:sz w:val="24"/>
                <w:szCs w:val="21"/>
                <w:highlight w:val="none"/>
                <w:lang w:val="en-US" w:eastAsia="zh-CN" w:bidi="ar-SA"/>
              </w:rPr>
              <w:t>一档（0分）：投标文件中未提供实施方案的，</w:t>
            </w:r>
            <w:r>
              <w:rPr>
                <w:rFonts w:hint="default" w:ascii="宋体" w:hAnsi="Arial" w:eastAsia="宋体" w:cs="Arial"/>
                <w:snapToGrid w:val="0"/>
                <w:color w:val="auto"/>
                <w:kern w:val="2"/>
                <w:sz w:val="24"/>
                <w:szCs w:val="21"/>
                <w:highlight w:val="none"/>
                <w:lang w:val="en-US" w:eastAsia="zh-CN" w:bidi="ar-SA"/>
              </w:rPr>
              <w:t>不得分。</w:t>
            </w:r>
          </w:p>
          <w:p w14:paraId="6A47A02C">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二</w:t>
            </w:r>
            <w:r>
              <w:rPr>
                <w:rFonts w:hint="eastAsia" w:ascii="宋体" w:hAnsi="Arial" w:eastAsia="宋体" w:cs="Arial"/>
                <w:snapToGrid w:val="0"/>
                <w:color w:val="auto"/>
                <w:kern w:val="2"/>
                <w:sz w:val="24"/>
                <w:szCs w:val="21"/>
                <w:highlight w:val="none"/>
                <w:lang w:val="en-US" w:eastAsia="zh-CN" w:bidi="ar-SA"/>
              </w:rPr>
              <w:t>档（</w:t>
            </w:r>
            <w:r>
              <w:rPr>
                <w:rFonts w:hint="eastAsia" w:ascii="宋体" w:hAnsi="Arial" w:cs="Arial"/>
                <w:snapToGrid w:val="0"/>
                <w:color w:val="auto"/>
                <w:kern w:val="2"/>
                <w:sz w:val="24"/>
                <w:szCs w:val="21"/>
                <w:highlight w:val="none"/>
                <w:lang w:val="en-US" w:eastAsia="zh-CN" w:bidi="ar-SA"/>
              </w:rPr>
              <w:t>6</w:t>
            </w:r>
            <w:r>
              <w:rPr>
                <w:rFonts w:hint="eastAsia" w:ascii="宋体" w:hAnsi="Arial" w:eastAsia="宋体" w:cs="Arial"/>
                <w:snapToGrid w:val="0"/>
                <w:color w:val="auto"/>
                <w:kern w:val="2"/>
                <w:sz w:val="24"/>
                <w:szCs w:val="21"/>
                <w:highlight w:val="none"/>
                <w:lang w:val="en-US" w:eastAsia="zh-CN" w:bidi="ar-SA"/>
              </w:rPr>
              <w:t>分）：实施方案内容简单，</w:t>
            </w:r>
            <w:r>
              <w:rPr>
                <w:rFonts w:hint="eastAsia" w:ascii="宋体" w:hAnsi="Arial" w:cs="Arial"/>
                <w:snapToGrid w:val="0"/>
                <w:color w:val="auto"/>
                <w:kern w:val="2"/>
                <w:sz w:val="24"/>
                <w:szCs w:val="21"/>
                <w:highlight w:val="none"/>
                <w:lang w:val="en-US" w:eastAsia="zh-CN" w:bidi="ar-SA"/>
              </w:rPr>
              <w:t>项目的实施流程及说明、质量保障体系、风险管控与应对措施描述</w:t>
            </w:r>
            <w:r>
              <w:rPr>
                <w:rFonts w:hint="eastAsia" w:ascii="宋体" w:hAnsi="Arial" w:eastAsia="宋体" w:cs="Arial"/>
                <w:snapToGrid w:val="0"/>
                <w:color w:val="auto"/>
                <w:kern w:val="2"/>
                <w:sz w:val="24"/>
                <w:szCs w:val="21"/>
                <w:highlight w:val="none"/>
                <w:lang w:val="en-US" w:eastAsia="zh-CN" w:bidi="ar-SA"/>
              </w:rPr>
              <w:t>简单，</w:t>
            </w:r>
            <w:r>
              <w:rPr>
                <w:rFonts w:hint="eastAsia" w:ascii="宋体" w:hAnsi="Arial" w:cs="Arial"/>
                <w:snapToGrid w:val="0"/>
                <w:color w:val="auto"/>
                <w:kern w:val="2"/>
                <w:sz w:val="24"/>
                <w:szCs w:val="21"/>
                <w:highlight w:val="none"/>
                <w:lang w:val="en-US" w:eastAsia="zh-CN" w:bidi="ar-SA"/>
              </w:rPr>
              <w:t>项目进度计划安排可操作性不强，</w:t>
            </w:r>
            <w:r>
              <w:rPr>
                <w:rFonts w:hint="eastAsia" w:ascii="宋体" w:hAnsi="Arial" w:eastAsia="宋体" w:cs="Arial"/>
                <w:snapToGrid w:val="0"/>
                <w:color w:val="auto"/>
                <w:kern w:val="2"/>
                <w:sz w:val="24"/>
                <w:szCs w:val="21"/>
                <w:highlight w:val="none"/>
                <w:lang w:val="en-US" w:eastAsia="zh-CN" w:bidi="ar-SA"/>
              </w:rPr>
              <w:t>基本达到项目</w:t>
            </w:r>
            <w:r>
              <w:rPr>
                <w:rFonts w:hint="eastAsia" w:ascii="宋体" w:hAnsi="Arial" w:cs="Arial"/>
                <w:snapToGrid w:val="0"/>
                <w:color w:val="auto"/>
                <w:kern w:val="2"/>
                <w:sz w:val="24"/>
                <w:szCs w:val="21"/>
                <w:highlight w:val="none"/>
                <w:lang w:val="en-US" w:eastAsia="zh-CN" w:bidi="ar-SA"/>
              </w:rPr>
              <w:t>总体设想。</w:t>
            </w:r>
          </w:p>
          <w:p w14:paraId="0FB591D3">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三</w:t>
            </w:r>
            <w:r>
              <w:rPr>
                <w:rFonts w:hint="eastAsia" w:ascii="宋体" w:hAnsi="Arial" w:eastAsia="宋体" w:cs="Arial"/>
                <w:snapToGrid w:val="0"/>
                <w:color w:val="auto"/>
                <w:kern w:val="2"/>
                <w:sz w:val="24"/>
                <w:szCs w:val="21"/>
                <w:highlight w:val="none"/>
                <w:lang w:val="en-US" w:eastAsia="zh-CN" w:bidi="ar-SA"/>
              </w:rPr>
              <w:t>档（1</w:t>
            </w:r>
            <w:r>
              <w:rPr>
                <w:rFonts w:hint="eastAsia" w:ascii="宋体" w:hAnsi="Arial" w:cs="Arial"/>
                <w:snapToGrid w:val="0"/>
                <w:color w:val="auto"/>
                <w:kern w:val="2"/>
                <w:sz w:val="24"/>
                <w:szCs w:val="21"/>
                <w:highlight w:val="none"/>
                <w:lang w:val="en-US" w:eastAsia="zh-CN" w:bidi="ar-SA"/>
              </w:rPr>
              <w:t>2</w:t>
            </w:r>
            <w:r>
              <w:rPr>
                <w:rFonts w:hint="eastAsia" w:ascii="宋体" w:hAnsi="Arial" w:eastAsia="宋体" w:cs="Arial"/>
                <w:snapToGrid w:val="0"/>
                <w:color w:val="auto"/>
                <w:kern w:val="2"/>
                <w:sz w:val="24"/>
                <w:szCs w:val="21"/>
                <w:highlight w:val="none"/>
                <w:lang w:val="en-US" w:eastAsia="zh-CN" w:bidi="ar-SA"/>
              </w:rPr>
              <w:t>分）：实施方案内容</w:t>
            </w:r>
            <w:r>
              <w:rPr>
                <w:rFonts w:hint="eastAsia" w:ascii="宋体" w:hAnsi="Arial" w:cs="Arial"/>
                <w:snapToGrid w:val="0"/>
                <w:color w:val="auto"/>
                <w:kern w:val="2"/>
                <w:sz w:val="24"/>
                <w:szCs w:val="21"/>
                <w:highlight w:val="none"/>
                <w:lang w:val="en-US" w:eastAsia="zh-CN" w:bidi="ar-SA"/>
              </w:rPr>
              <w:t>基本完整</w:t>
            </w:r>
            <w:r>
              <w:rPr>
                <w:rFonts w:hint="eastAsia" w:ascii="宋体" w:hAnsi="Arial" w:eastAsia="宋体" w:cs="Arial"/>
                <w:snapToGrid w:val="0"/>
                <w:color w:val="auto"/>
                <w:kern w:val="2"/>
                <w:sz w:val="24"/>
                <w:szCs w:val="21"/>
                <w:highlight w:val="none"/>
                <w:lang w:val="en-US" w:eastAsia="zh-CN" w:bidi="ar-SA"/>
              </w:rPr>
              <w:t>，</w:t>
            </w:r>
            <w:r>
              <w:rPr>
                <w:rFonts w:hint="eastAsia" w:ascii="宋体" w:hAnsi="Arial" w:cs="Arial"/>
                <w:snapToGrid w:val="0"/>
                <w:color w:val="auto"/>
                <w:kern w:val="2"/>
                <w:sz w:val="24"/>
                <w:szCs w:val="21"/>
                <w:highlight w:val="none"/>
                <w:lang w:val="en-US" w:eastAsia="zh-CN" w:bidi="ar-SA"/>
              </w:rPr>
              <w:t>项目的实施流程及说明、质量保障体系、风险管控与应对措施描述基本符合项目要求</w:t>
            </w:r>
            <w:r>
              <w:rPr>
                <w:rFonts w:hint="eastAsia" w:ascii="宋体" w:hAnsi="Arial" w:eastAsia="宋体" w:cs="Arial"/>
                <w:snapToGrid w:val="0"/>
                <w:color w:val="auto"/>
                <w:kern w:val="2"/>
                <w:sz w:val="24"/>
                <w:szCs w:val="21"/>
                <w:highlight w:val="none"/>
                <w:lang w:val="en-US" w:eastAsia="zh-CN" w:bidi="ar-SA"/>
              </w:rPr>
              <w:t>，</w:t>
            </w:r>
            <w:r>
              <w:rPr>
                <w:rFonts w:hint="eastAsia" w:ascii="宋体" w:hAnsi="Arial" w:cs="Arial"/>
                <w:snapToGrid w:val="0"/>
                <w:color w:val="auto"/>
                <w:kern w:val="2"/>
                <w:sz w:val="24"/>
                <w:szCs w:val="21"/>
                <w:highlight w:val="none"/>
                <w:lang w:val="en-US" w:eastAsia="zh-CN" w:bidi="ar-SA"/>
              </w:rPr>
              <w:t>项目进度计划安排比较合理，</w:t>
            </w:r>
            <w:r>
              <w:rPr>
                <w:rFonts w:hint="eastAsia" w:ascii="宋体" w:hAnsi="Arial" w:eastAsia="宋体" w:cs="Arial"/>
                <w:snapToGrid w:val="0"/>
                <w:color w:val="auto"/>
                <w:kern w:val="2"/>
                <w:sz w:val="24"/>
                <w:szCs w:val="21"/>
                <w:highlight w:val="none"/>
                <w:lang w:val="en-US" w:eastAsia="zh-CN" w:bidi="ar-SA"/>
              </w:rPr>
              <w:t>能达到</w:t>
            </w:r>
            <w:r>
              <w:rPr>
                <w:rFonts w:hint="eastAsia" w:ascii="宋体" w:hAnsi="Arial" w:cs="Arial"/>
                <w:snapToGrid w:val="0"/>
                <w:color w:val="auto"/>
                <w:kern w:val="2"/>
                <w:sz w:val="24"/>
                <w:szCs w:val="21"/>
                <w:highlight w:val="none"/>
                <w:lang w:val="en-US" w:eastAsia="zh-CN" w:bidi="ar-SA"/>
              </w:rPr>
              <w:t>总体设想</w:t>
            </w:r>
            <w:r>
              <w:rPr>
                <w:rFonts w:hint="eastAsia" w:ascii="宋体" w:hAnsi="Arial" w:eastAsia="宋体" w:cs="Arial"/>
                <w:snapToGrid w:val="0"/>
                <w:color w:val="auto"/>
                <w:kern w:val="2"/>
                <w:sz w:val="24"/>
                <w:szCs w:val="21"/>
                <w:highlight w:val="none"/>
                <w:lang w:val="en-US" w:eastAsia="zh-CN" w:bidi="ar-SA"/>
              </w:rPr>
              <w:t>。</w:t>
            </w:r>
          </w:p>
          <w:p w14:paraId="6CFB1B78">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Arial" w:cs="Arial"/>
                <w:snapToGrid w:val="0"/>
                <w:color w:val="auto"/>
                <w:kern w:val="2"/>
                <w:sz w:val="24"/>
                <w:szCs w:val="21"/>
                <w:highlight w:val="none"/>
                <w:lang w:val="en-US" w:eastAsia="zh-CN" w:bidi="ar-SA"/>
              </w:rPr>
              <w:t>四</w:t>
            </w:r>
            <w:r>
              <w:rPr>
                <w:rFonts w:hint="eastAsia" w:ascii="宋体" w:hAnsi="Arial" w:eastAsia="宋体" w:cs="Arial"/>
                <w:snapToGrid w:val="0"/>
                <w:color w:val="auto"/>
                <w:kern w:val="2"/>
                <w:sz w:val="24"/>
                <w:szCs w:val="21"/>
                <w:highlight w:val="none"/>
                <w:lang w:val="en-US" w:eastAsia="zh-CN" w:bidi="ar-SA"/>
              </w:rPr>
              <w:t>档（1</w:t>
            </w:r>
            <w:r>
              <w:rPr>
                <w:rFonts w:hint="eastAsia" w:ascii="宋体" w:hAnsi="Arial" w:cs="Arial"/>
                <w:snapToGrid w:val="0"/>
                <w:color w:val="auto"/>
                <w:kern w:val="2"/>
                <w:sz w:val="24"/>
                <w:szCs w:val="21"/>
                <w:highlight w:val="none"/>
                <w:lang w:val="en-US" w:eastAsia="zh-CN" w:bidi="ar-SA"/>
              </w:rPr>
              <w:t>8</w:t>
            </w:r>
            <w:r>
              <w:rPr>
                <w:rFonts w:hint="eastAsia" w:ascii="宋体" w:hAnsi="Arial" w:eastAsia="宋体" w:cs="Arial"/>
                <w:snapToGrid w:val="0"/>
                <w:color w:val="auto"/>
                <w:kern w:val="2"/>
                <w:sz w:val="24"/>
                <w:szCs w:val="21"/>
                <w:highlight w:val="none"/>
                <w:lang w:val="en-US" w:eastAsia="zh-CN" w:bidi="ar-SA"/>
              </w:rPr>
              <w:t>分）：实施方案内容详尽，</w:t>
            </w:r>
            <w:r>
              <w:rPr>
                <w:rFonts w:hint="eastAsia" w:ascii="宋体" w:hAnsi="Arial" w:cs="Arial"/>
                <w:snapToGrid w:val="0"/>
                <w:color w:val="auto"/>
                <w:kern w:val="2"/>
                <w:sz w:val="24"/>
                <w:szCs w:val="21"/>
                <w:highlight w:val="none"/>
                <w:lang w:val="en-US" w:eastAsia="zh-CN" w:bidi="ar-SA"/>
              </w:rPr>
              <w:t>项目的实施流程及说明、质量保障体系、风险管控与应对措施描述合理且贴合项目实际情况</w:t>
            </w:r>
            <w:r>
              <w:rPr>
                <w:rFonts w:hint="eastAsia" w:ascii="宋体" w:hAnsi="Arial" w:eastAsia="宋体" w:cs="Arial"/>
                <w:snapToGrid w:val="0"/>
                <w:color w:val="auto"/>
                <w:kern w:val="2"/>
                <w:sz w:val="24"/>
                <w:szCs w:val="21"/>
                <w:highlight w:val="none"/>
                <w:lang w:val="en-US" w:eastAsia="zh-CN" w:bidi="ar-SA"/>
              </w:rPr>
              <w:t>，</w:t>
            </w:r>
            <w:r>
              <w:rPr>
                <w:rFonts w:hint="eastAsia" w:ascii="宋体" w:hAnsi="Arial" w:cs="Arial"/>
                <w:snapToGrid w:val="0"/>
                <w:color w:val="auto"/>
                <w:kern w:val="2"/>
                <w:sz w:val="24"/>
                <w:szCs w:val="21"/>
                <w:highlight w:val="none"/>
                <w:lang w:val="en-US" w:eastAsia="zh-CN" w:bidi="ar-SA"/>
              </w:rPr>
              <w:t>项目进度计划安排详实，有完善的项目管理制度、项目实施规范、安全保障措施，能达到项目总体设想且可行性强。</w:t>
            </w:r>
          </w:p>
        </w:tc>
        <w:tc>
          <w:tcPr>
            <w:tcW w:w="1140" w:type="dxa"/>
            <w:vAlign w:val="center"/>
          </w:tcPr>
          <w:p w14:paraId="67CE10F1">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0~18分</w:t>
            </w:r>
          </w:p>
        </w:tc>
        <w:tc>
          <w:tcPr>
            <w:tcW w:w="766" w:type="dxa"/>
            <w:vAlign w:val="center"/>
          </w:tcPr>
          <w:p w14:paraId="369DFA4B">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主观分</w:t>
            </w:r>
          </w:p>
        </w:tc>
      </w:tr>
      <w:tr w14:paraId="31D1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544C8B58">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1125" w:type="dxa"/>
            <w:vAlign w:val="center"/>
          </w:tcPr>
          <w:p w14:paraId="443945EA">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售后</w:t>
            </w:r>
            <w:r>
              <w:rPr>
                <w:rFonts w:hint="default" w:ascii="宋体" w:hAnsi="宋体" w:cs="宋体"/>
                <w:color w:val="auto"/>
                <w:sz w:val="24"/>
                <w:szCs w:val="24"/>
                <w:highlight w:val="none"/>
                <w:lang w:val="en-US" w:eastAsia="zh-CN"/>
              </w:rPr>
              <w:t>服务方案（满分</w:t>
            </w:r>
            <w:r>
              <w:rPr>
                <w:rFonts w:hint="eastAsia" w:ascii="宋体" w:hAnsi="宋体" w:cs="宋体"/>
                <w:color w:val="auto"/>
                <w:sz w:val="24"/>
                <w:szCs w:val="24"/>
                <w:highlight w:val="none"/>
                <w:lang w:val="en-US" w:eastAsia="zh-CN"/>
              </w:rPr>
              <w:t>11</w:t>
            </w:r>
            <w:r>
              <w:rPr>
                <w:rFonts w:hint="default" w:ascii="宋体" w:hAnsi="宋体" w:cs="宋体"/>
                <w:color w:val="auto"/>
                <w:sz w:val="24"/>
                <w:szCs w:val="24"/>
                <w:highlight w:val="none"/>
                <w:lang w:val="en-US" w:eastAsia="zh-CN"/>
              </w:rPr>
              <w:t>分）</w:t>
            </w:r>
          </w:p>
        </w:tc>
        <w:tc>
          <w:tcPr>
            <w:tcW w:w="5680" w:type="dxa"/>
            <w:vAlign w:val="center"/>
          </w:tcPr>
          <w:p w14:paraId="07A3193C">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Arial" w:eastAsia="宋体" w:cs="Arial"/>
                <w:snapToGrid w:val="0"/>
                <w:color w:val="auto"/>
                <w:kern w:val="2"/>
                <w:sz w:val="24"/>
                <w:szCs w:val="21"/>
                <w:highlight w:val="none"/>
                <w:lang w:val="en-US" w:eastAsia="zh-CN" w:bidi="ar-SA"/>
              </w:rPr>
              <w:t>售后服务方案应包括运维服务内容、管理制度与保障措施、服务团队、响应时间、系统故障处理、对</w:t>
            </w:r>
            <w:r>
              <w:rPr>
                <w:rFonts w:hint="eastAsia" w:ascii="宋体" w:hAnsi="Arial" w:cs="Arial"/>
                <w:snapToGrid w:val="0"/>
                <w:color w:val="auto"/>
                <w:kern w:val="2"/>
                <w:sz w:val="24"/>
                <w:szCs w:val="21"/>
                <w:highlight w:val="none"/>
                <w:lang w:val="en-US" w:eastAsia="zh-CN" w:bidi="ar-SA"/>
              </w:rPr>
              <w:t>招标人</w:t>
            </w:r>
            <w:r>
              <w:rPr>
                <w:rFonts w:hint="eastAsia" w:ascii="宋体" w:hAnsi="Arial" w:eastAsia="宋体" w:cs="Arial"/>
                <w:snapToGrid w:val="0"/>
                <w:color w:val="auto"/>
                <w:kern w:val="2"/>
                <w:sz w:val="24"/>
                <w:szCs w:val="21"/>
                <w:highlight w:val="none"/>
                <w:lang w:val="en-US" w:eastAsia="zh-CN" w:bidi="ar-SA"/>
              </w:rPr>
              <w:t>使用人员的培训方案等。</w:t>
            </w:r>
            <w:r>
              <w:rPr>
                <w:rFonts w:hint="default" w:ascii="宋体" w:hAnsi="Arial" w:eastAsia="宋体" w:cs="Arial"/>
                <w:snapToGrid w:val="0"/>
                <w:color w:val="auto"/>
                <w:kern w:val="2"/>
                <w:sz w:val="24"/>
                <w:szCs w:val="21"/>
                <w:highlight w:val="none"/>
                <w:lang w:val="en-US" w:eastAsia="zh-CN" w:bidi="ar-SA"/>
              </w:rPr>
              <w:t>评委根据各投标人的</w:t>
            </w:r>
            <w:r>
              <w:rPr>
                <w:rFonts w:hint="eastAsia" w:ascii="宋体" w:hAnsi="Arial" w:eastAsia="宋体" w:cs="Arial"/>
                <w:snapToGrid w:val="0"/>
                <w:color w:val="auto"/>
                <w:kern w:val="2"/>
                <w:sz w:val="24"/>
                <w:szCs w:val="21"/>
                <w:highlight w:val="none"/>
                <w:lang w:val="en-US" w:eastAsia="zh-CN" w:bidi="ar-SA"/>
              </w:rPr>
              <w:t>售后服务方案</w:t>
            </w:r>
            <w:r>
              <w:rPr>
                <w:rFonts w:hint="default" w:ascii="宋体" w:hAnsi="Arial" w:eastAsia="宋体" w:cs="Arial"/>
                <w:snapToGrid w:val="0"/>
                <w:color w:val="auto"/>
                <w:kern w:val="2"/>
                <w:sz w:val="24"/>
                <w:szCs w:val="21"/>
                <w:highlight w:val="none"/>
                <w:lang w:val="en-US" w:eastAsia="zh-CN" w:bidi="ar-SA"/>
              </w:rPr>
              <w:t>进行综合评估，按以下标准进行评分：</w:t>
            </w:r>
          </w:p>
          <w:p w14:paraId="595DB1DA">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default" w:ascii="宋体" w:hAnsi="Arial" w:eastAsia="宋体" w:cs="Arial"/>
                <w:snapToGrid w:val="0"/>
                <w:color w:val="auto"/>
                <w:kern w:val="2"/>
                <w:sz w:val="24"/>
                <w:szCs w:val="21"/>
                <w:highlight w:val="none"/>
                <w:lang w:val="en-US" w:eastAsia="zh-CN" w:bidi="ar-SA"/>
              </w:rPr>
            </w:pPr>
            <w:r>
              <w:rPr>
                <w:rFonts w:hint="eastAsia" w:ascii="宋体" w:hAnsi="Arial" w:eastAsia="宋体" w:cs="Arial"/>
                <w:snapToGrid w:val="0"/>
                <w:color w:val="auto"/>
                <w:kern w:val="2"/>
                <w:sz w:val="24"/>
                <w:szCs w:val="21"/>
                <w:highlight w:val="none"/>
                <w:lang w:val="en-US" w:eastAsia="zh-CN" w:bidi="ar-SA"/>
              </w:rPr>
              <w:t>一档（0分）：投标文件中未提供售后服务方案的，</w:t>
            </w:r>
            <w:r>
              <w:rPr>
                <w:rFonts w:hint="default" w:ascii="宋体" w:hAnsi="Arial" w:eastAsia="宋体" w:cs="Arial"/>
                <w:snapToGrid w:val="0"/>
                <w:color w:val="auto"/>
                <w:kern w:val="2"/>
                <w:sz w:val="24"/>
                <w:szCs w:val="21"/>
                <w:highlight w:val="none"/>
                <w:lang w:val="en-US" w:eastAsia="zh-CN" w:bidi="ar-SA"/>
              </w:rPr>
              <w:t>不得分。</w:t>
            </w:r>
          </w:p>
          <w:p w14:paraId="74A1C04E">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Arial" w:eastAsia="宋体" w:cs="Arial"/>
                <w:snapToGrid w:val="0"/>
                <w:color w:val="auto"/>
                <w:kern w:val="2"/>
                <w:sz w:val="24"/>
                <w:szCs w:val="21"/>
                <w:highlight w:val="none"/>
                <w:lang w:val="en-US" w:eastAsia="zh-CN" w:bidi="ar-SA"/>
              </w:rPr>
              <w:t>二档（</w:t>
            </w:r>
            <w:r>
              <w:rPr>
                <w:rFonts w:hint="eastAsia" w:ascii="宋体" w:hAnsi="Arial" w:cs="Arial"/>
                <w:snapToGrid w:val="0"/>
                <w:color w:val="auto"/>
                <w:kern w:val="2"/>
                <w:sz w:val="24"/>
                <w:szCs w:val="21"/>
                <w:highlight w:val="none"/>
                <w:lang w:val="en-US" w:eastAsia="zh-CN" w:bidi="ar-SA"/>
              </w:rPr>
              <w:t>3</w:t>
            </w:r>
            <w:r>
              <w:rPr>
                <w:rFonts w:hint="eastAsia" w:ascii="宋体" w:hAnsi="Arial" w:eastAsia="宋体" w:cs="Arial"/>
                <w:snapToGrid w:val="0"/>
                <w:color w:val="auto"/>
                <w:kern w:val="2"/>
                <w:sz w:val="24"/>
                <w:szCs w:val="21"/>
                <w:highlight w:val="none"/>
                <w:lang w:val="en-US" w:eastAsia="zh-CN" w:bidi="ar-SA"/>
              </w:rPr>
              <w:t>分）：售后服务方案内容简单，基本包含了运维服务内容、管理制度与保障措施、服务团队、响应时间、系统故障处理、对</w:t>
            </w:r>
            <w:r>
              <w:rPr>
                <w:rFonts w:hint="eastAsia" w:ascii="宋体" w:hAnsi="Arial" w:cs="Arial"/>
                <w:snapToGrid w:val="0"/>
                <w:color w:val="auto"/>
                <w:kern w:val="2"/>
                <w:sz w:val="24"/>
                <w:szCs w:val="21"/>
                <w:highlight w:val="none"/>
                <w:lang w:val="en-US" w:eastAsia="zh-CN" w:bidi="ar-SA"/>
              </w:rPr>
              <w:t>招标人</w:t>
            </w:r>
            <w:r>
              <w:rPr>
                <w:rFonts w:hint="eastAsia" w:ascii="宋体" w:hAnsi="Arial" w:eastAsia="宋体" w:cs="Arial"/>
                <w:snapToGrid w:val="0"/>
                <w:color w:val="auto"/>
                <w:kern w:val="2"/>
                <w:sz w:val="24"/>
                <w:szCs w:val="21"/>
                <w:highlight w:val="none"/>
                <w:lang w:val="en-US" w:eastAsia="zh-CN" w:bidi="ar-SA"/>
              </w:rPr>
              <w:t>使用人员的培训方案等内容。</w:t>
            </w:r>
          </w:p>
          <w:p w14:paraId="7B6E2CB9">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Arial" w:eastAsia="宋体" w:cs="Arial"/>
                <w:snapToGrid w:val="0"/>
                <w:color w:val="auto"/>
                <w:kern w:val="2"/>
                <w:sz w:val="24"/>
                <w:szCs w:val="21"/>
                <w:highlight w:val="none"/>
                <w:lang w:val="en-US" w:eastAsia="zh-CN" w:bidi="ar-SA"/>
              </w:rPr>
              <w:t>三档（</w:t>
            </w:r>
            <w:r>
              <w:rPr>
                <w:rFonts w:hint="eastAsia" w:ascii="宋体" w:hAnsi="Arial" w:cs="Arial"/>
                <w:snapToGrid w:val="0"/>
                <w:color w:val="auto"/>
                <w:kern w:val="2"/>
                <w:sz w:val="24"/>
                <w:szCs w:val="21"/>
                <w:highlight w:val="none"/>
                <w:lang w:val="en-US" w:eastAsia="zh-CN" w:bidi="ar-SA"/>
              </w:rPr>
              <w:t>7</w:t>
            </w:r>
            <w:r>
              <w:rPr>
                <w:rFonts w:hint="eastAsia" w:ascii="宋体" w:hAnsi="Arial" w:eastAsia="宋体" w:cs="Arial"/>
                <w:snapToGrid w:val="0"/>
                <w:color w:val="auto"/>
                <w:kern w:val="2"/>
                <w:sz w:val="24"/>
                <w:szCs w:val="21"/>
                <w:highlight w:val="none"/>
                <w:lang w:val="en-US" w:eastAsia="zh-CN" w:bidi="ar-SA"/>
              </w:rPr>
              <w:t>分）：售后服务方案基本完整，方案包含了运维服务内容、管理制度与保障措施、服务团队、</w:t>
            </w:r>
            <w:r>
              <w:rPr>
                <w:rFonts w:hint="eastAsia" w:ascii="宋体" w:hAnsi="宋体" w:cs="宋体"/>
                <w:color w:val="auto"/>
                <w:sz w:val="24"/>
                <w:szCs w:val="24"/>
                <w:highlight w:val="none"/>
                <w:lang w:val="en-US" w:eastAsia="zh-CN"/>
              </w:rPr>
              <w:t>响应时间、系统故障处理、对招标人使用人员的培训方案等</w:t>
            </w:r>
            <w:r>
              <w:rPr>
                <w:rFonts w:hint="eastAsia" w:ascii="宋体" w:hAnsi="宋体" w:eastAsia="宋体" w:cs="宋体"/>
                <w:color w:val="auto"/>
                <w:sz w:val="24"/>
                <w:szCs w:val="24"/>
                <w:highlight w:val="none"/>
                <w:lang w:val="en-US" w:eastAsia="zh-CN"/>
              </w:rPr>
              <w:t>内容，</w:t>
            </w:r>
            <w:r>
              <w:rPr>
                <w:rFonts w:hint="eastAsia" w:ascii="宋体" w:hAnsi="宋体" w:eastAsia="宋体" w:cs="宋体"/>
                <w:color w:val="auto"/>
                <w:sz w:val="24"/>
                <w:szCs w:val="24"/>
                <w:highlight w:val="none"/>
              </w:rPr>
              <w:t>内容科学合理、</w:t>
            </w:r>
            <w:r>
              <w:rPr>
                <w:rFonts w:hint="eastAsia" w:ascii="宋体" w:hAnsi="宋体" w:eastAsia="宋体" w:cs="宋体"/>
                <w:color w:val="auto"/>
                <w:sz w:val="24"/>
                <w:szCs w:val="24"/>
                <w:highlight w:val="none"/>
                <w:lang w:eastAsia="zh-CN"/>
              </w:rPr>
              <w:t>较为详细</w:t>
            </w:r>
            <w:r>
              <w:rPr>
                <w:rFonts w:hint="eastAsia" w:ascii="宋体" w:hAnsi="宋体" w:eastAsia="宋体" w:cs="宋体"/>
                <w:color w:val="auto"/>
                <w:sz w:val="24"/>
                <w:szCs w:val="24"/>
                <w:highlight w:val="none"/>
              </w:rPr>
              <w:t>。</w:t>
            </w:r>
          </w:p>
          <w:p w14:paraId="1124C4D9">
            <w:pPr>
              <w:snapToGri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档（</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分）：</w:t>
            </w:r>
            <w:r>
              <w:rPr>
                <w:rFonts w:hint="eastAsia" w:ascii="宋体" w:hAnsi="宋体" w:cs="宋体"/>
                <w:color w:val="auto"/>
                <w:kern w:val="0"/>
                <w:sz w:val="24"/>
                <w:szCs w:val="24"/>
                <w:highlight w:val="none"/>
              </w:rPr>
              <w:t>提供售后服务方案</w:t>
            </w:r>
            <w:r>
              <w:rPr>
                <w:rFonts w:hint="eastAsia" w:ascii="宋体" w:hAnsi="宋体" w:cs="宋体"/>
                <w:color w:val="auto"/>
                <w:kern w:val="0"/>
                <w:sz w:val="24"/>
                <w:szCs w:val="24"/>
                <w:highlight w:val="none"/>
                <w:lang w:eastAsia="zh-CN"/>
              </w:rPr>
              <w:t>详实、</w:t>
            </w:r>
            <w:r>
              <w:rPr>
                <w:rFonts w:hint="eastAsia" w:ascii="宋体" w:hAnsi="宋体" w:cs="宋体"/>
                <w:color w:val="auto"/>
                <w:kern w:val="0"/>
                <w:sz w:val="24"/>
                <w:szCs w:val="24"/>
                <w:highlight w:val="none"/>
              </w:rPr>
              <w:t>可行，包含</w:t>
            </w:r>
            <w:r>
              <w:rPr>
                <w:rFonts w:hint="eastAsia" w:ascii="宋体" w:hAnsi="宋体" w:cs="宋体"/>
                <w:color w:val="auto"/>
                <w:kern w:val="0"/>
                <w:sz w:val="24"/>
                <w:szCs w:val="24"/>
                <w:highlight w:val="none"/>
                <w:lang w:val="en-US" w:eastAsia="zh-CN"/>
              </w:rPr>
              <w:t>但不限于：</w:t>
            </w:r>
            <w:r>
              <w:rPr>
                <w:rFonts w:hint="eastAsia" w:ascii="宋体" w:hAnsi="宋体" w:cs="宋体"/>
                <w:color w:val="auto"/>
                <w:kern w:val="0"/>
                <w:sz w:val="24"/>
                <w:szCs w:val="24"/>
                <w:highlight w:val="none"/>
              </w:rPr>
              <w:t>详细的</w:t>
            </w:r>
            <w:r>
              <w:rPr>
                <w:rFonts w:hint="eastAsia" w:ascii="宋体" w:hAnsi="宋体" w:cs="宋体"/>
                <w:color w:val="auto"/>
                <w:kern w:val="0"/>
                <w:sz w:val="24"/>
                <w:szCs w:val="24"/>
                <w:highlight w:val="none"/>
                <w:lang w:eastAsia="zh-CN"/>
              </w:rPr>
              <w:t>售后服务承诺</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w:t>
            </w:r>
            <w:r>
              <w:rPr>
                <w:rFonts w:hint="eastAsia" w:ascii="宋体" w:hAnsi="宋体" w:cs="宋体"/>
                <w:color w:val="auto"/>
                <w:sz w:val="24"/>
                <w:szCs w:val="24"/>
                <w:highlight w:val="none"/>
                <w:lang w:val="en-US" w:eastAsia="zh-CN"/>
              </w:rPr>
              <w:t>运维服务内容、管理制度与保障措施、服务团队、响应时间、系</w:t>
            </w:r>
            <w:r>
              <w:rPr>
                <w:rFonts w:hint="eastAsia" w:ascii="宋体" w:hAnsi="宋体" w:eastAsia="宋体" w:cs="宋体"/>
                <w:color w:val="auto"/>
                <w:sz w:val="24"/>
                <w:szCs w:val="24"/>
                <w:highlight w:val="none"/>
                <w:lang w:val="en-US" w:eastAsia="zh-CN"/>
              </w:rPr>
              <w:t>统故障处理、</w:t>
            </w:r>
            <w:r>
              <w:rPr>
                <w:rFonts w:hint="eastAsia" w:ascii="宋体" w:hAnsi="宋体" w:eastAsia="宋体" w:cs="宋体"/>
                <w:color w:val="auto"/>
                <w:sz w:val="24"/>
                <w:szCs w:val="24"/>
                <w:highlight w:val="none"/>
              </w:rPr>
              <w:t>巡检</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lang w:val="en-US" w:eastAsia="zh-CN"/>
              </w:rPr>
              <w:t>对</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使用人员的培训方案</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eastAsia="zh-CN"/>
              </w:rPr>
              <w:t>且能提供突发</w:t>
            </w:r>
            <w:r>
              <w:rPr>
                <w:rFonts w:hint="eastAsia" w:ascii="宋体" w:hAnsi="宋体" w:eastAsia="宋体" w:cs="宋体"/>
                <w:color w:val="auto"/>
                <w:sz w:val="24"/>
                <w:szCs w:val="24"/>
                <w:highlight w:val="none"/>
                <w:lang w:val="en-US" w:eastAsia="zh-CN"/>
              </w:rPr>
              <w:t>系统故障应急处理方案。</w:t>
            </w:r>
          </w:p>
        </w:tc>
        <w:tc>
          <w:tcPr>
            <w:tcW w:w="1140" w:type="dxa"/>
            <w:vAlign w:val="center"/>
          </w:tcPr>
          <w:p w14:paraId="03DE03D7">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0~11分</w:t>
            </w:r>
          </w:p>
        </w:tc>
        <w:tc>
          <w:tcPr>
            <w:tcW w:w="766" w:type="dxa"/>
            <w:vAlign w:val="center"/>
          </w:tcPr>
          <w:p w14:paraId="219C691A">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主观</w:t>
            </w:r>
            <w:r>
              <w:rPr>
                <w:rFonts w:hint="eastAsia" w:ascii="宋体" w:hAnsi="宋体" w:cs="宋体"/>
                <w:color w:val="auto"/>
                <w:sz w:val="24"/>
                <w:szCs w:val="24"/>
                <w:highlight w:val="none"/>
                <w:lang w:eastAsia="zh-CN"/>
              </w:rPr>
              <w:t>分</w:t>
            </w:r>
          </w:p>
        </w:tc>
      </w:tr>
      <w:tr w14:paraId="2FDD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62F236D">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8711" w:type="dxa"/>
            <w:gridSpan w:val="4"/>
            <w:vAlign w:val="center"/>
          </w:tcPr>
          <w:p w14:paraId="494F8A08">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系统演示分</w:t>
            </w:r>
          </w:p>
        </w:tc>
      </w:tr>
      <w:tr w14:paraId="3F2B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16A92101">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w:t>
            </w:r>
          </w:p>
        </w:tc>
        <w:tc>
          <w:tcPr>
            <w:tcW w:w="1125" w:type="dxa"/>
            <w:vAlign w:val="center"/>
          </w:tcPr>
          <w:p w14:paraId="494333EC">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系统演示分（满分20分）</w:t>
            </w:r>
          </w:p>
        </w:tc>
        <w:tc>
          <w:tcPr>
            <w:tcW w:w="5680" w:type="dxa"/>
            <w:vAlign w:val="center"/>
          </w:tcPr>
          <w:p w14:paraId="02F41EE7">
            <w:pPr>
              <w:spacing w:line="360" w:lineRule="auto"/>
              <w:rPr>
                <w:rFonts w:hint="eastAsia" w:ascii="宋体" w:hAnsi="宋体"/>
                <w:bCs/>
                <w:color w:val="auto"/>
                <w:kern w:val="0"/>
                <w:sz w:val="24"/>
                <w:szCs w:val="24"/>
                <w:highlight w:val="none"/>
                <w:lang w:eastAsia="zh-CN"/>
              </w:rPr>
            </w:pPr>
            <w:r>
              <w:rPr>
                <w:rFonts w:hint="eastAsia" w:ascii="宋体" w:hAnsi="宋体"/>
                <w:bCs/>
                <w:color w:val="auto"/>
                <w:kern w:val="0"/>
                <w:sz w:val="24"/>
                <w:szCs w:val="24"/>
                <w:highlight w:val="none"/>
              </w:rPr>
              <w:t>各投标人</w:t>
            </w:r>
            <w:r>
              <w:rPr>
                <w:rFonts w:hint="eastAsia" w:ascii="宋体" w:hAnsi="宋体"/>
                <w:bCs/>
                <w:color w:val="auto"/>
                <w:kern w:val="0"/>
                <w:sz w:val="24"/>
                <w:szCs w:val="24"/>
                <w:highlight w:val="none"/>
                <w:lang w:eastAsia="zh-CN"/>
              </w:rPr>
              <w:t>对</w:t>
            </w:r>
            <w:r>
              <w:rPr>
                <w:rFonts w:hint="eastAsia" w:ascii="宋体" w:hAnsi="宋体"/>
                <w:bCs/>
                <w:color w:val="auto"/>
                <w:kern w:val="0"/>
                <w:sz w:val="24"/>
                <w:szCs w:val="24"/>
                <w:highlight w:val="none"/>
              </w:rPr>
              <w:t>系统部分</w:t>
            </w:r>
            <w:r>
              <w:rPr>
                <w:rFonts w:hint="eastAsia" w:ascii="宋体" w:hAnsi="宋体"/>
                <w:bCs/>
                <w:color w:val="auto"/>
                <w:kern w:val="0"/>
                <w:sz w:val="24"/>
                <w:szCs w:val="24"/>
                <w:highlight w:val="none"/>
                <w:lang w:eastAsia="zh-CN"/>
              </w:rPr>
              <w:t>重要</w:t>
            </w:r>
            <w:r>
              <w:rPr>
                <w:rFonts w:hint="eastAsia" w:ascii="宋体" w:hAnsi="宋体"/>
                <w:bCs/>
                <w:color w:val="auto"/>
                <w:kern w:val="0"/>
                <w:sz w:val="24"/>
                <w:szCs w:val="24"/>
                <w:highlight w:val="none"/>
              </w:rPr>
              <w:t>功能进行演示，如未提供演示的，本环节不得分</w:t>
            </w:r>
            <w:r>
              <w:rPr>
                <w:rFonts w:hint="eastAsia" w:ascii="宋体" w:hAnsi="宋体"/>
                <w:bCs/>
                <w:color w:val="auto"/>
                <w:kern w:val="0"/>
                <w:sz w:val="24"/>
                <w:szCs w:val="24"/>
                <w:highlight w:val="none"/>
                <w:lang w:eastAsia="zh-CN"/>
              </w:rPr>
              <w:t>。</w:t>
            </w:r>
          </w:p>
          <w:p w14:paraId="1A7B3F8F">
            <w:pPr>
              <w:spacing w:line="360" w:lineRule="auto"/>
              <w:rPr>
                <w:rFonts w:hint="eastAsia" w:ascii="宋体" w:hAnsi="宋体"/>
                <w:bCs/>
                <w:color w:val="auto"/>
                <w:kern w:val="0"/>
                <w:sz w:val="24"/>
                <w:szCs w:val="24"/>
                <w:highlight w:val="none"/>
              </w:rPr>
            </w:pPr>
            <w:r>
              <w:rPr>
                <w:rFonts w:hint="eastAsia" w:ascii="宋体" w:hAnsi="宋体"/>
                <w:b/>
                <w:bCs w:val="0"/>
                <w:color w:val="auto"/>
                <w:kern w:val="0"/>
                <w:sz w:val="24"/>
                <w:szCs w:val="24"/>
                <w:highlight w:val="none"/>
                <w:lang w:eastAsia="zh-CN"/>
              </w:rPr>
              <w:t>演示时间：</w:t>
            </w:r>
            <w:r>
              <w:rPr>
                <w:rFonts w:hint="eastAsia" w:ascii="宋体" w:hAnsi="宋体"/>
                <w:bCs/>
                <w:color w:val="auto"/>
                <w:kern w:val="0"/>
                <w:sz w:val="24"/>
                <w:szCs w:val="24"/>
                <w:highlight w:val="none"/>
                <w:lang w:eastAsia="zh-CN"/>
              </w:rPr>
              <w:t>不得超过</w:t>
            </w:r>
            <w:r>
              <w:rPr>
                <w:rFonts w:hint="eastAsia" w:ascii="宋体" w:hAnsi="宋体"/>
                <w:bCs/>
                <w:color w:val="auto"/>
                <w:kern w:val="0"/>
                <w:sz w:val="24"/>
                <w:szCs w:val="24"/>
                <w:highlight w:val="none"/>
                <w:lang w:val="en-US" w:eastAsia="zh-CN"/>
              </w:rPr>
              <w:t>20分钟</w:t>
            </w:r>
            <w:r>
              <w:rPr>
                <w:rFonts w:hint="eastAsia" w:ascii="宋体" w:hAnsi="宋体"/>
                <w:bCs/>
                <w:color w:val="auto"/>
                <w:kern w:val="0"/>
                <w:sz w:val="24"/>
                <w:szCs w:val="24"/>
                <w:highlight w:val="none"/>
              </w:rPr>
              <w:t>。</w:t>
            </w:r>
          </w:p>
          <w:p w14:paraId="4E985B52">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演示形式：</w:t>
            </w:r>
            <w:r>
              <w:rPr>
                <w:rFonts w:hint="eastAsia" w:ascii="宋体" w:hAnsi="宋体" w:eastAsia="宋体" w:cs="宋体"/>
                <w:color w:val="auto"/>
                <w:sz w:val="24"/>
                <w:szCs w:val="24"/>
                <w:highlight w:val="none"/>
                <w:lang w:val="en-US" w:eastAsia="zh-CN"/>
              </w:rPr>
              <w:t>通过在线视频会议进行演示。投标人需提前准备相关的音视频设备，并通过测试能够在广西政府采购云平台开标大厅平稳运行。</w:t>
            </w:r>
          </w:p>
          <w:p w14:paraId="230548C9">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视频演示要求：</w:t>
            </w:r>
            <w:r>
              <w:rPr>
                <w:rFonts w:hint="eastAsia"/>
                <w:color w:val="auto"/>
                <w:sz w:val="24"/>
                <w:highlight w:val="none"/>
                <w:lang w:val="en-US" w:eastAsia="zh-CN"/>
              </w:rPr>
              <w:t>用模拟系统的呈现方式进行现</w:t>
            </w:r>
            <w:r>
              <w:rPr>
                <w:rFonts w:hint="eastAsia" w:ascii="Times New Roman" w:hAnsi="Times New Roman" w:eastAsia="宋体" w:cs="Times New Roman"/>
                <w:color w:val="auto"/>
                <w:sz w:val="24"/>
                <w:highlight w:val="none"/>
                <w:lang w:val="en-US" w:eastAsia="zh-CN"/>
              </w:rPr>
              <w:t>场演示</w:t>
            </w:r>
            <w:r>
              <w:rPr>
                <w:rFonts w:hint="eastAsia" w:ascii="宋体" w:hAnsi="宋体" w:eastAsia="宋体" w:cs="宋体"/>
                <w:color w:val="auto"/>
                <w:sz w:val="24"/>
                <w:szCs w:val="24"/>
                <w:highlight w:val="none"/>
              </w:rPr>
              <w:t>。</w:t>
            </w:r>
          </w:p>
          <w:p w14:paraId="47EFED93">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具体要求如下：</w:t>
            </w:r>
          </w:p>
          <w:tbl>
            <w:tblPr>
              <w:tblStyle w:val="6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437"/>
              <w:gridCol w:w="3960"/>
            </w:tblGrid>
            <w:tr w14:paraId="1B06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BDB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演示系统模块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3DB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分值</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BDB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功能描述</w:t>
                  </w:r>
                </w:p>
              </w:tc>
            </w:tr>
            <w:tr w14:paraId="4107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45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海上整体管控（海洋一张图系统）</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0F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0B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地理空间可视化：以GIS电子地图为核心载体，叠加AIS、北斗渔船实时定位数据，点击渔船信息，直观展示辖区内渔船经纬度位置、渔船名称、终端号、最新定位时间；支持缩放、平移、测距、图层切换。</w:t>
                  </w:r>
                </w:p>
              </w:tc>
            </w:tr>
            <w:tr w14:paraId="6DF4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C542">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A6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67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符号化管理：按设备来源、船舶类型设计专属符号样式，通过不同形状、颜色、尺寸区分数据类型，例如北斗采用蓝色三角符号、AIS采用绿色圆形符号、乡镇渔船、在册渔船分别采用不同的符号进行展示。</w:t>
                  </w:r>
                </w:p>
              </w:tc>
            </w:tr>
            <w:tr w14:paraId="52FE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81C25">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FD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94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实时船位查询：支持通过终端号、渔船名称搜索渔船，搜索后的目标渔船自动在地图定位到渔船的最新位置并显示渔船的基本信息，支持按照自定义时间段回放当前定位渔船的轨迹。</w:t>
                  </w:r>
                </w:p>
              </w:tc>
            </w:tr>
            <w:tr w14:paraId="5BF9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5BC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渔船（乡镇船舶）智能化在线管理平台</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3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A9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船基础信息管理：系统支持展示接入中国渔政管理指挥系统/广西一体化智能化公共数据平台在册渔船数据，包括不限于渔船名称、终端号、作业类型、船舶类型、主机功率等；支持维护北海市乡镇管理船舶信息，乡镇管理船舶的信息包括但不限于船名、呼号/识别码、捕捞许可证编号、船舶类别、船舶所属地区、船舶所有人信息、建造完工日期、船体材质、作业类型、船舶状态等。</w:t>
                  </w:r>
                </w:p>
              </w:tc>
            </w:tr>
            <w:tr w14:paraId="1316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FD2F7">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16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C22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回放区域与时间设置：在GIS海图上支持三种区域选择方式：矩形选择、圆形选择、多边形选择；支持自定义选择时间段，选择完成后显示已选择区域内的渔船信息。</w:t>
                  </w:r>
                </w:p>
              </w:tc>
            </w:tr>
            <w:tr w14:paraId="057F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11587">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9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469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终端轨迹回放：支持两种多终端轨迹回放。一是基于已选择的区域回放目标区域内的渔船轨迹信息；二是支持手动输入多个终端号/船牌号回放渔船轨迹信息。不同终端的轨迹要用不通颜色显示，轨迹上显示各个时间点终端上报的时间、航速信息。</w:t>
                  </w:r>
                </w:p>
              </w:tc>
            </w:tr>
            <w:tr w14:paraId="7578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45E2">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8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386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乡镇船舶进出港管理：支持查看移动端上报乡镇船进出港报备申请信息、审核状态信息，支持按照时间维度通过图表展示进出港的统计信息，例如审核通过、审核未通过等。</w:t>
                  </w:r>
                </w:p>
              </w:tc>
            </w:tr>
            <w:tr w14:paraId="2C423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240F4">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D8F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5F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多类型电子围栏绘制与配置：支持自定义绘制并展示多种电子围栏：例如禁航区围栏、禁拖线围栏、作业海域围栏、中越边界区域围栏、3海里海岸线围栏、底拖网禁渔区线围栏、北纬12度线围栏等。</w:t>
                  </w:r>
                </w:p>
              </w:tc>
            </w:tr>
            <w:tr w14:paraId="0738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475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移动端</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A92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B9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乡镇船舶录入：乡镇管理人员可通过移动端对辖区内船舶信息进行统一录入与维护，支持基础信息填写、证照信息补充及船舶图片上传。</w:t>
                  </w:r>
                </w:p>
              </w:tc>
            </w:tr>
            <w:tr w14:paraId="4F376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12E8D">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B9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41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乡镇船舶信息查询：乡镇管理人员可通过移动端对辖区内船舶信息进行快速查询与查看，支持多条件筛选与详情展示。</w:t>
                  </w:r>
                </w:p>
              </w:tc>
            </w:tr>
            <w:tr w14:paraId="1E1C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D265A">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1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2ED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乡镇船舶进港、出港报告：渔民/公众用户可通过移动端上报乡镇船舶进港信息，包括但不限于：船名号、船舶所有人、联系电话、船籍港、进港/出港时间、停泊港口、进港/出港人员信息等。</w:t>
                  </w:r>
                </w:p>
              </w:tc>
            </w:tr>
            <w:tr w14:paraId="5984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38E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执法通讯模块</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B5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94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监控快速入会：通过调度坐席可快速发起视频会议，点击地图上监控画面下的入会按钮，把视频监控拉入到视频会议中同步共享；</w:t>
                  </w:r>
                </w:p>
              </w:tc>
            </w:tr>
            <w:tr w14:paraId="43936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2AF5A">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7A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35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腾讯会议融合：会议过程中，通过调度坐席把腾讯会议会场拉入到视频会议中视频参会；</w:t>
                  </w:r>
                </w:p>
              </w:tc>
            </w:tr>
            <w:tr w14:paraId="49CD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EC784">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5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C9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个人微信入会：会议过程中，调度员选择通信录中的成员，选择微信呼叫方式，被叫人员手机端自动微信来电提醒，接听后加入到会议中视频参会；</w:t>
                  </w:r>
                </w:p>
              </w:tc>
            </w:tr>
            <w:tr w14:paraId="30CC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0C0DC">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0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CD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点调模式切换：可把视频会议布局切换到2+N点调模式，包括中间2个主窗口和上下若干小窗口，可对参会终端进行点调操作，被点调成员自动切换到主窗口显示。</w:t>
                  </w:r>
                </w:p>
              </w:tc>
            </w:tr>
            <w:tr w14:paraId="3BFB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07E98">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B07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E4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雷达扫描资源：调度员选择雷达扫描，点击地图上某个区域，自动扫描所选点位周边的应急资源，可通过鼠标拖动进度条调整扫描范围，扫描的资源信息列表化显示。</w:t>
                  </w:r>
                </w:p>
              </w:tc>
            </w:tr>
            <w:tr w14:paraId="32B27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498D">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DD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B7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进攻/撤离路线标绘：调度员可在地图上选择多种箭头标绘进攻/撤离方向；</w:t>
                  </w:r>
                </w:p>
              </w:tc>
            </w:tr>
            <w:tr w14:paraId="29EA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16CEB">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35B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E4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安全/危险区域绘制：调度员可在地图上设置安全/危险区域；</w:t>
                  </w:r>
                </w:p>
              </w:tc>
            </w:tr>
            <w:tr w14:paraId="1AEE2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62FBC">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3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A7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临时资源在线标记：调度员可在地图上临时标记资源信息。</w:t>
                  </w:r>
                </w:p>
              </w:tc>
            </w:tr>
            <w:tr w14:paraId="7401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715E1">
                  <w:pPr>
                    <w:jc w:val="center"/>
                    <w:rPr>
                      <w:rFonts w:hint="eastAsia" w:ascii="宋体" w:hAnsi="宋体" w:eastAsia="宋体" w:cs="宋体"/>
                      <w:i w:val="0"/>
                      <w:iCs w:val="0"/>
                      <w:color w:val="auto"/>
                      <w:sz w:val="22"/>
                      <w:szCs w:val="22"/>
                      <w:highlight w:val="none"/>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4D8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65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调度员视频呼叫移动终端用户，选择远程协助，调度员可在现场单兵回传画面中加入手表手势指引，单兵人员可在移动端实时观看调度员的鼠标手势。</w:t>
                  </w:r>
                </w:p>
              </w:tc>
            </w:tr>
          </w:tbl>
          <w:p w14:paraId="4201E031">
            <w:pPr>
              <w:keepNext w:val="0"/>
              <w:keepLines w:val="0"/>
              <w:pageBreakBefore w:val="0"/>
              <w:widowControl w:val="0"/>
              <w:kinsoku/>
              <w:wordWrap/>
              <w:overflowPunct/>
              <w:topLinePunct w:val="0"/>
              <w:bidi w:val="0"/>
              <w:adjustRightInd w:val="0"/>
              <w:snapToGrid w:val="0"/>
              <w:spacing w:line="440" w:lineRule="exact"/>
              <w:jc w:val="left"/>
              <w:textAlignment w:val="auto"/>
              <w:rPr>
                <w:rFonts w:hint="eastAsia" w:ascii="宋体" w:hAnsi="宋体" w:eastAsia="宋体" w:cs="宋体"/>
                <w:color w:val="auto"/>
                <w:sz w:val="24"/>
                <w:szCs w:val="24"/>
                <w:highlight w:val="none"/>
                <w:lang w:val="en-US" w:eastAsia="zh-CN"/>
              </w:rPr>
            </w:pPr>
          </w:p>
        </w:tc>
        <w:tc>
          <w:tcPr>
            <w:tcW w:w="1140" w:type="dxa"/>
            <w:vAlign w:val="center"/>
          </w:tcPr>
          <w:p w14:paraId="7F502A80">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0~20分</w:t>
            </w:r>
          </w:p>
        </w:tc>
        <w:tc>
          <w:tcPr>
            <w:tcW w:w="766" w:type="dxa"/>
            <w:vAlign w:val="center"/>
          </w:tcPr>
          <w:p w14:paraId="056CCBE7">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r>
      <w:tr w14:paraId="4821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76" w:type="dxa"/>
            <w:vAlign w:val="center"/>
          </w:tcPr>
          <w:p w14:paraId="4098A232">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8711" w:type="dxa"/>
            <w:gridSpan w:val="4"/>
            <w:vAlign w:val="center"/>
          </w:tcPr>
          <w:p w14:paraId="0A264016">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商务分</w:t>
            </w:r>
          </w:p>
        </w:tc>
      </w:tr>
      <w:tr w14:paraId="073F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5A38D1D2">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w:t>
            </w:r>
          </w:p>
        </w:tc>
        <w:tc>
          <w:tcPr>
            <w:tcW w:w="1125" w:type="dxa"/>
            <w:vAlign w:val="center"/>
          </w:tcPr>
          <w:p w14:paraId="1E7EFA6D">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服务团队人员（满分</w:t>
            </w: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lang w:val="en-US" w:eastAsia="zh-CN"/>
              </w:rPr>
              <w:t>分）</w:t>
            </w:r>
          </w:p>
        </w:tc>
        <w:tc>
          <w:tcPr>
            <w:tcW w:w="5680" w:type="dxa"/>
            <w:vAlign w:val="center"/>
          </w:tcPr>
          <w:p w14:paraId="182C514E">
            <w:pPr>
              <w:snapToGrid w:val="0"/>
              <w:spacing w:line="360" w:lineRule="auto"/>
              <w:ind w:firstLine="480" w:firstLineChars="200"/>
              <w:jc w:val="both"/>
              <w:rPr>
                <w:rFonts w:hint="eastAsia" w:ascii="宋体" w:hAnsi="宋体" w:eastAsia="宋体" w:cs="Times New Roman"/>
                <w:b w:val="0"/>
                <w:bCs w:val="0"/>
                <w:color w:val="auto"/>
                <w:kern w:val="0"/>
                <w:sz w:val="24"/>
                <w:szCs w:val="24"/>
                <w:highlight w:val="none"/>
                <w:lang w:val="en-US" w:eastAsia="zh-CN"/>
              </w:rPr>
            </w:pPr>
            <w:bookmarkStart w:id="388" w:name="OLE_LINK2"/>
            <w:r>
              <w:rPr>
                <w:rFonts w:hint="eastAsia" w:ascii="宋体" w:hAnsi="宋体" w:cs="Times New Roman"/>
                <w:b w:val="0"/>
                <w:bCs w:val="0"/>
                <w:color w:val="auto"/>
                <w:kern w:val="0"/>
                <w:sz w:val="24"/>
                <w:szCs w:val="24"/>
                <w:highlight w:val="none"/>
                <w:lang w:val="en-US" w:eastAsia="zh-CN"/>
              </w:rPr>
              <w:t>1.</w:t>
            </w:r>
            <w:r>
              <w:rPr>
                <w:rFonts w:hint="eastAsia" w:ascii="宋体" w:hAnsi="宋体" w:eastAsia="宋体" w:cs="Times New Roman"/>
                <w:b w:val="0"/>
                <w:bCs w:val="0"/>
                <w:color w:val="auto"/>
                <w:kern w:val="0"/>
                <w:sz w:val="24"/>
                <w:szCs w:val="24"/>
                <w:highlight w:val="none"/>
                <w:lang w:val="en-US" w:eastAsia="zh-CN"/>
              </w:rPr>
              <w:t>拟投入的项目负责人</w:t>
            </w:r>
            <w:r>
              <w:rPr>
                <w:rFonts w:hint="eastAsia" w:ascii="宋体" w:hAnsi="宋体" w:cs="Times New Roman"/>
                <w:b w:val="0"/>
                <w:bCs w:val="0"/>
                <w:color w:val="auto"/>
                <w:kern w:val="0"/>
                <w:sz w:val="24"/>
                <w:szCs w:val="24"/>
                <w:highlight w:val="none"/>
                <w:lang w:val="en-US" w:eastAsia="zh-CN"/>
              </w:rPr>
              <w:t>（1人）</w:t>
            </w:r>
            <w:r>
              <w:rPr>
                <w:rFonts w:hint="eastAsia" w:ascii="宋体" w:hAnsi="宋体" w:eastAsia="宋体" w:cs="Times New Roman"/>
                <w:b w:val="0"/>
                <w:bCs w:val="0"/>
                <w:color w:val="auto"/>
                <w:kern w:val="0"/>
                <w:sz w:val="24"/>
                <w:szCs w:val="24"/>
                <w:highlight w:val="none"/>
                <w:lang w:val="en-US" w:eastAsia="zh-CN"/>
              </w:rPr>
              <w:t>具备以下资质</w:t>
            </w:r>
            <w:r>
              <w:rPr>
                <w:rFonts w:hint="eastAsia" w:ascii="宋体" w:hAnsi="宋体" w:cs="Times New Roman"/>
                <w:b w:val="0"/>
                <w:bCs w:val="0"/>
                <w:color w:val="auto"/>
                <w:kern w:val="0"/>
                <w:sz w:val="24"/>
                <w:szCs w:val="24"/>
                <w:highlight w:val="none"/>
                <w:lang w:val="en-US" w:eastAsia="zh-CN"/>
              </w:rPr>
              <w:t>（满分2分）</w:t>
            </w:r>
            <w:r>
              <w:rPr>
                <w:rFonts w:hint="eastAsia" w:ascii="宋体" w:hAnsi="宋体" w:eastAsia="宋体" w:cs="Times New Roman"/>
                <w:b w:val="0"/>
                <w:bCs w:val="0"/>
                <w:color w:val="auto"/>
                <w:kern w:val="0"/>
                <w:sz w:val="24"/>
                <w:szCs w:val="24"/>
                <w:highlight w:val="none"/>
                <w:lang w:val="en-US" w:eastAsia="zh-CN"/>
              </w:rPr>
              <w:t>：</w:t>
            </w:r>
            <w:bookmarkEnd w:id="388"/>
            <w:r>
              <w:rPr>
                <w:rFonts w:hint="eastAsia" w:ascii="宋体" w:hAnsi="宋体" w:eastAsia="宋体" w:cs="Times New Roman"/>
                <w:b w:val="0"/>
                <w:bCs w:val="0"/>
                <w:color w:val="auto"/>
                <w:kern w:val="0"/>
                <w:sz w:val="24"/>
                <w:szCs w:val="24"/>
                <w:highlight w:val="none"/>
                <w:lang w:val="en-US" w:eastAsia="zh-CN"/>
              </w:rPr>
              <w:br w:type="textWrapping"/>
            </w:r>
            <w:r>
              <w:rPr>
                <w:rFonts w:hint="eastAsia" w:ascii="宋体" w:hAnsi="宋体" w:cs="Times New Roman"/>
                <w:b w:val="0"/>
                <w:bCs w:val="0"/>
                <w:color w:val="auto"/>
                <w:kern w:val="0"/>
                <w:sz w:val="24"/>
                <w:szCs w:val="24"/>
                <w:highlight w:val="none"/>
                <w:lang w:val="en-US" w:eastAsia="zh-CN"/>
              </w:rPr>
              <w:t xml:space="preserve">    </w:t>
            </w:r>
            <w:r>
              <w:rPr>
                <w:rFonts w:hint="eastAsia" w:ascii="宋体" w:hAnsi="宋体" w:eastAsia="宋体" w:cs="Times New Roman"/>
                <w:b w:val="0"/>
                <w:bCs w:val="0"/>
                <w:color w:val="auto"/>
                <w:kern w:val="0"/>
                <w:sz w:val="24"/>
                <w:szCs w:val="24"/>
                <w:highlight w:val="none"/>
                <w:lang w:val="en-US" w:eastAsia="zh-CN"/>
              </w:rPr>
              <w:t>①具有软件设计师（中级以上）证书，得</w:t>
            </w:r>
            <w:r>
              <w:rPr>
                <w:rFonts w:hint="eastAsia" w:ascii="宋体" w:hAnsi="宋体" w:cs="Times New Roman"/>
                <w:b w:val="0"/>
                <w:bCs w:val="0"/>
                <w:color w:val="auto"/>
                <w:kern w:val="0"/>
                <w:sz w:val="24"/>
                <w:szCs w:val="24"/>
                <w:highlight w:val="none"/>
                <w:lang w:val="en-US" w:eastAsia="zh-CN"/>
              </w:rPr>
              <w:t>1</w:t>
            </w:r>
            <w:r>
              <w:rPr>
                <w:rFonts w:hint="eastAsia" w:ascii="宋体" w:hAnsi="宋体" w:eastAsia="宋体" w:cs="Times New Roman"/>
                <w:b w:val="0"/>
                <w:bCs w:val="0"/>
                <w:color w:val="auto"/>
                <w:kern w:val="0"/>
                <w:sz w:val="24"/>
                <w:szCs w:val="24"/>
                <w:highlight w:val="none"/>
                <w:lang w:val="en-US" w:eastAsia="zh-CN"/>
              </w:rPr>
              <w:t>分；</w:t>
            </w:r>
            <w:r>
              <w:rPr>
                <w:rFonts w:hint="eastAsia" w:ascii="宋体" w:hAnsi="宋体" w:eastAsia="宋体" w:cs="Times New Roman"/>
                <w:b w:val="0"/>
                <w:bCs w:val="0"/>
                <w:color w:val="auto"/>
                <w:kern w:val="0"/>
                <w:sz w:val="24"/>
                <w:szCs w:val="24"/>
                <w:highlight w:val="none"/>
                <w:lang w:val="en-US" w:eastAsia="zh-CN"/>
              </w:rPr>
              <w:br w:type="textWrapping"/>
            </w:r>
            <w:bookmarkStart w:id="389" w:name="OLE_LINK5"/>
            <w:r>
              <w:rPr>
                <w:rFonts w:hint="eastAsia" w:ascii="宋体" w:hAnsi="宋体" w:cs="Times New Roman"/>
                <w:b w:val="0"/>
                <w:bCs w:val="0"/>
                <w:color w:val="auto"/>
                <w:kern w:val="0"/>
                <w:sz w:val="24"/>
                <w:szCs w:val="24"/>
                <w:highlight w:val="none"/>
                <w:lang w:val="en-US" w:eastAsia="zh-CN"/>
              </w:rPr>
              <w:t xml:space="preserve">    </w:t>
            </w:r>
            <w:r>
              <w:rPr>
                <w:rFonts w:hint="eastAsia" w:ascii="宋体" w:hAnsi="宋体" w:eastAsia="宋体" w:cs="Times New Roman"/>
                <w:b w:val="0"/>
                <w:bCs w:val="0"/>
                <w:color w:val="auto"/>
                <w:kern w:val="0"/>
                <w:sz w:val="24"/>
                <w:szCs w:val="24"/>
                <w:highlight w:val="none"/>
                <w:lang w:val="en-US" w:eastAsia="zh-CN"/>
              </w:rPr>
              <w:t>②</w:t>
            </w:r>
            <w:bookmarkEnd w:id="389"/>
            <w:bookmarkStart w:id="390" w:name="OLE_LINK3"/>
            <w:r>
              <w:rPr>
                <w:rFonts w:hint="eastAsia" w:ascii="宋体" w:hAnsi="宋体" w:eastAsia="宋体" w:cs="Times New Roman"/>
                <w:b w:val="0"/>
                <w:bCs w:val="0"/>
                <w:color w:val="auto"/>
                <w:kern w:val="0"/>
                <w:sz w:val="24"/>
                <w:szCs w:val="24"/>
                <w:highlight w:val="none"/>
                <w:lang w:val="en-US" w:eastAsia="zh-CN"/>
              </w:rPr>
              <w:t>具有信息系统管理工程师（中级以上）证书</w:t>
            </w:r>
            <w:bookmarkEnd w:id="390"/>
            <w:r>
              <w:rPr>
                <w:rFonts w:hint="eastAsia" w:ascii="宋体" w:hAnsi="宋体" w:eastAsia="宋体" w:cs="Times New Roman"/>
                <w:b w:val="0"/>
                <w:bCs w:val="0"/>
                <w:color w:val="auto"/>
                <w:kern w:val="0"/>
                <w:sz w:val="24"/>
                <w:szCs w:val="24"/>
                <w:highlight w:val="none"/>
                <w:lang w:val="en-US" w:eastAsia="zh-CN"/>
              </w:rPr>
              <w:t>，得</w:t>
            </w:r>
            <w:r>
              <w:rPr>
                <w:rFonts w:hint="eastAsia" w:ascii="宋体" w:hAnsi="宋体" w:cs="Times New Roman"/>
                <w:b w:val="0"/>
                <w:bCs w:val="0"/>
                <w:color w:val="auto"/>
                <w:kern w:val="0"/>
                <w:sz w:val="24"/>
                <w:szCs w:val="24"/>
                <w:highlight w:val="none"/>
                <w:lang w:val="en-US" w:eastAsia="zh-CN"/>
              </w:rPr>
              <w:t>1</w:t>
            </w:r>
            <w:r>
              <w:rPr>
                <w:rFonts w:hint="eastAsia" w:ascii="宋体" w:hAnsi="宋体" w:eastAsia="宋体" w:cs="Times New Roman"/>
                <w:b w:val="0"/>
                <w:bCs w:val="0"/>
                <w:color w:val="auto"/>
                <w:kern w:val="0"/>
                <w:sz w:val="24"/>
                <w:szCs w:val="24"/>
                <w:highlight w:val="none"/>
                <w:lang w:val="en-US" w:eastAsia="zh-CN"/>
              </w:rPr>
              <w:t>分。</w:t>
            </w:r>
          </w:p>
          <w:p w14:paraId="04D73B2D">
            <w:pPr>
              <w:snapToGrid w:val="0"/>
              <w:spacing w:line="360" w:lineRule="auto"/>
              <w:ind w:firstLine="480" w:firstLineChars="200"/>
              <w:jc w:val="both"/>
              <w:rPr>
                <w:rFonts w:hint="eastAsia" w:ascii="宋体" w:hAnsi="宋体" w:eastAsia="宋体" w:cs="Times New Roman"/>
                <w:b w:val="0"/>
                <w:bCs w:val="0"/>
                <w:color w:val="auto"/>
                <w:kern w:val="0"/>
                <w:sz w:val="24"/>
                <w:szCs w:val="24"/>
                <w:highlight w:val="none"/>
                <w:lang w:val="en-US" w:eastAsia="zh-CN"/>
              </w:rPr>
            </w:pP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拟投入的</w:t>
            </w:r>
            <w:r>
              <w:rPr>
                <w:rFonts w:hint="eastAsia" w:ascii="宋体" w:hAnsi="宋体" w:cs="Times New Roman"/>
                <w:b w:val="0"/>
                <w:bCs w:val="0"/>
                <w:color w:val="auto"/>
                <w:kern w:val="0"/>
                <w:sz w:val="24"/>
                <w:szCs w:val="24"/>
                <w:highlight w:val="none"/>
                <w:lang w:val="en-US" w:eastAsia="zh-CN"/>
              </w:rPr>
              <w:t>其他服务</w:t>
            </w:r>
            <w:r>
              <w:rPr>
                <w:rFonts w:hint="eastAsia" w:ascii="宋体" w:hAnsi="宋体" w:eastAsia="宋体" w:cs="Times New Roman"/>
                <w:b w:val="0"/>
                <w:bCs w:val="0"/>
                <w:color w:val="auto"/>
                <w:kern w:val="0"/>
                <w:sz w:val="24"/>
                <w:szCs w:val="24"/>
                <w:highlight w:val="none"/>
                <w:lang w:val="en-US" w:eastAsia="zh-CN"/>
              </w:rPr>
              <w:t>人员</w:t>
            </w:r>
            <w:r>
              <w:rPr>
                <w:rFonts w:hint="eastAsia" w:ascii="宋体" w:hAnsi="宋体" w:cs="Times New Roman"/>
                <w:b w:val="0"/>
                <w:bCs w:val="0"/>
                <w:color w:val="auto"/>
                <w:kern w:val="0"/>
                <w:sz w:val="24"/>
                <w:szCs w:val="24"/>
                <w:highlight w:val="none"/>
                <w:lang w:val="en-US" w:eastAsia="zh-CN"/>
              </w:rPr>
              <w:t>（除项目负责人以外的其他人员）</w:t>
            </w:r>
            <w:r>
              <w:rPr>
                <w:rFonts w:hint="eastAsia" w:ascii="宋体" w:hAnsi="宋体" w:eastAsia="宋体" w:cs="Times New Roman"/>
                <w:b w:val="0"/>
                <w:bCs w:val="0"/>
                <w:color w:val="auto"/>
                <w:kern w:val="0"/>
                <w:sz w:val="24"/>
                <w:szCs w:val="24"/>
                <w:highlight w:val="none"/>
                <w:lang w:val="en-US" w:eastAsia="zh-CN"/>
              </w:rPr>
              <w:t>具备以下资质</w:t>
            </w:r>
            <w:r>
              <w:rPr>
                <w:rFonts w:hint="eastAsia" w:ascii="宋体" w:hAnsi="宋体" w:cs="Times New Roman"/>
                <w:b w:val="0"/>
                <w:bCs w:val="0"/>
                <w:color w:val="auto"/>
                <w:kern w:val="0"/>
                <w:sz w:val="24"/>
                <w:szCs w:val="24"/>
                <w:highlight w:val="none"/>
                <w:lang w:val="en-US" w:eastAsia="zh-CN"/>
              </w:rPr>
              <w:t>（满分3分）</w:t>
            </w:r>
            <w:r>
              <w:rPr>
                <w:rFonts w:hint="eastAsia" w:ascii="宋体" w:hAnsi="宋体" w:eastAsia="宋体" w:cs="Times New Roman"/>
                <w:b w:val="0"/>
                <w:bCs w:val="0"/>
                <w:color w:val="auto"/>
                <w:kern w:val="0"/>
                <w:sz w:val="24"/>
                <w:szCs w:val="24"/>
                <w:highlight w:val="none"/>
                <w:lang w:val="en-US" w:eastAsia="zh-CN"/>
              </w:rPr>
              <w:t>：</w:t>
            </w:r>
          </w:p>
          <w:p w14:paraId="50F04B70">
            <w:pPr>
              <w:snapToGrid w:val="0"/>
              <w:spacing w:line="360" w:lineRule="auto"/>
              <w:ind w:firstLine="480" w:firstLineChars="200"/>
              <w:jc w:val="both"/>
              <w:rPr>
                <w:rFonts w:hint="default" w:ascii="宋体" w:hAnsi="宋体" w:eastAsia="宋体" w:cs="Times New Roman"/>
                <w:b w:val="0"/>
                <w:bCs w:val="0"/>
                <w:color w:val="auto"/>
                <w:kern w:val="0"/>
                <w:sz w:val="24"/>
                <w:szCs w:val="24"/>
                <w:highlight w:val="none"/>
                <w:lang w:val="en-US" w:eastAsia="zh-CN"/>
              </w:rPr>
            </w:pPr>
            <w:bookmarkStart w:id="391" w:name="OLE_LINK45"/>
            <w:r>
              <w:rPr>
                <w:rFonts w:hint="eastAsia" w:ascii="宋体" w:hAnsi="宋体" w:eastAsia="宋体" w:cs="Times New Roman"/>
                <w:b w:val="0"/>
                <w:bCs w:val="0"/>
                <w:color w:val="auto"/>
                <w:kern w:val="0"/>
                <w:sz w:val="24"/>
                <w:szCs w:val="24"/>
                <w:highlight w:val="none"/>
                <w:lang w:val="en-US" w:eastAsia="zh-CN"/>
              </w:rPr>
              <w:t>①具有计算机技术与软件专业技术资格中级</w:t>
            </w:r>
            <w:r>
              <w:rPr>
                <w:rFonts w:hint="eastAsia" w:ascii="宋体" w:hAnsi="宋体" w:cs="Times New Roman"/>
                <w:b w:val="0"/>
                <w:bCs w:val="0"/>
                <w:color w:val="auto"/>
                <w:kern w:val="0"/>
                <w:sz w:val="24"/>
                <w:szCs w:val="24"/>
                <w:highlight w:val="none"/>
                <w:lang w:val="en-US" w:eastAsia="zh-CN"/>
              </w:rPr>
              <w:t>以上证书的，</w:t>
            </w:r>
            <w:r>
              <w:rPr>
                <w:rFonts w:hint="eastAsia" w:ascii="宋体" w:hAnsi="宋体" w:eastAsia="宋体" w:cs="Times New Roman"/>
                <w:b w:val="0"/>
                <w:bCs w:val="0"/>
                <w:color w:val="auto"/>
                <w:kern w:val="0"/>
                <w:sz w:val="24"/>
                <w:szCs w:val="24"/>
                <w:highlight w:val="none"/>
                <w:lang w:val="en-US" w:eastAsia="zh-CN"/>
              </w:rPr>
              <w:t>每人得</w:t>
            </w:r>
            <w:r>
              <w:rPr>
                <w:rFonts w:hint="eastAsia" w:ascii="宋体" w:hAnsi="宋体" w:cs="Times New Roman"/>
                <w:b w:val="0"/>
                <w:bCs w:val="0"/>
                <w:color w:val="auto"/>
                <w:kern w:val="0"/>
                <w:sz w:val="24"/>
                <w:szCs w:val="24"/>
                <w:highlight w:val="none"/>
                <w:lang w:val="en-US" w:eastAsia="zh-CN"/>
              </w:rPr>
              <w:t>0.5</w:t>
            </w:r>
            <w:r>
              <w:rPr>
                <w:rFonts w:hint="eastAsia" w:ascii="宋体" w:hAnsi="宋体" w:eastAsia="宋体" w:cs="Times New Roman"/>
                <w:b w:val="0"/>
                <w:bCs w:val="0"/>
                <w:color w:val="auto"/>
                <w:kern w:val="0"/>
                <w:sz w:val="24"/>
                <w:szCs w:val="24"/>
                <w:highlight w:val="none"/>
                <w:lang w:val="en-US" w:eastAsia="zh-CN"/>
              </w:rPr>
              <w:t>分</w:t>
            </w:r>
            <w:r>
              <w:rPr>
                <w:rFonts w:hint="eastAsia" w:ascii="宋体" w:hAnsi="宋体" w:cs="Times New Roman"/>
                <w:b w:val="0"/>
                <w:bCs w:val="0"/>
                <w:color w:val="auto"/>
                <w:kern w:val="0"/>
                <w:sz w:val="24"/>
                <w:szCs w:val="24"/>
                <w:highlight w:val="none"/>
                <w:lang w:val="en-US" w:eastAsia="zh-CN"/>
              </w:rPr>
              <w:t>；</w:t>
            </w:r>
          </w:p>
          <w:p w14:paraId="1AFAE2D4">
            <w:pPr>
              <w:snapToGrid w:val="0"/>
              <w:spacing w:line="360" w:lineRule="auto"/>
              <w:ind w:firstLine="480" w:firstLineChars="200"/>
              <w:jc w:val="both"/>
              <w:rPr>
                <w:rFonts w:hint="eastAsia" w:ascii="宋体" w:hAnsi="宋体" w:eastAsia="宋体" w:cs="Times New Roman"/>
                <w:b w:val="0"/>
                <w:bCs w:val="0"/>
                <w:color w:val="auto"/>
                <w:kern w:val="0"/>
                <w:sz w:val="24"/>
                <w:szCs w:val="24"/>
                <w:highlight w:val="none"/>
                <w:lang w:val="en-US" w:eastAsia="zh-CN"/>
              </w:rPr>
            </w:pPr>
            <w:r>
              <w:rPr>
                <w:rFonts w:hint="eastAsia" w:ascii="宋体" w:hAnsi="宋体" w:eastAsia="宋体" w:cs="Times New Roman"/>
                <w:b w:val="0"/>
                <w:bCs w:val="0"/>
                <w:color w:val="auto"/>
                <w:kern w:val="0"/>
                <w:sz w:val="24"/>
                <w:szCs w:val="24"/>
                <w:highlight w:val="none"/>
                <w:lang w:val="en-US" w:eastAsia="zh-CN"/>
              </w:rPr>
              <w:t>②具有项目管理/计算机技术中级</w:t>
            </w:r>
            <w:r>
              <w:rPr>
                <w:rFonts w:hint="eastAsia" w:ascii="宋体" w:hAnsi="宋体" w:cs="Times New Roman"/>
                <w:b w:val="0"/>
                <w:bCs w:val="0"/>
                <w:color w:val="auto"/>
                <w:kern w:val="0"/>
                <w:sz w:val="24"/>
                <w:szCs w:val="24"/>
                <w:highlight w:val="none"/>
                <w:lang w:val="en-US" w:eastAsia="zh-CN"/>
              </w:rPr>
              <w:t>以上</w:t>
            </w:r>
            <w:r>
              <w:rPr>
                <w:rFonts w:hint="eastAsia" w:ascii="宋体" w:hAnsi="宋体" w:eastAsia="宋体" w:cs="Times New Roman"/>
                <w:b w:val="0"/>
                <w:bCs w:val="0"/>
                <w:color w:val="auto"/>
                <w:kern w:val="0"/>
                <w:sz w:val="24"/>
                <w:szCs w:val="24"/>
                <w:highlight w:val="none"/>
                <w:lang w:val="en-US" w:eastAsia="zh-CN"/>
              </w:rPr>
              <w:t>职称证书</w:t>
            </w:r>
            <w:r>
              <w:rPr>
                <w:rFonts w:hint="eastAsia" w:ascii="宋体" w:hAnsi="宋体" w:cs="Times New Roman"/>
                <w:b w:val="0"/>
                <w:bCs w:val="0"/>
                <w:color w:val="auto"/>
                <w:kern w:val="0"/>
                <w:sz w:val="24"/>
                <w:szCs w:val="24"/>
                <w:highlight w:val="none"/>
                <w:lang w:val="en-US" w:eastAsia="zh-CN"/>
              </w:rPr>
              <w:t>的，</w:t>
            </w:r>
            <w:r>
              <w:rPr>
                <w:rFonts w:hint="eastAsia" w:ascii="宋体" w:hAnsi="宋体" w:eastAsia="宋体" w:cs="Times New Roman"/>
                <w:b w:val="0"/>
                <w:bCs w:val="0"/>
                <w:color w:val="auto"/>
                <w:kern w:val="0"/>
                <w:sz w:val="24"/>
                <w:szCs w:val="24"/>
                <w:highlight w:val="none"/>
                <w:lang w:val="en-US" w:eastAsia="zh-CN"/>
              </w:rPr>
              <w:t>每人得</w:t>
            </w:r>
            <w:r>
              <w:rPr>
                <w:rFonts w:hint="eastAsia" w:ascii="宋体" w:hAnsi="宋体" w:cs="Times New Roman"/>
                <w:b w:val="0"/>
                <w:bCs w:val="0"/>
                <w:color w:val="auto"/>
                <w:kern w:val="0"/>
                <w:sz w:val="24"/>
                <w:szCs w:val="24"/>
                <w:highlight w:val="none"/>
                <w:lang w:val="en-US" w:eastAsia="zh-CN"/>
              </w:rPr>
              <w:t>0.5</w:t>
            </w:r>
            <w:r>
              <w:rPr>
                <w:rFonts w:hint="eastAsia" w:ascii="宋体" w:hAnsi="宋体" w:eastAsia="宋体" w:cs="Times New Roman"/>
                <w:b w:val="0"/>
                <w:bCs w:val="0"/>
                <w:color w:val="auto"/>
                <w:kern w:val="0"/>
                <w:sz w:val="24"/>
                <w:szCs w:val="24"/>
                <w:highlight w:val="none"/>
                <w:lang w:val="en-US" w:eastAsia="zh-CN"/>
              </w:rPr>
              <w:t>分</w:t>
            </w:r>
            <w:r>
              <w:rPr>
                <w:rFonts w:hint="eastAsia" w:ascii="宋体" w:hAnsi="宋体" w:cs="Times New Roman"/>
                <w:b w:val="0"/>
                <w:bCs w:val="0"/>
                <w:color w:val="auto"/>
                <w:kern w:val="0"/>
                <w:sz w:val="24"/>
                <w:szCs w:val="24"/>
                <w:highlight w:val="none"/>
                <w:lang w:val="en-US" w:eastAsia="zh-CN"/>
              </w:rPr>
              <w:t>。</w:t>
            </w:r>
          </w:p>
          <w:bookmarkEnd w:id="391"/>
          <w:p w14:paraId="52309B58">
            <w:pPr>
              <w:spacing w:line="360" w:lineRule="auto"/>
              <w:rPr>
                <w:rFonts w:hint="default"/>
                <w:color w:val="auto"/>
                <w:highlight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注：1.</w:t>
            </w:r>
            <w:r>
              <w:rPr>
                <w:rFonts w:hint="eastAsia" w:ascii="宋体" w:hAnsi="宋体" w:cs="宋体"/>
                <w:b/>
                <w:bCs/>
                <w:i w:val="0"/>
                <w:iCs w:val="0"/>
                <w:color w:val="auto"/>
                <w:kern w:val="0"/>
                <w:sz w:val="24"/>
                <w:szCs w:val="24"/>
                <w:highlight w:val="none"/>
                <w:u w:val="none"/>
                <w:lang w:val="en-US" w:eastAsia="zh-CN" w:bidi="ar"/>
              </w:rPr>
              <w:t>投标人</w:t>
            </w:r>
            <w:r>
              <w:rPr>
                <w:rFonts w:hint="eastAsia" w:ascii="宋体" w:hAnsi="宋体" w:eastAsia="宋体" w:cs="宋体"/>
                <w:b/>
                <w:bCs/>
                <w:i w:val="0"/>
                <w:iCs w:val="0"/>
                <w:color w:val="auto"/>
                <w:kern w:val="0"/>
                <w:sz w:val="24"/>
                <w:szCs w:val="24"/>
                <w:highlight w:val="none"/>
                <w:u w:val="none"/>
                <w:lang w:val="en-US" w:eastAsia="zh-CN" w:bidi="ar"/>
              </w:rPr>
              <w:t>需提供人员相关职称/技术证书扫描件，以及</w:t>
            </w:r>
            <w:r>
              <w:rPr>
                <w:rFonts w:hint="eastAsia" w:ascii="宋体" w:hAnsi="宋体" w:cs="宋体"/>
                <w:b/>
                <w:bCs/>
                <w:i w:val="0"/>
                <w:iCs w:val="0"/>
                <w:color w:val="auto"/>
                <w:kern w:val="0"/>
                <w:sz w:val="24"/>
                <w:szCs w:val="24"/>
                <w:highlight w:val="none"/>
                <w:u w:val="none"/>
                <w:lang w:val="en-US" w:eastAsia="zh-CN" w:bidi="ar"/>
              </w:rPr>
              <w:t>投标人</w:t>
            </w:r>
            <w:r>
              <w:rPr>
                <w:rFonts w:hint="eastAsia" w:ascii="宋体" w:hAnsi="宋体" w:eastAsia="宋体" w:cs="宋体"/>
                <w:b/>
                <w:bCs/>
                <w:i w:val="0"/>
                <w:iCs w:val="0"/>
                <w:color w:val="auto"/>
                <w:kern w:val="0"/>
                <w:sz w:val="24"/>
                <w:szCs w:val="24"/>
                <w:highlight w:val="none"/>
                <w:u w:val="none"/>
                <w:lang w:val="en-US" w:eastAsia="zh-CN" w:bidi="ar"/>
              </w:rPr>
              <w:t>为其缴纳的社保证明（自202</w:t>
            </w:r>
            <w:r>
              <w:rPr>
                <w:rFonts w:hint="eastAsia" w:ascii="宋体" w:hAnsi="宋体" w:cs="宋体"/>
                <w:b/>
                <w:bCs/>
                <w:i w:val="0"/>
                <w:iCs w:val="0"/>
                <w:color w:val="auto"/>
                <w:kern w:val="0"/>
                <w:sz w:val="24"/>
                <w:szCs w:val="24"/>
                <w:highlight w:val="none"/>
                <w:u w:val="none"/>
                <w:lang w:val="en-US" w:eastAsia="zh-CN" w:bidi="ar"/>
              </w:rPr>
              <w:t>6</w:t>
            </w:r>
            <w:r>
              <w:rPr>
                <w:rFonts w:hint="eastAsia" w:ascii="宋体" w:hAnsi="宋体" w:eastAsia="宋体" w:cs="宋体"/>
                <w:b/>
                <w:bCs/>
                <w:i w:val="0"/>
                <w:iCs w:val="0"/>
                <w:color w:val="auto"/>
                <w:kern w:val="0"/>
                <w:sz w:val="24"/>
                <w:szCs w:val="24"/>
                <w:highlight w:val="none"/>
                <w:u w:val="none"/>
                <w:lang w:val="en-US" w:eastAsia="zh-CN" w:bidi="ar"/>
              </w:rPr>
              <w:t>年1月至</w:t>
            </w:r>
            <w:r>
              <w:rPr>
                <w:rFonts w:hint="eastAsia" w:ascii="宋体" w:hAnsi="宋体" w:cs="宋体"/>
                <w:b/>
                <w:bCs/>
                <w:i w:val="0"/>
                <w:iCs w:val="0"/>
                <w:color w:val="auto"/>
                <w:kern w:val="0"/>
                <w:sz w:val="24"/>
                <w:szCs w:val="24"/>
                <w:highlight w:val="none"/>
                <w:u w:val="none"/>
                <w:lang w:val="en-US" w:eastAsia="zh-CN" w:bidi="ar"/>
              </w:rPr>
              <w:t>投标</w:t>
            </w:r>
            <w:r>
              <w:rPr>
                <w:rFonts w:hint="eastAsia" w:ascii="宋体" w:hAnsi="宋体" w:eastAsia="宋体" w:cs="宋体"/>
                <w:b/>
                <w:bCs/>
                <w:i w:val="0"/>
                <w:iCs w:val="0"/>
                <w:color w:val="auto"/>
                <w:kern w:val="0"/>
                <w:sz w:val="24"/>
                <w:szCs w:val="24"/>
                <w:highlight w:val="none"/>
                <w:u w:val="none"/>
                <w:lang w:val="en-US" w:eastAsia="zh-CN" w:bidi="ar"/>
              </w:rPr>
              <w:t>文件递交截止时间</w:t>
            </w:r>
            <w:r>
              <w:rPr>
                <w:rFonts w:hint="eastAsia" w:ascii="宋体" w:hAnsi="宋体" w:cs="宋体"/>
                <w:b/>
                <w:bCs/>
                <w:i w:val="0"/>
                <w:iCs w:val="0"/>
                <w:color w:val="auto"/>
                <w:kern w:val="0"/>
                <w:sz w:val="24"/>
                <w:szCs w:val="24"/>
                <w:highlight w:val="none"/>
                <w:u w:val="none"/>
                <w:lang w:val="en-US" w:eastAsia="zh-CN" w:bidi="ar"/>
              </w:rPr>
              <w:t>前</w:t>
            </w:r>
            <w:r>
              <w:rPr>
                <w:rFonts w:hint="eastAsia" w:ascii="宋体" w:hAnsi="宋体" w:eastAsia="宋体" w:cs="宋体"/>
                <w:b/>
                <w:bCs/>
                <w:i w:val="0"/>
                <w:iCs w:val="0"/>
                <w:color w:val="auto"/>
                <w:kern w:val="0"/>
                <w:sz w:val="24"/>
                <w:szCs w:val="24"/>
                <w:highlight w:val="none"/>
                <w:u w:val="none"/>
                <w:lang w:val="en-US" w:eastAsia="zh-CN" w:bidi="ar"/>
              </w:rPr>
              <w:t>任意一个月），加盖</w:t>
            </w:r>
            <w:r>
              <w:rPr>
                <w:rFonts w:hint="eastAsia" w:ascii="宋体" w:hAnsi="宋体" w:cs="宋体"/>
                <w:b/>
                <w:bCs/>
                <w:i w:val="0"/>
                <w:iCs w:val="0"/>
                <w:color w:val="auto"/>
                <w:kern w:val="0"/>
                <w:sz w:val="24"/>
                <w:szCs w:val="24"/>
                <w:highlight w:val="none"/>
                <w:u w:val="none"/>
                <w:lang w:val="en-US" w:eastAsia="zh-CN" w:bidi="ar"/>
              </w:rPr>
              <w:t>投标人</w:t>
            </w:r>
            <w:r>
              <w:rPr>
                <w:rFonts w:hint="eastAsia" w:ascii="宋体" w:hAnsi="宋体" w:eastAsia="宋体" w:cs="宋体"/>
                <w:b/>
                <w:bCs/>
                <w:i w:val="0"/>
                <w:iCs w:val="0"/>
                <w:color w:val="auto"/>
                <w:kern w:val="0"/>
                <w:sz w:val="24"/>
                <w:szCs w:val="24"/>
                <w:highlight w:val="none"/>
                <w:u w:val="none"/>
                <w:lang w:val="en-US" w:eastAsia="zh-CN" w:bidi="ar"/>
              </w:rPr>
              <w:t>公章，否则不予计分。</w:t>
            </w:r>
          </w:p>
        </w:tc>
        <w:tc>
          <w:tcPr>
            <w:tcW w:w="1140" w:type="dxa"/>
            <w:vAlign w:val="center"/>
          </w:tcPr>
          <w:p w14:paraId="26ABEF9A">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0~5分</w:t>
            </w:r>
          </w:p>
        </w:tc>
        <w:tc>
          <w:tcPr>
            <w:tcW w:w="766" w:type="dxa"/>
            <w:vAlign w:val="center"/>
          </w:tcPr>
          <w:p w14:paraId="574033B2">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客观分</w:t>
            </w:r>
          </w:p>
        </w:tc>
      </w:tr>
      <w:tr w14:paraId="7C21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3B06292">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w:t>
            </w:r>
          </w:p>
        </w:tc>
        <w:tc>
          <w:tcPr>
            <w:tcW w:w="1125" w:type="dxa"/>
            <w:vAlign w:val="center"/>
          </w:tcPr>
          <w:p w14:paraId="78BFBE6B">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业绩分</w:t>
            </w:r>
            <w:r>
              <w:rPr>
                <w:rFonts w:hint="default" w:ascii="宋体" w:hAnsi="宋体" w:cs="宋体"/>
                <w:color w:val="auto"/>
                <w:sz w:val="24"/>
                <w:szCs w:val="24"/>
                <w:highlight w:val="none"/>
                <w:lang w:val="en-US" w:eastAsia="zh-CN"/>
              </w:rPr>
              <w:t>（满分</w:t>
            </w:r>
            <w:r>
              <w:rPr>
                <w:rFonts w:hint="eastAsia" w:ascii="宋体" w:hAnsi="宋体" w:cs="宋体"/>
                <w:color w:val="auto"/>
                <w:sz w:val="24"/>
                <w:szCs w:val="24"/>
                <w:highlight w:val="none"/>
                <w:lang w:val="en-US" w:eastAsia="zh-CN"/>
              </w:rPr>
              <w:t>5</w:t>
            </w:r>
            <w:r>
              <w:rPr>
                <w:rFonts w:hint="default" w:ascii="宋体" w:hAnsi="宋体" w:cs="宋体"/>
                <w:color w:val="auto"/>
                <w:sz w:val="24"/>
                <w:szCs w:val="24"/>
                <w:highlight w:val="none"/>
                <w:lang w:val="en-US" w:eastAsia="zh-CN"/>
              </w:rPr>
              <w:t>分）</w:t>
            </w:r>
          </w:p>
        </w:tc>
        <w:tc>
          <w:tcPr>
            <w:tcW w:w="5680" w:type="dxa"/>
            <w:vAlign w:val="center"/>
          </w:tcPr>
          <w:p w14:paraId="229F2120">
            <w:pPr>
              <w:keepNext w:val="0"/>
              <w:keepLines w:val="0"/>
              <w:pageBreakBefore w:val="0"/>
              <w:widowControl/>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宋体" w:hAnsi="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2021年1月1日以来至投标文件递交截止日期止，投标人软件集成服务类项目的业绩，每提供一份证明材料得1分，满分5分。</w:t>
            </w:r>
          </w:p>
          <w:p w14:paraId="42562D57">
            <w:pPr>
              <w:keepNext w:val="0"/>
              <w:keepLines w:val="0"/>
              <w:pageBreakBefore w:val="0"/>
              <w:widowControl w:val="0"/>
              <w:kinsoku/>
              <w:wordWrap/>
              <w:overflowPunct/>
              <w:topLinePunct w:val="0"/>
              <w:bidi w:val="0"/>
              <w:adjustRightInd w:val="0"/>
              <w:snapToGrid w:val="0"/>
              <w:spacing w:line="440" w:lineRule="exact"/>
              <w:ind w:firstLine="482"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eastAsia="zh-CN" w:bidi="ar"/>
              </w:rPr>
              <w:t>注：业绩证明</w:t>
            </w:r>
            <w:r>
              <w:rPr>
                <w:rFonts w:hint="eastAsia" w:ascii="宋体" w:hAnsi="宋体" w:cs="宋体"/>
                <w:b/>
                <w:bCs/>
                <w:color w:val="auto"/>
                <w:sz w:val="24"/>
                <w:szCs w:val="24"/>
                <w:highlight w:val="none"/>
                <w:lang w:val="en-US" w:eastAsia="zh-CN" w:bidi="ar"/>
              </w:rPr>
              <w:t>材料可以是</w:t>
            </w:r>
            <w:r>
              <w:rPr>
                <w:rFonts w:hint="eastAsia" w:ascii="宋体" w:hAnsi="宋体" w:cs="宋体"/>
                <w:b/>
                <w:bCs/>
                <w:color w:val="auto"/>
                <w:sz w:val="24"/>
                <w:szCs w:val="24"/>
                <w:highlight w:val="none"/>
                <w:lang w:eastAsia="zh-CN" w:bidi="ar"/>
              </w:rPr>
              <w:t>中标通知书或合同复印件，</w:t>
            </w:r>
            <w:r>
              <w:rPr>
                <w:rFonts w:hint="eastAsia" w:ascii="宋体" w:hAnsi="宋体" w:cs="宋体"/>
                <w:b/>
                <w:bCs/>
                <w:color w:val="auto"/>
                <w:sz w:val="24"/>
                <w:szCs w:val="24"/>
                <w:highlight w:val="none"/>
                <w:lang w:val="en-US" w:eastAsia="zh-CN" w:bidi="ar"/>
              </w:rPr>
              <w:t>并加盖投标人公章</w:t>
            </w:r>
            <w:r>
              <w:rPr>
                <w:rFonts w:hint="eastAsia" w:ascii="宋体" w:hAnsi="宋体" w:cs="宋体"/>
                <w:b/>
                <w:bCs/>
                <w:color w:val="auto"/>
                <w:sz w:val="24"/>
                <w:szCs w:val="24"/>
                <w:highlight w:val="none"/>
                <w:lang w:eastAsia="zh-CN" w:bidi="ar"/>
              </w:rPr>
              <w:t>，合同需包含首页、内容页、签章页，否则不予</w:t>
            </w:r>
            <w:r>
              <w:rPr>
                <w:rFonts w:hint="eastAsia" w:ascii="宋体" w:hAnsi="宋体" w:cs="宋体"/>
                <w:b/>
                <w:bCs/>
                <w:color w:val="auto"/>
                <w:sz w:val="24"/>
                <w:szCs w:val="24"/>
                <w:highlight w:val="none"/>
                <w:lang w:val="en-US" w:eastAsia="zh-CN" w:bidi="ar"/>
              </w:rPr>
              <w:t>计分</w:t>
            </w:r>
            <w:r>
              <w:rPr>
                <w:rFonts w:hint="eastAsia" w:ascii="宋体" w:hAnsi="宋体" w:cs="宋体"/>
                <w:b/>
                <w:bCs/>
                <w:color w:val="auto"/>
                <w:sz w:val="24"/>
                <w:szCs w:val="24"/>
                <w:highlight w:val="none"/>
                <w:lang w:eastAsia="zh-CN" w:bidi="ar"/>
              </w:rPr>
              <w:t>。</w:t>
            </w:r>
          </w:p>
        </w:tc>
        <w:tc>
          <w:tcPr>
            <w:tcW w:w="1140" w:type="dxa"/>
            <w:vAlign w:val="center"/>
          </w:tcPr>
          <w:p w14:paraId="113D003F">
            <w:pPr>
              <w:keepNext w:val="0"/>
              <w:keepLines w:val="0"/>
              <w:pageBreakBefore w:val="0"/>
              <w:widowControl w:val="0"/>
              <w:kinsoku/>
              <w:wordWrap/>
              <w:overflowPunct/>
              <w:topLinePunct w:val="0"/>
              <w:bidi w:val="0"/>
              <w:adjustRightInd w:val="0"/>
              <w:snapToGrid w:val="0"/>
              <w:spacing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0~5分</w:t>
            </w:r>
          </w:p>
        </w:tc>
        <w:tc>
          <w:tcPr>
            <w:tcW w:w="766" w:type="dxa"/>
            <w:vAlign w:val="center"/>
          </w:tcPr>
          <w:p w14:paraId="3E9B8F39">
            <w:pPr>
              <w:keepNext w:val="0"/>
              <w:keepLines w:val="0"/>
              <w:pageBreakBefore w:val="0"/>
              <w:widowControl w:val="0"/>
              <w:kinsoku/>
              <w:wordWrap/>
              <w:overflowPunct/>
              <w:topLinePunct w:val="0"/>
              <w:bidi w:val="0"/>
              <w:adjustRightInd w:val="0"/>
              <w:snapToGrid w:val="0"/>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客观分</w:t>
            </w:r>
          </w:p>
        </w:tc>
      </w:tr>
    </w:tbl>
    <w:p w14:paraId="503DA215">
      <w:pPr>
        <w:snapToGrid w:val="0"/>
        <w:spacing w:line="360" w:lineRule="auto"/>
        <w:rPr>
          <w:rFonts w:hint="eastAsia" w:ascii="宋体" w:hAnsi="宋体" w:cs="宋体"/>
          <w:color w:val="auto"/>
          <w:sz w:val="24"/>
          <w:highlight w:val="none"/>
        </w:rPr>
      </w:pPr>
    </w:p>
    <w:p w14:paraId="26A55C6D">
      <w:pPr>
        <w:snapToGrid w:val="0"/>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rPr>
        <w:t>一、评标方法</w:t>
      </w:r>
    </w:p>
    <w:p w14:paraId="7A58D260">
      <w:pPr>
        <w:adjustRightInd/>
        <w:spacing w:line="360" w:lineRule="auto"/>
        <w:ind w:firstLine="480" w:firstLineChars="200"/>
        <w:outlineLvl w:val="1"/>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本项目采用的评标方法为综合评分法。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6707840A">
      <w:pPr>
        <w:adjustRightInd/>
        <w:spacing w:line="360" w:lineRule="auto"/>
        <w:ind w:firstLine="562" w:firstLineChars="200"/>
        <w:outlineLvl w:val="1"/>
        <w:rPr>
          <w:rFonts w:ascii="宋体" w:hAnsi="宋体" w:cs="宋体"/>
          <w:color w:val="auto"/>
          <w:kern w:val="0"/>
          <w:sz w:val="28"/>
          <w:szCs w:val="28"/>
          <w:highlight w:val="none"/>
        </w:rPr>
      </w:pPr>
      <w:r>
        <w:rPr>
          <w:rFonts w:hint="eastAsia" w:ascii="宋体" w:hAnsi="宋体" w:cs="宋体"/>
          <w:b/>
          <w:color w:val="auto"/>
          <w:sz w:val="28"/>
          <w:szCs w:val="28"/>
          <w:highlight w:val="none"/>
        </w:rPr>
        <w:t>二、评标标准</w:t>
      </w:r>
    </w:p>
    <w:p w14:paraId="56BFE12F">
      <w:pPr>
        <w:spacing w:line="360" w:lineRule="auto"/>
        <w:ind w:firstLine="470" w:firstLineChars="196"/>
        <w:rPr>
          <w:rFonts w:ascii="宋体" w:hAnsi="宋体" w:cs="宋体"/>
          <w:b/>
          <w:color w:val="auto"/>
          <w:sz w:val="24"/>
          <w:highlight w:val="none"/>
        </w:rPr>
      </w:pP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w:t>
      </w:r>
    </w:p>
    <w:p w14:paraId="113D4CD6">
      <w:pPr>
        <w:spacing w:line="360" w:lineRule="auto"/>
        <w:ind w:firstLine="562" w:firstLineChars="200"/>
        <w:outlineLvl w:val="1"/>
        <w:rPr>
          <w:rFonts w:ascii="宋体" w:hAnsi="宋体" w:cs="宋体"/>
          <w:b/>
          <w:color w:val="auto"/>
          <w:sz w:val="28"/>
          <w:szCs w:val="28"/>
          <w:highlight w:val="none"/>
        </w:rPr>
      </w:pPr>
      <w:r>
        <w:rPr>
          <w:rFonts w:hint="eastAsia" w:ascii="宋体" w:hAnsi="宋体" w:cs="宋体"/>
          <w:b/>
          <w:color w:val="auto"/>
          <w:sz w:val="28"/>
          <w:szCs w:val="28"/>
          <w:highlight w:val="none"/>
        </w:rPr>
        <w:t>三、评标程序</w:t>
      </w:r>
    </w:p>
    <w:p w14:paraId="7F5C8D8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w:t>
      </w:r>
      <w:r>
        <w:rPr>
          <w:rFonts w:hint="eastAsia" w:ascii="宋体" w:hAnsi="宋体" w:cs="宋体"/>
          <w:color w:val="auto"/>
          <w:kern w:val="0"/>
          <w:sz w:val="24"/>
          <w:highlight w:val="none"/>
          <w:lang w:val="en-US" w:eastAsia="zh-CN"/>
        </w:rPr>
        <w:t>通过</w:t>
      </w:r>
      <w:r>
        <w:rPr>
          <w:rFonts w:hint="eastAsia" w:ascii="宋体" w:hAnsi="宋体" w:cs="宋体"/>
          <w:color w:val="auto"/>
          <w:kern w:val="0"/>
          <w:sz w:val="24"/>
          <w:highlight w:val="none"/>
        </w:rPr>
        <w:t>资格</w:t>
      </w:r>
      <w:r>
        <w:rPr>
          <w:rFonts w:hint="eastAsia" w:ascii="宋体" w:hAnsi="宋体" w:cs="宋体"/>
          <w:color w:val="auto"/>
          <w:kern w:val="0"/>
          <w:sz w:val="24"/>
          <w:highlight w:val="none"/>
          <w:lang w:val="en-US" w:eastAsia="zh-CN"/>
        </w:rPr>
        <w:t>审查</w:t>
      </w:r>
      <w:r>
        <w:rPr>
          <w:rFonts w:hint="eastAsia" w:ascii="宋体" w:hAnsi="宋体" w:cs="宋体"/>
          <w:color w:val="auto"/>
          <w:kern w:val="0"/>
          <w:sz w:val="24"/>
          <w:highlight w:val="none"/>
        </w:rPr>
        <w:t>的投标人的投标文件进行符合性审查，以确定其是否满足招标文件的实质性要求。不满足招标文件的实质性要求的，投标无效。</w:t>
      </w:r>
    </w:p>
    <w:p w14:paraId="18209FAB">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53C4FA0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14:paraId="193D7E7A">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6EFAB17F">
      <w:pPr>
        <w:pStyle w:val="131"/>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51F220E7">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1AFD623F">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654B8695">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608A789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267D089B">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5065AFB2">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3929ABC3">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7BBE48FE">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27FCFEF1">
      <w:pPr>
        <w:pStyle w:val="131"/>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443ED81E">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3.5排序与推荐。</w:t>
      </w:r>
    </w:p>
    <w:p w14:paraId="25928FA9">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33B04D6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310AC24">
      <w:pPr>
        <w:widowControl/>
        <w:shd w:val="clear" w:color="auto" w:fill="FFFFFF"/>
        <w:adjustRightInd/>
        <w:spacing w:after="225" w:line="315" w:lineRule="atLeast"/>
        <w:ind w:firstLine="562" w:firstLineChars="200"/>
        <w:jc w:val="left"/>
        <w:outlineLvl w:val="1"/>
        <w:rPr>
          <w:rFonts w:ascii="宋体" w:hAnsi="宋体" w:cs="宋体"/>
          <w:b/>
          <w:color w:val="auto"/>
          <w:sz w:val="28"/>
          <w:szCs w:val="28"/>
          <w:highlight w:val="none"/>
        </w:rPr>
      </w:pPr>
      <w:r>
        <w:rPr>
          <w:rFonts w:hint="eastAsia" w:ascii="宋体" w:hAnsi="宋体" w:cs="宋体"/>
          <w:b/>
          <w:color w:val="auto"/>
          <w:sz w:val="28"/>
          <w:szCs w:val="28"/>
          <w:highlight w:val="none"/>
        </w:rPr>
        <w:t>四、评标中的其他事项</w:t>
      </w:r>
    </w:p>
    <w:p w14:paraId="35DA0B00">
      <w:pPr>
        <w:pStyle w:val="131"/>
        <w:spacing w:before="0"/>
        <w:ind w:left="0" w:leftChars="0" w:firstLine="482" w:firstLineChars="200"/>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D8FE7C7">
      <w:pPr>
        <w:pStyle w:val="26"/>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8F77C1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0B2DE3B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319FEB1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拟采购的产品属于政府强制采购的节能产品品目清单范围的，投标人相应的投标产品未获得国家确定的认证机构出具的、处于有效期之内的节能产品认证证书的；</w:t>
      </w:r>
    </w:p>
    <w:p w14:paraId="06BB8C3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不能接受的附加条件的；</w:t>
      </w:r>
    </w:p>
    <w:p w14:paraId="5E0E3C0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0EAF3464">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2F8A2D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79BDF9B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4.2.8报价明显低于其他通过符合性审查投标人的报价，有可能影响产品质量或者不能诚信履约的，未能按要求提供书面说明或者提交相关证明材料，不能证明其报价合理性的;</w:t>
      </w:r>
    </w:p>
    <w:p w14:paraId="337BA77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4.2.9投标人对根据修正原则修正后的报价不确认的；</w:t>
      </w:r>
    </w:p>
    <w:p w14:paraId="26A5D2E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4.2.10投标人提供虚假材料投标的；</w:t>
      </w:r>
    </w:p>
    <w:p w14:paraId="7B961A3A">
      <w:pPr>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 xml:space="preserve">  4.2.11投标人有恶意串通、妨碍其他投标人的竞争行为、损害</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或者其他投标人的合法权益情形的；</w:t>
      </w:r>
    </w:p>
    <w:p w14:paraId="50AEDC0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4.2.12投标人仅提交备份投标文件，未在电子交易平台传输递交投标文件的，投标无效；</w:t>
      </w:r>
    </w:p>
    <w:p w14:paraId="297613E4">
      <w:pPr>
        <w:pStyle w:val="85"/>
        <w:rPr>
          <w:b/>
          <w:bCs/>
          <w:color w:val="auto"/>
          <w:highlight w:val="none"/>
        </w:rPr>
      </w:pPr>
      <w:r>
        <w:rPr>
          <w:rFonts w:hint="eastAsia"/>
          <w:color w:val="auto"/>
          <w:highlight w:val="none"/>
        </w:rPr>
        <w:t>4.2.13 投标文件不满足招标文件的其它实质性要求的；</w:t>
      </w:r>
    </w:p>
    <w:p w14:paraId="28C48E8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02DA25B5">
      <w:pPr>
        <w:pStyle w:val="26"/>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28C67664">
      <w:pPr>
        <w:pStyle w:val="26"/>
        <w:snapToGrid w:val="0"/>
        <w:spacing w:line="360" w:lineRule="auto"/>
        <w:rPr>
          <w:rFonts w:cs="宋体"/>
          <w:color w:val="auto"/>
          <w:highlight w:val="none"/>
        </w:rPr>
      </w:pPr>
      <w:r>
        <w:rPr>
          <w:rFonts w:hint="eastAsia" w:cs="宋体"/>
          <w:color w:val="auto"/>
          <w:highlight w:val="none"/>
        </w:rPr>
        <w:t>5.1符合专业条件的</w:t>
      </w:r>
      <w:r>
        <w:rPr>
          <w:rFonts w:hint="eastAsia" w:cs="宋体"/>
          <w:color w:val="auto"/>
          <w:highlight w:val="none"/>
          <w:lang w:eastAsia="zh-CN"/>
        </w:rPr>
        <w:t>投标人</w:t>
      </w:r>
      <w:r>
        <w:rPr>
          <w:rFonts w:hint="eastAsia" w:cs="宋体"/>
          <w:color w:val="auto"/>
          <w:highlight w:val="none"/>
        </w:rPr>
        <w:t>或者对招标文件作实质响应的</w:t>
      </w:r>
      <w:r>
        <w:rPr>
          <w:rFonts w:hint="eastAsia" w:cs="宋体"/>
          <w:color w:val="auto"/>
          <w:highlight w:val="none"/>
          <w:lang w:eastAsia="zh-CN"/>
        </w:rPr>
        <w:t>投标人</w:t>
      </w:r>
      <w:r>
        <w:rPr>
          <w:rFonts w:hint="eastAsia" w:cs="宋体"/>
          <w:color w:val="auto"/>
          <w:highlight w:val="none"/>
        </w:rPr>
        <w:t>不足3家的；</w:t>
      </w:r>
    </w:p>
    <w:p w14:paraId="5E07243A">
      <w:pPr>
        <w:pStyle w:val="26"/>
        <w:snapToGrid w:val="0"/>
        <w:spacing w:line="360" w:lineRule="auto"/>
        <w:rPr>
          <w:rFonts w:cs="宋体"/>
          <w:color w:val="auto"/>
          <w:highlight w:val="none"/>
        </w:rPr>
      </w:pPr>
      <w:r>
        <w:rPr>
          <w:rFonts w:hint="eastAsia" w:cs="宋体"/>
          <w:color w:val="auto"/>
          <w:highlight w:val="none"/>
        </w:rPr>
        <w:t>5.2出现影响采购公正的违法、违规行为的；</w:t>
      </w:r>
    </w:p>
    <w:p w14:paraId="361F3E9F">
      <w:pPr>
        <w:pStyle w:val="26"/>
        <w:snapToGrid w:val="0"/>
        <w:spacing w:line="360" w:lineRule="auto"/>
        <w:rPr>
          <w:rFonts w:cs="宋体"/>
          <w:color w:val="auto"/>
          <w:highlight w:val="none"/>
        </w:rPr>
      </w:pPr>
      <w:r>
        <w:rPr>
          <w:rFonts w:hint="eastAsia" w:cs="宋体"/>
          <w:color w:val="auto"/>
          <w:highlight w:val="none"/>
        </w:rPr>
        <w:t>5.3投标人的报价均超过了采购预算，</w:t>
      </w:r>
      <w:r>
        <w:rPr>
          <w:rFonts w:hint="eastAsia" w:cs="宋体"/>
          <w:color w:val="auto"/>
          <w:highlight w:val="none"/>
          <w:lang w:eastAsia="zh-CN"/>
        </w:rPr>
        <w:t>招标人</w:t>
      </w:r>
      <w:r>
        <w:rPr>
          <w:rFonts w:hint="eastAsia" w:cs="宋体"/>
          <w:color w:val="auto"/>
          <w:highlight w:val="none"/>
        </w:rPr>
        <w:t>不能支付的；</w:t>
      </w:r>
    </w:p>
    <w:p w14:paraId="72CB5631">
      <w:pPr>
        <w:pStyle w:val="26"/>
        <w:snapToGrid w:val="0"/>
        <w:spacing w:line="360" w:lineRule="auto"/>
        <w:rPr>
          <w:rFonts w:cs="宋体"/>
          <w:color w:val="auto"/>
          <w:highlight w:val="none"/>
        </w:rPr>
      </w:pPr>
      <w:r>
        <w:rPr>
          <w:rFonts w:hint="eastAsia" w:cs="宋体"/>
          <w:color w:val="auto"/>
          <w:highlight w:val="none"/>
        </w:rPr>
        <w:t>5.4因重大变故，采购任务取消的。</w:t>
      </w:r>
    </w:p>
    <w:p w14:paraId="62E846EF">
      <w:pPr>
        <w:pStyle w:val="26"/>
        <w:snapToGrid w:val="0"/>
        <w:spacing w:line="360" w:lineRule="auto"/>
        <w:rPr>
          <w:rFonts w:cs="宋体"/>
          <w:color w:val="auto"/>
          <w:highlight w:val="none"/>
        </w:rPr>
      </w:pPr>
      <w:r>
        <w:rPr>
          <w:rFonts w:hint="eastAsia" w:cs="宋体"/>
          <w:color w:val="auto"/>
          <w:highlight w:val="none"/>
        </w:rPr>
        <w:t>废标后，采购代理机构应当将废标理由通知所有投标人。</w:t>
      </w:r>
    </w:p>
    <w:p w14:paraId="33B36249">
      <w:pPr>
        <w:pStyle w:val="26"/>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w:t>
      </w:r>
      <w:r>
        <w:rPr>
          <w:rFonts w:hint="eastAsia" w:cs="宋体"/>
          <w:color w:val="auto"/>
          <w:highlight w:val="none"/>
          <w:lang w:eastAsia="zh-CN"/>
        </w:rPr>
        <w:t>招标人</w:t>
      </w:r>
      <w:r>
        <w:rPr>
          <w:rFonts w:hint="eastAsia" w:cs="宋体"/>
          <w:color w:val="auto"/>
          <w:highlight w:val="none"/>
        </w:rPr>
        <w:t>、采购代理机构沟通并作书面记录。</w:t>
      </w:r>
      <w:r>
        <w:rPr>
          <w:rFonts w:hint="eastAsia" w:cs="宋体"/>
          <w:color w:val="auto"/>
          <w:highlight w:val="none"/>
          <w:lang w:eastAsia="zh-CN"/>
        </w:rPr>
        <w:t>招标人</w:t>
      </w:r>
      <w:r>
        <w:rPr>
          <w:rFonts w:hint="eastAsia" w:cs="宋体"/>
          <w:color w:val="auto"/>
          <w:highlight w:val="none"/>
        </w:rPr>
        <w:t>、采购代理机构确认后，将修改招标文件，重新组织采购活动。</w:t>
      </w:r>
    </w:p>
    <w:p w14:paraId="6B850A33">
      <w:pPr>
        <w:pStyle w:val="26"/>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64DF0A79">
      <w:pPr>
        <w:pStyle w:val="26"/>
        <w:snapToGrid w:val="0"/>
        <w:spacing w:line="360" w:lineRule="auto"/>
        <w:rPr>
          <w:rFonts w:cs="宋体"/>
          <w:color w:val="auto"/>
          <w:highlight w:val="none"/>
        </w:rPr>
      </w:pPr>
      <w:r>
        <w:rPr>
          <w:rFonts w:hint="eastAsia" w:cs="宋体"/>
          <w:color w:val="auto"/>
          <w:highlight w:val="none"/>
        </w:rPr>
        <w:t>7.1未确定</w:t>
      </w:r>
      <w:r>
        <w:rPr>
          <w:rFonts w:hint="eastAsia" w:cs="宋体"/>
          <w:color w:val="auto"/>
          <w:highlight w:val="none"/>
          <w:lang w:eastAsia="zh-CN"/>
        </w:rPr>
        <w:t>中标人</w:t>
      </w:r>
      <w:r>
        <w:rPr>
          <w:rFonts w:hint="eastAsia" w:cs="宋体"/>
          <w:color w:val="auto"/>
          <w:highlight w:val="none"/>
        </w:rPr>
        <w:t>的，终止本次政府采购活动，重新开展政府采购活动。</w:t>
      </w:r>
    </w:p>
    <w:p w14:paraId="45AB267B">
      <w:pPr>
        <w:pStyle w:val="26"/>
        <w:snapToGrid w:val="0"/>
        <w:spacing w:line="360" w:lineRule="auto"/>
        <w:rPr>
          <w:rFonts w:cs="宋体"/>
          <w:color w:val="auto"/>
          <w:highlight w:val="none"/>
        </w:rPr>
      </w:pPr>
      <w:r>
        <w:rPr>
          <w:rFonts w:hint="eastAsia" w:cs="宋体"/>
          <w:color w:val="auto"/>
          <w:highlight w:val="none"/>
        </w:rPr>
        <w:t>7.2已确定</w:t>
      </w:r>
      <w:r>
        <w:rPr>
          <w:rFonts w:hint="eastAsia" w:cs="宋体"/>
          <w:color w:val="auto"/>
          <w:highlight w:val="none"/>
          <w:lang w:eastAsia="zh-CN"/>
        </w:rPr>
        <w:t>中标人</w:t>
      </w:r>
      <w:r>
        <w:rPr>
          <w:rFonts w:hint="eastAsia" w:cs="宋体"/>
          <w:color w:val="auto"/>
          <w:highlight w:val="none"/>
        </w:rPr>
        <w:t>但尚未签订政府采购合同的，中标结果无效，从合格的中标候选人中另行确定</w:t>
      </w:r>
      <w:r>
        <w:rPr>
          <w:rFonts w:hint="eastAsia" w:cs="宋体"/>
          <w:color w:val="auto"/>
          <w:highlight w:val="none"/>
          <w:lang w:eastAsia="zh-CN"/>
        </w:rPr>
        <w:t>中标人</w:t>
      </w:r>
      <w:r>
        <w:rPr>
          <w:rFonts w:hint="eastAsia" w:cs="宋体"/>
          <w:color w:val="auto"/>
          <w:highlight w:val="none"/>
        </w:rPr>
        <w:t>；没有合格的中标候选人的，重新开展政府采购活动。</w:t>
      </w:r>
    </w:p>
    <w:p w14:paraId="7BB6E72E">
      <w:pPr>
        <w:pStyle w:val="26"/>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w:t>
      </w:r>
      <w:r>
        <w:rPr>
          <w:rFonts w:hint="eastAsia" w:cs="宋体"/>
          <w:color w:val="auto"/>
          <w:highlight w:val="none"/>
          <w:lang w:eastAsia="zh-CN"/>
        </w:rPr>
        <w:t>中标人</w:t>
      </w:r>
      <w:r>
        <w:rPr>
          <w:rFonts w:hint="eastAsia" w:cs="宋体"/>
          <w:color w:val="auto"/>
          <w:highlight w:val="none"/>
        </w:rPr>
        <w:t>；没有合格的中标候选人的，重新开展政府采购活动。</w:t>
      </w:r>
    </w:p>
    <w:p w14:paraId="07173DD1">
      <w:pPr>
        <w:pStyle w:val="26"/>
        <w:snapToGrid w:val="0"/>
        <w:spacing w:line="360" w:lineRule="auto"/>
        <w:rPr>
          <w:rFonts w:cs="宋体"/>
          <w:color w:val="auto"/>
          <w:highlight w:val="none"/>
        </w:rPr>
      </w:pPr>
      <w:r>
        <w:rPr>
          <w:rFonts w:hint="eastAsia" w:cs="宋体"/>
          <w:color w:val="auto"/>
          <w:highlight w:val="none"/>
        </w:rPr>
        <w:t>7.4政府采购合同已经履行，给</w:t>
      </w:r>
      <w:r>
        <w:rPr>
          <w:rFonts w:hint="eastAsia" w:cs="宋体"/>
          <w:color w:val="auto"/>
          <w:highlight w:val="none"/>
          <w:lang w:eastAsia="zh-CN"/>
        </w:rPr>
        <w:t>招标人</w:t>
      </w:r>
      <w:r>
        <w:rPr>
          <w:rFonts w:hint="eastAsia" w:cs="宋体"/>
          <w:color w:val="auto"/>
          <w:highlight w:val="none"/>
        </w:rPr>
        <w:t>、</w:t>
      </w:r>
      <w:r>
        <w:rPr>
          <w:rFonts w:hint="eastAsia" w:cs="宋体"/>
          <w:color w:val="auto"/>
          <w:highlight w:val="none"/>
          <w:lang w:eastAsia="zh-CN"/>
        </w:rPr>
        <w:t>投标人</w:t>
      </w:r>
      <w:r>
        <w:rPr>
          <w:rFonts w:hint="eastAsia" w:cs="宋体"/>
          <w:color w:val="auto"/>
          <w:highlight w:val="none"/>
        </w:rPr>
        <w:t>造成损失的，由责任人承担赔偿责任。</w:t>
      </w:r>
    </w:p>
    <w:p w14:paraId="36F53754">
      <w:pPr>
        <w:pStyle w:val="26"/>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1312A6B5">
      <w:pPr>
        <w:pStyle w:val="85"/>
        <w:ind w:firstLine="562" w:firstLineChars="200"/>
        <w:rPr>
          <w:b/>
          <w:color w:val="auto"/>
          <w:sz w:val="28"/>
          <w:szCs w:val="28"/>
          <w:highlight w:val="none"/>
        </w:rPr>
      </w:pPr>
      <w:r>
        <w:rPr>
          <w:rFonts w:hint="eastAsia"/>
          <w:b/>
          <w:color w:val="auto"/>
          <w:sz w:val="28"/>
          <w:szCs w:val="28"/>
          <w:highlight w:val="none"/>
        </w:rPr>
        <w:t>五、评审过程的保密与录像</w:t>
      </w:r>
    </w:p>
    <w:p w14:paraId="70A8ADFB">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w:t>
      </w:r>
      <w:r>
        <w:rPr>
          <w:rFonts w:hint="eastAsia" w:cs="仿宋_GB2312" w:asciiTheme="minorEastAsia" w:hAnsiTheme="minorEastAsia" w:eastAsiaTheme="minorEastAsia"/>
          <w:color w:val="auto"/>
          <w:sz w:val="24"/>
          <w:highlight w:val="none"/>
          <w:lang w:eastAsia="zh-CN"/>
        </w:rPr>
        <w:t>中标人</w:t>
      </w:r>
      <w:r>
        <w:rPr>
          <w:rFonts w:hint="eastAsia" w:cs="仿宋_GB2312" w:asciiTheme="minorEastAsia" w:hAnsiTheme="minorEastAsia" w:eastAsiaTheme="minorEastAsia"/>
          <w:color w:val="auto"/>
          <w:sz w:val="24"/>
          <w:highlight w:val="none"/>
        </w:rPr>
        <w:t>推荐等评审有关的情况，以及涉及国家秘密和商业秘密等信息，评标委员会成员、</w:t>
      </w:r>
      <w:r>
        <w:rPr>
          <w:rFonts w:hint="eastAsia" w:cs="仿宋_GB2312" w:asciiTheme="minorEastAsia" w:hAnsiTheme="minorEastAsia" w:eastAsiaTheme="minorEastAsia"/>
          <w:color w:val="auto"/>
          <w:sz w:val="24"/>
          <w:highlight w:val="none"/>
          <w:lang w:eastAsia="zh-CN"/>
        </w:rPr>
        <w:t>招标人</w:t>
      </w:r>
      <w:r>
        <w:rPr>
          <w:rFonts w:hint="eastAsia" w:cs="仿宋_GB2312" w:asciiTheme="minorEastAsia" w:hAnsiTheme="minorEastAsia" w:eastAsiaTheme="minorEastAsia"/>
          <w:color w:val="auto"/>
          <w:sz w:val="24"/>
          <w:highlight w:val="none"/>
        </w:rPr>
        <w:t>和采购代理机构工作人员、相关监督人员等与评审有关的人员应当予以保密。</w:t>
      </w:r>
    </w:p>
    <w:p w14:paraId="4BCA2AC9">
      <w:pPr>
        <w:pStyle w:val="26"/>
        <w:snapToGrid w:val="0"/>
        <w:spacing w:line="360" w:lineRule="auto"/>
        <w:ind w:firstLine="482"/>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bookmarkEnd w:id="19"/>
    <w:p w14:paraId="5EE3854C">
      <w:pPr>
        <w:widowControl/>
        <w:adjustRightInd/>
        <w:jc w:val="left"/>
        <w:rPr>
          <w:rFonts w:ascii="宋体" w:hAnsi="宋体" w:cs="宋体"/>
          <w:b/>
          <w:color w:val="auto"/>
          <w:sz w:val="36"/>
          <w:szCs w:val="36"/>
          <w:highlight w:val="none"/>
        </w:rPr>
      </w:pPr>
      <w:bookmarkStart w:id="392" w:name="第五部分"/>
      <w:bookmarkStart w:id="393" w:name="_Toc86217003"/>
      <w:r>
        <w:rPr>
          <w:rFonts w:ascii="宋体" w:hAnsi="宋体" w:cs="宋体"/>
          <w:b/>
          <w:color w:val="auto"/>
          <w:sz w:val="36"/>
          <w:szCs w:val="36"/>
          <w:highlight w:val="none"/>
        </w:rPr>
        <w:br w:type="page"/>
      </w:r>
    </w:p>
    <w:p w14:paraId="46361B77">
      <w:pPr>
        <w:pStyle w:val="2"/>
        <w:bidi w:val="0"/>
        <w:jc w:val="center"/>
        <w:rPr>
          <w:color w:val="auto"/>
          <w:sz w:val="36"/>
          <w:szCs w:val="36"/>
          <w:highlight w:val="none"/>
        </w:rPr>
      </w:pPr>
      <w:bookmarkStart w:id="394" w:name="_Toc24967"/>
      <w:bookmarkStart w:id="395" w:name="_Toc176368906"/>
      <w:r>
        <w:rPr>
          <w:rFonts w:hint="eastAsia"/>
          <w:color w:val="auto"/>
          <w:sz w:val="36"/>
          <w:szCs w:val="36"/>
          <w:highlight w:val="none"/>
        </w:rPr>
        <w:t>第五部分 拟签订的合同文本</w:t>
      </w:r>
      <w:bookmarkEnd w:id="394"/>
      <w:bookmarkEnd w:id="395"/>
    </w:p>
    <w:p w14:paraId="6765808F">
      <w:pPr>
        <w:rPr>
          <w:rFonts w:hint="eastAsia" w:ascii="宋体" w:hAnsi="宋体" w:eastAsia="宋体" w:cs="宋体"/>
          <w:color w:val="auto"/>
          <w:highlight w:val="none"/>
        </w:rPr>
      </w:pPr>
      <w:bookmarkStart w:id="396" w:name="_Toc176368907"/>
    </w:p>
    <w:p w14:paraId="299B5B96">
      <w:pPr>
        <w:spacing w:line="480" w:lineRule="auto"/>
        <w:ind w:firstLine="482"/>
        <w:jc w:val="center"/>
        <w:rPr>
          <w:rFonts w:ascii="宋体" w:hAnsi="宋体" w:cs="宋体"/>
          <w:b/>
          <w:color w:val="auto"/>
          <w:sz w:val="24"/>
          <w:highlight w:val="none"/>
        </w:rPr>
      </w:pPr>
    </w:p>
    <w:p w14:paraId="6E02F1ED">
      <w:pPr>
        <w:pStyle w:val="85"/>
        <w:ind w:firstLine="480"/>
        <w:rPr>
          <w:color w:val="auto"/>
          <w:highlight w:val="none"/>
        </w:rPr>
      </w:pPr>
    </w:p>
    <w:p w14:paraId="693FA5D7">
      <w:pPr>
        <w:pStyle w:val="85"/>
        <w:ind w:firstLine="480"/>
        <w:rPr>
          <w:color w:val="auto"/>
          <w:highlight w:val="none"/>
        </w:rPr>
      </w:pPr>
    </w:p>
    <w:p w14:paraId="5434B47B">
      <w:pPr>
        <w:spacing w:line="480" w:lineRule="auto"/>
        <w:ind w:firstLine="1044"/>
        <w:jc w:val="center"/>
        <w:rPr>
          <w:rFonts w:ascii="宋体" w:hAnsi="宋体" w:cs="宋体"/>
          <w:b/>
          <w:color w:val="auto"/>
          <w:sz w:val="52"/>
          <w:szCs w:val="52"/>
          <w:highlight w:val="none"/>
        </w:rPr>
      </w:pPr>
      <w:bookmarkStart w:id="397" w:name="_Toc26893"/>
      <w:r>
        <w:rPr>
          <w:rFonts w:hint="eastAsia" w:ascii="宋体" w:hAnsi="宋体" w:cs="宋体"/>
          <w:b/>
          <w:color w:val="auto"/>
          <w:sz w:val="52"/>
          <w:szCs w:val="52"/>
          <w:highlight w:val="none"/>
        </w:rPr>
        <w:t>政府采购合同参考范本</w:t>
      </w:r>
    </w:p>
    <w:p w14:paraId="0FC6E151">
      <w:pPr>
        <w:spacing w:line="480" w:lineRule="auto"/>
        <w:ind w:firstLine="723"/>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30840172">
      <w:pPr>
        <w:pStyle w:val="701"/>
        <w:ind w:firstLine="2843" w:firstLineChars="1180"/>
        <w:rPr>
          <w:rFonts w:ascii="宋体" w:hAnsi="宋体" w:cs="宋体"/>
          <w:b/>
          <w:color w:val="auto"/>
          <w:szCs w:val="24"/>
          <w:highlight w:val="none"/>
        </w:rPr>
      </w:pPr>
    </w:p>
    <w:p w14:paraId="1FEEB47D">
      <w:pPr>
        <w:pStyle w:val="26"/>
        <w:spacing w:after="120"/>
        <w:rPr>
          <w:color w:val="auto"/>
          <w:highlight w:val="none"/>
        </w:rPr>
      </w:pPr>
    </w:p>
    <w:p w14:paraId="3D664CE6">
      <w:pPr>
        <w:pStyle w:val="26"/>
        <w:spacing w:after="120"/>
        <w:rPr>
          <w:color w:val="auto"/>
          <w:highlight w:val="none"/>
        </w:rPr>
      </w:pPr>
    </w:p>
    <w:p w14:paraId="0DE57359">
      <w:pPr>
        <w:spacing w:line="360" w:lineRule="auto"/>
        <w:rPr>
          <w:rFonts w:ascii="宋体" w:hAnsi="宋体" w:cs="宋体"/>
          <w:color w:val="auto"/>
          <w:kern w:val="0"/>
          <w:sz w:val="32"/>
          <w:szCs w:val="32"/>
          <w:highlight w:val="none"/>
        </w:rPr>
      </w:pPr>
    </w:p>
    <w:p w14:paraId="7C477EC1">
      <w:pPr>
        <w:spacing w:line="700" w:lineRule="exact"/>
        <w:ind w:left="1680" w:leftChars="800" w:firstLine="64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195EDE69">
      <w:pPr>
        <w:spacing w:line="700" w:lineRule="exact"/>
        <w:ind w:left="1680" w:leftChars="800" w:firstLine="64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6F6FC5A4">
      <w:pPr>
        <w:spacing w:line="700" w:lineRule="exact"/>
        <w:ind w:left="1680" w:leftChars="800" w:firstLine="64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1C4C70A3">
      <w:pPr>
        <w:spacing w:line="700" w:lineRule="exact"/>
        <w:ind w:left="1680" w:leftChars="800" w:firstLine="64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2421345C">
      <w:pPr>
        <w:spacing w:line="700" w:lineRule="exact"/>
        <w:ind w:left="1680" w:leftChars="800" w:firstLine="640"/>
        <w:rPr>
          <w:color w:val="auto"/>
          <w:sz w:val="32"/>
          <w:szCs w:val="32"/>
          <w:highlight w:val="none"/>
          <w:u w:val="single"/>
        </w:rPr>
      </w:pPr>
    </w:p>
    <w:p w14:paraId="4706A223">
      <w:pPr>
        <w:spacing w:line="700" w:lineRule="exact"/>
        <w:ind w:left="1680" w:leftChars="800" w:firstLine="640"/>
        <w:rPr>
          <w:rFonts w:hint="eastAsia"/>
          <w:color w:val="auto"/>
          <w:sz w:val="32"/>
          <w:szCs w:val="32"/>
          <w:highlight w:val="none"/>
          <w:u w:val="none"/>
          <w:lang w:val="en-US" w:eastAsia="zh-CN"/>
        </w:rPr>
      </w:pPr>
      <w:r>
        <w:rPr>
          <w:rFonts w:hint="eastAsia"/>
          <w:color w:val="auto"/>
          <w:sz w:val="32"/>
          <w:szCs w:val="32"/>
          <w:highlight w:val="none"/>
          <w:u w:val="none"/>
          <w:lang w:val="en-US" w:eastAsia="zh-CN"/>
        </w:rPr>
        <w:t>合同签订地点：</w:t>
      </w:r>
      <w:r>
        <w:rPr>
          <w:rFonts w:hint="eastAsia"/>
          <w:color w:val="auto"/>
          <w:sz w:val="32"/>
          <w:szCs w:val="32"/>
          <w:highlight w:val="none"/>
          <w:u w:val="single"/>
          <w:lang w:val="en-US" w:eastAsia="zh-CN"/>
        </w:rPr>
        <w:t xml:space="preserve">                         </w:t>
      </w:r>
    </w:p>
    <w:p w14:paraId="66F974EE">
      <w:pPr>
        <w:spacing w:line="700" w:lineRule="exact"/>
        <w:ind w:left="1680" w:leftChars="800" w:firstLine="640"/>
        <w:rPr>
          <w:rFonts w:hint="default"/>
          <w:color w:val="auto"/>
          <w:sz w:val="32"/>
          <w:szCs w:val="32"/>
          <w:highlight w:val="none"/>
          <w:u w:val="single"/>
          <w:lang w:val="en-US" w:eastAsia="zh-CN"/>
        </w:rPr>
      </w:pPr>
      <w:r>
        <w:rPr>
          <w:rFonts w:hint="eastAsia"/>
          <w:color w:val="auto"/>
          <w:sz w:val="32"/>
          <w:szCs w:val="32"/>
          <w:highlight w:val="none"/>
          <w:u w:val="none"/>
          <w:lang w:val="en-US" w:eastAsia="zh-CN"/>
        </w:rPr>
        <w:t>合同签订时间：</w:t>
      </w:r>
      <w:r>
        <w:rPr>
          <w:rFonts w:hint="eastAsia"/>
          <w:color w:val="auto"/>
          <w:sz w:val="32"/>
          <w:szCs w:val="32"/>
          <w:highlight w:val="none"/>
          <w:u w:val="single"/>
          <w:lang w:val="en-US" w:eastAsia="zh-CN"/>
        </w:rPr>
        <w:t xml:space="preserve">                         </w:t>
      </w:r>
    </w:p>
    <w:p w14:paraId="49E9E349">
      <w:pPr>
        <w:pStyle w:val="85"/>
        <w:ind w:firstLine="480"/>
        <w:rPr>
          <w:color w:val="auto"/>
          <w:highlight w:val="none"/>
        </w:rPr>
      </w:pPr>
    </w:p>
    <w:p w14:paraId="6F9A8439">
      <w:pPr>
        <w:ind w:firstLine="480"/>
        <w:rPr>
          <w:rFonts w:ascii="宋体" w:hAnsi="宋体" w:eastAsia="宋体" w:cs="宋体"/>
          <w:color w:val="auto"/>
          <w:sz w:val="24"/>
          <w:highlight w:val="none"/>
        </w:rPr>
      </w:pPr>
      <w:r>
        <w:rPr>
          <w:rFonts w:hint="eastAsia" w:ascii="宋体" w:hAnsi="宋体" w:eastAsia="宋体" w:cs="宋体"/>
          <w:color w:val="auto"/>
          <w:sz w:val="24"/>
          <w:highlight w:val="none"/>
        </w:rPr>
        <w:br w:type="page"/>
      </w:r>
    </w:p>
    <w:p w14:paraId="0CA5B520">
      <w:pPr>
        <w:pStyle w:val="3"/>
        <w:spacing w:before="156" w:after="156"/>
        <w:jc w:val="center"/>
        <w:rPr>
          <w:color w:val="auto"/>
          <w:highlight w:val="none"/>
        </w:rPr>
      </w:pPr>
      <w:bookmarkStart w:id="398" w:name="_Toc16861"/>
      <w:bookmarkStart w:id="399" w:name="_Toc22209"/>
      <w:r>
        <w:rPr>
          <w:rFonts w:hint="eastAsia"/>
          <w:color w:val="auto"/>
          <w:highlight w:val="none"/>
        </w:rPr>
        <w:t>第一节 政府采购合同协议书</w:t>
      </w:r>
      <w:bookmarkEnd w:id="398"/>
      <w:bookmarkEnd w:id="399"/>
    </w:p>
    <w:p w14:paraId="2BE183EA">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lang w:eastAsia="zh-CN"/>
        </w:rPr>
        <w:t>北海市海洋局</w:t>
      </w:r>
      <w:r>
        <w:rPr>
          <w:rFonts w:hint="eastAsia" w:ascii="宋体" w:hAnsi="宋体" w:eastAsia="宋体" w:cs="宋体"/>
          <w:color w:val="auto"/>
          <w:sz w:val="24"/>
          <w:szCs w:val="24"/>
          <w:highlight w:val="none"/>
          <w:u w:val="none"/>
        </w:rPr>
        <w:t>以</w:t>
      </w:r>
      <w:r>
        <w:rPr>
          <w:rFonts w:hint="eastAsia" w:ascii="宋体" w:hAnsi="宋体" w:cs="宋体"/>
          <w:color w:val="auto"/>
          <w:sz w:val="24"/>
          <w:szCs w:val="24"/>
          <w:highlight w:val="none"/>
          <w:u w:val="none"/>
          <w:lang w:val="en-US" w:eastAsia="zh-CN"/>
        </w:rPr>
        <w:t>公开招标方式</w:t>
      </w:r>
      <w:r>
        <w:rPr>
          <w:rFonts w:hint="eastAsia" w:ascii="宋体" w:hAnsi="宋体" w:eastAsia="宋体" w:cs="宋体"/>
          <w:color w:val="auto"/>
          <w:sz w:val="24"/>
          <w:szCs w:val="24"/>
          <w:highlight w:val="none"/>
          <w:u w:val="none"/>
        </w:rPr>
        <w:t>对</w:t>
      </w:r>
      <w:r>
        <w:rPr>
          <w:rFonts w:hint="eastAsia" w:ascii="宋体" w:hAnsi="宋体" w:eastAsia="宋体" w:cs="宋体"/>
          <w:color w:val="auto"/>
          <w:sz w:val="24"/>
          <w:szCs w:val="24"/>
          <w:highlight w:val="none"/>
          <w:u w:val="none"/>
          <w:lang w:eastAsia="zh-CN"/>
        </w:rPr>
        <w:t>北海市海洋监管综合执法指挥平台项目</w:t>
      </w:r>
      <w:r>
        <w:rPr>
          <w:rFonts w:hint="eastAsia" w:ascii="宋体" w:hAnsi="宋体" w:eastAsia="宋体" w:cs="宋体"/>
          <w:color w:val="auto"/>
          <w:sz w:val="24"/>
          <w:szCs w:val="24"/>
          <w:highlight w:val="none"/>
          <w:u w:val="none"/>
        </w:rPr>
        <w:t>进行了采购。经</w:t>
      </w:r>
      <w:r>
        <w:rPr>
          <w:rFonts w:hint="eastAsia" w:ascii="宋体" w:hAnsi="宋体" w:cs="宋体"/>
          <w:color w:val="auto"/>
          <w:sz w:val="24"/>
          <w:szCs w:val="24"/>
          <w:highlight w:val="none"/>
          <w:u w:val="none"/>
          <w:lang w:val="en-US" w:eastAsia="zh-CN"/>
        </w:rPr>
        <w:t>评标委员会</w:t>
      </w:r>
      <w:r>
        <w:rPr>
          <w:rFonts w:hint="eastAsia" w:ascii="宋体" w:hAnsi="宋体" w:eastAsia="宋体" w:cs="宋体"/>
          <w:color w:val="auto"/>
          <w:sz w:val="24"/>
          <w:szCs w:val="24"/>
          <w:highlight w:val="none"/>
          <w:u w:val="none"/>
        </w:rPr>
        <w:t>评定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中标</w:t>
      </w:r>
      <w:r>
        <w:rPr>
          <w:rFonts w:hint="eastAsia" w:ascii="宋体" w:hAnsi="宋体" w:cs="宋体"/>
          <w:color w:val="auto"/>
          <w:sz w:val="24"/>
          <w:szCs w:val="24"/>
          <w:highlight w:val="none"/>
          <w:u w:val="single"/>
          <w:lang w:eastAsia="zh-CN"/>
        </w:rPr>
        <w:t>人</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rPr>
        <w:t>为该项目成交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。现于</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通知书发出之日起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日内，按照</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文件确定的事项签订本合同。</w:t>
      </w:r>
    </w:p>
    <w:p w14:paraId="68D60D88">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szCs w:val="24"/>
          <w:highlight w:val="none"/>
          <w:lang w:val="zh-CN" w:eastAsia="zh-CN"/>
        </w:rPr>
        <w:t>北海市海洋局</w:t>
      </w:r>
      <w:r>
        <w:rPr>
          <w:rFonts w:hint="eastAsia" w:ascii="宋体" w:hAnsi="宋体" w:eastAsia="宋体" w:cs="宋体"/>
          <w:color w:val="auto"/>
          <w:sz w:val="24"/>
          <w:szCs w:val="24"/>
          <w:highlight w:val="none"/>
          <w:lang w:val="zh-CN"/>
        </w:rPr>
        <w:t>(以下简称：甲方)和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中</w:t>
      </w:r>
      <w:r>
        <w:rPr>
          <w:rFonts w:hint="eastAsia" w:ascii="宋体" w:hAnsi="宋体" w:eastAsia="宋体" w:cs="宋体"/>
          <w:color w:val="auto"/>
          <w:sz w:val="24"/>
          <w:szCs w:val="24"/>
          <w:highlight w:val="none"/>
          <w:u w:val="single"/>
        </w:rPr>
        <w:t>标</w:t>
      </w:r>
      <w:r>
        <w:rPr>
          <w:rFonts w:hint="eastAsia" w:ascii="宋体" w:hAnsi="宋体" w:cs="宋体"/>
          <w:color w:val="auto"/>
          <w:sz w:val="24"/>
          <w:szCs w:val="24"/>
          <w:highlight w:val="none"/>
          <w:u w:val="single"/>
          <w:lang w:eastAsia="zh-CN"/>
        </w:rPr>
        <w:t>人</w:t>
      </w:r>
      <w:r>
        <w:rPr>
          <w:rFonts w:hint="eastAsia" w:ascii="宋体" w:hAnsi="宋体" w:eastAsia="宋体" w:cs="宋体"/>
          <w:color w:val="auto"/>
          <w:sz w:val="24"/>
          <w:szCs w:val="24"/>
          <w:highlight w:val="none"/>
          <w:u w:val="single"/>
        </w:rPr>
        <w:t xml:space="preserve">名称）   </w:t>
      </w:r>
      <w:r>
        <w:rPr>
          <w:rFonts w:hint="eastAsia" w:ascii="宋体" w:hAnsi="宋体" w:eastAsia="宋体" w:cs="宋体"/>
          <w:color w:val="auto"/>
          <w:sz w:val="24"/>
          <w:szCs w:val="24"/>
          <w:highlight w:val="none"/>
          <w:lang w:val="zh-CN"/>
        </w:rPr>
        <w:t>(以下简称：乙方)协商一致，约定以下合同</w:t>
      </w:r>
      <w:r>
        <w:rPr>
          <w:rFonts w:hint="eastAsia" w:ascii="宋体" w:hAnsi="宋体" w:eastAsia="宋体" w:cs="宋体"/>
          <w:color w:val="auto"/>
          <w:sz w:val="24"/>
          <w:szCs w:val="24"/>
          <w:highlight w:val="none"/>
        </w:rPr>
        <w:t>条款，以兹共同遵守、全面履行。</w:t>
      </w:r>
    </w:p>
    <w:p w14:paraId="103596F8">
      <w:pPr>
        <w:keepNext w:val="0"/>
        <w:keepLines w:val="0"/>
        <w:pageBreakBefore w:val="0"/>
        <w:kinsoku/>
        <w:wordWrap/>
        <w:overflowPunct/>
        <w:topLinePunct w:val="0"/>
        <w:autoSpaceDE/>
        <w:autoSpaceDN/>
        <w:bidi w:val="0"/>
        <w:snapToGrid/>
        <w:spacing w:line="460" w:lineRule="exact"/>
        <w:ind w:firstLine="422"/>
        <w:textAlignment w:val="auto"/>
        <w:rPr>
          <w:rFonts w:ascii="宋体" w:hAnsi="宋体" w:eastAsia="宋体" w:cs="宋体"/>
          <w:color w:val="auto"/>
          <w:sz w:val="24"/>
          <w:szCs w:val="24"/>
          <w:highlight w:val="none"/>
        </w:rPr>
      </w:pPr>
      <w:bookmarkStart w:id="400" w:name="_Toc28855"/>
      <w:bookmarkStart w:id="401" w:name="_Toc19273"/>
      <w:bookmarkStart w:id="402" w:name="_Toc22967"/>
      <w:bookmarkStart w:id="403" w:name="_Toc20421"/>
      <w:bookmarkStart w:id="404" w:name="_Toc15367"/>
      <w:r>
        <w:rPr>
          <w:rFonts w:hint="eastAsia" w:ascii="宋体" w:hAnsi="宋体" w:eastAsia="宋体" w:cs="宋体"/>
          <w:b/>
          <w:color w:val="auto"/>
          <w:sz w:val="24"/>
          <w:szCs w:val="24"/>
          <w:highlight w:val="none"/>
        </w:rPr>
        <w:t>1.1 合同组成部分</w:t>
      </w:r>
      <w:bookmarkEnd w:id="400"/>
      <w:bookmarkEnd w:id="401"/>
      <w:bookmarkEnd w:id="402"/>
      <w:bookmarkEnd w:id="403"/>
      <w:bookmarkEnd w:id="404"/>
    </w:p>
    <w:p w14:paraId="6ACDDA91">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4033DBF">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 本合同及其补充合同、变更协议；</w:t>
      </w:r>
    </w:p>
    <w:p w14:paraId="118A508F">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1.1.2 中标或者成交通知书；</w:t>
      </w:r>
    </w:p>
    <w:p w14:paraId="3FDD5D4B">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投标或者响应文件（含澄清或者说明文件）；</w:t>
      </w:r>
    </w:p>
    <w:p w14:paraId="7B59CF6F">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1.1.4 采购文件（含澄清或者修改文件）；</w:t>
      </w:r>
    </w:p>
    <w:p w14:paraId="0157C5FD">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1.1.5 其他相关采购文件。</w:t>
      </w:r>
    </w:p>
    <w:p w14:paraId="0ED6D815">
      <w:pPr>
        <w:keepNext w:val="0"/>
        <w:keepLines w:val="0"/>
        <w:pageBreakBefore w:val="0"/>
        <w:kinsoku/>
        <w:wordWrap/>
        <w:overflowPunct/>
        <w:topLinePunct w:val="0"/>
        <w:autoSpaceDE/>
        <w:autoSpaceDN/>
        <w:bidi w:val="0"/>
        <w:snapToGrid/>
        <w:spacing w:line="460" w:lineRule="exact"/>
        <w:ind w:firstLine="422"/>
        <w:textAlignment w:val="auto"/>
        <w:rPr>
          <w:rFonts w:ascii="宋体" w:hAnsi="宋体" w:eastAsia="宋体" w:cs="宋体"/>
          <w:b/>
          <w:color w:val="auto"/>
          <w:sz w:val="24"/>
          <w:szCs w:val="24"/>
          <w:highlight w:val="none"/>
        </w:rPr>
      </w:pPr>
      <w:bookmarkStart w:id="405" w:name="_Toc6773"/>
      <w:bookmarkStart w:id="406" w:name="_Toc22185"/>
      <w:bookmarkStart w:id="407" w:name="_Toc2918"/>
      <w:bookmarkStart w:id="408" w:name="_Toc18585"/>
      <w:bookmarkStart w:id="409" w:name="_Toc6311"/>
      <w:r>
        <w:rPr>
          <w:rFonts w:hint="eastAsia" w:ascii="宋体" w:hAnsi="宋体" w:eastAsia="宋体" w:cs="宋体"/>
          <w:b/>
          <w:color w:val="auto"/>
          <w:sz w:val="24"/>
          <w:szCs w:val="24"/>
          <w:highlight w:val="none"/>
        </w:rPr>
        <w:t>1.2 标的</w:t>
      </w:r>
      <w:bookmarkEnd w:id="405"/>
      <w:bookmarkEnd w:id="406"/>
      <w:bookmarkEnd w:id="407"/>
      <w:bookmarkEnd w:id="408"/>
      <w:bookmarkEnd w:id="409"/>
    </w:p>
    <w:p w14:paraId="7100ED5F">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 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北海市海洋监管综合执法指挥平台项目，包含平台架构设计、定制开发、测试部署、上线试运行、用户培训、技术交付、漏洞修复、功能优化、系统升级、应急保障、第三方平台对接、平台运维服务等全流程服务。其中，指挥平台功能模块包括：综合执法驾驶舱、全域智能监控、智能分析预警、渔船（乡镇船舶）智能化在线管理平台、执法管理模块、渔港安全模块、执法通讯模块、移动端应用APP。</w:t>
      </w:r>
    </w:p>
    <w:p w14:paraId="5CE9BC4F">
      <w:pPr>
        <w:keepNext w:val="0"/>
        <w:keepLines w:val="0"/>
        <w:pageBreakBefore w:val="0"/>
        <w:widowControl/>
        <w:suppressLineNumbers w:val="0"/>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single"/>
          <w:lang w:val="en-US" w:eastAsia="zh-CN" w:bidi="ar"/>
        </w:rPr>
      </w:pPr>
      <w:r>
        <w:rPr>
          <w:rFonts w:hint="eastAsia" w:ascii="宋体" w:hAnsi="宋体" w:eastAsia="宋体" w:cs="宋体"/>
          <w:color w:val="auto"/>
          <w:sz w:val="24"/>
          <w:szCs w:val="24"/>
          <w:highlight w:val="none"/>
        </w:rPr>
        <w:t>1.2.2 服务标准：</w:t>
      </w:r>
      <w:r>
        <w:rPr>
          <w:rFonts w:hint="eastAsia" w:ascii="宋体" w:hAnsi="宋体" w:eastAsia="宋体" w:cs="宋体"/>
          <w:i w:val="0"/>
          <w:iCs w:val="0"/>
          <w:color w:val="auto"/>
          <w:kern w:val="0"/>
          <w:sz w:val="24"/>
          <w:szCs w:val="24"/>
          <w:highlight w:val="none"/>
          <w:u w:val="single"/>
          <w:lang w:val="en-US" w:eastAsia="zh-CN" w:bidi="ar"/>
        </w:rPr>
        <w:t>（1）符合国家相关规范、标准，并且满足招标人对本项目的服务质量要求；</w:t>
      </w:r>
    </w:p>
    <w:p w14:paraId="3ABB8B0C">
      <w:pPr>
        <w:keepNext w:val="0"/>
        <w:keepLines w:val="0"/>
        <w:pageBreakBefore w:val="0"/>
        <w:widowControl/>
        <w:suppressLineNumbers w:val="0"/>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single"/>
          <w:lang w:val="en-US" w:eastAsia="zh-CN" w:bidi="ar"/>
        </w:rPr>
      </w:pPr>
      <w:r>
        <w:rPr>
          <w:rFonts w:hint="eastAsia" w:ascii="宋体" w:hAnsi="宋体" w:eastAsia="宋体" w:cs="宋体"/>
          <w:i w:val="0"/>
          <w:iCs w:val="0"/>
          <w:color w:val="auto"/>
          <w:kern w:val="0"/>
          <w:sz w:val="24"/>
          <w:szCs w:val="24"/>
          <w:highlight w:val="none"/>
          <w:u w:val="single"/>
          <w:lang w:val="en-US" w:eastAsia="zh-CN" w:bidi="ar"/>
        </w:rPr>
        <w:t>（2）本地化运维要求：具备本地化运维服务团队，明确突发情况的储备技术人员，保证运维人员充足，在突发情况发生后2小时内解决故障并恢复系统运行，能保障系统稳定进行；有日常紧急故障处理流程、方式、方法，设置有应急团队，明确突发情况的储备技术人员情况，保证运维人员充足；</w:t>
      </w:r>
    </w:p>
    <w:p w14:paraId="05CAB7BD">
      <w:pPr>
        <w:keepNext w:val="0"/>
        <w:keepLines w:val="0"/>
        <w:pageBreakBefore w:val="0"/>
        <w:widowControl/>
        <w:suppressLineNumbers w:val="0"/>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single"/>
          <w:lang w:val="en-US" w:eastAsia="zh-CN" w:bidi="ar"/>
        </w:rPr>
      </w:pPr>
      <w:r>
        <w:rPr>
          <w:rFonts w:hint="eastAsia" w:ascii="宋体" w:hAnsi="宋体" w:eastAsia="宋体" w:cs="宋体"/>
          <w:i w:val="0"/>
          <w:iCs w:val="0"/>
          <w:color w:val="auto"/>
          <w:kern w:val="0"/>
          <w:sz w:val="24"/>
          <w:szCs w:val="24"/>
          <w:highlight w:val="none"/>
          <w:u w:val="single"/>
          <w:lang w:val="en-US" w:eastAsia="zh-CN" w:bidi="ar"/>
        </w:rPr>
        <w:t>（3）会议保障要求：需组建专属会议保障小组，招标人提前1-3个工作日下达保障需求，中标投标人需支撑北海市海洋指挥中心各类会议（含日常调度会、应急处置会、专项工作会等），具体要求如下：①会前筹备：提供会议桌牌服务；安排1-2名系统技术专员，结合会议主题梳理需演示的系统功能模块，准备系统演示。② 会中值守：保障小组全程驻场，确保系统网络连接正常、海上平台通讯信号及系统运行状态，遇设备故障、信号中断等问题，2小时内启动应急方案，一般问题24小时内解决；技术专员按需配合会议进程完成系统操作演示与答疑；</w:t>
      </w:r>
    </w:p>
    <w:p w14:paraId="0682456E">
      <w:pPr>
        <w:keepNext w:val="0"/>
        <w:keepLines w:val="0"/>
        <w:pageBreakBefore w:val="0"/>
        <w:widowControl/>
        <w:suppressLineNumbers w:val="0"/>
        <w:kinsoku/>
        <w:wordWrap/>
        <w:overflowPunct/>
        <w:topLinePunct w:val="0"/>
        <w:autoSpaceDE/>
        <w:autoSpaceDN/>
        <w:bidi w:val="0"/>
        <w:adjustRightInd w:val="0"/>
        <w:snapToGrid/>
        <w:spacing w:line="460" w:lineRule="exact"/>
        <w:ind w:firstLine="480" w:firstLineChars="200"/>
        <w:jc w:val="left"/>
        <w:textAlignment w:val="center"/>
        <w:rPr>
          <w:rFonts w:hint="eastAsia" w:ascii="宋体" w:hAnsi="宋体" w:eastAsia="宋体" w:cs="宋体"/>
          <w:i w:val="0"/>
          <w:iCs w:val="0"/>
          <w:color w:val="auto"/>
          <w:kern w:val="0"/>
          <w:sz w:val="24"/>
          <w:szCs w:val="24"/>
          <w:highlight w:val="none"/>
          <w:u w:val="single"/>
          <w:lang w:val="en-US" w:eastAsia="zh-CN" w:bidi="ar"/>
        </w:rPr>
      </w:pPr>
      <w:r>
        <w:rPr>
          <w:rFonts w:hint="eastAsia" w:ascii="宋体" w:hAnsi="宋体" w:eastAsia="宋体" w:cs="宋体"/>
          <w:i w:val="0"/>
          <w:iCs w:val="0"/>
          <w:color w:val="auto"/>
          <w:kern w:val="0"/>
          <w:sz w:val="24"/>
          <w:szCs w:val="24"/>
          <w:highlight w:val="none"/>
          <w:u w:val="single"/>
          <w:lang w:val="en-US" w:eastAsia="zh-CN" w:bidi="ar"/>
        </w:rPr>
        <w:t>（4）培训服务：确保招标人市级/区级系统管理人员掌握系统操作、权限管控，一线执法人员熟练掌握监控视频调看、预警处置及执法任务填报等实操技能，乡镇级基础操作人员会用基础查询及数据上报功能。</w:t>
      </w:r>
    </w:p>
    <w:p w14:paraId="4C948384">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1.2.3 技术保障：</w:t>
      </w:r>
      <w:r>
        <w:rPr>
          <w:rFonts w:hint="eastAsia" w:ascii="宋体" w:hAnsi="宋体" w:eastAsia="宋体" w:cs="宋体"/>
          <w:color w:val="auto"/>
          <w:sz w:val="24"/>
          <w:szCs w:val="24"/>
          <w:highlight w:val="none"/>
          <w:u w:val="single"/>
        </w:rPr>
        <w:t>　　　　　　　　　                      　      ；</w:t>
      </w:r>
    </w:p>
    <w:p w14:paraId="7DCDE9DB">
      <w:pPr>
        <w:keepNext w:val="0"/>
        <w:keepLines w:val="0"/>
        <w:pageBreakBefore w:val="0"/>
        <w:kinsoku/>
        <w:wordWrap/>
        <w:overflowPunct/>
        <w:topLinePunct w:val="0"/>
        <w:autoSpaceDE/>
        <w:autoSpaceDN/>
        <w:bidi w:val="0"/>
        <w:snapToGrid/>
        <w:spacing w:line="460" w:lineRule="exact"/>
        <w:ind w:firstLine="42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1.2.4 服务人员组成：</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项目负责人：           联系方式：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A39421">
      <w:pPr>
        <w:pStyle w:val="959"/>
        <w:keepNext w:val="0"/>
        <w:keepLines w:val="0"/>
        <w:pageBreakBefore w:val="0"/>
        <w:kinsoku/>
        <w:wordWrap/>
        <w:overflowPunct/>
        <w:topLinePunct w:val="0"/>
        <w:autoSpaceDE/>
        <w:autoSpaceDN/>
        <w:bidi w:val="0"/>
        <w:snapToGrid/>
        <w:spacing w:before="0" w:beforeAutospacing="0" w:after="0" w:afterAutospacing="0" w:line="460" w:lineRule="exact"/>
        <w:ind w:firstLine="420"/>
        <w:textAlignment w:val="auto"/>
        <w:rPr>
          <w:rFonts w:eastAsia="宋体"/>
          <w:color w:val="auto"/>
          <w:sz w:val="24"/>
          <w:szCs w:val="24"/>
          <w:highlight w:val="none"/>
        </w:rPr>
      </w:pPr>
      <w:r>
        <w:rPr>
          <w:rFonts w:hint="eastAsia" w:eastAsia="宋体"/>
          <w:color w:val="auto"/>
          <w:sz w:val="24"/>
          <w:szCs w:val="24"/>
          <w:highlight w:val="none"/>
        </w:rPr>
        <w:t>1.2.5合同</w:t>
      </w:r>
      <w:r>
        <w:rPr>
          <w:rFonts w:hint="eastAsia" w:eastAsia="宋体"/>
          <w:color w:val="auto"/>
          <w:sz w:val="24"/>
          <w:szCs w:val="24"/>
          <w:highlight w:val="none"/>
          <w:u w:val="single"/>
        </w:rPr>
        <w:t xml:space="preserve">  否  </w:t>
      </w:r>
      <w:r>
        <w:rPr>
          <w:rFonts w:hint="eastAsia" w:eastAsia="宋体"/>
          <w:color w:val="auto"/>
          <w:sz w:val="24"/>
          <w:szCs w:val="24"/>
          <w:highlight w:val="none"/>
        </w:rPr>
        <w:t>（是/否）涉及货物。若涉及货物的，则：</w:t>
      </w:r>
    </w:p>
    <w:p w14:paraId="718689F0">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bookmarkStart w:id="410" w:name="_Toc1386"/>
      <w:bookmarkStart w:id="411" w:name="_Toc21124"/>
      <w:bookmarkStart w:id="412" w:name="_Toc4929"/>
      <w:bookmarkStart w:id="413" w:name="_Toc13918"/>
      <w:bookmarkStart w:id="414" w:name="_Toc5635"/>
      <w:r>
        <w:rPr>
          <w:rFonts w:hint="eastAsia" w:ascii="宋体" w:hAnsi="宋体" w:eastAsia="宋体" w:cs="宋体"/>
          <w:color w:val="auto"/>
          <w:sz w:val="24"/>
          <w:szCs w:val="24"/>
          <w:highlight w:val="none"/>
        </w:rPr>
        <w:t>1.2.5.1 货物名称、品牌、规格型号、花色：</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A7B1467">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1.2.5.2 货物数量：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066D645">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1.2.5.3 货物质量：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7EE339">
      <w:pPr>
        <w:keepNext w:val="0"/>
        <w:keepLines w:val="0"/>
        <w:pageBreakBefore w:val="0"/>
        <w:kinsoku/>
        <w:wordWrap/>
        <w:overflowPunct/>
        <w:topLinePunct w:val="0"/>
        <w:autoSpaceDE/>
        <w:autoSpaceDN/>
        <w:bidi w:val="0"/>
        <w:snapToGrid/>
        <w:spacing w:line="460" w:lineRule="exact"/>
        <w:ind w:firstLine="422"/>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 价款</w:t>
      </w:r>
      <w:bookmarkEnd w:id="410"/>
      <w:bookmarkEnd w:id="411"/>
      <w:bookmarkEnd w:id="412"/>
      <w:bookmarkEnd w:id="413"/>
      <w:bookmarkEnd w:id="414"/>
    </w:p>
    <w:p w14:paraId="4C9CA98E">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本项目采用以下第</w:t>
      </w:r>
      <w:r>
        <w:rPr>
          <w:rFonts w:hint="eastAsia" w:ascii="宋体" w:hAnsi="宋体" w:eastAsia="宋体" w:cs="宋体"/>
          <w:color w:val="auto"/>
          <w:sz w:val="24"/>
          <w:szCs w:val="24"/>
          <w:highlight w:val="none"/>
          <w:u w:val="single"/>
        </w:rPr>
        <w:t xml:space="preserve">  1.3.1 </w:t>
      </w:r>
      <w:r>
        <w:rPr>
          <w:rFonts w:hint="eastAsia" w:ascii="宋体" w:hAnsi="宋体" w:eastAsia="宋体" w:cs="宋体"/>
          <w:color w:val="auto"/>
          <w:sz w:val="24"/>
          <w:szCs w:val="24"/>
          <w:highlight w:val="none"/>
        </w:rPr>
        <w:t>条款规定的计价方式计价。</w:t>
      </w:r>
    </w:p>
    <w:p w14:paraId="5A12697A">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1.3.1总价合同，本合同总价（含税）为：￥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4F89B5E0">
      <w:pPr>
        <w:keepNext w:val="0"/>
        <w:keepLines w:val="0"/>
        <w:pageBreakBefore w:val="0"/>
        <w:kinsoku/>
        <w:wordWrap/>
        <w:overflowPunct/>
        <w:topLinePunct w:val="0"/>
        <w:autoSpaceDE/>
        <w:autoSpaceDN/>
        <w:bidi w:val="0"/>
        <w:snapToGrid/>
        <w:spacing w:line="460" w:lineRule="exact"/>
        <w:ind w:firstLine="42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63"/>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4431"/>
        <w:gridCol w:w="3324"/>
      </w:tblGrid>
      <w:tr w14:paraId="2571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564" w:type="dxa"/>
            <w:vAlign w:val="center"/>
          </w:tcPr>
          <w:p w14:paraId="4853000D">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序号</w:t>
            </w:r>
          </w:p>
        </w:tc>
        <w:tc>
          <w:tcPr>
            <w:tcW w:w="4431" w:type="dxa"/>
            <w:vAlign w:val="center"/>
          </w:tcPr>
          <w:p w14:paraId="10DF5AF8">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分项名称</w:t>
            </w:r>
          </w:p>
        </w:tc>
        <w:tc>
          <w:tcPr>
            <w:tcW w:w="3324" w:type="dxa"/>
            <w:vAlign w:val="center"/>
          </w:tcPr>
          <w:p w14:paraId="54B8D1CC">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分项价格</w:t>
            </w:r>
          </w:p>
        </w:tc>
      </w:tr>
      <w:tr w14:paraId="136E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3417F424">
            <w:pPr>
              <w:pStyle w:val="319"/>
              <w:ind w:firstLine="0" w:firstLineChars="0"/>
              <w:jc w:val="center"/>
              <w:rPr>
                <w:rFonts w:hAnsi="宋体" w:eastAsia="宋体" w:cs="宋体"/>
                <w:color w:val="auto"/>
                <w:sz w:val="24"/>
                <w:szCs w:val="24"/>
                <w:highlight w:val="none"/>
              </w:rPr>
            </w:pPr>
          </w:p>
        </w:tc>
        <w:tc>
          <w:tcPr>
            <w:tcW w:w="4431" w:type="dxa"/>
            <w:vAlign w:val="center"/>
          </w:tcPr>
          <w:p w14:paraId="65CA59B8">
            <w:pPr>
              <w:pStyle w:val="319"/>
              <w:ind w:firstLine="0" w:firstLineChars="0"/>
              <w:jc w:val="center"/>
              <w:rPr>
                <w:rFonts w:hAnsi="宋体" w:eastAsia="宋体" w:cs="宋体"/>
                <w:color w:val="auto"/>
                <w:sz w:val="24"/>
                <w:szCs w:val="24"/>
                <w:highlight w:val="none"/>
              </w:rPr>
            </w:pPr>
          </w:p>
        </w:tc>
        <w:tc>
          <w:tcPr>
            <w:tcW w:w="3324" w:type="dxa"/>
            <w:vAlign w:val="center"/>
          </w:tcPr>
          <w:p w14:paraId="67569F99">
            <w:pPr>
              <w:pStyle w:val="319"/>
              <w:ind w:firstLine="0" w:firstLineChars="0"/>
              <w:jc w:val="center"/>
              <w:rPr>
                <w:rFonts w:hAnsi="宋体" w:eastAsia="宋体" w:cs="宋体"/>
                <w:color w:val="auto"/>
                <w:sz w:val="24"/>
                <w:szCs w:val="24"/>
                <w:highlight w:val="none"/>
              </w:rPr>
            </w:pPr>
          </w:p>
        </w:tc>
      </w:tr>
      <w:tr w14:paraId="4BFD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634C902E">
            <w:pPr>
              <w:pStyle w:val="319"/>
              <w:ind w:firstLine="0" w:firstLineChars="0"/>
              <w:jc w:val="center"/>
              <w:rPr>
                <w:rFonts w:hAnsi="宋体" w:eastAsia="宋体" w:cs="宋体"/>
                <w:color w:val="auto"/>
                <w:sz w:val="24"/>
                <w:szCs w:val="24"/>
                <w:highlight w:val="none"/>
              </w:rPr>
            </w:pPr>
          </w:p>
        </w:tc>
        <w:tc>
          <w:tcPr>
            <w:tcW w:w="4431" w:type="dxa"/>
            <w:vAlign w:val="center"/>
          </w:tcPr>
          <w:p w14:paraId="1AA75EEB">
            <w:pPr>
              <w:pStyle w:val="319"/>
              <w:ind w:firstLine="0" w:firstLineChars="0"/>
              <w:jc w:val="center"/>
              <w:rPr>
                <w:rFonts w:hAnsi="宋体" w:eastAsia="宋体" w:cs="宋体"/>
                <w:color w:val="auto"/>
                <w:sz w:val="24"/>
                <w:szCs w:val="24"/>
                <w:highlight w:val="none"/>
              </w:rPr>
            </w:pPr>
          </w:p>
        </w:tc>
        <w:tc>
          <w:tcPr>
            <w:tcW w:w="3324" w:type="dxa"/>
            <w:vAlign w:val="center"/>
          </w:tcPr>
          <w:p w14:paraId="33AC77FC">
            <w:pPr>
              <w:pStyle w:val="319"/>
              <w:ind w:firstLine="0" w:firstLineChars="0"/>
              <w:jc w:val="center"/>
              <w:rPr>
                <w:rFonts w:hAnsi="宋体" w:eastAsia="宋体" w:cs="宋体"/>
                <w:color w:val="auto"/>
                <w:sz w:val="24"/>
                <w:szCs w:val="24"/>
                <w:highlight w:val="none"/>
              </w:rPr>
            </w:pPr>
          </w:p>
        </w:tc>
      </w:tr>
      <w:tr w14:paraId="2FFB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59EE36B8">
            <w:pPr>
              <w:pStyle w:val="319"/>
              <w:ind w:firstLine="0" w:firstLineChars="0"/>
              <w:jc w:val="center"/>
              <w:rPr>
                <w:rFonts w:hAnsi="宋体" w:eastAsia="宋体" w:cs="宋体"/>
                <w:color w:val="auto"/>
                <w:sz w:val="24"/>
                <w:szCs w:val="24"/>
                <w:highlight w:val="none"/>
              </w:rPr>
            </w:pPr>
          </w:p>
        </w:tc>
        <w:tc>
          <w:tcPr>
            <w:tcW w:w="4431" w:type="dxa"/>
            <w:vAlign w:val="center"/>
          </w:tcPr>
          <w:p w14:paraId="4C04ED7F">
            <w:pPr>
              <w:pStyle w:val="319"/>
              <w:ind w:firstLine="0" w:firstLineChars="0"/>
              <w:jc w:val="center"/>
              <w:rPr>
                <w:rFonts w:hAnsi="宋体" w:eastAsia="宋体" w:cs="宋体"/>
                <w:color w:val="auto"/>
                <w:sz w:val="24"/>
                <w:szCs w:val="24"/>
                <w:highlight w:val="none"/>
              </w:rPr>
            </w:pPr>
          </w:p>
        </w:tc>
        <w:tc>
          <w:tcPr>
            <w:tcW w:w="3324" w:type="dxa"/>
            <w:vAlign w:val="center"/>
          </w:tcPr>
          <w:p w14:paraId="6FE1B96E">
            <w:pPr>
              <w:pStyle w:val="319"/>
              <w:ind w:firstLine="0" w:firstLineChars="0"/>
              <w:jc w:val="center"/>
              <w:rPr>
                <w:rFonts w:hAnsi="宋体" w:eastAsia="宋体" w:cs="宋体"/>
                <w:color w:val="auto"/>
                <w:sz w:val="24"/>
                <w:szCs w:val="24"/>
                <w:highlight w:val="none"/>
              </w:rPr>
            </w:pPr>
          </w:p>
        </w:tc>
      </w:tr>
      <w:tr w14:paraId="67DE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64" w:type="dxa"/>
            <w:vAlign w:val="center"/>
          </w:tcPr>
          <w:p w14:paraId="16A5FDDB">
            <w:pPr>
              <w:pStyle w:val="319"/>
              <w:ind w:firstLine="0" w:firstLineChars="0"/>
              <w:jc w:val="center"/>
              <w:rPr>
                <w:rFonts w:hAnsi="宋体" w:eastAsia="宋体" w:cs="宋体"/>
                <w:color w:val="auto"/>
                <w:sz w:val="24"/>
                <w:szCs w:val="24"/>
                <w:highlight w:val="none"/>
              </w:rPr>
            </w:pPr>
          </w:p>
        </w:tc>
        <w:tc>
          <w:tcPr>
            <w:tcW w:w="4431" w:type="dxa"/>
            <w:vAlign w:val="center"/>
          </w:tcPr>
          <w:p w14:paraId="58D4E0A6">
            <w:pPr>
              <w:pStyle w:val="319"/>
              <w:ind w:firstLine="0" w:firstLineChars="0"/>
              <w:jc w:val="center"/>
              <w:rPr>
                <w:rFonts w:hAnsi="宋体" w:eastAsia="宋体" w:cs="宋体"/>
                <w:color w:val="auto"/>
                <w:sz w:val="24"/>
                <w:szCs w:val="24"/>
                <w:highlight w:val="none"/>
              </w:rPr>
            </w:pPr>
          </w:p>
        </w:tc>
        <w:tc>
          <w:tcPr>
            <w:tcW w:w="3324" w:type="dxa"/>
            <w:vAlign w:val="center"/>
          </w:tcPr>
          <w:p w14:paraId="111953EA">
            <w:pPr>
              <w:pStyle w:val="319"/>
              <w:ind w:firstLine="0" w:firstLineChars="0"/>
              <w:jc w:val="center"/>
              <w:rPr>
                <w:rFonts w:hAnsi="宋体" w:eastAsia="宋体" w:cs="宋体"/>
                <w:color w:val="auto"/>
                <w:sz w:val="24"/>
                <w:szCs w:val="24"/>
                <w:highlight w:val="none"/>
              </w:rPr>
            </w:pPr>
          </w:p>
        </w:tc>
      </w:tr>
      <w:tr w14:paraId="2B30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995" w:type="dxa"/>
            <w:gridSpan w:val="2"/>
            <w:vAlign w:val="center"/>
          </w:tcPr>
          <w:p w14:paraId="398CA477">
            <w:pPr>
              <w:pStyle w:val="319"/>
              <w:ind w:firstLine="0" w:firstLineChars="0"/>
              <w:jc w:val="center"/>
              <w:rPr>
                <w:rFonts w:hAnsi="宋体" w:eastAsia="宋体" w:cs="宋体"/>
                <w:color w:val="auto"/>
                <w:sz w:val="24"/>
                <w:szCs w:val="24"/>
                <w:highlight w:val="none"/>
              </w:rPr>
            </w:pPr>
            <w:r>
              <w:rPr>
                <w:rFonts w:hint="eastAsia" w:hAnsi="宋体" w:eastAsia="宋体" w:cs="宋体"/>
                <w:color w:val="auto"/>
                <w:sz w:val="24"/>
                <w:szCs w:val="24"/>
                <w:highlight w:val="none"/>
              </w:rPr>
              <w:t>总价</w:t>
            </w:r>
          </w:p>
        </w:tc>
        <w:tc>
          <w:tcPr>
            <w:tcW w:w="3324" w:type="dxa"/>
            <w:vAlign w:val="center"/>
          </w:tcPr>
          <w:p w14:paraId="0503747B">
            <w:pPr>
              <w:pStyle w:val="319"/>
              <w:ind w:firstLine="0" w:firstLineChars="0"/>
              <w:jc w:val="center"/>
              <w:rPr>
                <w:rFonts w:hAnsi="宋体" w:eastAsia="宋体" w:cs="宋体"/>
                <w:color w:val="auto"/>
                <w:sz w:val="24"/>
                <w:szCs w:val="24"/>
                <w:highlight w:val="none"/>
              </w:rPr>
            </w:pPr>
          </w:p>
        </w:tc>
      </w:tr>
    </w:tbl>
    <w:p w14:paraId="4282A2B1">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bookmarkStart w:id="415" w:name="_Toc3654"/>
      <w:bookmarkStart w:id="416" w:name="_Toc14993"/>
      <w:bookmarkStart w:id="417" w:name="_Toc30506"/>
      <w:bookmarkStart w:id="418" w:name="_Toc30158"/>
      <w:bookmarkStart w:id="419" w:name="_Toc26916"/>
      <w:r>
        <w:rPr>
          <w:rFonts w:hint="eastAsia" w:ascii="宋体" w:hAnsi="宋体" w:eastAsia="宋体" w:cs="宋体"/>
          <w:bCs/>
          <w:color w:val="auto"/>
          <w:sz w:val="24"/>
          <w:szCs w:val="24"/>
          <w:highlight w:val="none"/>
        </w:rPr>
        <w:t>1.3.2单价合同，本合同单价（含税）标准为：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。服务工作量的计量方式为：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
          <w:color w:val="auto"/>
          <w:sz w:val="24"/>
          <w:szCs w:val="24"/>
          <w:highlight w:val="none"/>
          <w:u w:val="single"/>
        </w:rPr>
        <w:t>合同专用条款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。单价合同，在合同履行期间内，根据实际完成的工作量据实结算，但结算总价上限不得超过预算金额或者双方确定的金额￥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5BB44AC6">
      <w:pPr>
        <w:pStyle w:val="85"/>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eastAsia="宋体" w:cs="宋体"/>
          <w:color w:val="auto"/>
          <w:sz w:val="24"/>
          <w:szCs w:val="24"/>
          <w:highlight w:val="none"/>
        </w:rPr>
      </w:pPr>
      <w:r>
        <w:rPr>
          <w:rFonts w:hint="eastAsia" w:eastAsia="宋体" w:cs="宋体"/>
          <w:color w:val="auto"/>
          <w:sz w:val="24"/>
          <w:szCs w:val="24"/>
          <w:highlight w:val="none"/>
        </w:rPr>
        <w:t xml:space="preserve">1.3.3其他计价方式：          </w:t>
      </w:r>
      <w:r>
        <w:rPr>
          <w:rFonts w:hint="eastAsia" w:eastAsia="宋体" w:cs="宋体"/>
          <w:color w:val="auto"/>
          <w:sz w:val="24"/>
          <w:szCs w:val="24"/>
          <w:highlight w:val="none"/>
          <w:lang w:val="en-US" w:eastAsia="zh-CN"/>
        </w:rPr>
        <w:t>/</w:t>
      </w:r>
      <w:r>
        <w:rPr>
          <w:rFonts w:hint="eastAsia" w:eastAsia="宋体" w:cs="宋体"/>
          <w:color w:val="auto"/>
          <w:sz w:val="24"/>
          <w:szCs w:val="24"/>
          <w:highlight w:val="none"/>
        </w:rPr>
        <w:t xml:space="preserve">         。</w:t>
      </w:r>
    </w:p>
    <w:bookmarkEnd w:id="415"/>
    <w:bookmarkEnd w:id="416"/>
    <w:bookmarkEnd w:id="417"/>
    <w:bookmarkEnd w:id="418"/>
    <w:bookmarkEnd w:id="419"/>
    <w:p w14:paraId="03424958">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2" w:firstLineChars="200"/>
        <w:textAlignment w:val="auto"/>
        <w:rPr>
          <w:rFonts w:eastAsia="宋体"/>
          <w:b/>
          <w:color w:val="auto"/>
          <w:sz w:val="24"/>
          <w:szCs w:val="24"/>
          <w:highlight w:val="none"/>
        </w:rPr>
      </w:pPr>
      <w:bookmarkStart w:id="420" w:name="_Toc1814"/>
      <w:bookmarkStart w:id="421" w:name="_Toc10340"/>
      <w:bookmarkStart w:id="422" w:name="_Toc22618"/>
      <w:bookmarkStart w:id="423" w:name="_Toc31421"/>
      <w:bookmarkStart w:id="424" w:name="_Toc4760"/>
      <w:bookmarkStart w:id="425" w:name="_Toc3625"/>
      <w:bookmarkStart w:id="426" w:name="_Toc11108"/>
      <w:bookmarkStart w:id="427" w:name="_Toc8772"/>
      <w:r>
        <w:rPr>
          <w:rFonts w:hint="eastAsia" w:eastAsia="宋体"/>
          <w:b/>
          <w:color w:val="auto"/>
          <w:sz w:val="24"/>
          <w:szCs w:val="24"/>
          <w:highlight w:val="none"/>
        </w:rPr>
        <w:t>1.4履约保证金</w:t>
      </w:r>
    </w:p>
    <w:p w14:paraId="6D49B592">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乙方</w:t>
      </w:r>
      <w:r>
        <w:rPr>
          <w:rFonts w:hint="eastAsia" w:eastAsia="宋体"/>
          <w:color w:val="auto"/>
          <w:sz w:val="24"/>
          <w:szCs w:val="24"/>
          <w:highlight w:val="none"/>
          <w:u w:val="single"/>
        </w:rPr>
        <w:t xml:space="preserve"> </w:t>
      </w:r>
      <w:r>
        <w:rPr>
          <w:rFonts w:hint="eastAsia"/>
          <w:color w:val="auto"/>
          <w:sz w:val="24"/>
          <w:szCs w:val="24"/>
          <w:highlight w:val="none"/>
          <w:u w:val="single"/>
          <w:lang w:eastAsia="zh-CN"/>
        </w:rPr>
        <w:t>否</w:t>
      </w:r>
      <w:r>
        <w:rPr>
          <w:rFonts w:hint="eastAsia" w:eastAsia="宋体"/>
          <w:color w:val="auto"/>
          <w:sz w:val="24"/>
          <w:szCs w:val="24"/>
          <w:highlight w:val="none"/>
          <w:u w:val="single"/>
        </w:rPr>
        <w:t xml:space="preserve"> </w:t>
      </w:r>
      <w:r>
        <w:rPr>
          <w:rFonts w:hint="eastAsia" w:eastAsia="宋体"/>
          <w:color w:val="auto"/>
          <w:sz w:val="24"/>
          <w:szCs w:val="24"/>
          <w:highlight w:val="none"/>
        </w:rPr>
        <w:t>（是/否）需要支付履约保证金。若需要支付履约保证金的，则：</w:t>
      </w:r>
    </w:p>
    <w:p w14:paraId="5018D04D">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1.4.1履约保证金的比例为合同金额的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25DFEB13">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1.4.2履约保证金支付方式详见</w:t>
      </w:r>
      <w:r>
        <w:rPr>
          <w:rFonts w:hint="eastAsia" w:ascii="宋体" w:hAnsi="宋体" w:eastAsia="宋体" w:cs="宋体"/>
          <w:color w:val="auto"/>
          <w:kern w:val="0"/>
          <w:sz w:val="24"/>
          <w:szCs w:val="24"/>
          <w:highlight w:val="none"/>
          <w:u w:val="single"/>
        </w:rPr>
        <w:t xml:space="preserve">    </w:t>
      </w:r>
      <w:r>
        <w:rPr>
          <w:rFonts w:hint="eastAsia" w:ascii="宋体" w:hAnsi="宋体" w:cs="宋体"/>
          <w:b/>
          <w:bCs/>
          <w:color w:val="auto"/>
          <w:kern w:val="0"/>
          <w:sz w:val="24"/>
          <w:szCs w:val="24"/>
          <w:highlight w:val="none"/>
          <w:u w:val="single"/>
          <w:lang w:val="en-US" w:eastAsia="zh-CN"/>
        </w:rPr>
        <w:t>合同专用条款</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1E06558">
      <w:pPr>
        <w:pStyle w:val="85"/>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eastAsia="宋体" w:cs="宋体"/>
          <w:color w:val="auto"/>
          <w:sz w:val="24"/>
          <w:szCs w:val="24"/>
          <w:highlight w:val="none"/>
        </w:rPr>
      </w:pPr>
      <w:r>
        <w:rPr>
          <w:rFonts w:hint="eastAsia" w:eastAsia="宋体" w:cs="宋体"/>
          <w:color w:val="auto"/>
          <w:sz w:val="24"/>
          <w:szCs w:val="24"/>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CE180F3">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1.4.4甲方在项目验收结束后及时退还履约保证金。甲方在项目通过验收之日起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4"/>
          <w:szCs w:val="24"/>
          <w:highlight w:val="none"/>
          <w:u w:val="single"/>
        </w:rPr>
        <w:t xml:space="preserve">  0.05（可根据情况修改）  </w:t>
      </w:r>
      <w:r>
        <w:rPr>
          <w:rFonts w:hint="eastAsia" w:ascii="宋体" w:hAnsi="宋体" w:eastAsia="宋体" w:cs="宋体"/>
          <w:color w:val="auto"/>
          <w:kern w:val="0"/>
          <w:sz w:val="24"/>
          <w:szCs w:val="24"/>
          <w:highlight w:val="none"/>
        </w:rPr>
        <w:t>%计算，最高限额为本合同履约保证金的</w:t>
      </w:r>
      <w:r>
        <w:rPr>
          <w:rFonts w:hint="eastAsia" w:ascii="宋体" w:hAnsi="宋体" w:eastAsia="宋体" w:cs="宋体"/>
          <w:color w:val="auto"/>
          <w:kern w:val="0"/>
          <w:sz w:val="24"/>
          <w:szCs w:val="24"/>
          <w:highlight w:val="none"/>
          <w:u w:val="single"/>
        </w:rPr>
        <w:t xml:space="preserve">  20  </w:t>
      </w:r>
      <w:r>
        <w:rPr>
          <w:rFonts w:hint="eastAsia" w:ascii="宋体" w:hAnsi="宋体" w:eastAsia="宋体" w:cs="宋体"/>
          <w:color w:val="auto"/>
          <w:kern w:val="0"/>
          <w:sz w:val="24"/>
          <w:szCs w:val="24"/>
          <w:highlight w:val="none"/>
        </w:rPr>
        <w:t xml:space="preserve"> %。</w:t>
      </w:r>
    </w:p>
    <w:p w14:paraId="1E910FA3">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w:t>
      </w:r>
      <w:bookmarkEnd w:id="420"/>
      <w:bookmarkEnd w:id="421"/>
      <w:bookmarkEnd w:id="422"/>
      <w:r>
        <w:rPr>
          <w:rFonts w:hint="eastAsia" w:ascii="宋体" w:hAnsi="宋体" w:eastAsia="宋体" w:cs="宋体"/>
          <w:b/>
          <w:color w:val="auto"/>
          <w:sz w:val="24"/>
          <w:szCs w:val="24"/>
          <w:highlight w:val="none"/>
        </w:rPr>
        <w:t>预付款</w:t>
      </w:r>
    </w:p>
    <w:p w14:paraId="56589AAB">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甲方</w:t>
      </w:r>
      <w:r>
        <w:rPr>
          <w:rFonts w:hint="eastAsia" w:eastAsia="宋体"/>
          <w:color w:val="auto"/>
          <w:sz w:val="24"/>
          <w:szCs w:val="24"/>
          <w:highlight w:val="none"/>
          <w:u w:val="single"/>
        </w:rPr>
        <w:t xml:space="preserve">  </w:t>
      </w:r>
      <w:r>
        <w:rPr>
          <w:rFonts w:hint="eastAsia" w:eastAsia="宋体"/>
          <w:color w:val="auto"/>
          <w:sz w:val="24"/>
          <w:szCs w:val="24"/>
          <w:highlight w:val="none"/>
          <w:u w:val="single"/>
          <w:lang w:val="en-US" w:eastAsia="zh-CN"/>
        </w:rPr>
        <w:t>是</w:t>
      </w:r>
      <w:r>
        <w:rPr>
          <w:rFonts w:hint="eastAsia" w:eastAsia="宋体"/>
          <w:color w:val="auto"/>
          <w:sz w:val="24"/>
          <w:szCs w:val="24"/>
          <w:highlight w:val="none"/>
          <w:u w:val="single"/>
        </w:rPr>
        <w:t xml:space="preserve">   </w:t>
      </w:r>
      <w:r>
        <w:rPr>
          <w:rFonts w:hint="eastAsia" w:eastAsia="宋体"/>
          <w:color w:val="auto"/>
          <w:sz w:val="24"/>
          <w:szCs w:val="24"/>
          <w:highlight w:val="none"/>
        </w:rPr>
        <w:t>（是/否）需要支付预付款。若需要支付预付款的，则：</w:t>
      </w:r>
    </w:p>
    <w:p w14:paraId="741A731B">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1.5.1预付款比例、支付方式</w:t>
      </w:r>
      <w:r>
        <w:rPr>
          <w:rFonts w:hint="eastAsia" w:ascii="宋体" w:hAnsi="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u w:val="single"/>
          <w:lang w:val="en-US" w:eastAsia="zh-CN"/>
        </w:rPr>
        <w:t>合同签订生效之日起10个工作日内</w:t>
      </w:r>
      <w:r>
        <w:rPr>
          <w:rFonts w:hint="eastAsia" w:ascii="宋体" w:hAnsi="宋体" w:cs="宋体"/>
          <w:b w:val="0"/>
          <w:bCs w:val="0"/>
          <w:color w:val="auto"/>
          <w:kern w:val="0"/>
          <w:sz w:val="24"/>
          <w:szCs w:val="24"/>
          <w:highlight w:val="none"/>
          <w:u w:val="single"/>
          <w:lang w:val="en-US" w:eastAsia="zh-CN"/>
        </w:rPr>
        <w:t>甲方</w:t>
      </w:r>
      <w:r>
        <w:rPr>
          <w:rFonts w:hint="eastAsia" w:ascii="宋体" w:hAnsi="宋体" w:eastAsia="宋体" w:cs="宋体"/>
          <w:b w:val="0"/>
          <w:bCs w:val="0"/>
          <w:color w:val="auto"/>
          <w:kern w:val="0"/>
          <w:sz w:val="24"/>
          <w:szCs w:val="24"/>
          <w:highlight w:val="none"/>
          <w:u w:val="single"/>
          <w:lang w:val="en-US" w:eastAsia="zh-CN"/>
        </w:rPr>
        <w:t>支付合同款的</w:t>
      </w:r>
      <w:r>
        <w:rPr>
          <w:rFonts w:hint="eastAsia" w:ascii="宋体" w:hAnsi="宋体" w:cs="宋体"/>
          <w:b w:val="0"/>
          <w:bCs w:val="0"/>
          <w:color w:val="auto"/>
          <w:kern w:val="0"/>
          <w:sz w:val="24"/>
          <w:szCs w:val="24"/>
          <w:highlight w:val="none"/>
          <w:u w:val="single"/>
          <w:lang w:val="en-US" w:eastAsia="zh-CN"/>
        </w:rPr>
        <w:t>4</w:t>
      </w:r>
      <w:r>
        <w:rPr>
          <w:rFonts w:hint="eastAsia" w:ascii="宋体" w:hAnsi="宋体" w:eastAsia="宋体" w:cs="宋体"/>
          <w:b w:val="0"/>
          <w:bCs w:val="0"/>
          <w:color w:val="auto"/>
          <w:kern w:val="0"/>
          <w:sz w:val="24"/>
          <w:szCs w:val="24"/>
          <w:highlight w:val="none"/>
          <w:u w:val="single"/>
          <w:lang w:val="en-US" w:eastAsia="zh-CN"/>
        </w:rPr>
        <w:t>0%</w:t>
      </w:r>
      <w:r>
        <w:rPr>
          <w:rFonts w:hint="eastAsia" w:ascii="宋体" w:hAnsi="宋体" w:eastAsia="宋体" w:cs="宋体"/>
          <w:b w:val="0"/>
          <w:bCs w:val="0"/>
          <w:color w:val="auto"/>
          <w:kern w:val="0"/>
          <w:sz w:val="24"/>
          <w:szCs w:val="24"/>
          <w:highlight w:val="none"/>
          <w:u w:val="single"/>
        </w:rPr>
        <w:t xml:space="preserve"> </w:t>
      </w:r>
      <w:r>
        <w:rPr>
          <w:rFonts w:hint="eastAsia" w:ascii="宋体" w:hAnsi="宋体" w:eastAsia="宋体" w:cs="宋体"/>
          <w:b w:val="0"/>
          <w:bCs w:val="0"/>
          <w:color w:val="auto"/>
          <w:kern w:val="0"/>
          <w:sz w:val="24"/>
          <w:szCs w:val="24"/>
          <w:highlight w:val="none"/>
        </w:rPr>
        <w:t>；</w:t>
      </w:r>
    </w:p>
    <w:p w14:paraId="0EC44290">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1.5.2预付款的扣回方式</w:t>
      </w:r>
      <w:r>
        <w:rPr>
          <w:rFonts w:hint="eastAsia"/>
          <w:color w:val="auto"/>
          <w:sz w:val="24"/>
          <w:szCs w:val="24"/>
          <w:highlight w:val="none"/>
          <w:lang w:eastAsia="zh-CN"/>
        </w:rPr>
        <w:t>：</w:t>
      </w:r>
      <w:r>
        <w:rPr>
          <w:rFonts w:hint="eastAsia" w:eastAsia="宋体"/>
          <w:color w:val="auto"/>
          <w:sz w:val="24"/>
          <w:szCs w:val="24"/>
          <w:highlight w:val="none"/>
          <w:u w:val="single"/>
        </w:rPr>
        <w:t xml:space="preserve"> </w:t>
      </w:r>
      <w:r>
        <w:rPr>
          <w:rFonts w:hint="eastAsia"/>
          <w:color w:val="auto"/>
          <w:sz w:val="24"/>
          <w:szCs w:val="24"/>
          <w:highlight w:val="none"/>
          <w:u w:val="single"/>
          <w:lang w:val="en-US" w:eastAsia="zh-CN"/>
        </w:rPr>
        <w:t>不需要扣回</w:t>
      </w:r>
      <w:r>
        <w:rPr>
          <w:rFonts w:hint="eastAsia" w:eastAsia="宋体"/>
          <w:color w:val="auto"/>
          <w:sz w:val="24"/>
          <w:szCs w:val="24"/>
          <w:highlight w:val="none"/>
          <w:u w:val="single"/>
        </w:rPr>
        <w:t xml:space="preserve"> </w:t>
      </w:r>
      <w:r>
        <w:rPr>
          <w:rFonts w:hint="eastAsia" w:eastAsia="宋体"/>
          <w:color w:val="auto"/>
          <w:sz w:val="24"/>
          <w:szCs w:val="24"/>
          <w:highlight w:val="none"/>
        </w:rPr>
        <w:t>；</w:t>
      </w:r>
    </w:p>
    <w:p w14:paraId="2E55EFC0">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u w:val="single"/>
        </w:rPr>
      </w:pPr>
      <w:r>
        <w:rPr>
          <w:rFonts w:hint="eastAsia" w:eastAsia="宋体"/>
          <w:color w:val="auto"/>
          <w:sz w:val="24"/>
          <w:szCs w:val="24"/>
          <w:highlight w:val="none"/>
        </w:rPr>
        <w:t>1.5.3预付款的担保措施详见</w:t>
      </w:r>
      <w:r>
        <w:rPr>
          <w:rFonts w:hint="eastAsia" w:eastAsia="宋体"/>
          <w:color w:val="auto"/>
          <w:sz w:val="24"/>
          <w:szCs w:val="24"/>
          <w:highlight w:val="none"/>
          <w:u w:val="single"/>
        </w:rPr>
        <w:t xml:space="preserve">    </w:t>
      </w:r>
      <w:r>
        <w:rPr>
          <w:rFonts w:hint="eastAsia" w:eastAsia="宋体"/>
          <w:b/>
          <w:color w:val="auto"/>
          <w:sz w:val="24"/>
          <w:szCs w:val="24"/>
          <w:highlight w:val="none"/>
          <w:u w:val="single"/>
        </w:rPr>
        <w:t>合同专用条款</w:t>
      </w:r>
      <w:r>
        <w:rPr>
          <w:rFonts w:hint="eastAsia" w:eastAsia="宋体"/>
          <w:color w:val="auto"/>
          <w:sz w:val="24"/>
          <w:szCs w:val="24"/>
          <w:highlight w:val="none"/>
          <w:u w:val="single"/>
        </w:rPr>
        <w:t xml:space="preserve">          </w:t>
      </w:r>
      <w:r>
        <w:rPr>
          <w:rFonts w:hint="eastAsia" w:eastAsia="宋体"/>
          <w:color w:val="auto"/>
          <w:sz w:val="24"/>
          <w:szCs w:val="24"/>
          <w:highlight w:val="none"/>
        </w:rPr>
        <w:t>。</w:t>
      </w:r>
    </w:p>
    <w:p w14:paraId="66D3838D">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2" w:firstLineChars="200"/>
        <w:textAlignment w:val="auto"/>
        <w:rPr>
          <w:rFonts w:eastAsia="宋体"/>
          <w:b/>
          <w:bCs/>
          <w:color w:val="auto"/>
          <w:sz w:val="24"/>
          <w:szCs w:val="24"/>
          <w:highlight w:val="none"/>
        </w:rPr>
      </w:pPr>
      <w:r>
        <w:rPr>
          <w:rFonts w:hint="eastAsia" w:eastAsia="宋体"/>
          <w:b/>
          <w:bCs/>
          <w:color w:val="auto"/>
          <w:sz w:val="24"/>
          <w:szCs w:val="24"/>
          <w:highlight w:val="none"/>
        </w:rPr>
        <w:t>1.6资金支付</w:t>
      </w:r>
    </w:p>
    <w:p w14:paraId="65513C78">
      <w:pPr>
        <w:pStyle w:val="959"/>
        <w:keepNext w:val="0"/>
        <w:keepLines w:val="0"/>
        <w:pageBreakBefore w:val="0"/>
        <w:kinsoku/>
        <w:wordWrap/>
        <w:overflowPunct/>
        <w:topLinePunct w:val="0"/>
        <w:autoSpaceDE/>
        <w:autoSpaceDN/>
        <w:bidi w:val="0"/>
        <w:spacing w:before="0" w:beforeAutospacing="0" w:after="0" w:afterAutospacing="0" w:line="460" w:lineRule="exact"/>
        <w:ind w:left="0" w:leftChars="0" w:right="0" w:rightChars="0" w:firstLine="480" w:firstLineChars="200"/>
        <w:textAlignment w:val="auto"/>
        <w:rPr>
          <w:rFonts w:eastAsia="宋体"/>
          <w:color w:val="auto"/>
          <w:sz w:val="24"/>
          <w:szCs w:val="24"/>
          <w:highlight w:val="none"/>
        </w:rPr>
      </w:pPr>
      <w:r>
        <w:rPr>
          <w:rFonts w:hint="eastAsia" w:eastAsia="宋体"/>
          <w:color w:val="auto"/>
          <w:sz w:val="24"/>
          <w:szCs w:val="24"/>
          <w:highlight w:val="none"/>
        </w:rPr>
        <w:t>1.6.1甲方应严格履行合同，及时组织验收，验收合格后及时将合同款支付完毕。对于满足合同约定支付条件的，甲方自收到</w:t>
      </w:r>
      <w:r>
        <w:rPr>
          <w:rFonts w:hint="eastAsia"/>
          <w:color w:val="auto"/>
          <w:sz w:val="24"/>
          <w:szCs w:val="24"/>
          <w:highlight w:val="none"/>
          <w:lang w:eastAsia="zh-CN"/>
        </w:rPr>
        <w:t>正式合法有效的</w:t>
      </w:r>
      <w:r>
        <w:rPr>
          <w:rFonts w:hint="eastAsia" w:eastAsia="宋体"/>
          <w:color w:val="auto"/>
          <w:sz w:val="24"/>
          <w:szCs w:val="24"/>
          <w:highlight w:val="none"/>
        </w:rPr>
        <w:t>发票后</w:t>
      </w:r>
      <w:r>
        <w:rPr>
          <w:rFonts w:hint="eastAsia"/>
          <w:color w:val="auto"/>
          <w:sz w:val="24"/>
          <w:szCs w:val="24"/>
          <w:highlight w:val="none"/>
          <w:lang w:val="en-US" w:eastAsia="zh-CN"/>
        </w:rPr>
        <w:t>10</w:t>
      </w:r>
      <w:r>
        <w:rPr>
          <w:rFonts w:hint="eastAsia" w:eastAsia="宋体"/>
          <w:color w:val="auto"/>
          <w:sz w:val="24"/>
          <w:szCs w:val="24"/>
          <w:highlight w:val="none"/>
        </w:rPr>
        <w:t>个工作日内将资金支付到合同约定的乙方账户，有条件的甲方可以即时支付。甲方不得以机构变动、人员更替、政策调整、单位放假等为由延迟付款。</w:t>
      </w:r>
    </w:p>
    <w:p w14:paraId="7B9F500B">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1.6.2资金支付的方式、时间和条件详见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71528E29">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 履行期限、地点和方式</w:t>
      </w:r>
      <w:bookmarkEnd w:id="423"/>
      <w:bookmarkEnd w:id="424"/>
      <w:bookmarkEnd w:id="425"/>
      <w:bookmarkEnd w:id="426"/>
      <w:bookmarkEnd w:id="427"/>
    </w:p>
    <w:p w14:paraId="31E8B856">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1.7.1 服务交付（实施）的时间（期限）：</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405F3237">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 服务交付（实施）的地点（地域范围）：</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2611DF79">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 服务交付（实施）的方式：</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193A82DB">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bCs/>
          <w:color w:val="auto"/>
          <w:sz w:val="24"/>
          <w:szCs w:val="24"/>
          <w:highlight w:val="none"/>
        </w:rPr>
      </w:pPr>
      <w:bookmarkStart w:id="428" w:name="_Toc24662"/>
      <w:bookmarkStart w:id="429" w:name="_Toc5698"/>
      <w:bookmarkStart w:id="430" w:name="_Toc2375"/>
      <w:bookmarkStart w:id="431" w:name="_Toc3079"/>
      <w:bookmarkStart w:id="432" w:name="_Toc8586"/>
      <w:r>
        <w:rPr>
          <w:rFonts w:hint="eastAsia" w:ascii="宋体" w:hAnsi="宋体" w:eastAsia="宋体" w:cs="宋体"/>
          <w:bCs/>
          <w:color w:val="auto"/>
          <w:sz w:val="24"/>
          <w:szCs w:val="24"/>
          <w:highlight w:val="none"/>
        </w:rPr>
        <w:t>1.7.4若服务涉及货物的，则货物的：</w:t>
      </w:r>
    </w:p>
    <w:p w14:paraId="50C09469">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1.7.4.1 交付期限：详见</w:t>
      </w:r>
      <w:r>
        <w:rPr>
          <w:rFonts w:hint="eastAsia" w:ascii="宋体" w:hAnsi="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52ADB275">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1.7.4.2 交付地点：</w:t>
      </w:r>
      <w:r>
        <w:rPr>
          <w:rFonts w:hint="eastAsia" w:ascii="宋体" w:hAnsi="宋体" w:cs="宋体"/>
          <w:b/>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229A3A63">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1.7.4.3 交付方式：</w:t>
      </w:r>
      <w:r>
        <w:rPr>
          <w:rFonts w:hint="eastAsia" w:ascii="宋体" w:hAnsi="宋体" w:cs="宋体"/>
          <w:b/>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1D693650">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1.8违约责任</w:t>
      </w:r>
      <w:bookmarkEnd w:id="428"/>
      <w:bookmarkEnd w:id="429"/>
      <w:bookmarkEnd w:id="430"/>
      <w:bookmarkEnd w:id="431"/>
      <w:bookmarkEnd w:id="432"/>
    </w:p>
    <w:p w14:paraId="421AF1BB">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0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30F56CB0">
      <w:pPr>
        <w:pStyle w:val="85"/>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eastAsia="宋体" w:cs="宋体"/>
          <w:b/>
          <w:bCs/>
          <w:color w:val="auto"/>
          <w:sz w:val="24"/>
          <w:szCs w:val="24"/>
          <w:highlight w:val="none"/>
        </w:rPr>
      </w:pPr>
      <w:r>
        <w:rPr>
          <w:rFonts w:hint="eastAsia" w:eastAsia="宋体" w:cs="宋体"/>
          <w:color w:val="auto"/>
          <w:sz w:val="24"/>
          <w:szCs w:val="24"/>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eastAsia="宋体" w:cs="宋体"/>
          <w:color w:val="auto"/>
          <w:sz w:val="24"/>
          <w:szCs w:val="24"/>
          <w:highlight w:val="none"/>
          <w:u w:val="single"/>
          <w:lang w:val="en-US" w:eastAsia="zh-CN"/>
        </w:rPr>
        <w:t>1</w:t>
      </w:r>
      <w:r>
        <w:rPr>
          <w:rFonts w:hint="eastAsia" w:eastAsia="宋体" w:cs="宋体"/>
          <w:color w:val="auto"/>
          <w:sz w:val="24"/>
          <w:szCs w:val="24"/>
          <w:highlight w:val="none"/>
          <w:u w:val="single"/>
        </w:rPr>
        <w:t xml:space="preserve"> </w:t>
      </w:r>
      <w:r>
        <w:rPr>
          <w:rFonts w:hint="eastAsia" w:eastAsia="宋体" w:cs="宋体"/>
          <w:color w:val="auto"/>
          <w:sz w:val="24"/>
          <w:szCs w:val="24"/>
          <w:highlight w:val="none"/>
        </w:rPr>
        <w:t>%计算，最高限额为本合同总价的</w:t>
      </w:r>
      <w:r>
        <w:rPr>
          <w:rFonts w:hint="eastAsia" w:eastAsia="宋体" w:cs="宋体"/>
          <w:color w:val="auto"/>
          <w:sz w:val="24"/>
          <w:szCs w:val="24"/>
          <w:highlight w:val="none"/>
          <w:u w:val="single"/>
        </w:rPr>
        <w:t xml:space="preserve">  </w:t>
      </w:r>
      <w:r>
        <w:rPr>
          <w:rFonts w:hint="eastAsia" w:eastAsia="宋体" w:cs="宋体"/>
          <w:color w:val="auto"/>
          <w:sz w:val="24"/>
          <w:szCs w:val="24"/>
          <w:highlight w:val="none"/>
          <w:u w:val="single"/>
          <w:lang w:val="en-US" w:eastAsia="zh-CN"/>
        </w:rPr>
        <w:t>3</w:t>
      </w:r>
      <w:r>
        <w:rPr>
          <w:rFonts w:hint="eastAsia" w:eastAsia="宋体" w:cs="宋体"/>
          <w:color w:val="auto"/>
          <w:sz w:val="24"/>
          <w:szCs w:val="24"/>
          <w:highlight w:val="none"/>
          <w:u w:val="single"/>
        </w:rPr>
        <w:t xml:space="preserve">0  </w:t>
      </w:r>
      <w:r>
        <w:rPr>
          <w:rFonts w:hint="eastAsia" w:eastAsia="宋体" w:cs="宋体"/>
          <w:color w:val="auto"/>
          <w:sz w:val="24"/>
          <w:szCs w:val="24"/>
          <w:highlight w:val="none"/>
        </w:rPr>
        <w:t>%；迟延交付货物的违约金计算数额达到前述最高限额之日起，甲方有权在要求乙方支付违约金的同时，书面通知乙方解除本合同；</w:t>
      </w:r>
    </w:p>
    <w:p w14:paraId="6D724150">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1.8.3</w:t>
      </w:r>
      <w:bookmarkStart w:id="433" w:name="_Toc32454"/>
      <w:bookmarkStart w:id="434" w:name="_Toc9497"/>
      <w:bookmarkStart w:id="435" w:name="_Toc18683"/>
      <w:bookmarkStart w:id="436" w:name="_Toc30329"/>
      <w:bookmarkStart w:id="437" w:name="_Toc26807"/>
      <w:r>
        <w:rPr>
          <w:rFonts w:hint="eastAsia" w:ascii="宋体" w:hAnsi="宋体" w:eastAsia="宋体" w:cs="宋体"/>
          <w:color w:val="auto"/>
          <w:sz w:val="24"/>
          <w:szCs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85A3CC9">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811068F">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如果出现政府采购监督管理部门在处理投诉事项期间，书面通知甲方暂停采购活动的情形，或者询问或质疑事项可能影响中标或者成交结果的，导致甲方中止履行合同的情形，均不视为甲方违约。</w:t>
      </w:r>
    </w:p>
    <w:p w14:paraId="4EA2B991">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违约责任</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另有约定的，从其约定。</w:t>
      </w:r>
    </w:p>
    <w:bookmarkEnd w:id="433"/>
    <w:bookmarkEnd w:id="434"/>
    <w:bookmarkEnd w:id="435"/>
    <w:bookmarkEnd w:id="436"/>
    <w:bookmarkEnd w:id="437"/>
    <w:p w14:paraId="2DDEADC2">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1.9合同争议的解决</w:t>
      </w:r>
    </w:p>
    <w:p w14:paraId="5FDB215A">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color w:val="auto"/>
          <w:sz w:val="24"/>
          <w:szCs w:val="24"/>
          <w:highlight w:val="none"/>
          <w:u w:val="single"/>
        </w:rPr>
        <w:t xml:space="preserve"> 1.9.2 </w:t>
      </w:r>
      <w:r>
        <w:rPr>
          <w:rFonts w:hint="eastAsia" w:ascii="宋体" w:hAnsi="宋体" w:eastAsia="宋体" w:cs="宋体"/>
          <w:color w:val="auto"/>
          <w:sz w:val="24"/>
          <w:szCs w:val="24"/>
          <w:highlight w:val="none"/>
        </w:rPr>
        <w:t>条款规定的方式解决：</w:t>
      </w:r>
    </w:p>
    <w:p w14:paraId="713CA361">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将争议提交</w:t>
      </w:r>
      <w:r>
        <w:rPr>
          <w:rFonts w:hint="eastAsia" w:ascii="宋体" w:hAnsi="宋体" w:cs="宋体"/>
          <w:b/>
          <w:color w:val="auto"/>
          <w:sz w:val="24"/>
          <w:szCs w:val="24"/>
          <w:highlight w:val="none"/>
          <w:u w:val="single"/>
          <w:lang w:val="en-US" w:eastAsia="zh-CN"/>
        </w:rPr>
        <w:t>北海</w:t>
      </w:r>
      <w:r>
        <w:rPr>
          <w:rFonts w:hint="eastAsia" w:ascii="宋体" w:hAnsi="宋体" w:eastAsia="宋体" w:cs="宋体"/>
          <w:color w:val="auto"/>
          <w:sz w:val="24"/>
          <w:szCs w:val="24"/>
          <w:highlight w:val="none"/>
        </w:rPr>
        <w:t>仲裁委员会依申请仲裁时其现行有效的仲裁规则裁决；</w:t>
      </w:r>
    </w:p>
    <w:p w14:paraId="0453E761">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向</w:t>
      </w:r>
      <w:r>
        <w:rPr>
          <w:rFonts w:hint="eastAsia" w:ascii="宋体" w:hAnsi="宋体" w:cs="宋体"/>
          <w:b/>
          <w:color w:val="auto"/>
          <w:sz w:val="24"/>
          <w:szCs w:val="24"/>
          <w:highlight w:val="none"/>
          <w:u w:val="single"/>
          <w:lang w:val="en-US" w:eastAsia="zh-CN"/>
        </w:rPr>
        <w:t>甲方住所地</w:t>
      </w:r>
      <w:r>
        <w:rPr>
          <w:rFonts w:hint="eastAsia" w:ascii="宋体" w:hAnsi="宋体" w:eastAsia="宋体" w:cs="宋体"/>
          <w:color w:val="auto"/>
          <w:sz w:val="24"/>
          <w:szCs w:val="24"/>
          <w:highlight w:val="none"/>
        </w:rPr>
        <w:t>人民法院起诉。</w:t>
      </w:r>
    </w:p>
    <w:p w14:paraId="262A051B">
      <w:pPr>
        <w:keepNext w:val="0"/>
        <w:keepLines w:val="0"/>
        <w:pageBreakBefore w:val="0"/>
        <w:kinsoku/>
        <w:wordWrap/>
        <w:overflowPunct/>
        <w:topLinePunct w:val="0"/>
        <w:autoSpaceDE/>
        <w:autoSpaceDN/>
        <w:bidi w:val="0"/>
        <w:spacing w:line="460" w:lineRule="exact"/>
        <w:ind w:left="0" w:leftChars="0" w:right="0" w:rightChars="0"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 合同生效</w:t>
      </w:r>
    </w:p>
    <w:p w14:paraId="292ADE4D">
      <w:pPr>
        <w:keepNext w:val="0"/>
        <w:keepLines w:val="0"/>
        <w:pageBreakBefore w:val="0"/>
        <w:kinsoku/>
        <w:wordWrap/>
        <w:overflowPunct/>
        <w:topLinePunct w:val="0"/>
        <w:autoSpaceDE/>
        <w:autoSpaceDN/>
        <w:bidi w:val="0"/>
        <w:spacing w:line="460" w:lineRule="exact"/>
        <w:ind w:left="0" w:leftChars="0" w:right="0" w:rightChars="0" w:firstLine="480" w:firstLineChars="200"/>
        <w:textAlignment w:val="auto"/>
        <w:rPr>
          <w:rFonts w:ascii="宋体" w:hAnsi="宋体" w:cs="宋体"/>
          <w:b/>
          <w:color w:val="auto"/>
          <w:sz w:val="24"/>
          <w:szCs w:val="24"/>
          <w:highlight w:val="none"/>
        </w:rPr>
      </w:pPr>
      <w:r>
        <w:rPr>
          <w:rFonts w:hint="eastAsia" w:ascii="宋体" w:hAnsi="宋体" w:eastAsia="宋体" w:cs="宋体"/>
          <w:color w:val="auto"/>
          <w:sz w:val="24"/>
          <w:szCs w:val="24"/>
          <w:highlight w:val="none"/>
        </w:rPr>
        <w:t>本合同自双方当事人盖章签字时生效。</w:t>
      </w:r>
    </w:p>
    <w:p w14:paraId="3136EFA8">
      <w:pPr>
        <w:autoSpaceDE w:val="0"/>
        <w:autoSpaceDN w:val="0"/>
        <w:ind w:firstLine="420"/>
        <w:rPr>
          <w:rFonts w:ascii="宋体" w:hAnsi="宋体"/>
          <w:color w:val="auto"/>
          <w:sz w:val="24"/>
          <w:szCs w:val="24"/>
          <w:highlight w:val="none"/>
          <w:lang w:val="zh-CN"/>
        </w:rPr>
      </w:pPr>
    </w:p>
    <w:tbl>
      <w:tblPr>
        <w:tblStyle w:val="63"/>
        <w:tblW w:w="98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946"/>
        <w:gridCol w:w="2049"/>
        <w:gridCol w:w="2817"/>
        <w:gridCol w:w="2086"/>
      </w:tblGrid>
      <w:tr w14:paraId="4F4FEA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7" w:hRule="atLeast"/>
          <w:jc w:val="center"/>
        </w:trPr>
        <w:tc>
          <w:tcPr>
            <w:tcW w:w="4995" w:type="dxa"/>
            <w:gridSpan w:val="2"/>
            <w:tcBorders>
              <w:top w:val="single" w:color="auto" w:sz="4" w:space="0"/>
              <w:left w:val="single" w:color="auto" w:sz="4" w:space="0"/>
              <w:bottom w:val="single" w:color="auto" w:sz="2" w:space="0"/>
              <w:right w:val="single" w:color="auto" w:sz="2" w:space="0"/>
            </w:tcBorders>
            <w:vAlign w:val="center"/>
          </w:tcPr>
          <w:p w14:paraId="6F586B3F">
            <w:pPr>
              <w:snapToGrid w:val="0"/>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、受</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委托签订合同的单位或采购文件约定的合同甲方）</w:t>
            </w:r>
          </w:p>
        </w:tc>
        <w:tc>
          <w:tcPr>
            <w:tcW w:w="4903" w:type="dxa"/>
            <w:gridSpan w:val="2"/>
            <w:tcBorders>
              <w:top w:val="single" w:color="auto" w:sz="4" w:space="0"/>
              <w:left w:val="single" w:color="auto" w:sz="2" w:space="0"/>
              <w:bottom w:val="single" w:color="auto" w:sz="2" w:space="0"/>
              <w:right w:val="single" w:color="auto" w:sz="4" w:space="0"/>
            </w:tcBorders>
            <w:vAlign w:val="center"/>
          </w:tcPr>
          <w:p w14:paraId="716F602C">
            <w:pPr>
              <w:snapToGrid w:val="0"/>
              <w:ind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tc>
      </w:tr>
      <w:tr w14:paraId="70D5A5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93"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09EBFC0A">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490A0B01">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（公章或合同章）</w:t>
            </w:r>
          </w:p>
        </w:tc>
        <w:tc>
          <w:tcPr>
            <w:tcW w:w="2049" w:type="dxa"/>
            <w:tcBorders>
              <w:top w:val="single" w:color="auto" w:sz="2" w:space="0"/>
              <w:left w:val="single" w:color="auto" w:sz="2" w:space="0"/>
              <w:bottom w:val="single" w:color="auto" w:sz="2" w:space="0"/>
              <w:right w:val="single" w:color="auto" w:sz="2" w:space="0"/>
            </w:tcBorders>
            <w:vAlign w:val="center"/>
          </w:tcPr>
          <w:p w14:paraId="6058C588">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6C8DBF50">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p w14:paraId="557C32BB">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（公章或合同章）</w:t>
            </w:r>
          </w:p>
        </w:tc>
        <w:tc>
          <w:tcPr>
            <w:tcW w:w="2086" w:type="dxa"/>
            <w:tcBorders>
              <w:top w:val="single" w:color="auto" w:sz="2" w:space="0"/>
              <w:left w:val="single" w:color="auto" w:sz="2" w:space="0"/>
              <w:bottom w:val="single" w:color="auto" w:sz="2" w:space="0"/>
              <w:right w:val="single" w:color="auto" w:sz="4" w:space="0"/>
            </w:tcBorders>
            <w:vAlign w:val="center"/>
          </w:tcPr>
          <w:p w14:paraId="0819A8BA">
            <w:pPr>
              <w:snapToGrid w:val="0"/>
              <w:ind w:firstLine="0" w:firstLineChars="0"/>
              <w:jc w:val="center"/>
              <w:rPr>
                <w:rFonts w:ascii="宋体" w:hAnsi="宋体" w:eastAsia="宋体" w:cs="宋体"/>
                <w:color w:val="auto"/>
                <w:spacing w:val="20"/>
                <w:sz w:val="24"/>
                <w:szCs w:val="24"/>
                <w:highlight w:val="none"/>
              </w:rPr>
            </w:pPr>
          </w:p>
        </w:tc>
      </w:tr>
      <w:tr w14:paraId="4AC4C0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270"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57B7B478">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2384E449">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2049" w:type="dxa"/>
            <w:tcBorders>
              <w:top w:val="single" w:color="auto" w:sz="2" w:space="0"/>
              <w:left w:val="single" w:color="auto" w:sz="2" w:space="0"/>
              <w:bottom w:val="single" w:color="auto" w:sz="2" w:space="0"/>
              <w:right w:val="single" w:color="auto" w:sz="2" w:space="0"/>
            </w:tcBorders>
            <w:vAlign w:val="center"/>
          </w:tcPr>
          <w:p w14:paraId="68331D61">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right w:val="single" w:color="auto" w:sz="2" w:space="0"/>
            </w:tcBorders>
            <w:vAlign w:val="center"/>
          </w:tcPr>
          <w:p w14:paraId="4CAC7000">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7B33EFD5">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2086" w:type="dxa"/>
            <w:tcBorders>
              <w:top w:val="single" w:color="auto" w:sz="2" w:space="0"/>
              <w:left w:val="single" w:color="auto" w:sz="2" w:space="0"/>
              <w:bottom w:val="single" w:color="auto" w:sz="2" w:space="0"/>
              <w:right w:val="single" w:color="auto" w:sz="4" w:space="0"/>
            </w:tcBorders>
            <w:vAlign w:val="center"/>
          </w:tcPr>
          <w:p w14:paraId="21F3DAFE">
            <w:pPr>
              <w:snapToGrid w:val="0"/>
              <w:ind w:firstLine="0" w:firstLineChars="0"/>
              <w:jc w:val="center"/>
              <w:rPr>
                <w:rFonts w:ascii="宋体" w:hAnsi="宋体" w:eastAsia="宋体" w:cs="宋体"/>
                <w:color w:val="auto"/>
                <w:sz w:val="24"/>
                <w:szCs w:val="24"/>
                <w:highlight w:val="none"/>
              </w:rPr>
            </w:pPr>
          </w:p>
        </w:tc>
      </w:tr>
      <w:tr w14:paraId="0D3BAA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6A3FE83C">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2049" w:type="dxa"/>
            <w:tcBorders>
              <w:top w:val="single" w:color="auto" w:sz="2" w:space="0"/>
              <w:left w:val="single" w:color="auto" w:sz="2" w:space="0"/>
              <w:bottom w:val="single" w:color="auto" w:sz="2" w:space="0"/>
              <w:right w:val="single" w:color="auto" w:sz="2" w:space="0"/>
            </w:tcBorders>
            <w:vAlign w:val="center"/>
          </w:tcPr>
          <w:p w14:paraId="0579A6F2">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70E220E1">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2086" w:type="dxa"/>
            <w:tcBorders>
              <w:top w:val="single" w:color="auto" w:sz="2" w:space="0"/>
              <w:left w:val="single" w:color="auto" w:sz="2" w:space="0"/>
              <w:bottom w:val="single" w:color="auto" w:sz="2" w:space="0"/>
              <w:right w:val="single" w:color="auto" w:sz="4" w:space="0"/>
            </w:tcBorders>
            <w:vAlign w:val="center"/>
          </w:tcPr>
          <w:p w14:paraId="4AEEE2AA">
            <w:pPr>
              <w:snapToGrid w:val="0"/>
              <w:ind w:firstLine="0" w:firstLineChars="0"/>
              <w:jc w:val="center"/>
              <w:rPr>
                <w:rFonts w:ascii="宋体" w:hAnsi="宋体" w:eastAsia="宋体" w:cs="宋体"/>
                <w:color w:val="auto"/>
                <w:spacing w:val="20"/>
                <w:sz w:val="24"/>
                <w:szCs w:val="24"/>
                <w:highlight w:val="none"/>
              </w:rPr>
            </w:pPr>
          </w:p>
        </w:tc>
      </w:tr>
      <w:tr w14:paraId="70C92B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16D5A6DA">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2049" w:type="dxa"/>
            <w:tcBorders>
              <w:top w:val="single" w:color="auto" w:sz="2" w:space="0"/>
              <w:left w:val="single" w:color="auto" w:sz="2" w:space="0"/>
              <w:bottom w:val="single" w:color="auto" w:sz="2" w:space="0"/>
              <w:right w:val="single" w:color="auto" w:sz="2" w:space="0"/>
            </w:tcBorders>
            <w:vAlign w:val="center"/>
          </w:tcPr>
          <w:p w14:paraId="4DE19836">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714BF7AA">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2086" w:type="dxa"/>
            <w:tcBorders>
              <w:top w:val="single" w:color="auto" w:sz="2" w:space="0"/>
              <w:left w:val="single" w:color="auto" w:sz="2" w:space="0"/>
              <w:bottom w:val="single" w:color="auto" w:sz="2" w:space="0"/>
              <w:right w:val="single" w:color="auto" w:sz="4" w:space="0"/>
            </w:tcBorders>
            <w:vAlign w:val="center"/>
          </w:tcPr>
          <w:p w14:paraId="174F6419">
            <w:pPr>
              <w:snapToGrid w:val="0"/>
              <w:ind w:firstLine="0" w:firstLineChars="0"/>
              <w:jc w:val="center"/>
              <w:rPr>
                <w:rFonts w:ascii="宋体" w:hAnsi="宋体" w:eastAsia="宋体" w:cs="宋体"/>
                <w:color w:val="auto"/>
                <w:spacing w:val="20"/>
                <w:sz w:val="24"/>
                <w:szCs w:val="24"/>
                <w:highlight w:val="none"/>
              </w:rPr>
            </w:pPr>
          </w:p>
        </w:tc>
      </w:tr>
      <w:tr w14:paraId="612747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66364071">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049" w:type="dxa"/>
            <w:tcBorders>
              <w:top w:val="single" w:color="auto" w:sz="2" w:space="0"/>
              <w:left w:val="single" w:color="auto" w:sz="2" w:space="0"/>
              <w:bottom w:val="single" w:color="auto" w:sz="2" w:space="0"/>
              <w:right w:val="single" w:color="auto" w:sz="2" w:space="0"/>
            </w:tcBorders>
            <w:vAlign w:val="center"/>
          </w:tcPr>
          <w:p w14:paraId="6DF41D48">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21DB0FF1">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086" w:type="dxa"/>
            <w:tcBorders>
              <w:top w:val="single" w:color="auto" w:sz="2" w:space="0"/>
              <w:left w:val="single" w:color="auto" w:sz="2" w:space="0"/>
              <w:bottom w:val="single" w:color="auto" w:sz="2" w:space="0"/>
              <w:right w:val="single" w:color="auto" w:sz="4" w:space="0"/>
            </w:tcBorders>
            <w:vAlign w:val="center"/>
          </w:tcPr>
          <w:p w14:paraId="13B203B5">
            <w:pPr>
              <w:snapToGrid w:val="0"/>
              <w:ind w:firstLine="0" w:firstLineChars="0"/>
              <w:jc w:val="center"/>
              <w:rPr>
                <w:rFonts w:ascii="宋体" w:hAnsi="宋体" w:eastAsia="宋体" w:cs="宋体"/>
                <w:color w:val="auto"/>
                <w:spacing w:val="20"/>
                <w:sz w:val="24"/>
                <w:szCs w:val="24"/>
                <w:highlight w:val="none"/>
              </w:rPr>
            </w:pPr>
          </w:p>
        </w:tc>
      </w:tr>
      <w:tr w14:paraId="1A6B2E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6A8A29EB">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2049" w:type="dxa"/>
            <w:tcBorders>
              <w:top w:val="single" w:color="auto" w:sz="2" w:space="0"/>
              <w:left w:val="single" w:color="auto" w:sz="2" w:space="0"/>
              <w:bottom w:val="single" w:color="auto" w:sz="2" w:space="0"/>
              <w:right w:val="single" w:color="auto" w:sz="2" w:space="0"/>
            </w:tcBorders>
            <w:vAlign w:val="center"/>
          </w:tcPr>
          <w:p w14:paraId="13E74C36">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0251496">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2086" w:type="dxa"/>
            <w:tcBorders>
              <w:top w:val="single" w:color="auto" w:sz="2" w:space="0"/>
              <w:left w:val="single" w:color="auto" w:sz="2" w:space="0"/>
              <w:bottom w:val="single" w:color="auto" w:sz="2" w:space="0"/>
              <w:right w:val="single" w:color="auto" w:sz="4" w:space="0"/>
            </w:tcBorders>
            <w:vAlign w:val="center"/>
          </w:tcPr>
          <w:p w14:paraId="3F37EF27">
            <w:pPr>
              <w:snapToGrid w:val="0"/>
              <w:ind w:firstLine="0" w:firstLineChars="0"/>
              <w:jc w:val="center"/>
              <w:rPr>
                <w:rFonts w:ascii="宋体" w:hAnsi="宋体" w:eastAsia="宋体" w:cs="宋体"/>
                <w:color w:val="auto"/>
                <w:spacing w:val="20"/>
                <w:sz w:val="24"/>
                <w:szCs w:val="24"/>
                <w:highlight w:val="none"/>
              </w:rPr>
            </w:pPr>
          </w:p>
        </w:tc>
      </w:tr>
      <w:tr w14:paraId="7DBE73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37D6A14D">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049" w:type="dxa"/>
            <w:tcBorders>
              <w:top w:val="single" w:color="auto" w:sz="2" w:space="0"/>
              <w:left w:val="single" w:color="auto" w:sz="2" w:space="0"/>
              <w:bottom w:val="single" w:color="auto" w:sz="2" w:space="0"/>
              <w:right w:val="single" w:color="auto" w:sz="2" w:space="0"/>
            </w:tcBorders>
            <w:vAlign w:val="center"/>
          </w:tcPr>
          <w:p w14:paraId="5A8CA5BD">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79100F05">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086" w:type="dxa"/>
            <w:tcBorders>
              <w:top w:val="single" w:color="auto" w:sz="2" w:space="0"/>
              <w:left w:val="single" w:color="auto" w:sz="2" w:space="0"/>
              <w:bottom w:val="single" w:color="auto" w:sz="2" w:space="0"/>
              <w:right w:val="single" w:color="auto" w:sz="4" w:space="0"/>
            </w:tcBorders>
            <w:vAlign w:val="center"/>
          </w:tcPr>
          <w:p w14:paraId="591509FD">
            <w:pPr>
              <w:snapToGrid w:val="0"/>
              <w:ind w:firstLine="0" w:firstLineChars="0"/>
              <w:jc w:val="center"/>
              <w:rPr>
                <w:rFonts w:ascii="宋体" w:hAnsi="宋体" w:eastAsia="宋体" w:cs="宋体"/>
                <w:color w:val="auto"/>
                <w:spacing w:val="20"/>
                <w:sz w:val="24"/>
                <w:szCs w:val="24"/>
                <w:highlight w:val="none"/>
              </w:rPr>
            </w:pPr>
          </w:p>
        </w:tc>
      </w:tr>
      <w:tr w14:paraId="3B149B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331EE20C">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049" w:type="dxa"/>
            <w:tcBorders>
              <w:top w:val="single" w:color="auto" w:sz="2" w:space="0"/>
              <w:left w:val="single" w:color="auto" w:sz="2" w:space="0"/>
              <w:bottom w:val="single" w:color="auto" w:sz="2" w:space="0"/>
              <w:right w:val="single" w:color="auto" w:sz="2" w:space="0"/>
            </w:tcBorders>
            <w:vAlign w:val="center"/>
          </w:tcPr>
          <w:p w14:paraId="395FFA3E">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002D5C8D">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2086" w:type="dxa"/>
            <w:tcBorders>
              <w:top w:val="single" w:color="auto" w:sz="2" w:space="0"/>
              <w:left w:val="single" w:color="auto" w:sz="2" w:space="0"/>
              <w:bottom w:val="single" w:color="auto" w:sz="2" w:space="0"/>
              <w:right w:val="single" w:color="auto" w:sz="4" w:space="0"/>
            </w:tcBorders>
            <w:vAlign w:val="center"/>
          </w:tcPr>
          <w:p w14:paraId="43D5CDEC">
            <w:pPr>
              <w:snapToGrid w:val="0"/>
              <w:ind w:firstLine="0" w:firstLineChars="0"/>
              <w:jc w:val="center"/>
              <w:rPr>
                <w:rFonts w:ascii="宋体" w:hAnsi="宋体" w:eastAsia="宋体" w:cs="宋体"/>
                <w:color w:val="auto"/>
                <w:spacing w:val="20"/>
                <w:sz w:val="24"/>
                <w:szCs w:val="24"/>
                <w:highlight w:val="none"/>
              </w:rPr>
            </w:pPr>
          </w:p>
        </w:tc>
      </w:tr>
      <w:tr w14:paraId="1F012E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2B7E3ECE">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049" w:type="dxa"/>
            <w:tcBorders>
              <w:top w:val="single" w:color="auto" w:sz="2" w:space="0"/>
              <w:left w:val="single" w:color="auto" w:sz="2" w:space="0"/>
              <w:bottom w:val="single" w:color="auto" w:sz="2" w:space="0"/>
              <w:right w:val="single" w:color="auto" w:sz="2" w:space="0"/>
            </w:tcBorders>
            <w:vAlign w:val="center"/>
          </w:tcPr>
          <w:p w14:paraId="075AAEDB">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70894B05">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2086" w:type="dxa"/>
            <w:tcBorders>
              <w:top w:val="single" w:color="auto" w:sz="2" w:space="0"/>
              <w:left w:val="single" w:color="auto" w:sz="2" w:space="0"/>
              <w:bottom w:val="single" w:color="auto" w:sz="2" w:space="0"/>
              <w:right w:val="single" w:color="auto" w:sz="4" w:space="0"/>
            </w:tcBorders>
            <w:vAlign w:val="center"/>
          </w:tcPr>
          <w:p w14:paraId="26EE3B2B">
            <w:pPr>
              <w:snapToGrid w:val="0"/>
              <w:ind w:firstLine="0" w:firstLineChars="0"/>
              <w:jc w:val="center"/>
              <w:rPr>
                <w:rFonts w:ascii="宋体" w:hAnsi="宋体" w:eastAsia="宋体" w:cs="宋体"/>
                <w:color w:val="auto"/>
                <w:spacing w:val="20"/>
                <w:sz w:val="24"/>
                <w:szCs w:val="24"/>
                <w:highlight w:val="none"/>
              </w:rPr>
            </w:pPr>
          </w:p>
        </w:tc>
      </w:tr>
      <w:tr w14:paraId="2067E4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11362CE9">
            <w:pPr>
              <w:snapToGrid w:val="0"/>
              <w:ind w:firstLine="0" w:firstLineChars="0"/>
              <w:jc w:val="left"/>
              <w:rPr>
                <w:rFonts w:ascii="宋体" w:hAnsi="宋体" w:eastAsia="宋体" w:cs="宋体"/>
                <w:color w:val="auto"/>
                <w:sz w:val="24"/>
                <w:szCs w:val="24"/>
                <w:highlight w:val="none"/>
              </w:rPr>
            </w:pPr>
          </w:p>
        </w:tc>
        <w:tc>
          <w:tcPr>
            <w:tcW w:w="2049" w:type="dxa"/>
            <w:tcBorders>
              <w:top w:val="single" w:color="auto" w:sz="2" w:space="0"/>
              <w:left w:val="single" w:color="auto" w:sz="2" w:space="0"/>
              <w:bottom w:val="single" w:color="auto" w:sz="2" w:space="0"/>
              <w:right w:val="single" w:color="auto" w:sz="2" w:space="0"/>
            </w:tcBorders>
            <w:vAlign w:val="center"/>
          </w:tcPr>
          <w:p w14:paraId="311966F2">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625256C2">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2086" w:type="dxa"/>
            <w:tcBorders>
              <w:top w:val="single" w:color="auto" w:sz="2" w:space="0"/>
              <w:left w:val="single" w:color="auto" w:sz="2" w:space="0"/>
              <w:bottom w:val="single" w:color="auto" w:sz="2" w:space="0"/>
              <w:right w:val="single" w:color="auto" w:sz="4" w:space="0"/>
            </w:tcBorders>
            <w:vAlign w:val="center"/>
          </w:tcPr>
          <w:p w14:paraId="4A6C6D1F">
            <w:pPr>
              <w:snapToGrid w:val="0"/>
              <w:ind w:firstLine="0" w:firstLineChars="0"/>
              <w:jc w:val="center"/>
              <w:rPr>
                <w:rFonts w:ascii="宋体" w:hAnsi="宋体" w:eastAsia="宋体" w:cs="宋体"/>
                <w:color w:val="auto"/>
                <w:spacing w:val="20"/>
                <w:sz w:val="24"/>
                <w:szCs w:val="24"/>
                <w:highlight w:val="none"/>
              </w:rPr>
            </w:pPr>
          </w:p>
        </w:tc>
      </w:tr>
      <w:tr w14:paraId="77768E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5502EBA7">
            <w:pPr>
              <w:snapToGrid w:val="0"/>
              <w:ind w:firstLine="0" w:firstLineChars="0"/>
              <w:jc w:val="left"/>
              <w:rPr>
                <w:rFonts w:ascii="宋体" w:hAnsi="宋体" w:eastAsia="宋体" w:cs="宋体"/>
                <w:color w:val="auto"/>
                <w:sz w:val="24"/>
                <w:szCs w:val="24"/>
                <w:highlight w:val="none"/>
              </w:rPr>
            </w:pPr>
          </w:p>
        </w:tc>
        <w:tc>
          <w:tcPr>
            <w:tcW w:w="2049" w:type="dxa"/>
            <w:tcBorders>
              <w:top w:val="single" w:color="auto" w:sz="2" w:space="0"/>
              <w:left w:val="single" w:color="auto" w:sz="2" w:space="0"/>
              <w:bottom w:val="single" w:color="auto" w:sz="2" w:space="0"/>
              <w:right w:val="single" w:color="auto" w:sz="2" w:space="0"/>
            </w:tcBorders>
            <w:vAlign w:val="center"/>
          </w:tcPr>
          <w:p w14:paraId="5A5C7258">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3FB25935">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086" w:type="dxa"/>
            <w:tcBorders>
              <w:top w:val="single" w:color="auto" w:sz="2" w:space="0"/>
              <w:left w:val="single" w:color="auto" w:sz="2" w:space="0"/>
              <w:bottom w:val="single" w:color="auto" w:sz="2" w:space="0"/>
              <w:right w:val="single" w:color="auto" w:sz="4" w:space="0"/>
            </w:tcBorders>
            <w:vAlign w:val="center"/>
          </w:tcPr>
          <w:p w14:paraId="01BA4079">
            <w:pPr>
              <w:snapToGrid w:val="0"/>
              <w:ind w:firstLine="0" w:firstLineChars="0"/>
              <w:jc w:val="center"/>
              <w:rPr>
                <w:rFonts w:ascii="宋体" w:hAnsi="宋体" w:eastAsia="宋体" w:cs="宋体"/>
                <w:color w:val="auto"/>
                <w:spacing w:val="20"/>
                <w:sz w:val="24"/>
                <w:szCs w:val="24"/>
                <w:highlight w:val="none"/>
              </w:rPr>
            </w:pPr>
          </w:p>
        </w:tc>
      </w:tr>
      <w:tr w14:paraId="10EAAB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2946" w:type="dxa"/>
            <w:tcBorders>
              <w:top w:val="single" w:color="auto" w:sz="2" w:space="0"/>
              <w:left w:val="single" w:color="auto" w:sz="4" w:space="0"/>
              <w:bottom w:val="single" w:color="auto" w:sz="2" w:space="0"/>
              <w:right w:val="single" w:color="auto" w:sz="2" w:space="0"/>
            </w:tcBorders>
            <w:vAlign w:val="center"/>
          </w:tcPr>
          <w:p w14:paraId="34183B65">
            <w:pPr>
              <w:snapToGrid w:val="0"/>
              <w:ind w:firstLine="0" w:firstLineChars="0"/>
              <w:jc w:val="left"/>
              <w:rPr>
                <w:rFonts w:ascii="宋体" w:hAnsi="宋体" w:eastAsia="宋体" w:cs="宋体"/>
                <w:color w:val="auto"/>
                <w:sz w:val="24"/>
                <w:szCs w:val="24"/>
                <w:highlight w:val="none"/>
              </w:rPr>
            </w:pPr>
          </w:p>
        </w:tc>
        <w:tc>
          <w:tcPr>
            <w:tcW w:w="2049" w:type="dxa"/>
            <w:tcBorders>
              <w:top w:val="single" w:color="auto" w:sz="2" w:space="0"/>
              <w:left w:val="single" w:color="auto" w:sz="2" w:space="0"/>
              <w:bottom w:val="single" w:color="auto" w:sz="2" w:space="0"/>
              <w:right w:val="single" w:color="auto" w:sz="2" w:space="0"/>
            </w:tcBorders>
            <w:vAlign w:val="center"/>
          </w:tcPr>
          <w:p w14:paraId="60F80340">
            <w:pPr>
              <w:snapToGrid w:val="0"/>
              <w:ind w:firstLine="0" w:firstLineChars="0"/>
              <w:jc w:val="center"/>
              <w:rPr>
                <w:rFonts w:ascii="宋体" w:hAnsi="宋体" w:eastAsia="宋体" w:cs="宋体"/>
                <w:color w:val="auto"/>
                <w:sz w:val="24"/>
                <w:szCs w:val="24"/>
                <w:highlight w:val="none"/>
              </w:rPr>
            </w:pPr>
          </w:p>
        </w:tc>
        <w:tc>
          <w:tcPr>
            <w:tcW w:w="2817" w:type="dxa"/>
            <w:tcBorders>
              <w:top w:val="single" w:color="auto" w:sz="2" w:space="0"/>
              <w:left w:val="single" w:color="auto" w:sz="2" w:space="0"/>
              <w:bottom w:val="single" w:color="auto" w:sz="2" w:space="0"/>
              <w:right w:val="single" w:color="auto" w:sz="2" w:space="0"/>
            </w:tcBorders>
            <w:vAlign w:val="center"/>
          </w:tcPr>
          <w:p w14:paraId="18E4A542">
            <w:pPr>
              <w:snapToGrid w:val="0"/>
              <w:ind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2086" w:type="dxa"/>
            <w:tcBorders>
              <w:top w:val="single" w:color="auto" w:sz="2" w:space="0"/>
              <w:left w:val="single" w:color="auto" w:sz="2" w:space="0"/>
              <w:bottom w:val="single" w:color="auto" w:sz="2" w:space="0"/>
              <w:right w:val="single" w:color="auto" w:sz="4" w:space="0"/>
            </w:tcBorders>
            <w:vAlign w:val="center"/>
          </w:tcPr>
          <w:p w14:paraId="0375B1BD">
            <w:pPr>
              <w:snapToGrid w:val="0"/>
              <w:ind w:firstLine="0" w:firstLineChars="0"/>
              <w:jc w:val="center"/>
              <w:rPr>
                <w:rFonts w:ascii="宋体" w:hAnsi="宋体" w:eastAsia="宋体" w:cs="宋体"/>
                <w:color w:val="auto"/>
                <w:spacing w:val="20"/>
                <w:sz w:val="24"/>
                <w:szCs w:val="24"/>
                <w:highlight w:val="none"/>
              </w:rPr>
            </w:pPr>
          </w:p>
        </w:tc>
      </w:tr>
      <w:tr w14:paraId="2ABF42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15" w:hRule="atLeast"/>
          <w:jc w:val="center"/>
        </w:trPr>
        <w:tc>
          <w:tcPr>
            <w:tcW w:w="9898" w:type="dxa"/>
            <w:gridSpan w:val="4"/>
            <w:tcBorders>
              <w:top w:val="single" w:color="auto" w:sz="2" w:space="0"/>
              <w:left w:val="single" w:color="auto" w:sz="4" w:space="0"/>
              <w:bottom w:val="single" w:color="auto" w:sz="4" w:space="0"/>
              <w:right w:val="single" w:color="auto" w:sz="4" w:space="0"/>
            </w:tcBorders>
            <w:vAlign w:val="center"/>
          </w:tcPr>
          <w:p w14:paraId="5A405619">
            <w:pPr>
              <w:snapToGrid w:val="0"/>
              <w:ind w:firstLine="0" w:firstLineChars="0"/>
              <w:jc w:val="left"/>
              <w:rPr>
                <w:rFonts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注：涉及联合体或其他合同主体的信息应按上表格式加列。</w:t>
            </w:r>
          </w:p>
        </w:tc>
      </w:tr>
    </w:tbl>
    <w:p w14:paraId="0ECD6DEE">
      <w:pPr>
        <w:widowControl/>
        <w:spacing w:line="360" w:lineRule="auto"/>
        <w:ind w:firstLine="482"/>
        <w:jc w:val="left"/>
        <w:rPr>
          <w:rFonts w:ascii="宋体" w:hAnsi="宋体"/>
          <w:b/>
          <w:color w:val="auto"/>
          <w:sz w:val="24"/>
          <w:highlight w:val="none"/>
        </w:rPr>
      </w:pPr>
    </w:p>
    <w:p w14:paraId="4EE95C69">
      <w:pPr>
        <w:pStyle w:val="3"/>
        <w:spacing w:before="156" w:after="156"/>
        <w:jc w:val="center"/>
        <w:rPr>
          <w:color w:val="auto"/>
          <w:highlight w:val="none"/>
        </w:rPr>
      </w:pPr>
      <w:bookmarkStart w:id="438" w:name="_Toc16001"/>
      <w:r>
        <w:rPr>
          <w:rFonts w:hint="eastAsia"/>
          <w:color w:val="auto"/>
          <w:highlight w:val="none"/>
        </w:rPr>
        <w:t>第二节</w:t>
      </w:r>
      <w:r>
        <w:rPr>
          <w:color w:val="auto"/>
          <w:highlight w:val="none"/>
        </w:rPr>
        <w:t xml:space="preserve"> </w:t>
      </w:r>
      <w:r>
        <w:rPr>
          <w:rFonts w:hint="eastAsia"/>
          <w:color w:val="auto"/>
          <w:highlight w:val="none"/>
        </w:rPr>
        <w:t>合同一般条款</w:t>
      </w:r>
      <w:bookmarkEnd w:id="438"/>
    </w:p>
    <w:p w14:paraId="487AA0EB">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39" w:name="_Toc25079"/>
      <w:bookmarkStart w:id="440" w:name="_Toc5228"/>
      <w:bookmarkStart w:id="441" w:name="_Toc19680"/>
      <w:bookmarkStart w:id="442" w:name="_Toc14021"/>
      <w:bookmarkStart w:id="443" w:name="_Toc31297"/>
      <w:r>
        <w:rPr>
          <w:rFonts w:hint="eastAsia" w:ascii="宋体" w:hAnsi="宋体" w:eastAsia="宋体" w:cs="宋体"/>
          <w:b/>
          <w:color w:val="auto"/>
          <w:sz w:val="24"/>
          <w:szCs w:val="24"/>
          <w:highlight w:val="none"/>
        </w:rPr>
        <w:t>2.1 定义</w:t>
      </w:r>
      <w:bookmarkEnd w:id="439"/>
      <w:bookmarkEnd w:id="440"/>
      <w:bookmarkEnd w:id="441"/>
      <w:bookmarkEnd w:id="442"/>
      <w:bookmarkEnd w:id="443"/>
    </w:p>
    <w:p w14:paraId="5D273F0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44C622B7">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“合同”系指</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和成交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签订的载明双方当事人所达成的协议，并包括所有的附件、附录和构成合同的其他文件。</w:t>
      </w:r>
    </w:p>
    <w:p w14:paraId="24A91CDA">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“合同价”系指根据合同约定，中标或成交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在完全履行合同义务后，</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应支付给中标或成交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的价格。</w:t>
      </w:r>
    </w:p>
    <w:p w14:paraId="42B2E5D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 “服务”系指中标或成交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根据合同约定应向</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履行的除货物和工程以外的其他政府采购对象，包括</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自身需要的服务和向社会公众提供的公共服务。</w:t>
      </w:r>
    </w:p>
    <w:p w14:paraId="204192BA">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 “甲方”系指与中标或成交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签署合同的</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委托采购代理机构代表其与乙方签订合同的，</w:t>
      </w:r>
      <w:r>
        <w:rPr>
          <w:rFonts w:hint="eastAsia" w:ascii="宋体" w:hAnsi="宋体" w:cs="宋体"/>
          <w:color w:val="auto"/>
          <w:sz w:val="24"/>
          <w:szCs w:val="24"/>
          <w:highlight w:val="none"/>
          <w:lang w:eastAsia="zh-CN"/>
        </w:rPr>
        <w:t>甲方</w:t>
      </w:r>
      <w:r>
        <w:rPr>
          <w:rFonts w:hint="eastAsia" w:ascii="宋体" w:hAnsi="宋体" w:eastAsia="宋体" w:cs="宋体"/>
          <w:color w:val="auto"/>
          <w:sz w:val="24"/>
          <w:szCs w:val="24"/>
          <w:highlight w:val="none"/>
        </w:rPr>
        <w:t>的授权委托书作为合同附件。</w:t>
      </w:r>
    </w:p>
    <w:p w14:paraId="0049A9F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 “乙方”系指根据合同约定提供服务的中标或成交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；两个以上的自然人、法人或者其他组织组成一个联合体，以一个</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的身份共同参加政府采购的，联合体各方均应为乙方或者与乙方相同地位的合同当事人，并就合同约定的事项对甲方承担连带责任。</w:t>
      </w:r>
    </w:p>
    <w:p w14:paraId="36787129">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 “现场”系指合同约定提供服务的地点。</w:t>
      </w:r>
    </w:p>
    <w:p w14:paraId="72DAA4E8">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44" w:name="_Toc31402"/>
      <w:bookmarkStart w:id="445" w:name="_Toc23289"/>
      <w:bookmarkStart w:id="446" w:name="_Toc3769"/>
      <w:bookmarkStart w:id="447" w:name="_Toc16752"/>
      <w:bookmarkStart w:id="448" w:name="_Toc19539"/>
      <w:r>
        <w:rPr>
          <w:rFonts w:hint="eastAsia" w:ascii="宋体" w:hAnsi="宋体" w:eastAsia="宋体" w:cs="宋体"/>
          <w:b/>
          <w:color w:val="auto"/>
          <w:sz w:val="24"/>
          <w:szCs w:val="24"/>
          <w:highlight w:val="none"/>
        </w:rPr>
        <w:t>2.2 技术规范</w:t>
      </w:r>
      <w:bookmarkEnd w:id="444"/>
      <w:bookmarkEnd w:id="445"/>
      <w:bookmarkEnd w:id="446"/>
      <w:bookmarkEnd w:id="447"/>
      <w:bookmarkEnd w:id="448"/>
    </w:p>
    <w:p w14:paraId="36FC1E1A">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8FC47C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49" w:name="_Toc9161"/>
      <w:bookmarkStart w:id="450" w:name="_Toc4133"/>
      <w:bookmarkStart w:id="451" w:name="_Toc12412"/>
      <w:bookmarkStart w:id="452" w:name="_Toc13673"/>
      <w:bookmarkStart w:id="453" w:name="_Toc27945"/>
      <w:r>
        <w:rPr>
          <w:rFonts w:hint="eastAsia" w:ascii="宋体" w:hAnsi="宋体" w:eastAsia="宋体" w:cs="宋体"/>
          <w:b/>
          <w:color w:val="auto"/>
          <w:sz w:val="24"/>
          <w:szCs w:val="24"/>
          <w:highlight w:val="none"/>
        </w:rPr>
        <w:t>2.3 知识产权</w:t>
      </w:r>
      <w:bookmarkEnd w:id="449"/>
      <w:bookmarkEnd w:id="450"/>
      <w:bookmarkEnd w:id="451"/>
      <w:bookmarkEnd w:id="452"/>
      <w:bookmarkEnd w:id="453"/>
    </w:p>
    <w:p w14:paraId="15C1A6DA">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27E7CAAF">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 合同涉及技术成果的归属和收益的分成办法的，详见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4F326FCF">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履约检查和问题反馈</w:t>
      </w:r>
    </w:p>
    <w:p w14:paraId="72AC8F1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F4CED91">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 合同履行期间，甲方有权将履行过程中出现的问题反馈给乙方，双方当事人应以书面形式约定需要完善和改进的内容。</w:t>
      </w:r>
    </w:p>
    <w:p w14:paraId="5BD3AE5A">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54" w:name="_Toc31233"/>
      <w:bookmarkStart w:id="455" w:name="_Toc15447"/>
      <w:bookmarkStart w:id="456" w:name="_Toc32670"/>
      <w:bookmarkStart w:id="457" w:name="_Toc22011"/>
      <w:bookmarkStart w:id="458" w:name="_Toc26555"/>
      <w:r>
        <w:rPr>
          <w:rFonts w:hint="eastAsia" w:ascii="宋体" w:hAnsi="宋体" w:eastAsia="宋体" w:cs="宋体"/>
          <w:b/>
          <w:color w:val="auto"/>
          <w:sz w:val="24"/>
          <w:szCs w:val="24"/>
          <w:highlight w:val="none"/>
        </w:rPr>
        <w:t>2.5 结算方式和付款条件</w:t>
      </w:r>
      <w:bookmarkEnd w:id="454"/>
      <w:bookmarkEnd w:id="455"/>
      <w:bookmarkEnd w:id="456"/>
      <w:bookmarkEnd w:id="457"/>
      <w:bookmarkEnd w:id="458"/>
    </w:p>
    <w:p w14:paraId="1F555A2F">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5230C59B">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59" w:name="_Toc13154"/>
      <w:bookmarkStart w:id="460" w:name="_Toc13467"/>
      <w:bookmarkStart w:id="461" w:name="_Toc30507"/>
      <w:bookmarkStart w:id="462" w:name="_Toc16163"/>
      <w:bookmarkStart w:id="463" w:name="_Toc18990"/>
      <w:r>
        <w:rPr>
          <w:rFonts w:hint="eastAsia" w:ascii="宋体" w:hAnsi="宋体" w:eastAsia="宋体" w:cs="宋体"/>
          <w:b/>
          <w:color w:val="auto"/>
          <w:sz w:val="24"/>
          <w:szCs w:val="24"/>
          <w:highlight w:val="none"/>
        </w:rPr>
        <w:t>2.6 技术资料和保密义务</w:t>
      </w:r>
      <w:bookmarkEnd w:id="459"/>
      <w:bookmarkEnd w:id="460"/>
      <w:bookmarkEnd w:id="461"/>
      <w:bookmarkEnd w:id="462"/>
      <w:bookmarkEnd w:id="463"/>
    </w:p>
    <w:p w14:paraId="42CD759B">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2.6.1 乙方有权依据合同约定和项目需要，向甲方了解有关情况，调阅有关资料等，甲方应予积极配合；</w:t>
      </w:r>
    </w:p>
    <w:p w14:paraId="06944D7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2.6.2 乙方有义务妥善保管和保护由甲方提供的前款信息和资料等；</w:t>
      </w:r>
    </w:p>
    <w:p w14:paraId="4D28F26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03D335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4" w:name="_Toc19069"/>
      <w:r>
        <w:rPr>
          <w:rFonts w:hint="eastAsia" w:ascii="宋体" w:hAnsi="宋体" w:eastAsia="宋体" w:cs="宋体"/>
          <w:b/>
          <w:color w:val="auto"/>
          <w:sz w:val="24"/>
          <w:szCs w:val="24"/>
          <w:highlight w:val="none"/>
        </w:rPr>
        <w:t>2.7 质量保证</w:t>
      </w:r>
      <w:bookmarkEnd w:id="464"/>
    </w:p>
    <w:p w14:paraId="58AB996F">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2.7.1 乙方应建立和完善履行合同的内部质量保证体系，并提供相关内部规章制度给甲方，以便甲方进行监督检查；</w:t>
      </w:r>
    </w:p>
    <w:p w14:paraId="3505D95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2.7.2 乙方应保证履行合同的人员数量和素质、软件和硬件设备的配置、场地、环境和设施等满足全面履行合同的要求，并应接受甲方的监督检查。</w:t>
      </w:r>
    </w:p>
    <w:p w14:paraId="56ED98CF">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5" w:name="_Toc22267"/>
      <w:r>
        <w:rPr>
          <w:rFonts w:hint="eastAsia" w:ascii="宋体" w:hAnsi="宋体" w:eastAsia="宋体" w:cs="宋体"/>
          <w:b/>
          <w:color w:val="auto"/>
          <w:sz w:val="24"/>
          <w:szCs w:val="24"/>
          <w:highlight w:val="none"/>
        </w:rPr>
        <w:t>2.8 延迟履行</w:t>
      </w:r>
      <w:bookmarkEnd w:id="465"/>
    </w:p>
    <w:p w14:paraId="2CF2971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4B5F0B3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6" w:name="_Toc10611"/>
      <w:r>
        <w:rPr>
          <w:rFonts w:hint="eastAsia" w:ascii="宋体" w:hAnsi="宋体" w:eastAsia="宋体" w:cs="宋体"/>
          <w:b/>
          <w:color w:val="auto"/>
          <w:sz w:val="24"/>
          <w:szCs w:val="24"/>
          <w:highlight w:val="none"/>
        </w:rPr>
        <w:t>2.9 合同变更</w:t>
      </w:r>
      <w:bookmarkEnd w:id="466"/>
    </w:p>
    <w:p w14:paraId="7FA65A63">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合同继续履行将损害国家利益和社会公共利益的，双方当事人应当以书面形式变更合同。有过错的一方应当承担赔偿责任，双方当事人都有过错的，各自承担相应的责任。</w:t>
      </w:r>
    </w:p>
    <w:p w14:paraId="0BE78B70">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67" w:name="_Toc23368"/>
      <w:bookmarkStart w:id="468" w:name="_Toc42"/>
      <w:bookmarkStart w:id="469" w:name="_Toc21830"/>
      <w:bookmarkStart w:id="470" w:name="_Toc26689"/>
      <w:bookmarkStart w:id="471" w:name="_Toc10663"/>
      <w:r>
        <w:rPr>
          <w:rFonts w:hint="eastAsia" w:ascii="宋体" w:hAnsi="宋体" w:eastAsia="宋体" w:cs="宋体"/>
          <w:b/>
          <w:color w:val="auto"/>
          <w:sz w:val="24"/>
          <w:szCs w:val="24"/>
          <w:highlight w:val="none"/>
        </w:rPr>
        <w:t>2.10 合同转让和分包</w:t>
      </w:r>
      <w:bookmarkEnd w:id="467"/>
      <w:bookmarkEnd w:id="468"/>
      <w:bookmarkEnd w:id="469"/>
      <w:bookmarkEnd w:id="470"/>
      <w:bookmarkEnd w:id="471"/>
    </w:p>
    <w:p w14:paraId="68292D8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就分包项目向甲方承担连带责任。</w:t>
      </w:r>
    </w:p>
    <w:p w14:paraId="31A9BF8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72" w:name="_Toc32494"/>
      <w:bookmarkStart w:id="473" w:name="_Toc4720"/>
      <w:bookmarkStart w:id="474" w:name="_Toc26633"/>
      <w:bookmarkStart w:id="475" w:name="_Toc14371"/>
      <w:bookmarkStart w:id="476" w:name="_Toc25571"/>
      <w:r>
        <w:rPr>
          <w:rFonts w:hint="eastAsia" w:ascii="宋体" w:hAnsi="宋体" w:eastAsia="宋体" w:cs="宋体"/>
          <w:b/>
          <w:color w:val="auto"/>
          <w:sz w:val="24"/>
          <w:szCs w:val="24"/>
          <w:highlight w:val="none"/>
        </w:rPr>
        <w:t>2.11 不可抗力</w:t>
      </w:r>
      <w:bookmarkEnd w:id="472"/>
      <w:bookmarkEnd w:id="473"/>
      <w:bookmarkEnd w:id="474"/>
      <w:bookmarkEnd w:id="475"/>
      <w:bookmarkEnd w:id="476"/>
    </w:p>
    <w:p w14:paraId="41C81AA3">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2.11.1如果任何一方遭遇法律规定的不可抗力，致使合同履行受阻时，履行合同的期限应予延长，延长的期限应相当于不可抗力所影响的时间；</w:t>
      </w:r>
    </w:p>
    <w:p w14:paraId="7093BD82">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2.11.2 因不可抗力致使不能实现合同目的的，当事人可以解除合同；</w:t>
      </w:r>
    </w:p>
    <w:p w14:paraId="44FA9648">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2.11.3 因不可抗力致使合同有变更必要的，双方当事人应在</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约定时间内以书面形式变更合同；</w:t>
      </w:r>
    </w:p>
    <w:p w14:paraId="73C50AE5">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2.11.4受不可抗力影响的一方在不可抗力发生后，应在</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约定时间内以书面形式通知对方当事人，并在</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约定时间内，将有关部门出具的证明文件送达对方当事人。</w:t>
      </w:r>
    </w:p>
    <w:p w14:paraId="1B1C7C5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77" w:name="_Toc3638"/>
      <w:bookmarkStart w:id="478" w:name="_Toc14115"/>
      <w:bookmarkStart w:id="479" w:name="_Toc24465"/>
      <w:bookmarkStart w:id="480" w:name="_Toc25783"/>
      <w:bookmarkStart w:id="481" w:name="_Toc23854"/>
      <w:r>
        <w:rPr>
          <w:rFonts w:hint="eastAsia" w:ascii="宋体" w:hAnsi="宋体" w:eastAsia="宋体" w:cs="宋体"/>
          <w:b/>
          <w:color w:val="auto"/>
          <w:sz w:val="24"/>
          <w:szCs w:val="24"/>
          <w:highlight w:val="none"/>
        </w:rPr>
        <w:t>2.12 税费</w:t>
      </w:r>
      <w:bookmarkEnd w:id="477"/>
      <w:bookmarkEnd w:id="478"/>
      <w:bookmarkEnd w:id="479"/>
      <w:bookmarkEnd w:id="480"/>
      <w:bookmarkEnd w:id="481"/>
    </w:p>
    <w:p w14:paraId="2DF1D8F4">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2C767D33">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82" w:name="_Toc26883"/>
      <w:bookmarkStart w:id="483" w:name="_Toc7315"/>
      <w:bookmarkStart w:id="484" w:name="_Toc14814"/>
      <w:bookmarkStart w:id="485" w:name="_Toc30105"/>
      <w:bookmarkStart w:id="486" w:name="_Toc25525"/>
      <w:r>
        <w:rPr>
          <w:rFonts w:hint="eastAsia" w:ascii="宋体" w:hAnsi="宋体" w:eastAsia="宋体" w:cs="宋体"/>
          <w:b/>
          <w:color w:val="auto"/>
          <w:sz w:val="24"/>
          <w:szCs w:val="24"/>
          <w:highlight w:val="none"/>
        </w:rPr>
        <w:t>2.13 乙方破产</w:t>
      </w:r>
      <w:bookmarkEnd w:id="482"/>
      <w:bookmarkEnd w:id="483"/>
      <w:bookmarkEnd w:id="484"/>
      <w:bookmarkEnd w:id="485"/>
      <w:bookmarkEnd w:id="486"/>
    </w:p>
    <w:p w14:paraId="62F8600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735AB9B">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87" w:name="_Toc1123"/>
      <w:bookmarkStart w:id="488" w:name="_Toc2016"/>
      <w:bookmarkStart w:id="489" w:name="_Toc23323"/>
      <w:r>
        <w:rPr>
          <w:rFonts w:hint="eastAsia" w:ascii="宋体" w:hAnsi="宋体" w:eastAsia="宋体" w:cs="宋体"/>
          <w:b/>
          <w:color w:val="auto"/>
          <w:sz w:val="24"/>
          <w:szCs w:val="24"/>
          <w:highlight w:val="none"/>
        </w:rPr>
        <w:t>2.14 合同中止、终止</w:t>
      </w:r>
      <w:bookmarkEnd w:id="487"/>
      <w:bookmarkEnd w:id="488"/>
      <w:bookmarkEnd w:id="489"/>
    </w:p>
    <w:p w14:paraId="65F90499">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2.14.1 双方当事人不得擅自中止或者终止合同；</w:t>
      </w:r>
    </w:p>
    <w:p w14:paraId="2C07063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7D46FB9">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90" w:name="_Toc17363"/>
      <w:bookmarkStart w:id="491" w:name="_Toc14525"/>
      <w:bookmarkStart w:id="492" w:name="_Toc1969"/>
      <w:r>
        <w:rPr>
          <w:rFonts w:hint="eastAsia" w:ascii="宋体" w:hAnsi="宋体" w:eastAsia="宋体" w:cs="宋体"/>
          <w:b/>
          <w:color w:val="auto"/>
          <w:sz w:val="24"/>
          <w:szCs w:val="24"/>
          <w:highlight w:val="none"/>
        </w:rPr>
        <w:t>2.15 检验和验收</w:t>
      </w:r>
      <w:bookmarkEnd w:id="490"/>
      <w:bookmarkEnd w:id="491"/>
      <w:bookmarkEnd w:id="492"/>
    </w:p>
    <w:p w14:paraId="2AD22EE6">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2.15.1 乙方按照</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的约定，定期提交服务报告，甲方按照</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的约定进行定期验收；</w:t>
      </w:r>
    </w:p>
    <w:p w14:paraId="0B3AEDE8">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80FE40D">
      <w:pPr>
        <w:keepNext w:val="0"/>
        <w:keepLines w:val="0"/>
        <w:pageBreakBefore w:val="0"/>
        <w:widowControl w:val="0"/>
        <w:tabs>
          <w:tab w:val="left" w:pos="360"/>
          <w:tab w:val="left" w:pos="540"/>
          <w:tab w:val="left" w:pos="1080"/>
        </w:tabs>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2.15.3 检验和验收标准、程序等具体内容以及前述验收书的效力详见</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w:t>
      </w:r>
    </w:p>
    <w:p w14:paraId="40EDB47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93" w:name="_Toc9808"/>
      <w:bookmarkStart w:id="494" w:name="_Toc31892"/>
      <w:bookmarkStart w:id="495" w:name="_Toc2308"/>
      <w:bookmarkStart w:id="496" w:name="_Toc12666"/>
      <w:bookmarkStart w:id="497" w:name="_Toc25198"/>
      <w:r>
        <w:rPr>
          <w:rFonts w:hint="eastAsia" w:ascii="宋体" w:hAnsi="宋体" w:eastAsia="宋体" w:cs="宋体"/>
          <w:b/>
          <w:color w:val="auto"/>
          <w:sz w:val="24"/>
          <w:szCs w:val="24"/>
          <w:highlight w:val="none"/>
        </w:rPr>
        <w:t>2.16 通知和送达</w:t>
      </w:r>
      <w:bookmarkEnd w:id="493"/>
      <w:bookmarkEnd w:id="494"/>
      <w:bookmarkEnd w:id="495"/>
      <w:bookmarkEnd w:id="496"/>
      <w:bookmarkEnd w:id="497"/>
    </w:p>
    <w:p w14:paraId="61149B4A">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bookmarkStart w:id="498" w:name="_Toc27674"/>
      <w:r>
        <w:rPr>
          <w:rFonts w:hint="eastAsia" w:ascii="宋体" w:hAnsi="宋体" w:eastAsia="宋体" w:cs="宋体"/>
          <w:color w:val="auto"/>
          <w:sz w:val="24"/>
          <w:szCs w:val="24"/>
          <w:highlight w:val="none"/>
        </w:rPr>
        <w:t xml:space="preserve">2.17.1任何一方因履行合同而以合同第一部分尾部所列明的传真或电子邮件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p>
    <w:p w14:paraId="26F0F1A7">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8"/>
    </w:p>
    <w:p w14:paraId="4393F04E">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bookmarkStart w:id="499" w:name="_Toc12254"/>
      <w:bookmarkStart w:id="500" w:name="_Toc20808"/>
      <w:bookmarkStart w:id="501" w:name="_Toc28906"/>
      <w:bookmarkStart w:id="502" w:name="_Toc5063"/>
      <w:bookmarkStart w:id="503" w:name="_Toc27644"/>
      <w:r>
        <w:rPr>
          <w:rFonts w:hint="eastAsia" w:ascii="宋体" w:hAnsi="宋体" w:eastAsia="宋体" w:cs="宋体"/>
          <w:b/>
          <w:color w:val="auto"/>
          <w:sz w:val="24"/>
          <w:szCs w:val="24"/>
          <w:highlight w:val="none"/>
        </w:rPr>
        <w:t>2.17 合同使用的文字和适用的法律</w:t>
      </w:r>
      <w:bookmarkEnd w:id="499"/>
      <w:bookmarkEnd w:id="500"/>
      <w:bookmarkEnd w:id="501"/>
      <w:bookmarkEnd w:id="502"/>
      <w:bookmarkEnd w:id="503"/>
    </w:p>
    <w:p w14:paraId="73A047E6">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2.17.1 合同使用汉语书就、变更和解释；</w:t>
      </w:r>
    </w:p>
    <w:p w14:paraId="3340DF6A">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2.17.2 合同适用中华人民共和国法律。</w:t>
      </w:r>
    </w:p>
    <w:p w14:paraId="3E314381">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2.18 计量单位</w:t>
      </w:r>
    </w:p>
    <w:p w14:paraId="4D9326AF">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除技术规范中另有规定外,合同的计量单位均使用国家法定计量单位。</w:t>
      </w:r>
    </w:p>
    <w:p w14:paraId="11AFBD95">
      <w:pPr>
        <w:keepNext w:val="0"/>
        <w:keepLines w:val="0"/>
        <w:pageBreakBefore w:val="0"/>
        <w:widowControl w:val="0"/>
        <w:kinsoku/>
        <w:wordWrap/>
        <w:overflowPunct/>
        <w:topLinePunct w:val="0"/>
        <w:autoSpaceDE/>
        <w:autoSpaceDN/>
        <w:bidi w:val="0"/>
        <w:adjustRightInd w:val="0"/>
        <w:snapToGrid/>
        <w:spacing w:line="460" w:lineRule="exact"/>
        <w:ind w:firstLine="482" w:firstLineChars="200"/>
        <w:textAlignment w:val="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2.19合同份数</w:t>
      </w:r>
    </w:p>
    <w:p w14:paraId="7ADC2D61">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合同份数按</w:t>
      </w:r>
      <w:r>
        <w:rPr>
          <w:rFonts w:hint="eastAsia" w:ascii="宋体" w:hAnsi="宋体" w:eastAsia="宋体" w:cs="宋体"/>
          <w:b/>
          <w:color w:val="auto"/>
          <w:sz w:val="24"/>
          <w:szCs w:val="24"/>
          <w:highlight w:val="none"/>
          <w:u w:val="single"/>
        </w:rPr>
        <w:t>合同专用条款</w:t>
      </w:r>
      <w:r>
        <w:rPr>
          <w:rFonts w:hint="eastAsia" w:ascii="宋体" w:hAnsi="宋体" w:eastAsia="宋体" w:cs="宋体"/>
          <w:color w:val="auto"/>
          <w:sz w:val="24"/>
          <w:szCs w:val="24"/>
          <w:highlight w:val="none"/>
        </w:rPr>
        <w:t>规定，每份均具有同等法律效力。</w:t>
      </w:r>
    </w:p>
    <w:p w14:paraId="08587CCF">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p>
    <w:p w14:paraId="3A8F1467">
      <w:pPr>
        <w:pStyle w:val="3"/>
        <w:spacing w:before="156" w:after="156"/>
        <w:jc w:val="center"/>
        <w:rPr>
          <w:color w:val="auto"/>
          <w:highlight w:val="none"/>
        </w:rPr>
      </w:pPr>
      <w:bookmarkStart w:id="504" w:name="_Toc1339"/>
      <w:r>
        <w:rPr>
          <w:rFonts w:hint="eastAsia"/>
          <w:color w:val="auto"/>
          <w:highlight w:val="none"/>
        </w:rPr>
        <w:t>第三节 合同专用条款</w:t>
      </w:r>
      <w:bookmarkEnd w:id="504"/>
    </w:p>
    <w:p w14:paraId="6356577E">
      <w:pPr>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7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46"/>
        <w:gridCol w:w="8672"/>
      </w:tblGrid>
      <w:tr w14:paraId="100E4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3E196888">
            <w:pPr>
              <w:spacing w:line="400" w:lineRule="exact"/>
              <w:ind w:firstLine="0" w:firstLine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8672" w:type="dxa"/>
            <w:vAlign w:val="center"/>
          </w:tcPr>
          <w:p w14:paraId="12F27DA9">
            <w:pPr>
              <w:spacing w:line="400" w:lineRule="exact"/>
              <w:ind w:firstLine="0" w:firstLineChars="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14:paraId="6C1BE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C150FBB">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8672" w:type="dxa"/>
            <w:vAlign w:val="center"/>
          </w:tcPr>
          <w:p w14:paraId="72B960D3">
            <w:pPr>
              <w:spacing w:line="40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本项目采用总价合同。</w:t>
            </w:r>
          </w:p>
        </w:tc>
      </w:tr>
      <w:tr w14:paraId="6BA0B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06F60E6C">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8672" w:type="dxa"/>
            <w:vAlign w:val="center"/>
          </w:tcPr>
          <w:p w14:paraId="3A49CC08">
            <w:pPr>
              <w:spacing w:line="400" w:lineRule="exact"/>
              <w:ind w:firstLine="0" w:firstLineChars="0"/>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不收取履约保证金。</w:t>
            </w:r>
          </w:p>
        </w:tc>
      </w:tr>
      <w:tr w14:paraId="4CA09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17C01F3A">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1.5.1 </w:t>
            </w:r>
          </w:p>
        </w:tc>
        <w:tc>
          <w:tcPr>
            <w:tcW w:w="8672" w:type="dxa"/>
            <w:vAlign w:val="center"/>
          </w:tcPr>
          <w:p w14:paraId="29CE68AF">
            <w:pPr>
              <w:keepNext w:val="0"/>
              <w:keepLines w:val="0"/>
              <w:pageBreakBefore w:val="0"/>
              <w:widowControl/>
              <w:suppressLineNumbers w:val="0"/>
              <w:kinsoku/>
              <w:wordWrap/>
              <w:overflowPunct/>
              <w:topLinePunct w:val="0"/>
              <w:autoSpaceDE/>
              <w:autoSpaceDN/>
              <w:bidi w:val="0"/>
              <w:adjustRightInd w:val="0"/>
              <w:snapToGrid/>
              <w:spacing w:line="460" w:lineRule="exact"/>
              <w:jc w:val="left"/>
              <w:textAlignment w:val="center"/>
              <w:rPr>
                <w:rFonts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合同签订生效之日起10个工作日内</w:t>
            </w:r>
            <w:r>
              <w:rPr>
                <w:rFonts w:hint="eastAsia" w:ascii="宋体" w:hAnsi="宋体" w:cs="宋体"/>
                <w:i w:val="0"/>
                <w:iCs w:val="0"/>
                <w:color w:val="auto"/>
                <w:kern w:val="0"/>
                <w:sz w:val="24"/>
                <w:szCs w:val="24"/>
                <w:highlight w:val="none"/>
                <w:u w:val="none"/>
                <w:lang w:val="en-US" w:eastAsia="zh-CN" w:bidi="ar"/>
              </w:rPr>
              <w:t>甲方</w:t>
            </w:r>
            <w:r>
              <w:rPr>
                <w:rFonts w:hint="eastAsia" w:ascii="宋体" w:hAnsi="宋体" w:eastAsia="宋体" w:cs="宋体"/>
                <w:i w:val="0"/>
                <w:iCs w:val="0"/>
                <w:color w:val="auto"/>
                <w:kern w:val="0"/>
                <w:sz w:val="24"/>
                <w:szCs w:val="24"/>
                <w:highlight w:val="none"/>
                <w:u w:val="none"/>
                <w:lang w:val="en-US" w:eastAsia="zh-CN" w:bidi="ar"/>
              </w:rPr>
              <w:t>支付合同款的</w:t>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0%。</w:t>
            </w:r>
          </w:p>
        </w:tc>
      </w:tr>
      <w:tr w14:paraId="0721A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09A7DFC0">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8672" w:type="dxa"/>
            <w:vAlign w:val="center"/>
          </w:tcPr>
          <w:p w14:paraId="27E44DE1">
            <w:pPr>
              <w:spacing w:line="400" w:lineRule="exact"/>
              <w:ind w:firstLine="0" w:firstLineChars="0"/>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不需要扣回。</w:t>
            </w:r>
          </w:p>
        </w:tc>
      </w:tr>
      <w:tr w14:paraId="6DB4F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37E3AC9C">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 </w:t>
            </w:r>
          </w:p>
        </w:tc>
        <w:tc>
          <w:tcPr>
            <w:tcW w:w="8672" w:type="dxa"/>
            <w:vAlign w:val="center"/>
          </w:tcPr>
          <w:p w14:paraId="7A21E4ED">
            <w:pPr>
              <w:spacing w:line="40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是否要求提供预付款担保，担保的形式可以是保函或保险形式）</w:t>
            </w:r>
          </w:p>
        </w:tc>
      </w:tr>
      <w:tr w14:paraId="32309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27AF273A">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8672" w:type="dxa"/>
            <w:vAlign w:val="center"/>
          </w:tcPr>
          <w:p w14:paraId="79DA6C2F">
            <w:pPr>
              <w:keepNext w:val="0"/>
              <w:keepLines w:val="0"/>
              <w:pageBreakBefore w:val="0"/>
              <w:widowControl/>
              <w:suppressLineNumbers w:val="0"/>
              <w:kinsoku/>
              <w:wordWrap/>
              <w:overflowPunct/>
              <w:topLinePunct w:val="0"/>
              <w:autoSpaceDE/>
              <w:autoSpaceDN/>
              <w:bidi w:val="0"/>
              <w:adjustRightInd w:val="0"/>
              <w:snapToGrid/>
              <w:spacing w:line="460" w:lineRule="exact"/>
              <w:jc w:val="left"/>
              <w:textAlignment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招标人自合同签订生效生效之日起10个工作日内支付合同款的40%作为预付款、平台建设完成并上线正常运行，待项目交付验收合格之日起10个工作日内支付剩余合同款。</w:t>
            </w:r>
          </w:p>
          <w:p w14:paraId="26923C8D">
            <w:pPr>
              <w:keepNext w:val="0"/>
              <w:keepLines w:val="0"/>
              <w:pageBreakBefore w:val="0"/>
              <w:widowControl/>
              <w:suppressLineNumbers w:val="0"/>
              <w:kinsoku/>
              <w:wordWrap/>
              <w:overflowPunct/>
              <w:topLinePunct w:val="0"/>
              <w:autoSpaceDE/>
              <w:autoSpaceDN/>
              <w:bidi w:val="0"/>
              <w:adjustRightInd w:val="0"/>
              <w:snapToGrid/>
              <w:spacing w:line="460" w:lineRule="exact"/>
              <w:jc w:val="left"/>
              <w:textAlignment w:val="center"/>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eastAsia="zh-CN"/>
              </w:rPr>
              <w:t>本项目使用财政资金，因财政资金拔付流程造成的支付时间延迟，不视为招标人违约。若财政专项资金尚未到位，招标人付款期限顺延至财政专项资金到达招标人账户后10个工作日内。</w:t>
            </w:r>
          </w:p>
        </w:tc>
      </w:tr>
      <w:tr w14:paraId="29DAC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5270AF6">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8672" w:type="dxa"/>
            <w:vAlign w:val="center"/>
          </w:tcPr>
          <w:p w14:paraId="40213BBC">
            <w:pPr>
              <w:spacing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项目服务周期包括：开发建设期和运维服务期。</w:t>
            </w:r>
          </w:p>
          <w:p w14:paraId="6F639CF0">
            <w:pPr>
              <w:spacing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开发建设期限：自合同签订之日起60个日历日内完成北海市海洋监管综合执法</w:t>
            </w:r>
          </w:p>
          <w:p w14:paraId="637CA2FF">
            <w:pPr>
              <w:spacing w:line="4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指挥平台开发建设，平稳试运行，并交付使用，</w:t>
            </w:r>
            <w:r>
              <w:rPr>
                <w:rFonts w:hint="eastAsia" w:ascii="宋体" w:hAnsi="宋体" w:eastAsia="宋体" w:cs="宋体"/>
                <w:color w:val="auto"/>
                <w:sz w:val="24"/>
                <w:szCs w:val="24"/>
                <w:highlight w:val="none"/>
                <w:lang w:val="en-US" w:eastAsia="zh-CN"/>
              </w:rPr>
              <w:t>通过平台功能验收</w:t>
            </w:r>
            <w:r>
              <w:rPr>
                <w:rFonts w:hint="eastAsia" w:ascii="宋体" w:hAnsi="宋体" w:eastAsia="宋体" w:cs="宋体"/>
                <w:color w:val="auto"/>
                <w:sz w:val="24"/>
                <w:szCs w:val="24"/>
                <w:highlight w:val="none"/>
                <w:lang w:val="en-US" w:eastAsia="zh-CN"/>
              </w:rPr>
              <w:t>。</w:t>
            </w:r>
          </w:p>
          <w:p w14:paraId="573936F7">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运维服务期限：自通过平台功能验收之日起质保期1年，质保期结束之日起提供3年系统免费运维服务。</w:t>
            </w:r>
          </w:p>
        </w:tc>
      </w:tr>
      <w:tr w14:paraId="521F4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566E71F8">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8672" w:type="dxa"/>
            <w:vAlign w:val="center"/>
          </w:tcPr>
          <w:p w14:paraId="68FD257E">
            <w:pPr>
              <w:spacing w:line="400" w:lineRule="exact"/>
              <w:ind w:firstLine="0" w:firstLineChars="0"/>
              <w:rPr>
                <w:rFonts w:ascii="宋体" w:hAnsi="宋体" w:eastAsia="宋体" w:cs="宋体"/>
                <w:color w:val="auto"/>
                <w:sz w:val="24"/>
                <w:szCs w:val="24"/>
                <w:highlight w:val="none"/>
              </w:rPr>
            </w:pPr>
            <w:r>
              <w:rPr>
                <w:rFonts w:hint="eastAsia" w:cs="宋体" w:eastAsiaTheme="minorEastAsia"/>
                <w:color w:val="auto"/>
                <w:sz w:val="24"/>
                <w:szCs w:val="24"/>
                <w:highlight w:val="none"/>
                <w:lang w:val="en-US" w:eastAsia="zh-CN"/>
              </w:rPr>
              <w:t>甲方指定办公地点及线上远程服务场景。</w:t>
            </w:r>
          </w:p>
        </w:tc>
      </w:tr>
      <w:tr w14:paraId="718FA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5FD38600">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8672" w:type="dxa"/>
            <w:vAlign w:val="center"/>
          </w:tcPr>
          <w:p w14:paraId="50D45E5D">
            <w:pPr>
              <w:spacing w:line="400" w:lineRule="exact"/>
              <w:ind w:firstLine="0" w:firstLineChars="0"/>
              <w:rPr>
                <w:rFonts w:ascii="宋体" w:hAnsi="宋体" w:eastAsia="宋体" w:cs="宋体"/>
                <w:color w:val="auto"/>
                <w:sz w:val="24"/>
                <w:szCs w:val="24"/>
                <w:highlight w:val="none"/>
              </w:rPr>
            </w:pPr>
          </w:p>
        </w:tc>
      </w:tr>
      <w:tr w14:paraId="4E429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39C94B90">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1.7.4.1</w:t>
            </w:r>
          </w:p>
        </w:tc>
        <w:tc>
          <w:tcPr>
            <w:tcW w:w="8672" w:type="dxa"/>
            <w:vAlign w:val="center"/>
          </w:tcPr>
          <w:p w14:paraId="286307B4">
            <w:pPr>
              <w:spacing w:line="40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本项服务不涉及货物</w:t>
            </w:r>
          </w:p>
        </w:tc>
      </w:tr>
      <w:tr w14:paraId="0542F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25BBD5F6">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1.7.4.2</w:t>
            </w:r>
          </w:p>
        </w:tc>
        <w:tc>
          <w:tcPr>
            <w:tcW w:w="8672" w:type="dxa"/>
            <w:vAlign w:val="center"/>
          </w:tcPr>
          <w:p w14:paraId="5B1754BD">
            <w:pPr>
              <w:spacing w:line="400" w:lineRule="exact"/>
              <w:ind w:firstLine="0" w:firstLineChars="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本项服务不涉及货物</w:t>
            </w:r>
          </w:p>
        </w:tc>
      </w:tr>
      <w:tr w14:paraId="098A2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3D4B3351">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1.7.4.3</w:t>
            </w:r>
          </w:p>
        </w:tc>
        <w:tc>
          <w:tcPr>
            <w:tcW w:w="8672" w:type="dxa"/>
            <w:vAlign w:val="center"/>
          </w:tcPr>
          <w:p w14:paraId="48E701E3">
            <w:pPr>
              <w:spacing w:line="400" w:lineRule="exact"/>
              <w:ind w:firstLine="0" w:firstLineChars="0"/>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本项服务不涉及货物</w:t>
            </w:r>
          </w:p>
        </w:tc>
      </w:tr>
      <w:tr w14:paraId="3EDA7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3E56166B">
            <w:pPr>
              <w:spacing w:line="400" w:lineRule="exact"/>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6</w:t>
            </w:r>
          </w:p>
        </w:tc>
        <w:tc>
          <w:tcPr>
            <w:tcW w:w="8672" w:type="dxa"/>
            <w:vAlign w:val="center"/>
          </w:tcPr>
          <w:p w14:paraId="4E6EDD5C">
            <w:pPr>
              <w:spacing w:line="400" w:lineRule="exact"/>
              <w:ind w:firstLine="0" w:firstLineChars="0"/>
              <w:rPr>
                <w:rFonts w:hint="eastAsia" w:ascii="宋体" w:hAnsi="宋体" w:eastAsia="宋体" w:cs="宋体"/>
                <w:color w:val="auto"/>
                <w:sz w:val="24"/>
                <w:szCs w:val="24"/>
                <w:highlight w:val="none"/>
                <w:lang w:val="en-US" w:eastAsia="zh-CN"/>
              </w:rPr>
            </w:pPr>
          </w:p>
        </w:tc>
      </w:tr>
      <w:tr w14:paraId="4A1CC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6E8E051E">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8672" w:type="dxa"/>
            <w:vAlign w:val="center"/>
          </w:tcPr>
          <w:p w14:paraId="1B2549F3">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0" w:firstLineChars="0"/>
              <w:textAlignment w:val="auto"/>
              <w:rPr>
                <w:rFonts w:ascii="宋体" w:hAnsi="宋体" w:eastAsia="宋体" w:cs="宋体"/>
                <w:color w:val="auto"/>
                <w:sz w:val="24"/>
                <w:szCs w:val="24"/>
                <w:highlight w:val="none"/>
              </w:rPr>
            </w:pPr>
            <w:r>
              <w:rPr>
                <w:rFonts w:hint="default" w:ascii="宋体" w:hAnsi="宋体" w:eastAsia="宋体" w:cs="宋体"/>
                <w:i w:val="0"/>
                <w:iCs w:val="0"/>
                <w:color w:val="auto"/>
                <w:kern w:val="0"/>
                <w:sz w:val="24"/>
                <w:szCs w:val="24"/>
                <w:highlight w:val="none"/>
                <w:u w:val="none"/>
                <w:lang w:val="en-US" w:eastAsia="zh-CN" w:bidi="ar"/>
              </w:rPr>
              <w:t>本项目所有开发成果、源代码、软件著作权、文档资料、衍生成果全部知识产权归</w:t>
            </w:r>
            <w:r>
              <w:rPr>
                <w:rFonts w:hint="eastAsia" w:ascii="宋体" w:hAnsi="宋体" w:cs="宋体"/>
                <w:i w:val="0"/>
                <w:iCs w:val="0"/>
                <w:color w:val="auto"/>
                <w:kern w:val="0"/>
                <w:sz w:val="24"/>
                <w:szCs w:val="24"/>
                <w:highlight w:val="none"/>
                <w:u w:val="none"/>
                <w:lang w:val="en-US" w:eastAsia="zh-CN" w:bidi="ar"/>
              </w:rPr>
              <w:t>甲方</w:t>
            </w:r>
            <w:r>
              <w:rPr>
                <w:rFonts w:hint="default" w:ascii="宋体" w:hAnsi="宋体" w:eastAsia="宋体" w:cs="宋体"/>
                <w:i w:val="0"/>
                <w:iCs w:val="0"/>
                <w:color w:val="auto"/>
                <w:kern w:val="0"/>
                <w:sz w:val="24"/>
                <w:szCs w:val="24"/>
                <w:highlight w:val="none"/>
                <w:u w:val="none"/>
                <w:lang w:val="en-US" w:eastAsia="zh-CN" w:bidi="ar"/>
              </w:rPr>
              <w:t>独家所有。</w:t>
            </w:r>
            <w:r>
              <w:rPr>
                <w:rFonts w:hint="eastAsia" w:ascii="宋体" w:hAnsi="宋体" w:cs="宋体"/>
                <w:i w:val="0"/>
                <w:iCs w:val="0"/>
                <w:color w:val="auto"/>
                <w:kern w:val="0"/>
                <w:sz w:val="24"/>
                <w:szCs w:val="24"/>
                <w:highlight w:val="none"/>
                <w:u w:val="none"/>
                <w:lang w:val="en-US" w:eastAsia="zh-CN" w:bidi="ar"/>
              </w:rPr>
              <w:t>乙方</w:t>
            </w:r>
            <w:r>
              <w:rPr>
                <w:rFonts w:hint="default" w:ascii="宋体" w:hAnsi="宋体" w:eastAsia="宋体" w:cs="宋体"/>
                <w:i w:val="0"/>
                <w:iCs w:val="0"/>
                <w:color w:val="auto"/>
                <w:kern w:val="0"/>
                <w:sz w:val="24"/>
                <w:szCs w:val="24"/>
                <w:highlight w:val="none"/>
                <w:u w:val="none"/>
                <w:lang w:val="en-US" w:eastAsia="zh-CN" w:bidi="ar"/>
              </w:rPr>
              <w:t>不得将本项目成果用于其他项目、转让第三方或商用，项目开发无任何知识产权纠纷，若出现侵权问题，由</w:t>
            </w:r>
            <w:r>
              <w:rPr>
                <w:rFonts w:hint="eastAsia" w:ascii="宋体" w:hAnsi="宋体" w:cs="宋体"/>
                <w:i w:val="0"/>
                <w:iCs w:val="0"/>
                <w:color w:val="auto"/>
                <w:kern w:val="0"/>
                <w:sz w:val="24"/>
                <w:szCs w:val="24"/>
                <w:highlight w:val="none"/>
                <w:u w:val="none"/>
                <w:lang w:val="en-US" w:eastAsia="zh-CN" w:bidi="ar"/>
              </w:rPr>
              <w:t>乙方</w:t>
            </w:r>
            <w:r>
              <w:rPr>
                <w:rFonts w:hint="default" w:ascii="宋体" w:hAnsi="宋体" w:eastAsia="宋体" w:cs="宋体"/>
                <w:i w:val="0"/>
                <w:iCs w:val="0"/>
                <w:color w:val="auto"/>
                <w:kern w:val="0"/>
                <w:sz w:val="24"/>
                <w:szCs w:val="24"/>
                <w:highlight w:val="none"/>
                <w:u w:val="none"/>
                <w:lang w:val="en-US" w:eastAsia="zh-CN" w:bidi="ar"/>
              </w:rPr>
              <w:t>全权负责并承担全部损失。</w:t>
            </w:r>
          </w:p>
        </w:tc>
      </w:tr>
      <w:tr w14:paraId="03756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346356E7">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8672" w:type="dxa"/>
            <w:vAlign w:val="center"/>
          </w:tcPr>
          <w:p w14:paraId="2760A951">
            <w:pPr>
              <w:keepNext w:val="0"/>
              <w:keepLines w:val="0"/>
              <w:pageBreakBefore w:val="0"/>
              <w:widowControl/>
              <w:suppressLineNumbers w:val="0"/>
              <w:kinsoku/>
              <w:wordWrap/>
              <w:overflowPunct/>
              <w:topLinePunct w:val="0"/>
              <w:autoSpaceDE/>
              <w:autoSpaceDN/>
              <w:bidi w:val="0"/>
              <w:adjustRightInd w:val="0"/>
              <w:snapToGrid/>
              <w:spacing w:line="46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lang w:val="en-US" w:eastAsia="zh-CN"/>
              </w:rPr>
              <w:t>自合同签订生效生效之日起10个工作日内支付合同款的40%作为预付款、平台建设完成并上线正常运行，待项目交付验收合格之日起10个工作日内支付剩余合同款。</w:t>
            </w:r>
          </w:p>
          <w:p w14:paraId="3C4BBC8E">
            <w:pPr>
              <w:keepNext w:val="0"/>
              <w:keepLines w:val="0"/>
              <w:pageBreakBefore w:val="0"/>
              <w:widowControl/>
              <w:suppressLineNumbers w:val="0"/>
              <w:kinsoku/>
              <w:wordWrap/>
              <w:overflowPunct/>
              <w:topLinePunct w:val="0"/>
              <w:autoSpaceDE/>
              <w:autoSpaceDN/>
              <w:bidi w:val="0"/>
              <w:adjustRightInd w:val="0"/>
              <w:snapToGrid/>
              <w:spacing w:line="460" w:lineRule="exact"/>
              <w:jc w:val="left"/>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本项目使用财政资金，因财政资金拔付流程造成的支付时间延迟，不视为招标人违约。若财政专项资金尚未到位，招标人付款期限顺延至财政专项资金到达招标人账户后10个工作日内。</w:t>
            </w:r>
          </w:p>
        </w:tc>
      </w:tr>
      <w:tr w14:paraId="5C39D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452B12E8">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2.11.3</w:t>
            </w:r>
          </w:p>
        </w:tc>
        <w:tc>
          <w:tcPr>
            <w:tcW w:w="8672" w:type="dxa"/>
            <w:vAlign w:val="center"/>
          </w:tcPr>
          <w:p w14:paraId="552FB5D1">
            <w:pPr>
              <w:spacing w:line="40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因不可抗力致使合同有变更必要的，双方当事人应在</w:t>
            </w:r>
            <w:r>
              <w:rPr>
                <w:rFonts w:hint="eastAsia" w:ascii="宋体" w:hAnsi="宋体" w:cs="宋体"/>
                <w:b/>
                <w:color w:val="auto"/>
                <w:sz w:val="24"/>
                <w:szCs w:val="24"/>
                <w:highlight w:val="none"/>
                <w:u w:val="single"/>
                <w:lang w:val="en-US" w:eastAsia="zh-CN"/>
              </w:rPr>
              <w:t>7个工作日</w:t>
            </w:r>
            <w:r>
              <w:rPr>
                <w:rFonts w:hint="eastAsia" w:ascii="宋体" w:hAnsi="宋体" w:eastAsia="宋体" w:cs="宋体"/>
                <w:color w:val="auto"/>
                <w:sz w:val="24"/>
                <w:szCs w:val="24"/>
                <w:highlight w:val="none"/>
              </w:rPr>
              <w:t>内以书面形式变更合同；</w:t>
            </w:r>
          </w:p>
        </w:tc>
      </w:tr>
      <w:tr w14:paraId="72972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tcPr>
          <w:p w14:paraId="2382CAF7">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2.11.4 </w:t>
            </w:r>
          </w:p>
        </w:tc>
        <w:tc>
          <w:tcPr>
            <w:tcW w:w="8672" w:type="dxa"/>
          </w:tcPr>
          <w:p w14:paraId="627765BE">
            <w:pPr>
              <w:keepNext w:val="0"/>
              <w:keepLines w:val="0"/>
              <w:pageBreakBefore w:val="0"/>
              <w:widowControl w:val="0"/>
              <w:kinsoku/>
              <w:wordWrap/>
              <w:overflowPunct/>
              <w:topLinePunct w:val="0"/>
              <w:autoSpaceDE/>
              <w:autoSpaceDN/>
              <w:bidi w:val="0"/>
              <w:adjustRightInd w:val="0"/>
              <w:snapToGrid/>
              <w:spacing w:line="46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受不可抗力影响的一方在不可抗力发生后，应在</w:t>
            </w:r>
            <w:r>
              <w:rPr>
                <w:rFonts w:hint="eastAsia" w:ascii="宋体" w:hAnsi="宋体" w:cs="宋体"/>
                <w:b/>
                <w:color w:val="auto"/>
                <w:sz w:val="24"/>
                <w:szCs w:val="24"/>
                <w:highlight w:val="none"/>
                <w:u w:val="single"/>
                <w:lang w:val="en-US" w:eastAsia="zh-CN"/>
              </w:rPr>
              <w:t>7个工作日</w:t>
            </w:r>
            <w:r>
              <w:rPr>
                <w:rFonts w:hint="eastAsia" w:ascii="宋体" w:hAnsi="宋体" w:eastAsia="宋体" w:cs="宋体"/>
                <w:color w:val="auto"/>
                <w:sz w:val="24"/>
                <w:szCs w:val="24"/>
                <w:highlight w:val="none"/>
              </w:rPr>
              <w:t>内以书面形式通知对方当事人，并在</w:t>
            </w:r>
            <w:r>
              <w:rPr>
                <w:rFonts w:hint="eastAsia" w:ascii="宋体" w:hAnsi="宋体" w:cs="宋体"/>
                <w:b/>
                <w:color w:val="auto"/>
                <w:sz w:val="24"/>
                <w:szCs w:val="24"/>
                <w:highlight w:val="none"/>
                <w:u w:val="single"/>
                <w:lang w:val="en-US" w:eastAsia="zh-CN"/>
              </w:rPr>
              <w:t>7个工作日</w:t>
            </w:r>
            <w:r>
              <w:rPr>
                <w:rFonts w:hint="eastAsia" w:ascii="宋体" w:hAnsi="宋体" w:eastAsia="宋体" w:cs="宋体"/>
                <w:color w:val="auto"/>
                <w:sz w:val="24"/>
                <w:szCs w:val="24"/>
                <w:highlight w:val="none"/>
              </w:rPr>
              <w:t>内，将有关部门出具的证明文件送达对方当事人。</w:t>
            </w:r>
          </w:p>
        </w:tc>
      </w:tr>
      <w:tr w14:paraId="4530A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2790D266">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2.15.1</w:t>
            </w:r>
          </w:p>
        </w:tc>
        <w:tc>
          <w:tcPr>
            <w:tcW w:w="8672" w:type="dxa"/>
            <w:vAlign w:val="center"/>
          </w:tcPr>
          <w:p w14:paraId="4255B7C6">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cs="宋体"/>
                <w:i w:val="0"/>
                <w:iCs w:val="0"/>
                <w:color w:val="auto"/>
                <w:kern w:val="0"/>
                <w:sz w:val="24"/>
                <w:szCs w:val="24"/>
                <w:highlight w:val="none"/>
                <w:u w:val="none"/>
                <w:lang w:val="en-US" w:eastAsia="zh-CN" w:bidi="ar"/>
              </w:rPr>
              <w:t>项目验收：项目全部开发完成、培训到位、资料齐全、系统稳定运行，所有功能、性能、安全、合规要求全部达标，投标人提交完整验收资料，招标人组织专家</w:t>
            </w:r>
            <w:r>
              <w:rPr>
                <w:rFonts w:hint="eastAsia" w:ascii="宋体" w:hAnsi="宋体" w:cs="宋体"/>
                <w:i w:val="0"/>
                <w:iCs w:val="0"/>
                <w:color w:val="auto"/>
                <w:kern w:val="0"/>
                <w:sz w:val="24"/>
                <w:szCs w:val="24"/>
                <w:highlight w:val="none"/>
                <w:u w:val="none"/>
                <w:lang w:val="en-US" w:eastAsia="zh-CN" w:bidi="ar"/>
              </w:rPr>
              <w:t>开展项目交付验收</w:t>
            </w:r>
            <w:r>
              <w:rPr>
                <w:rFonts w:hint="eastAsia" w:ascii="宋体" w:hAnsi="宋体" w:cs="宋体"/>
                <w:i w:val="0"/>
                <w:iCs w:val="0"/>
                <w:color w:val="auto"/>
                <w:kern w:val="0"/>
                <w:sz w:val="24"/>
                <w:szCs w:val="24"/>
                <w:highlight w:val="none"/>
                <w:u w:val="none"/>
                <w:lang w:val="en-US" w:eastAsia="zh-CN" w:bidi="ar"/>
              </w:rPr>
              <w:t>，验收合格后签署验收报告。</w:t>
            </w:r>
          </w:p>
        </w:tc>
      </w:tr>
      <w:tr w14:paraId="653C3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046" w:type="dxa"/>
            <w:tcBorders>
              <w:left w:val="single" w:color="auto" w:sz="4" w:space="0"/>
            </w:tcBorders>
            <w:vAlign w:val="center"/>
          </w:tcPr>
          <w:p w14:paraId="465EFF66">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2.15.3</w:t>
            </w:r>
          </w:p>
        </w:tc>
        <w:tc>
          <w:tcPr>
            <w:tcW w:w="8672" w:type="dxa"/>
            <w:vAlign w:val="center"/>
          </w:tcPr>
          <w:p w14:paraId="35A1C753">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textAlignment w:val="auto"/>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auto"/>
                <w:kern w:val="0"/>
                <w:sz w:val="24"/>
                <w:szCs w:val="24"/>
                <w:highlight w:val="none"/>
                <w:u w:val="none"/>
                <w:lang w:val="en-US" w:eastAsia="zh-CN" w:bidi="ar"/>
              </w:rPr>
              <w:t>验收标准与方案：</w:t>
            </w:r>
          </w:p>
          <w:p w14:paraId="1C057594">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（1）验收依据</w:t>
            </w:r>
          </w:p>
          <w:p w14:paraId="1C5A2D31">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以招标文件、投标文件、合同条款、国家及行业相关标准为验收依据，严格开展项目验收工作。</w:t>
            </w:r>
          </w:p>
          <w:p w14:paraId="64851085">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（2）项目验收</w:t>
            </w:r>
          </w:p>
          <w:p w14:paraId="2D7B66E4">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项目全部开发完成、培训到位、资料齐全、系统稳定运行，所有功能、性能、安全、合规要求全部达标，投标人提交完整验收资料，招标人组织专家开展项目交付验收，验收合格后签署验收报告。</w:t>
            </w:r>
          </w:p>
          <w:p w14:paraId="0064362F">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（3）验收不合格处置</w:t>
            </w:r>
          </w:p>
          <w:p w14:paraId="445A916B">
            <w:pPr>
              <w:keepNext w:val="0"/>
              <w:keepLines w:val="0"/>
              <w:pageBreakBefore w:val="0"/>
              <w:widowControl w:val="0"/>
              <w:numPr>
                <w:ilvl w:val="0"/>
                <w:numId w:val="0"/>
              </w:numPr>
              <w:kinsoku/>
              <w:wordWrap/>
              <w:overflowPunct/>
              <w:topLinePunct w:val="0"/>
              <w:autoSpaceDE/>
              <w:autoSpaceDN/>
              <w:bidi w:val="0"/>
              <w:adjustRightInd w:val="0"/>
              <w:snapToGrid/>
              <w:spacing w:line="460" w:lineRule="exact"/>
              <w:ind w:firstLine="480" w:firstLineChars="200"/>
              <w:textAlignment w:val="auto"/>
              <w:rPr>
                <w:rFonts w:ascii="宋体" w:hAnsi="宋体" w:eastAsia="宋体" w:cs="宋体"/>
                <w:color w:val="auto"/>
                <w:sz w:val="24"/>
                <w:szCs w:val="24"/>
                <w:highlight w:val="none"/>
              </w:rPr>
            </w:pPr>
            <w:r>
              <w:rPr>
                <w:rFonts w:hint="eastAsia" w:ascii="宋体" w:hAnsi="宋体" w:cs="宋体"/>
                <w:i w:val="0"/>
                <w:iCs w:val="0"/>
                <w:color w:val="auto"/>
                <w:kern w:val="0"/>
                <w:sz w:val="24"/>
                <w:szCs w:val="24"/>
                <w:highlight w:val="none"/>
                <w:u w:val="none"/>
                <w:lang w:val="en-US" w:eastAsia="zh-CN" w:bidi="ar"/>
              </w:rPr>
              <w:t>若验收不合格，投标人需按照招标人整改要求，在规定时限内免费完成整改、优化、修复，直至验收合格，逾期未整改或整改不达标的，承担相应违约责任。</w:t>
            </w:r>
          </w:p>
        </w:tc>
      </w:tr>
      <w:tr w14:paraId="1C28D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1046" w:type="dxa"/>
            <w:tcBorders>
              <w:left w:val="single" w:color="auto" w:sz="4" w:space="0"/>
            </w:tcBorders>
          </w:tcPr>
          <w:p w14:paraId="03A77F6A">
            <w:pPr>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8672" w:type="dxa"/>
          </w:tcPr>
          <w:p w14:paraId="0E0CC9CF">
            <w:pPr>
              <w:spacing w:line="400" w:lineRule="exact"/>
              <w:ind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陆份（可根据实际情况修改份数）</w:t>
            </w:r>
          </w:p>
        </w:tc>
      </w:tr>
    </w:tbl>
    <w:p w14:paraId="3B8897F8">
      <w:pPr>
        <w:rPr>
          <w:color w:val="auto"/>
          <w:highlight w:val="none"/>
        </w:rPr>
      </w:pPr>
    </w:p>
    <w:p w14:paraId="262D4734">
      <w:pPr>
        <w:rPr>
          <w:rFonts w:hint="eastAsia"/>
          <w:color w:val="auto"/>
          <w:sz w:val="36"/>
          <w:szCs w:val="36"/>
          <w:highlight w:val="none"/>
        </w:rPr>
      </w:pPr>
      <w:r>
        <w:rPr>
          <w:rFonts w:hint="eastAsia"/>
          <w:color w:val="auto"/>
          <w:sz w:val="36"/>
          <w:szCs w:val="36"/>
          <w:highlight w:val="none"/>
        </w:rPr>
        <w:br w:type="page"/>
      </w:r>
    </w:p>
    <w:p w14:paraId="155595A4">
      <w:pPr>
        <w:pStyle w:val="2"/>
        <w:bidi w:val="0"/>
        <w:jc w:val="center"/>
        <w:rPr>
          <w:color w:val="auto"/>
          <w:sz w:val="36"/>
          <w:szCs w:val="36"/>
          <w:highlight w:val="none"/>
        </w:rPr>
      </w:pPr>
      <w:r>
        <w:rPr>
          <w:rFonts w:hint="eastAsia"/>
          <w:color w:val="auto"/>
          <w:sz w:val="36"/>
          <w:szCs w:val="36"/>
          <w:highlight w:val="none"/>
        </w:rPr>
        <w:t>第六部分</w:t>
      </w:r>
      <w:bookmarkEnd w:id="392"/>
      <w:r>
        <w:rPr>
          <w:rFonts w:hint="eastAsia"/>
          <w:color w:val="auto"/>
          <w:sz w:val="36"/>
          <w:szCs w:val="36"/>
          <w:highlight w:val="none"/>
        </w:rPr>
        <w:t xml:space="preserve"> </w:t>
      </w:r>
      <w:bookmarkEnd w:id="393"/>
      <w:r>
        <w:rPr>
          <w:rFonts w:hint="eastAsia"/>
          <w:color w:val="auto"/>
          <w:sz w:val="36"/>
          <w:szCs w:val="36"/>
          <w:highlight w:val="none"/>
        </w:rPr>
        <w:t>应提交的有关格式范例</w:t>
      </w:r>
      <w:bookmarkEnd w:id="396"/>
      <w:bookmarkEnd w:id="397"/>
    </w:p>
    <w:p w14:paraId="23C75C13">
      <w:pPr>
        <w:spacing w:line="360" w:lineRule="auto"/>
        <w:jc w:val="center"/>
        <w:rPr>
          <w:rFonts w:ascii="宋体" w:hAnsi="宋体" w:cs="宋体"/>
          <w:b/>
          <w:color w:val="auto"/>
          <w:kern w:val="0"/>
          <w:sz w:val="36"/>
          <w:szCs w:val="36"/>
          <w:highlight w:val="none"/>
        </w:rPr>
      </w:pPr>
    </w:p>
    <w:p w14:paraId="79C4C94D">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31DC64C7">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5B4BB47">
      <w:pPr>
        <w:spacing w:line="360" w:lineRule="auto"/>
        <w:jc w:val="center"/>
        <w:rPr>
          <w:rFonts w:ascii="宋体" w:hAnsi="宋体" w:cs="宋体"/>
          <w:b/>
          <w:color w:val="auto"/>
          <w:kern w:val="0"/>
          <w:sz w:val="36"/>
          <w:szCs w:val="36"/>
          <w:highlight w:val="none"/>
        </w:rPr>
      </w:pPr>
    </w:p>
    <w:p w14:paraId="0A6476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53A0A9A3">
      <w:pPr>
        <w:snapToGrid w:val="0"/>
        <w:spacing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投标授权书</w:t>
      </w:r>
      <w:r>
        <w:rPr>
          <w:rFonts w:hint="eastAsia" w:ascii="宋体" w:hAnsi="宋体" w:cs="宋体"/>
          <w:color w:val="auto"/>
          <w:sz w:val="24"/>
          <w:highlight w:val="none"/>
        </w:rPr>
        <w:t>……………………………………………………………（页码）</w:t>
      </w:r>
    </w:p>
    <w:p w14:paraId="14F7F2F2">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直接控股、管理关系信息表…………………………………（页码）</w:t>
      </w:r>
    </w:p>
    <w:p w14:paraId="25F9A8C1">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w:t>
      </w:r>
      <w:r>
        <w:rPr>
          <w:rFonts w:hint="eastAsia" w:ascii="宋体" w:hAnsi="宋体" w:cs="宋体"/>
          <w:b w:val="0"/>
          <w:bCs w:val="0"/>
          <w:color w:val="auto"/>
          <w:sz w:val="24"/>
          <w:szCs w:val="24"/>
          <w:highlight w:val="none"/>
          <w:shd w:val="clear" w:color="auto" w:fill="auto"/>
          <w:lang w:val="en-US" w:eastAsia="zh-CN"/>
        </w:rPr>
        <w:t>投标人认为需要提供的其他资格证明文件</w:t>
      </w:r>
      <w:r>
        <w:rPr>
          <w:rFonts w:hint="eastAsia" w:ascii="宋体" w:hAnsi="宋体" w:cs="宋体"/>
          <w:color w:val="auto"/>
          <w:sz w:val="24"/>
          <w:highlight w:val="none"/>
        </w:rPr>
        <w:t>…………………………（页码）</w:t>
      </w:r>
    </w:p>
    <w:p w14:paraId="1CBFF558">
      <w:pPr>
        <w:snapToGrid w:val="0"/>
        <w:spacing w:line="360" w:lineRule="auto"/>
        <w:ind w:firstLine="480" w:firstLineChars="200"/>
        <w:rPr>
          <w:rFonts w:ascii="宋体" w:hAnsi="宋体" w:cs="宋体"/>
          <w:color w:val="auto"/>
          <w:sz w:val="24"/>
          <w:highlight w:val="none"/>
        </w:rPr>
      </w:pPr>
    </w:p>
    <w:p w14:paraId="3A3CC434">
      <w:pPr>
        <w:spacing w:line="360" w:lineRule="auto"/>
        <w:ind w:firstLine="480" w:firstLineChars="200"/>
        <w:rPr>
          <w:rFonts w:ascii="宋体" w:hAnsi="宋体" w:cs="宋体"/>
          <w:color w:val="auto"/>
          <w:sz w:val="24"/>
          <w:highlight w:val="none"/>
        </w:rPr>
      </w:pPr>
    </w:p>
    <w:p w14:paraId="1BB2117B">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4EDDE5BB">
      <w:pPr>
        <w:snapToGrid w:val="0"/>
        <w:spacing w:line="360" w:lineRule="auto"/>
        <w:ind w:right="480"/>
        <w:jc w:val="center"/>
        <w:rPr>
          <w:rFonts w:ascii="宋体" w:hAnsi="宋体" w:cs="宋体"/>
          <w:color w:val="auto"/>
          <w:sz w:val="24"/>
          <w:highlight w:val="none"/>
        </w:rPr>
      </w:pPr>
    </w:p>
    <w:p w14:paraId="4379F576">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信用承诺函（格式）</w:t>
      </w:r>
    </w:p>
    <w:p w14:paraId="379FDBF7">
      <w:pPr>
        <w:snapToGrid w:val="0"/>
        <w:spacing w:line="360" w:lineRule="auto"/>
        <w:rPr>
          <w:rFonts w:ascii="宋体" w:hAnsi="宋体" w:cs="宋体"/>
          <w:color w:val="auto"/>
          <w:sz w:val="24"/>
          <w:highlight w:val="none"/>
        </w:rPr>
      </w:pPr>
    </w:p>
    <w:p w14:paraId="75D98390">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 ：</w:t>
      </w:r>
    </w:p>
    <w:p w14:paraId="1172029F">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名称：</w:t>
      </w:r>
    </w:p>
    <w:p w14:paraId="7141529C">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01BB401B">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地址：</w:t>
      </w:r>
    </w:p>
    <w:p w14:paraId="4D6529F0">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54564DD">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7091CEDF">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12E9989D">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1F803727">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7D885CA9">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4B77711">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2143A464">
      <w:pPr>
        <w:snapToGrid w:val="0"/>
        <w:spacing w:line="360" w:lineRule="auto"/>
        <w:ind w:right="480"/>
        <w:rPr>
          <w:rFonts w:ascii="宋体" w:hAnsi="宋体" w:cs="宋体"/>
          <w:color w:val="auto"/>
          <w:sz w:val="24"/>
          <w:highlight w:val="none"/>
        </w:rPr>
      </w:pPr>
    </w:p>
    <w:p w14:paraId="4941E7D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2010F56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FBE05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0C190D5">
      <w:pPr>
        <w:snapToGrid w:val="0"/>
        <w:spacing w:line="360" w:lineRule="auto"/>
        <w:ind w:right="480"/>
        <w:rPr>
          <w:rFonts w:ascii="宋体" w:hAnsi="宋体" w:cs="宋体"/>
          <w:color w:val="auto"/>
          <w:sz w:val="24"/>
          <w:highlight w:val="none"/>
        </w:rPr>
      </w:pPr>
    </w:p>
    <w:p w14:paraId="2E5A86DE">
      <w:pPr>
        <w:snapToGrid w:val="0"/>
        <w:spacing w:line="360" w:lineRule="auto"/>
        <w:ind w:right="480"/>
        <w:jc w:val="center"/>
        <w:rPr>
          <w:rFonts w:ascii="宋体" w:hAnsi="宋体" w:cs="宋体"/>
          <w:b/>
          <w:color w:val="auto"/>
          <w:kern w:val="0"/>
          <w:sz w:val="32"/>
          <w:szCs w:val="32"/>
          <w:highlight w:val="none"/>
        </w:rPr>
      </w:pPr>
    </w:p>
    <w:p w14:paraId="33E64614">
      <w:pPr>
        <w:rPr>
          <w:rFonts w:ascii="宋体" w:hAnsi="宋体" w:cs="宋体"/>
          <w:color w:val="auto"/>
          <w:highlight w:val="none"/>
        </w:rPr>
      </w:pPr>
    </w:p>
    <w:p w14:paraId="4CB4EDEA">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18808054">
      <w:pPr>
        <w:widowControl/>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w:t>
      </w:r>
      <w:r>
        <w:rPr>
          <w:rFonts w:hint="eastAsia" w:ascii="宋体" w:hAnsi="宋体" w:cs="宋体"/>
          <w:b/>
          <w:color w:val="auto"/>
          <w:kern w:val="0"/>
          <w:sz w:val="32"/>
          <w:szCs w:val="32"/>
          <w:highlight w:val="none"/>
          <w:lang w:val="en-US" w:eastAsia="zh-CN"/>
        </w:rPr>
        <w:t>投标授权书</w:t>
      </w:r>
    </w:p>
    <w:p w14:paraId="7642B3CC">
      <w:pPr>
        <w:snapToGrid w:val="0"/>
        <w:spacing w:before="50" w:after="50" w:line="360" w:lineRule="auto"/>
        <w:ind w:firstLine="470" w:firstLineChars="196"/>
        <w:jc w:val="left"/>
        <w:rPr>
          <w:rFonts w:ascii="宋体" w:hAnsi="宋体" w:cs="宋体"/>
          <w:color w:val="auto"/>
          <w:sz w:val="24"/>
          <w:highlight w:val="none"/>
        </w:rPr>
      </w:pPr>
      <w:r>
        <w:rPr>
          <w:rFonts w:hint="eastAsia" w:ascii="宋体" w:hAnsi="宋体" w:eastAsia="宋体" w:cs="宋体"/>
          <w:i w:val="0"/>
          <w:iCs w:val="0"/>
          <w:color w:val="auto"/>
          <w:kern w:val="0"/>
          <w:sz w:val="24"/>
          <w:szCs w:val="24"/>
          <w:highlight w:val="none"/>
          <w:u w:val="none"/>
          <w:lang w:val="en-US" w:eastAsia="zh-CN" w:bidi="ar"/>
        </w:rPr>
        <w:t>如分支机构或分公司投标时，需提供具有</w:t>
      </w:r>
      <w:r>
        <w:rPr>
          <w:rFonts w:hint="eastAsia" w:ascii="宋体" w:hAnsi="宋体" w:cs="宋体"/>
          <w:color w:val="auto"/>
          <w:sz w:val="24"/>
          <w:highlight w:val="none"/>
        </w:rPr>
        <w:t>独立承担民事责任的能力</w:t>
      </w:r>
      <w:r>
        <w:rPr>
          <w:rFonts w:hint="eastAsia" w:ascii="宋体" w:hAnsi="宋体" w:eastAsia="宋体" w:cs="宋体"/>
          <w:i w:val="0"/>
          <w:iCs w:val="0"/>
          <w:color w:val="auto"/>
          <w:kern w:val="0"/>
          <w:sz w:val="24"/>
          <w:szCs w:val="24"/>
          <w:highlight w:val="none"/>
          <w:u w:val="none"/>
          <w:lang w:val="en-US" w:eastAsia="zh-CN" w:bidi="ar"/>
        </w:rPr>
        <w:t>的总公司授权，授权书须加盖总公司的公章。总公司可就本项目在一定范围及时间内出具授权书。</w:t>
      </w:r>
      <w:r>
        <w:rPr>
          <w:rFonts w:hint="eastAsia" w:ascii="宋体" w:hAnsi="宋体" w:cs="宋体"/>
          <w:color w:val="auto"/>
          <w:sz w:val="24"/>
          <w:highlight w:val="none"/>
        </w:rPr>
        <w:t xml:space="preserve"> </w:t>
      </w:r>
    </w:p>
    <w:p w14:paraId="64428C57">
      <w:pPr>
        <w:widowControl/>
        <w:spacing w:line="360" w:lineRule="auto"/>
        <w:ind w:firstLine="480"/>
        <w:jc w:val="left"/>
        <w:rPr>
          <w:rFonts w:ascii="宋体" w:hAnsi="宋体" w:cs="宋体"/>
          <w:color w:val="auto"/>
          <w:sz w:val="24"/>
          <w:highlight w:val="none"/>
        </w:rPr>
      </w:pPr>
    </w:p>
    <w:p w14:paraId="18A08566">
      <w:pPr>
        <w:widowControl/>
        <w:spacing w:line="360" w:lineRule="auto"/>
        <w:ind w:left="150"/>
        <w:jc w:val="center"/>
        <w:rPr>
          <w:rFonts w:ascii="宋体" w:hAnsi="宋体" w:cs="宋体"/>
          <w:b/>
          <w:color w:val="auto"/>
          <w:kern w:val="0"/>
          <w:sz w:val="32"/>
          <w:szCs w:val="32"/>
          <w:highlight w:val="none"/>
        </w:rPr>
      </w:pPr>
    </w:p>
    <w:p w14:paraId="6286EB58">
      <w:pPr>
        <w:snapToGrid w:val="0"/>
        <w:spacing w:line="360" w:lineRule="auto"/>
        <w:ind w:right="480"/>
        <w:jc w:val="center"/>
        <w:rPr>
          <w:rFonts w:hint="eastAsia"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en-US" w:eastAsia="zh-CN"/>
        </w:rPr>
        <w:t>投标人直接控股、管理关系信息表</w:t>
      </w:r>
    </w:p>
    <w:p w14:paraId="12E32672">
      <w:pPr>
        <w:spacing w:before="101" w:line="225" w:lineRule="auto"/>
        <w:ind w:left="241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投标人直接控股股东信息表</w:t>
      </w:r>
    </w:p>
    <w:p w14:paraId="59F5A028">
      <w:pPr>
        <w:spacing w:before="72"/>
        <w:rPr>
          <w:color w:val="auto"/>
          <w:highlight w:val="none"/>
        </w:rPr>
      </w:pPr>
    </w:p>
    <w:tbl>
      <w:tblPr>
        <w:tblStyle w:val="964"/>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238"/>
        <w:gridCol w:w="3720"/>
        <w:gridCol w:w="1422"/>
      </w:tblGrid>
      <w:tr w14:paraId="29522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832" w:type="dxa"/>
            <w:shd w:val="clear" w:color="auto" w:fill="EAE3D8"/>
            <w:vAlign w:val="top"/>
          </w:tcPr>
          <w:p w14:paraId="1D63F22D">
            <w:pPr>
              <w:spacing w:line="311" w:lineRule="auto"/>
              <w:rPr>
                <w:rFonts w:ascii="Arial"/>
                <w:color w:val="auto"/>
                <w:sz w:val="21"/>
                <w:highlight w:val="none"/>
              </w:rPr>
            </w:pPr>
          </w:p>
          <w:p w14:paraId="32DB6F04">
            <w:pPr>
              <w:pStyle w:val="339"/>
              <w:spacing w:before="78" w:line="222" w:lineRule="auto"/>
              <w:ind w:left="181"/>
              <w:rPr>
                <w:color w:val="auto"/>
                <w:sz w:val="24"/>
                <w:szCs w:val="24"/>
                <w:highlight w:val="none"/>
              </w:rPr>
            </w:pPr>
            <w:r>
              <w:rPr>
                <w:b/>
                <w:bCs/>
                <w:color w:val="auto"/>
                <w:spacing w:val="-7"/>
                <w:sz w:val="24"/>
                <w:szCs w:val="24"/>
                <w:highlight w:val="none"/>
              </w:rPr>
              <w:t>序号</w:t>
            </w:r>
          </w:p>
        </w:tc>
        <w:tc>
          <w:tcPr>
            <w:tcW w:w="2268" w:type="dxa"/>
            <w:shd w:val="clear" w:color="auto" w:fill="EAE3D8"/>
            <w:vAlign w:val="top"/>
          </w:tcPr>
          <w:p w14:paraId="526D400E">
            <w:pPr>
              <w:spacing w:line="312" w:lineRule="auto"/>
              <w:rPr>
                <w:rFonts w:ascii="Arial"/>
                <w:color w:val="auto"/>
                <w:sz w:val="21"/>
                <w:highlight w:val="none"/>
              </w:rPr>
            </w:pPr>
          </w:p>
          <w:p w14:paraId="09C57FE7">
            <w:pPr>
              <w:pStyle w:val="339"/>
              <w:spacing w:before="78" w:line="220" w:lineRule="auto"/>
              <w:ind w:left="178"/>
              <w:rPr>
                <w:color w:val="auto"/>
                <w:sz w:val="24"/>
                <w:szCs w:val="24"/>
                <w:highlight w:val="none"/>
              </w:rPr>
            </w:pPr>
            <w:r>
              <w:rPr>
                <w:b/>
                <w:bCs/>
                <w:color w:val="auto"/>
                <w:spacing w:val="-4"/>
                <w:sz w:val="24"/>
                <w:szCs w:val="24"/>
                <w:highlight w:val="none"/>
              </w:rPr>
              <w:t>直接控股股东名称</w:t>
            </w:r>
          </w:p>
        </w:tc>
        <w:tc>
          <w:tcPr>
            <w:tcW w:w="1238" w:type="dxa"/>
            <w:shd w:val="clear" w:color="auto" w:fill="EAE3D8"/>
            <w:vAlign w:val="top"/>
          </w:tcPr>
          <w:p w14:paraId="545CAB65">
            <w:pPr>
              <w:pStyle w:val="339"/>
              <w:spacing w:before="158" w:line="222" w:lineRule="auto"/>
              <w:ind w:left="163"/>
              <w:rPr>
                <w:color w:val="auto"/>
                <w:sz w:val="24"/>
                <w:szCs w:val="24"/>
                <w:highlight w:val="none"/>
              </w:rPr>
            </w:pPr>
            <w:r>
              <w:rPr>
                <w:b/>
                <w:bCs/>
                <w:color w:val="auto"/>
                <w:spacing w:val="-10"/>
                <w:sz w:val="24"/>
                <w:szCs w:val="24"/>
                <w:highlight w:val="none"/>
              </w:rPr>
              <w:t>出资比例</w:t>
            </w:r>
          </w:p>
          <w:p w14:paraId="6AC25E13">
            <w:pPr>
              <w:pStyle w:val="339"/>
              <w:spacing w:before="178" w:line="232" w:lineRule="auto"/>
              <w:ind w:left="336"/>
              <w:rPr>
                <w:color w:val="auto"/>
                <w:sz w:val="24"/>
                <w:szCs w:val="24"/>
                <w:highlight w:val="none"/>
              </w:rPr>
            </w:pPr>
            <w:r>
              <w:rPr>
                <w:b/>
                <w:bCs/>
                <w:color w:val="auto"/>
                <w:spacing w:val="-10"/>
                <w:sz w:val="24"/>
                <w:szCs w:val="24"/>
                <w:highlight w:val="none"/>
              </w:rPr>
              <w:t>（%）</w:t>
            </w:r>
          </w:p>
        </w:tc>
        <w:tc>
          <w:tcPr>
            <w:tcW w:w="3720" w:type="dxa"/>
            <w:shd w:val="clear" w:color="auto" w:fill="EAE3D8"/>
            <w:vAlign w:val="top"/>
          </w:tcPr>
          <w:p w14:paraId="4199983E">
            <w:pPr>
              <w:pStyle w:val="339"/>
              <w:spacing w:before="159" w:line="219" w:lineRule="auto"/>
              <w:ind w:left="187"/>
              <w:rPr>
                <w:color w:val="auto"/>
                <w:sz w:val="24"/>
                <w:szCs w:val="24"/>
                <w:highlight w:val="none"/>
              </w:rPr>
            </w:pPr>
            <w:r>
              <w:rPr>
                <w:b/>
                <w:bCs/>
                <w:color w:val="auto"/>
                <w:spacing w:val="-3"/>
                <w:sz w:val="24"/>
                <w:szCs w:val="24"/>
                <w:highlight w:val="none"/>
              </w:rPr>
              <w:t>身份证号码或者统一社会信用代</w:t>
            </w:r>
          </w:p>
          <w:p w14:paraId="7FCA6BBA">
            <w:pPr>
              <w:pStyle w:val="339"/>
              <w:spacing w:before="180" w:line="224" w:lineRule="auto"/>
              <w:ind w:left="1745"/>
              <w:rPr>
                <w:color w:val="auto"/>
                <w:sz w:val="24"/>
                <w:szCs w:val="24"/>
                <w:highlight w:val="none"/>
              </w:rPr>
            </w:pPr>
            <w:r>
              <w:rPr>
                <w:b/>
                <w:bCs/>
                <w:color w:val="auto"/>
                <w:spacing w:val="-3"/>
                <w:sz w:val="24"/>
                <w:szCs w:val="24"/>
                <w:highlight w:val="none"/>
              </w:rPr>
              <w:t>码</w:t>
            </w:r>
          </w:p>
        </w:tc>
        <w:tc>
          <w:tcPr>
            <w:tcW w:w="1422" w:type="dxa"/>
            <w:shd w:val="clear" w:color="auto" w:fill="EAE3D8"/>
            <w:vAlign w:val="top"/>
          </w:tcPr>
          <w:p w14:paraId="7093AB2A">
            <w:pPr>
              <w:spacing w:line="311" w:lineRule="auto"/>
              <w:rPr>
                <w:rFonts w:ascii="Arial"/>
                <w:color w:val="auto"/>
                <w:sz w:val="21"/>
                <w:highlight w:val="none"/>
              </w:rPr>
            </w:pPr>
          </w:p>
          <w:p w14:paraId="65F3F234">
            <w:pPr>
              <w:pStyle w:val="339"/>
              <w:spacing w:before="78" w:line="222" w:lineRule="auto"/>
              <w:ind w:left="479"/>
              <w:rPr>
                <w:color w:val="auto"/>
                <w:sz w:val="24"/>
                <w:szCs w:val="24"/>
                <w:highlight w:val="none"/>
              </w:rPr>
            </w:pPr>
            <w:r>
              <w:rPr>
                <w:b/>
                <w:bCs/>
                <w:color w:val="auto"/>
                <w:spacing w:val="-9"/>
                <w:sz w:val="24"/>
                <w:szCs w:val="24"/>
                <w:highlight w:val="none"/>
              </w:rPr>
              <w:t>备注</w:t>
            </w:r>
          </w:p>
        </w:tc>
      </w:tr>
      <w:tr w14:paraId="3340E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4495401F">
            <w:pPr>
              <w:pStyle w:val="339"/>
              <w:spacing w:before="155" w:line="242" w:lineRule="auto"/>
              <w:ind w:left="380"/>
              <w:rPr>
                <w:color w:val="auto"/>
                <w:sz w:val="24"/>
                <w:szCs w:val="24"/>
                <w:highlight w:val="none"/>
              </w:rPr>
            </w:pPr>
            <w:r>
              <w:rPr>
                <w:color w:val="auto"/>
                <w:sz w:val="24"/>
                <w:szCs w:val="24"/>
                <w:highlight w:val="none"/>
              </w:rPr>
              <w:t>1</w:t>
            </w:r>
          </w:p>
        </w:tc>
        <w:tc>
          <w:tcPr>
            <w:tcW w:w="2268" w:type="dxa"/>
            <w:vAlign w:val="top"/>
          </w:tcPr>
          <w:p w14:paraId="38A66EA2">
            <w:pPr>
              <w:rPr>
                <w:rFonts w:ascii="Arial"/>
                <w:color w:val="auto"/>
                <w:sz w:val="21"/>
                <w:highlight w:val="none"/>
              </w:rPr>
            </w:pPr>
          </w:p>
        </w:tc>
        <w:tc>
          <w:tcPr>
            <w:tcW w:w="1238" w:type="dxa"/>
            <w:vAlign w:val="top"/>
          </w:tcPr>
          <w:p w14:paraId="17B4D3CF">
            <w:pPr>
              <w:rPr>
                <w:rFonts w:ascii="Arial"/>
                <w:color w:val="auto"/>
                <w:sz w:val="21"/>
                <w:highlight w:val="none"/>
              </w:rPr>
            </w:pPr>
          </w:p>
        </w:tc>
        <w:tc>
          <w:tcPr>
            <w:tcW w:w="3720" w:type="dxa"/>
            <w:vAlign w:val="top"/>
          </w:tcPr>
          <w:p w14:paraId="7C503616">
            <w:pPr>
              <w:rPr>
                <w:rFonts w:ascii="Arial"/>
                <w:color w:val="auto"/>
                <w:sz w:val="21"/>
                <w:highlight w:val="none"/>
              </w:rPr>
            </w:pPr>
          </w:p>
        </w:tc>
        <w:tc>
          <w:tcPr>
            <w:tcW w:w="1422" w:type="dxa"/>
            <w:vAlign w:val="top"/>
          </w:tcPr>
          <w:p w14:paraId="29F7AB7D">
            <w:pPr>
              <w:rPr>
                <w:rFonts w:ascii="Arial"/>
                <w:color w:val="auto"/>
                <w:sz w:val="21"/>
                <w:highlight w:val="none"/>
              </w:rPr>
            </w:pPr>
          </w:p>
        </w:tc>
      </w:tr>
      <w:tr w14:paraId="3EFA3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10C71CEC">
            <w:pPr>
              <w:pStyle w:val="339"/>
              <w:spacing w:before="156" w:line="242" w:lineRule="auto"/>
              <w:ind w:left="365"/>
              <w:rPr>
                <w:color w:val="auto"/>
                <w:sz w:val="24"/>
                <w:szCs w:val="24"/>
                <w:highlight w:val="none"/>
              </w:rPr>
            </w:pPr>
            <w:r>
              <w:rPr>
                <w:color w:val="auto"/>
                <w:sz w:val="24"/>
                <w:szCs w:val="24"/>
                <w:highlight w:val="none"/>
              </w:rPr>
              <w:t>2</w:t>
            </w:r>
          </w:p>
        </w:tc>
        <w:tc>
          <w:tcPr>
            <w:tcW w:w="2268" w:type="dxa"/>
            <w:vAlign w:val="top"/>
          </w:tcPr>
          <w:p w14:paraId="50A99D73">
            <w:pPr>
              <w:rPr>
                <w:rFonts w:ascii="Arial"/>
                <w:color w:val="auto"/>
                <w:sz w:val="21"/>
                <w:highlight w:val="none"/>
              </w:rPr>
            </w:pPr>
          </w:p>
        </w:tc>
        <w:tc>
          <w:tcPr>
            <w:tcW w:w="1238" w:type="dxa"/>
            <w:vAlign w:val="top"/>
          </w:tcPr>
          <w:p w14:paraId="44784D21">
            <w:pPr>
              <w:rPr>
                <w:rFonts w:ascii="Arial"/>
                <w:color w:val="auto"/>
                <w:sz w:val="21"/>
                <w:highlight w:val="none"/>
              </w:rPr>
            </w:pPr>
          </w:p>
        </w:tc>
        <w:tc>
          <w:tcPr>
            <w:tcW w:w="3720" w:type="dxa"/>
            <w:vAlign w:val="top"/>
          </w:tcPr>
          <w:p w14:paraId="7350BB50">
            <w:pPr>
              <w:rPr>
                <w:rFonts w:ascii="Arial"/>
                <w:color w:val="auto"/>
                <w:sz w:val="21"/>
                <w:highlight w:val="none"/>
              </w:rPr>
            </w:pPr>
          </w:p>
        </w:tc>
        <w:tc>
          <w:tcPr>
            <w:tcW w:w="1422" w:type="dxa"/>
            <w:vAlign w:val="top"/>
          </w:tcPr>
          <w:p w14:paraId="0C62BC3F">
            <w:pPr>
              <w:rPr>
                <w:rFonts w:ascii="Arial"/>
                <w:color w:val="auto"/>
                <w:sz w:val="21"/>
                <w:highlight w:val="none"/>
              </w:rPr>
            </w:pPr>
          </w:p>
        </w:tc>
      </w:tr>
      <w:tr w14:paraId="6C069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044698F3">
            <w:pPr>
              <w:pStyle w:val="339"/>
              <w:spacing w:before="160"/>
              <w:ind w:left="367"/>
              <w:rPr>
                <w:color w:val="auto"/>
                <w:sz w:val="24"/>
                <w:szCs w:val="24"/>
                <w:highlight w:val="none"/>
              </w:rPr>
            </w:pPr>
            <w:r>
              <w:rPr>
                <w:color w:val="auto"/>
                <w:sz w:val="24"/>
                <w:szCs w:val="24"/>
                <w:highlight w:val="none"/>
              </w:rPr>
              <w:t>3</w:t>
            </w:r>
          </w:p>
        </w:tc>
        <w:tc>
          <w:tcPr>
            <w:tcW w:w="2268" w:type="dxa"/>
            <w:vAlign w:val="top"/>
          </w:tcPr>
          <w:p w14:paraId="032ABE84">
            <w:pPr>
              <w:rPr>
                <w:rFonts w:ascii="Arial"/>
                <w:color w:val="auto"/>
                <w:sz w:val="21"/>
                <w:highlight w:val="none"/>
              </w:rPr>
            </w:pPr>
          </w:p>
        </w:tc>
        <w:tc>
          <w:tcPr>
            <w:tcW w:w="1238" w:type="dxa"/>
            <w:vAlign w:val="top"/>
          </w:tcPr>
          <w:p w14:paraId="7B595758">
            <w:pPr>
              <w:rPr>
                <w:rFonts w:ascii="Arial"/>
                <w:color w:val="auto"/>
                <w:sz w:val="21"/>
                <w:highlight w:val="none"/>
              </w:rPr>
            </w:pPr>
          </w:p>
        </w:tc>
        <w:tc>
          <w:tcPr>
            <w:tcW w:w="3720" w:type="dxa"/>
            <w:vAlign w:val="top"/>
          </w:tcPr>
          <w:p w14:paraId="72770105">
            <w:pPr>
              <w:rPr>
                <w:rFonts w:ascii="Arial"/>
                <w:color w:val="auto"/>
                <w:sz w:val="21"/>
                <w:highlight w:val="none"/>
              </w:rPr>
            </w:pPr>
          </w:p>
        </w:tc>
        <w:tc>
          <w:tcPr>
            <w:tcW w:w="1422" w:type="dxa"/>
            <w:vAlign w:val="top"/>
          </w:tcPr>
          <w:p w14:paraId="036DE26A">
            <w:pPr>
              <w:rPr>
                <w:rFonts w:ascii="Arial"/>
                <w:color w:val="auto"/>
                <w:sz w:val="21"/>
                <w:highlight w:val="none"/>
              </w:rPr>
            </w:pPr>
          </w:p>
        </w:tc>
      </w:tr>
      <w:tr w14:paraId="0EBA1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1E8AF3AB">
            <w:pPr>
              <w:pStyle w:val="339"/>
              <w:spacing w:before="161" w:line="379" w:lineRule="exact"/>
              <w:ind w:left="197"/>
              <w:rPr>
                <w:color w:val="auto"/>
                <w:sz w:val="24"/>
                <w:szCs w:val="24"/>
                <w:highlight w:val="none"/>
              </w:rPr>
            </w:pPr>
            <w:r>
              <w:rPr>
                <w:color w:val="auto"/>
                <w:spacing w:val="-13"/>
                <w:position w:val="3"/>
                <w:sz w:val="24"/>
                <w:szCs w:val="24"/>
                <w:highlight w:val="none"/>
              </w:rPr>
              <w:t>……</w:t>
            </w:r>
          </w:p>
        </w:tc>
        <w:tc>
          <w:tcPr>
            <w:tcW w:w="2268" w:type="dxa"/>
            <w:vAlign w:val="top"/>
          </w:tcPr>
          <w:p w14:paraId="5B647220">
            <w:pPr>
              <w:rPr>
                <w:rFonts w:ascii="Arial"/>
                <w:color w:val="auto"/>
                <w:sz w:val="21"/>
                <w:highlight w:val="none"/>
              </w:rPr>
            </w:pPr>
          </w:p>
        </w:tc>
        <w:tc>
          <w:tcPr>
            <w:tcW w:w="1238" w:type="dxa"/>
            <w:vAlign w:val="top"/>
          </w:tcPr>
          <w:p w14:paraId="24D7EAD2">
            <w:pPr>
              <w:rPr>
                <w:rFonts w:ascii="Arial"/>
                <w:color w:val="auto"/>
                <w:sz w:val="21"/>
                <w:highlight w:val="none"/>
              </w:rPr>
            </w:pPr>
          </w:p>
        </w:tc>
        <w:tc>
          <w:tcPr>
            <w:tcW w:w="3720" w:type="dxa"/>
            <w:vAlign w:val="top"/>
          </w:tcPr>
          <w:p w14:paraId="11DB160B">
            <w:pPr>
              <w:rPr>
                <w:rFonts w:ascii="Arial"/>
                <w:color w:val="auto"/>
                <w:sz w:val="21"/>
                <w:highlight w:val="none"/>
              </w:rPr>
            </w:pPr>
          </w:p>
        </w:tc>
        <w:tc>
          <w:tcPr>
            <w:tcW w:w="1422" w:type="dxa"/>
            <w:vAlign w:val="top"/>
          </w:tcPr>
          <w:p w14:paraId="074B4E76">
            <w:pPr>
              <w:rPr>
                <w:rFonts w:ascii="Arial"/>
                <w:color w:val="auto"/>
                <w:sz w:val="21"/>
                <w:highlight w:val="none"/>
              </w:rPr>
            </w:pPr>
          </w:p>
        </w:tc>
      </w:tr>
    </w:tbl>
    <w:p w14:paraId="3B5E593F">
      <w:pPr>
        <w:spacing w:before="35" w:line="224" w:lineRule="auto"/>
        <w:ind w:left="13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658DE78D">
      <w:pPr>
        <w:spacing w:before="175" w:line="324" w:lineRule="auto"/>
        <w:ind w:left="134" w:right="960" w:firstLine="1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1.直接控股股东：是指其出资额占有限责任公司资本总额百分之五十以上或者其</w:t>
      </w:r>
      <w:r>
        <w:rPr>
          <w:rFonts w:ascii="宋体" w:hAnsi="宋体" w:eastAsia="宋体" w:cs="宋体"/>
          <w:color w:val="auto"/>
          <w:spacing w:val="7"/>
          <w:sz w:val="24"/>
          <w:szCs w:val="24"/>
          <w:highlight w:val="none"/>
        </w:rPr>
        <w:t xml:space="preserve"> </w:t>
      </w:r>
      <w:r>
        <w:rPr>
          <w:rFonts w:ascii="宋体" w:hAnsi="宋体" w:eastAsia="宋体" w:cs="宋体"/>
          <w:color w:val="auto"/>
          <w:sz w:val="24"/>
          <w:szCs w:val="24"/>
          <w:highlight w:val="none"/>
        </w:rPr>
        <w:t>持有的股份占股份有限公司股份总额百分之五十以上的</w:t>
      </w:r>
      <w:r>
        <w:rPr>
          <w:rFonts w:ascii="宋体" w:hAnsi="宋体" w:eastAsia="宋体" w:cs="宋体"/>
          <w:color w:val="auto"/>
          <w:spacing w:val="-1"/>
          <w:sz w:val="24"/>
          <w:szCs w:val="24"/>
          <w:highlight w:val="none"/>
        </w:rPr>
        <w:t>股东；出资额或者持有股</w:t>
      </w:r>
      <w:r>
        <w:rPr>
          <w:rFonts w:ascii="宋体" w:hAnsi="宋体" w:eastAsia="宋体" w:cs="宋体"/>
          <w:color w:val="auto"/>
          <w:sz w:val="24"/>
          <w:szCs w:val="24"/>
          <w:highlight w:val="none"/>
        </w:rPr>
        <w:t xml:space="preserve"> 份的比例虽然不足百分之五十，但依其出资额或者持有</w:t>
      </w:r>
      <w:r>
        <w:rPr>
          <w:rFonts w:ascii="宋体" w:hAnsi="宋体" w:eastAsia="宋体" w:cs="宋体"/>
          <w:color w:val="auto"/>
          <w:spacing w:val="-1"/>
          <w:sz w:val="24"/>
          <w:szCs w:val="24"/>
          <w:highlight w:val="none"/>
        </w:rPr>
        <w:t>的股份所享有的表决权已</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足以对股东会、股东大会的决议产生重大影响的股东。</w:t>
      </w:r>
    </w:p>
    <w:p w14:paraId="15329E12">
      <w:pPr>
        <w:spacing w:before="182" w:line="290" w:lineRule="auto"/>
        <w:ind w:left="133" w:right="960" w:firstLine="3"/>
        <w:rPr>
          <w:rFonts w:ascii="宋体" w:hAnsi="宋体" w:eastAsia="宋体" w:cs="宋体"/>
          <w:color w:val="auto"/>
          <w:sz w:val="24"/>
          <w:szCs w:val="24"/>
          <w:highlight w:val="none"/>
        </w:rPr>
      </w:pPr>
      <w:r>
        <w:rPr>
          <w:rFonts w:ascii="宋体" w:hAnsi="宋体" w:eastAsia="宋体" w:cs="宋体"/>
          <w:color w:val="auto"/>
          <w:sz w:val="24"/>
          <w:szCs w:val="24"/>
          <w:highlight w:val="none"/>
        </w:rPr>
        <w:t>2.本表所指的控股关系仅限于直接控股关系，不</w:t>
      </w:r>
      <w:r>
        <w:rPr>
          <w:rFonts w:ascii="宋体" w:hAnsi="宋体" w:eastAsia="宋体" w:cs="宋体"/>
          <w:color w:val="auto"/>
          <w:spacing w:val="-1"/>
          <w:sz w:val="24"/>
          <w:szCs w:val="24"/>
          <w:highlight w:val="none"/>
        </w:rPr>
        <w:t>包括间接的控股关系。公司实际</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控制人与公司之间的关系不属于本表所指的直接控股关系。</w:t>
      </w:r>
    </w:p>
    <w:p w14:paraId="76E14FB9">
      <w:pPr>
        <w:spacing w:before="181" w:line="219" w:lineRule="auto"/>
        <w:ind w:left="13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hint="eastAsia" w:ascii="宋体" w:hAnsi="宋体" w:cs="宋体"/>
          <w:color w:val="auto"/>
          <w:spacing w:val="-2"/>
          <w:sz w:val="24"/>
          <w:szCs w:val="24"/>
          <w:highlight w:val="none"/>
          <w:lang w:eastAsia="zh-CN"/>
        </w:rPr>
        <w:t>投标人</w:t>
      </w:r>
      <w:r>
        <w:rPr>
          <w:rFonts w:ascii="宋体" w:hAnsi="宋体" w:eastAsia="宋体" w:cs="宋体"/>
          <w:color w:val="auto"/>
          <w:spacing w:val="-2"/>
          <w:sz w:val="24"/>
          <w:szCs w:val="24"/>
          <w:highlight w:val="none"/>
        </w:rPr>
        <w:t>不存在直接控股股东的，则在“</w:t>
      </w:r>
      <w:r>
        <w:rPr>
          <w:rFonts w:ascii="宋体" w:hAnsi="宋体" w:eastAsia="宋体" w:cs="宋体"/>
          <w:b/>
          <w:bCs/>
          <w:color w:val="auto"/>
          <w:spacing w:val="-2"/>
          <w:sz w:val="24"/>
          <w:szCs w:val="24"/>
          <w:highlight w:val="none"/>
        </w:rPr>
        <w:t>直接控股股东名称</w:t>
      </w:r>
      <w:r>
        <w:rPr>
          <w:rFonts w:ascii="宋体" w:hAnsi="宋体" w:eastAsia="宋体" w:cs="宋体"/>
          <w:color w:val="auto"/>
          <w:spacing w:val="-80"/>
          <w:sz w:val="24"/>
          <w:szCs w:val="24"/>
          <w:highlight w:val="none"/>
        </w:rPr>
        <w:t xml:space="preserve"> </w:t>
      </w:r>
      <w:r>
        <w:rPr>
          <w:rFonts w:ascii="宋体" w:hAnsi="宋体" w:eastAsia="宋体" w:cs="宋体"/>
          <w:color w:val="auto"/>
          <w:spacing w:val="-2"/>
          <w:sz w:val="24"/>
          <w:szCs w:val="24"/>
          <w:highlight w:val="none"/>
        </w:rPr>
        <w:t>”中填“无</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w:t>
      </w:r>
    </w:p>
    <w:p w14:paraId="2E2BAB1D">
      <w:pPr>
        <w:pStyle w:val="24"/>
        <w:spacing w:line="249" w:lineRule="auto"/>
        <w:rPr>
          <w:color w:val="auto"/>
          <w:highlight w:val="none"/>
        </w:rPr>
      </w:pPr>
    </w:p>
    <w:p w14:paraId="03D5053B">
      <w:pPr>
        <w:pStyle w:val="24"/>
        <w:spacing w:line="249" w:lineRule="auto"/>
        <w:rPr>
          <w:color w:val="auto"/>
          <w:highlight w:val="none"/>
        </w:rPr>
      </w:pPr>
    </w:p>
    <w:p w14:paraId="0317AA2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2A06AD29">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925171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029BAED">
      <w:pPr>
        <w:rPr>
          <w:rFonts w:ascii="宋体" w:hAnsi="宋体" w:eastAsia="宋体" w:cs="宋体"/>
          <w:b/>
          <w:bCs/>
          <w:color w:val="auto"/>
          <w:spacing w:val="6"/>
          <w:sz w:val="31"/>
          <w:szCs w:val="31"/>
          <w:highlight w:val="none"/>
        </w:rPr>
      </w:pPr>
    </w:p>
    <w:p w14:paraId="2987F5B6">
      <w:pPr>
        <w:spacing w:before="218" w:line="225" w:lineRule="auto"/>
        <w:ind w:left="2412"/>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投标人直接管理关系信息表</w:t>
      </w:r>
    </w:p>
    <w:p w14:paraId="6E2C4ED3">
      <w:pPr>
        <w:spacing w:line="194" w:lineRule="exact"/>
        <w:rPr>
          <w:color w:val="auto"/>
          <w:highlight w:val="none"/>
        </w:rPr>
      </w:pPr>
    </w:p>
    <w:tbl>
      <w:tblPr>
        <w:tblStyle w:val="964"/>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7C847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shd w:val="clear" w:color="auto" w:fill="EAE3D8"/>
            <w:vAlign w:val="top"/>
          </w:tcPr>
          <w:p w14:paraId="5450CC46">
            <w:pPr>
              <w:pStyle w:val="339"/>
              <w:spacing w:before="161" w:line="222" w:lineRule="auto"/>
              <w:ind w:left="267"/>
              <w:rPr>
                <w:color w:val="auto"/>
                <w:sz w:val="24"/>
                <w:szCs w:val="24"/>
                <w:highlight w:val="none"/>
              </w:rPr>
            </w:pPr>
            <w:r>
              <w:rPr>
                <w:b/>
                <w:bCs/>
                <w:color w:val="auto"/>
                <w:spacing w:val="-7"/>
                <w:sz w:val="24"/>
                <w:szCs w:val="24"/>
                <w:highlight w:val="none"/>
              </w:rPr>
              <w:t>序号</w:t>
            </w:r>
          </w:p>
        </w:tc>
        <w:tc>
          <w:tcPr>
            <w:tcW w:w="2657" w:type="dxa"/>
            <w:shd w:val="clear" w:color="auto" w:fill="EAE3D8"/>
            <w:vAlign w:val="top"/>
          </w:tcPr>
          <w:p w14:paraId="51BF72F3">
            <w:pPr>
              <w:pStyle w:val="339"/>
              <w:spacing w:before="161" w:line="220" w:lineRule="auto"/>
              <w:ind w:left="133"/>
              <w:rPr>
                <w:color w:val="auto"/>
                <w:sz w:val="24"/>
                <w:szCs w:val="24"/>
                <w:highlight w:val="none"/>
              </w:rPr>
            </w:pPr>
            <w:r>
              <w:rPr>
                <w:b/>
                <w:bCs/>
                <w:color w:val="auto"/>
                <w:spacing w:val="-3"/>
                <w:sz w:val="24"/>
                <w:szCs w:val="24"/>
                <w:highlight w:val="none"/>
              </w:rPr>
              <w:t>直接管理关系单位名称</w:t>
            </w:r>
          </w:p>
        </w:tc>
        <w:tc>
          <w:tcPr>
            <w:tcW w:w="3922" w:type="dxa"/>
            <w:shd w:val="clear" w:color="auto" w:fill="EAE3D8"/>
            <w:vAlign w:val="top"/>
          </w:tcPr>
          <w:p w14:paraId="4559B116">
            <w:pPr>
              <w:pStyle w:val="339"/>
              <w:spacing w:before="162" w:line="219" w:lineRule="auto"/>
              <w:ind w:left="1010"/>
              <w:rPr>
                <w:color w:val="auto"/>
                <w:sz w:val="24"/>
                <w:szCs w:val="24"/>
                <w:highlight w:val="none"/>
              </w:rPr>
            </w:pPr>
            <w:r>
              <w:rPr>
                <w:b/>
                <w:bCs/>
                <w:color w:val="auto"/>
                <w:spacing w:val="-4"/>
                <w:sz w:val="24"/>
                <w:szCs w:val="24"/>
                <w:highlight w:val="none"/>
              </w:rPr>
              <w:t>统一社会信用代码</w:t>
            </w:r>
          </w:p>
        </w:tc>
        <w:tc>
          <w:tcPr>
            <w:tcW w:w="2068" w:type="dxa"/>
            <w:shd w:val="clear" w:color="auto" w:fill="EAE3D8"/>
            <w:vAlign w:val="top"/>
          </w:tcPr>
          <w:p w14:paraId="777E57ED">
            <w:pPr>
              <w:pStyle w:val="339"/>
              <w:spacing w:before="161" w:line="222" w:lineRule="auto"/>
              <w:ind w:left="803"/>
              <w:rPr>
                <w:color w:val="auto"/>
                <w:sz w:val="24"/>
                <w:szCs w:val="24"/>
                <w:highlight w:val="none"/>
              </w:rPr>
            </w:pPr>
            <w:r>
              <w:rPr>
                <w:b/>
                <w:bCs/>
                <w:color w:val="auto"/>
                <w:spacing w:val="-9"/>
                <w:sz w:val="24"/>
                <w:szCs w:val="24"/>
                <w:highlight w:val="none"/>
              </w:rPr>
              <w:t>备注</w:t>
            </w:r>
          </w:p>
        </w:tc>
      </w:tr>
      <w:tr w14:paraId="39F3D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3EAEF3A2">
            <w:pPr>
              <w:pStyle w:val="339"/>
              <w:spacing w:before="156" w:line="242" w:lineRule="auto"/>
              <w:ind w:left="469"/>
              <w:rPr>
                <w:color w:val="auto"/>
                <w:sz w:val="24"/>
                <w:szCs w:val="24"/>
                <w:highlight w:val="none"/>
              </w:rPr>
            </w:pPr>
            <w:r>
              <w:rPr>
                <w:color w:val="auto"/>
                <w:sz w:val="24"/>
                <w:szCs w:val="24"/>
                <w:highlight w:val="none"/>
              </w:rPr>
              <w:t>1</w:t>
            </w:r>
          </w:p>
        </w:tc>
        <w:tc>
          <w:tcPr>
            <w:tcW w:w="2657" w:type="dxa"/>
            <w:vAlign w:val="top"/>
          </w:tcPr>
          <w:p w14:paraId="2D22A152">
            <w:pPr>
              <w:rPr>
                <w:rFonts w:ascii="Arial"/>
                <w:color w:val="auto"/>
                <w:sz w:val="21"/>
                <w:highlight w:val="none"/>
              </w:rPr>
            </w:pPr>
          </w:p>
        </w:tc>
        <w:tc>
          <w:tcPr>
            <w:tcW w:w="3922" w:type="dxa"/>
            <w:vAlign w:val="top"/>
          </w:tcPr>
          <w:p w14:paraId="2560EAA3">
            <w:pPr>
              <w:rPr>
                <w:rFonts w:ascii="Arial"/>
                <w:color w:val="auto"/>
                <w:sz w:val="21"/>
                <w:highlight w:val="none"/>
              </w:rPr>
            </w:pPr>
          </w:p>
        </w:tc>
        <w:tc>
          <w:tcPr>
            <w:tcW w:w="2068" w:type="dxa"/>
            <w:vAlign w:val="top"/>
          </w:tcPr>
          <w:p w14:paraId="279D08E4">
            <w:pPr>
              <w:rPr>
                <w:rFonts w:ascii="Arial"/>
                <w:color w:val="auto"/>
                <w:sz w:val="21"/>
                <w:highlight w:val="none"/>
              </w:rPr>
            </w:pPr>
          </w:p>
        </w:tc>
      </w:tr>
      <w:tr w14:paraId="0DB8F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1E9BC1C6">
            <w:pPr>
              <w:pStyle w:val="339"/>
              <w:spacing w:before="158" w:line="242" w:lineRule="auto"/>
              <w:ind w:left="454"/>
              <w:rPr>
                <w:color w:val="auto"/>
                <w:sz w:val="24"/>
                <w:szCs w:val="24"/>
                <w:highlight w:val="none"/>
              </w:rPr>
            </w:pPr>
            <w:r>
              <w:rPr>
                <w:color w:val="auto"/>
                <w:sz w:val="24"/>
                <w:szCs w:val="24"/>
                <w:highlight w:val="none"/>
              </w:rPr>
              <w:t>2</w:t>
            </w:r>
          </w:p>
        </w:tc>
        <w:tc>
          <w:tcPr>
            <w:tcW w:w="2657" w:type="dxa"/>
            <w:vAlign w:val="top"/>
          </w:tcPr>
          <w:p w14:paraId="4B0932AC">
            <w:pPr>
              <w:rPr>
                <w:rFonts w:ascii="Arial"/>
                <w:color w:val="auto"/>
                <w:sz w:val="21"/>
                <w:highlight w:val="none"/>
              </w:rPr>
            </w:pPr>
          </w:p>
        </w:tc>
        <w:tc>
          <w:tcPr>
            <w:tcW w:w="3922" w:type="dxa"/>
            <w:vAlign w:val="top"/>
          </w:tcPr>
          <w:p w14:paraId="67A3ED36">
            <w:pPr>
              <w:rPr>
                <w:rFonts w:ascii="Arial"/>
                <w:color w:val="auto"/>
                <w:sz w:val="21"/>
                <w:highlight w:val="none"/>
              </w:rPr>
            </w:pPr>
          </w:p>
        </w:tc>
        <w:tc>
          <w:tcPr>
            <w:tcW w:w="2068" w:type="dxa"/>
            <w:vAlign w:val="top"/>
          </w:tcPr>
          <w:p w14:paraId="5D10995D">
            <w:pPr>
              <w:rPr>
                <w:rFonts w:ascii="Arial"/>
                <w:color w:val="auto"/>
                <w:sz w:val="21"/>
                <w:highlight w:val="none"/>
              </w:rPr>
            </w:pPr>
          </w:p>
        </w:tc>
      </w:tr>
      <w:tr w14:paraId="35F9B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3073A5DB">
            <w:pPr>
              <w:pStyle w:val="339"/>
              <w:spacing w:before="158"/>
              <w:ind w:left="456"/>
              <w:rPr>
                <w:color w:val="auto"/>
                <w:sz w:val="24"/>
                <w:szCs w:val="24"/>
                <w:highlight w:val="none"/>
              </w:rPr>
            </w:pPr>
            <w:r>
              <w:rPr>
                <w:color w:val="auto"/>
                <w:sz w:val="24"/>
                <w:szCs w:val="24"/>
                <w:highlight w:val="none"/>
              </w:rPr>
              <w:t>3</w:t>
            </w:r>
          </w:p>
        </w:tc>
        <w:tc>
          <w:tcPr>
            <w:tcW w:w="2657" w:type="dxa"/>
            <w:vAlign w:val="top"/>
          </w:tcPr>
          <w:p w14:paraId="693A2C77">
            <w:pPr>
              <w:rPr>
                <w:rFonts w:ascii="Arial"/>
                <w:color w:val="auto"/>
                <w:sz w:val="21"/>
                <w:highlight w:val="none"/>
              </w:rPr>
            </w:pPr>
          </w:p>
        </w:tc>
        <w:tc>
          <w:tcPr>
            <w:tcW w:w="3922" w:type="dxa"/>
            <w:vAlign w:val="top"/>
          </w:tcPr>
          <w:p w14:paraId="7668AC6D">
            <w:pPr>
              <w:rPr>
                <w:rFonts w:ascii="Arial"/>
                <w:color w:val="auto"/>
                <w:sz w:val="21"/>
                <w:highlight w:val="none"/>
              </w:rPr>
            </w:pPr>
          </w:p>
        </w:tc>
        <w:tc>
          <w:tcPr>
            <w:tcW w:w="2068" w:type="dxa"/>
            <w:vAlign w:val="top"/>
          </w:tcPr>
          <w:p w14:paraId="77FA0E2B">
            <w:pPr>
              <w:rPr>
                <w:rFonts w:ascii="Arial"/>
                <w:color w:val="auto"/>
                <w:sz w:val="21"/>
                <w:highlight w:val="none"/>
              </w:rPr>
            </w:pPr>
          </w:p>
        </w:tc>
      </w:tr>
      <w:tr w14:paraId="60EB4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09" w:type="dxa"/>
            <w:vAlign w:val="top"/>
          </w:tcPr>
          <w:p w14:paraId="72A8A93F">
            <w:pPr>
              <w:pStyle w:val="339"/>
              <w:spacing w:before="159" w:line="379" w:lineRule="exact"/>
              <w:ind w:left="286"/>
              <w:rPr>
                <w:color w:val="auto"/>
                <w:sz w:val="24"/>
                <w:szCs w:val="24"/>
                <w:highlight w:val="none"/>
              </w:rPr>
            </w:pPr>
            <w:r>
              <w:rPr>
                <w:color w:val="auto"/>
                <w:spacing w:val="-13"/>
                <w:position w:val="3"/>
                <w:sz w:val="24"/>
                <w:szCs w:val="24"/>
                <w:highlight w:val="none"/>
              </w:rPr>
              <w:t>……</w:t>
            </w:r>
          </w:p>
        </w:tc>
        <w:tc>
          <w:tcPr>
            <w:tcW w:w="2657" w:type="dxa"/>
            <w:vAlign w:val="top"/>
          </w:tcPr>
          <w:p w14:paraId="7ED49958">
            <w:pPr>
              <w:rPr>
                <w:rFonts w:ascii="Arial"/>
                <w:color w:val="auto"/>
                <w:sz w:val="21"/>
                <w:highlight w:val="none"/>
              </w:rPr>
            </w:pPr>
          </w:p>
        </w:tc>
        <w:tc>
          <w:tcPr>
            <w:tcW w:w="3922" w:type="dxa"/>
            <w:vAlign w:val="top"/>
          </w:tcPr>
          <w:p w14:paraId="31FF6483">
            <w:pPr>
              <w:rPr>
                <w:rFonts w:ascii="Arial"/>
                <w:color w:val="auto"/>
                <w:sz w:val="21"/>
                <w:highlight w:val="none"/>
              </w:rPr>
            </w:pPr>
          </w:p>
        </w:tc>
        <w:tc>
          <w:tcPr>
            <w:tcW w:w="2068" w:type="dxa"/>
            <w:vAlign w:val="top"/>
          </w:tcPr>
          <w:p w14:paraId="593E058C">
            <w:pPr>
              <w:rPr>
                <w:rFonts w:ascii="Arial"/>
                <w:color w:val="auto"/>
                <w:sz w:val="21"/>
                <w:highlight w:val="none"/>
              </w:rPr>
            </w:pPr>
          </w:p>
        </w:tc>
      </w:tr>
    </w:tbl>
    <w:p w14:paraId="42A7955B">
      <w:pPr>
        <w:spacing w:before="35" w:line="224" w:lineRule="auto"/>
        <w:ind w:left="134"/>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6E6C912B">
      <w:pPr>
        <w:spacing w:before="175" w:line="290" w:lineRule="auto"/>
        <w:ind w:left="138" w:right="1136" w:firstLine="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1.管理关系：是指不具有出资持股关系的其他单位之间存在的管理与被管理</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关系，如一些上下级关系的事业单位和团体组织。</w:t>
      </w:r>
    </w:p>
    <w:p w14:paraId="4604A55F">
      <w:pPr>
        <w:spacing w:before="182" w:line="219" w:lineRule="auto"/>
        <w:ind w:left="61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2.本表所指的管理关系仅限于直接管理关系，不包括间接的管理关系。</w:t>
      </w:r>
    </w:p>
    <w:p w14:paraId="560A72F0">
      <w:pPr>
        <w:spacing w:before="181" w:line="289" w:lineRule="auto"/>
        <w:ind w:left="121" w:right="1609" w:firstLine="49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w:t>
      </w:r>
      <w:r>
        <w:rPr>
          <w:rFonts w:hint="eastAsia" w:ascii="宋体" w:hAnsi="宋体" w:cs="宋体"/>
          <w:color w:val="auto"/>
          <w:spacing w:val="-1"/>
          <w:sz w:val="24"/>
          <w:szCs w:val="24"/>
          <w:highlight w:val="none"/>
          <w:lang w:eastAsia="zh-CN"/>
        </w:rPr>
        <w:t>投标人</w:t>
      </w:r>
      <w:r>
        <w:rPr>
          <w:rFonts w:ascii="宋体" w:hAnsi="宋体" w:eastAsia="宋体" w:cs="宋体"/>
          <w:color w:val="auto"/>
          <w:spacing w:val="-1"/>
          <w:sz w:val="24"/>
          <w:szCs w:val="24"/>
          <w:highlight w:val="none"/>
        </w:rPr>
        <w:t>不存在直接管理关系的，则在“</w:t>
      </w:r>
      <w:r>
        <w:rPr>
          <w:rFonts w:ascii="宋体" w:hAnsi="宋体" w:eastAsia="宋体" w:cs="宋体"/>
          <w:b/>
          <w:bCs/>
          <w:color w:val="auto"/>
          <w:spacing w:val="-1"/>
          <w:sz w:val="24"/>
          <w:szCs w:val="24"/>
          <w:highlight w:val="none"/>
        </w:rPr>
        <w:t>直接管理关系单位名称</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中填</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“无</w:t>
      </w:r>
      <w:r>
        <w:rPr>
          <w:rFonts w:ascii="宋体" w:hAnsi="宋体" w:eastAsia="宋体" w:cs="宋体"/>
          <w:color w:val="auto"/>
          <w:spacing w:val="-88"/>
          <w:sz w:val="24"/>
          <w:szCs w:val="24"/>
          <w:highlight w:val="none"/>
        </w:rPr>
        <w:t xml:space="preserve"> </w:t>
      </w:r>
      <w:r>
        <w:rPr>
          <w:rFonts w:ascii="宋体" w:hAnsi="宋体" w:eastAsia="宋体" w:cs="宋体"/>
          <w:color w:val="auto"/>
          <w:spacing w:val="1"/>
          <w:sz w:val="24"/>
          <w:szCs w:val="24"/>
          <w:highlight w:val="none"/>
        </w:rPr>
        <w:t>”。</w:t>
      </w:r>
    </w:p>
    <w:p w14:paraId="1DE39351">
      <w:pPr>
        <w:pStyle w:val="24"/>
        <w:spacing w:line="272" w:lineRule="auto"/>
        <w:rPr>
          <w:color w:val="auto"/>
          <w:highlight w:val="none"/>
        </w:rPr>
      </w:pPr>
    </w:p>
    <w:p w14:paraId="538E3F57">
      <w:pPr>
        <w:pStyle w:val="24"/>
        <w:spacing w:line="272" w:lineRule="auto"/>
        <w:rPr>
          <w:color w:val="auto"/>
          <w:highlight w:val="none"/>
        </w:rPr>
      </w:pPr>
    </w:p>
    <w:p w14:paraId="509F5934">
      <w:pPr>
        <w:pStyle w:val="24"/>
        <w:spacing w:line="272" w:lineRule="auto"/>
        <w:rPr>
          <w:color w:val="auto"/>
          <w:highlight w:val="none"/>
        </w:rPr>
      </w:pPr>
    </w:p>
    <w:p w14:paraId="624ED47D">
      <w:pPr>
        <w:pStyle w:val="24"/>
        <w:spacing w:line="272" w:lineRule="auto"/>
        <w:rPr>
          <w:color w:val="auto"/>
          <w:highlight w:val="none"/>
        </w:rPr>
      </w:pPr>
    </w:p>
    <w:p w14:paraId="2A40FF81">
      <w:pPr>
        <w:pStyle w:val="24"/>
        <w:spacing w:line="272" w:lineRule="auto"/>
        <w:rPr>
          <w:color w:val="auto"/>
          <w:highlight w:val="none"/>
        </w:rPr>
      </w:pPr>
    </w:p>
    <w:p w14:paraId="50714F84">
      <w:pPr>
        <w:pStyle w:val="24"/>
        <w:spacing w:line="272" w:lineRule="auto"/>
        <w:rPr>
          <w:color w:val="auto"/>
          <w:highlight w:val="none"/>
        </w:rPr>
      </w:pPr>
    </w:p>
    <w:p w14:paraId="28B98240">
      <w:pPr>
        <w:pStyle w:val="24"/>
        <w:spacing w:line="273" w:lineRule="auto"/>
        <w:rPr>
          <w:color w:val="auto"/>
          <w:highlight w:val="none"/>
        </w:rPr>
      </w:pPr>
    </w:p>
    <w:p w14:paraId="1F39565E">
      <w:pPr>
        <w:snapToGrid w:val="0"/>
        <w:spacing w:line="360" w:lineRule="auto"/>
        <w:ind w:right="480"/>
        <w:rPr>
          <w:rFonts w:ascii="宋体" w:hAnsi="宋体" w:cs="宋体"/>
          <w:color w:val="auto"/>
          <w:sz w:val="24"/>
          <w:highlight w:val="none"/>
        </w:rPr>
      </w:pPr>
    </w:p>
    <w:p w14:paraId="70AA2CD3">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2F57257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68DCF5E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9CFDB38">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23A2FD54">
      <w:pPr>
        <w:snapToGrid w:val="0"/>
        <w:spacing w:line="360" w:lineRule="auto"/>
        <w:ind w:right="480"/>
        <w:jc w:val="center"/>
        <w:rPr>
          <w:rFonts w:hint="eastAsia"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en-US" w:eastAsia="zh-CN"/>
        </w:rPr>
        <w:t>投标人认为需要提供的其他资格证明文件</w:t>
      </w:r>
    </w:p>
    <w:p w14:paraId="38E31D94">
      <w:pPr>
        <w:widowControl/>
        <w:adjustRightInd/>
        <w:jc w:val="left"/>
        <w:rPr>
          <w:rFonts w:ascii="宋体" w:hAnsi="宋体" w:cs="宋体"/>
          <w:b/>
          <w:color w:val="auto"/>
          <w:kern w:val="0"/>
          <w:sz w:val="36"/>
          <w:szCs w:val="36"/>
          <w:highlight w:val="none"/>
        </w:rPr>
      </w:pPr>
    </w:p>
    <w:p w14:paraId="09A84671">
      <w:pPr>
        <w:widowControl/>
        <w:adjustRightInd/>
        <w:snapToGrid w:val="0"/>
        <w:spacing w:before="50" w:after="50" w:line="360" w:lineRule="auto"/>
        <w:ind w:firstLine="470" w:firstLineChars="196"/>
        <w:jc w:val="left"/>
        <w:rPr>
          <w:rFonts w:ascii="宋体" w:hAnsi="宋体" w:cs="宋体"/>
          <w:b/>
          <w:color w:val="auto"/>
          <w:kern w:val="0"/>
          <w:sz w:val="36"/>
          <w:szCs w:val="36"/>
          <w:highlight w:val="none"/>
        </w:rPr>
      </w:pPr>
      <w:r>
        <w:rPr>
          <w:rFonts w:hint="eastAsia" w:ascii="宋体" w:hAnsi="宋体" w:eastAsia="宋体" w:cs="宋体"/>
          <w:b w:val="0"/>
          <w:bCs w:val="0"/>
          <w:color w:val="auto"/>
          <w:sz w:val="24"/>
          <w:szCs w:val="24"/>
          <w:highlight w:val="none"/>
          <w:shd w:val="clear"/>
          <w:lang w:val="en-US" w:eastAsia="zh-CN"/>
        </w:rPr>
        <w:t>投标人认为需要提供的其他资格证明文件（如有）</w:t>
      </w:r>
      <w:r>
        <w:rPr>
          <w:rFonts w:ascii="宋体" w:hAnsi="宋体" w:cs="宋体"/>
          <w:b/>
          <w:color w:val="auto"/>
          <w:kern w:val="0"/>
          <w:sz w:val="36"/>
          <w:szCs w:val="36"/>
          <w:highlight w:val="none"/>
        </w:rPr>
        <w:br w:type="page"/>
      </w:r>
    </w:p>
    <w:p w14:paraId="5BD40A08">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1EC50172">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5A3027E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6D05E62E">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E1B5725">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）政府采购投标人廉洁自律承诺书</w:t>
      </w:r>
      <w:r>
        <w:rPr>
          <w:rFonts w:hint="eastAsia" w:ascii="宋体" w:hAnsi="宋体" w:cs="宋体"/>
          <w:color w:val="auto"/>
          <w:highlight w:val="none"/>
        </w:rPr>
        <w:t>…………………………………………………（页码）</w:t>
      </w:r>
    </w:p>
    <w:p w14:paraId="31B15D0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14:paraId="23991AB9">
      <w:pPr>
        <w:snapToGrid w:val="0"/>
        <w:spacing w:line="360" w:lineRule="auto"/>
        <w:ind w:left="479" w:leftChars="228"/>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技术方案</w:t>
      </w:r>
      <w:r>
        <w:rPr>
          <w:rFonts w:hint="eastAsia" w:ascii="宋体" w:hAnsi="宋体" w:cs="宋体"/>
          <w:color w:val="auto"/>
          <w:highlight w:val="none"/>
        </w:rPr>
        <w:t>………………………………………………………………………………（页码）</w:t>
      </w:r>
    </w:p>
    <w:p w14:paraId="326E5B2F">
      <w:pPr>
        <w:snapToGrid w:val="0"/>
        <w:spacing w:line="360" w:lineRule="auto"/>
        <w:ind w:left="479" w:leftChars="228"/>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（7）实施方案</w:t>
      </w:r>
      <w:r>
        <w:rPr>
          <w:rFonts w:hint="eastAsia" w:ascii="宋体" w:hAnsi="宋体" w:cs="宋体"/>
          <w:color w:val="auto"/>
          <w:highlight w:val="none"/>
        </w:rPr>
        <w:t>………………………………………………………………………………（页码）</w:t>
      </w:r>
    </w:p>
    <w:p w14:paraId="45198554">
      <w:pPr>
        <w:snapToGrid w:val="0"/>
        <w:spacing w:line="360" w:lineRule="auto"/>
        <w:ind w:left="479" w:leftChars="228"/>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）售后服务方案</w:t>
      </w:r>
      <w:r>
        <w:rPr>
          <w:rFonts w:hint="eastAsia" w:ascii="宋体" w:hAnsi="宋体" w:cs="宋体"/>
          <w:color w:val="auto"/>
          <w:highlight w:val="none"/>
        </w:rPr>
        <w:t>…………………………………………………………………………（页码）</w:t>
      </w:r>
    </w:p>
    <w:p w14:paraId="67B1B263">
      <w:pPr>
        <w:snapToGrid w:val="0"/>
        <w:spacing w:line="360" w:lineRule="auto"/>
        <w:ind w:left="479" w:leftChars="228"/>
        <w:rPr>
          <w:rFonts w:hint="eastAsia"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14:paraId="39034534">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w:t>
      </w:r>
      <w:r>
        <w:rPr>
          <w:rFonts w:hint="eastAsia" w:ascii="宋体" w:hAnsi="宋体" w:cs="宋体"/>
          <w:color w:val="auto"/>
          <w:sz w:val="24"/>
          <w:highlight w:val="none"/>
          <w:lang w:eastAsia="zh-CN"/>
        </w:rPr>
        <w:t>投标人认为需要提供的其他商务、技术文件</w:t>
      </w:r>
      <w:r>
        <w:rPr>
          <w:rFonts w:hint="eastAsia" w:ascii="宋体" w:hAnsi="宋体" w:cs="宋体"/>
          <w:color w:val="auto"/>
          <w:highlight w:val="none"/>
        </w:rPr>
        <w:t>…………………………………（页码）</w:t>
      </w:r>
    </w:p>
    <w:p w14:paraId="7966A0B1">
      <w:pPr>
        <w:snapToGrid w:val="0"/>
        <w:spacing w:line="360" w:lineRule="auto"/>
        <w:jc w:val="center"/>
        <w:rPr>
          <w:rFonts w:ascii="宋体" w:hAnsi="宋体" w:cs="宋体"/>
          <w:b/>
          <w:color w:val="auto"/>
          <w:kern w:val="0"/>
          <w:sz w:val="32"/>
          <w:szCs w:val="32"/>
          <w:highlight w:val="none"/>
          <w:lang w:val="zh-CN"/>
        </w:rPr>
      </w:pPr>
    </w:p>
    <w:p w14:paraId="5ACD6351">
      <w:pPr>
        <w:snapToGrid w:val="0"/>
        <w:spacing w:line="360" w:lineRule="auto"/>
        <w:jc w:val="center"/>
        <w:rPr>
          <w:rFonts w:ascii="宋体" w:hAnsi="宋体" w:cs="宋体"/>
          <w:b/>
          <w:color w:val="auto"/>
          <w:kern w:val="0"/>
          <w:sz w:val="32"/>
          <w:szCs w:val="32"/>
          <w:highlight w:val="none"/>
          <w:lang w:val="zh-CN"/>
        </w:rPr>
      </w:pPr>
    </w:p>
    <w:p w14:paraId="5BFCB98E">
      <w:pPr>
        <w:snapToGrid w:val="0"/>
        <w:spacing w:line="360" w:lineRule="auto"/>
        <w:jc w:val="center"/>
        <w:rPr>
          <w:rFonts w:ascii="宋体" w:hAnsi="宋体" w:cs="宋体"/>
          <w:b/>
          <w:color w:val="auto"/>
          <w:kern w:val="0"/>
          <w:sz w:val="32"/>
          <w:szCs w:val="32"/>
          <w:highlight w:val="none"/>
          <w:lang w:val="zh-CN"/>
        </w:rPr>
      </w:pPr>
    </w:p>
    <w:p w14:paraId="41E3689D">
      <w:pPr>
        <w:snapToGrid w:val="0"/>
        <w:spacing w:line="360" w:lineRule="auto"/>
        <w:jc w:val="center"/>
        <w:rPr>
          <w:rFonts w:ascii="宋体" w:hAnsi="宋体" w:cs="宋体"/>
          <w:b/>
          <w:color w:val="auto"/>
          <w:kern w:val="0"/>
          <w:sz w:val="32"/>
          <w:szCs w:val="32"/>
          <w:highlight w:val="none"/>
          <w:lang w:val="zh-CN"/>
        </w:rPr>
      </w:pPr>
    </w:p>
    <w:p w14:paraId="1A540EEA">
      <w:pPr>
        <w:snapToGrid w:val="0"/>
        <w:spacing w:line="360" w:lineRule="auto"/>
        <w:jc w:val="center"/>
        <w:rPr>
          <w:rFonts w:ascii="宋体" w:hAnsi="宋体" w:cs="宋体"/>
          <w:b/>
          <w:color w:val="auto"/>
          <w:kern w:val="0"/>
          <w:sz w:val="32"/>
          <w:szCs w:val="32"/>
          <w:highlight w:val="none"/>
          <w:lang w:val="zh-CN"/>
        </w:rPr>
      </w:pPr>
    </w:p>
    <w:p w14:paraId="50A0F924">
      <w:pPr>
        <w:snapToGrid w:val="0"/>
        <w:spacing w:line="360" w:lineRule="auto"/>
        <w:jc w:val="center"/>
        <w:rPr>
          <w:rFonts w:ascii="宋体" w:hAnsi="宋体" w:cs="宋体"/>
          <w:b/>
          <w:color w:val="auto"/>
          <w:kern w:val="0"/>
          <w:sz w:val="32"/>
          <w:szCs w:val="32"/>
          <w:highlight w:val="none"/>
          <w:lang w:val="zh-CN"/>
        </w:rPr>
      </w:pPr>
    </w:p>
    <w:p w14:paraId="5DF9B504">
      <w:pPr>
        <w:snapToGrid w:val="0"/>
        <w:spacing w:line="360" w:lineRule="auto"/>
        <w:jc w:val="center"/>
        <w:rPr>
          <w:rFonts w:ascii="宋体" w:hAnsi="宋体" w:cs="宋体"/>
          <w:b/>
          <w:color w:val="auto"/>
          <w:kern w:val="0"/>
          <w:sz w:val="32"/>
          <w:szCs w:val="32"/>
          <w:highlight w:val="none"/>
          <w:lang w:val="zh-CN"/>
        </w:rPr>
      </w:pPr>
    </w:p>
    <w:p w14:paraId="4DB9F911">
      <w:pPr>
        <w:snapToGrid w:val="0"/>
        <w:spacing w:line="360" w:lineRule="auto"/>
        <w:jc w:val="center"/>
        <w:rPr>
          <w:rFonts w:ascii="宋体" w:hAnsi="宋体" w:cs="宋体"/>
          <w:b/>
          <w:color w:val="auto"/>
          <w:kern w:val="0"/>
          <w:sz w:val="32"/>
          <w:szCs w:val="32"/>
          <w:highlight w:val="none"/>
          <w:lang w:val="zh-CN"/>
        </w:rPr>
      </w:pPr>
    </w:p>
    <w:p w14:paraId="367F0A80">
      <w:pPr>
        <w:rPr>
          <w:rFonts w:ascii="宋体" w:hAnsi="宋体" w:cs="宋体"/>
          <w:b/>
          <w:color w:val="auto"/>
          <w:kern w:val="0"/>
          <w:sz w:val="32"/>
          <w:szCs w:val="32"/>
          <w:highlight w:val="none"/>
          <w:lang w:val="zh-CN"/>
        </w:rPr>
      </w:pPr>
    </w:p>
    <w:p w14:paraId="2E1F4E2B">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568385D">
      <w:pPr>
        <w:snapToGrid w:val="0"/>
        <w:spacing w:line="360" w:lineRule="auto"/>
        <w:jc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660AD09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p>
    <w:p w14:paraId="051754C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11A7D69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7A3C4CC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4A697F6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.1资格文件</w:t>
      </w:r>
      <w:r>
        <w:rPr>
          <w:rFonts w:hint="eastAsia" w:ascii="宋体" w:hAnsi="宋体" w:cs="宋体"/>
          <w:color w:val="auto"/>
          <w:sz w:val="24"/>
          <w:highlight w:val="none"/>
          <w:lang w:val="en-US" w:eastAsia="zh-CN"/>
        </w:rPr>
        <w:t>；</w:t>
      </w:r>
    </w:p>
    <w:p w14:paraId="189AB5D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.2商务技术文件</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w:t>
      </w:r>
    </w:p>
    <w:p w14:paraId="4515B05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.3报价文件</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735876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10AF2F3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24020C0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3419E00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008579A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0D64FD8E">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08B15F1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088C8FA">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BFAE01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884DB7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BD9E88A">
      <w:pPr>
        <w:snapToGrid w:val="0"/>
        <w:spacing w:line="360" w:lineRule="auto"/>
        <w:ind w:left="420" w:leftChars="200" w:firstLine="4200" w:firstLineChars="1750"/>
        <w:rPr>
          <w:rFonts w:ascii="宋体" w:hAnsi="宋体" w:cs="宋体"/>
          <w:color w:val="auto"/>
          <w:kern w:val="0"/>
          <w:sz w:val="24"/>
          <w:highlight w:val="none"/>
          <w:u w:val="single"/>
        </w:rPr>
      </w:pPr>
    </w:p>
    <w:p w14:paraId="6ED10B0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C125C4A">
      <w:pPr>
        <w:snapToGrid w:val="0"/>
        <w:spacing w:line="360" w:lineRule="auto"/>
        <w:jc w:val="center"/>
        <w:rPr>
          <w:rFonts w:ascii="宋体" w:hAnsi="宋体" w:cs="宋体"/>
          <w:b/>
          <w:color w:val="auto"/>
          <w:kern w:val="0"/>
          <w:sz w:val="32"/>
          <w:szCs w:val="32"/>
          <w:highlight w:val="none"/>
        </w:rPr>
      </w:pPr>
    </w:p>
    <w:p w14:paraId="3D29FEC1">
      <w:pPr>
        <w:snapToGrid w:val="0"/>
        <w:spacing w:line="360" w:lineRule="auto"/>
        <w:rPr>
          <w:rFonts w:ascii="宋体" w:hAnsi="宋体" w:cs="宋体"/>
          <w:color w:val="auto"/>
          <w:sz w:val="24"/>
          <w:highlight w:val="none"/>
        </w:rPr>
      </w:pPr>
    </w:p>
    <w:p w14:paraId="35A4FC13">
      <w:pPr>
        <w:jc w:val="center"/>
        <w:rPr>
          <w:rFonts w:ascii="宋体" w:hAnsi="宋体" w:cs="宋体"/>
          <w:b/>
          <w:color w:val="auto"/>
          <w:kern w:val="0"/>
          <w:sz w:val="32"/>
          <w:szCs w:val="32"/>
          <w:highlight w:val="none"/>
        </w:rPr>
      </w:pPr>
    </w:p>
    <w:p w14:paraId="0D85942F">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5AE6F6E">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5C32454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7E921D1F">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453D896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3000679D">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663D289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19217B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11606CA">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14:paraId="5542952A">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5011A9B2">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542096D1">
      <w:pPr>
        <w:adjustRightInd/>
        <w:spacing w:line="360" w:lineRule="auto"/>
        <w:rPr>
          <w:rFonts w:ascii="宋体" w:hAnsi="宋体"/>
          <w:color w:val="auto"/>
          <w:sz w:val="24"/>
          <w:szCs w:val="21"/>
          <w:highlight w:val="none"/>
        </w:rPr>
      </w:pPr>
    </w:p>
    <w:p w14:paraId="61B3E055">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B7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147A523">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056EC0A9">
            <w:pPr>
              <w:spacing w:line="360" w:lineRule="auto"/>
              <w:rPr>
                <w:rFonts w:ascii="宋体" w:hAnsi="宋体" w:cs="宋体"/>
                <w:bCs/>
                <w:color w:val="auto"/>
                <w:sz w:val="24"/>
                <w:szCs w:val="21"/>
                <w:highlight w:val="none"/>
              </w:rPr>
            </w:pPr>
          </w:p>
          <w:p w14:paraId="1852A327">
            <w:pPr>
              <w:spacing w:line="360" w:lineRule="auto"/>
              <w:rPr>
                <w:rFonts w:ascii="宋体" w:hAnsi="宋体" w:cs="宋体"/>
                <w:bCs/>
                <w:color w:val="auto"/>
                <w:sz w:val="24"/>
                <w:szCs w:val="21"/>
                <w:highlight w:val="none"/>
              </w:rPr>
            </w:pPr>
          </w:p>
          <w:p w14:paraId="4FF1CC59">
            <w:pPr>
              <w:spacing w:line="360" w:lineRule="auto"/>
              <w:rPr>
                <w:rFonts w:ascii="宋体" w:hAnsi="宋体" w:cs="宋体"/>
                <w:bCs/>
                <w:color w:val="auto"/>
                <w:sz w:val="24"/>
                <w:szCs w:val="21"/>
                <w:highlight w:val="none"/>
              </w:rPr>
            </w:pPr>
          </w:p>
          <w:p w14:paraId="648A592D">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3248F264">
            <w:pPr>
              <w:spacing w:line="360" w:lineRule="auto"/>
              <w:rPr>
                <w:rFonts w:ascii="宋体" w:hAnsi="宋体" w:cs="宋体"/>
                <w:bCs/>
                <w:color w:val="auto"/>
                <w:sz w:val="24"/>
                <w:szCs w:val="21"/>
                <w:highlight w:val="none"/>
              </w:rPr>
            </w:pPr>
          </w:p>
        </w:tc>
      </w:tr>
    </w:tbl>
    <w:p w14:paraId="1B5544EC">
      <w:pPr>
        <w:snapToGrid w:val="0"/>
        <w:spacing w:line="360" w:lineRule="auto"/>
        <w:ind w:firstLine="576"/>
        <w:jc w:val="center"/>
        <w:rPr>
          <w:rFonts w:ascii="宋体" w:hAnsi="宋体" w:cs="宋体"/>
          <w:b/>
          <w:color w:val="auto"/>
          <w:kern w:val="0"/>
          <w:sz w:val="32"/>
          <w:szCs w:val="32"/>
          <w:highlight w:val="none"/>
        </w:rPr>
        <w:sectPr>
          <w:headerReference r:id="rId5" w:type="first"/>
          <w:footerReference r:id="rId7" w:type="first"/>
          <w:headerReference r:id="rId4" w:type="default"/>
          <w:footerReference r:id="rId6" w:type="default"/>
          <w:pgSz w:w="11905" w:h="16838"/>
          <w:pgMar w:top="1417" w:right="1417" w:bottom="1417" w:left="1417" w:header="851" w:footer="850" w:gutter="0"/>
          <w:pgNumType w:fmt="decimal" w:start="1"/>
          <w:cols w:space="0" w:num="1"/>
          <w:rtlGutter w:val="0"/>
          <w:docGrid w:linePitch="312" w:charSpace="0"/>
        </w:sectPr>
      </w:pPr>
      <w:r>
        <w:rPr>
          <w:rFonts w:hint="eastAsia" w:ascii="宋体" w:hAnsi="宋体" w:cs="宋体"/>
          <w:color w:val="auto"/>
          <w:kern w:val="0"/>
          <w:sz w:val="24"/>
          <w:highlight w:val="none"/>
        </w:rPr>
        <w:t xml:space="preserve">                 </w:t>
      </w:r>
    </w:p>
    <w:p w14:paraId="6FF9E698">
      <w:pPr>
        <w:snapToGrid w:val="0"/>
        <w:spacing w:line="360" w:lineRule="auto"/>
        <w:jc w:val="both"/>
        <w:rPr>
          <w:rFonts w:ascii="宋体" w:hAnsi="宋体" w:cs="宋体"/>
          <w:b/>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1B4E072D">
      <w:pPr>
        <w:adjustRightInd/>
        <w:spacing w:line="360" w:lineRule="auto"/>
        <w:rPr>
          <w:rFonts w:ascii="宋体" w:hAnsi="宋体" w:cs="宋体"/>
          <w:bCs/>
          <w:color w:val="auto"/>
          <w:sz w:val="24"/>
          <w:szCs w:val="21"/>
          <w:highlight w:val="none"/>
        </w:rPr>
      </w:pPr>
    </w:p>
    <w:p w14:paraId="5B36CFC4">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503CE441">
      <w:pPr>
        <w:snapToGrid w:val="0"/>
        <w:spacing w:line="276" w:lineRule="auto"/>
        <w:ind w:firstLine="960" w:firstLineChars="400"/>
        <w:rPr>
          <w:rFonts w:ascii="宋体" w:hAnsi="宋体"/>
          <w:color w:val="auto"/>
          <w:sz w:val="24"/>
          <w:highlight w:val="none"/>
          <w:u w:val="single"/>
        </w:rPr>
      </w:pPr>
    </w:p>
    <w:p w14:paraId="7C4720B6">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0263BC74">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30C55AE9">
      <w:pPr>
        <w:snapToGrid w:val="0"/>
        <w:spacing w:line="276" w:lineRule="auto"/>
        <w:rPr>
          <w:rFonts w:ascii="宋体" w:hAnsi="宋体"/>
          <w:color w:val="auto"/>
          <w:sz w:val="24"/>
          <w:highlight w:val="none"/>
        </w:rPr>
      </w:pPr>
    </w:p>
    <w:p w14:paraId="529899B2">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2AC76D34">
      <w:pPr>
        <w:snapToGrid w:val="0"/>
        <w:spacing w:line="276" w:lineRule="auto"/>
        <w:rPr>
          <w:rFonts w:ascii="宋体" w:hAnsi="宋体"/>
          <w:color w:val="auto"/>
          <w:sz w:val="24"/>
          <w:highlight w:val="none"/>
        </w:rPr>
      </w:pPr>
    </w:p>
    <w:p w14:paraId="3AEA0BD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14:paraId="0358A926">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7F8F7327">
      <w:pPr>
        <w:adjustRightInd/>
        <w:spacing w:line="360" w:lineRule="auto"/>
        <w:rPr>
          <w:rFonts w:ascii="宋体" w:hAnsi="宋体" w:cs="宋体"/>
          <w:bCs/>
          <w:color w:val="auto"/>
          <w:sz w:val="24"/>
          <w:szCs w:val="21"/>
          <w:highlight w:val="none"/>
        </w:rPr>
      </w:pPr>
    </w:p>
    <w:p w14:paraId="0BF90340">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531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154AA306">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7B6DB65A">
            <w:pPr>
              <w:spacing w:line="360" w:lineRule="auto"/>
              <w:rPr>
                <w:rFonts w:ascii="宋体" w:hAnsi="宋体" w:cs="宋体"/>
                <w:bCs/>
                <w:color w:val="auto"/>
                <w:sz w:val="24"/>
                <w:szCs w:val="21"/>
                <w:highlight w:val="none"/>
              </w:rPr>
            </w:pPr>
          </w:p>
        </w:tc>
      </w:tr>
    </w:tbl>
    <w:p w14:paraId="46DCE43E">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A424A7E">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5" w:h="16838"/>
          <w:pgMar w:top="1417" w:right="1417" w:bottom="1417" w:left="1417" w:header="851" w:footer="850" w:gutter="0"/>
          <w:pgNumType w:fmt="decimal"/>
          <w:cols w:space="0" w:num="1"/>
          <w:rtlGutter w:val="0"/>
          <w:docGrid w:linePitch="312" w:charSpace="0"/>
        </w:sectPr>
      </w:pPr>
    </w:p>
    <w:p w14:paraId="076D3F66">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0F15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2B1D1D8">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0BE02FE0">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6586C04E">
            <w:pPr>
              <w:jc w:val="center"/>
              <w:rPr>
                <w:rFonts w:ascii="宋体" w:hAnsi="宋体" w:cs="宋体"/>
                <w:b/>
                <w:bCs/>
                <w:color w:val="auto"/>
                <w:sz w:val="24"/>
                <w:highlight w:val="none"/>
              </w:rPr>
            </w:pPr>
            <w:r>
              <w:rPr>
                <w:rFonts w:hint="eastAsia" w:ascii="宋体" w:hAnsi="宋体" w:cs="宋体"/>
                <w:b/>
                <w:bCs/>
                <w:color w:val="auto"/>
                <w:sz w:val="24"/>
                <w:highlight w:val="none"/>
              </w:rPr>
              <w:t>投标文件</w:t>
            </w:r>
            <w:r>
              <w:rPr>
                <w:rFonts w:hint="eastAsia" w:ascii="宋体" w:hAnsi="宋体" w:cs="宋体"/>
                <w:b/>
                <w:bCs/>
                <w:color w:val="auto"/>
                <w:sz w:val="24"/>
                <w:highlight w:val="none"/>
                <w:lang w:val="en-US" w:eastAsia="zh-CN"/>
              </w:rPr>
              <w:t>响应具体</w:t>
            </w:r>
            <w:r>
              <w:rPr>
                <w:rFonts w:hint="eastAsia" w:ascii="宋体" w:hAnsi="宋体" w:cs="宋体"/>
                <w:b/>
                <w:bCs/>
                <w:color w:val="auto"/>
                <w:sz w:val="24"/>
                <w:highlight w:val="none"/>
              </w:rPr>
              <w:t>内容</w:t>
            </w:r>
          </w:p>
        </w:tc>
        <w:tc>
          <w:tcPr>
            <w:tcW w:w="1276" w:type="dxa"/>
          </w:tcPr>
          <w:p w14:paraId="3BD6CA12">
            <w:pPr>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响应/偏离</w:t>
            </w:r>
          </w:p>
        </w:tc>
      </w:tr>
      <w:tr w14:paraId="6B30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5680C2">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7C98C2E7">
            <w:pPr>
              <w:jc w:val="center"/>
              <w:rPr>
                <w:rFonts w:ascii="宋体" w:hAnsi="宋体" w:cs="宋体"/>
                <w:b/>
                <w:color w:val="auto"/>
                <w:kern w:val="0"/>
                <w:sz w:val="32"/>
                <w:szCs w:val="32"/>
                <w:highlight w:val="none"/>
              </w:rPr>
            </w:pPr>
          </w:p>
        </w:tc>
        <w:tc>
          <w:tcPr>
            <w:tcW w:w="3546" w:type="dxa"/>
          </w:tcPr>
          <w:p w14:paraId="5D1AA828">
            <w:pPr>
              <w:jc w:val="center"/>
              <w:rPr>
                <w:rFonts w:ascii="宋体" w:hAnsi="宋体" w:cs="宋体"/>
                <w:b/>
                <w:color w:val="auto"/>
                <w:kern w:val="0"/>
                <w:sz w:val="32"/>
                <w:szCs w:val="32"/>
                <w:highlight w:val="none"/>
              </w:rPr>
            </w:pPr>
          </w:p>
        </w:tc>
        <w:tc>
          <w:tcPr>
            <w:tcW w:w="1276" w:type="dxa"/>
          </w:tcPr>
          <w:p w14:paraId="2635A3D1">
            <w:pPr>
              <w:jc w:val="center"/>
              <w:rPr>
                <w:rFonts w:ascii="宋体" w:hAnsi="宋体" w:cs="宋体"/>
                <w:b/>
                <w:color w:val="auto"/>
                <w:kern w:val="0"/>
                <w:sz w:val="32"/>
                <w:szCs w:val="32"/>
                <w:highlight w:val="none"/>
              </w:rPr>
            </w:pPr>
          </w:p>
        </w:tc>
      </w:tr>
      <w:tr w14:paraId="2248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C372B2">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54B85C55">
            <w:pPr>
              <w:jc w:val="center"/>
              <w:rPr>
                <w:rFonts w:ascii="宋体" w:hAnsi="宋体" w:cs="宋体"/>
                <w:b/>
                <w:color w:val="auto"/>
                <w:kern w:val="0"/>
                <w:sz w:val="32"/>
                <w:szCs w:val="32"/>
                <w:highlight w:val="none"/>
              </w:rPr>
            </w:pPr>
          </w:p>
        </w:tc>
        <w:tc>
          <w:tcPr>
            <w:tcW w:w="3546" w:type="dxa"/>
          </w:tcPr>
          <w:p w14:paraId="58EBF7A4">
            <w:pPr>
              <w:jc w:val="center"/>
              <w:rPr>
                <w:rFonts w:ascii="宋体" w:hAnsi="宋体" w:cs="宋体"/>
                <w:b/>
                <w:color w:val="auto"/>
                <w:kern w:val="0"/>
                <w:sz w:val="32"/>
                <w:szCs w:val="32"/>
                <w:highlight w:val="none"/>
              </w:rPr>
            </w:pPr>
          </w:p>
        </w:tc>
        <w:tc>
          <w:tcPr>
            <w:tcW w:w="1276" w:type="dxa"/>
          </w:tcPr>
          <w:p w14:paraId="55821FD5">
            <w:pPr>
              <w:jc w:val="center"/>
              <w:rPr>
                <w:rFonts w:ascii="宋体" w:hAnsi="宋体" w:cs="宋体"/>
                <w:b/>
                <w:color w:val="auto"/>
                <w:kern w:val="0"/>
                <w:sz w:val="32"/>
                <w:szCs w:val="32"/>
                <w:highlight w:val="none"/>
              </w:rPr>
            </w:pPr>
          </w:p>
        </w:tc>
      </w:tr>
      <w:tr w14:paraId="679C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35B288A1">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6B68381E">
            <w:pPr>
              <w:jc w:val="center"/>
              <w:rPr>
                <w:rFonts w:ascii="宋体" w:hAnsi="宋体" w:cs="宋体"/>
                <w:b/>
                <w:color w:val="auto"/>
                <w:kern w:val="0"/>
                <w:sz w:val="32"/>
                <w:szCs w:val="32"/>
                <w:highlight w:val="none"/>
              </w:rPr>
            </w:pPr>
          </w:p>
        </w:tc>
        <w:tc>
          <w:tcPr>
            <w:tcW w:w="3546" w:type="dxa"/>
          </w:tcPr>
          <w:p w14:paraId="0D5C6416">
            <w:pPr>
              <w:jc w:val="center"/>
              <w:rPr>
                <w:rFonts w:ascii="宋体" w:hAnsi="宋体" w:cs="宋体"/>
                <w:b/>
                <w:color w:val="auto"/>
                <w:kern w:val="0"/>
                <w:sz w:val="32"/>
                <w:szCs w:val="32"/>
                <w:highlight w:val="none"/>
              </w:rPr>
            </w:pPr>
          </w:p>
        </w:tc>
        <w:tc>
          <w:tcPr>
            <w:tcW w:w="1276" w:type="dxa"/>
          </w:tcPr>
          <w:p w14:paraId="320657D2">
            <w:pPr>
              <w:jc w:val="center"/>
              <w:rPr>
                <w:rFonts w:ascii="宋体" w:hAnsi="宋体" w:cs="宋体"/>
                <w:b/>
                <w:color w:val="auto"/>
                <w:kern w:val="0"/>
                <w:sz w:val="32"/>
                <w:szCs w:val="32"/>
                <w:highlight w:val="none"/>
              </w:rPr>
            </w:pPr>
          </w:p>
        </w:tc>
      </w:tr>
    </w:tbl>
    <w:p w14:paraId="0E20A79E">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说明：</w:t>
      </w:r>
    </w:p>
    <w:p w14:paraId="33DBDB6B">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1、应对照</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 xml:space="preserve">文件“第三章  </w:t>
      </w:r>
      <w:r>
        <w:rPr>
          <w:rFonts w:hint="eastAsia" w:ascii="宋体" w:hAnsi="宋体" w:cs="宋体"/>
          <w:color w:val="auto"/>
          <w:kern w:val="0"/>
          <w:sz w:val="24"/>
          <w:highlight w:val="none"/>
          <w:lang w:eastAsia="zh-CN"/>
        </w:rPr>
        <w:t>采购</w:t>
      </w:r>
      <w:r>
        <w:rPr>
          <w:rFonts w:hint="eastAsia" w:ascii="宋体" w:hAnsi="宋体" w:cs="宋体"/>
          <w:color w:val="auto"/>
          <w:kern w:val="0"/>
          <w:sz w:val="24"/>
          <w:highlight w:val="none"/>
        </w:rPr>
        <w:t>需求”</w:t>
      </w:r>
      <w:r>
        <w:rPr>
          <w:rFonts w:hint="eastAsia" w:ascii="宋体" w:hAnsi="宋体" w:cs="宋体"/>
          <w:color w:val="auto"/>
          <w:kern w:val="0"/>
          <w:sz w:val="24"/>
          <w:highlight w:val="none"/>
          <w:lang w:val="en-US" w:eastAsia="zh-CN"/>
        </w:rPr>
        <w:t>中服务内容及要求</w:t>
      </w:r>
      <w:r>
        <w:rPr>
          <w:rFonts w:hint="eastAsia" w:ascii="宋体" w:hAnsi="宋体" w:cs="宋体"/>
          <w:color w:val="auto"/>
          <w:kern w:val="0"/>
          <w:sz w:val="24"/>
          <w:highlight w:val="none"/>
        </w:rPr>
        <w:t>，逐条说明所提供服务已对</w:t>
      </w:r>
      <w:r>
        <w:rPr>
          <w:rFonts w:hint="eastAsia" w:ascii="宋体" w:hAnsi="宋体" w:cs="宋体"/>
          <w:color w:val="auto"/>
          <w:kern w:val="0"/>
          <w:sz w:val="24"/>
          <w:highlight w:val="none"/>
          <w:lang w:val="en-US" w:eastAsia="zh-CN"/>
        </w:rPr>
        <w:t>招标</w:t>
      </w:r>
      <w:r>
        <w:rPr>
          <w:rFonts w:hint="eastAsia" w:ascii="宋体" w:hAnsi="宋体" w:cs="宋体"/>
          <w:color w:val="auto"/>
          <w:kern w:val="0"/>
          <w:sz w:val="24"/>
          <w:highlight w:val="none"/>
        </w:rPr>
        <w:t>文件的商务、服务、技术要求做出了实质性的响应，并申明与采购项目要求的响应和偏离。</w:t>
      </w:r>
    </w:p>
    <w:p w14:paraId="39942F5F">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投标人保证：</w:t>
      </w:r>
      <w:r>
        <w:rPr>
          <w:rFonts w:hint="eastAsia" w:ascii="宋体" w:hAnsi="宋体" w:cs="宋体"/>
          <w:color w:val="auto"/>
          <w:kern w:val="0"/>
          <w:sz w:val="24"/>
          <w:highlight w:val="none"/>
          <w:lang w:val="en-US" w:eastAsia="zh-CN"/>
        </w:rPr>
        <w:t>投标人</w:t>
      </w:r>
      <w:r>
        <w:rPr>
          <w:rFonts w:hint="eastAsia" w:ascii="宋体" w:hAnsi="宋体" w:cs="宋体"/>
          <w:color w:val="auto"/>
          <w:kern w:val="0"/>
          <w:sz w:val="24"/>
          <w:highlight w:val="none"/>
        </w:rPr>
        <w:t>未在表中列出偏差项的，</w:t>
      </w:r>
      <w:r>
        <w:rPr>
          <w:rFonts w:hint="eastAsia" w:ascii="宋体" w:hAnsi="宋体" w:cs="宋体"/>
          <w:color w:val="auto"/>
          <w:kern w:val="0"/>
          <w:sz w:val="24"/>
          <w:highlight w:val="none"/>
          <w:lang w:val="en-US" w:eastAsia="zh-CN"/>
        </w:rPr>
        <w:t>视为</w:t>
      </w:r>
      <w:r>
        <w:rPr>
          <w:rFonts w:hint="eastAsia" w:ascii="宋体" w:hAnsi="宋体" w:cs="宋体"/>
          <w:color w:val="auto"/>
          <w:kern w:val="0"/>
          <w:sz w:val="24"/>
          <w:highlight w:val="none"/>
        </w:rPr>
        <w:t>投标人响应招标文件的全部要求</w:t>
      </w:r>
      <w:r>
        <w:rPr>
          <w:rFonts w:hint="eastAsia" w:ascii="宋体" w:hAnsi="宋体" w:cs="宋体"/>
          <w:color w:val="auto"/>
          <w:kern w:val="0"/>
          <w:sz w:val="24"/>
          <w:highlight w:val="none"/>
          <w:lang w:val="en-US" w:eastAsia="zh-CN"/>
        </w:rPr>
        <w:t>。</w:t>
      </w:r>
    </w:p>
    <w:p w14:paraId="6E473FA7">
      <w:pPr>
        <w:spacing w:line="360" w:lineRule="auto"/>
        <w:ind w:firstLine="3600" w:firstLineChars="1500"/>
        <w:rPr>
          <w:rFonts w:ascii="宋体" w:hAnsi="宋体" w:cs="宋体"/>
          <w:color w:val="auto"/>
          <w:sz w:val="24"/>
          <w:highlight w:val="none"/>
        </w:rPr>
      </w:pPr>
    </w:p>
    <w:p w14:paraId="2B698B2D">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2D76B43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989AF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D13673E">
      <w:pPr>
        <w:jc w:val="center"/>
        <w:rPr>
          <w:rFonts w:ascii="宋体" w:hAnsi="宋体" w:cs="宋体"/>
          <w:b/>
          <w:color w:val="auto"/>
          <w:kern w:val="0"/>
          <w:sz w:val="32"/>
          <w:szCs w:val="32"/>
          <w:highlight w:val="none"/>
        </w:rPr>
      </w:pPr>
    </w:p>
    <w:p w14:paraId="4F1B4FF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19F28640">
      <w:pPr>
        <w:ind w:firstLine="1911" w:firstLineChars="595"/>
        <w:rPr>
          <w:rFonts w:ascii="宋体" w:hAnsi="宋体" w:cs="宋体"/>
          <w:b/>
          <w:bCs/>
          <w:color w:val="auto"/>
          <w:sz w:val="32"/>
          <w:szCs w:val="32"/>
          <w:highlight w:val="none"/>
        </w:rPr>
      </w:pPr>
    </w:p>
    <w:p w14:paraId="1CCE83B1">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7659D6E6">
      <w:pPr>
        <w:ind w:firstLine="1911" w:firstLineChars="595"/>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政府采购投标人廉洁自律承诺书</w:t>
      </w:r>
    </w:p>
    <w:p w14:paraId="3BE938C4">
      <w:pPr>
        <w:snapToGrid w:val="0"/>
        <w:spacing w:line="360" w:lineRule="auto"/>
        <w:rPr>
          <w:rFonts w:ascii="宋体" w:hAnsi="宋体" w:cs="宋体"/>
          <w:color w:val="auto"/>
          <w:sz w:val="24"/>
          <w:highlight w:val="none"/>
        </w:rPr>
      </w:pPr>
    </w:p>
    <w:p w14:paraId="1620161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3B5037E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386AF9E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55F4BD7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8A0412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608D21B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D05D538">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3022AD3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6EF458C">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7AAD7C73">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5A8CB25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4769BEB7">
      <w:pPr>
        <w:autoSpaceDE w:val="0"/>
        <w:autoSpaceDN w:val="0"/>
        <w:spacing w:line="360" w:lineRule="auto"/>
        <w:ind w:left="2"/>
        <w:jc w:val="left"/>
        <w:rPr>
          <w:rFonts w:ascii="宋体" w:hAnsi="宋体" w:cs="宋体"/>
          <w:color w:val="auto"/>
          <w:kern w:val="0"/>
          <w:sz w:val="24"/>
          <w:highlight w:val="none"/>
          <w:lang w:val="zh-CN"/>
        </w:rPr>
      </w:pPr>
    </w:p>
    <w:p w14:paraId="0E81F787">
      <w:pPr>
        <w:autoSpaceDE w:val="0"/>
        <w:autoSpaceDN w:val="0"/>
        <w:spacing w:line="360" w:lineRule="auto"/>
        <w:ind w:left="2"/>
        <w:jc w:val="left"/>
        <w:rPr>
          <w:rFonts w:ascii="宋体" w:hAnsi="宋体" w:cs="宋体"/>
          <w:color w:val="auto"/>
          <w:kern w:val="0"/>
          <w:sz w:val="24"/>
          <w:highlight w:val="none"/>
          <w:lang w:val="zh-CN"/>
        </w:rPr>
      </w:pPr>
    </w:p>
    <w:p w14:paraId="5A28DE38">
      <w:pPr>
        <w:autoSpaceDE w:val="0"/>
        <w:autoSpaceDN w:val="0"/>
        <w:spacing w:line="360" w:lineRule="auto"/>
        <w:ind w:left="2"/>
        <w:jc w:val="left"/>
        <w:rPr>
          <w:rFonts w:ascii="宋体" w:hAnsi="宋体" w:cs="宋体"/>
          <w:color w:val="auto"/>
          <w:kern w:val="0"/>
          <w:sz w:val="24"/>
          <w:highlight w:val="none"/>
          <w:lang w:val="zh-CN"/>
        </w:rPr>
      </w:pPr>
    </w:p>
    <w:p w14:paraId="55AB2A5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152B6A1E">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99AE83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6A78C84E">
      <w:pPr>
        <w:spacing w:line="360" w:lineRule="auto"/>
        <w:ind w:left="4620" w:leftChars="2200"/>
        <w:rPr>
          <w:rFonts w:ascii="宋体" w:hAnsi="宋体" w:cs="宋体"/>
          <w:color w:val="auto"/>
          <w:sz w:val="24"/>
          <w:highlight w:val="none"/>
        </w:rPr>
      </w:pPr>
    </w:p>
    <w:p w14:paraId="699EE02B">
      <w:pPr>
        <w:spacing w:line="360" w:lineRule="auto"/>
        <w:jc w:val="center"/>
        <w:rPr>
          <w:rFonts w:ascii="宋体" w:hAnsi="宋体" w:cs="宋体"/>
          <w:b/>
          <w:bCs/>
          <w:color w:val="auto"/>
          <w:sz w:val="24"/>
          <w:highlight w:val="none"/>
        </w:rPr>
      </w:pPr>
    </w:p>
    <w:p w14:paraId="767E0973">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7C76F795">
      <w:pPr>
        <w:pStyle w:val="85"/>
        <w:rPr>
          <w:color w:val="auto"/>
          <w:highlight w:val="none"/>
        </w:rPr>
      </w:pPr>
    </w:p>
    <w:p w14:paraId="4A6EA0E2">
      <w:pPr>
        <w:pStyle w:val="85"/>
        <w:rPr>
          <w:color w:val="auto"/>
          <w:highlight w:val="none"/>
        </w:rPr>
      </w:pPr>
    </w:p>
    <w:p w14:paraId="0C5D789F">
      <w:pPr>
        <w:jc w:val="center"/>
        <w:rPr>
          <w:rFonts w:ascii="宋体" w:hAnsi="宋体" w:cs="宋体"/>
          <w:b/>
          <w:color w:val="auto"/>
          <w:kern w:val="0"/>
          <w:sz w:val="32"/>
          <w:szCs w:val="21"/>
          <w:highlight w:val="none"/>
        </w:rPr>
      </w:pP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4728D1DC">
      <w:pPr>
        <w:widowControl/>
        <w:adjustRightInd/>
        <w:ind w:firstLine="640" w:firstLineChars="200"/>
        <w:jc w:val="left"/>
        <w:rPr>
          <w:rFonts w:ascii="宋体" w:hAnsi="宋体" w:cs="宋体"/>
          <w:color w:val="auto"/>
          <w:kern w:val="0"/>
          <w:sz w:val="32"/>
          <w:szCs w:val="21"/>
          <w:highlight w:val="none"/>
        </w:rPr>
      </w:pPr>
    </w:p>
    <w:p w14:paraId="162B37D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0CFBB3A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14:paraId="258E44B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1DF0FD8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参与同一合同项下的政府采购活动的行为。</w:t>
      </w:r>
    </w:p>
    <w:p w14:paraId="03174A7C">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，不得再参加该采购项目的其他采购活动，我方承诺不属于此类禁止参加本项目的</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w:t>
      </w:r>
    </w:p>
    <w:p w14:paraId="3685A13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w:t>
      </w:r>
      <w:r>
        <w:rPr>
          <w:rFonts w:hint="eastAsia" w:ascii="宋体" w:hAnsi="宋体" w:cs="宋体"/>
          <w:color w:val="auto"/>
          <w:kern w:val="0"/>
          <w:sz w:val="24"/>
          <w:highlight w:val="none"/>
          <w:lang w:eastAsia="zh-CN"/>
        </w:rPr>
        <w:t>投标人</w:t>
      </w:r>
      <w:r>
        <w:rPr>
          <w:rFonts w:hint="eastAsia" w:ascii="宋体" w:hAnsi="宋体" w:cs="宋体"/>
          <w:color w:val="auto"/>
          <w:kern w:val="0"/>
          <w:sz w:val="24"/>
          <w:highlight w:val="none"/>
        </w:rPr>
        <w:t>在同一合同项下的采购项目中，同时委托同一个自然人、同一家庭的人员、同一单位的人员作为代理人的行为。</w:t>
      </w:r>
    </w:p>
    <w:p w14:paraId="388F952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14:paraId="46F9BC54">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312AED2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7E3D632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14:paraId="772E4FA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享有本项目实施过程中产生的知识成果及知识产权。如我方在项目实施过程中采用自有知识成果，我方承诺提供开发接口和开发手册等技术文档，并提供无限期技术支持，</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享有永久使用权（含</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委托第三方在该项目后续开发的使用权）。如我方在项目实施过程中采用非自有的知识产权，则在投标报价中已包括合法获取该知识产权的相关费用。</w:t>
      </w:r>
    </w:p>
    <w:p w14:paraId="75A6461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44D567C4">
      <w:pPr>
        <w:widowControl/>
        <w:adjustRightInd/>
        <w:spacing w:line="360" w:lineRule="auto"/>
        <w:ind w:firstLine="480" w:firstLineChars="200"/>
        <w:jc w:val="left"/>
        <w:rPr>
          <w:rFonts w:ascii="宋体" w:hAnsi="宋体" w:cs="宋体"/>
          <w:color w:val="auto"/>
          <w:kern w:val="0"/>
          <w:sz w:val="24"/>
          <w:highlight w:val="none"/>
        </w:rPr>
      </w:pPr>
    </w:p>
    <w:p w14:paraId="348F78E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FEE06C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B2BBC1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0B7425C">
      <w:pPr>
        <w:spacing w:line="360" w:lineRule="auto"/>
        <w:ind w:left="4620" w:leftChars="2200"/>
        <w:rPr>
          <w:rFonts w:ascii="宋体" w:hAnsi="宋体" w:cs="宋体"/>
          <w:color w:val="auto"/>
          <w:sz w:val="24"/>
          <w:highlight w:val="none"/>
        </w:rPr>
      </w:pPr>
    </w:p>
    <w:p w14:paraId="22BE7C8D">
      <w:pPr>
        <w:spacing w:line="360" w:lineRule="auto"/>
        <w:jc w:val="center"/>
        <w:rPr>
          <w:rFonts w:ascii="宋体" w:hAnsi="宋体" w:cs="宋体"/>
          <w:b/>
          <w:bCs/>
          <w:color w:val="auto"/>
          <w:sz w:val="24"/>
          <w:highlight w:val="none"/>
        </w:rPr>
      </w:pPr>
    </w:p>
    <w:p w14:paraId="65A385B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69BEB87">
      <w:pPr>
        <w:spacing w:line="360" w:lineRule="auto"/>
        <w:jc w:val="center"/>
        <w:rPr>
          <w:rFonts w:cs="仿宋_GB2312" w:asciiTheme="minorEastAsia" w:hAnsiTheme="minorEastAsia" w:eastAsiaTheme="minorEastAsia"/>
          <w:color w:val="auto"/>
          <w:sz w:val="24"/>
          <w:highlight w:val="none"/>
        </w:rPr>
      </w:pPr>
    </w:p>
    <w:p w14:paraId="32582DA9">
      <w:pPr>
        <w:autoSpaceDE w:val="0"/>
        <w:autoSpaceDN w:val="0"/>
        <w:spacing w:line="360" w:lineRule="auto"/>
        <w:rPr>
          <w:rFonts w:cs="仿宋_GB2312" w:asciiTheme="minorEastAsia" w:hAnsiTheme="minorEastAsia" w:eastAsiaTheme="minorEastAsia"/>
          <w:color w:val="auto"/>
          <w:kern w:val="0"/>
          <w:sz w:val="24"/>
          <w:highlight w:val="none"/>
        </w:rPr>
      </w:pPr>
    </w:p>
    <w:p w14:paraId="3E7A5624">
      <w:pPr>
        <w:rPr>
          <w:rFonts w:cs="仿宋_GB2312" w:asciiTheme="minorEastAsia" w:hAnsiTheme="minorEastAsia" w:eastAsiaTheme="minorEastAsia"/>
          <w:b/>
          <w:bCs/>
          <w:color w:val="auto"/>
          <w:sz w:val="32"/>
          <w:szCs w:val="32"/>
          <w:highlight w:val="none"/>
        </w:rPr>
      </w:pPr>
      <w:r>
        <w:rPr>
          <w:rFonts w:cs="仿宋_GB2312" w:asciiTheme="minorEastAsia" w:hAnsiTheme="minorEastAsia" w:eastAsiaTheme="minorEastAsia"/>
          <w:b/>
          <w:bCs/>
          <w:color w:val="auto"/>
          <w:sz w:val="32"/>
          <w:szCs w:val="32"/>
          <w:highlight w:val="none"/>
        </w:rPr>
        <w:br w:type="page"/>
      </w:r>
    </w:p>
    <w:p w14:paraId="3B322EA8">
      <w:pPr>
        <w:pStyle w:val="24"/>
        <w:rPr>
          <w:color w:val="auto"/>
          <w:highlight w:val="none"/>
        </w:rPr>
      </w:pPr>
    </w:p>
    <w:p w14:paraId="05053FE6">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val="en-US" w:eastAsia="zh-CN"/>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bCs/>
          <w:color w:val="auto"/>
          <w:sz w:val="32"/>
          <w:szCs w:val="32"/>
          <w:highlight w:val="none"/>
          <w:lang w:val="en-US" w:eastAsia="zh-CN"/>
        </w:rPr>
        <w:t>技术</w:t>
      </w:r>
      <w:r>
        <w:rPr>
          <w:rFonts w:hint="eastAsia" w:cs="仿宋_GB2312" w:asciiTheme="minorEastAsia" w:hAnsiTheme="minorEastAsia" w:eastAsiaTheme="minorEastAsia"/>
          <w:b/>
          <w:bCs/>
          <w:color w:val="auto"/>
          <w:sz w:val="32"/>
          <w:szCs w:val="32"/>
          <w:highlight w:val="none"/>
        </w:rPr>
        <w:t>方案</w:t>
      </w:r>
    </w:p>
    <w:p w14:paraId="37E83320">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014DE958">
      <w:pPr>
        <w:spacing w:line="360" w:lineRule="auto"/>
        <w:jc w:val="center"/>
        <w:rPr>
          <w:rFonts w:cs="仿宋_GB2312" w:asciiTheme="minorEastAsia" w:hAnsiTheme="minorEastAsia" w:eastAsiaTheme="minorEastAsia"/>
          <w:color w:val="auto"/>
          <w:sz w:val="24"/>
          <w:highlight w:val="none"/>
        </w:rPr>
      </w:pPr>
    </w:p>
    <w:p w14:paraId="3D7B290E">
      <w:pPr>
        <w:spacing w:line="360" w:lineRule="auto"/>
        <w:jc w:val="center"/>
        <w:rPr>
          <w:rFonts w:ascii="宋体" w:hAnsi="宋体" w:cs="宋体"/>
          <w:b/>
          <w:bCs/>
          <w:color w:val="auto"/>
          <w:sz w:val="24"/>
          <w:highlight w:val="none"/>
        </w:rPr>
      </w:pPr>
    </w:p>
    <w:p w14:paraId="156AFCC7">
      <w:pPr>
        <w:spacing w:line="360" w:lineRule="auto"/>
        <w:jc w:val="center"/>
        <w:rPr>
          <w:rFonts w:ascii="宋体" w:hAnsi="宋体" w:cs="宋体"/>
          <w:b/>
          <w:bCs/>
          <w:color w:val="auto"/>
          <w:sz w:val="24"/>
          <w:highlight w:val="none"/>
        </w:rPr>
      </w:pPr>
    </w:p>
    <w:p w14:paraId="2710C430">
      <w:pPr>
        <w:spacing w:line="360" w:lineRule="auto"/>
        <w:jc w:val="center"/>
        <w:rPr>
          <w:rFonts w:ascii="宋体" w:hAnsi="宋体" w:cs="宋体"/>
          <w:b/>
          <w:bCs/>
          <w:color w:val="auto"/>
          <w:sz w:val="24"/>
          <w:highlight w:val="none"/>
        </w:rPr>
      </w:pPr>
    </w:p>
    <w:p w14:paraId="73A8E58F">
      <w:pPr>
        <w:spacing w:line="360" w:lineRule="auto"/>
        <w:jc w:val="center"/>
        <w:rPr>
          <w:rFonts w:ascii="宋体" w:hAnsi="宋体" w:cs="宋体"/>
          <w:b/>
          <w:bCs/>
          <w:color w:val="auto"/>
          <w:sz w:val="24"/>
          <w:highlight w:val="none"/>
        </w:rPr>
      </w:pPr>
    </w:p>
    <w:p w14:paraId="4BA04E77">
      <w:pPr>
        <w:spacing w:line="360" w:lineRule="auto"/>
        <w:jc w:val="center"/>
        <w:rPr>
          <w:rFonts w:hint="eastAsia"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七</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bCs/>
          <w:color w:val="auto"/>
          <w:sz w:val="32"/>
          <w:szCs w:val="32"/>
          <w:highlight w:val="none"/>
          <w:lang w:val="en-US" w:eastAsia="zh-CN"/>
        </w:rPr>
        <w:t>实施方案</w:t>
      </w:r>
    </w:p>
    <w:p w14:paraId="7BC93127">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62E0D43A">
      <w:pPr>
        <w:spacing w:line="360" w:lineRule="auto"/>
        <w:jc w:val="center"/>
        <w:rPr>
          <w:rFonts w:cs="仿宋_GB2312" w:asciiTheme="minorEastAsia" w:hAnsiTheme="minorEastAsia" w:eastAsiaTheme="minorEastAsia"/>
          <w:color w:val="auto"/>
          <w:sz w:val="24"/>
          <w:highlight w:val="none"/>
        </w:rPr>
      </w:pPr>
    </w:p>
    <w:p w14:paraId="2CF7B750">
      <w:pPr>
        <w:autoSpaceDE w:val="0"/>
        <w:autoSpaceDN w:val="0"/>
        <w:spacing w:line="360" w:lineRule="auto"/>
        <w:rPr>
          <w:rFonts w:cs="仿宋_GB2312" w:asciiTheme="minorEastAsia" w:hAnsiTheme="minorEastAsia" w:eastAsiaTheme="minorEastAsia"/>
          <w:color w:val="auto"/>
          <w:kern w:val="0"/>
          <w:sz w:val="24"/>
          <w:highlight w:val="none"/>
        </w:rPr>
      </w:pPr>
    </w:p>
    <w:p w14:paraId="622F7D42">
      <w:pPr>
        <w:spacing w:line="240" w:lineRule="auto"/>
        <w:jc w:val="left"/>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br w:type="page"/>
      </w:r>
    </w:p>
    <w:p w14:paraId="0AA6A72B">
      <w:pPr>
        <w:spacing w:line="360" w:lineRule="auto"/>
        <w:jc w:val="center"/>
        <w:rPr>
          <w:rFonts w:hint="default"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八、售后服务方案</w:t>
      </w:r>
    </w:p>
    <w:p w14:paraId="3A60A906">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sz w:val="24"/>
          <w:highlight w:val="none"/>
          <w:lang w:eastAsia="zh-CN"/>
        </w:rPr>
        <w:t>投标人</w:t>
      </w:r>
      <w:r>
        <w:rPr>
          <w:rFonts w:hint="eastAsia" w:cs="仿宋_GB2312" w:asciiTheme="minorEastAsia" w:hAnsiTheme="minorEastAsia" w:eastAsiaTheme="minorEastAsia"/>
          <w:color w:val="auto"/>
          <w:sz w:val="24"/>
          <w:highlight w:val="none"/>
        </w:rPr>
        <w:t>根据采购需求及招标文件要求编制）</w:t>
      </w:r>
    </w:p>
    <w:p w14:paraId="3E0C2CA2">
      <w:pPr>
        <w:spacing w:line="360" w:lineRule="auto"/>
        <w:jc w:val="center"/>
        <w:rPr>
          <w:rFonts w:cs="仿宋_GB2312" w:asciiTheme="minorEastAsia" w:hAnsiTheme="minorEastAsia" w:eastAsiaTheme="minorEastAsia"/>
          <w:color w:val="auto"/>
          <w:sz w:val="24"/>
          <w:highlight w:val="none"/>
        </w:rPr>
      </w:pPr>
    </w:p>
    <w:p w14:paraId="55A38F67">
      <w:pPr>
        <w:autoSpaceDE w:val="0"/>
        <w:autoSpaceDN w:val="0"/>
        <w:spacing w:line="360" w:lineRule="auto"/>
        <w:rPr>
          <w:rFonts w:cs="仿宋_GB2312" w:asciiTheme="minorEastAsia" w:hAnsiTheme="minorEastAsia" w:eastAsiaTheme="minorEastAsia"/>
          <w:color w:val="auto"/>
          <w:kern w:val="0"/>
          <w:sz w:val="24"/>
          <w:highlight w:val="none"/>
        </w:rPr>
      </w:pPr>
    </w:p>
    <w:p w14:paraId="2F14DB87">
      <w:pPr>
        <w:rPr>
          <w:rFonts w:hint="eastAsia" w:cs="仿宋_GB2312" w:asciiTheme="minorEastAsia" w:hAnsiTheme="minorEastAsia" w:eastAsiaTheme="minorEastAsia"/>
          <w:b/>
          <w:bCs/>
          <w:color w:val="auto"/>
          <w:sz w:val="32"/>
          <w:szCs w:val="32"/>
          <w:highlight w:val="none"/>
        </w:rPr>
      </w:pPr>
    </w:p>
    <w:p w14:paraId="3AC1D696">
      <w:pPr>
        <w:jc w:val="both"/>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31BEF3C8">
      <w:pPr>
        <w:jc w:val="center"/>
        <w:rPr>
          <w:rFonts w:ascii="宋体" w:hAnsi="宋体" w:cs="宋体"/>
          <w:b/>
          <w:color w:val="auto"/>
          <w:kern w:val="0"/>
          <w:sz w:val="32"/>
          <w:szCs w:val="32"/>
          <w:highlight w:val="none"/>
        </w:rPr>
      </w:pPr>
    </w:p>
    <w:p w14:paraId="70F8A393">
      <w:pPr>
        <w:jc w:val="center"/>
        <w:rPr>
          <w:rFonts w:ascii="宋体" w:hAnsi="宋体" w:cs="宋体"/>
          <w:b/>
          <w:color w:val="auto"/>
          <w:kern w:val="0"/>
          <w:sz w:val="32"/>
          <w:szCs w:val="32"/>
          <w:highlight w:val="none"/>
        </w:rPr>
      </w:pPr>
    </w:p>
    <w:p w14:paraId="3C178171">
      <w:pPr>
        <w:jc w:val="center"/>
        <w:rPr>
          <w:rFonts w:ascii="宋体" w:hAnsi="宋体" w:cs="宋体"/>
          <w:b/>
          <w:color w:val="auto"/>
          <w:kern w:val="0"/>
          <w:sz w:val="32"/>
          <w:szCs w:val="32"/>
          <w:highlight w:val="none"/>
        </w:rPr>
      </w:pPr>
    </w:p>
    <w:p w14:paraId="6ADFE7BE">
      <w:pPr>
        <w:jc w:val="center"/>
        <w:rPr>
          <w:rFonts w:ascii="宋体" w:hAnsi="宋体" w:cs="宋体"/>
          <w:color w:val="auto"/>
          <w:highlight w:val="none"/>
        </w:rPr>
      </w:pPr>
      <w:r>
        <w:rPr>
          <w:rFonts w:hint="eastAsia" w:ascii="宋体" w:hAnsi="宋体" w:cs="宋体"/>
          <w:b/>
          <w:color w:val="auto"/>
          <w:kern w:val="0"/>
          <w:sz w:val="32"/>
          <w:szCs w:val="32"/>
          <w:highlight w:val="none"/>
          <w:lang w:val="en-US" w:eastAsia="zh-CN"/>
        </w:rPr>
        <w:t>九</w:t>
      </w:r>
      <w:r>
        <w:rPr>
          <w:rFonts w:hint="eastAsia" w:ascii="宋体" w:hAnsi="宋体" w:cs="宋体"/>
          <w:b/>
          <w:color w:val="auto"/>
          <w:kern w:val="0"/>
          <w:sz w:val="32"/>
          <w:szCs w:val="32"/>
          <w:highlight w:val="none"/>
        </w:rPr>
        <w:t>、评标标准相应的商务技术资料</w:t>
      </w:r>
    </w:p>
    <w:p w14:paraId="680831A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w:t>
      </w:r>
      <w:r>
        <w:rPr>
          <w:rFonts w:hint="eastAsia" w:ascii="宋体" w:hAnsi="宋体" w:cs="宋体"/>
          <w:b/>
          <w:color w:val="auto"/>
          <w:sz w:val="24"/>
          <w:highlight w:val="none"/>
          <w:lang w:eastAsia="zh-CN"/>
        </w:rPr>
        <w:t>的要求</w:t>
      </w:r>
      <w:r>
        <w:rPr>
          <w:rFonts w:hint="eastAsia" w:ascii="宋体" w:hAnsi="宋体" w:cs="宋体"/>
          <w:b/>
          <w:color w:val="auto"/>
          <w:sz w:val="24"/>
          <w:highlight w:val="none"/>
        </w:rPr>
        <w:t>提供</w:t>
      </w:r>
      <w:r>
        <w:rPr>
          <w:rFonts w:hint="eastAsia" w:ascii="宋体" w:hAnsi="宋体" w:cs="宋体"/>
          <w:b/>
          <w:color w:val="auto"/>
          <w:sz w:val="24"/>
          <w:highlight w:val="none"/>
          <w:lang w:eastAsia="zh-CN"/>
        </w:rPr>
        <w:t>相关</w:t>
      </w:r>
      <w:r>
        <w:rPr>
          <w:rFonts w:hint="eastAsia" w:ascii="宋体" w:hAnsi="宋体" w:cs="宋体"/>
          <w:b/>
          <w:color w:val="auto"/>
          <w:sz w:val="24"/>
          <w:highlight w:val="none"/>
        </w:rPr>
        <w:t>资料。）</w:t>
      </w:r>
    </w:p>
    <w:p w14:paraId="7ED9589F">
      <w:pPr>
        <w:jc w:val="center"/>
        <w:rPr>
          <w:rFonts w:ascii="宋体" w:hAnsi="宋体" w:cs="宋体"/>
          <w:b/>
          <w:color w:val="auto"/>
          <w:kern w:val="0"/>
          <w:sz w:val="32"/>
          <w:szCs w:val="32"/>
          <w:highlight w:val="none"/>
        </w:rPr>
      </w:pPr>
    </w:p>
    <w:p w14:paraId="60873BEC">
      <w:pPr>
        <w:spacing w:line="360" w:lineRule="auto"/>
        <w:rPr>
          <w:rFonts w:hint="eastAsia" w:cs="仿宋_GB2312" w:asciiTheme="minorEastAsia" w:hAnsiTheme="minorEastAsia" w:eastAsiaTheme="minorEastAsia"/>
          <w:color w:val="auto"/>
          <w:kern w:val="0"/>
          <w:sz w:val="24"/>
          <w:highlight w:val="none"/>
        </w:rPr>
      </w:pPr>
    </w:p>
    <w:p w14:paraId="654F6428">
      <w:pPr>
        <w:spacing w:line="360" w:lineRule="auto"/>
        <w:jc w:val="center"/>
        <w:rPr>
          <w:rFonts w:ascii="宋体" w:hAnsi="宋体" w:cs="宋体"/>
          <w:b/>
          <w:bCs/>
          <w:color w:val="auto"/>
          <w:sz w:val="24"/>
          <w:highlight w:val="none"/>
        </w:rPr>
      </w:pPr>
    </w:p>
    <w:p w14:paraId="0354E39D">
      <w:pPr>
        <w:spacing w:line="360" w:lineRule="auto"/>
        <w:jc w:val="center"/>
        <w:rPr>
          <w:rFonts w:ascii="宋体" w:hAnsi="宋体" w:cs="宋体"/>
          <w:b/>
          <w:bCs/>
          <w:color w:val="auto"/>
          <w:sz w:val="24"/>
          <w:highlight w:val="none"/>
        </w:rPr>
      </w:pPr>
    </w:p>
    <w:p w14:paraId="7006C695">
      <w:pPr>
        <w:spacing w:line="360" w:lineRule="auto"/>
        <w:jc w:val="center"/>
        <w:rPr>
          <w:rFonts w:ascii="宋体" w:hAnsi="宋体" w:cs="宋体"/>
          <w:b/>
          <w:bCs/>
          <w:color w:val="auto"/>
          <w:sz w:val="24"/>
          <w:highlight w:val="none"/>
        </w:rPr>
      </w:pPr>
    </w:p>
    <w:p w14:paraId="1DB7C20D">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十</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eastAsia="zh-CN"/>
        </w:rPr>
        <w:t>投标人认为需要提供的其他商务、技术文件</w:t>
      </w:r>
    </w:p>
    <w:p w14:paraId="2EA527A7">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5" w:h="16838"/>
          <w:pgMar w:top="1417" w:right="1417" w:bottom="1417" w:left="1417" w:header="851" w:footer="850" w:gutter="0"/>
          <w:pgNumType w:fmt="decimal"/>
          <w:cols w:space="0" w:num="1"/>
          <w:rtlGutter w:val="0"/>
          <w:docGrid w:linePitch="312" w:charSpace="0"/>
        </w:sectPr>
      </w:pPr>
    </w:p>
    <w:p w14:paraId="5430FA97">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7E7C87D9">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6EFDD4D">
      <w:pPr>
        <w:spacing w:line="360" w:lineRule="auto"/>
        <w:jc w:val="center"/>
        <w:rPr>
          <w:rFonts w:ascii="宋体" w:hAnsi="宋体" w:cs="宋体"/>
          <w:b/>
          <w:color w:val="auto"/>
          <w:kern w:val="0"/>
          <w:sz w:val="36"/>
          <w:szCs w:val="36"/>
          <w:highlight w:val="none"/>
        </w:rPr>
      </w:pPr>
    </w:p>
    <w:p w14:paraId="155723A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（1）开标一览表（报价表）………………………………………………………（页码）</w:t>
      </w:r>
    </w:p>
    <w:p w14:paraId="0EC26D0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val="0"/>
          <w:bCs w:val="0"/>
          <w:color w:val="auto"/>
          <w:sz w:val="24"/>
          <w:szCs w:val="24"/>
          <w:highlight w:val="none"/>
          <w:lang w:val="en-US" w:eastAsia="zh-CN"/>
        </w:rPr>
        <w:t>中小企业声明函或者残疾人福利性单位声明函或者投标人属于监狱企业的证明材料（如有）</w:t>
      </w:r>
      <w:r>
        <w:rPr>
          <w:rFonts w:hint="eastAsia" w:ascii="宋体" w:hAnsi="宋体" w:cs="宋体"/>
          <w:color w:val="auto"/>
          <w:sz w:val="24"/>
          <w:highlight w:val="none"/>
        </w:rPr>
        <w:t>……………………………………………………………………………（页码）</w:t>
      </w:r>
    </w:p>
    <w:p w14:paraId="2F510517">
      <w:pPr>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b w:val="0"/>
          <w:bCs w:val="0"/>
          <w:color w:val="auto"/>
          <w:sz w:val="24"/>
          <w:szCs w:val="24"/>
          <w:highlight w:val="none"/>
          <w:lang w:val="en-US" w:eastAsia="zh-CN"/>
        </w:rPr>
        <w:t>投标人认为需要提供的其他文件</w:t>
      </w:r>
      <w:r>
        <w:rPr>
          <w:rFonts w:hint="eastAsia" w:ascii="宋体" w:hAnsi="宋体" w:cs="宋体"/>
          <w:color w:val="auto"/>
          <w:sz w:val="24"/>
          <w:highlight w:val="none"/>
        </w:rPr>
        <w:t>………………………………………………（页码）</w:t>
      </w:r>
    </w:p>
    <w:p w14:paraId="0C583AC7">
      <w:pPr>
        <w:snapToGrid w:val="0"/>
        <w:spacing w:line="360" w:lineRule="auto"/>
        <w:ind w:right="480"/>
        <w:jc w:val="center"/>
        <w:rPr>
          <w:rFonts w:ascii="宋体" w:hAnsi="宋体" w:cs="宋体"/>
          <w:b/>
          <w:color w:val="auto"/>
          <w:kern w:val="0"/>
          <w:sz w:val="32"/>
          <w:szCs w:val="32"/>
          <w:highlight w:val="none"/>
        </w:rPr>
      </w:pPr>
    </w:p>
    <w:p w14:paraId="416F0AF2">
      <w:pPr>
        <w:snapToGrid w:val="0"/>
        <w:spacing w:line="360" w:lineRule="auto"/>
        <w:ind w:right="480"/>
        <w:jc w:val="center"/>
        <w:rPr>
          <w:rFonts w:ascii="宋体" w:hAnsi="宋体" w:cs="宋体"/>
          <w:b/>
          <w:color w:val="auto"/>
          <w:kern w:val="0"/>
          <w:sz w:val="32"/>
          <w:szCs w:val="32"/>
          <w:highlight w:val="none"/>
        </w:rPr>
      </w:pPr>
    </w:p>
    <w:p w14:paraId="421B0CD9">
      <w:pPr>
        <w:snapToGrid w:val="0"/>
        <w:spacing w:line="360" w:lineRule="auto"/>
        <w:ind w:right="480"/>
        <w:jc w:val="center"/>
        <w:rPr>
          <w:rFonts w:ascii="宋体" w:hAnsi="宋体" w:cs="宋体"/>
          <w:b/>
          <w:color w:val="auto"/>
          <w:kern w:val="0"/>
          <w:sz w:val="32"/>
          <w:szCs w:val="32"/>
          <w:highlight w:val="none"/>
        </w:rPr>
      </w:pPr>
    </w:p>
    <w:p w14:paraId="18C76E25">
      <w:pPr>
        <w:snapToGrid w:val="0"/>
        <w:spacing w:line="360" w:lineRule="auto"/>
        <w:ind w:right="480"/>
        <w:jc w:val="center"/>
        <w:rPr>
          <w:rFonts w:ascii="宋体" w:hAnsi="宋体" w:cs="宋体"/>
          <w:b/>
          <w:color w:val="auto"/>
          <w:kern w:val="0"/>
          <w:sz w:val="32"/>
          <w:szCs w:val="32"/>
          <w:highlight w:val="none"/>
        </w:rPr>
      </w:pPr>
    </w:p>
    <w:p w14:paraId="31953F83">
      <w:pPr>
        <w:snapToGrid w:val="0"/>
        <w:spacing w:line="360" w:lineRule="auto"/>
        <w:ind w:right="480"/>
        <w:jc w:val="center"/>
        <w:rPr>
          <w:rFonts w:ascii="宋体" w:hAnsi="宋体" w:cs="宋体"/>
          <w:b/>
          <w:color w:val="auto"/>
          <w:kern w:val="0"/>
          <w:sz w:val="32"/>
          <w:szCs w:val="32"/>
          <w:highlight w:val="none"/>
        </w:rPr>
      </w:pPr>
    </w:p>
    <w:p w14:paraId="0AA4FDB9">
      <w:pPr>
        <w:snapToGrid w:val="0"/>
        <w:spacing w:line="360" w:lineRule="auto"/>
        <w:ind w:right="480"/>
        <w:jc w:val="center"/>
        <w:rPr>
          <w:rFonts w:ascii="宋体" w:hAnsi="宋体" w:cs="宋体"/>
          <w:b/>
          <w:color w:val="auto"/>
          <w:kern w:val="0"/>
          <w:sz w:val="32"/>
          <w:szCs w:val="32"/>
          <w:highlight w:val="none"/>
        </w:rPr>
      </w:pPr>
    </w:p>
    <w:p w14:paraId="6FAD46B6">
      <w:pPr>
        <w:snapToGrid w:val="0"/>
        <w:spacing w:line="360" w:lineRule="auto"/>
        <w:ind w:right="480"/>
        <w:jc w:val="center"/>
        <w:rPr>
          <w:rFonts w:ascii="宋体" w:hAnsi="宋体" w:cs="宋体"/>
          <w:b/>
          <w:color w:val="auto"/>
          <w:kern w:val="0"/>
          <w:sz w:val="32"/>
          <w:szCs w:val="32"/>
          <w:highlight w:val="none"/>
        </w:rPr>
      </w:pPr>
    </w:p>
    <w:p w14:paraId="35D802AB">
      <w:pPr>
        <w:snapToGrid w:val="0"/>
        <w:spacing w:line="360" w:lineRule="auto"/>
        <w:ind w:right="480"/>
        <w:jc w:val="center"/>
        <w:rPr>
          <w:rFonts w:ascii="宋体" w:hAnsi="宋体" w:cs="宋体"/>
          <w:b/>
          <w:color w:val="auto"/>
          <w:kern w:val="0"/>
          <w:sz w:val="32"/>
          <w:szCs w:val="32"/>
          <w:highlight w:val="none"/>
        </w:rPr>
      </w:pPr>
    </w:p>
    <w:p w14:paraId="7066CA69">
      <w:pPr>
        <w:snapToGrid w:val="0"/>
        <w:spacing w:line="360" w:lineRule="auto"/>
        <w:ind w:right="480"/>
        <w:jc w:val="center"/>
        <w:rPr>
          <w:rFonts w:ascii="宋体" w:hAnsi="宋体" w:cs="宋体"/>
          <w:b/>
          <w:color w:val="auto"/>
          <w:kern w:val="0"/>
          <w:sz w:val="32"/>
          <w:szCs w:val="32"/>
          <w:highlight w:val="none"/>
        </w:rPr>
      </w:pPr>
    </w:p>
    <w:p w14:paraId="76234325">
      <w:pPr>
        <w:snapToGrid w:val="0"/>
        <w:spacing w:line="360" w:lineRule="auto"/>
        <w:ind w:right="480"/>
        <w:jc w:val="center"/>
        <w:rPr>
          <w:rFonts w:ascii="宋体" w:hAnsi="宋体" w:cs="宋体"/>
          <w:b/>
          <w:color w:val="auto"/>
          <w:kern w:val="0"/>
          <w:sz w:val="32"/>
          <w:szCs w:val="32"/>
          <w:highlight w:val="none"/>
        </w:rPr>
      </w:pPr>
    </w:p>
    <w:p w14:paraId="6BBE34BB">
      <w:pPr>
        <w:snapToGrid w:val="0"/>
        <w:spacing w:line="360" w:lineRule="auto"/>
        <w:ind w:right="480"/>
        <w:jc w:val="center"/>
        <w:rPr>
          <w:rFonts w:ascii="宋体" w:hAnsi="宋体" w:cs="宋体"/>
          <w:b/>
          <w:color w:val="auto"/>
          <w:kern w:val="0"/>
          <w:sz w:val="32"/>
          <w:szCs w:val="32"/>
          <w:highlight w:val="none"/>
        </w:rPr>
      </w:pPr>
    </w:p>
    <w:p w14:paraId="5FC32A15">
      <w:pPr>
        <w:snapToGrid w:val="0"/>
        <w:spacing w:line="360" w:lineRule="auto"/>
        <w:ind w:right="480"/>
        <w:jc w:val="center"/>
        <w:rPr>
          <w:rFonts w:ascii="宋体" w:hAnsi="宋体" w:cs="宋体"/>
          <w:b/>
          <w:color w:val="auto"/>
          <w:kern w:val="0"/>
          <w:sz w:val="32"/>
          <w:szCs w:val="32"/>
          <w:highlight w:val="none"/>
        </w:rPr>
      </w:pPr>
    </w:p>
    <w:p w14:paraId="53C4A67D">
      <w:pPr>
        <w:snapToGrid w:val="0"/>
        <w:spacing w:line="360" w:lineRule="auto"/>
        <w:ind w:right="480"/>
        <w:jc w:val="center"/>
        <w:rPr>
          <w:rFonts w:ascii="宋体" w:hAnsi="宋体" w:cs="宋体"/>
          <w:b/>
          <w:color w:val="auto"/>
          <w:kern w:val="0"/>
          <w:sz w:val="32"/>
          <w:szCs w:val="32"/>
          <w:highlight w:val="none"/>
        </w:rPr>
      </w:pPr>
    </w:p>
    <w:p w14:paraId="24300217">
      <w:pPr>
        <w:snapToGrid w:val="0"/>
        <w:spacing w:line="360" w:lineRule="auto"/>
        <w:ind w:right="480"/>
        <w:jc w:val="center"/>
        <w:rPr>
          <w:rFonts w:ascii="宋体" w:hAnsi="宋体" w:cs="宋体"/>
          <w:b/>
          <w:color w:val="auto"/>
          <w:kern w:val="0"/>
          <w:sz w:val="32"/>
          <w:szCs w:val="32"/>
          <w:highlight w:val="none"/>
        </w:rPr>
      </w:pPr>
    </w:p>
    <w:p w14:paraId="1FAE522B">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5" w:h="16838"/>
          <w:pgMar w:top="1417" w:right="1417" w:bottom="1417" w:left="1417" w:header="851" w:footer="850" w:gutter="0"/>
          <w:pgNumType w:fmt="decimal"/>
          <w:cols w:space="0" w:num="1"/>
          <w:rtlGutter w:val="0"/>
          <w:docGrid w:linePitch="312" w:charSpace="0"/>
        </w:sectPr>
      </w:pPr>
    </w:p>
    <w:p w14:paraId="006F57A6">
      <w:pPr>
        <w:pStyle w:val="85"/>
        <w:jc w:val="center"/>
        <w:rPr>
          <w:b/>
          <w:color w:val="auto"/>
          <w:sz w:val="32"/>
          <w:szCs w:val="32"/>
          <w:highlight w:val="none"/>
        </w:rPr>
      </w:pPr>
      <w:r>
        <w:rPr>
          <w:rFonts w:hint="eastAsia"/>
          <w:b/>
          <w:color w:val="auto"/>
          <w:sz w:val="32"/>
          <w:szCs w:val="32"/>
          <w:highlight w:val="none"/>
        </w:rPr>
        <w:t>一、开标一览表（报价表）</w:t>
      </w:r>
    </w:p>
    <w:p w14:paraId="09AD94F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eastAsia="zh-CN"/>
        </w:rPr>
        <w:t>招标人</w:t>
      </w:r>
      <w:r>
        <w:rPr>
          <w:rFonts w:hint="eastAsia" w:ascii="宋体" w:hAnsi="宋体" w:cs="宋体"/>
          <w:color w:val="auto"/>
          <w:sz w:val="24"/>
          <w:highlight w:val="none"/>
        </w:rPr>
        <w:t>）、（采购代理机构）</w:t>
      </w:r>
      <w:r>
        <w:rPr>
          <w:rFonts w:hint="eastAsia" w:ascii="宋体" w:hAnsi="宋体" w:cs="宋体"/>
          <w:color w:val="auto"/>
          <w:kern w:val="0"/>
          <w:sz w:val="24"/>
          <w:highlight w:val="none"/>
          <w:lang w:val="zh-CN"/>
        </w:rPr>
        <w:t>：</w:t>
      </w:r>
    </w:p>
    <w:p w14:paraId="2EF0F5DA">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6460B440">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3"/>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05"/>
        <w:gridCol w:w="1252"/>
      </w:tblGrid>
      <w:tr w14:paraId="4C48B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0E1DF93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56688C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01D3BA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959BA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3E5A333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DE750B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8EB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56133C5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5B7935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北海市海洋监管综合执法指挥平台</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0598BC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1套</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75035B62">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70AA702F">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C8AB5F2">
            <w:pPr>
              <w:spacing w:line="360" w:lineRule="auto"/>
              <w:rPr>
                <w:rFonts w:hint="eastAsia" w:ascii="宋体" w:hAnsi="宋体" w:eastAsia="宋体" w:cs="宋体"/>
                <w:color w:val="auto"/>
                <w:sz w:val="24"/>
                <w:szCs w:val="24"/>
                <w:highlight w:val="none"/>
              </w:rPr>
            </w:pPr>
          </w:p>
        </w:tc>
      </w:tr>
      <w:tr w14:paraId="2E47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89623D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C4147FC">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配套数据服务及数据库软件</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4EBFEB5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68EB2FC">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08BAB561">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51CC919">
            <w:pPr>
              <w:spacing w:line="360" w:lineRule="auto"/>
              <w:jc w:val="center"/>
              <w:rPr>
                <w:rFonts w:hint="eastAsia" w:ascii="宋体" w:hAnsi="宋体" w:eastAsia="宋体" w:cs="宋体"/>
                <w:color w:val="auto"/>
                <w:sz w:val="24"/>
                <w:szCs w:val="24"/>
                <w:highlight w:val="none"/>
              </w:rPr>
            </w:pPr>
          </w:p>
        </w:tc>
      </w:tr>
      <w:tr w14:paraId="0A01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154B2D9C">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51D8F9A">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海图服务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4508B9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114604CA">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4A2B837E">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2AFD3CD">
            <w:pPr>
              <w:spacing w:line="360" w:lineRule="auto"/>
              <w:rPr>
                <w:rFonts w:hint="eastAsia" w:ascii="宋体" w:hAnsi="宋体" w:eastAsia="宋体" w:cs="宋体"/>
                <w:color w:val="auto"/>
                <w:sz w:val="24"/>
                <w:szCs w:val="24"/>
                <w:highlight w:val="none"/>
              </w:rPr>
            </w:pPr>
          </w:p>
        </w:tc>
      </w:tr>
      <w:tr w14:paraId="3D41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1C357AA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8941292">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数据服务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73055D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1项</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1707F57A">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2F5BF0DF">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B903BA8">
            <w:pPr>
              <w:spacing w:line="360" w:lineRule="auto"/>
              <w:rPr>
                <w:rFonts w:hint="eastAsia" w:ascii="宋体" w:hAnsi="宋体" w:eastAsia="宋体" w:cs="宋体"/>
                <w:color w:val="auto"/>
                <w:sz w:val="24"/>
                <w:szCs w:val="24"/>
                <w:highlight w:val="none"/>
              </w:rPr>
            </w:pPr>
          </w:p>
        </w:tc>
      </w:tr>
      <w:tr w14:paraId="6DC8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61744AF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B323AC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国产数据库软件</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24F8F76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2套</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76A21280">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31E1507D">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2FD4F2">
            <w:pPr>
              <w:spacing w:line="360" w:lineRule="auto"/>
              <w:rPr>
                <w:rFonts w:hint="eastAsia" w:ascii="宋体" w:hAnsi="宋体" w:eastAsia="宋体" w:cs="宋体"/>
                <w:color w:val="auto"/>
                <w:sz w:val="24"/>
                <w:szCs w:val="24"/>
                <w:highlight w:val="none"/>
              </w:rPr>
            </w:pPr>
          </w:p>
        </w:tc>
      </w:tr>
      <w:tr w14:paraId="6AD2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5511C17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2E78549">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商用密码应用建设服务</w:t>
            </w:r>
          </w:p>
        </w:tc>
        <w:tc>
          <w:tcPr>
            <w:tcW w:w="15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E728D">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CBC10D">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49BBF1">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99956C8">
            <w:pPr>
              <w:spacing w:line="360" w:lineRule="auto"/>
              <w:rPr>
                <w:rFonts w:hint="eastAsia" w:ascii="宋体" w:hAnsi="宋体" w:eastAsia="宋体" w:cs="宋体"/>
                <w:color w:val="auto"/>
                <w:sz w:val="24"/>
                <w:szCs w:val="24"/>
                <w:highlight w:val="none"/>
              </w:rPr>
            </w:pPr>
          </w:p>
        </w:tc>
      </w:tr>
      <w:tr w14:paraId="76C9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4C91334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53FE24E6">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智能密码钥匙</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CDD8C5D">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3套</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18A617BE">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00FA72C0">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6BCA35D">
            <w:pPr>
              <w:spacing w:line="360" w:lineRule="auto"/>
              <w:rPr>
                <w:rFonts w:hint="eastAsia" w:ascii="宋体" w:hAnsi="宋体" w:eastAsia="宋体" w:cs="宋体"/>
                <w:color w:val="auto"/>
                <w:sz w:val="24"/>
                <w:szCs w:val="24"/>
                <w:highlight w:val="none"/>
              </w:rPr>
            </w:pPr>
          </w:p>
        </w:tc>
      </w:tr>
      <w:tr w14:paraId="5242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168F18C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DAA2C16">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用户个人数字证书</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4F4D16B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3个</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0A848E05">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3C92EFB6">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C4B0CCA">
            <w:pPr>
              <w:spacing w:line="360" w:lineRule="auto"/>
              <w:rPr>
                <w:rFonts w:hint="eastAsia" w:ascii="宋体" w:hAnsi="宋体" w:eastAsia="宋体" w:cs="宋体"/>
                <w:color w:val="auto"/>
                <w:sz w:val="24"/>
                <w:szCs w:val="24"/>
                <w:highlight w:val="none"/>
              </w:rPr>
            </w:pPr>
          </w:p>
        </w:tc>
      </w:tr>
      <w:tr w14:paraId="2973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564817F5">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A3BFA9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国密浏览器</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76193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3套</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148A58D1">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13CB82DE">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1C626C4">
            <w:pPr>
              <w:spacing w:line="360" w:lineRule="auto"/>
              <w:rPr>
                <w:rFonts w:hint="eastAsia" w:ascii="宋体" w:hAnsi="宋体" w:eastAsia="宋体" w:cs="宋体"/>
                <w:color w:val="auto"/>
                <w:sz w:val="24"/>
                <w:szCs w:val="24"/>
                <w:highlight w:val="none"/>
              </w:rPr>
            </w:pPr>
          </w:p>
        </w:tc>
      </w:tr>
      <w:tr w14:paraId="7BA9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61D79769">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62A4165">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平台运行维护服务</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996B6F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61452B1E">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5ED9D8F3">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138B4F9">
            <w:pPr>
              <w:spacing w:line="360" w:lineRule="auto"/>
              <w:rPr>
                <w:rFonts w:hint="eastAsia" w:ascii="宋体" w:hAnsi="宋体" w:eastAsia="宋体" w:cs="宋体"/>
                <w:color w:val="auto"/>
                <w:sz w:val="24"/>
                <w:szCs w:val="24"/>
                <w:highlight w:val="none"/>
              </w:rPr>
            </w:pPr>
          </w:p>
        </w:tc>
      </w:tr>
      <w:tr w14:paraId="2345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2C425708">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61A2195">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等保密评</w:t>
            </w:r>
          </w:p>
        </w:tc>
        <w:tc>
          <w:tcPr>
            <w:tcW w:w="152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5ED4B6">
            <w:pPr>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17287E">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w:t>
            </w:r>
          </w:p>
        </w:tc>
        <w:tc>
          <w:tcPr>
            <w:tcW w:w="16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0C8E94">
            <w:pPr>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64FDE9E">
            <w:pPr>
              <w:spacing w:line="360" w:lineRule="auto"/>
              <w:rPr>
                <w:rFonts w:hint="eastAsia" w:ascii="宋体" w:hAnsi="宋体" w:eastAsia="宋体" w:cs="宋体"/>
                <w:color w:val="auto"/>
                <w:sz w:val="24"/>
                <w:szCs w:val="24"/>
                <w:highlight w:val="none"/>
              </w:rPr>
            </w:pPr>
          </w:p>
        </w:tc>
      </w:tr>
      <w:tr w14:paraId="079B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6D233B74">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917BC85">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三级等保测评</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0BF768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1次</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39CC0E31">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536DB3E1">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14D7DAA">
            <w:pPr>
              <w:spacing w:line="360" w:lineRule="auto"/>
              <w:rPr>
                <w:rFonts w:hint="eastAsia" w:ascii="宋体" w:hAnsi="宋体" w:eastAsia="宋体" w:cs="宋体"/>
                <w:color w:val="auto"/>
                <w:sz w:val="24"/>
                <w:szCs w:val="24"/>
                <w:highlight w:val="none"/>
              </w:rPr>
            </w:pPr>
          </w:p>
        </w:tc>
      </w:tr>
      <w:tr w14:paraId="7549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40954D40">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2DD5748">
            <w:pPr>
              <w:widowControl/>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三级商用密码测评</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21B3722">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1次</w:t>
            </w:r>
          </w:p>
        </w:tc>
        <w:tc>
          <w:tcPr>
            <w:tcW w:w="1418" w:type="dxa"/>
            <w:tcBorders>
              <w:top w:val="single" w:color="auto" w:sz="4" w:space="0"/>
              <w:left w:val="single" w:color="auto" w:sz="4" w:space="0"/>
              <w:bottom w:val="single" w:color="auto" w:sz="4" w:space="0"/>
              <w:right w:val="single" w:color="auto" w:sz="4" w:space="0"/>
            </w:tcBorders>
            <w:noWrap w:val="0"/>
            <w:vAlign w:val="top"/>
          </w:tcPr>
          <w:p w14:paraId="6E0E63AB">
            <w:pPr>
              <w:spacing w:line="360" w:lineRule="auto"/>
              <w:rPr>
                <w:rFonts w:hint="eastAsia" w:ascii="宋体" w:hAnsi="宋体" w:eastAsia="宋体" w:cs="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noWrap w:val="0"/>
            <w:vAlign w:val="top"/>
          </w:tcPr>
          <w:p w14:paraId="02236B2D">
            <w:pPr>
              <w:spacing w:line="360" w:lineRule="auto"/>
              <w:rPr>
                <w:rFonts w:hint="eastAsia" w:ascii="宋体" w:hAnsi="宋体" w:eastAsia="宋体" w:cs="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6D956BB">
            <w:pPr>
              <w:spacing w:line="360" w:lineRule="auto"/>
              <w:rPr>
                <w:rFonts w:hint="eastAsia" w:ascii="宋体" w:hAnsi="宋体" w:eastAsia="宋体" w:cs="宋体"/>
                <w:color w:val="auto"/>
                <w:sz w:val="24"/>
                <w:szCs w:val="24"/>
                <w:highlight w:val="none"/>
              </w:rPr>
            </w:pPr>
          </w:p>
        </w:tc>
      </w:tr>
      <w:tr w14:paraId="2226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520" w:type="dxa"/>
            <w:gridSpan w:val="6"/>
            <w:tcBorders>
              <w:top w:val="single" w:color="auto" w:sz="4" w:space="0"/>
              <w:left w:val="single" w:color="auto" w:sz="4" w:space="0"/>
              <w:bottom w:val="single" w:color="auto" w:sz="4" w:space="0"/>
              <w:right w:val="single" w:color="auto" w:sz="4" w:space="0"/>
            </w:tcBorders>
            <w:noWrap w:val="0"/>
            <w:vAlign w:val="center"/>
          </w:tcPr>
          <w:p w14:paraId="7B50F907">
            <w:pPr>
              <w:snapToGrid w:val="0"/>
              <w:spacing w:before="50" w:after="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人民币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小写）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c>
      </w:tr>
    </w:tbl>
    <w:p w14:paraId="5282EEC0">
      <w:pPr>
        <w:snapToGrid w:val="0"/>
        <w:spacing w:line="360" w:lineRule="auto"/>
        <w:ind w:left="480"/>
        <w:rPr>
          <w:rFonts w:hint="eastAsia" w:ascii="宋体" w:hAnsi="宋体" w:cs="宋体"/>
          <w:b/>
          <w:color w:val="auto"/>
          <w:kern w:val="0"/>
          <w:sz w:val="24"/>
          <w:highlight w:val="none"/>
          <w:lang w:val="zh-CN"/>
        </w:rPr>
      </w:pPr>
    </w:p>
    <w:p w14:paraId="41ED7A4D">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43AE0204">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val="0"/>
          <w:bCs/>
          <w:color w:val="auto"/>
          <w:kern w:val="0"/>
          <w:sz w:val="24"/>
          <w:highlight w:val="none"/>
          <w:lang w:val="en-US" w:eastAsia="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不能接受的附加条件，投标无效</w:t>
      </w:r>
      <w:r>
        <w:rPr>
          <w:rFonts w:hint="eastAsia" w:ascii="宋体" w:hAnsi="宋体" w:cs="宋体"/>
          <w:color w:val="auto"/>
          <w:kern w:val="0"/>
          <w:sz w:val="24"/>
          <w:highlight w:val="none"/>
          <w:lang w:val="zh-CN"/>
        </w:rPr>
        <w:t>。</w:t>
      </w:r>
    </w:p>
    <w:p w14:paraId="75910CF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招标人将以合同形式有偿取得货物或服务，不接受投标人给予的赠品、回扣或者与采购无关的其他商品、服务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w:t>
      </w:r>
      <w:r>
        <w:rPr>
          <w:rFonts w:hint="eastAsia" w:ascii="宋体" w:hAnsi="宋体" w:cs="宋体"/>
          <w:b/>
          <w:color w:val="auto"/>
          <w:sz w:val="24"/>
          <w:highlight w:val="none"/>
          <w:lang w:eastAsia="zh-CN"/>
        </w:rPr>
        <w:t>招标人</w:t>
      </w:r>
      <w:r>
        <w:rPr>
          <w:rFonts w:hint="eastAsia" w:ascii="宋体" w:hAnsi="宋体" w:cs="宋体"/>
          <w:b/>
          <w:color w:val="auto"/>
          <w:sz w:val="24"/>
          <w:highlight w:val="none"/>
        </w:rPr>
        <w:t>不能接受的附加条件的，投标无效。</w:t>
      </w:r>
    </w:p>
    <w:p w14:paraId="1202466D">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3、特别提示：采购代理机构将对项目名称和项目编号，中标人名称、地址和中标金额，主要中标标的名称、服务范围、服务要求、服务时间、服务标准等予以公示。</w:t>
      </w:r>
    </w:p>
    <w:p w14:paraId="584D6F62">
      <w:pPr>
        <w:snapToGrid w:val="0"/>
        <w:spacing w:line="360" w:lineRule="auto"/>
        <w:ind w:firstLine="480" w:firstLineChars="200"/>
        <w:jc w:val="left"/>
        <w:rPr>
          <w:rFonts w:ascii="宋体" w:hAnsi="宋体" w:cs="宋体"/>
          <w:color w:val="auto"/>
          <w:kern w:val="0"/>
          <w:sz w:val="24"/>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31855582">
      <w:pPr>
        <w:autoSpaceDE w:val="0"/>
        <w:autoSpaceDN w:val="0"/>
        <w:spacing w:line="360" w:lineRule="auto"/>
        <w:ind w:left="4620" w:leftChars="2200" w:right="1119" w:rightChars="533" w:firstLine="4560" w:firstLineChars="1900"/>
        <w:jc w:val="left"/>
        <w:rPr>
          <w:rFonts w:ascii="宋体" w:hAnsi="宋体" w:cs="宋体"/>
          <w:color w:val="auto"/>
          <w:kern w:val="0"/>
          <w:sz w:val="24"/>
          <w:highlight w:val="none"/>
          <w:lang w:val="zh-CN"/>
        </w:rPr>
      </w:pPr>
    </w:p>
    <w:p w14:paraId="62DCB45A">
      <w:pP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投标人名称（公章）：</w:t>
      </w:r>
    </w:p>
    <w:p w14:paraId="0B6FAE03">
      <w:pPr>
        <w:spacing w:line="360" w:lineRule="auto"/>
        <w:ind w:firstLine="2400" w:firstLineChars="10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D909D2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A4ED059">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2307EFE5">
      <w:pPr>
        <w:pStyle w:val="692"/>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1905" w:h="16838"/>
          <w:pgMar w:top="1417" w:right="1417" w:bottom="1417" w:left="1417" w:header="851" w:footer="850" w:gutter="0"/>
          <w:pgNumType w:fmt="decimal"/>
          <w:cols w:space="0" w:num="1"/>
          <w:rtlGutter w:val="0"/>
          <w:docGrid w:linePitch="312" w:charSpace="0"/>
        </w:sectPr>
      </w:pPr>
    </w:p>
    <w:p w14:paraId="4A3D76B2">
      <w:pPr>
        <w:pStyle w:val="85"/>
        <w:jc w:val="center"/>
        <w:rPr>
          <w:b/>
          <w:color w:val="auto"/>
          <w:sz w:val="32"/>
          <w:szCs w:val="32"/>
          <w:highlight w:val="none"/>
        </w:rPr>
      </w:pPr>
      <w:r>
        <w:rPr>
          <w:rFonts w:hint="eastAsia"/>
          <w:b/>
          <w:color w:val="auto"/>
          <w:kern w:val="2"/>
          <w:sz w:val="32"/>
          <w:szCs w:val="32"/>
          <w:highlight w:val="none"/>
        </w:rPr>
        <w:t>二、</w:t>
      </w:r>
      <w:r>
        <w:rPr>
          <w:rFonts w:hint="eastAsia"/>
          <w:b/>
          <w:color w:val="auto"/>
          <w:kern w:val="2"/>
          <w:sz w:val="32"/>
          <w:szCs w:val="32"/>
          <w:highlight w:val="none"/>
          <w:lang w:val="en-US" w:eastAsia="zh-CN"/>
        </w:rPr>
        <w:t>中小企业声明函或者残疾人福利性单位声明函或者投标人属于监狱企业的证明材料（如有）</w:t>
      </w:r>
    </w:p>
    <w:p w14:paraId="1BA9DFDE">
      <w:pPr>
        <w:pStyle w:val="85"/>
        <w:rPr>
          <w:color w:val="auto"/>
          <w:highlight w:val="none"/>
        </w:rPr>
      </w:pPr>
    </w:p>
    <w:p w14:paraId="2D899429">
      <w:pPr>
        <w:spacing w:line="360" w:lineRule="auto"/>
        <w:jc w:val="center"/>
        <w:rPr>
          <w:rFonts w:ascii="宋体" w:hAnsi="宋体" w:cs="宋体"/>
          <w:b/>
          <w:color w:val="auto"/>
          <w:spacing w:val="6"/>
          <w:sz w:val="32"/>
          <w:szCs w:val="32"/>
          <w:highlight w:val="none"/>
        </w:rPr>
      </w:pPr>
      <w:bookmarkStart w:id="505" w:name="OLE_LINK14"/>
      <w:bookmarkStart w:id="506" w:name="OLE_LINK13"/>
      <w:r>
        <w:rPr>
          <w:rFonts w:hint="eastAsia" w:ascii="宋体" w:hAnsi="宋体" w:cs="宋体"/>
          <w:b/>
          <w:color w:val="auto"/>
          <w:spacing w:val="6"/>
          <w:sz w:val="32"/>
          <w:szCs w:val="32"/>
          <w:highlight w:val="none"/>
        </w:rPr>
        <w:t>残疾人福利性单位声明函</w:t>
      </w:r>
    </w:p>
    <w:bookmarkEnd w:id="505"/>
    <w:bookmarkEnd w:id="506"/>
    <w:p w14:paraId="6B81D253">
      <w:pPr>
        <w:spacing w:line="360" w:lineRule="auto"/>
        <w:rPr>
          <w:rFonts w:ascii="宋体" w:hAnsi="宋体" w:cs="宋体"/>
          <w:b/>
          <w:color w:val="auto"/>
          <w:spacing w:val="6"/>
          <w:sz w:val="30"/>
          <w:szCs w:val="30"/>
          <w:highlight w:val="none"/>
        </w:rPr>
      </w:pPr>
    </w:p>
    <w:p w14:paraId="789C66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招标人</w:t>
      </w:r>
      <w:r>
        <w:rPr>
          <w:rFonts w:hint="eastAsia" w:ascii="宋体" w:hAnsi="宋体" w:cs="宋体"/>
          <w:color w:val="auto"/>
          <w:sz w:val="24"/>
          <w:highlight w:val="none"/>
          <w:u w:val="single"/>
        </w:rPr>
        <w:t>)</w:t>
      </w:r>
      <w:r>
        <w:rPr>
          <w:rFonts w:hint="eastAsia" w:ascii="宋体" w:hAnsi="宋体" w:cs="宋体"/>
          <w:color w:val="auto"/>
          <w:sz w:val="24"/>
          <w:highlight w:val="none"/>
        </w:rPr>
        <w:t>单位的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872E7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3E5E36B">
      <w:pPr>
        <w:spacing w:line="360" w:lineRule="auto"/>
        <w:ind w:firstLine="480" w:firstLineChars="200"/>
        <w:rPr>
          <w:rFonts w:ascii="宋体" w:hAnsi="宋体" w:cs="宋体"/>
          <w:color w:val="auto"/>
          <w:sz w:val="24"/>
          <w:highlight w:val="none"/>
        </w:rPr>
      </w:pPr>
    </w:p>
    <w:p w14:paraId="2356B23E">
      <w:pPr>
        <w:spacing w:line="360" w:lineRule="auto"/>
        <w:ind w:firstLine="480" w:firstLineChars="200"/>
        <w:rPr>
          <w:rFonts w:ascii="宋体" w:hAnsi="宋体" w:cs="宋体"/>
          <w:color w:val="auto"/>
          <w:sz w:val="24"/>
          <w:highlight w:val="none"/>
        </w:rPr>
      </w:pPr>
    </w:p>
    <w:p w14:paraId="5B550313">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1A9311C6">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F2A8D6F">
      <w:pPr>
        <w:spacing w:line="360" w:lineRule="auto"/>
        <w:ind w:firstLine="480" w:firstLineChars="200"/>
        <w:rPr>
          <w:rFonts w:ascii="宋体" w:hAnsi="宋体" w:cs="宋体"/>
          <w:color w:val="auto"/>
          <w:sz w:val="24"/>
          <w:highlight w:val="none"/>
        </w:rPr>
      </w:pPr>
    </w:p>
    <w:p w14:paraId="564821E4">
      <w:pPr>
        <w:tabs>
          <w:tab w:val="left" w:pos="4860"/>
        </w:tabs>
        <w:spacing w:line="360" w:lineRule="auto"/>
        <w:ind w:right="1560" w:firstLine="480" w:firstLineChars="200"/>
        <w:jc w:val="center"/>
        <w:rPr>
          <w:rFonts w:ascii="宋体" w:hAnsi="宋体" w:cs="宋体"/>
          <w:color w:val="auto"/>
          <w:sz w:val="24"/>
          <w:highlight w:val="none"/>
        </w:rPr>
      </w:pPr>
    </w:p>
    <w:p w14:paraId="1D692455">
      <w:pPr>
        <w:spacing w:line="360" w:lineRule="auto"/>
        <w:ind w:firstLine="420" w:firstLineChars="200"/>
        <w:rPr>
          <w:rFonts w:ascii="宋体" w:hAnsi="宋体" w:cs="宋体"/>
          <w:color w:val="auto"/>
          <w:highlight w:val="none"/>
        </w:rPr>
      </w:pPr>
    </w:p>
    <w:p w14:paraId="0C81945F">
      <w:pPr>
        <w:spacing w:line="360" w:lineRule="auto"/>
        <w:ind w:firstLine="420" w:firstLineChars="200"/>
        <w:rPr>
          <w:rFonts w:ascii="宋体" w:hAnsi="宋体" w:cs="宋体"/>
          <w:color w:val="auto"/>
          <w:highlight w:val="none"/>
        </w:rPr>
      </w:pPr>
    </w:p>
    <w:p w14:paraId="3BE8B936">
      <w:pPr>
        <w:spacing w:line="360" w:lineRule="auto"/>
        <w:ind w:firstLine="420" w:firstLineChars="200"/>
        <w:rPr>
          <w:rFonts w:ascii="宋体" w:hAnsi="宋体" w:cs="宋体"/>
          <w:color w:val="auto"/>
          <w:highlight w:val="none"/>
        </w:rPr>
      </w:pPr>
    </w:p>
    <w:p w14:paraId="6B69E0CB">
      <w:pPr>
        <w:spacing w:line="360" w:lineRule="auto"/>
        <w:ind w:firstLine="420" w:firstLineChars="200"/>
        <w:rPr>
          <w:rFonts w:ascii="宋体" w:hAnsi="宋体" w:cs="宋体"/>
          <w:color w:val="auto"/>
          <w:highlight w:val="none"/>
        </w:rPr>
      </w:pPr>
    </w:p>
    <w:p w14:paraId="12343601">
      <w:pPr>
        <w:spacing w:line="360" w:lineRule="auto"/>
        <w:rPr>
          <w:rFonts w:ascii="宋体" w:hAnsi="宋体" w:cs="宋体"/>
          <w:b/>
          <w:color w:val="auto"/>
          <w:sz w:val="24"/>
          <w:highlight w:val="none"/>
        </w:rPr>
      </w:pPr>
    </w:p>
    <w:p w14:paraId="5720FB5F">
      <w:pPr>
        <w:spacing w:line="360" w:lineRule="auto"/>
        <w:rPr>
          <w:rFonts w:ascii="宋体" w:hAnsi="宋体" w:cs="宋体"/>
          <w:b/>
          <w:color w:val="auto"/>
          <w:sz w:val="24"/>
          <w:highlight w:val="none"/>
        </w:rPr>
      </w:pPr>
    </w:p>
    <w:p w14:paraId="5279622D">
      <w:pPr>
        <w:spacing w:line="360" w:lineRule="auto"/>
        <w:rPr>
          <w:rFonts w:ascii="宋体" w:hAnsi="宋体" w:cs="宋体"/>
          <w:b/>
          <w:color w:val="auto"/>
          <w:sz w:val="24"/>
          <w:highlight w:val="none"/>
        </w:rPr>
      </w:pPr>
    </w:p>
    <w:p w14:paraId="6B29B156">
      <w:pPr>
        <w:spacing w:line="360" w:lineRule="auto"/>
        <w:rPr>
          <w:rFonts w:ascii="宋体" w:hAnsi="宋体" w:cs="宋体"/>
          <w:b/>
          <w:color w:val="auto"/>
          <w:sz w:val="24"/>
          <w:highlight w:val="none"/>
        </w:rPr>
      </w:pPr>
    </w:p>
    <w:p w14:paraId="5C6F1844">
      <w:pPr>
        <w:spacing w:line="360" w:lineRule="auto"/>
        <w:rPr>
          <w:rFonts w:ascii="宋体" w:hAnsi="宋体" w:cs="宋体"/>
          <w:b/>
          <w:color w:val="auto"/>
          <w:sz w:val="24"/>
          <w:highlight w:val="none"/>
        </w:rPr>
      </w:pPr>
    </w:p>
    <w:p w14:paraId="3C87EB12">
      <w:pPr>
        <w:spacing w:line="360" w:lineRule="auto"/>
        <w:rPr>
          <w:rFonts w:ascii="宋体" w:hAnsi="宋体" w:cs="宋体"/>
          <w:b/>
          <w:color w:val="auto"/>
          <w:sz w:val="24"/>
          <w:highlight w:val="none"/>
        </w:rPr>
      </w:pPr>
    </w:p>
    <w:p w14:paraId="6C472043">
      <w:pPr>
        <w:autoSpaceDE w:val="0"/>
        <w:autoSpaceDN w:val="0"/>
        <w:jc w:val="center"/>
        <w:rPr>
          <w:rFonts w:ascii="宋体" w:hAnsi="宋体" w:cs="宋体"/>
          <w:b/>
          <w:color w:val="auto"/>
          <w:spacing w:val="6"/>
          <w:sz w:val="32"/>
          <w:szCs w:val="32"/>
          <w:highlight w:val="none"/>
        </w:rPr>
      </w:pPr>
    </w:p>
    <w:p w14:paraId="76469930">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478BFFBB">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0277EA04">
      <w:pPr>
        <w:spacing w:line="360" w:lineRule="auto"/>
        <w:jc w:val="center"/>
        <w:rPr>
          <w:rFonts w:cs="宋体" w:asciiTheme="minorEastAsia" w:hAnsiTheme="minorEastAsia" w:eastAsiaTheme="minorEastAsia"/>
          <w:b/>
          <w:color w:val="auto"/>
          <w:sz w:val="32"/>
          <w:szCs w:val="32"/>
          <w:highlight w:val="none"/>
        </w:rPr>
      </w:pPr>
    </w:p>
    <w:p w14:paraId="4565E0AB">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w:t>
      </w:r>
      <w:r>
        <w:rPr>
          <w:rFonts w:hint="eastAsia" w:cs="宋体" w:asciiTheme="minorEastAsia" w:hAnsiTheme="minorEastAsia" w:eastAsiaTheme="minorEastAsia"/>
          <w:color w:val="auto"/>
          <w:sz w:val="24"/>
          <w:highlight w:val="none"/>
          <w:u w:val="single"/>
          <w:lang w:eastAsia="zh-CN"/>
        </w:rPr>
        <w:t>招标人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32249C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305A05D2">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08245270">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6D141860">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24D89EAF">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727E254B">
      <w:pPr>
        <w:spacing w:line="360" w:lineRule="auto"/>
        <w:ind w:right="1760"/>
        <w:jc w:val="right"/>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en-US" w:eastAsia="zh-CN"/>
        </w:rPr>
        <w:t>投标人</w:t>
      </w:r>
      <w:r>
        <w:rPr>
          <w:rFonts w:hint="eastAsia" w:cs="仿宋_GB2312" w:asciiTheme="minorEastAsia" w:hAnsiTheme="minorEastAsia" w:eastAsiaTheme="minorEastAsia"/>
          <w:color w:val="auto"/>
          <w:kern w:val="0"/>
          <w:sz w:val="24"/>
          <w:highlight w:val="none"/>
          <w:lang w:val="zh-CN"/>
        </w:rPr>
        <w:t>名称(公章)</w:t>
      </w:r>
      <w:r>
        <w:rPr>
          <w:rFonts w:hint="eastAsia" w:cs="宋体" w:asciiTheme="minorEastAsia" w:hAnsiTheme="minorEastAsia" w:eastAsiaTheme="minorEastAsia"/>
          <w:color w:val="auto"/>
          <w:sz w:val="24"/>
          <w:highlight w:val="none"/>
        </w:rPr>
        <w:t>：</w:t>
      </w:r>
    </w:p>
    <w:p w14:paraId="46294E47">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71E5C343">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48B57456">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w:t>
      </w:r>
      <w:r>
        <w:rPr>
          <w:rFonts w:hint="eastAsia" w:cs="宋体" w:asciiTheme="minorEastAsia" w:hAnsiTheme="minorEastAsia" w:eastAsiaTheme="minorEastAsia"/>
          <w:color w:val="auto"/>
          <w:sz w:val="24"/>
          <w:highlight w:val="none"/>
          <w:lang w:val="en-US" w:eastAsia="zh-CN"/>
        </w:rPr>
        <w:t>采购</w:t>
      </w:r>
      <w:r>
        <w:rPr>
          <w:rFonts w:hint="eastAsia" w:cs="宋体" w:asciiTheme="minorEastAsia" w:hAnsiTheme="minorEastAsia" w:eastAsiaTheme="minorEastAsia"/>
          <w:color w:val="auto"/>
          <w:sz w:val="24"/>
          <w:highlight w:val="none"/>
        </w:rPr>
        <w:t>文件第</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部分</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提供的《中小企业声明函》与实际情况不符的或者未按以上要求填写的，中小企业声明函无效，不享受中小企业扶持政策。声明内容不实的，属于提供虚假材料谋取中标、成交的，依法承担法律责任。</w:t>
      </w:r>
    </w:p>
    <w:p w14:paraId="1BB3B0AA">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w:t>
      </w:r>
      <w:r>
        <w:rPr>
          <w:rFonts w:hint="eastAsia" w:cs="宋体" w:asciiTheme="minorEastAsia" w:hAnsiTheme="minorEastAsia" w:eastAsiaTheme="minorEastAsia"/>
          <w:color w:val="auto"/>
          <w:sz w:val="24"/>
          <w:highlight w:val="none"/>
          <w:lang w:eastAsia="zh-CN"/>
        </w:rPr>
        <w:t>投标人</w:t>
      </w:r>
      <w:r>
        <w:rPr>
          <w:rFonts w:hint="eastAsia" w:cs="宋体" w:asciiTheme="minorEastAsia" w:hAnsiTheme="minorEastAsia" w:eastAsiaTheme="minorEastAsia"/>
          <w:color w:val="auto"/>
          <w:sz w:val="24"/>
          <w:highlight w:val="none"/>
        </w:rPr>
        <w:t>提供由省级以上监狱管理局、戒毒管理局（含新疆生产建设兵团）出具的属于监狱企业证明文件的，视同为小型和微型企业。</w:t>
      </w:r>
    </w:p>
    <w:p w14:paraId="491507A2">
      <w:pPr>
        <w:spacing w:line="360" w:lineRule="auto"/>
        <w:jc w:val="center"/>
        <w:rPr>
          <w:rFonts w:ascii="宋体" w:hAnsi="宋体" w:cs="宋体"/>
          <w:color w:val="auto"/>
          <w:sz w:val="24"/>
          <w:highlight w:val="none"/>
          <w:u w:val="single"/>
        </w:rPr>
      </w:pPr>
    </w:p>
    <w:p w14:paraId="370801F0">
      <w:pPr>
        <w:rPr>
          <w:color w:val="auto"/>
          <w:highlight w:val="none"/>
        </w:rPr>
      </w:pPr>
    </w:p>
    <w:p w14:paraId="0CA7F8AB">
      <w:pPr>
        <w:rPr>
          <w:color w:val="auto"/>
          <w:highlight w:val="none"/>
        </w:rPr>
      </w:pPr>
    </w:p>
    <w:p w14:paraId="30985C43">
      <w:pPr>
        <w:rPr>
          <w:color w:val="auto"/>
          <w:highlight w:val="none"/>
        </w:rPr>
      </w:pPr>
    </w:p>
    <w:p w14:paraId="4729E56C">
      <w:pPr>
        <w:rPr>
          <w:color w:val="auto"/>
          <w:highlight w:val="none"/>
        </w:rPr>
      </w:pPr>
    </w:p>
    <w:p w14:paraId="1AE99040">
      <w:pPr>
        <w:rPr>
          <w:color w:val="auto"/>
          <w:highlight w:val="none"/>
        </w:rPr>
      </w:pPr>
    </w:p>
    <w:p w14:paraId="01059E1F">
      <w:pPr>
        <w:rPr>
          <w:color w:val="auto"/>
          <w:highlight w:val="none"/>
        </w:rPr>
      </w:pPr>
    </w:p>
    <w:p w14:paraId="62C49D8B">
      <w:pPr>
        <w:rPr>
          <w:color w:val="auto"/>
          <w:highlight w:val="none"/>
        </w:rPr>
      </w:pPr>
    </w:p>
    <w:p w14:paraId="78A27108">
      <w:pPr>
        <w:rPr>
          <w:color w:val="auto"/>
          <w:highlight w:val="none"/>
        </w:rPr>
      </w:pPr>
    </w:p>
    <w:p w14:paraId="0580DC8D">
      <w:pPr>
        <w:rPr>
          <w:color w:val="auto"/>
          <w:highlight w:val="none"/>
        </w:rPr>
      </w:pPr>
    </w:p>
    <w:p w14:paraId="2AE82D64">
      <w:pPr>
        <w:pStyle w:val="85"/>
        <w:jc w:val="center"/>
        <w:rPr>
          <w:rFonts w:hint="eastAsia" w:ascii="宋体" w:hAnsi="宋体" w:eastAsia="宋体" w:cs="Times New Roman"/>
          <w:b/>
          <w:color w:val="auto"/>
          <w:kern w:val="2"/>
          <w:sz w:val="32"/>
          <w:szCs w:val="32"/>
          <w:highlight w:val="none"/>
          <w:lang w:val="en-US" w:eastAsia="zh-CN"/>
        </w:rPr>
      </w:pPr>
      <w:r>
        <w:rPr>
          <w:rFonts w:hint="eastAsia" w:ascii="宋体" w:hAnsi="宋体" w:eastAsia="宋体" w:cs="Times New Roman"/>
          <w:b/>
          <w:color w:val="auto"/>
          <w:kern w:val="2"/>
          <w:sz w:val="32"/>
          <w:szCs w:val="32"/>
          <w:highlight w:val="none"/>
          <w:lang w:val="en-US" w:eastAsia="zh-CN"/>
        </w:rPr>
        <w:t>三、投标人认为需要提供的其他文件</w:t>
      </w:r>
    </w:p>
    <w:p w14:paraId="78952190">
      <w:pPr>
        <w:spacing w:line="360" w:lineRule="auto"/>
        <w:ind w:right="420"/>
        <w:rPr>
          <w:rFonts w:ascii="宋体" w:hAnsi="宋体" w:cs="宋体"/>
          <w:color w:val="auto"/>
          <w:highlight w:val="none"/>
        </w:rPr>
      </w:pPr>
    </w:p>
    <w:p w14:paraId="009C62E1">
      <w:pPr>
        <w:spacing w:line="360" w:lineRule="auto"/>
        <w:rPr>
          <w:rFonts w:ascii="宋体" w:hAnsi="宋体" w:cs="宋体"/>
          <w:bCs/>
          <w:color w:val="auto"/>
          <w:sz w:val="24"/>
          <w:highlight w:val="none"/>
        </w:rPr>
      </w:pPr>
    </w:p>
    <w:sectPr>
      <w:headerReference r:id="rId21" w:type="first"/>
      <w:footerReference r:id="rId24" w:type="first"/>
      <w:headerReference r:id="rId20" w:type="default"/>
      <w:footerReference r:id="rId22" w:type="default"/>
      <w:footerReference r:id="rId23" w:type="even"/>
      <w:pgSz w:w="11905" w:h="16838"/>
      <w:pgMar w:top="1417" w:right="1417" w:bottom="1417" w:left="1417" w:header="851" w:footer="85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9DD55">
    <w:pPr>
      <w:rPr>
        <w:rFonts w:ascii="仿宋_GB2312" w:eastAsia="仿宋_GB231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855C1">
                          <w:pPr>
                            <w:pStyle w:val="4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F855C1">
                    <w:pPr>
                      <w:pStyle w:val="4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9548E">
    <w:pPr>
      <w:pStyle w:val="41"/>
      <w:framePr w:wrap="around" w:vAnchor="text" w:hAnchor="margin" w:xAlign="right" w:y="1"/>
      <w:rPr>
        <w:rStyle w:val="73"/>
      </w:rPr>
    </w:pPr>
    <w:r>
      <w:fldChar w:fldCharType="begin"/>
    </w:r>
    <w:r>
      <w:rPr>
        <w:rStyle w:val="73"/>
      </w:rPr>
      <w:instrText xml:space="preserve">PAGE  </w:instrText>
    </w:r>
    <w:r>
      <w:fldChar w:fldCharType="end"/>
    </w:r>
  </w:p>
  <w:p w14:paraId="266EFCB2">
    <w:pPr>
      <w:pStyle w:val="41"/>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1191F">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68</w:t>
    </w:r>
    <w:r>
      <w:rPr>
        <w:rFonts w:hint="eastAsia" w:ascii="仿宋_GB2312" w:eastAsia="仿宋_GB2312"/>
        <w:kern w:val="0"/>
        <w:sz w:val="21"/>
        <w:szCs w:val="21"/>
      </w:rPr>
      <w:fldChar w:fldCharType="end"/>
    </w:r>
    <w:bookmarkStart w:id="507" w:name="_Toc91899912"/>
    <w:bookmarkStart w:id="508" w:name="_Toc131845147"/>
    <w:bookmarkStart w:id="509" w:name="_Toc164085800"/>
    <w:bookmarkStart w:id="510" w:name="_Toc36110187"/>
    <w:r>
      <w:rPr>
        <w:rFonts w:hint="eastAsia" w:ascii="仿宋_GB2312" w:eastAsia="仿宋_GB2312"/>
        <w:kern w:val="0"/>
        <w:sz w:val="21"/>
        <w:szCs w:val="21"/>
      </w:rPr>
      <w:t xml:space="preserve"> 页</w:t>
    </w:r>
    <w:bookmarkEnd w:id="507"/>
    <w:bookmarkEnd w:id="508"/>
    <w:bookmarkEnd w:id="509"/>
    <w:bookmarkEnd w:id="51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D31AE">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40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E2FEB3D">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3D435">
    <w:pPr>
      <w:rPr>
        <w:rFonts w:ascii="仿宋_GB2312" w:eastAsia="仿宋_GB23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DD0C2D">
                          <w:pPr>
                            <w:pStyle w:val="41"/>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1DD0C2D">
                    <w:pPr>
                      <w:pStyle w:val="41"/>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648D">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406BDBA6">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E8901">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9216DD">
                          <w:pPr>
                            <w:pStyle w:val="41"/>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9216DD">
                    <w:pPr>
                      <w:pStyle w:val="41"/>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0951D">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59</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3478D0DC">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F07DD">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164C8">
                          <w:pPr>
                            <w:pStyle w:val="41"/>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F164C8">
                    <w:pPr>
                      <w:pStyle w:val="41"/>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B3FE2">
    <w:pPr>
      <w:pStyle w:val="41"/>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80</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6FDBFB04">
    <w:pPr>
      <w:rPr>
        <w:rFonts w:ascii="仿宋_GB2312" w:eastAsia="仿宋_GB2312"/>
        <w:szCs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857FC">
    <w:pPr>
      <w:pStyle w:val="41"/>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71AEB">
                          <w:pPr>
                            <w:pStyle w:val="41"/>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471AEB">
                    <w:pPr>
                      <w:pStyle w:val="41"/>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860C0">
    <w:pPr>
      <w:pStyle w:val="4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EBD4A">
    <w:pPr>
      <w:pStyle w:val="42"/>
      <w:pBdr>
        <w:bottom w:val="none" w:color="auto" w:sz="0" w:space="1"/>
      </w:pBdr>
      <w:jc w:val="right"/>
      <w:rPr>
        <w:rFonts w:ascii="仿宋_GB2312" w:eastAsia="仿宋_GB2312"/>
        <w:b/>
        <w:i/>
        <w:iCs/>
        <w:u w:val="single"/>
      </w:rPr>
    </w:pPr>
    <w:r>
      <w:t></w:t>
    </w:r>
    <w:r>
      <w:rPr>
        <w:sz w:val="21"/>
        <w:szCs w:val="21"/>
      </w:rPr>
      <w: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291DF">
    <w:pPr>
      <w:pStyle w:val="42"/>
    </w:pP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C15CC">
    <w:pPr>
      <w:pStyle w:val="42"/>
      <w:pBdr>
        <w:bottom w:val="none" w:color="auto" w:sz="0" w:space="1"/>
      </w:pBdr>
      <w:tabs>
        <w:tab w:val="left" w:pos="6468"/>
        <w:tab w:val="right" w:pos="11891"/>
      </w:tabs>
      <w:jc w:val="left"/>
      <w:rPr>
        <w:rFonts w:ascii="仿宋_GB2312" w:eastAsia="仿宋_GB2312"/>
        <w:b/>
        <w:i/>
        <w:u w:val="single"/>
      </w:rPr>
    </w:pPr>
    <w:r>
      <w:rPr>
        <w:rFonts w:hint="eastAsia"/>
        <w:lang w:eastAsia="zh-CN"/>
      </w:rPr>
      <w:tab/>
    </w:r>
    <w:r>
      <w:rPr>
        <w:rFonts w:hint="eastAsia"/>
        <w:lang w:eastAsia="zh-CN"/>
      </w:rPr>
      <w:tab/>
    </w:r>
    <w:r>
      <w:rPr>
        <w:rFonts w:hint="eastAsia"/>
        <w:lang w:eastAsia="zh-CN"/>
      </w:rPr>
      <w:tab/>
    </w:r>
    <w:r>
      <w:t></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9FAC6">
    <w:pPr>
      <w:pStyle w:val="42"/>
    </w:pPr>
    <w:r>
      <w:t></w:t>
    </w:r>
    <w:r>
      <w:rPr>
        <w:rFonts w:hint="eastAsia"/>
      </w:rPr>
      <w:t xml:space="preserve">         </w:t>
    </w:r>
  </w:p>
  <w:p w14:paraId="668D8B41">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3B045">
    <w:pPr>
      <w:pStyle w:val="42"/>
      <w:pBdr>
        <w:bottom w:val="none" w:color="auto" w:sz="0" w:space="1"/>
      </w:pBdr>
      <w:jc w:val="right"/>
      <w:rPr>
        <w:rFonts w:ascii="仿宋_GB2312" w:eastAsia="仿宋_GB2312"/>
        <w:b/>
        <w:i/>
        <w:u w:val="single"/>
      </w:rPr>
    </w:pPr>
    <w:r>
      <w:t></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53627">
    <w:pPr>
      <w:pStyle w:val="42"/>
    </w:pPr>
    <w:r>
      <w:t></w:t>
    </w:r>
    <w:r>
      <w:rPr>
        <w:rFonts w:hint="eastAsia"/>
      </w:rPr>
      <w:t xml:space="preserve">         </w:t>
    </w:r>
  </w:p>
  <w:p w14:paraId="16BD1ABC">
    <w:pPr>
      <w:pStyle w:val="4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CC69A">
    <w:pPr>
      <w:pStyle w:val="42"/>
      <w:pBdr>
        <w:bottom w:val="none" w:color="auto" w:sz="0" w:space="1"/>
      </w:pBdr>
      <w:rPr>
        <w:rFonts w:ascii="仿宋_GB2312" w:eastAsia="仿宋_GB2312"/>
        <w:b/>
        <w:i/>
        <w:u w:val="single"/>
      </w:rPr>
    </w:pPr>
    <w:r>
      <w:t></w:t>
    </w:r>
    <w:r>
      <w:rPr>
        <w:rFonts w:hint="eastAsia"/>
      </w:rPr>
      <w:t xml:space="preserve">                                               </w:t>
    </w:r>
  </w:p>
  <w:p w14:paraId="34938553">
    <w:pPr>
      <w:pBdr>
        <w:bottom w:val="none" w:color="auto" w:sz="0" w:space="0"/>
      </w:pBd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971EF">
    <w:pPr>
      <w:pStyle w:val="42"/>
      <w:jc w:val="right"/>
    </w:pP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5B9E">
    <w:pPr>
      <w:pStyle w:val="42"/>
      <w:pBdr>
        <w:bottom w:val="none" w:color="auto" w:sz="0" w:space="1"/>
      </w:pBdr>
      <w:jc w:val="right"/>
      <w:rPr>
        <w:rFonts w:ascii="仿宋_GB2312" w:eastAsia="仿宋_GB2312"/>
        <w:b/>
        <w:i/>
        <w:sz w:val="21"/>
        <w:szCs w:val="21"/>
        <w:u w:val="single"/>
      </w:rPr>
    </w:pPr>
    <w:r>
      <w:rPr>
        <w:rFonts w:hint="eastAsia"/>
      </w:rPr>
      <w:t xml:space="preserve">                                </w:t>
    </w:r>
  </w:p>
  <w:p w14:paraId="740D9240">
    <w:pPr>
      <w:pBdr>
        <w:bottom w:val="none" w:color="auto" w:sz="0" w:space="0"/>
      </w:pBd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0BEE1">
    <w:pPr>
      <w:pStyle w:val="42"/>
      <w:jc w:val="right"/>
      <w:rPr>
        <w:sz w:val="21"/>
        <w:szCs w:val="21"/>
      </w:rPr>
    </w:pPr>
    <w:r>
      <w:rPr>
        <w:rFonts w:hint="eastAsia"/>
      </w:rPr>
      <w:t xml:space="preserve">                                                                                                        </w:t>
    </w:r>
    <w:r>
      <w:rPr>
        <w:sz w:val="21"/>
        <w:szCs w:val="21"/>
      </w:rPr>
      <w:t>北海市政府采购公开招标文件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88D8A"/>
    <w:multiLevelType w:val="singleLevel"/>
    <w:tmpl w:val="D6388D8A"/>
    <w:lvl w:ilvl="0" w:tentative="0">
      <w:start w:val="1"/>
      <w:numFmt w:val="chineseCounting"/>
      <w:suff w:val="nothing"/>
      <w:lvlText w:val="（%1）"/>
      <w:lvlJc w:val="left"/>
      <w:rPr>
        <w:rFonts w:hint="eastAsia"/>
      </w:rPr>
    </w:lvl>
  </w:abstractNum>
  <w:abstractNum w:abstractNumId="1">
    <w:nsid w:val="E0D454A5"/>
    <w:multiLevelType w:val="singleLevel"/>
    <w:tmpl w:val="E0D454A5"/>
    <w:lvl w:ilvl="0" w:tentative="0">
      <w:start w:val="9"/>
      <w:numFmt w:val="decimal"/>
      <w:suff w:val="nothing"/>
      <w:lvlText w:val="%1、"/>
      <w:lvlJc w:val="left"/>
    </w:lvl>
  </w:abstractNum>
  <w:abstractNum w:abstractNumId="2">
    <w:nsid w:val="EB6A6E14"/>
    <w:multiLevelType w:val="singleLevel"/>
    <w:tmpl w:val="EB6A6E14"/>
    <w:lvl w:ilvl="0" w:tentative="0">
      <w:start w:val="1"/>
      <w:numFmt w:val="decimal"/>
      <w:suff w:val="nothing"/>
      <w:lvlText w:val="%1、"/>
      <w:lvlJc w:val="left"/>
    </w:lvl>
  </w:abstractNum>
  <w:abstractNum w:abstractNumId="3">
    <w:nsid w:val="046D882B"/>
    <w:multiLevelType w:val="singleLevel"/>
    <w:tmpl w:val="046D882B"/>
    <w:lvl w:ilvl="0" w:tentative="0">
      <w:start w:val="3"/>
      <w:numFmt w:val="chineseCounting"/>
      <w:suff w:val="nothing"/>
      <w:lvlText w:val="%1、"/>
      <w:lvlJc w:val="left"/>
      <w:rPr>
        <w:rFonts w:hint="eastAsia"/>
      </w:rPr>
    </w:lvl>
  </w:abstractNum>
  <w:abstractNum w:abstractNumId="4">
    <w:nsid w:val="263D6528"/>
    <w:multiLevelType w:val="singleLevel"/>
    <w:tmpl w:val="263D6528"/>
    <w:lvl w:ilvl="0" w:tentative="0">
      <w:start w:val="1"/>
      <w:numFmt w:val="decimal"/>
      <w:suff w:val="nothing"/>
      <w:lvlText w:val="（%1）"/>
      <w:lvlJc w:val="left"/>
    </w:lvl>
  </w:abstractNum>
  <w:abstractNum w:abstractNumId="5">
    <w:nsid w:val="59EB6313"/>
    <w:multiLevelType w:val="singleLevel"/>
    <w:tmpl w:val="59EB6313"/>
    <w:lvl w:ilvl="0" w:tentative="0">
      <w:start w:val="1"/>
      <w:numFmt w:val="decimal"/>
      <w:suff w:val="nothing"/>
      <w:lvlText w:val="%1、"/>
      <w:lvlJc w:val="left"/>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mR58VyIDEAes439Fne/Bw1iMcNc=" w:salt="k/LqeL4xWq+mXakrnuNEGA=="/>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2B7"/>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465"/>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41"/>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0F3B4F"/>
    <w:rsid w:val="011F6449"/>
    <w:rsid w:val="01236AFB"/>
    <w:rsid w:val="01276727"/>
    <w:rsid w:val="019F7441"/>
    <w:rsid w:val="01B37585"/>
    <w:rsid w:val="01D55165"/>
    <w:rsid w:val="01DC7512"/>
    <w:rsid w:val="01DF6BF8"/>
    <w:rsid w:val="01EC2C57"/>
    <w:rsid w:val="01F377B8"/>
    <w:rsid w:val="02296E92"/>
    <w:rsid w:val="025F0711"/>
    <w:rsid w:val="026B2E25"/>
    <w:rsid w:val="02824D4D"/>
    <w:rsid w:val="028D7421"/>
    <w:rsid w:val="02A824AD"/>
    <w:rsid w:val="02DC4B10"/>
    <w:rsid w:val="02DD76CE"/>
    <w:rsid w:val="02F36323"/>
    <w:rsid w:val="02F5619C"/>
    <w:rsid w:val="03062D2F"/>
    <w:rsid w:val="0326446A"/>
    <w:rsid w:val="032D5555"/>
    <w:rsid w:val="036634D2"/>
    <w:rsid w:val="03A569EC"/>
    <w:rsid w:val="03B46384"/>
    <w:rsid w:val="03B56796"/>
    <w:rsid w:val="03DD35E4"/>
    <w:rsid w:val="04076900"/>
    <w:rsid w:val="041A5A3B"/>
    <w:rsid w:val="042311BA"/>
    <w:rsid w:val="042B157A"/>
    <w:rsid w:val="0456514D"/>
    <w:rsid w:val="0462668B"/>
    <w:rsid w:val="048F763B"/>
    <w:rsid w:val="049F330E"/>
    <w:rsid w:val="04AA775C"/>
    <w:rsid w:val="04AF1889"/>
    <w:rsid w:val="04F66F48"/>
    <w:rsid w:val="05251E14"/>
    <w:rsid w:val="05391AC6"/>
    <w:rsid w:val="05445D91"/>
    <w:rsid w:val="054D1275"/>
    <w:rsid w:val="05A16594"/>
    <w:rsid w:val="05A7762D"/>
    <w:rsid w:val="05B64EE1"/>
    <w:rsid w:val="05D22D9C"/>
    <w:rsid w:val="060077E8"/>
    <w:rsid w:val="060E5941"/>
    <w:rsid w:val="06110FAF"/>
    <w:rsid w:val="06493CA7"/>
    <w:rsid w:val="065A6178"/>
    <w:rsid w:val="066F1CF3"/>
    <w:rsid w:val="06930BB8"/>
    <w:rsid w:val="06A30B9A"/>
    <w:rsid w:val="06BE35C9"/>
    <w:rsid w:val="07245D42"/>
    <w:rsid w:val="07264C62"/>
    <w:rsid w:val="0779354C"/>
    <w:rsid w:val="07AC659B"/>
    <w:rsid w:val="07CC56E3"/>
    <w:rsid w:val="07E06245"/>
    <w:rsid w:val="08061376"/>
    <w:rsid w:val="08452D77"/>
    <w:rsid w:val="086401F8"/>
    <w:rsid w:val="086A1421"/>
    <w:rsid w:val="08751CAA"/>
    <w:rsid w:val="087E4C40"/>
    <w:rsid w:val="08A871D0"/>
    <w:rsid w:val="08D66AD6"/>
    <w:rsid w:val="08DA33A3"/>
    <w:rsid w:val="08E80F13"/>
    <w:rsid w:val="09335624"/>
    <w:rsid w:val="0944690F"/>
    <w:rsid w:val="0949606C"/>
    <w:rsid w:val="09535675"/>
    <w:rsid w:val="095F057D"/>
    <w:rsid w:val="09642282"/>
    <w:rsid w:val="09733572"/>
    <w:rsid w:val="09772C16"/>
    <w:rsid w:val="098353B5"/>
    <w:rsid w:val="098F7F23"/>
    <w:rsid w:val="09A92330"/>
    <w:rsid w:val="09B06B87"/>
    <w:rsid w:val="09C07B31"/>
    <w:rsid w:val="09C13146"/>
    <w:rsid w:val="09E04166"/>
    <w:rsid w:val="0A1C0718"/>
    <w:rsid w:val="0A3E7710"/>
    <w:rsid w:val="0A5B7E63"/>
    <w:rsid w:val="0AA374A5"/>
    <w:rsid w:val="0AAB7649"/>
    <w:rsid w:val="0ABC5606"/>
    <w:rsid w:val="0AEE6ECB"/>
    <w:rsid w:val="0B183F48"/>
    <w:rsid w:val="0B195FA1"/>
    <w:rsid w:val="0B2D5087"/>
    <w:rsid w:val="0B30404E"/>
    <w:rsid w:val="0B4C6C14"/>
    <w:rsid w:val="0B547599"/>
    <w:rsid w:val="0B631A88"/>
    <w:rsid w:val="0B6574A7"/>
    <w:rsid w:val="0B683D45"/>
    <w:rsid w:val="0B704644"/>
    <w:rsid w:val="0B7F3F11"/>
    <w:rsid w:val="0B884417"/>
    <w:rsid w:val="0BCD088E"/>
    <w:rsid w:val="0BCD270E"/>
    <w:rsid w:val="0BD031C8"/>
    <w:rsid w:val="0BF6188C"/>
    <w:rsid w:val="0BF73C91"/>
    <w:rsid w:val="0C104C1F"/>
    <w:rsid w:val="0C170175"/>
    <w:rsid w:val="0C2A7A8F"/>
    <w:rsid w:val="0C571A41"/>
    <w:rsid w:val="0C5C1171"/>
    <w:rsid w:val="0C5E1CBC"/>
    <w:rsid w:val="0C615B50"/>
    <w:rsid w:val="0C8445DA"/>
    <w:rsid w:val="0C87121B"/>
    <w:rsid w:val="0CC007F7"/>
    <w:rsid w:val="0CC617AC"/>
    <w:rsid w:val="0CE618DF"/>
    <w:rsid w:val="0CFE707A"/>
    <w:rsid w:val="0D063BDA"/>
    <w:rsid w:val="0D08375F"/>
    <w:rsid w:val="0D184CFB"/>
    <w:rsid w:val="0D4A7419"/>
    <w:rsid w:val="0D4F144C"/>
    <w:rsid w:val="0D827401"/>
    <w:rsid w:val="0D84094E"/>
    <w:rsid w:val="0D8A00E9"/>
    <w:rsid w:val="0D8D589E"/>
    <w:rsid w:val="0DA01C73"/>
    <w:rsid w:val="0DD63300"/>
    <w:rsid w:val="0DF50604"/>
    <w:rsid w:val="0DF702FE"/>
    <w:rsid w:val="0E060E51"/>
    <w:rsid w:val="0E4A4418"/>
    <w:rsid w:val="0E5604B2"/>
    <w:rsid w:val="0E6D5D79"/>
    <w:rsid w:val="0E9D0089"/>
    <w:rsid w:val="0EB803EE"/>
    <w:rsid w:val="0EF94D4B"/>
    <w:rsid w:val="0F4958DC"/>
    <w:rsid w:val="0F515DF7"/>
    <w:rsid w:val="0F596BA8"/>
    <w:rsid w:val="0F6248D2"/>
    <w:rsid w:val="0F693536"/>
    <w:rsid w:val="0F7B0511"/>
    <w:rsid w:val="0F7B76D9"/>
    <w:rsid w:val="0F816ACD"/>
    <w:rsid w:val="0F8E2A2A"/>
    <w:rsid w:val="0F955B67"/>
    <w:rsid w:val="0F9832DB"/>
    <w:rsid w:val="0FBF3FD2"/>
    <w:rsid w:val="0FBF7FF3"/>
    <w:rsid w:val="100432D1"/>
    <w:rsid w:val="10211C20"/>
    <w:rsid w:val="104355C3"/>
    <w:rsid w:val="1051624E"/>
    <w:rsid w:val="10545A22"/>
    <w:rsid w:val="10646583"/>
    <w:rsid w:val="107D4B15"/>
    <w:rsid w:val="108A3C80"/>
    <w:rsid w:val="10A818CA"/>
    <w:rsid w:val="10C26171"/>
    <w:rsid w:val="10CF2F14"/>
    <w:rsid w:val="10F33360"/>
    <w:rsid w:val="10FC16EA"/>
    <w:rsid w:val="110F1D40"/>
    <w:rsid w:val="11266F33"/>
    <w:rsid w:val="118963A1"/>
    <w:rsid w:val="11C6522A"/>
    <w:rsid w:val="11E104CC"/>
    <w:rsid w:val="11E20309"/>
    <w:rsid w:val="11EE5A02"/>
    <w:rsid w:val="12255233"/>
    <w:rsid w:val="12530213"/>
    <w:rsid w:val="127723A9"/>
    <w:rsid w:val="12862074"/>
    <w:rsid w:val="12883966"/>
    <w:rsid w:val="129E45B4"/>
    <w:rsid w:val="12D81596"/>
    <w:rsid w:val="12FE7EC7"/>
    <w:rsid w:val="13001BAA"/>
    <w:rsid w:val="13072A44"/>
    <w:rsid w:val="135F4BE2"/>
    <w:rsid w:val="139B1A0A"/>
    <w:rsid w:val="139D25C7"/>
    <w:rsid w:val="13BF3CE4"/>
    <w:rsid w:val="141008D8"/>
    <w:rsid w:val="14125FE6"/>
    <w:rsid w:val="146D271E"/>
    <w:rsid w:val="14951F61"/>
    <w:rsid w:val="14982588"/>
    <w:rsid w:val="149A5AD9"/>
    <w:rsid w:val="14A7619D"/>
    <w:rsid w:val="150536C3"/>
    <w:rsid w:val="150802A1"/>
    <w:rsid w:val="150C1963"/>
    <w:rsid w:val="151447A0"/>
    <w:rsid w:val="154A6454"/>
    <w:rsid w:val="15762120"/>
    <w:rsid w:val="159B19FD"/>
    <w:rsid w:val="1606188B"/>
    <w:rsid w:val="16A8729C"/>
    <w:rsid w:val="16B33777"/>
    <w:rsid w:val="16BC70A7"/>
    <w:rsid w:val="16C6339E"/>
    <w:rsid w:val="17166FE9"/>
    <w:rsid w:val="172872C1"/>
    <w:rsid w:val="172F2D79"/>
    <w:rsid w:val="174F6F43"/>
    <w:rsid w:val="17557BEF"/>
    <w:rsid w:val="17A70B2D"/>
    <w:rsid w:val="17D349C1"/>
    <w:rsid w:val="18025D64"/>
    <w:rsid w:val="180C6BE2"/>
    <w:rsid w:val="182B19D5"/>
    <w:rsid w:val="1830729E"/>
    <w:rsid w:val="1870062C"/>
    <w:rsid w:val="187F2042"/>
    <w:rsid w:val="18817102"/>
    <w:rsid w:val="18830A15"/>
    <w:rsid w:val="18852B28"/>
    <w:rsid w:val="188B5321"/>
    <w:rsid w:val="196D545F"/>
    <w:rsid w:val="19932372"/>
    <w:rsid w:val="19A20DD5"/>
    <w:rsid w:val="19AE03F1"/>
    <w:rsid w:val="1A071A03"/>
    <w:rsid w:val="1A1F16AE"/>
    <w:rsid w:val="1A3B5C77"/>
    <w:rsid w:val="1A5004AB"/>
    <w:rsid w:val="1A6F1609"/>
    <w:rsid w:val="1A7D1640"/>
    <w:rsid w:val="1A984BAD"/>
    <w:rsid w:val="1AB8220E"/>
    <w:rsid w:val="1AE4166C"/>
    <w:rsid w:val="1AF06CFB"/>
    <w:rsid w:val="1AF11B8D"/>
    <w:rsid w:val="1B0C1152"/>
    <w:rsid w:val="1B11359C"/>
    <w:rsid w:val="1B1A7868"/>
    <w:rsid w:val="1B2A271F"/>
    <w:rsid w:val="1B506DE6"/>
    <w:rsid w:val="1B530544"/>
    <w:rsid w:val="1B713184"/>
    <w:rsid w:val="1BA209CF"/>
    <w:rsid w:val="1BB4777D"/>
    <w:rsid w:val="1BD75AB8"/>
    <w:rsid w:val="1C0459C2"/>
    <w:rsid w:val="1C1B3B4A"/>
    <w:rsid w:val="1C8513AC"/>
    <w:rsid w:val="1C88086E"/>
    <w:rsid w:val="1CC25AC1"/>
    <w:rsid w:val="1D266CE1"/>
    <w:rsid w:val="1D3963AF"/>
    <w:rsid w:val="1D4D301C"/>
    <w:rsid w:val="1D6A673C"/>
    <w:rsid w:val="1D9247AE"/>
    <w:rsid w:val="1DA453B1"/>
    <w:rsid w:val="1DB567EC"/>
    <w:rsid w:val="1DE20D78"/>
    <w:rsid w:val="1DF51A98"/>
    <w:rsid w:val="1E3D060F"/>
    <w:rsid w:val="1E3F7D2E"/>
    <w:rsid w:val="1E4134E4"/>
    <w:rsid w:val="1E5062B3"/>
    <w:rsid w:val="1E523514"/>
    <w:rsid w:val="1E714A66"/>
    <w:rsid w:val="1E802593"/>
    <w:rsid w:val="1E8B6156"/>
    <w:rsid w:val="1EA703CC"/>
    <w:rsid w:val="1EB7330C"/>
    <w:rsid w:val="1ED33FB6"/>
    <w:rsid w:val="1ED8781E"/>
    <w:rsid w:val="1F0A0FF3"/>
    <w:rsid w:val="1F0D73D0"/>
    <w:rsid w:val="1F5771FF"/>
    <w:rsid w:val="1F6B41EE"/>
    <w:rsid w:val="1F845C8A"/>
    <w:rsid w:val="1FD52DD5"/>
    <w:rsid w:val="1FE67D19"/>
    <w:rsid w:val="1FE868A9"/>
    <w:rsid w:val="20034907"/>
    <w:rsid w:val="20173E4B"/>
    <w:rsid w:val="202B50CB"/>
    <w:rsid w:val="204E48BC"/>
    <w:rsid w:val="205509E6"/>
    <w:rsid w:val="20601186"/>
    <w:rsid w:val="206D3F96"/>
    <w:rsid w:val="208921B3"/>
    <w:rsid w:val="20973DEB"/>
    <w:rsid w:val="209B180C"/>
    <w:rsid w:val="20B26522"/>
    <w:rsid w:val="20B44310"/>
    <w:rsid w:val="211116EB"/>
    <w:rsid w:val="216133FC"/>
    <w:rsid w:val="217B17CC"/>
    <w:rsid w:val="219953D9"/>
    <w:rsid w:val="21D56769"/>
    <w:rsid w:val="21E52EF3"/>
    <w:rsid w:val="21FB5D7B"/>
    <w:rsid w:val="22015E94"/>
    <w:rsid w:val="220B1C3D"/>
    <w:rsid w:val="221D1D20"/>
    <w:rsid w:val="22334A87"/>
    <w:rsid w:val="227855A0"/>
    <w:rsid w:val="228D0920"/>
    <w:rsid w:val="22BE6801"/>
    <w:rsid w:val="22F64717"/>
    <w:rsid w:val="233500BF"/>
    <w:rsid w:val="23377FF7"/>
    <w:rsid w:val="236B425F"/>
    <w:rsid w:val="23836192"/>
    <w:rsid w:val="23901F29"/>
    <w:rsid w:val="239C0061"/>
    <w:rsid w:val="23B908A4"/>
    <w:rsid w:val="23E95BEF"/>
    <w:rsid w:val="23FD0064"/>
    <w:rsid w:val="245375B0"/>
    <w:rsid w:val="24642C0A"/>
    <w:rsid w:val="24837F76"/>
    <w:rsid w:val="24B108F5"/>
    <w:rsid w:val="24B22173"/>
    <w:rsid w:val="24B95AD9"/>
    <w:rsid w:val="24BE24DA"/>
    <w:rsid w:val="24CF5825"/>
    <w:rsid w:val="24D663E6"/>
    <w:rsid w:val="24D77F2B"/>
    <w:rsid w:val="25203CCD"/>
    <w:rsid w:val="25565941"/>
    <w:rsid w:val="255969F2"/>
    <w:rsid w:val="258B00E2"/>
    <w:rsid w:val="259B1656"/>
    <w:rsid w:val="25A917A6"/>
    <w:rsid w:val="25BE27CC"/>
    <w:rsid w:val="25CE54D7"/>
    <w:rsid w:val="25F74A5C"/>
    <w:rsid w:val="2628662C"/>
    <w:rsid w:val="262D45DE"/>
    <w:rsid w:val="26470116"/>
    <w:rsid w:val="267918E7"/>
    <w:rsid w:val="2685028B"/>
    <w:rsid w:val="26871DC8"/>
    <w:rsid w:val="26A53EF9"/>
    <w:rsid w:val="26A94201"/>
    <w:rsid w:val="26AC274F"/>
    <w:rsid w:val="27044A29"/>
    <w:rsid w:val="271D34C8"/>
    <w:rsid w:val="276142BF"/>
    <w:rsid w:val="276E51C4"/>
    <w:rsid w:val="27783712"/>
    <w:rsid w:val="27907362"/>
    <w:rsid w:val="27BA147E"/>
    <w:rsid w:val="27D112AE"/>
    <w:rsid w:val="28333E1D"/>
    <w:rsid w:val="28383AE1"/>
    <w:rsid w:val="28454BD6"/>
    <w:rsid w:val="28455253"/>
    <w:rsid w:val="28551971"/>
    <w:rsid w:val="285B1C53"/>
    <w:rsid w:val="28680B8D"/>
    <w:rsid w:val="289732B7"/>
    <w:rsid w:val="289A4BA5"/>
    <w:rsid w:val="289F7086"/>
    <w:rsid w:val="28C32028"/>
    <w:rsid w:val="28CC490F"/>
    <w:rsid w:val="28DE40AA"/>
    <w:rsid w:val="291E0523"/>
    <w:rsid w:val="29301B89"/>
    <w:rsid w:val="29345E77"/>
    <w:rsid w:val="294C65AD"/>
    <w:rsid w:val="29806583"/>
    <w:rsid w:val="298B3C4C"/>
    <w:rsid w:val="298C7B83"/>
    <w:rsid w:val="29F26D24"/>
    <w:rsid w:val="2A15033F"/>
    <w:rsid w:val="2A1662C1"/>
    <w:rsid w:val="2A1C7367"/>
    <w:rsid w:val="2A2815FA"/>
    <w:rsid w:val="2A6D6092"/>
    <w:rsid w:val="2A7459E2"/>
    <w:rsid w:val="2A7D76B4"/>
    <w:rsid w:val="2AD43194"/>
    <w:rsid w:val="2B437463"/>
    <w:rsid w:val="2B7807EE"/>
    <w:rsid w:val="2BA50BF7"/>
    <w:rsid w:val="2BBF00EC"/>
    <w:rsid w:val="2BC37CFD"/>
    <w:rsid w:val="2BD5237F"/>
    <w:rsid w:val="2BD80E5D"/>
    <w:rsid w:val="2BE536CE"/>
    <w:rsid w:val="2BE758D9"/>
    <w:rsid w:val="2C09049E"/>
    <w:rsid w:val="2C0A653C"/>
    <w:rsid w:val="2C105940"/>
    <w:rsid w:val="2C191F85"/>
    <w:rsid w:val="2C5A3F68"/>
    <w:rsid w:val="2C855896"/>
    <w:rsid w:val="2CE82D6F"/>
    <w:rsid w:val="2D1934DC"/>
    <w:rsid w:val="2D281971"/>
    <w:rsid w:val="2D343236"/>
    <w:rsid w:val="2D3C71C0"/>
    <w:rsid w:val="2D6A1F89"/>
    <w:rsid w:val="2DD15014"/>
    <w:rsid w:val="2DE25E94"/>
    <w:rsid w:val="2DF72DE4"/>
    <w:rsid w:val="2E0220AF"/>
    <w:rsid w:val="2E4B082A"/>
    <w:rsid w:val="2E5D4E86"/>
    <w:rsid w:val="2E5D790B"/>
    <w:rsid w:val="2E9A3C18"/>
    <w:rsid w:val="2EBB0FEE"/>
    <w:rsid w:val="2EC63002"/>
    <w:rsid w:val="2F0105F7"/>
    <w:rsid w:val="2F0A6B38"/>
    <w:rsid w:val="2F540736"/>
    <w:rsid w:val="2F7D6278"/>
    <w:rsid w:val="2F946CCB"/>
    <w:rsid w:val="2FB43990"/>
    <w:rsid w:val="2FD25781"/>
    <w:rsid w:val="2FDA2DB1"/>
    <w:rsid w:val="2FDC745C"/>
    <w:rsid w:val="2FEF6776"/>
    <w:rsid w:val="2FFD7934"/>
    <w:rsid w:val="300E33E8"/>
    <w:rsid w:val="303E14AB"/>
    <w:rsid w:val="303F5FB4"/>
    <w:rsid w:val="30733ACD"/>
    <w:rsid w:val="308C3862"/>
    <w:rsid w:val="308E41E1"/>
    <w:rsid w:val="309379D8"/>
    <w:rsid w:val="30A270F7"/>
    <w:rsid w:val="30A535E1"/>
    <w:rsid w:val="30CC4D09"/>
    <w:rsid w:val="30D2231F"/>
    <w:rsid w:val="30DF1478"/>
    <w:rsid w:val="30EC586F"/>
    <w:rsid w:val="31140DD8"/>
    <w:rsid w:val="314550B7"/>
    <w:rsid w:val="31927ECA"/>
    <w:rsid w:val="319C6071"/>
    <w:rsid w:val="31AC537E"/>
    <w:rsid w:val="31B11FBD"/>
    <w:rsid w:val="31C12394"/>
    <w:rsid w:val="31D04385"/>
    <w:rsid w:val="31E3679B"/>
    <w:rsid w:val="31E732FD"/>
    <w:rsid w:val="32517576"/>
    <w:rsid w:val="32B86095"/>
    <w:rsid w:val="32BE5C2C"/>
    <w:rsid w:val="32FB6478"/>
    <w:rsid w:val="331C5AD4"/>
    <w:rsid w:val="33263B3F"/>
    <w:rsid w:val="3343722D"/>
    <w:rsid w:val="335A4530"/>
    <w:rsid w:val="336963EB"/>
    <w:rsid w:val="33816EEB"/>
    <w:rsid w:val="3390201E"/>
    <w:rsid w:val="33955886"/>
    <w:rsid w:val="33AD497E"/>
    <w:rsid w:val="33B91F4C"/>
    <w:rsid w:val="33C82E1F"/>
    <w:rsid w:val="33EB55CD"/>
    <w:rsid w:val="33EC4C02"/>
    <w:rsid w:val="340D2360"/>
    <w:rsid w:val="3410665D"/>
    <w:rsid w:val="34211214"/>
    <w:rsid w:val="342E63AB"/>
    <w:rsid w:val="34670FD0"/>
    <w:rsid w:val="34950E68"/>
    <w:rsid w:val="34986E94"/>
    <w:rsid w:val="34AF62C9"/>
    <w:rsid w:val="34CB4388"/>
    <w:rsid w:val="34F767F8"/>
    <w:rsid w:val="34FA6E12"/>
    <w:rsid w:val="35154ED0"/>
    <w:rsid w:val="35335357"/>
    <w:rsid w:val="354D7158"/>
    <w:rsid w:val="3589141A"/>
    <w:rsid w:val="358D5588"/>
    <w:rsid w:val="35AC1BDC"/>
    <w:rsid w:val="36160F00"/>
    <w:rsid w:val="363A3B40"/>
    <w:rsid w:val="365302AE"/>
    <w:rsid w:val="365E3439"/>
    <w:rsid w:val="36607A0A"/>
    <w:rsid w:val="3667350A"/>
    <w:rsid w:val="366E227C"/>
    <w:rsid w:val="366F2E0D"/>
    <w:rsid w:val="367B6A5C"/>
    <w:rsid w:val="3687448E"/>
    <w:rsid w:val="36A74ADA"/>
    <w:rsid w:val="36AA33F6"/>
    <w:rsid w:val="36AD60D5"/>
    <w:rsid w:val="36B13696"/>
    <w:rsid w:val="36B224F9"/>
    <w:rsid w:val="36D14E27"/>
    <w:rsid w:val="36EC0CC9"/>
    <w:rsid w:val="373F410B"/>
    <w:rsid w:val="3743066A"/>
    <w:rsid w:val="377D47E4"/>
    <w:rsid w:val="37EE7094"/>
    <w:rsid w:val="38207E14"/>
    <w:rsid w:val="38296C89"/>
    <w:rsid w:val="383002EB"/>
    <w:rsid w:val="3851621F"/>
    <w:rsid w:val="38586797"/>
    <w:rsid w:val="389E51DD"/>
    <w:rsid w:val="38A04AB1"/>
    <w:rsid w:val="38B312A5"/>
    <w:rsid w:val="38BC0149"/>
    <w:rsid w:val="38C13582"/>
    <w:rsid w:val="38D87D1C"/>
    <w:rsid w:val="391334D5"/>
    <w:rsid w:val="3914549F"/>
    <w:rsid w:val="39636459"/>
    <w:rsid w:val="396B7F6C"/>
    <w:rsid w:val="39B417A9"/>
    <w:rsid w:val="39FC5695"/>
    <w:rsid w:val="3A006D8E"/>
    <w:rsid w:val="3A3651E5"/>
    <w:rsid w:val="3A744481"/>
    <w:rsid w:val="3A8C7BEF"/>
    <w:rsid w:val="3A906246"/>
    <w:rsid w:val="3B2349B7"/>
    <w:rsid w:val="3B366613"/>
    <w:rsid w:val="3B616CFF"/>
    <w:rsid w:val="3B6259F6"/>
    <w:rsid w:val="3B787F67"/>
    <w:rsid w:val="3B976654"/>
    <w:rsid w:val="3BC01EFC"/>
    <w:rsid w:val="3BCA786A"/>
    <w:rsid w:val="3BD31E2F"/>
    <w:rsid w:val="3BF15831"/>
    <w:rsid w:val="3BFF7603"/>
    <w:rsid w:val="3C105946"/>
    <w:rsid w:val="3C2105FF"/>
    <w:rsid w:val="3C3B7327"/>
    <w:rsid w:val="3C471448"/>
    <w:rsid w:val="3C5943A0"/>
    <w:rsid w:val="3C5F759A"/>
    <w:rsid w:val="3C6C525A"/>
    <w:rsid w:val="3C7D61FD"/>
    <w:rsid w:val="3CCE23CB"/>
    <w:rsid w:val="3CD17D17"/>
    <w:rsid w:val="3D3C7F39"/>
    <w:rsid w:val="3D440F09"/>
    <w:rsid w:val="3D4504A0"/>
    <w:rsid w:val="3D51281E"/>
    <w:rsid w:val="3D69400B"/>
    <w:rsid w:val="3D8734BB"/>
    <w:rsid w:val="3D9A11D4"/>
    <w:rsid w:val="3DA16D89"/>
    <w:rsid w:val="3DA364BE"/>
    <w:rsid w:val="3DB13636"/>
    <w:rsid w:val="3DC456E6"/>
    <w:rsid w:val="3DE041CB"/>
    <w:rsid w:val="3DEC2546"/>
    <w:rsid w:val="3E0D48F6"/>
    <w:rsid w:val="3E103980"/>
    <w:rsid w:val="3E1868B4"/>
    <w:rsid w:val="3E210442"/>
    <w:rsid w:val="3E377251"/>
    <w:rsid w:val="3E42664B"/>
    <w:rsid w:val="3E4B1963"/>
    <w:rsid w:val="3E5A7334"/>
    <w:rsid w:val="3E774506"/>
    <w:rsid w:val="3E7B5D6B"/>
    <w:rsid w:val="3E843E66"/>
    <w:rsid w:val="3E8F51FE"/>
    <w:rsid w:val="3E926F87"/>
    <w:rsid w:val="3E9A1FA2"/>
    <w:rsid w:val="3E9A59DE"/>
    <w:rsid w:val="3EAF4836"/>
    <w:rsid w:val="3EB5502E"/>
    <w:rsid w:val="3EC33DFA"/>
    <w:rsid w:val="3ED43706"/>
    <w:rsid w:val="3F060E16"/>
    <w:rsid w:val="3F081602"/>
    <w:rsid w:val="3F1D1096"/>
    <w:rsid w:val="3F1E7077"/>
    <w:rsid w:val="3F2F0234"/>
    <w:rsid w:val="3F3146B5"/>
    <w:rsid w:val="3F6363FE"/>
    <w:rsid w:val="3F756B8F"/>
    <w:rsid w:val="3F7647BE"/>
    <w:rsid w:val="3F907C64"/>
    <w:rsid w:val="3F95482B"/>
    <w:rsid w:val="3FCE5FBC"/>
    <w:rsid w:val="4019356B"/>
    <w:rsid w:val="40592157"/>
    <w:rsid w:val="406E1CAE"/>
    <w:rsid w:val="40813E80"/>
    <w:rsid w:val="40A0133A"/>
    <w:rsid w:val="40C31A53"/>
    <w:rsid w:val="40F31FD0"/>
    <w:rsid w:val="40FF545D"/>
    <w:rsid w:val="410067C8"/>
    <w:rsid w:val="416050CE"/>
    <w:rsid w:val="418F0D2A"/>
    <w:rsid w:val="41D01505"/>
    <w:rsid w:val="42027850"/>
    <w:rsid w:val="42474939"/>
    <w:rsid w:val="424C3C57"/>
    <w:rsid w:val="42613FF3"/>
    <w:rsid w:val="42660D96"/>
    <w:rsid w:val="428667D2"/>
    <w:rsid w:val="429C278D"/>
    <w:rsid w:val="42BA6E31"/>
    <w:rsid w:val="42CD1CE0"/>
    <w:rsid w:val="42D87F0E"/>
    <w:rsid w:val="42E1381E"/>
    <w:rsid w:val="42ED6459"/>
    <w:rsid w:val="42F36125"/>
    <w:rsid w:val="42FE58DD"/>
    <w:rsid w:val="43174B3D"/>
    <w:rsid w:val="434B790E"/>
    <w:rsid w:val="4360274F"/>
    <w:rsid w:val="43746899"/>
    <w:rsid w:val="43977AB6"/>
    <w:rsid w:val="43A3342B"/>
    <w:rsid w:val="43AA712C"/>
    <w:rsid w:val="43C77C27"/>
    <w:rsid w:val="43DE09EE"/>
    <w:rsid w:val="44002FAD"/>
    <w:rsid w:val="443469F5"/>
    <w:rsid w:val="449101DD"/>
    <w:rsid w:val="44DE1391"/>
    <w:rsid w:val="44DF4267"/>
    <w:rsid w:val="451B225C"/>
    <w:rsid w:val="452410C9"/>
    <w:rsid w:val="45317DFB"/>
    <w:rsid w:val="45523EC0"/>
    <w:rsid w:val="456D3CE4"/>
    <w:rsid w:val="4579042C"/>
    <w:rsid w:val="457F0571"/>
    <w:rsid w:val="45851176"/>
    <w:rsid w:val="45C63B94"/>
    <w:rsid w:val="460E7DA5"/>
    <w:rsid w:val="46340F2E"/>
    <w:rsid w:val="46422483"/>
    <w:rsid w:val="464B6860"/>
    <w:rsid w:val="4659254A"/>
    <w:rsid w:val="465B0637"/>
    <w:rsid w:val="465E3F0D"/>
    <w:rsid w:val="466A16E6"/>
    <w:rsid w:val="46893F2B"/>
    <w:rsid w:val="468E0D45"/>
    <w:rsid w:val="46C4686E"/>
    <w:rsid w:val="46C93D6D"/>
    <w:rsid w:val="476A6B3A"/>
    <w:rsid w:val="477B778F"/>
    <w:rsid w:val="478203EC"/>
    <w:rsid w:val="47867568"/>
    <w:rsid w:val="47A437CD"/>
    <w:rsid w:val="47B025FA"/>
    <w:rsid w:val="4809698F"/>
    <w:rsid w:val="4811697D"/>
    <w:rsid w:val="48793111"/>
    <w:rsid w:val="487A3E25"/>
    <w:rsid w:val="488B5503"/>
    <w:rsid w:val="4893018E"/>
    <w:rsid w:val="48937E21"/>
    <w:rsid w:val="489A0361"/>
    <w:rsid w:val="48B94FF3"/>
    <w:rsid w:val="48BD34D6"/>
    <w:rsid w:val="48C0506B"/>
    <w:rsid w:val="48E37AAB"/>
    <w:rsid w:val="48FD4B4C"/>
    <w:rsid w:val="49043516"/>
    <w:rsid w:val="490A68E0"/>
    <w:rsid w:val="491055FE"/>
    <w:rsid w:val="495660CC"/>
    <w:rsid w:val="495F5B3E"/>
    <w:rsid w:val="496F77D7"/>
    <w:rsid w:val="497654FD"/>
    <w:rsid w:val="49AC7518"/>
    <w:rsid w:val="49B64211"/>
    <w:rsid w:val="49E56AF9"/>
    <w:rsid w:val="49F6167F"/>
    <w:rsid w:val="4A064FA0"/>
    <w:rsid w:val="4A0C644A"/>
    <w:rsid w:val="4A16615C"/>
    <w:rsid w:val="4A4424D7"/>
    <w:rsid w:val="4A8E50B1"/>
    <w:rsid w:val="4AB82D0F"/>
    <w:rsid w:val="4ACF74D4"/>
    <w:rsid w:val="4AE14FBE"/>
    <w:rsid w:val="4AEB7664"/>
    <w:rsid w:val="4AFD7C19"/>
    <w:rsid w:val="4B0567D1"/>
    <w:rsid w:val="4B0D06CC"/>
    <w:rsid w:val="4B236AAE"/>
    <w:rsid w:val="4B46773A"/>
    <w:rsid w:val="4B490FD8"/>
    <w:rsid w:val="4B707271"/>
    <w:rsid w:val="4B9739F7"/>
    <w:rsid w:val="4BC92119"/>
    <w:rsid w:val="4BD74836"/>
    <w:rsid w:val="4BEE2503"/>
    <w:rsid w:val="4C245A30"/>
    <w:rsid w:val="4C362B66"/>
    <w:rsid w:val="4C501C7E"/>
    <w:rsid w:val="4CB6685F"/>
    <w:rsid w:val="4CC367FE"/>
    <w:rsid w:val="4D061FA6"/>
    <w:rsid w:val="4D077F3C"/>
    <w:rsid w:val="4D123355"/>
    <w:rsid w:val="4D2A3B31"/>
    <w:rsid w:val="4D312C52"/>
    <w:rsid w:val="4D905305"/>
    <w:rsid w:val="4D964A72"/>
    <w:rsid w:val="4D9C1254"/>
    <w:rsid w:val="4DFC67D6"/>
    <w:rsid w:val="4E793892"/>
    <w:rsid w:val="4E800872"/>
    <w:rsid w:val="4E93713A"/>
    <w:rsid w:val="4EBB3930"/>
    <w:rsid w:val="4EC54E1A"/>
    <w:rsid w:val="4EC569ED"/>
    <w:rsid w:val="4EC80E89"/>
    <w:rsid w:val="4ED50EA1"/>
    <w:rsid w:val="4EDE7AF4"/>
    <w:rsid w:val="4EEC050C"/>
    <w:rsid w:val="4F104EC3"/>
    <w:rsid w:val="4F252B70"/>
    <w:rsid w:val="4F47354A"/>
    <w:rsid w:val="4F911C54"/>
    <w:rsid w:val="4F936CC6"/>
    <w:rsid w:val="4FAB2261"/>
    <w:rsid w:val="4FE625E0"/>
    <w:rsid w:val="50125E3D"/>
    <w:rsid w:val="5021480F"/>
    <w:rsid w:val="50962ECB"/>
    <w:rsid w:val="50A26728"/>
    <w:rsid w:val="50A42E38"/>
    <w:rsid w:val="50A4577F"/>
    <w:rsid w:val="50B73D1F"/>
    <w:rsid w:val="50BD5BC9"/>
    <w:rsid w:val="50C11EEE"/>
    <w:rsid w:val="50E97CFC"/>
    <w:rsid w:val="50FA4028"/>
    <w:rsid w:val="510D65B7"/>
    <w:rsid w:val="511157AB"/>
    <w:rsid w:val="5142540C"/>
    <w:rsid w:val="516052CE"/>
    <w:rsid w:val="517E4395"/>
    <w:rsid w:val="518832C8"/>
    <w:rsid w:val="519D3C50"/>
    <w:rsid w:val="51A0432A"/>
    <w:rsid w:val="51A86090"/>
    <w:rsid w:val="51B7396D"/>
    <w:rsid w:val="522E4CC3"/>
    <w:rsid w:val="52307478"/>
    <w:rsid w:val="5244713B"/>
    <w:rsid w:val="526133D5"/>
    <w:rsid w:val="52615633"/>
    <w:rsid w:val="526F4DE4"/>
    <w:rsid w:val="529608D0"/>
    <w:rsid w:val="52977FD4"/>
    <w:rsid w:val="52A25790"/>
    <w:rsid w:val="52A96B6F"/>
    <w:rsid w:val="52B45975"/>
    <w:rsid w:val="52CA50F4"/>
    <w:rsid w:val="52D25D57"/>
    <w:rsid w:val="52D94AA4"/>
    <w:rsid w:val="52EA3A62"/>
    <w:rsid w:val="52F50BB8"/>
    <w:rsid w:val="53097272"/>
    <w:rsid w:val="53544462"/>
    <w:rsid w:val="5397158E"/>
    <w:rsid w:val="53AB6CD4"/>
    <w:rsid w:val="53BC0EDB"/>
    <w:rsid w:val="54013861"/>
    <w:rsid w:val="541A66F2"/>
    <w:rsid w:val="541A79B6"/>
    <w:rsid w:val="543D5452"/>
    <w:rsid w:val="54487265"/>
    <w:rsid w:val="544D6070"/>
    <w:rsid w:val="54605E1E"/>
    <w:rsid w:val="549A0285"/>
    <w:rsid w:val="54B3506A"/>
    <w:rsid w:val="54B90F7D"/>
    <w:rsid w:val="54CA0D16"/>
    <w:rsid w:val="54CA21CA"/>
    <w:rsid w:val="54DD4057"/>
    <w:rsid w:val="54E7490F"/>
    <w:rsid w:val="54E979F3"/>
    <w:rsid w:val="55061269"/>
    <w:rsid w:val="550764A4"/>
    <w:rsid w:val="550B2BF6"/>
    <w:rsid w:val="55214EB5"/>
    <w:rsid w:val="55292060"/>
    <w:rsid w:val="55342CF9"/>
    <w:rsid w:val="55364EFD"/>
    <w:rsid w:val="554747DA"/>
    <w:rsid w:val="55562C6F"/>
    <w:rsid w:val="555D4828"/>
    <w:rsid w:val="557A4C8B"/>
    <w:rsid w:val="558931E1"/>
    <w:rsid w:val="55923347"/>
    <w:rsid w:val="55925180"/>
    <w:rsid w:val="55983B1B"/>
    <w:rsid w:val="559B0682"/>
    <w:rsid w:val="55A8376B"/>
    <w:rsid w:val="55B6370E"/>
    <w:rsid w:val="55DC29B6"/>
    <w:rsid w:val="55DD4241"/>
    <w:rsid w:val="5600573E"/>
    <w:rsid w:val="56382375"/>
    <w:rsid w:val="566B6D1E"/>
    <w:rsid w:val="56822586"/>
    <w:rsid w:val="56862319"/>
    <w:rsid w:val="56A8574D"/>
    <w:rsid w:val="56BE6D1E"/>
    <w:rsid w:val="56C8194B"/>
    <w:rsid w:val="56ED13B1"/>
    <w:rsid w:val="57032A2C"/>
    <w:rsid w:val="570F5219"/>
    <w:rsid w:val="574511ED"/>
    <w:rsid w:val="575D12B5"/>
    <w:rsid w:val="57610A87"/>
    <w:rsid w:val="577B1140"/>
    <w:rsid w:val="577B7F21"/>
    <w:rsid w:val="577F181B"/>
    <w:rsid w:val="57911D3D"/>
    <w:rsid w:val="57921984"/>
    <w:rsid w:val="579737F0"/>
    <w:rsid w:val="57AB7B30"/>
    <w:rsid w:val="57AF5251"/>
    <w:rsid w:val="57B26373"/>
    <w:rsid w:val="57B63F04"/>
    <w:rsid w:val="57CD20C2"/>
    <w:rsid w:val="57D101C5"/>
    <w:rsid w:val="57D675AB"/>
    <w:rsid w:val="57D95FDD"/>
    <w:rsid w:val="57EF1159"/>
    <w:rsid w:val="58917D2F"/>
    <w:rsid w:val="5894085C"/>
    <w:rsid w:val="58AE4F0C"/>
    <w:rsid w:val="58B85899"/>
    <w:rsid w:val="58E363A9"/>
    <w:rsid w:val="58FB51C7"/>
    <w:rsid w:val="595E1678"/>
    <w:rsid w:val="596D5BD4"/>
    <w:rsid w:val="597E3DD8"/>
    <w:rsid w:val="59947126"/>
    <w:rsid w:val="59E91410"/>
    <w:rsid w:val="59F80043"/>
    <w:rsid w:val="5A09252F"/>
    <w:rsid w:val="5A0B2778"/>
    <w:rsid w:val="5A0B6922"/>
    <w:rsid w:val="5A1A29F0"/>
    <w:rsid w:val="5A24021C"/>
    <w:rsid w:val="5A2570B4"/>
    <w:rsid w:val="5A2A7C7B"/>
    <w:rsid w:val="5A3E2560"/>
    <w:rsid w:val="5A551748"/>
    <w:rsid w:val="5A5D3B6E"/>
    <w:rsid w:val="5A637A76"/>
    <w:rsid w:val="5A6D33BA"/>
    <w:rsid w:val="5A792B1F"/>
    <w:rsid w:val="5A874767"/>
    <w:rsid w:val="5AA85BE2"/>
    <w:rsid w:val="5AAD6F28"/>
    <w:rsid w:val="5AB649BA"/>
    <w:rsid w:val="5AD63A24"/>
    <w:rsid w:val="5AFC6067"/>
    <w:rsid w:val="5B2E1A1D"/>
    <w:rsid w:val="5B8027F4"/>
    <w:rsid w:val="5B8232B4"/>
    <w:rsid w:val="5B843A1C"/>
    <w:rsid w:val="5B873E3F"/>
    <w:rsid w:val="5BE8584C"/>
    <w:rsid w:val="5C02690E"/>
    <w:rsid w:val="5C196DA7"/>
    <w:rsid w:val="5C2A048C"/>
    <w:rsid w:val="5C80234E"/>
    <w:rsid w:val="5C8A680C"/>
    <w:rsid w:val="5CFB7A15"/>
    <w:rsid w:val="5D0C4701"/>
    <w:rsid w:val="5D0F0395"/>
    <w:rsid w:val="5D221076"/>
    <w:rsid w:val="5D397964"/>
    <w:rsid w:val="5D5A391C"/>
    <w:rsid w:val="5D5A7075"/>
    <w:rsid w:val="5D5F10C0"/>
    <w:rsid w:val="5D891B7B"/>
    <w:rsid w:val="5D98663E"/>
    <w:rsid w:val="5DAD38EE"/>
    <w:rsid w:val="5DC9465C"/>
    <w:rsid w:val="5E006862"/>
    <w:rsid w:val="5E0207B9"/>
    <w:rsid w:val="5E1834A1"/>
    <w:rsid w:val="5E261785"/>
    <w:rsid w:val="5E4A7017"/>
    <w:rsid w:val="5E552BBA"/>
    <w:rsid w:val="5E604529"/>
    <w:rsid w:val="5E611C10"/>
    <w:rsid w:val="5E775B46"/>
    <w:rsid w:val="5E7A0F3F"/>
    <w:rsid w:val="5ECD1E2C"/>
    <w:rsid w:val="5EDB5F93"/>
    <w:rsid w:val="5EFC7377"/>
    <w:rsid w:val="5F06174D"/>
    <w:rsid w:val="5F087C26"/>
    <w:rsid w:val="5F322057"/>
    <w:rsid w:val="5F3A3602"/>
    <w:rsid w:val="5F45733B"/>
    <w:rsid w:val="5F6277C6"/>
    <w:rsid w:val="5F6D0B1D"/>
    <w:rsid w:val="5F8D0B82"/>
    <w:rsid w:val="5FC1162D"/>
    <w:rsid w:val="5FCC5339"/>
    <w:rsid w:val="5FE34A5B"/>
    <w:rsid w:val="5FFE1E36"/>
    <w:rsid w:val="60232584"/>
    <w:rsid w:val="603242D9"/>
    <w:rsid w:val="607330CE"/>
    <w:rsid w:val="60825176"/>
    <w:rsid w:val="609F2AC4"/>
    <w:rsid w:val="60F46E8B"/>
    <w:rsid w:val="60FA2EE8"/>
    <w:rsid w:val="61054A27"/>
    <w:rsid w:val="610A52BC"/>
    <w:rsid w:val="611D2366"/>
    <w:rsid w:val="611D2893"/>
    <w:rsid w:val="613D2F35"/>
    <w:rsid w:val="61421856"/>
    <w:rsid w:val="615227C4"/>
    <w:rsid w:val="61654E3F"/>
    <w:rsid w:val="6182292A"/>
    <w:rsid w:val="619F7F92"/>
    <w:rsid w:val="61B256D1"/>
    <w:rsid w:val="61E0223F"/>
    <w:rsid w:val="61F94C26"/>
    <w:rsid w:val="62000E56"/>
    <w:rsid w:val="62127F1E"/>
    <w:rsid w:val="624F3E49"/>
    <w:rsid w:val="62632286"/>
    <w:rsid w:val="62652744"/>
    <w:rsid w:val="62885958"/>
    <w:rsid w:val="628F45C2"/>
    <w:rsid w:val="62F40B65"/>
    <w:rsid w:val="62FC2CFE"/>
    <w:rsid w:val="63015A28"/>
    <w:rsid w:val="63024505"/>
    <w:rsid w:val="63032BCD"/>
    <w:rsid w:val="635600A5"/>
    <w:rsid w:val="63584057"/>
    <w:rsid w:val="635B1DB5"/>
    <w:rsid w:val="63711FED"/>
    <w:rsid w:val="63880DDC"/>
    <w:rsid w:val="638D750D"/>
    <w:rsid w:val="63AC6CC0"/>
    <w:rsid w:val="63B429E0"/>
    <w:rsid w:val="63C17386"/>
    <w:rsid w:val="63D15680"/>
    <w:rsid w:val="64055776"/>
    <w:rsid w:val="64240056"/>
    <w:rsid w:val="643E143A"/>
    <w:rsid w:val="64491666"/>
    <w:rsid w:val="648B6EEF"/>
    <w:rsid w:val="64C158BF"/>
    <w:rsid w:val="64CE2EAA"/>
    <w:rsid w:val="64D0679F"/>
    <w:rsid w:val="64DE058B"/>
    <w:rsid w:val="64E97D5C"/>
    <w:rsid w:val="650135A2"/>
    <w:rsid w:val="653C3090"/>
    <w:rsid w:val="6546685C"/>
    <w:rsid w:val="65854376"/>
    <w:rsid w:val="658767BE"/>
    <w:rsid w:val="65892531"/>
    <w:rsid w:val="659661FB"/>
    <w:rsid w:val="65E9543A"/>
    <w:rsid w:val="66195831"/>
    <w:rsid w:val="662E75B1"/>
    <w:rsid w:val="66342C2E"/>
    <w:rsid w:val="663E784C"/>
    <w:rsid w:val="665D7AD3"/>
    <w:rsid w:val="66754F1F"/>
    <w:rsid w:val="668B6A45"/>
    <w:rsid w:val="66D37CC1"/>
    <w:rsid w:val="67011F07"/>
    <w:rsid w:val="672F3F24"/>
    <w:rsid w:val="673E055F"/>
    <w:rsid w:val="67551CE3"/>
    <w:rsid w:val="67A22552"/>
    <w:rsid w:val="67B22DCC"/>
    <w:rsid w:val="67BE71AA"/>
    <w:rsid w:val="67D90273"/>
    <w:rsid w:val="67DE5875"/>
    <w:rsid w:val="67E55852"/>
    <w:rsid w:val="67EB1AB4"/>
    <w:rsid w:val="67FA1285"/>
    <w:rsid w:val="68351D80"/>
    <w:rsid w:val="683F7593"/>
    <w:rsid w:val="684E7490"/>
    <w:rsid w:val="68551F4F"/>
    <w:rsid w:val="687C10C9"/>
    <w:rsid w:val="68840C16"/>
    <w:rsid w:val="68872541"/>
    <w:rsid w:val="68876EFB"/>
    <w:rsid w:val="68884654"/>
    <w:rsid w:val="689F444F"/>
    <w:rsid w:val="68AD09FC"/>
    <w:rsid w:val="68B96DBB"/>
    <w:rsid w:val="68CA2805"/>
    <w:rsid w:val="68E937A3"/>
    <w:rsid w:val="691664E5"/>
    <w:rsid w:val="693E15D3"/>
    <w:rsid w:val="69621F1C"/>
    <w:rsid w:val="69627681"/>
    <w:rsid w:val="69674D00"/>
    <w:rsid w:val="6977531D"/>
    <w:rsid w:val="69CC2BFF"/>
    <w:rsid w:val="69FD55B8"/>
    <w:rsid w:val="6A0B1C62"/>
    <w:rsid w:val="6A2151A2"/>
    <w:rsid w:val="6A2406C8"/>
    <w:rsid w:val="6A674B7F"/>
    <w:rsid w:val="6AB53B3C"/>
    <w:rsid w:val="6AC326FD"/>
    <w:rsid w:val="6ADE0BD1"/>
    <w:rsid w:val="6ADE1E63"/>
    <w:rsid w:val="6AE96859"/>
    <w:rsid w:val="6B147746"/>
    <w:rsid w:val="6B19231D"/>
    <w:rsid w:val="6B24787C"/>
    <w:rsid w:val="6B573233"/>
    <w:rsid w:val="6B5B6274"/>
    <w:rsid w:val="6B935D53"/>
    <w:rsid w:val="6C196F71"/>
    <w:rsid w:val="6C1C0034"/>
    <w:rsid w:val="6C226FCB"/>
    <w:rsid w:val="6C2E6F5C"/>
    <w:rsid w:val="6C31226F"/>
    <w:rsid w:val="6C552F0B"/>
    <w:rsid w:val="6C5854B6"/>
    <w:rsid w:val="6C8C67B7"/>
    <w:rsid w:val="6C9D744C"/>
    <w:rsid w:val="6CDC1854"/>
    <w:rsid w:val="6D167928"/>
    <w:rsid w:val="6D26299B"/>
    <w:rsid w:val="6D4772EC"/>
    <w:rsid w:val="6D9078AF"/>
    <w:rsid w:val="6D94212F"/>
    <w:rsid w:val="6DAA3FEF"/>
    <w:rsid w:val="6DC0172B"/>
    <w:rsid w:val="6DCB0930"/>
    <w:rsid w:val="6DCB690C"/>
    <w:rsid w:val="6DD41A5B"/>
    <w:rsid w:val="6DF43C2E"/>
    <w:rsid w:val="6DF51CA3"/>
    <w:rsid w:val="6E043019"/>
    <w:rsid w:val="6E8207F2"/>
    <w:rsid w:val="6E8335BD"/>
    <w:rsid w:val="6E8E12EF"/>
    <w:rsid w:val="6E972936"/>
    <w:rsid w:val="6EA165BF"/>
    <w:rsid w:val="6ED446C5"/>
    <w:rsid w:val="6F2A7D94"/>
    <w:rsid w:val="6F644427"/>
    <w:rsid w:val="6F8331F1"/>
    <w:rsid w:val="6F993A2D"/>
    <w:rsid w:val="6FAE1A09"/>
    <w:rsid w:val="6FD75BF8"/>
    <w:rsid w:val="70001E2F"/>
    <w:rsid w:val="704B4683"/>
    <w:rsid w:val="70741DA4"/>
    <w:rsid w:val="707723D0"/>
    <w:rsid w:val="70F5661B"/>
    <w:rsid w:val="71360107"/>
    <w:rsid w:val="713B688E"/>
    <w:rsid w:val="718B4157"/>
    <w:rsid w:val="71AB7A47"/>
    <w:rsid w:val="71BB2380"/>
    <w:rsid w:val="71D43752"/>
    <w:rsid w:val="71F1796A"/>
    <w:rsid w:val="72154626"/>
    <w:rsid w:val="72262B5D"/>
    <w:rsid w:val="72283FF7"/>
    <w:rsid w:val="722E7212"/>
    <w:rsid w:val="72385682"/>
    <w:rsid w:val="723A0474"/>
    <w:rsid w:val="725923E4"/>
    <w:rsid w:val="72864BF7"/>
    <w:rsid w:val="729023FC"/>
    <w:rsid w:val="729C51E9"/>
    <w:rsid w:val="72FF004B"/>
    <w:rsid w:val="7301621E"/>
    <w:rsid w:val="73147CD2"/>
    <w:rsid w:val="73AF3F96"/>
    <w:rsid w:val="73C00A1B"/>
    <w:rsid w:val="73C0646E"/>
    <w:rsid w:val="73EF046A"/>
    <w:rsid w:val="742222F5"/>
    <w:rsid w:val="74476126"/>
    <w:rsid w:val="74706664"/>
    <w:rsid w:val="747F3682"/>
    <w:rsid w:val="749C4185"/>
    <w:rsid w:val="74F9786C"/>
    <w:rsid w:val="75067759"/>
    <w:rsid w:val="752E6DCD"/>
    <w:rsid w:val="7551380D"/>
    <w:rsid w:val="7557416E"/>
    <w:rsid w:val="75600BE5"/>
    <w:rsid w:val="7564475C"/>
    <w:rsid w:val="7583797F"/>
    <w:rsid w:val="75D20F1D"/>
    <w:rsid w:val="75DA2C18"/>
    <w:rsid w:val="75F54412"/>
    <w:rsid w:val="761D08E0"/>
    <w:rsid w:val="765D347C"/>
    <w:rsid w:val="767174B1"/>
    <w:rsid w:val="76826699"/>
    <w:rsid w:val="76BB7BC2"/>
    <w:rsid w:val="76C87133"/>
    <w:rsid w:val="76CD08D5"/>
    <w:rsid w:val="76DB4B92"/>
    <w:rsid w:val="76FD013A"/>
    <w:rsid w:val="77052AA4"/>
    <w:rsid w:val="77136511"/>
    <w:rsid w:val="77340A39"/>
    <w:rsid w:val="77351FD0"/>
    <w:rsid w:val="77472422"/>
    <w:rsid w:val="77756B2D"/>
    <w:rsid w:val="777F31F2"/>
    <w:rsid w:val="77D1700D"/>
    <w:rsid w:val="77E12415"/>
    <w:rsid w:val="77EC04CC"/>
    <w:rsid w:val="783267CC"/>
    <w:rsid w:val="783C764B"/>
    <w:rsid w:val="78775729"/>
    <w:rsid w:val="78A42DB0"/>
    <w:rsid w:val="78A656AB"/>
    <w:rsid w:val="78B2245C"/>
    <w:rsid w:val="78DB50B6"/>
    <w:rsid w:val="78E172CC"/>
    <w:rsid w:val="78E75809"/>
    <w:rsid w:val="78EA1D1F"/>
    <w:rsid w:val="7904172F"/>
    <w:rsid w:val="790F7E27"/>
    <w:rsid w:val="792A231A"/>
    <w:rsid w:val="79316829"/>
    <w:rsid w:val="794C1B10"/>
    <w:rsid w:val="797E66A9"/>
    <w:rsid w:val="798518A4"/>
    <w:rsid w:val="79A97383"/>
    <w:rsid w:val="79E27E8B"/>
    <w:rsid w:val="79EF706B"/>
    <w:rsid w:val="79F850CE"/>
    <w:rsid w:val="79FD443C"/>
    <w:rsid w:val="7A107113"/>
    <w:rsid w:val="7A1D1975"/>
    <w:rsid w:val="7A3E5150"/>
    <w:rsid w:val="7A4670D6"/>
    <w:rsid w:val="7A534B63"/>
    <w:rsid w:val="7A615382"/>
    <w:rsid w:val="7A67303B"/>
    <w:rsid w:val="7AAB1D04"/>
    <w:rsid w:val="7ABA4368"/>
    <w:rsid w:val="7AD05746"/>
    <w:rsid w:val="7B257FFD"/>
    <w:rsid w:val="7B273D20"/>
    <w:rsid w:val="7B343476"/>
    <w:rsid w:val="7B5A2978"/>
    <w:rsid w:val="7B5A7E4C"/>
    <w:rsid w:val="7B667AF9"/>
    <w:rsid w:val="7B7468F8"/>
    <w:rsid w:val="7B7535A0"/>
    <w:rsid w:val="7BEE0103"/>
    <w:rsid w:val="7C0A0FE4"/>
    <w:rsid w:val="7C1873ED"/>
    <w:rsid w:val="7C221876"/>
    <w:rsid w:val="7C254906"/>
    <w:rsid w:val="7C352D2F"/>
    <w:rsid w:val="7C590818"/>
    <w:rsid w:val="7C7A6994"/>
    <w:rsid w:val="7C7C10F6"/>
    <w:rsid w:val="7C853BEA"/>
    <w:rsid w:val="7C881368"/>
    <w:rsid w:val="7CA0464C"/>
    <w:rsid w:val="7CA633B8"/>
    <w:rsid w:val="7CBD0742"/>
    <w:rsid w:val="7CE27788"/>
    <w:rsid w:val="7D0C32F1"/>
    <w:rsid w:val="7D0F408D"/>
    <w:rsid w:val="7D491C6C"/>
    <w:rsid w:val="7D5429C0"/>
    <w:rsid w:val="7D6E6D43"/>
    <w:rsid w:val="7D8E0949"/>
    <w:rsid w:val="7DAF7A24"/>
    <w:rsid w:val="7DB57A34"/>
    <w:rsid w:val="7DCF2E83"/>
    <w:rsid w:val="7DE60973"/>
    <w:rsid w:val="7DEF0916"/>
    <w:rsid w:val="7E133F99"/>
    <w:rsid w:val="7E1E5218"/>
    <w:rsid w:val="7E2C6D5D"/>
    <w:rsid w:val="7E404117"/>
    <w:rsid w:val="7E4E48BF"/>
    <w:rsid w:val="7E877EF0"/>
    <w:rsid w:val="7E9A4E1F"/>
    <w:rsid w:val="7EA7723A"/>
    <w:rsid w:val="7EC46EEC"/>
    <w:rsid w:val="7EF56FBB"/>
    <w:rsid w:val="7F0768EB"/>
    <w:rsid w:val="7F143BEC"/>
    <w:rsid w:val="7F405C73"/>
    <w:rsid w:val="7F4C09CB"/>
    <w:rsid w:val="7F633A0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06"/>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7">
    <w:name w:val="caption"/>
    <w:basedOn w:val="1"/>
    <w:next w:val="1"/>
    <w:link w:val="229"/>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2"/>
    <w:qFormat/>
    <w:uiPriority w:val="0"/>
    <w:pPr>
      <w:shd w:val="clear" w:color="auto" w:fill="000080"/>
    </w:pPr>
  </w:style>
  <w:style w:type="paragraph" w:styleId="20">
    <w:name w:val="annotation text"/>
    <w:basedOn w:val="1"/>
    <w:link w:val="343"/>
    <w:qFormat/>
    <w:uiPriority w:val="99"/>
    <w:pPr>
      <w:jc w:val="left"/>
    </w:pPr>
  </w:style>
  <w:style w:type="paragraph" w:styleId="21">
    <w:name w:val="Salutation"/>
    <w:basedOn w:val="1"/>
    <w:next w:val="1"/>
    <w:link w:val="297"/>
    <w:qFormat/>
    <w:uiPriority w:val="0"/>
    <w:rPr>
      <w:rFonts w:ascii="仿宋_GB2312" w:eastAsia="仿宋_GB2312"/>
      <w:sz w:val="28"/>
      <w:szCs w:val="20"/>
    </w:rPr>
  </w:style>
  <w:style w:type="paragraph" w:styleId="22">
    <w:name w:val="Body Text 3"/>
    <w:basedOn w:val="1"/>
    <w:link w:val="329"/>
    <w:qFormat/>
    <w:uiPriority w:val="0"/>
    <w:pPr>
      <w:jc w:val="center"/>
    </w:pPr>
    <w:rPr>
      <w:szCs w:val="20"/>
    </w:rPr>
  </w:style>
  <w:style w:type="paragraph" w:styleId="23">
    <w:name w:val="List Bullet 3"/>
    <w:basedOn w:val="1"/>
    <w:unhideWhenUsed/>
    <w:qFormat/>
    <w:uiPriority w:val="0"/>
    <w:pPr>
      <w:snapToGrid w:val="0"/>
      <w:spacing w:line="360" w:lineRule="auto"/>
      <w:ind w:left="360" w:right="238" w:hanging="360"/>
      <w:contextualSpacing/>
    </w:pPr>
    <w:rPr>
      <w:sz w:val="24"/>
    </w:rPr>
  </w:style>
  <w:style w:type="paragraph" w:styleId="24">
    <w:name w:val="Body Text"/>
    <w:basedOn w:val="1"/>
    <w:next w:val="25"/>
    <w:link w:val="429"/>
    <w:qFormat/>
    <w:uiPriority w:val="0"/>
    <w:pPr>
      <w:autoSpaceDE w:val="0"/>
      <w:autoSpaceDN w:val="0"/>
      <w:spacing w:line="360" w:lineRule="auto"/>
    </w:pPr>
    <w:rPr>
      <w:rFonts w:ascii="宋体" w:hAnsi="Arial" w:cs="Arial"/>
      <w:snapToGrid w:val="0"/>
      <w:sz w:val="24"/>
      <w:szCs w:val="21"/>
      <w:lang w:val="zh-CN"/>
    </w:rPr>
  </w:style>
  <w:style w:type="paragraph" w:styleId="25">
    <w:name w:val="Body Text First Indent"/>
    <w:basedOn w:val="24"/>
    <w:link w:val="320"/>
    <w:qFormat/>
    <w:uiPriority w:val="0"/>
    <w:pPr>
      <w:ind w:firstLine="420"/>
    </w:pPr>
    <w:rPr>
      <w:rFonts w:hAnsi="Calibri" w:cs="Times New Roman"/>
      <w:snapToGrid/>
      <w:szCs w:val="20"/>
    </w:rPr>
  </w:style>
  <w:style w:type="paragraph" w:styleId="26">
    <w:name w:val="Body Text Indent"/>
    <w:basedOn w:val="1"/>
    <w:link w:val="264"/>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14"/>
    <w:link w:val="125"/>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1"/>
    <w:qFormat/>
    <w:uiPriority w:val="0"/>
    <w:pPr>
      <w:ind w:left="100" w:leftChars="2500"/>
    </w:pPr>
    <w:rPr>
      <w:rFonts w:ascii="宋体"/>
      <w:sz w:val="24"/>
      <w:szCs w:val="21"/>
      <w:lang w:val="zh-CN"/>
    </w:rPr>
  </w:style>
  <w:style w:type="paragraph" w:styleId="38">
    <w:name w:val="Body Text Indent 2"/>
    <w:basedOn w:val="1"/>
    <w:link w:val="307"/>
    <w:qFormat/>
    <w:uiPriority w:val="0"/>
    <w:pPr>
      <w:spacing w:line="360" w:lineRule="auto"/>
      <w:ind w:firstLine="601"/>
      <w:textAlignment w:val="baseline"/>
    </w:pPr>
    <w:rPr>
      <w:rFonts w:ascii="宋体"/>
      <w:kern w:val="0"/>
      <w:sz w:val="28"/>
      <w:szCs w:val="20"/>
    </w:rPr>
  </w:style>
  <w:style w:type="paragraph" w:styleId="39">
    <w:name w:val="endnote text"/>
    <w:basedOn w:val="1"/>
    <w:link w:val="931"/>
    <w:qFormat/>
    <w:uiPriority w:val="0"/>
    <w:rPr>
      <w:lang w:val="zh-CN"/>
    </w:rPr>
  </w:style>
  <w:style w:type="paragraph" w:styleId="40">
    <w:name w:val="Balloon Text"/>
    <w:basedOn w:val="1"/>
    <w:link w:val="188"/>
    <w:qFormat/>
    <w:uiPriority w:val="0"/>
    <w:rPr>
      <w:sz w:val="18"/>
      <w:szCs w:val="18"/>
    </w:rPr>
  </w:style>
  <w:style w:type="paragraph" w:styleId="41">
    <w:name w:val="footer"/>
    <w:basedOn w:val="1"/>
    <w:link w:val="382"/>
    <w:qFormat/>
    <w:uiPriority w:val="99"/>
    <w:pPr>
      <w:tabs>
        <w:tab w:val="center" w:pos="4153"/>
        <w:tab w:val="right" w:pos="8306"/>
      </w:tabs>
      <w:snapToGrid w:val="0"/>
      <w:jc w:val="left"/>
    </w:pPr>
    <w:rPr>
      <w:sz w:val="18"/>
      <w:szCs w:val="18"/>
    </w:rPr>
  </w:style>
  <w:style w:type="paragraph" w:styleId="42">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4"/>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39"/>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6"/>
    <w:link w:val="309"/>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4"/>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1"/>
    <w:qFormat/>
    <w:uiPriority w:val="0"/>
    <w:pPr>
      <w:spacing w:after="120" w:line="480" w:lineRule="auto"/>
    </w:pPr>
  </w:style>
  <w:style w:type="paragraph" w:styleId="58">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5"/>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0"/>
    <w:next w:val="20"/>
    <w:link w:val="96"/>
    <w:qFormat/>
    <w:uiPriority w:val="0"/>
    <w:rPr>
      <w:b/>
      <w:bCs/>
    </w:rPr>
  </w:style>
  <w:style w:type="paragraph" w:styleId="62">
    <w:name w:val="Body Text First Indent 2"/>
    <w:basedOn w:val="26"/>
    <w:link w:val="121"/>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styleId="80">
    <w:name w:val="HTML Sample"/>
    <w:basedOn w:val="70"/>
    <w:qFormat/>
    <w:uiPriority w:val="0"/>
    <w:rPr>
      <w:rFonts w:ascii="Courier New" w:hAnsi="Courier New"/>
    </w:rPr>
  </w:style>
  <w:style w:type="paragraph" w:customStyle="1" w:styleId="81">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1"/>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2"/>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70"/>
    <w:qFormat/>
    <w:uiPriority w:val="0"/>
    <w:rPr>
      <w:rFonts w:ascii="Arial" w:hAnsi="Arial" w:eastAsia="黑体" w:cs="Arial"/>
      <w:snapToGrid w:val="0"/>
      <w:kern w:val="0"/>
      <w:szCs w:val="21"/>
    </w:rPr>
  </w:style>
  <w:style w:type="character" w:customStyle="1" w:styleId="125">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8"/>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7"/>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7"/>
    <w:qFormat/>
    <w:uiPriority w:val="0"/>
    <w:rPr>
      <w:rFonts w:ascii="宋体"/>
      <w:kern w:val="2"/>
      <w:sz w:val="24"/>
      <w:szCs w:val="21"/>
      <w:lang w:val="zh-CN"/>
    </w:rPr>
  </w:style>
  <w:style w:type="character" w:customStyle="1" w:styleId="182">
    <w:name w:val="标题 9 Char"/>
    <w:link w:val="10"/>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40"/>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16"/>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9"/>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70"/>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1"/>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5"/>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7"/>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81"/>
    <w:qFormat/>
    <w:uiPriority w:val="0"/>
    <w:rPr>
      <w:rFonts w:ascii="仿宋_GB2312"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spacing w:line="360" w:lineRule="auto"/>
      <w:ind w:firstLine="480" w:firstLineChars="200"/>
    </w:pPr>
    <w:rPr>
      <w:kern w:val="0"/>
      <w:sz w:val="24"/>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qFormat/>
    <w:uiPriority w:val="34"/>
    <w:pPr>
      <w:spacing w:line="360" w:lineRule="auto"/>
      <w:ind w:firstLine="200" w:firstLineChars="200"/>
    </w:pPr>
    <w:rPr>
      <w:rFonts w:eastAsia="楷体_GB2312" w:cs="Lucida Sans"/>
      <w:sz w:val="24"/>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Char3"/>
    <w:link w:val="26"/>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spacing w:line="360" w:lineRule="auto"/>
      <w:ind w:firstLine="200" w:firstLineChars="200"/>
    </w:pPr>
    <w:rPr>
      <w:sz w:val="24"/>
    </w:r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Char"/>
    <w:link w:val="2"/>
    <w:qFormat/>
    <w:uiPriority w:val="9"/>
    <w:rPr>
      <w:b/>
      <w:bCs/>
      <w:kern w:val="44"/>
      <w:sz w:val="44"/>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Char2"/>
    <w:link w:val="60"/>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Char"/>
    <w:link w:val="6"/>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Char"/>
    <w:link w:val="21"/>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Char"/>
    <w:link w:val="58"/>
    <w:qFormat/>
    <w:uiPriority w:val="0"/>
    <w:rPr>
      <w:rFonts w:ascii="黑体" w:hAnsi="Courier New" w:eastAsia="黑体"/>
    </w:rPr>
  </w:style>
  <w:style w:type="character" w:customStyle="1" w:styleId="301">
    <w:name w:val="正文文本 2 Char1"/>
    <w:link w:val="57"/>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5"/>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Char"/>
    <w:link w:val="8"/>
    <w:qFormat/>
    <w:uiPriority w:val="0"/>
    <w:rPr>
      <w:b/>
      <w:bCs/>
      <w:kern w:val="2"/>
      <w:sz w:val="24"/>
      <w:szCs w:val="24"/>
    </w:rPr>
  </w:style>
  <w:style w:type="character" w:customStyle="1" w:styleId="307">
    <w:name w:val="正文文本缩进 2 Char"/>
    <w:link w:val="38"/>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Char"/>
    <w:link w:val="51"/>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ascii="宋体" w:hAnsi="Courier New"/>
      <w:kern w:val="0"/>
      <w:sz w:val="20"/>
      <w:szCs w:val="20"/>
    </w:rPr>
  </w:style>
  <w:style w:type="character" w:customStyle="1" w:styleId="320">
    <w:name w:val="正文首行缩进 Char"/>
    <w:link w:val="25"/>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Char2"/>
    <w:link w:val="5"/>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Char"/>
    <w:link w:val="22"/>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spacing w:line="360" w:lineRule="auto"/>
    </w:pPr>
    <w:rPr>
      <w:kern w:val="0"/>
      <w:sz w:val="24"/>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sz w:val="24"/>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Char1"/>
    <w:link w:val="20"/>
    <w:qFormat/>
    <w:uiPriority w:val="99"/>
    <w:rPr>
      <w:kern w:val="2"/>
      <w:sz w:val="21"/>
      <w:szCs w:val="24"/>
    </w:rPr>
  </w:style>
  <w:style w:type="character" w:customStyle="1" w:styleId="344">
    <w:name w:val="签名 Char"/>
    <w:link w:val="43"/>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9"/>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Char"/>
    <w:link w:val="54"/>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Char2"/>
    <w:link w:val="41"/>
    <w:qFormat/>
    <w:locked/>
    <w:uiPriority w:val="99"/>
    <w:rPr>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Char2"/>
    <w:link w:val="42"/>
    <w:qFormat/>
    <w:uiPriority w:val="99"/>
    <w:rPr>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 w:val="24"/>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spacing w:line="360" w:lineRule="auto"/>
      <w:ind w:firstLine="480" w:firstLineChars="200"/>
    </w:pPr>
    <w:rPr>
      <w:rFonts w:ascii="宋体" w:hAnsi="宋体"/>
      <w:sz w:val="24"/>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70"/>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16"/>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430">
    <w:name w:val="gray6"/>
    <w:basedOn w:val="70"/>
    <w:qFormat/>
    <w:uiPriority w:val="0"/>
    <w:rPr>
      <w:rFonts w:ascii="Arial" w:hAnsi="Arial" w:eastAsia="黑体" w:cs="Arial"/>
      <w:snapToGrid w:val="0"/>
      <w:kern w:val="0"/>
      <w:szCs w:val="21"/>
    </w:rPr>
  </w:style>
  <w:style w:type="character" w:customStyle="1" w:styleId="431">
    <w:name w:val="hui"/>
    <w:basedOn w:val="70"/>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5"/>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line="360" w:lineRule="auto"/>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 w:val="24"/>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qFormat/>
    <w:uiPriority w:val="0"/>
    <w:pPr>
      <w:tabs>
        <w:tab w:val="left" w:pos="360"/>
      </w:tabs>
    </w:pPr>
    <w:rPr>
      <w:sz w:val="24"/>
      <w:szCs w:val="20"/>
    </w:rPr>
  </w:style>
  <w:style w:type="paragraph" w:customStyle="1" w:styleId="455">
    <w:name w:val="Char Char11 Char Char Char"/>
    <w:basedOn w:val="1"/>
    <w:qFormat/>
    <w:uiPriority w:val="0"/>
    <w:pPr>
      <w:spacing w:line="360" w:lineRule="auto"/>
    </w:pPr>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sz w:val="24"/>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qFormat/>
    <w:uiPriority w:val="0"/>
    <w:pPr>
      <w:adjustRightInd/>
      <w:spacing w:before="156" w:line="360" w:lineRule="auto"/>
      <w:ind w:firstLine="510" w:firstLineChars="200"/>
    </w:pPr>
    <w:rPr>
      <w:sz w:val="24"/>
      <w:szCs w:val="20"/>
    </w:rPr>
  </w:style>
  <w:style w:type="paragraph" w:customStyle="1" w:styleId="465">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 w:val="24"/>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qFormat/>
    <w:uiPriority w:val="0"/>
    <w:rPr>
      <w:rFonts w:ascii="Tahoma" w:hAnsi="Tahoma"/>
      <w:sz w:val="24"/>
      <w:szCs w:val="20"/>
    </w:rPr>
  </w:style>
  <w:style w:type="paragraph" w:customStyle="1" w:styleId="480">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 w:val="24"/>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4"/>
    <w:next w:val="1"/>
    <w:qFormat/>
    <w:uiPriority w:val="0"/>
    <w:pPr>
      <w:spacing w:line="240" w:lineRule="auto"/>
    </w:pPr>
    <w:rPr>
      <w:sz w:val="28"/>
      <w:szCs w:val="28"/>
    </w:rPr>
  </w:style>
  <w:style w:type="paragraph" w:customStyle="1" w:styleId="496">
    <w:name w:val="FA正文"/>
    <w:basedOn w:val="1"/>
    <w:qFormat/>
    <w:uiPriority w:val="0"/>
    <w:pPr>
      <w:spacing w:line="360" w:lineRule="auto"/>
      <w:ind w:firstLine="480" w:firstLineChars="200"/>
    </w:pPr>
    <w:rPr>
      <w:rFonts w:hAnsi="宋体"/>
      <w:sz w:val="24"/>
      <w:szCs w:val="20"/>
    </w:rPr>
  </w:style>
  <w:style w:type="paragraph" w:customStyle="1" w:styleId="497">
    <w:name w:val="MM Topic 5"/>
    <w:basedOn w:val="6"/>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 w:val="24"/>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4"/>
    <w:qFormat/>
    <w:uiPriority w:val="0"/>
    <w:pPr>
      <w:tabs>
        <w:tab w:val="left" w:pos="1680"/>
      </w:tabs>
      <w:adjustRightInd/>
      <w:ind w:left="1680" w:hanging="420"/>
    </w:pPr>
  </w:style>
  <w:style w:type="paragraph" w:customStyle="1" w:styleId="507">
    <w:name w:val="标准小四"/>
    <w:basedOn w:val="1"/>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 w:val="24"/>
      <w:szCs w:val="20"/>
    </w:rPr>
  </w:style>
  <w:style w:type="paragraph" w:customStyle="1" w:styleId="512">
    <w:name w:val="列出段落5"/>
    <w:basedOn w:val="1"/>
    <w:qFormat/>
    <w:uiPriority w:val="0"/>
    <w:pPr>
      <w:spacing w:line="360" w:lineRule="auto"/>
      <w:ind w:firstLine="200" w:firstLineChars="200"/>
    </w:pPr>
    <w:rPr>
      <w:rFonts w:eastAsia="楷体_GB2312" w:cs="Lucida Sans"/>
      <w:sz w:val="24"/>
    </w:rPr>
  </w:style>
  <w:style w:type="paragraph" w:customStyle="1" w:styleId="513">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16"/>
    <w:qFormat/>
    <w:uiPriority w:val="0"/>
    <w:pPr>
      <w:adjustRightInd/>
      <w:ind w:firstLine="200" w:firstLineChars="200"/>
    </w:pPr>
    <w:rPr>
      <w:rFonts w:ascii="Arial" w:hAnsi="Arial"/>
      <w:spacing w:val="-5"/>
      <w:kern w:val="0"/>
      <w:sz w:val="24"/>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25"/>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pPr>
      <w:spacing w:line="360" w:lineRule="auto"/>
    </w:pPr>
    <w:rPr>
      <w:szCs w:val="20"/>
    </w:rPr>
  </w:style>
  <w:style w:type="paragraph" w:customStyle="1" w:styleId="525">
    <w:name w:val="正文1.25"/>
    <w:basedOn w:val="1"/>
    <w:qFormat/>
    <w:uiPriority w:val="0"/>
    <w:pPr>
      <w:adjustRightInd/>
      <w:spacing w:line="300" w:lineRule="auto"/>
      <w:ind w:firstLine="480" w:firstLineChars="200"/>
    </w:pPr>
    <w:rPr>
      <w:sz w:val="24"/>
      <w:szCs w:val="20"/>
    </w:rPr>
  </w:style>
  <w:style w:type="paragraph" w:customStyle="1" w:styleId="526">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5"/>
    <w:qFormat/>
    <w:uiPriority w:val="0"/>
    <w:pPr>
      <w:widowControl/>
      <w:jc w:val="left"/>
    </w:pPr>
    <w:rPr>
      <w:rFonts w:cs="宋体"/>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81"/>
    <w:next w:val="81"/>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81"/>
    <w:next w:val="81"/>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qFormat/>
    <w:uiPriority w:val="0"/>
    <w:pPr>
      <w:spacing w:line="360" w:lineRule="auto"/>
    </w:pPr>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spacing w:line="360" w:lineRule="auto"/>
      <w:ind w:firstLine="200" w:firstLineChars="200"/>
    </w:pPr>
    <w:rPr>
      <w:rFonts w:ascii="宋体" w:hAnsi="Calibri"/>
      <w:sz w:val="24"/>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1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 w:val="24"/>
      <w:szCs w:val="20"/>
    </w:rPr>
  </w:style>
  <w:style w:type="paragraph" w:customStyle="1" w:styleId="583">
    <w:name w:val="标题五"/>
    <w:basedOn w:val="1"/>
    <w:qFormat/>
    <w:uiPriority w:val="0"/>
    <w:pPr>
      <w:adjustRightInd/>
      <w:spacing w:before="156" w:beforeLines="50" w:line="360" w:lineRule="auto"/>
    </w:pPr>
    <w:rPr>
      <w:b/>
      <w:sz w:val="24"/>
    </w:rPr>
  </w:style>
  <w:style w:type="paragraph" w:customStyle="1" w:styleId="584">
    <w:name w:val="Char Char1101"/>
    <w:basedOn w:val="1"/>
    <w:qFormat/>
    <w:uiPriority w:val="0"/>
    <w:pPr>
      <w:spacing w:line="360" w:lineRule="auto"/>
    </w:pPr>
    <w:rPr>
      <w:rFonts w:ascii="Tahoma" w:hAnsi="Tahoma"/>
      <w:sz w:val="24"/>
      <w:szCs w:val="20"/>
    </w:rPr>
  </w:style>
  <w:style w:type="paragraph" w:customStyle="1" w:styleId="585">
    <w:name w:val="Char Char Char Char Char Char Char Char1"/>
    <w:basedOn w:val="1"/>
    <w:qFormat/>
    <w:uiPriority w:val="0"/>
    <w:pPr>
      <w:tabs>
        <w:tab w:val="left" w:pos="360"/>
      </w:tabs>
    </w:pPr>
    <w:rPr>
      <w:sz w:val="24"/>
      <w:szCs w:val="20"/>
    </w:rPr>
  </w:style>
  <w:style w:type="paragraph" w:customStyle="1" w:styleId="586">
    <w:name w:val="Char Char Char 字元 字元"/>
    <w:basedOn w:val="1"/>
    <w:qFormat/>
    <w:uiPriority w:val="0"/>
    <w:pPr>
      <w:adjustRightInd/>
      <w:spacing w:line="360" w:lineRule="auto"/>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 w:val="24"/>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7"/>
    <w:qFormat/>
    <w:uiPriority w:val="0"/>
    <w:pPr>
      <w:snapToGrid w:val="0"/>
      <w:spacing w:line="360" w:lineRule="auto"/>
    </w:pPr>
    <w:rPr>
      <w:rFonts w:ascii="宋体"/>
      <w:b/>
      <w:sz w:val="24"/>
      <w:szCs w:val="20"/>
    </w:rPr>
  </w:style>
  <w:style w:type="paragraph" w:customStyle="1" w:styleId="60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2"/>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 w:val="24"/>
      <w:szCs w:val="20"/>
    </w:rPr>
  </w:style>
  <w:style w:type="paragraph" w:customStyle="1" w:styleId="627">
    <w:name w:val="表格"/>
    <w:basedOn w:val="1"/>
    <w:qFormat/>
    <w:uiPriority w:val="0"/>
    <w:pPr>
      <w:snapToGrid w:val="0"/>
      <w:ind w:firstLine="42" w:firstLineChars="21"/>
    </w:pPr>
    <w:rPr>
      <w:rFonts w:ascii="宋体" w:hAnsi="宋体"/>
      <w:kern w:val="0"/>
      <w:sz w:val="20"/>
      <w:szCs w:val="20"/>
    </w:rPr>
  </w:style>
  <w:style w:type="paragraph" w:customStyle="1" w:styleId="628">
    <w:name w:val="标书标题4"/>
    <w:basedOn w:val="5"/>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qFormat/>
    <w:uiPriority w:val="0"/>
    <w:pPr>
      <w:adjustRightInd/>
      <w:ind w:firstLine="200" w:firstLineChars="200"/>
    </w:pPr>
    <w:rPr>
      <w:rFonts w:ascii="Tahoma" w:hAnsi="Tahoma"/>
      <w:sz w:val="24"/>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 w:val="24"/>
      <w:szCs w:val="20"/>
    </w:rPr>
  </w:style>
  <w:style w:type="paragraph" w:customStyle="1" w:styleId="653">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qFormat/>
    <w:uiPriority w:val="6"/>
    <w:pPr>
      <w:widowControl/>
      <w:adjustRightInd/>
      <w:ind w:left="720" w:hanging="720"/>
    </w:pPr>
    <w:rPr>
      <w:color w:val="000000"/>
      <w:kern w:val="0"/>
      <w:sz w:val="24"/>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5"/>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rPr>
      <w:sz w:val="24"/>
    </w:rPr>
  </w:style>
  <w:style w:type="paragraph" w:customStyle="1" w:styleId="699">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rPr>
      <w:sz w:val="24"/>
    </w:r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8"/>
    <w:qFormat/>
    <w:uiPriority w:val="0"/>
    <w:pPr>
      <w:spacing w:after="120" w:line="480" w:lineRule="auto"/>
      <w:ind w:left="420" w:leftChars="200"/>
    </w:pPr>
    <w:rPr>
      <w:sz w:val="24"/>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4"/>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 w:val="24"/>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rPr>
      <w:sz w:val="24"/>
    </w:r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 w:val="24"/>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qFormat/>
    <w:uiPriority w:val="0"/>
    <w:pPr>
      <w:adjustRightInd/>
    </w:pPr>
    <w:rPr>
      <w:rFonts w:ascii="Tahoma" w:hAnsi="Tahoma"/>
      <w:sz w:val="24"/>
    </w:rPr>
  </w:style>
  <w:style w:type="paragraph" w:customStyle="1" w:styleId="753">
    <w:name w:val="Char Char Char Char11"/>
    <w:basedOn w:val="1"/>
    <w:qFormat/>
    <w:uiPriority w:val="0"/>
    <w:rPr>
      <w:rFonts w:ascii="Tahoma" w:hAnsi="Tahoma"/>
      <w:sz w:val="24"/>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 w:val="24"/>
      <w:szCs w:val="20"/>
    </w:rPr>
  </w:style>
  <w:style w:type="paragraph" w:customStyle="1" w:styleId="75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 w:val="24"/>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1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4"/>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 w:val="24"/>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1">
    <w:name w:val="单元格左对齐"/>
    <w:basedOn w:val="1"/>
    <w:qFormat/>
    <w:uiPriority w:val="0"/>
    <w:pPr>
      <w:adjustRightInd/>
      <w:spacing w:line="360" w:lineRule="auto"/>
    </w:pPr>
    <w:rPr>
      <w:sz w:val="24"/>
    </w:r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 w:val="24"/>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 w:val="24"/>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 w:val="24"/>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qFormat/>
    <w:uiPriority w:val="0"/>
    <w:rPr>
      <w:rFonts w:ascii="Tahoma" w:hAnsi="Tahoma" w:cs="仿宋_GB2312"/>
      <w:sz w:val="24"/>
      <w:szCs w:val="20"/>
    </w:rPr>
  </w:style>
  <w:style w:type="paragraph" w:customStyle="1" w:styleId="839">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9"/>
    <w:qFormat/>
    <w:uiPriority w:val="0"/>
    <w:pPr>
      <w:snapToGrid w:val="0"/>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6"/>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9"/>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6374B-6140-484F-B0BC-998D31565609}">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125</Pages>
  <Words>201</Words>
  <Characters>250</Characters>
  <Lines>348</Lines>
  <Paragraphs>98</Paragraphs>
  <TotalTime>326</TotalTime>
  <ScaleCrop>false</ScaleCrop>
  <LinksUpToDate>false</LinksUpToDate>
  <CharactersWithSpaces>269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雪儿</cp:lastModifiedBy>
  <cp:lastPrinted>2021-12-27T11:06:00Z</cp:lastPrinted>
  <dcterms:modified xsi:type="dcterms:W3CDTF">2026-06-22T09:39:23Z</dcterms:modified>
  <dc:title>北海市政府采购中心</dc:title>
  <cp:revision>484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4162DF4E3A924FFC86F77FBFB45FDE32_13</vt:lpwstr>
  </property>
  <property fmtid="{D5CDD505-2E9C-101B-9397-08002B2CF9AE}" pid="5" name="KSOTemplateDocerSaveRecord">
    <vt:lpwstr>eyJoZGlkIjoiMTljMTY3MWI0NGEzZDZkZTJkNTM2M2Y3MjgwNGQ1N2QiLCJ1c2VySWQiOiI0MTc4NDQzNjAifQ==</vt:lpwstr>
  </property>
</Properties>
</file>