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95088">
      <w:pPr>
        <w:spacing w:line="360" w:lineRule="auto"/>
        <w:jc w:val="center"/>
        <w:rPr>
          <w:rFonts w:cs="仿宋_GB2312" w:asciiTheme="minorEastAsia" w:hAnsiTheme="minorEastAsia" w:eastAsiaTheme="minorEastAsia"/>
          <w:b/>
          <w:color w:val="auto"/>
          <w:sz w:val="24"/>
          <w:highlight w:val="none"/>
        </w:rPr>
      </w:pPr>
    </w:p>
    <w:p w14:paraId="146DD858">
      <w:pPr>
        <w:adjustRightInd/>
        <w:spacing w:line="360" w:lineRule="auto"/>
        <w:jc w:val="center"/>
        <w:rPr>
          <w:rFonts w:hint="eastAsia" w:cs="仿宋_GB2312" w:asciiTheme="minorEastAsia" w:hAnsiTheme="minorEastAsia" w:eastAsiaTheme="minorEastAsia"/>
          <w:b/>
          <w:bCs/>
          <w:color w:val="auto"/>
          <w:w w:val="95"/>
          <w:sz w:val="72"/>
          <w:szCs w:val="72"/>
          <w:highlight w:val="none"/>
          <w:lang w:val="zh-CN"/>
        </w:rPr>
      </w:pPr>
      <w:r>
        <w:rPr>
          <w:rFonts w:hint="eastAsia" w:cs="仿宋_GB2312" w:asciiTheme="minorEastAsia" w:hAnsiTheme="minorEastAsia" w:eastAsiaTheme="minorEastAsia"/>
          <w:b/>
          <w:bCs/>
          <w:color w:val="auto"/>
          <w:w w:val="95"/>
          <w:sz w:val="44"/>
          <w:szCs w:val="44"/>
          <w:highlight w:val="none"/>
          <w:lang w:val="zh-CN" w:eastAsia="zh-CN"/>
        </w:rPr>
        <w:t>广西壮族自治区第十六届运动会(武术套路、武术散打、围棋)设施设备采购</w:t>
      </w:r>
    </w:p>
    <w:p w14:paraId="191B54FE">
      <w:pPr>
        <w:adjustRightInd/>
        <w:spacing w:line="360" w:lineRule="auto"/>
        <w:jc w:val="center"/>
        <w:rPr>
          <w:rFonts w:hint="eastAsia" w:cs="仿宋_GB2312" w:asciiTheme="minorEastAsia" w:hAnsiTheme="minorEastAsia" w:eastAsiaTheme="minorEastAsia"/>
          <w:b/>
          <w:bCs/>
          <w:color w:val="auto"/>
          <w:w w:val="95"/>
          <w:sz w:val="72"/>
          <w:szCs w:val="72"/>
          <w:highlight w:val="none"/>
          <w:lang w:val="zh-CN"/>
        </w:rPr>
      </w:pPr>
    </w:p>
    <w:p w14:paraId="4B96340C">
      <w:pPr>
        <w:adjustRightInd/>
        <w:spacing w:line="360" w:lineRule="auto"/>
        <w:jc w:val="center"/>
        <w:rPr>
          <w:rFonts w:cs="仿宋_GB2312" w:asciiTheme="minorEastAsia" w:hAnsiTheme="minorEastAsia" w:eastAsiaTheme="minorEastAsia"/>
          <w:b/>
          <w:color w:val="auto"/>
          <w:sz w:val="72"/>
          <w:szCs w:val="72"/>
          <w:highlight w:val="none"/>
        </w:rPr>
      </w:pPr>
      <w:r>
        <w:rPr>
          <w:rFonts w:hint="eastAsia" w:cs="仿宋_GB2312" w:asciiTheme="minorEastAsia" w:hAnsiTheme="minorEastAsia" w:eastAsiaTheme="minorEastAsia"/>
          <w:b/>
          <w:bCs/>
          <w:color w:val="auto"/>
          <w:w w:val="95"/>
          <w:sz w:val="72"/>
          <w:szCs w:val="72"/>
          <w:highlight w:val="none"/>
          <w:lang w:val="zh-CN"/>
        </w:rPr>
        <w:t>竞争性谈判</w:t>
      </w:r>
      <w:r>
        <w:rPr>
          <w:rFonts w:hint="eastAsia" w:cs="仿宋_GB2312" w:asciiTheme="minorEastAsia" w:hAnsiTheme="minorEastAsia" w:eastAsiaTheme="minorEastAsia"/>
          <w:b/>
          <w:color w:val="auto"/>
          <w:sz w:val="72"/>
          <w:szCs w:val="72"/>
          <w:highlight w:val="none"/>
        </w:rPr>
        <w:t>文件</w:t>
      </w:r>
    </w:p>
    <w:p w14:paraId="00F9FAB7">
      <w:pPr>
        <w:adjustRightInd/>
        <w:spacing w:line="360" w:lineRule="auto"/>
        <w:jc w:val="center"/>
        <w:rPr>
          <w:rFonts w:cs="仿宋_GB2312" w:asciiTheme="minorEastAsia" w:hAnsiTheme="minorEastAsia" w:eastAsiaTheme="minorEastAsia"/>
          <w:b/>
          <w:color w:val="auto"/>
          <w:sz w:val="44"/>
          <w:szCs w:val="44"/>
          <w:highlight w:val="none"/>
        </w:rPr>
      </w:pPr>
      <w:r>
        <w:rPr>
          <w:rFonts w:hint="eastAsia" w:cs="仿宋_GB2312" w:asciiTheme="minorEastAsia" w:hAnsiTheme="minorEastAsia" w:eastAsiaTheme="minorEastAsia"/>
          <w:b/>
          <w:color w:val="auto"/>
          <w:sz w:val="44"/>
          <w:szCs w:val="44"/>
          <w:highlight w:val="none"/>
        </w:rPr>
        <w:t>（电子交易）</w:t>
      </w:r>
    </w:p>
    <w:p w14:paraId="6C5FA1F9">
      <w:pPr>
        <w:snapToGrid w:val="0"/>
        <w:spacing w:line="360" w:lineRule="auto"/>
        <w:jc w:val="center"/>
        <w:rPr>
          <w:rFonts w:hint="eastAsia" w:cs="仿宋_GB2312" w:asciiTheme="minorEastAsia" w:hAnsiTheme="minorEastAsia" w:eastAsiaTheme="minorEastAsia"/>
          <w:color w:val="auto"/>
          <w:sz w:val="30"/>
          <w:szCs w:val="30"/>
          <w:highlight w:val="none"/>
          <w:lang w:eastAsia="zh-CN"/>
        </w:rPr>
      </w:pPr>
      <w:r>
        <w:rPr>
          <w:rFonts w:hint="eastAsia" w:cs="仿宋_GB2312" w:asciiTheme="minorEastAsia" w:hAnsiTheme="minorEastAsia" w:eastAsiaTheme="minorEastAsia"/>
          <w:color w:val="auto"/>
          <w:sz w:val="30"/>
          <w:szCs w:val="30"/>
          <w:highlight w:val="none"/>
        </w:rPr>
        <w:t>项目编号:</w:t>
      </w:r>
      <w:r>
        <w:rPr>
          <w:rFonts w:hint="eastAsia" w:cs="仿宋_GB2312" w:asciiTheme="minorEastAsia" w:hAnsiTheme="minorEastAsia" w:eastAsiaTheme="minorEastAsia"/>
          <w:color w:val="auto"/>
          <w:sz w:val="30"/>
          <w:szCs w:val="30"/>
          <w:highlight w:val="none"/>
          <w:lang w:eastAsia="zh-CN"/>
        </w:rPr>
        <w:t>BHZC2026-J1-990270-BBWH</w:t>
      </w:r>
    </w:p>
    <w:p w14:paraId="35940DF7">
      <w:pPr>
        <w:adjustRightInd/>
        <w:spacing w:line="360" w:lineRule="auto"/>
        <w:rPr>
          <w:rFonts w:cs="仿宋_GB2312" w:asciiTheme="minorEastAsia" w:hAnsiTheme="minorEastAsia" w:eastAsiaTheme="minorEastAsia"/>
          <w:color w:val="auto"/>
          <w:sz w:val="28"/>
          <w:szCs w:val="20"/>
          <w:highlight w:val="none"/>
        </w:rPr>
      </w:pPr>
    </w:p>
    <w:p w14:paraId="2C62D7B8">
      <w:pPr>
        <w:spacing w:line="360" w:lineRule="auto"/>
        <w:jc w:val="center"/>
        <w:rPr>
          <w:rFonts w:cs="仿宋_GB2312" w:asciiTheme="minorEastAsia" w:hAnsiTheme="minorEastAsia" w:eastAsiaTheme="minorEastAsia"/>
          <w:color w:val="auto"/>
          <w:sz w:val="24"/>
          <w:highlight w:val="none"/>
        </w:rPr>
      </w:pPr>
      <w:r>
        <w:rPr>
          <w:rFonts w:hint="eastAsia" w:ascii="宋体" w:hAnsi="宋体" w:eastAsia="宋体" w:cs="宋体"/>
          <w:color w:val="auto"/>
          <w:sz w:val="28"/>
          <w:highlight w:val="none"/>
        </w:rPr>
        <w:drawing>
          <wp:inline distT="0" distB="0" distL="114300" distR="114300">
            <wp:extent cx="2514600" cy="1597660"/>
            <wp:effectExtent l="0" t="0" r="0" b="0"/>
            <wp:docPr id="8" name="图片 1"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宏亚logo"/>
                    <pic:cNvPicPr>
                      <a:picLocks noChangeAspect="1"/>
                    </pic:cNvPicPr>
                  </pic:nvPicPr>
                  <pic:blipFill>
                    <a:blip r:embed="rId10"/>
                    <a:srcRect t="15124" b="14537"/>
                    <a:stretch>
                      <a:fillRect/>
                    </a:stretch>
                  </pic:blipFill>
                  <pic:spPr>
                    <a:xfrm>
                      <a:off x="0" y="0"/>
                      <a:ext cx="2514600" cy="1597660"/>
                    </a:xfrm>
                    <a:prstGeom prst="rect">
                      <a:avLst/>
                    </a:prstGeom>
                    <a:noFill/>
                    <a:ln>
                      <a:noFill/>
                    </a:ln>
                  </pic:spPr>
                </pic:pic>
              </a:graphicData>
            </a:graphic>
          </wp:inline>
        </w:drawing>
      </w:r>
    </w:p>
    <w:p w14:paraId="5722CDC1">
      <w:pPr>
        <w:pStyle w:val="182"/>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highlight w:val="none"/>
        </w:rPr>
      </w:pPr>
    </w:p>
    <w:p w14:paraId="18918A9D">
      <w:pPr>
        <w:spacing w:line="360" w:lineRule="auto"/>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color w:val="auto"/>
          <w:sz w:val="24"/>
          <w:highlight w:val="none"/>
        </w:rPr>
        <w:t xml:space="preserve">                                      </w:t>
      </w:r>
    </w:p>
    <w:p w14:paraId="61EBE3E5">
      <w:pPr>
        <w:snapToGrid w:val="0"/>
        <w:spacing w:line="360" w:lineRule="auto"/>
        <w:jc w:val="center"/>
        <w:rPr>
          <w:rFonts w:cs="仿宋_GB2312" w:asciiTheme="minorEastAsia" w:hAnsiTheme="minorEastAsia" w:eastAsiaTheme="minorEastAsia"/>
          <w:color w:val="auto"/>
          <w:sz w:val="32"/>
          <w:szCs w:val="32"/>
          <w:highlight w:val="none"/>
        </w:rPr>
      </w:pPr>
    </w:p>
    <w:p w14:paraId="25017BCC">
      <w:pPr>
        <w:snapToGrid w:val="0"/>
        <w:spacing w:line="360" w:lineRule="auto"/>
        <w:jc w:val="center"/>
        <w:rPr>
          <w:rFonts w:cs="仿宋_GB2312" w:asciiTheme="minorEastAsia" w:hAnsiTheme="minorEastAsia" w:eastAsiaTheme="minorEastAsia"/>
          <w:color w:val="auto"/>
          <w:sz w:val="32"/>
          <w:szCs w:val="32"/>
          <w:highlight w:val="none"/>
        </w:rPr>
      </w:pPr>
    </w:p>
    <w:p w14:paraId="2454CF87">
      <w:pPr>
        <w:snapToGrid w:val="0"/>
        <w:spacing w:line="360" w:lineRule="auto"/>
        <w:jc w:val="center"/>
        <w:rPr>
          <w:rFonts w:cs="仿宋_GB2312" w:asciiTheme="minorEastAsia" w:hAnsiTheme="minorEastAsia" w:eastAsiaTheme="minorEastAsia"/>
          <w:color w:val="auto"/>
          <w:sz w:val="32"/>
          <w:szCs w:val="32"/>
          <w:highlight w:val="none"/>
        </w:rPr>
      </w:pPr>
      <w:r>
        <w:rPr>
          <w:rFonts w:hint="eastAsia" w:ascii="宋体" w:hAnsi="宋体" w:cs="宋体"/>
          <w:color w:val="auto"/>
          <w:sz w:val="32"/>
          <w:szCs w:val="32"/>
          <w:highlight w:val="none"/>
        </w:rPr>
        <w:t>采购人</w:t>
      </w:r>
      <w:r>
        <w:rPr>
          <w:rFonts w:hint="eastAsia" w:ascii="宋体" w:hAnsi="宋体" w:cs="宋体"/>
          <w:color w:val="auto"/>
          <w:sz w:val="32"/>
          <w:szCs w:val="32"/>
          <w:highlight w:val="none"/>
          <w:lang w:eastAsia="zh-CN"/>
        </w:rPr>
        <w:t>：</w:t>
      </w:r>
      <w:r>
        <w:rPr>
          <w:rFonts w:hint="eastAsia" w:ascii="宋体" w:hAnsi="宋体" w:cs="宋体"/>
          <w:color w:val="auto"/>
          <w:sz w:val="32"/>
          <w:szCs w:val="32"/>
          <w:highlight w:val="none"/>
          <w:lang w:val="en-US" w:eastAsia="zh-CN"/>
        </w:rPr>
        <w:t>北海市旅游文体局</w:t>
      </w:r>
    </w:p>
    <w:p w14:paraId="7BA5928E">
      <w:pPr>
        <w:spacing w:line="360" w:lineRule="auto"/>
        <w:jc w:val="center"/>
        <w:rPr>
          <w:rFonts w:hint="default" w:cs="仿宋_GB2312" w:asciiTheme="minorEastAsia" w:hAnsiTheme="minorEastAsia" w:eastAsiaTheme="minorEastAsia"/>
          <w:bCs/>
          <w:color w:val="auto"/>
          <w:sz w:val="32"/>
          <w:szCs w:val="32"/>
          <w:highlight w:val="none"/>
          <w:lang w:val="en-US"/>
        </w:rPr>
      </w:pPr>
      <w:r>
        <w:rPr>
          <w:rFonts w:hint="eastAsia" w:ascii="宋体" w:hAnsi="宋体" w:cs="宋体"/>
          <w:bCs/>
          <w:color w:val="auto"/>
          <w:sz w:val="32"/>
          <w:szCs w:val="32"/>
          <w:highlight w:val="none"/>
        </w:rPr>
        <w:t>采购代理机构</w:t>
      </w:r>
      <w:r>
        <w:rPr>
          <w:rFonts w:hint="eastAsia" w:ascii="宋体" w:hAnsi="宋体" w:cs="宋体"/>
          <w:bCs/>
          <w:color w:val="auto"/>
          <w:sz w:val="32"/>
          <w:szCs w:val="32"/>
          <w:highlight w:val="none"/>
          <w:lang w:eastAsia="zh-CN"/>
        </w:rPr>
        <w:t>：</w:t>
      </w:r>
      <w:r>
        <w:rPr>
          <w:rFonts w:hint="eastAsia" w:ascii="宋体" w:hAnsi="宋体" w:cs="宋体"/>
          <w:bCs/>
          <w:color w:val="auto"/>
          <w:sz w:val="32"/>
          <w:szCs w:val="32"/>
          <w:highlight w:val="none"/>
          <w:lang w:val="en-US" w:eastAsia="zh-CN"/>
        </w:rPr>
        <w:t>广西北部湾宏亚建设管理有限公司</w:t>
      </w:r>
    </w:p>
    <w:p w14:paraId="560CCD74">
      <w:pPr>
        <w:snapToGrid w:val="0"/>
        <w:spacing w:line="360" w:lineRule="auto"/>
        <w:jc w:val="center"/>
        <w:rPr>
          <w:rFonts w:hint="default" w:cs="仿宋_GB2312" w:asciiTheme="minorEastAsia" w:hAnsiTheme="minorEastAsia" w:eastAsiaTheme="minorEastAsia"/>
          <w:bCs/>
          <w:color w:val="auto"/>
          <w:sz w:val="32"/>
          <w:szCs w:val="32"/>
          <w:highlight w:val="none"/>
          <w:lang w:val="en-US"/>
        </w:rPr>
      </w:pPr>
      <w:r>
        <w:rPr>
          <w:rFonts w:hint="eastAsia" w:cs="仿宋_GB2312" w:asciiTheme="minorEastAsia" w:hAnsiTheme="minorEastAsia" w:eastAsiaTheme="minorEastAsia"/>
          <w:bCs/>
          <w:color w:val="auto"/>
          <w:sz w:val="32"/>
          <w:szCs w:val="32"/>
          <w:highlight w:val="none"/>
        </w:rPr>
        <w:t>二</w:t>
      </w:r>
      <w:r>
        <w:rPr>
          <w:rFonts w:hint="eastAsia" w:cs="宋体" w:asciiTheme="minorEastAsia" w:hAnsiTheme="minorEastAsia" w:eastAsiaTheme="minorEastAsia"/>
          <w:bCs/>
          <w:color w:val="auto"/>
          <w:sz w:val="32"/>
          <w:szCs w:val="32"/>
          <w:highlight w:val="none"/>
        </w:rPr>
        <w:t>〇</w:t>
      </w:r>
      <w:r>
        <w:rPr>
          <w:rFonts w:hint="eastAsia" w:cs="仿宋_GB2312" w:asciiTheme="minorEastAsia" w:hAnsiTheme="minorEastAsia" w:eastAsiaTheme="minorEastAsia"/>
          <w:bCs/>
          <w:color w:val="auto"/>
          <w:sz w:val="32"/>
          <w:szCs w:val="32"/>
          <w:highlight w:val="none"/>
        </w:rPr>
        <w:t>二</w:t>
      </w:r>
      <w:r>
        <w:rPr>
          <w:rFonts w:hint="eastAsia" w:cs="仿宋_GB2312" w:asciiTheme="minorEastAsia" w:hAnsiTheme="minorEastAsia" w:eastAsiaTheme="minorEastAsia"/>
          <w:bCs/>
          <w:color w:val="auto"/>
          <w:sz w:val="32"/>
          <w:szCs w:val="32"/>
          <w:highlight w:val="none"/>
          <w:lang w:val="en-US" w:eastAsia="zh-CN"/>
        </w:rPr>
        <w:t>六</w:t>
      </w:r>
      <w:r>
        <w:rPr>
          <w:rFonts w:hint="eastAsia" w:cs="仿宋_GB2312" w:asciiTheme="minorEastAsia" w:hAnsiTheme="minorEastAsia" w:eastAsiaTheme="minorEastAsia"/>
          <w:bCs/>
          <w:color w:val="auto"/>
          <w:sz w:val="32"/>
          <w:szCs w:val="32"/>
          <w:highlight w:val="none"/>
        </w:rPr>
        <w:t>年</w:t>
      </w:r>
      <w:r>
        <w:rPr>
          <w:rFonts w:hint="eastAsia" w:cs="仿宋_GB2312" w:asciiTheme="minorEastAsia" w:hAnsiTheme="minorEastAsia" w:eastAsiaTheme="minorEastAsia"/>
          <w:bCs/>
          <w:color w:val="auto"/>
          <w:sz w:val="32"/>
          <w:szCs w:val="32"/>
          <w:highlight w:val="none"/>
          <w:lang w:val="en-US" w:eastAsia="zh-CN"/>
        </w:rPr>
        <w:t>八</w:t>
      </w:r>
      <w:r>
        <w:rPr>
          <w:rFonts w:hint="eastAsia" w:cs="仿宋_GB2312" w:asciiTheme="minorEastAsia" w:hAnsiTheme="minorEastAsia" w:eastAsiaTheme="minorEastAsia"/>
          <w:bCs/>
          <w:color w:val="auto"/>
          <w:sz w:val="32"/>
          <w:szCs w:val="32"/>
          <w:highlight w:val="none"/>
        </w:rPr>
        <w:t>月</w:t>
      </w:r>
    </w:p>
    <w:p w14:paraId="01F29BAB">
      <w:pPr>
        <w:tabs>
          <w:tab w:val="left" w:pos="2268"/>
        </w:tabs>
        <w:spacing w:line="360" w:lineRule="auto"/>
        <w:jc w:val="center"/>
        <w:rPr>
          <w:rFonts w:cs="仿宋_GB2312" w:asciiTheme="minorEastAsia" w:hAnsiTheme="minorEastAsia" w:eastAsiaTheme="minorEastAsia"/>
          <w:color w:val="auto"/>
          <w:sz w:val="24"/>
          <w:highlight w:val="none"/>
        </w:rPr>
        <w:sectPr>
          <w:headerReference r:id="rId3" w:type="default"/>
          <w:pgSz w:w="11906" w:h="16838"/>
          <w:pgMar w:top="1417" w:right="1417" w:bottom="1417" w:left="1417" w:header="748" w:footer="720" w:gutter="0"/>
          <w:pgBorders>
            <w:top w:val="none" w:sz="0" w:space="0"/>
            <w:left w:val="none" w:sz="0" w:space="0"/>
            <w:bottom w:val="none" w:sz="0" w:space="0"/>
            <w:right w:val="none" w:sz="0" w:space="0"/>
          </w:pgBorders>
          <w:pgNumType w:fmt="decimal"/>
          <w:cols w:space="0" w:num="1"/>
          <w:rtlGutter w:val="0"/>
          <w:docGrid w:linePitch="312" w:charSpace="0"/>
        </w:sectPr>
      </w:pPr>
    </w:p>
    <w:p w14:paraId="23F756EF">
      <w:pPr>
        <w:tabs>
          <w:tab w:val="left" w:pos="2268"/>
        </w:tabs>
        <w:spacing w:line="360" w:lineRule="auto"/>
        <w:jc w:val="center"/>
        <w:rPr>
          <w:rFonts w:cs="仿宋_GB2312" w:asciiTheme="minorEastAsia" w:hAnsiTheme="minorEastAsia" w:eastAsiaTheme="minorEastAsia"/>
          <w:color w:val="auto"/>
          <w:sz w:val="24"/>
          <w:highlight w:val="none"/>
        </w:rPr>
      </w:pPr>
    </w:p>
    <w:p w14:paraId="2795DC1A">
      <w:pPr>
        <w:spacing w:line="360" w:lineRule="auto"/>
        <w:jc w:val="center"/>
        <w:rPr>
          <w:rFonts w:cs="仿宋_GB2312" w:asciiTheme="minorEastAsia" w:hAnsiTheme="minorEastAsia" w:eastAsiaTheme="minorEastAsia"/>
          <w:b/>
          <w:color w:val="auto"/>
          <w:sz w:val="48"/>
          <w:szCs w:val="48"/>
          <w:highlight w:val="none"/>
        </w:rPr>
      </w:pPr>
      <w:r>
        <w:rPr>
          <w:rFonts w:hint="eastAsia" w:cs="仿宋_GB2312" w:asciiTheme="minorEastAsia" w:hAnsiTheme="minorEastAsia" w:eastAsiaTheme="minorEastAsia"/>
          <w:b/>
          <w:color w:val="auto"/>
          <w:sz w:val="48"/>
          <w:szCs w:val="48"/>
          <w:highlight w:val="none"/>
        </w:rPr>
        <w:t>目  录</w:t>
      </w:r>
    </w:p>
    <w:p w14:paraId="13E278E2">
      <w:pPr>
        <w:spacing w:line="360" w:lineRule="auto"/>
        <w:rPr>
          <w:rFonts w:cs="仿宋_GB2312" w:asciiTheme="minorEastAsia" w:hAnsiTheme="minorEastAsia" w:eastAsiaTheme="minorEastAsia"/>
          <w:color w:val="auto"/>
          <w:sz w:val="32"/>
          <w:szCs w:val="32"/>
          <w:highlight w:val="none"/>
        </w:rPr>
      </w:pPr>
    </w:p>
    <w:p w14:paraId="6F8C8530">
      <w:pPr>
        <w:pStyle w:val="40"/>
        <w:tabs>
          <w:tab w:val="right" w:leader="dot" w:pos="9072"/>
        </w:tabs>
        <w:spacing w:line="360" w:lineRule="auto"/>
        <w:rPr>
          <w:color w:val="auto"/>
          <w:sz w:val="28"/>
          <w:szCs w:val="28"/>
          <w:highlight w:val="none"/>
        </w:rPr>
      </w:pPr>
      <w:bookmarkStart w:id="0" w:name="_Hlt91233176"/>
      <w:bookmarkEnd w:id="0"/>
      <w:bookmarkStart w:id="1" w:name="_Toc91899869"/>
      <w:r>
        <w:rPr>
          <w:rFonts w:cs="仿宋_GB2312" w:asciiTheme="minorEastAsia" w:hAnsiTheme="minorEastAsia" w:eastAsiaTheme="minorEastAsia"/>
          <w:color w:val="auto"/>
          <w:sz w:val="32"/>
          <w:szCs w:val="32"/>
          <w:highlight w:val="none"/>
        </w:rPr>
        <w:fldChar w:fldCharType="begin"/>
      </w:r>
      <w:r>
        <w:rPr>
          <w:rFonts w:cs="仿宋_GB2312" w:asciiTheme="minorEastAsia" w:hAnsiTheme="minorEastAsia" w:eastAsiaTheme="minorEastAsia"/>
          <w:color w:val="auto"/>
          <w:sz w:val="32"/>
          <w:szCs w:val="32"/>
          <w:highlight w:val="none"/>
        </w:rPr>
        <w:instrText xml:space="preserve"> TOC \o "1-1" \h \z \u </w:instrText>
      </w:r>
      <w:r>
        <w:rPr>
          <w:rFonts w:cs="仿宋_GB2312" w:asciiTheme="minorEastAsia" w:hAnsiTheme="minorEastAsia" w:eastAsiaTheme="minorEastAsia"/>
          <w:color w:val="auto"/>
          <w:sz w:val="32"/>
          <w:szCs w:val="32"/>
          <w:highlight w:val="none"/>
        </w:rPr>
        <w:fldChar w:fldCharType="separate"/>
      </w: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_Toc31156 </w:instrText>
      </w:r>
      <w:r>
        <w:rPr>
          <w:rFonts w:cs="仿宋_GB2312" w:asciiTheme="minorEastAsia" w:hAnsiTheme="minorEastAsia" w:eastAsiaTheme="minorEastAsia"/>
          <w:color w:val="auto"/>
          <w:sz w:val="28"/>
          <w:szCs w:val="28"/>
          <w:highlight w:val="none"/>
        </w:rPr>
        <w:fldChar w:fldCharType="separate"/>
      </w:r>
      <w:r>
        <w:rPr>
          <w:rFonts w:hint="eastAsia"/>
          <w:color w:val="auto"/>
          <w:sz w:val="28"/>
          <w:szCs w:val="28"/>
          <w:highlight w:val="none"/>
        </w:rPr>
        <w:t>第一部分  邀请供应商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_Toc31156 \h </w:instrText>
      </w:r>
      <w:r>
        <w:rPr>
          <w:color w:val="auto"/>
          <w:sz w:val="28"/>
          <w:szCs w:val="28"/>
          <w:highlight w:val="none"/>
        </w:rPr>
        <w:fldChar w:fldCharType="separate"/>
      </w:r>
      <w:r>
        <w:rPr>
          <w:color w:val="auto"/>
          <w:sz w:val="28"/>
          <w:szCs w:val="28"/>
          <w:highlight w:val="none"/>
        </w:rPr>
        <w:t>2</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6A5D2E9A">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_Toc6420 </w:instrText>
      </w:r>
      <w:r>
        <w:rPr>
          <w:rFonts w:cs="仿宋_GB2312" w:asciiTheme="minorEastAsia" w:hAnsiTheme="minorEastAsia" w:eastAsiaTheme="minorEastAsia"/>
          <w:color w:val="auto"/>
          <w:sz w:val="28"/>
          <w:szCs w:val="28"/>
          <w:highlight w:val="none"/>
        </w:rPr>
        <w:fldChar w:fldCharType="separate"/>
      </w:r>
      <w:r>
        <w:rPr>
          <w:rFonts w:hint="eastAsia"/>
          <w:color w:val="auto"/>
          <w:sz w:val="28"/>
          <w:szCs w:val="28"/>
          <w:highlight w:val="none"/>
        </w:rPr>
        <w:t>第二部分  竞争性谈判流程</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_Toc6420 \h </w:instrText>
      </w:r>
      <w:r>
        <w:rPr>
          <w:color w:val="auto"/>
          <w:sz w:val="28"/>
          <w:szCs w:val="28"/>
          <w:highlight w:val="none"/>
        </w:rPr>
        <w:fldChar w:fldCharType="separate"/>
      </w:r>
      <w:r>
        <w:rPr>
          <w:color w:val="auto"/>
          <w:sz w:val="28"/>
          <w:szCs w:val="28"/>
          <w:highlight w:val="none"/>
        </w:rPr>
        <w:t>5</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78442AF7">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_Toc14924 </w:instrText>
      </w:r>
      <w:r>
        <w:rPr>
          <w:rFonts w:cs="仿宋_GB2312" w:asciiTheme="minorEastAsia" w:hAnsiTheme="minorEastAsia" w:eastAsiaTheme="minorEastAsia"/>
          <w:color w:val="auto"/>
          <w:sz w:val="28"/>
          <w:szCs w:val="28"/>
          <w:highlight w:val="none"/>
        </w:rPr>
        <w:fldChar w:fldCharType="separate"/>
      </w:r>
      <w:r>
        <w:rPr>
          <w:rFonts w:hint="eastAsia"/>
          <w:color w:val="auto"/>
          <w:sz w:val="28"/>
          <w:szCs w:val="28"/>
          <w:highlight w:val="none"/>
        </w:rPr>
        <w:t>第三部分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_Toc14924 \h </w:instrText>
      </w:r>
      <w:r>
        <w:rPr>
          <w:color w:val="auto"/>
          <w:sz w:val="28"/>
          <w:szCs w:val="28"/>
          <w:highlight w:val="none"/>
        </w:rPr>
        <w:fldChar w:fldCharType="separate"/>
      </w:r>
      <w:r>
        <w:rPr>
          <w:color w:val="auto"/>
          <w:sz w:val="28"/>
          <w:szCs w:val="28"/>
          <w:highlight w:val="none"/>
        </w:rPr>
        <w:t>9</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2DEE4424">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_Toc7817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第四部分  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_Toc7817 \h </w:instrText>
      </w:r>
      <w:r>
        <w:rPr>
          <w:color w:val="auto"/>
          <w:sz w:val="28"/>
          <w:szCs w:val="28"/>
          <w:highlight w:val="none"/>
        </w:rPr>
        <w:fldChar w:fldCharType="separate"/>
      </w:r>
      <w:r>
        <w:rPr>
          <w:color w:val="auto"/>
          <w:sz w:val="28"/>
          <w:szCs w:val="28"/>
          <w:highlight w:val="none"/>
        </w:rPr>
        <w:t>28</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543A2596">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_Toc2129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第五部分  评定标准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_Toc2129 \h </w:instrText>
      </w:r>
      <w:r>
        <w:rPr>
          <w:color w:val="auto"/>
          <w:sz w:val="28"/>
          <w:szCs w:val="28"/>
          <w:highlight w:val="none"/>
        </w:rPr>
        <w:fldChar w:fldCharType="separate"/>
      </w:r>
      <w:r>
        <w:rPr>
          <w:color w:val="auto"/>
          <w:sz w:val="28"/>
          <w:szCs w:val="28"/>
          <w:highlight w:val="none"/>
        </w:rPr>
        <w:t>39</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4271B632">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_Toc31982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第六部分  拟签订的合同文本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_Toc31982 \h </w:instrText>
      </w:r>
      <w:r>
        <w:rPr>
          <w:color w:val="auto"/>
          <w:sz w:val="28"/>
          <w:szCs w:val="28"/>
          <w:highlight w:val="none"/>
        </w:rPr>
        <w:fldChar w:fldCharType="separate"/>
      </w:r>
      <w:r>
        <w:rPr>
          <w:color w:val="auto"/>
          <w:sz w:val="28"/>
          <w:szCs w:val="28"/>
          <w:highlight w:val="none"/>
        </w:rPr>
        <w:t>45</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0B7050E5">
      <w:pPr>
        <w:pStyle w:val="40"/>
        <w:tabs>
          <w:tab w:val="right" w:leader="dot" w:pos="9072"/>
        </w:tabs>
        <w:spacing w:line="360" w:lineRule="auto"/>
        <w:rPr>
          <w:color w:val="auto"/>
          <w:sz w:val="28"/>
          <w:szCs w:val="28"/>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_Toc26858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第七部分  应提交的有关格式范例</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_Toc26858 \h </w:instrText>
      </w:r>
      <w:r>
        <w:rPr>
          <w:color w:val="auto"/>
          <w:sz w:val="28"/>
          <w:szCs w:val="28"/>
          <w:highlight w:val="none"/>
        </w:rPr>
        <w:fldChar w:fldCharType="separate"/>
      </w:r>
      <w:r>
        <w:rPr>
          <w:color w:val="auto"/>
          <w:sz w:val="28"/>
          <w:szCs w:val="28"/>
          <w:highlight w:val="none"/>
        </w:rPr>
        <w:t>62</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0EBE6BE7">
      <w:pPr>
        <w:pStyle w:val="40"/>
        <w:tabs>
          <w:tab w:val="right" w:leader="dot" w:pos="9072"/>
        </w:tabs>
        <w:spacing w:line="360" w:lineRule="auto"/>
        <w:rPr>
          <w:color w:val="auto"/>
          <w:highlight w:val="none"/>
        </w:rPr>
      </w:pPr>
      <w:r>
        <w:rPr>
          <w:rFonts w:cs="仿宋_GB2312" w:asciiTheme="minorEastAsia" w:hAnsiTheme="minorEastAsia" w:eastAsiaTheme="minorEastAsia"/>
          <w:color w:val="auto"/>
          <w:sz w:val="28"/>
          <w:szCs w:val="28"/>
          <w:highlight w:val="none"/>
        </w:rPr>
        <w:fldChar w:fldCharType="begin"/>
      </w:r>
      <w:r>
        <w:rPr>
          <w:rFonts w:cs="仿宋_GB2312" w:asciiTheme="minorEastAsia" w:hAnsiTheme="minorEastAsia" w:eastAsiaTheme="minorEastAsia"/>
          <w:color w:val="auto"/>
          <w:sz w:val="28"/>
          <w:szCs w:val="28"/>
          <w:highlight w:val="none"/>
        </w:rPr>
        <w:instrText xml:space="preserve"> HYPERLINK \l _Toc26731 </w:instrText>
      </w:r>
      <w:r>
        <w:rPr>
          <w:rFonts w:cs="仿宋_GB2312" w:asciiTheme="minorEastAsia" w:hAnsiTheme="minorEastAsia" w:eastAsiaTheme="minorEastAsia"/>
          <w:color w:val="auto"/>
          <w:sz w:val="28"/>
          <w:szCs w:val="28"/>
          <w:highlight w:val="none"/>
        </w:rPr>
        <w:fldChar w:fldCharType="separate"/>
      </w:r>
      <w:r>
        <w:rPr>
          <w:rFonts w:hint="eastAsia" w:cs="仿宋_GB2312" w:asciiTheme="minorEastAsia" w:hAnsiTheme="minorEastAsia" w:eastAsiaTheme="minorEastAsia"/>
          <w:color w:val="auto"/>
          <w:sz w:val="28"/>
          <w:szCs w:val="28"/>
          <w:highlight w:val="none"/>
        </w:rPr>
        <w:t>第八部分  最后报价格式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_Toc26731 \h </w:instrText>
      </w:r>
      <w:r>
        <w:rPr>
          <w:color w:val="auto"/>
          <w:sz w:val="28"/>
          <w:szCs w:val="28"/>
          <w:highlight w:val="none"/>
        </w:rPr>
        <w:fldChar w:fldCharType="separate"/>
      </w:r>
      <w:r>
        <w:rPr>
          <w:color w:val="auto"/>
          <w:sz w:val="28"/>
          <w:szCs w:val="28"/>
          <w:highlight w:val="none"/>
        </w:rPr>
        <w:t>78</w:t>
      </w:r>
      <w:r>
        <w:rPr>
          <w:color w:val="auto"/>
          <w:sz w:val="28"/>
          <w:szCs w:val="28"/>
          <w:highlight w:val="none"/>
        </w:rPr>
        <w:fldChar w:fldCharType="end"/>
      </w:r>
      <w:r>
        <w:rPr>
          <w:rFonts w:cs="仿宋_GB2312" w:asciiTheme="minorEastAsia" w:hAnsiTheme="minorEastAsia" w:eastAsiaTheme="minorEastAsia"/>
          <w:color w:val="auto"/>
          <w:sz w:val="28"/>
          <w:szCs w:val="28"/>
          <w:highlight w:val="none"/>
        </w:rPr>
        <w:fldChar w:fldCharType="end"/>
      </w:r>
    </w:p>
    <w:p w14:paraId="6ABF6353">
      <w:pPr>
        <w:spacing w:line="360" w:lineRule="auto"/>
        <w:ind w:firstLine="480" w:firstLineChars="229"/>
        <w:rPr>
          <w:rFonts w:cs="仿宋_GB2312" w:asciiTheme="minorEastAsia" w:hAnsiTheme="minorEastAsia" w:eastAsiaTheme="minorEastAsia"/>
          <w:color w:val="auto"/>
          <w:sz w:val="24"/>
          <w:highlight w:val="none"/>
        </w:rPr>
      </w:pPr>
      <w:r>
        <w:rPr>
          <w:rFonts w:cs="仿宋_GB2312" w:asciiTheme="minorEastAsia" w:hAnsiTheme="minorEastAsia" w:eastAsiaTheme="minorEastAsia"/>
          <w:color w:val="auto"/>
          <w:szCs w:val="32"/>
          <w:highlight w:val="none"/>
        </w:rPr>
        <w:fldChar w:fldCharType="end"/>
      </w:r>
    </w:p>
    <w:p w14:paraId="46340D02">
      <w:pPr>
        <w:spacing w:line="360" w:lineRule="auto"/>
        <w:ind w:firstLine="549" w:firstLineChars="229"/>
        <w:rPr>
          <w:rFonts w:cs="仿宋_GB2312" w:asciiTheme="minorEastAsia" w:hAnsiTheme="minorEastAsia" w:eastAsiaTheme="minorEastAsia"/>
          <w:color w:val="auto"/>
          <w:sz w:val="24"/>
          <w:highlight w:val="none"/>
        </w:rPr>
      </w:pPr>
    </w:p>
    <w:p w14:paraId="70F1606C">
      <w:pPr>
        <w:spacing w:line="360" w:lineRule="auto"/>
        <w:ind w:firstLine="549" w:firstLineChars="229"/>
        <w:rPr>
          <w:rFonts w:cs="仿宋_GB2312" w:asciiTheme="minorEastAsia" w:hAnsiTheme="minorEastAsia" w:eastAsiaTheme="minorEastAsia"/>
          <w:color w:val="auto"/>
          <w:sz w:val="24"/>
          <w:highlight w:val="none"/>
        </w:rPr>
      </w:pPr>
    </w:p>
    <w:p w14:paraId="1681961E">
      <w:pPr>
        <w:spacing w:line="360" w:lineRule="auto"/>
        <w:ind w:firstLine="549" w:firstLineChars="229"/>
        <w:rPr>
          <w:rFonts w:cs="仿宋_GB2312" w:asciiTheme="minorEastAsia" w:hAnsiTheme="minorEastAsia" w:eastAsiaTheme="minorEastAsia"/>
          <w:color w:val="auto"/>
          <w:sz w:val="24"/>
          <w:highlight w:val="none"/>
        </w:rPr>
      </w:pPr>
    </w:p>
    <w:p w14:paraId="3F769194">
      <w:pPr>
        <w:spacing w:line="360" w:lineRule="auto"/>
        <w:ind w:firstLine="549" w:firstLineChars="229"/>
        <w:rPr>
          <w:rFonts w:cs="仿宋_GB2312" w:asciiTheme="minorEastAsia" w:hAnsiTheme="minorEastAsia" w:eastAsiaTheme="minorEastAsia"/>
          <w:color w:val="auto"/>
          <w:sz w:val="24"/>
          <w:highlight w:val="none"/>
        </w:rPr>
      </w:pPr>
    </w:p>
    <w:p w14:paraId="40402EE4">
      <w:pPr>
        <w:spacing w:line="360" w:lineRule="auto"/>
        <w:ind w:firstLine="549" w:firstLineChars="229"/>
        <w:rPr>
          <w:rFonts w:cs="仿宋_GB2312" w:asciiTheme="minorEastAsia" w:hAnsiTheme="minorEastAsia" w:eastAsiaTheme="minorEastAsia"/>
          <w:color w:val="auto"/>
          <w:sz w:val="24"/>
          <w:highlight w:val="none"/>
        </w:rPr>
      </w:pPr>
    </w:p>
    <w:p w14:paraId="7FFEBC85">
      <w:pPr>
        <w:spacing w:line="360" w:lineRule="auto"/>
        <w:ind w:firstLine="549" w:firstLineChars="229"/>
        <w:rPr>
          <w:rFonts w:cs="仿宋_GB2312" w:asciiTheme="minorEastAsia" w:hAnsiTheme="minorEastAsia" w:eastAsiaTheme="minorEastAsia"/>
          <w:color w:val="auto"/>
          <w:sz w:val="24"/>
          <w:highlight w:val="none"/>
        </w:rPr>
      </w:pPr>
    </w:p>
    <w:p w14:paraId="5CF9B1AB">
      <w:pPr>
        <w:spacing w:line="360" w:lineRule="auto"/>
        <w:ind w:firstLine="549" w:firstLineChars="229"/>
        <w:rPr>
          <w:rFonts w:cs="仿宋_GB2312" w:asciiTheme="minorEastAsia" w:hAnsiTheme="minorEastAsia" w:eastAsiaTheme="minorEastAsia"/>
          <w:color w:val="auto"/>
          <w:sz w:val="24"/>
          <w:highlight w:val="none"/>
        </w:rPr>
      </w:pPr>
    </w:p>
    <w:p w14:paraId="7466A9A9">
      <w:pPr>
        <w:spacing w:line="360" w:lineRule="auto"/>
        <w:ind w:firstLine="549" w:firstLineChars="229"/>
        <w:rPr>
          <w:rFonts w:cs="仿宋_GB2312" w:asciiTheme="minorEastAsia" w:hAnsiTheme="minorEastAsia" w:eastAsiaTheme="minorEastAsia"/>
          <w:color w:val="auto"/>
          <w:sz w:val="24"/>
          <w:highlight w:val="none"/>
        </w:rPr>
      </w:pPr>
    </w:p>
    <w:p w14:paraId="52C1A15F">
      <w:pPr>
        <w:spacing w:line="360" w:lineRule="auto"/>
        <w:ind w:firstLine="549" w:firstLineChars="229"/>
        <w:rPr>
          <w:rFonts w:cs="仿宋_GB2312" w:asciiTheme="minorEastAsia" w:hAnsiTheme="minorEastAsia" w:eastAsiaTheme="minorEastAsia"/>
          <w:color w:val="auto"/>
          <w:sz w:val="24"/>
          <w:highlight w:val="none"/>
        </w:rPr>
      </w:pPr>
    </w:p>
    <w:p w14:paraId="461713F9">
      <w:pPr>
        <w:spacing w:line="360" w:lineRule="auto"/>
        <w:ind w:firstLine="549" w:firstLineChars="229"/>
        <w:rPr>
          <w:rFonts w:cs="仿宋_GB2312" w:asciiTheme="minorEastAsia" w:hAnsiTheme="minorEastAsia" w:eastAsiaTheme="minorEastAsia"/>
          <w:color w:val="auto"/>
          <w:sz w:val="24"/>
          <w:highlight w:val="none"/>
        </w:rPr>
      </w:pPr>
    </w:p>
    <w:p w14:paraId="61CF2ACA">
      <w:pPr>
        <w:spacing w:line="360" w:lineRule="auto"/>
        <w:ind w:firstLine="549" w:firstLineChars="229"/>
        <w:rPr>
          <w:rFonts w:cs="仿宋_GB2312" w:asciiTheme="minorEastAsia" w:hAnsiTheme="minorEastAsia" w:eastAsiaTheme="minorEastAsia"/>
          <w:color w:val="auto"/>
          <w:sz w:val="24"/>
          <w:highlight w:val="none"/>
        </w:rPr>
      </w:pPr>
    </w:p>
    <w:p w14:paraId="1224A052">
      <w:pPr>
        <w:spacing w:line="360" w:lineRule="auto"/>
        <w:ind w:firstLine="549" w:firstLineChars="229"/>
        <w:rPr>
          <w:rFonts w:cs="仿宋_GB2312" w:asciiTheme="minorEastAsia" w:hAnsiTheme="minorEastAsia" w:eastAsiaTheme="minorEastAsia"/>
          <w:color w:val="auto"/>
          <w:sz w:val="24"/>
          <w:highlight w:val="none"/>
        </w:rPr>
      </w:pPr>
    </w:p>
    <w:p w14:paraId="11096D89">
      <w:pPr>
        <w:pStyle w:val="2"/>
        <w:numPr>
          <w:ilvl w:val="0"/>
          <w:numId w:val="0"/>
        </w:numPr>
        <w:bidi w:val="0"/>
        <w:ind w:leftChars="0"/>
        <w:jc w:val="center"/>
        <w:rPr>
          <w:rFonts w:cs="仿宋_GB2312" w:asciiTheme="minorEastAsia" w:hAnsiTheme="minorEastAsia" w:eastAsiaTheme="minorEastAsia"/>
          <w:b/>
          <w:color w:val="auto"/>
          <w:szCs w:val="20"/>
          <w:highlight w:val="none"/>
        </w:rPr>
      </w:pPr>
      <w:bookmarkStart w:id="2" w:name="第一部分"/>
      <w:r>
        <w:rPr>
          <w:rFonts w:hint="eastAsia" w:cs="仿宋_GB2312" w:asciiTheme="minorEastAsia" w:hAnsiTheme="minorEastAsia" w:eastAsiaTheme="minorEastAsia"/>
          <w:b/>
          <w:color w:val="auto"/>
          <w:szCs w:val="36"/>
          <w:highlight w:val="none"/>
        </w:rPr>
        <w:br w:type="page"/>
      </w:r>
      <w:bookmarkEnd w:id="1"/>
      <w:bookmarkEnd w:id="2"/>
      <w:bookmarkStart w:id="3" w:name="_Hlt74707423"/>
      <w:bookmarkEnd w:id="3"/>
      <w:bookmarkStart w:id="4" w:name="_Hlt74728647"/>
      <w:bookmarkEnd w:id="4"/>
      <w:bookmarkStart w:id="5" w:name="_Hlt74729822"/>
      <w:bookmarkEnd w:id="5"/>
      <w:bookmarkStart w:id="6" w:name="_Hlt74649545"/>
      <w:bookmarkEnd w:id="6"/>
      <w:bookmarkStart w:id="7" w:name="_Toc31156"/>
      <w:bookmarkStart w:id="8" w:name="第二部分"/>
      <w:bookmarkStart w:id="9" w:name="_Toc91899870"/>
      <w:bookmarkStart w:id="10" w:name="_Toc91899871"/>
      <w:r>
        <w:rPr>
          <w:rFonts w:hint="eastAsia"/>
          <w:color w:val="auto"/>
          <w:sz w:val="36"/>
          <w:szCs w:val="36"/>
          <w:highlight w:val="none"/>
        </w:rPr>
        <w:t>第一部分  邀请供应商</w:t>
      </w:r>
      <w:bookmarkEnd w:id="7"/>
    </w:p>
    <w:p w14:paraId="181C540A">
      <w:pPr>
        <w:bidi w:val="0"/>
        <w:spacing w:line="360" w:lineRule="auto"/>
        <w:jc w:val="center"/>
        <w:rPr>
          <w:b/>
          <w:bCs/>
          <w:color w:val="auto"/>
          <w:sz w:val="32"/>
          <w:szCs w:val="32"/>
          <w:highlight w:val="none"/>
        </w:rPr>
      </w:pPr>
      <w:r>
        <w:rPr>
          <w:rFonts w:hint="eastAsia"/>
          <w:b/>
          <w:bCs/>
          <w:color w:val="auto"/>
          <w:sz w:val="32"/>
          <w:szCs w:val="32"/>
          <w:highlight w:val="none"/>
          <w:lang w:val="en-US" w:eastAsia="zh-CN"/>
        </w:rPr>
        <w:t>广西壮族自治区第十六届运动会(武术套路、武术散打、围棋)设施设备采购的</w:t>
      </w:r>
      <w:r>
        <w:rPr>
          <w:rFonts w:hint="eastAsia"/>
          <w:b/>
          <w:bCs/>
          <w:color w:val="auto"/>
          <w:sz w:val="32"/>
          <w:szCs w:val="32"/>
          <w:highlight w:val="none"/>
        </w:rPr>
        <w:t>竞争性谈判公告</w:t>
      </w:r>
    </w:p>
    <w:p w14:paraId="0BA53AEA">
      <w:pPr>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45F8EAF9">
      <w:pPr>
        <w:pageBreakBefore w:val="0"/>
        <w:pBdr>
          <w:top w:val="single" w:color="auto" w:sz="4" w:space="1"/>
          <w:left w:val="single" w:color="auto" w:sz="4" w:space="4"/>
          <w:bottom w:val="single" w:color="auto" w:sz="4" w:space="1"/>
          <w:right w:val="single" w:color="auto" w:sz="4" w:space="4"/>
        </w:pBdr>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403DE38A">
      <w:pPr>
        <w:pageBreakBefore w:val="0"/>
        <w:pBdr>
          <w:top w:val="single" w:color="auto" w:sz="4" w:space="1"/>
          <w:left w:val="single" w:color="auto" w:sz="4" w:space="4"/>
          <w:bottom w:val="single" w:color="auto" w:sz="4" w:space="1"/>
          <w:right w:val="single" w:color="auto" w:sz="4" w:space="4"/>
        </w:pBdr>
        <w:kinsoku/>
        <w:wordWrap/>
        <w:overflowPunct/>
        <w:topLinePunct w:val="0"/>
        <w:bidi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lang w:val="en-US" w:eastAsia="zh-CN"/>
        </w:rPr>
        <w:t>广西壮族自治区第十六届运动会(武术套路、武术散打、围棋)设施设备采购</w:t>
      </w:r>
      <w:r>
        <w:rPr>
          <w:rFonts w:hint="eastAsia" w:ascii="宋体" w:hAnsi="宋体" w:eastAsia="宋体" w:cs="宋体"/>
          <w:color w:val="auto"/>
          <w:sz w:val="21"/>
          <w:szCs w:val="21"/>
          <w:highlight w:val="none"/>
        </w:rPr>
        <w:t>的潜在供应商应在广西政府采购云平台（https://www.gcy.zfcg.gxzf.gov.cn/）获取采购文件，并于</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年</w:t>
      </w:r>
      <w:r>
        <w:rPr>
          <w:rFonts w:hint="eastAsia" w:ascii="宋体" w:hAnsi="宋体" w:cs="宋体"/>
          <w:bCs/>
          <w:color w:val="auto"/>
          <w:sz w:val="21"/>
          <w:szCs w:val="21"/>
          <w:highlight w:val="none"/>
          <w:u w:val="single"/>
          <w:lang w:val="en-US" w:eastAsia="zh-CN"/>
        </w:rPr>
        <w:t>9</w:t>
      </w:r>
      <w:r>
        <w:rPr>
          <w:rFonts w:hint="eastAsia" w:ascii="宋体" w:hAnsi="宋体" w:eastAsia="宋体" w:cs="宋体"/>
          <w:bCs/>
          <w:color w:val="auto"/>
          <w:sz w:val="21"/>
          <w:szCs w:val="21"/>
          <w:highlight w:val="none"/>
          <w:u w:val="single"/>
        </w:rPr>
        <w:t>月</w:t>
      </w:r>
      <w:r>
        <w:rPr>
          <w:rFonts w:hint="eastAsia" w:ascii="宋体" w:hAnsi="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日</w:t>
      </w:r>
      <w:r>
        <w:rPr>
          <w:rFonts w:hint="eastAsia" w:ascii="宋体" w:hAnsi="宋体" w:cs="宋体"/>
          <w:bCs/>
          <w:color w:val="auto"/>
          <w:sz w:val="21"/>
          <w:szCs w:val="21"/>
          <w:highlight w:val="none"/>
          <w:u w:val="single"/>
          <w:lang w:val="en-US" w:eastAsia="zh-CN"/>
        </w:rPr>
        <w:t>16</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rPr>
        <w:t>分</w:t>
      </w:r>
      <w:r>
        <w:rPr>
          <w:rFonts w:hint="eastAsia" w:ascii="宋体" w:hAnsi="宋体" w:eastAsia="宋体" w:cs="宋体"/>
          <w:bCs/>
          <w:color w:val="auto"/>
          <w:sz w:val="21"/>
          <w:szCs w:val="21"/>
          <w:highlight w:val="none"/>
        </w:rPr>
        <w:t>（北京时间）前提交响应文件</w:t>
      </w:r>
      <w:r>
        <w:rPr>
          <w:rFonts w:hint="eastAsia" w:ascii="宋体" w:hAnsi="宋体" w:eastAsia="宋体" w:cs="宋体"/>
          <w:color w:val="auto"/>
          <w:sz w:val="21"/>
          <w:szCs w:val="21"/>
          <w:highlight w:val="none"/>
        </w:rPr>
        <w:t>。</w:t>
      </w:r>
    </w:p>
    <w:p w14:paraId="0B78D3D1">
      <w:pPr>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192B646B">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11" w:name="_Toc35393629"/>
      <w:bookmarkStart w:id="12" w:name="_Toc35393798"/>
      <w:bookmarkStart w:id="13" w:name="_Toc28359012"/>
      <w:bookmarkStart w:id="14" w:name="_Toc28359089"/>
      <w:r>
        <w:rPr>
          <w:rFonts w:hint="eastAsia" w:ascii="宋体" w:hAnsi="宋体" w:eastAsia="宋体" w:cs="宋体"/>
          <w:b/>
          <w:color w:val="auto"/>
          <w:sz w:val="21"/>
          <w:szCs w:val="21"/>
          <w:highlight w:val="none"/>
        </w:rPr>
        <w:t>一、项目基本情况</w:t>
      </w:r>
      <w:bookmarkEnd w:id="11"/>
      <w:bookmarkEnd w:id="12"/>
      <w:bookmarkEnd w:id="13"/>
      <w:bookmarkEnd w:id="14"/>
    </w:p>
    <w:p w14:paraId="50D3B3C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w:t>
      </w:r>
      <w:r>
        <w:rPr>
          <w:rFonts w:hint="eastAsia" w:ascii="宋体" w:hAnsi="宋体" w:cs="宋体"/>
          <w:color w:val="auto"/>
          <w:sz w:val="21"/>
          <w:szCs w:val="21"/>
          <w:highlight w:val="none"/>
          <w:lang w:eastAsia="zh-CN"/>
        </w:rPr>
        <w:t>BHZC2026-J1-990270-BBWH</w:t>
      </w:r>
    </w:p>
    <w:p w14:paraId="4E39D9A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r>
        <w:rPr>
          <w:rFonts w:hint="eastAsia" w:ascii="宋体" w:hAnsi="宋体" w:cs="宋体"/>
          <w:color w:val="auto"/>
          <w:sz w:val="21"/>
          <w:szCs w:val="21"/>
          <w:highlight w:val="none"/>
          <w:lang w:val="en-US" w:eastAsia="zh-CN"/>
        </w:rPr>
        <w:t>广西壮族自治区第十六届运动会(武术套路、武术散打、围棋)设施设备采购</w:t>
      </w:r>
    </w:p>
    <w:p w14:paraId="6F2AD9C9">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采购方式：竞争性谈判</w:t>
      </w:r>
    </w:p>
    <w:p w14:paraId="23304F71">
      <w:pPr>
        <w:pageBreakBefore w:val="0"/>
        <w:kinsoku/>
        <w:wordWrap/>
        <w:overflowPunct/>
        <w:topLinePunct w:val="0"/>
        <w:bidi w:val="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预算金额（元）：</w:t>
      </w:r>
      <w:r>
        <w:rPr>
          <w:rFonts w:hint="eastAsia" w:ascii="宋体" w:hAnsi="宋体" w:cs="宋体"/>
          <w:color w:val="auto"/>
          <w:sz w:val="21"/>
          <w:szCs w:val="21"/>
          <w:highlight w:val="none"/>
          <w:lang w:val="en-US" w:eastAsia="zh-CN"/>
        </w:rPr>
        <w:t>583845.00</w:t>
      </w:r>
    </w:p>
    <w:p w14:paraId="73514232">
      <w:pPr>
        <w:pageBreakBefore w:val="0"/>
        <w:kinsoku/>
        <w:wordWrap/>
        <w:overflowPunct/>
        <w:topLinePunct w:val="0"/>
        <w:bidi w:val="0"/>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最高限价（元）：</w:t>
      </w:r>
      <w:r>
        <w:rPr>
          <w:rFonts w:hint="eastAsia" w:ascii="宋体" w:hAnsi="宋体" w:cs="宋体"/>
          <w:color w:val="auto"/>
          <w:sz w:val="21"/>
          <w:szCs w:val="21"/>
          <w:highlight w:val="none"/>
          <w:lang w:val="en-US" w:eastAsia="zh-CN"/>
        </w:rPr>
        <w:t>583845.00</w:t>
      </w:r>
    </w:p>
    <w:p w14:paraId="66CC99D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r>
        <w:rPr>
          <w:rFonts w:hint="eastAsia" w:ascii="宋体" w:hAnsi="宋体" w:cs="宋体"/>
          <w:color w:val="auto"/>
          <w:sz w:val="21"/>
          <w:szCs w:val="21"/>
          <w:highlight w:val="none"/>
          <w:lang w:val="en-US" w:eastAsia="zh-CN"/>
        </w:rPr>
        <w:t>广西壮族自治区第十六届运动会(武术套路、武术散打、围棋)设施设备采购，为广西壮族自治区第十六届运动会武术套路、武术散打、围棋三项赛事提供设施设备保障工作，</w:t>
      </w:r>
      <w:r>
        <w:rPr>
          <w:rFonts w:hint="eastAsia" w:ascii="宋体" w:hAnsi="宋体" w:eastAsia="宋体" w:cs="宋体"/>
          <w:color w:val="auto"/>
          <w:sz w:val="21"/>
          <w:szCs w:val="21"/>
          <w:highlight w:val="none"/>
        </w:rPr>
        <w:t>采购品类涵盖武术套路、武术散打、围棋</w:t>
      </w:r>
      <w:r>
        <w:rPr>
          <w:rFonts w:hint="eastAsia" w:ascii="宋体" w:hAnsi="宋体" w:cs="宋体"/>
          <w:color w:val="auto"/>
          <w:sz w:val="21"/>
          <w:szCs w:val="21"/>
          <w:highlight w:val="none"/>
          <w:lang w:val="en-US" w:eastAsia="zh-CN"/>
        </w:rPr>
        <w:t>三项</w:t>
      </w:r>
      <w:r>
        <w:rPr>
          <w:rFonts w:hint="eastAsia" w:ascii="宋体" w:hAnsi="宋体" w:eastAsia="宋体" w:cs="宋体"/>
          <w:color w:val="auto"/>
          <w:sz w:val="21"/>
          <w:szCs w:val="21"/>
          <w:highlight w:val="none"/>
        </w:rPr>
        <w:t>运动项目专业竞赛及训练器材，包含器材采购、运输、安装调试、检测、培训、售后质保等全部配套服务</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具体内容</w:t>
      </w:r>
      <w:r>
        <w:rPr>
          <w:rFonts w:hint="eastAsia" w:ascii="宋体" w:hAnsi="宋体" w:eastAsia="宋体" w:cs="宋体"/>
          <w:color w:val="auto"/>
          <w:sz w:val="21"/>
          <w:szCs w:val="21"/>
          <w:highlight w:val="none"/>
        </w:rPr>
        <w:t>详见谈判文件。</w:t>
      </w:r>
    </w:p>
    <w:p w14:paraId="70C87FAF">
      <w:pPr>
        <w:pageBreakBefore w:val="0"/>
        <w:kinsoku/>
        <w:wordWrap/>
        <w:overflowPunct/>
        <w:topLinePunct w:val="0"/>
        <w:bidi w:val="0"/>
        <w:spacing w:line="360" w:lineRule="auto"/>
        <w:ind w:firstLine="420" w:firstLineChars="200"/>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合同履行期限：</w:t>
      </w:r>
      <w:r>
        <w:rPr>
          <w:rFonts w:hint="eastAsia" w:ascii="宋体" w:hAnsi="宋体" w:cs="宋体"/>
          <w:color w:val="auto"/>
          <w:sz w:val="21"/>
          <w:szCs w:val="21"/>
          <w:highlight w:val="none"/>
          <w:lang w:val="en-US" w:eastAsia="zh-CN"/>
        </w:rPr>
        <w:t>详见采购需求。</w:t>
      </w:r>
    </w:p>
    <w:p w14:paraId="37E0789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本项目是否接受联合体投标：</w:t>
      </w:r>
      <w:sdt>
        <w:sdtPr>
          <w:rPr>
            <w:rFonts w:hint="eastAsia" w:ascii="宋体" w:hAnsi="宋体" w:eastAsia="宋体" w:cs="宋体"/>
            <w:color w:val="auto"/>
            <w:sz w:val="21"/>
            <w:szCs w:val="21"/>
            <w:highlight w:val="none"/>
          </w:rPr>
          <w:id w:val="2035453831"/>
          <w14:checkbox>
            <w14:checked w14:val="0"/>
            <w14:checkedState w14:val="00FE" w14:font="Wingdings"/>
            <w14:uncheckedState w14:val="2610" w14:font="MS Gothic"/>
          </w14:checkbox>
        </w:sdtPr>
        <w:sdtEndPr>
          <w:rPr>
            <w:rFonts w:hint="eastAsia" w:ascii="宋体" w:hAnsi="宋体" w:eastAsia="宋体" w:cs="宋体"/>
            <w:color w:val="auto"/>
            <w:sz w:val="21"/>
            <w:szCs w:val="21"/>
            <w:highlight w:val="none"/>
          </w:rPr>
        </w:sdtEndPr>
        <w:sdtContent>
          <w:r>
            <w:rPr>
              <w:rFonts w:hint="eastAsia" w:ascii="宋体" w:hAnsi="宋体" w:eastAsia="宋体" w:cs="宋体"/>
              <w:color w:val="auto"/>
              <w:sz w:val="21"/>
              <w:szCs w:val="21"/>
              <w:highlight w:val="none"/>
            </w:rPr>
            <w:t>☐</w:t>
          </w:r>
        </w:sdtContent>
      </w:sdt>
      <w:r>
        <w:rPr>
          <w:rFonts w:hint="eastAsia" w:ascii="宋体" w:hAnsi="宋体" w:eastAsia="宋体" w:cs="宋体"/>
          <w:color w:val="auto"/>
          <w:sz w:val="21"/>
          <w:szCs w:val="21"/>
          <w:highlight w:val="none"/>
        </w:rPr>
        <w:t>是，</w:t>
      </w:r>
      <w:sdt>
        <w:sdtPr>
          <w:rPr>
            <w:rFonts w:hint="eastAsia" w:ascii="宋体" w:hAnsi="宋体" w:eastAsia="宋体" w:cs="宋体"/>
            <w:color w:val="auto"/>
            <w:sz w:val="21"/>
            <w:szCs w:val="21"/>
            <w:highlight w:val="none"/>
          </w:rPr>
          <w:id w:val="-1765526721"/>
          <w14:checkbox>
            <w14:checked w14:val="1"/>
            <w14:checkedState w14:val="00FE" w14:font="Wingdings"/>
            <w14:uncheckedState w14:val="2610" w14:font="MS Gothic"/>
          </w14:checkbox>
        </w:sdtPr>
        <w:sdtEndPr>
          <w:rPr>
            <w:rFonts w:hint="eastAsia" w:ascii="宋体" w:hAnsi="宋体" w:eastAsia="宋体" w:cs="宋体"/>
            <w:color w:val="auto"/>
            <w:sz w:val="21"/>
            <w:szCs w:val="21"/>
            <w:highlight w:val="none"/>
          </w:rPr>
        </w:sdtEndPr>
        <w:sdtContent>
          <w:r>
            <w:rPr>
              <w:rFonts w:hint="eastAsia" w:ascii="宋体" w:hAnsi="宋体" w:eastAsia="宋体" w:cs="宋体"/>
              <w:color w:val="auto"/>
              <w:sz w:val="21"/>
              <w:szCs w:val="21"/>
              <w:highlight w:val="none"/>
            </w:rPr>
            <w:sym w:font="Wingdings" w:char="F0FE"/>
          </w:r>
        </w:sdtContent>
      </w:sdt>
      <w:r>
        <w:rPr>
          <w:rFonts w:hint="eastAsia" w:ascii="宋体" w:hAnsi="宋体" w:eastAsia="宋体" w:cs="宋体"/>
          <w:color w:val="auto"/>
          <w:sz w:val="21"/>
          <w:szCs w:val="21"/>
          <w:highlight w:val="none"/>
        </w:rPr>
        <w:t>否。</w:t>
      </w:r>
    </w:p>
    <w:p w14:paraId="21F5B888">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15" w:name="_Toc28359013"/>
      <w:bookmarkStart w:id="16" w:name="_Toc28359090"/>
      <w:bookmarkStart w:id="17" w:name="_Toc35393799"/>
      <w:bookmarkStart w:id="18" w:name="_Toc35393630"/>
      <w:r>
        <w:rPr>
          <w:rFonts w:hint="eastAsia" w:ascii="宋体" w:hAnsi="宋体" w:eastAsia="宋体" w:cs="宋体"/>
          <w:b/>
          <w:color w:val="auto"/>
          <w:sz w:val="21"/>
          <w:szCs w:val="21"/>
          <w:highlight w:val="none"/>
        </w:rPr>
        <w:t>二、申请人的资格要求：</w:t>
      </w:r>
      <w:bookmarkEnd w:id="15"/>
      <w:bookmarkEnd w:id="16"/>
      <w:bookmarkEnd w:id="17"/>
      <w:bookmarkEnd w:id="18"/>
    </w:p>
    <w:p w14:paraId="51B7A212">
      <w:pPr>
        <w:pageBreakBefore w:val="0"/>
        <w:kinsoku/>
        <w:wordWrap/>
        <w:overflowPunct/>
        <w:topLinePunct w:val="0"/>
        <w:bidi w:val="0"/>
        <w:spacing w:line="360" w:lineRule="auto"/>
        <w:ind w:firstLine="48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 xml:space="preserve">1.满足《中华人民共和国政府采购法》第二十二条规定； </w:t>
      </w:r>
    </w:p>
    <w:p w14:paraId="2256BA7F">
      <w:pPr>
        <w:pageBreakBefore w:val="0"/>
        <w:kinsoku/>
        <w:wordWrap/>
        <w:overflowPunct/>
        <w:topLinePunct w:val="0"/>
        <w:bidi w:val="0"/>
        <w:spacing w:line="360" w:lineRule="auto"/>
        <w:ind w:firstLine="420" w:firstLineChars="200"/>
        <w:rPr>
          <w:rFonts w:hint="eastAsia" w:ascii="宋体" w:hAnsi="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rPr>
        <w:t>2.落实政府采购政策需满足的资格要求：</w:t>
      </w:r>
      <w:r>
        <w:rPr>
          <w:rFonts w:hint="eastAsia" w:ascii="宋体" w:hAnsi="宋体" w:cs="宋体"/>
          <w:snapToGrid w:val="0"/>
          <w:color w:val="auto"/>
          <w:kern w:val="28"/>
          <w:sz w:val="21"/>
          <w:szCs w:val="21"/>
          <w:highlight w:val="none"/>
          <w:lang w:val="en-US" w:eastAsia="zh-CN"/>
        </w:rPr>
        <w:t>无</w:t>
      </w:r>
    </w:p>
    <w:p w14:paraId="3FAAD888">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r>
        <w:rPr>
          <w:rFonts w:hint="eastAsia" w:ascii="宋体" w:hAnsi="宋体" w:eastAsia="宋体" w:cs="宋体"/>
          <w:color w:val="auto"/>
          <w:sz w:val="21"/>
          <w:szCs w:val="21"/>
          <w:highlight w:val="none"/>
          <w:lang w:val="en-US" w:eastAsia="zh-CN"/>
        </w:rPr>
        <w:t>无</w:t>
      </w:r>
      <w:r>
        <w:rPr>
          <w:rFonts w:hint="eastAsia" w:ascii="宋体" w:hAnsi="宋体" w:eastAsia="宋体" w:cs="宋体"/>
          <w:color w:val="auto"/>
          <w:sz w:val="21"/>
          <w:szCs w:val="21"/>
          <w:highlight w:val="none"/>
        </w:rPr>
        <w:t>。</w:t>
      </w:r>
    </w:p>
    <w:p w14:paraId="7CFC2EA3">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19" w:name="_Toc35393800"/>
      <w:bookmarkStart w:id="20" w:name="_Toc28359091"/>
      <w:bookmarkStart w:id="21" w:name="_Toc28359014"/>
      <w:bookmarkStart w:id="22" w:name="_Toc35393631"/>
      <w:r>
        <w:rPr>
          <w:rFonts w:hint="eastAsia" w:ascii="宋体" w:hAnsi="宋体" w:eastAsia="宋体" w:cs="宋体"/>
          <w:b/>
          <w:color w:val="auto"/>
          <w:sz w:val="21"/>
          <w:szCs w:val="21"/>
          <w:highlight w:val="none"/>
        </w:rPr>
        <w:t>三、获取采购文件</w:t>
      </w:r>
      <w:bookmarkEnd w:id="19"/>
      <w:bookmarkEnd w:id="20"/>
      <w:bookmarkEnd w:id="21"/>
      <w:bookmarkEnd w:id="22"/>
    </w:p>
    <w:p w14:paraId="3869BBEF">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时间：</w:t>
      </w: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30</w:t>
      </w:r>
      <w:r>
        <w:rPr>
          <w:rFonts w:hint="eastAsia" w:ascii="宋体" w:hAnsi="宋体" w:eastAsia="宋体" w:cs="宋体"/>
          <w:color w:val="auto"/>
          <w:sz w:val="21"/>
          <w:szCs w:val="21"/>
          <w:highlight w:val="none"/>
        </w:rPr>
        <w:t>日至202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03</w:t>
      </w:r>
      <w:r>
        <w:rPr>
          <w:rFonts w:hint="eastAsia" w:ascii="宋体" w:hAnsi="宋体" w:eastAsia="宋体" w:cs="宋体"/>
          <w:color w:val="auto"/>
          <w:sz w:val="21"/>
          <w:szCs w:val="21"/>
          <w:highlight w:val="none"/>
        </w:rPr>
        <w:t>日，每天上午00:00至12:00 ，下午12:00至23:59（北京时间，法定节假日除外）；</w:t>
      </w:r>
    </w:p>
    <w:p w14:paraId="7A736428">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地点（网址）：</w:t>
      </w:r>
      <w:r>
        <w:rPr>
          <w:rFonts w:hint="eastAsia" w:ascii="宋体" w:hAnsi="宋体" w:eastAsia="宋体" w:cs="宋体"/>
          <w:color w:val="auto"/>
          <w:sz w:val="21"/>
          <w:szCs w:val="21"/>
          <w:highlight w:val="none"/>
        </w:rPr>
        <w:t>广西政府采购云平台（https://www.gcy.zfcg.gxzf.gov.cn/）</w:t>
      </w:r>
    </w:p>
    <w:p w14:paraId="70EEE00C">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u w:val="single"/>
        </w:rPr>
      </w:pPr>
      <w:r>
        <w:rPr>
          <w:rFonts w:hint="eastAsia" w:ascii="宋体" w:hAnsi="宋体" w:eastAsia="宋体" w:cs="宋体"/>
          <w:b/>
          <w:color w:val="auto"/>
          <w:sz w:val="21"/>
          <w:szCs w:val="21"/>
          <w:highlight w:val="none"/>
        </w:rPr>
        <w:t>方式：</w:t>
      </w:r>
      <w:r>
        <w:rPr>
          <w:rFonts w:hint="eastAsia" w:ascii="宋体" w:hAnsi="宋体" w:eastAsia="宋体" w:cs="宋体"/>
          <w:color w:val="auto"/>
          <w:sz w:val="21"/>
          <w:szCs w:val="21"/>
          <w:highlight w:val="none"/>
        </w:rPr>
        <w:t>供应商登录广西政府采购云平台（https://www.gcy.zfcg.gxzf.gov.cn/）在线申请获取采购文件（进入“项目采购”应用，在获取采购文件菜单中选择项目，申请获取采购文件）。</w:t>
      </w:r>
    </w:p>
    <w:p w14:paraId="789DEB2D">
      <w:pPr>
        <w:pageBreakBefore w:val="0"/>
        <w:kinsoku/>
        <w:wordWrap/>
        <w:overflowPunct/>
        <w:topLinePunct w:val="0"/>
        <w:bidi w:val="0"/>
        <w:spacing w:line="360" w:lineRule="auto"/>
        <w:ind w:firstLine="54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售价：</w:t>
      </w:r>
      <w:r>
        <w:rPr>
          <w:rFonts w:hint="eastAsia" w:ascii="宋体" w:hAnsi="宋体" w:eastAsia="宋体" w:cs="宋体"/>
          <w:color w:val="auto"/>
          <w:sz w:val="21"/>
          <w:szCs w:val="21"/>
          <w:highlight w:val="none"/>
        </w:rPr>
        <w:t>0。</w:t>
      </w:r>
    </w:p>
    <w:p w14:paraId="6FD4AC23">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23" w:name="_Toc35393801"/>
      <w:bookmarkStart w:id="24" w:name="_Toc35393632"/>
      <w:bookmarkStart w:id="25" w:name="_Toc28359092"/>
      <w:bookmarkStart w:id="26" w:name="_Toc28359015"/>
      <w:r>
        <w:rPr>
          <w:rFonts w:hint="eastAsia" w:ascii="宋体" w:hAnsi="宋体" w:eastAsia="宋体" w:cs="宋体"/>
          <w:b/>
          <w:color w:val="auto"/>
          <w:sz w:val="21"/>
          <w:szCs w:val="21"/>
          <w:highlight w:val="none"/>
        </w:rPr>
        <w:t>四、响应文件提交</w:t>
      </w:r>
      <w:bookmarkEnd w:id="23"/>
      <w:bookmarkEnd w:id="24"/>
      <w:bookmarkEnd w:id="25"/>
      <w:bookmarkEnd w:id="26"/>
    </w:p>
    <w:p w14:paraId="4C18891D">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截止时间：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年</w:t>
      </w:r>
      <w:r>
        <w:rPr>
          <w:rFonts w:hint="eastAsia" w:ascii="宋体" w:hAnsi="宋体" w:cs="宋体"/>
          <w:bCs/>
          <w:color w:val="auto"/>
          <w:sz w:val="21"/>
          <w:szCs w:val="21"/>
          <w:highlight w:val="none"/>
          <w:u w:val="single"/>
          <w:lang w:val="en-US" w:eastAsia="zh-CN"/>
        </w:rPr>
        <w:t>09</w:t>
      </w:r>
      <w:r>
        <w:rPr>
          <w:rFonts w:hint="eastAsia" w:ascii="宋体" w:hAnsi="宋体" w:eastAsia="宋体" w:cs="宋体"/>
          <w:bCs/>
          <w:color w:val="auto"/>
          <w:sz w:val="21"/>
          <w:szCs w:val="21"/>
          <w:highlight w:val="none"/>
          <w:u w:val="single"/>
        </w:rPr>
        <w:t>月</w:t>
      </w:r>
      <w:r>
        <w:rPr>
          <w:rFonts w:hint="eastAsia" w:ascii="宋体" w:hAnsi="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日</w:t>
      </w:r>
      <w:r>
        <w:rPr>
          <w:rFonts w:hint="eastAsia" w:ascii="宋体" w:hAnsi="宋体" w:cs="宋体"/>
          <w:bCs/>
          <w:color w:val="auto"/>
          <w:sz w:val="21"/>
          <w:szCs w:val="21"/>
          <w:highlight w:val="none"/>
          <w:u w:val="single"/>
          <w:lang w:val="en-US" w:eastAsia="zh-CN"/>
        </w:rPr>
        <w:t>16</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rPr>
        <w:t>分</w:t>
      </w:r>
      <w:r>
        <w:rPr>
          <w:rFonts w:hint="eastAsia" w:ascii="宋体" w:hAnsi="宋体" w:eastAsia="宋体" w:cs="宋体"/>
          <w:bCs/>
          <w:color w:val="auto"/>
          <w:sz w:val="21"/>
          <w:szCs w:val="21"/>
          <w:highlight w:val="none"/>
        </w:rPr>
        <w:t>（北京时间）</w:t>
      </w:r>
    </w:p>
    <w:p w14:paraId="250DAB95">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地点：广西政府采购云平台（https://www.gcy.zfcg.gxzf.gov.cn/）</w:t>
      </w:r>
      <w:r>
        <w:rPr>
          <w:rFonts w:hint="eastAsia" w:ascii="宋体" w:hAnsi="宋体" w:eastAsia="宋体" w:cs="宋体"/>
          <w:b/>
          <w:color w:val="auto"/>
          <w:sz w:val="21"/>
          <w:szCs w:val="21"/>
          <w:highlight w:val="none"/>
        </w:rPr>
        <w:t>。</w:t>
      </w:r>
    </w:p>
    <w:p w14:paraId="2E79B20D">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27" w:name="_Toc35393802"/>
      <w:bookmarkStart w:id="28" w:name="_Toc28359016"/>
      <w:bookmarkStart w:id="29" w:name="_Toc28359093"/>
      <w:bookmarkStart w:id="30" w:name="_Toc35393633"/>
      <w:r>
        <w:rPr>
          <w:rFonts w:hint="eastAsia" w:ascii="宋体" w:hAnsi="宋体" w:eastAsia="宋体" w:cs="宋体"/>
          <w:b/>
          <w:color w:val="auto"/>
          <w:sz w:val="21"/>
          <w:szCs w:val="21"/>
          <w:highlight w:val="none"/>
        </w:rPr>
        <w:t>五、响应文件开启</w:t>
      </w:r>
      <w:bookmarkEnd w:id="27"/>
      <w:bookmarkEnd w:id="28"/>
      <w:bookmarkEnd w:id="29"/>
      <w:bookmarkEnd w:id="30"/>
    </w:p>
    <w:p w14:paraId="7C0D7961">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u w:val="single"/>
        </w:rPr>
        <w:t>202</w:t>
      </w:r>
      <w:r>
        <w:rPr>
          <w:rFonts w:hint="eastAsia" w:ascii="宋体" w:hAnsi="宋体" w:eastAsia="宋体" w:cs="宋体"/>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年</w:t>
      </w:r>
      <w:r>
        <w:rPr>
          <w:rFonts w:hint="eastAsia" w:ascii="宋体" w:hAnsi="宋体" w:cs="宋体"/>
          <w:bCs/>
          <w:color w:val="auto"/>
          <w:sz w:val="21"/>
          <w:szCs w:val="21"/>
          <w:highlight w:val="none"/>
          <w:u w:val="single"/>
          <w:lang w:val="en-US" w:eastAsia="zh-CN"/>
        </w:rPr>
        <w:t>09</w:t>
      </w:r>
      <w:r>
        <w:rPr>
          <w:rFonts w:hint="eastAsia" w:ascii="宋体" w:hAnsi="宋体" w:eastAsia="宋体" w:cs="宋体"/>
          <w:bCs/>
          <w:color w:val="auto"/>
          <w:sz w:val="21"/>
          <w:szCs w:val="21"/>
          <w:highlight w:val="none"/>
          <w:u w:val="single"/>
        </w:rPr>
        <w:t>月</w:t>
      </w:r>
      <w:r>
        <w:rPr>
          <w:rFonts w:hint="eastAsia" w:ascii="宋体" w:hAnsi="宋体" w:cs="宋体"/>
          <w:bCs/>
          <w:color w:val="auto"/>
          <w:sz w:val="21"/>
          <w:szCs w:val="21"/>
          <w:highlight w:val="none"/>
          <w:u w:val="single"/>
          <w:lang w:val="en-US" w:eastAsia="zh-CN"/>
        </w:rPr>
        <w:t>05</w:t>
      </w:r>
      <w:r>
        <w:rPr>
          <w:rFonts w:hint="eastAsia" w:ascii="宋体" w:hAnsi="宋体" w:eastAsia="宋体" w:cs="宋体"/>
          <w:bCs/>
          <w:color w:val="auto"/>
          <w:sz w:val="21"/>
          <w:szCs w:val="21"/>
          <w:highlight w:val="none"/>
          <w:u w:val="single"/>
        </w:rPr>
        <w:t>日</w:t>
      </w:r>
      <w:r>
        <w:rPr>
          <w:rFonts w:hint="eastAsia" w:ascii="宋体" w:hAnsi="宋体" w:cs="宋体"/>
          <w:bCs/>
          <w:color w:val="auto"/>
          <w:sz w:val="21"/>
          <w:szCs w:val="21"/>
          <w:highlight w:val="none"/>
          <w:u w:val="single"/>
          <w:lang w:val="en-US" w:eastAsia="zh-CN"/>
        </w:rPr>
        <w:t>16</w:t>
      </w:r>
      <w:r>
        <w:rPr>
          <w:rFonts w:hint="eastAsia" w:ascii="宋体" w:hAnsi="宋体" w:eastAsia="宋体" w:cs="宋体"/>
          <w:bCs/>
          <w:color w:val="auto"/>
          <w:sz w:val="21"/>
          <w:szCs w:val="21"/>
          <w:highlight w:val="none"/>
          <w:u w:val="single"/>
          <w:lang w:val="en-US" w:eastAsia="zh-CN"/>
        </w:rPr>
        <w:t>时</w:t>
      </w:r>
      <w:r>
        <w:rPr>
          <w:rFonts w:hint="eastAsia" w:ascii="宋体" w:hAnsi="宋体" w:cs="宋体"/>
          <w:bCs/>
          <w:color w:val="auto"/>
          <w:sz w:val="21"/>
          <w:szCs w:val="21"/>
          <w:highlight w:val="none"/>
          <w:u w:val="single"/>
          <w:lang w:val="en-US" w:eastAsia="zh-CN"/>
        </w:rPr>
        <w:t>00</w:t>
      </w:r>
      <w:r>
        <w:rPr>
          <w:rFonts w:hint="eastAsia" w:ascii="宋体" w:hAnsi="宋体" w:eastAsia="宋体" w:cs="宋体"/>
          <w:bCs/>
          <w:color w:val="auto"/>
          <w:sz w:val="21"/>
          <w:szCs w:val="21"/>
          <w:highlight w:val="none"/>
          <w:u w:val="single"/>
        </w:rPr>
        <w:t>分</w:t>
      </w:r>
      <w:r>
        <w:rPr>
          <w:rFonts w:hint="eastAsia" w:ascii="宋体" w:hAnsi="宋体" w:eastAsia="宋体" w:cs="宋体"/>
          <w:bCs/>
          <w:color w:val="auto"/>
          <w:sz w:val="21"/>
          <w:szCs w:val="21"/>
          <w:highlight w:val="none"/>
        </w:rPr>
        <w:t>（北京时间）</w:t>
      </w:r>
    </w:p>
    <w:p w14:paraId="2BA4EA1B">
      <w:pPr>
        <w:pageBreakBefore w:val="0"/>
        <w:kinsoku/>
        <w:wordWrap/>
        <w:overflowPunct/>
        <w:topLinePunct w:val="0"/>
        <w:bidi w:val="0"/>
        <w:spacing w:line="36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地点：广西政府采购云平台（https://www.gcy.zfcg.gxzf.gov.cn/）。</w:t>
      </w:r>
    </w:p>
    <w:p w14:paraId="46C23829">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31" w:name="_Toc28359094"/>
      <w:bookmarkStart w:id="32" w:name="_Toc35393803"/>
      <w:bookmarkStart w:id="33" w:name="_Toc35393634"/>
      <w:bookmarkStart w:id="34" w:name="_Toc28359017"/>
      <w:r>
        <w:rPr>
          <w:rFonts w:hint="eastAsia" w:ascii="宋体" w:hAnsi="宋体" w:eastAsia="宋体" w:cs="宋体"/>
          <w:b/>
          <w:color w:val="auto"/>
          <w:sz w:val="21"/>
          <w:szCs w:val="21"/>
          <w:highlight w:val="none"/>
        </w:rPr>
        <w:t>六、公告期限</w:t>
      </w:r>
      <w:bookmarkEnd w:id="31"/>
      <w:bookmarkEnd w:id="32"/>
      <w:bookmarkEnd w:id="33"/>
      <w:bookmarkEnd w:id="34"/>
    </w:p>
    <w:p w14:paraId="02369463">
      <w:pPr>
        <w:pageBreakBefore w:val="0"/>
        <w:kinsoku/>
        <w:wordWrap/>
        <w:overflowPunct/>
        <w:topLinePunct w:val="0"/>
        <w:bidi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自本公告发布之日起3个工作日。</w:t>
      </w:r>
    </w:p>
    <w:p w14:paraId="231D53E1">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35" w:name="_Toc35393635"/>
      <w:bookmarkStart w:id="36" w:name="_Toc35393804"/>
      <w:r>
        <w:rPr>
          <w:rFonts w:hint="eastAsia" w:ascii="宋体" w:hAnsi="宋体" w:eastAsia="宋体" w:cs="宋体"/>
          <w:b/>
          <w:color w:val="auto"/>
          <w:sz w:val="21"/>
          <w:szCs w:val="21"/>
          <w:highlight w:val="none"/>
        </w:rPr>
        <w:t>七、其他补充事宜</w:t>
      </w:r>
      <w:bookmarkEnd w:id="35"/>
      <w:bookmarkEnd w:id="36"/>
    </w:p>
    <w:p w14:paraId="5FD53D23">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1.谈判保证金：</w:t>
      </w:r>
      <w:r>
        <w:rPr>
          <w:rFonts w:hint="eastAsia" w:ascii="宋体" w:hAnsi="宋体" w:eastAsia="宋体" w:cs="宋体"/>
          <w:color w:val="auto"/>
          <w:sz w:val="21"/>
          <w:szCs w:val="21"/>
          <w:highlight w:val="none"/>
          <w:lang w:val="en-US" w:eastAsia="zh-CN"/>
        </w:rPr>
        <w:t>本项目不要求缴纳谈判保证金。</w:t>
      </w:r>
    </w:p>
    <w:p w14:paraId="12DC10F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项目，以及预留份额政府采购项目中的非预留部分标项，对小型和微型企业的响应报价给予20%的扣除，用扣除后的价格参与评审。（4）支持监狱企业、残疾人福利性单位发展：监狱企业、残疾人福利性单位视同小型和微型企业。（5）支持创新发展：优先采购被认定为首台</w:t>
      </w:r>
      <w:r>
        <w:rPr>
          <w:rFonts w:hint="eastAsia" w:ascii="宋体" w:hAnsi="宋体" w:eastAsia="宋体" w:cs="宋体"/>
          <w:color w:val="auto"/>
          <w:sz w:val="21"/>
          <w:szCs w:val="21"/>
          <w:highlight w:val="none"/>
          <w:lang w:val="en-US" w:eastAsia="zh-CN"/>
        </w:rPr>
        <w:t>首</w:t>
      </w:r>
      <w:r>
        <w:rPr>
          <w:rFonts w:hint="eastAsia" w:ascii="宋体" w:hAnsi="宋体" w:eastAsia="宋体" w:cs="宋体"/>
          <w:color w:val="auto"/>
          <w:sz w:val="21"/>
          <w:szCs w:val="21"/>
          <w:highlight w:val="none"/>
        </w:rPr>
        <w:t>套产品和“制造精品”的自主创新产品。（6）平等对待内外资企业和符合条件的破产重整企业。</w:t>
      </w:r>
    </w:p>
    <w:p w14:paraId="2C65DC33">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3F808AC0">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lang w:val="en-US" w:eastAsia="zh-CN"/>
        </w:rPr>
        <w:t>4.其他要求：（1）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70AF20A2">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snapToGrid w:val="0"/>
          <w:color w:val="auto"/>
          <w:kern w:val="28"/>
          <w:sz w:val="21"/>
          <w:szCs w:val="21"/>
          <w:highlight w:val="none"/>
          <w:lang w:val="en-US" w:eastAsia="zh-CN"/>
        </w:rPr>
        <w:t>（2）供应商未被“信用中国”（www.creditchina.gov.cn)、中国政府采购网（www.ccgp.gov.cn）列入失信被执行人、重大税收违法案件当事人名单、政府采购严重违法失信行为记录名单。</w:t>
      </w:r>
    </w:p>
    <w:p w14:paraId="34453CD9">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.网上公告媒体查询：</w:t>
      </w:r>
      <w:r>
        <w:rPr>
          <w:rFonts w:hint="eastAsia" w:ascii="宋体" w:hAnsi="宋体" w:eastAsia="宋体" w:cs="宋体"/>
          <w:color w:val="auto"/>
          <w:sz w:val="21"/>
          <w:szCs w:val="21"/>
          <w:highlight w:val="none"/>
          <w:lang w:val="en-US" w:eastAsia="zh-CN"/>
        </w:rPr>
        <w:t>中国政府采购网（http://www.ccgp.gov.cn/）、广西壮族自治区政府采购网（http://www.ccgp-guangxi.gov.cn/）</w:t>
      </w:r>
      <w:r>
        <w:rPr>
          <w:rFonts w:hint="eastAsia" w:ascii="宋体" w:hAnsi="宋体" w:eastAsia="宋体" w:cs="宋体"/>
          <w:color w:val="auto"/>
          <w:sz w:val="21"/>
          <w:szCs w:val="21"/>
          <w:highlight w:val="none"/>
        </w:rPr>
        <w:t>。</w:t>
      </w:r>
    </w:p>
    <w:p w14:paraId="6A62EE38">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本项目通过广西政府采购云平台实行在线投标响应（电子投标），为确保网上操作合法、有效和安全，谈判供应商应当在谈判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2CB2FB73">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6B882ED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.本项目采用远程异地评标。</w:t>
      </w:r>
    </w:p>
    <w:p w14:paraId="2E6EC292">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37" w:name="_Toc35393636"/>
      <w:bookmarkStart w:id="38" w:name="_Toc28359018"/>
      <w:bookmarkStart w:id="39" w:name="_Toc35393805"/>
      <w:bookmarkStart w:id="40" w:name="_Toc28359095"/>
      <w:r>
        <w:rPr>
          <w:rFonts w:hint="eastAsia" w:ascii="宋体" w:hAnsi="宋体" w:eastAsia="宋体" w:cs="宋体"/>
          <w:b/>
          <w:color w:val="auto"/>
          <w:sz w:val="21"/>
          <w:szCs w:val="21"/>
          <w:highlight w:val="none"/>
        </w:rPr>
        <w:t>八、凡对本次采购提出询问、质疑、投诉，请按以下方式联系</w:t>
      </w:r>
      <w:bookmarkEnd w:id="37"/>
      <w:bookmarkEnd w:id="38"/>
      <w:bookmarkEnd w:id="39"/>
      <w:bookmarkEnd w:id="40"/>
    </w:p>
    <w:p w14:paraId="65ECB6B1">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41" w:name="_Toc35393637"/>
      <w:bookmarkStart w:id="42" w:name="_Toc28359019"/>
      <w:bookmarkStart w:id="43" w:name="_Toc28359096"/>
      <w:bookmarkStart w:id="44" w:name="_Toc35393806"/>
      <w:r>
        <w:rPr>
          <w:rFonts w:hint="eastAsia" w:ascii="宋体" w:hAnsi="宋体" w:eastAsia="宋体" w:cs="宋体"/>
          <w:b/>
          <w:color w:val="auto"/>
          <w:sz w:val="21"/>
          <w:szCs w:val="21"/>
          <w:highlight w:val="none"/>
        </w:rPr>
        <w:t>1.采购人信息</w:t>
      </w:r>
      <w:bookmarkEnd w:id="41"/>
      <w:bookmarkEnd w:id="42"/>
      <w:bookmarkEnd w:id="43"/>
      <w:bookmarkEnd w:id="44"/>
    </w:p>
    <w:p w14:paraId="64F8167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    称：</w:t>
      </w:r>
      <w:r>
        <w:rPr>
          <w:rFonts w:hint="eastAsia" w:ascii="宋体" w:hAnsi="宋体" w:eastAsia="宋体" w:cs="宋体"/>
          <w:color w:val="auto"/>
          <w:sz w:val="21"/>
          <w:szCs w:val="21"/>
          <w:highlight w:val="none"/>
          <w:lang w:val="en-US" w:eastAsia="zh-CN"/>
        </w:rPr>
        <w:t>北海市旅游文体局</w:t>
      </w:r>
    </w:p>
    <w:p w14:paraId="2AD54ED6">
      <w:pPr>
        <w:pageBreakBefore w:val="0"/>
        <w:kinsoku/>
        <w:wordWrap/>
        <w:overflowPunct/>
        <w:topLinePunct w:val="0"/>
        <w:bidi w:val="0"/>
        <w:spacing w:line="360" w:lineRule="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 xml:space="preserve">    地    址：</w:t>
      </w:r>
      <w:r>
        <w:rPr>
          <w:rFonts w:hint="eastAsia" w:ascii="宋体" w:hAnsi="宋体" w:cs="宋体"/>
          <w:color w:val="auto"/>
          <w:sz w:val="21"/>
          <w:szCs w:val="21"/>
          <w:highlight w:val="none"/>
          <w:lang w:eastAsia="zh-CN"/>
        </w:rPr>
        <w:t>北海市海城区贵州路</w:t>
      </w:r>
      <w:r>
        <w:rPr>
          <w:rFonts w:hint="eastAsia" w:ascii="宋体" w:hAnsi="宋体" w:cs="宋体"/>
          <w:color w:val="auto"/>
          <w:sz w:val="21"/>
          <w:szCs w:val="21"/>
          <w:highlight w:val="none"/>
          <w:lang w:val="en-US" w:eastAsia="zh-CN"/>
        </w:rPr>
        <w:t>35号</w:t>
      </w:r>
    </w:p>
    <w:p w14:paraId="04704C0C">
      <w:pPr>
        <w:pageBreakBefore w:val="0"/>
        <w:kinsoku/>
        <w:wordWrap/>
        <w:overflowPunct/>
        <w:topLinePunct w:val="0"/>
        <w:bidi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 xml:space="preserve">    项目联系人：</w:t>
      </w:r>
      <w:r>
        <w:rPr>
          <w:rFonts w:hint="eastAsia" w:ascii="宋体" w:hAnsi="宋体" w:cs="宋体"/>
          <w:color w:val="auto"/>
          <w:sz w:val="21"/>
          <w:szCs w:val="21"/>
          <w:highlight w:val="none"/>
          <w:lang w:eastAsia="zh-CN"/>
        </w:rPr>
        <w:t>刘鹏</w:t>
      </w:r>
    </w:p>
    <w:p w14:paraId="03678A75">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项目联系方式：</w:t>
      </w:r>
      <w:r>
        <w:rPr>
          <w:rFonts w:hint="eastAsia" w:ascii="宋体" w:hAnsi="宋体" w:cs="宋体"/>
          <w:color w:val="auto"/>
          <w:sz w:val="21"/>
          <w:szCs w:val="21"/>
          <w:highlight w:val="none"/>
          <w:lang w:val="en-US" w:eastAsia="zh-CN"/>
        </w:rPr>
        <w:t>0779-2029045</w:t>
      </w:r>
      <w:r>
        <w:rPr>
          <w:rFonts w:hint="eastAsia" w:ascii="宋体" w:hAnsi="宋体" w:eastAsia="宋体" w:cs="宋体"/>
          <w:color w:val="auto"/>
          <w:sz w:val="21"/>
          <w:szCs w:val="21"/>
          <w:highlight w:val="none"/>
        </w:rPr>
        <w:t xml:space="preserve">  </w:t>
      </w:r>
    </w:p>
    <w:p w14:paraId="4E16EB58">
      <w:pPr>
        <w:pStyle w:val="631"/>
        <w:pageBreakBefore w:val="0"/>
        <w:kinsoku/>
        <w:wordWrap/>
        <w:overflowPunct/>
        <w:topLinePunct w:val="0"/>
        <w:bidi w:val="0"/>
        <w:spacing w:line="360" w:lineRule="auto"/>
        <w:ind w:firstLine="0"/>
        <w:rPr>
          <w:rFonts w:hint="eastAsia" w:ascii="宋体" w:hAnsi="宋体" w:eastAsia="宋体" w:cs="宋体"/>
          <w:b/>
          <w:color w:val="auto"/>
          <w:sz w:val="21"/>
          <w:szCs w:val="21"/>
          <w:highlight w:val="none"/>
        </w:rPr>
      </w:pPr>
      <w:bookmarkStart w:id="45" w:name="_Toc35393807"/>
      <w:bookmarkStart w:id="46" w:name="_Toc28359020"/>
      <w:bookmarkStart w:id="47" w:name="_Toc35393638"/>
      <w:bookmarkStart w:id="48" w:name="_Toc28359097"/>
      <w:r>
        <w:rPr>
          <w:rFonts w:hint="eastAsia" w:ascii="宋体" w:hAnsi="宋体" w:eastAsia="宋体" w:cs="宋体"/>
          <w:b/>
          <w:color w:val="auto"/>
          <w:sz w:val="21"/>
          <w:szCs w:val="21"/>
          <w:highlight w:val="none"/>
        </w:rPr>
        <w:t>2.采购代理机构信息</w:t>
      </w:r>
      <w:bookmarkEnd w:id="45"/>
      <w:bookmarkEnd w:id="46"/>
      <w:bookmarkEnd w:id="47"/>
      <w:bookmarkEnd w:id="48"/>
    </w:p>
    <w:p w14:paraId="19EFE0C3">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zh-CN"/>
        </w:rPr>
        <w:t>广西北部湾宏亚建设管理有限公司</w:t>
      </w:r>
      <w:r>
        <w:rPr>
          <w:rFonts w:hint="eastAsia" w:ascii="宋体" w:hAnsi="宋体" w:eastAsia="宋体" w:cs="宋体"/>
          <w:color w:val="auto"/>
          <w:sz w:val="21"/>
          <w:szCs w:val="21"/>
          <w:highlight w:val="none"/>
        </w:rPr>
        <w:t xml:space="preserve">             </w:t>
      </w:r>
    </w:p>
    <w:p w14:paraId="65199B29">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lang w:eastAsia="zh-CN"/>
        </w:rPr>
        <w:t>北海市海城区银河城市科技产业城2幢0101号</w:t>
      </w:r>
      <w:r>
        <w:rPr>
          <w:rFonts w:hint="eastAsia" w:ascii="宋体" w:hAnsi="宋体" w:eastAsia="宋体" w:cs="宋体"/>
          <w:color w:val="auto"/>
          <w:sz w:val="21"/>
          <w:szCs w:val="21"/>
          <w:highlight w:val="none"/>
        </w:rPr>
        <w:t xml:space="preserve"> </w:t>
      </w:r>
    </w:p>
    <w:p w14:paraId="4DAC96BE">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项目联系人（询问):韦丽丹</w:t>
      </w:r>
    </w:p>
    <w:p w14:paraId="7DF2C4FF">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项目联系方式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询问）</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0779-3928925</w:t>
      </w:r>
      <w:r>
        <w:rPr>
          <w:rFonts w:hint="eastAsia" w:ascii="宋体" w:hAnsi="宋体" w:eastAsia="宋体" w:cs="宋体"/>
          <w:color w:val="auto"/>
          <w:sz w:val="21"/>
          <w:szCs w:val="21"/>
          <w:highlight w:val="none"/>
        </w:rPr>
        <w:t xml:space="preserve"> </w:t>
      </w:r>
    </w:p>
    <w:p w14:paraId="3D6F9BC2">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26F4DAF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若对项目采购电子交易系统操作有疑问，可登录广西政府采购云平台（https://www.zcygov.cn/），点击右侧咨询小采，获取采小蜜智能服务管家帮助，或拨打广西政府采购云平台服务热线95763获取热线服务帮助。</w:t>
      </w:r>
    </w:p>
    <w:p w14:paraId="4D9BA303">
      <w:pPr>
        <w:pageBreakBefore w:val="0"/>
        <w:kinsoku/>
        <w:wordWrap/>
        <w:overflowPunct/>
        <w:topLinePunct w:val="0"/>
        <w:bidi w:val="0"/>
        <w:spacing w:line="360" w:lineRule="auto"/>
        <w:rPr>
          <w:rFonts w:hint="eastAsia" w:ascii="宋体" w:hAnsi="宋体" w:eastAsia="宋体" w:cs="宋体"/>
          <w:color w:val="auto"/>
          <w:sz w:val="21"/>
          <w:szCs w:val="21"/>
          <w:highlight w:val="none"/>
        </w:rPr>
      </w:pPr>
    </w:p>
    <w:p w14:paraId="6D6EBF0F">
      <w:pPr>
        <w:pStyle w:val="2"/>
        <w:numPr>
          <w:ilvl w:val="0"/>
          <w:numId w:val="0"/>
        </w:numPr>
        <w:bidi w:val="0"/>
        <w:ind w:leftChars="0"/>
        <w:jc w:val="center"/>
        <w:rPr>
          <w:rFonts w:hint="eastAsia"/>
          <w:color w:val="auto"/>
          <w:sz w:val="36"/>
          <w:szCs w:val="36"/>
          <w:highlight w:val="none"/>
        </w:rPr>
      </w:pPr>
      <w:bookmarkStart w:id="49" w:name="_Toc6420"/>
      <w:r>
        <w:rPr>
          <w:rFonts w:hint="eastAsia"/>
          <w:color w:val="auto"/>
          <w:sz w:val="36"/>
          <w:szCs w:val="36"/>
          <w:highlight w:val="none"/>
        </w:rPr>
        <w:t>第二部分  竞争性谈判流程</w:t>
      </w:r>
      <w:bookmarkEnd w:id="49"/>
    </w:p>
    <w:p w14:paraId="61F5A9DC">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1.征集供应商</w:t>
      </w:r>
    </w:p>
    <w:p w14:paraId="6ACEE31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1.1邀请供应商。</w:t>
      </w:r>
    </w:p>
    <w:p w14:paraId="2B19B4E8">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sym w:font="Wingdings" w:char="F0FE"/>
      </w:r>
      <w:r>
        <w:rPr>
          <w:rFonts w:hint="eastAsia" w:ascii="宋体" w:hAnsi="宋体" w:eastAsia="宋体" w:cs="宋体"/>
          <w:b/>
          <w:color w:val="auto"/>
          <w:sz w:val="21"/>
          <w:szCs w:val="21"/>
          <w:highlight w:val="none"/>
        </w:rPr>
        <w:t>采用公告方式邀请供应商的，</w:t>
      </w:r>
      <w:r>
        <w:rPr>
          <w:rFonts w:hint="eastAsia" w:ascii="宋体" w:hAnsi="宋体" w:eastAsia="宋体" w:cs="宋体"/>
          <w:color w:val="auto"/>
          <w:sz w:val="21"/>
          <w:szCs w:val="21"/>
          <w:highlight w:val="none"/>
        </w:rPr>
        <w:t>由采购人、采购代理机构在省级以上人民政府财政部门指定的政府采购信息发布媒体上发布谈判公告，邀请符合相应资格条件的供应商参与竞争性谈判采购活动。</w:t>
      </w:r>
    </w:p>
    <w:p w14:paraId="21AC81DB">
      <w:pPr>
        <w:pStyle w:val="392"/>
        <w:pageBreakBefore w:val="0"/>
        <w:kinsoku/>
        <w:wordWrap/>
        <w:overflowPunct/>
        <w:topLinePunct w:val="0"/>
        <w:bidi w:val="0"/>
        <w:spacing w:before="0"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□采用随机抽取方式邀请供应商的，</w:t>
      </w:r>
      <w:r>
        <w:rPr>
          <w:rFonts w:hint="eastAsia" w:ascii="宋体" w:hAnsi="宋体" w:eastAsia="宋体" w:cs="宋体"/>
          <w:color w:val="auto"/>
          <w:sz w:val="21"/>
          <w:szCs w:val="21"/>
          <w:highlight w:val="none"/>
        </w:rPr>
        <w:t>由采购人、采购代理机构从省级以上财政部门建立的供应商库中随机抽取不少于3家符合相应资格条件的供应商参与竞争性谈判采购活动。</w:t>
      </w:r>
    </w:p>
    <w:p w14:paraId="59655ACE">
      <w:pPr>
        <w:pStyle w:val="392"/>
        <w:pageBreakBefore w:val="0"/>
        <w:kinsoku/>
        <w:wordWrap/>
        <w:overflowPunct/>
        <w:topLinePunct w:val="0"/>
        <w:bidi w:val="0"/>
        <w:spacing w:before="0"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□采用书面推荐方式邀请供应商的，</w:t>
      </w:r>
      <w:r>
        <w:rPr>
          <w:rFonts w:hint="eastAsia" w:ascii="宋体" w:hAnsi="宋体" w:eastAsia="宋体" w:cs="宋体"/>
          <w:color w:val="auto"/>
          <w:sz w:val="21"/>
          <w:szCs w:val="21"/>
          <w:highlight w:val="none"/>
        </w:rPr>
        <w:t>由采购人和评审专家分别书面推荐不少于3家符合相应资格条件的供应商参与竞争性谈判采购活动。采取采购人和评审专家书面推荐方式选择供应商的，采购人和评审专家应当各自出具书面推荐意见。采购人推荐供应商的比例不得高于推荐供应商总数的50%。</w:t>
      </w:r>
    </w:p>
    <w:p w14:paraId="0719313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1.2供应商获取谈判文件。</w:t>
      </w:r>
    </w:p>
    <w:p w14:paraId="5C2F9D79">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1.3组织现场考察或召开答疑会（如果有）。</w:t>
      </w:r>
    </w:p>
    <w:p w14:paraId="295E1ECF">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1.4发布更正（延期）公告，澄清或修改谈判文件（如果有）。</w:t>
      </w:r>
    </w:p>
    <w:p w14:paraId="04C3131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1.5供应商按谈判文件要求编制响应文件。</w:t>
      </w:r>
    </w:p>
    <w:p w14:paraId="5B1937BC">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2.响应文件开启与信用信息查询</w:t>
      </w:r>
    </w:p>
    <w:p w14:paraId="4B7BAE8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2.1供应商依据“提交响应文件的截止时间与地点”通过广西政府采购云平台在线提交响应文件。供应商在提交响应文件的截止时间前，可以补充、修改或撤回响应文件。</w:t>
      </w:r>
    </w:p>
    <w:p w14:paraId="3824FC2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kern w:val="0"/>
          <w:sz w:val="21"/>
          <w:szCs w:val="21"/>
          <w:highlight w:val="none"/>
        </w:rPr>
        <w:t>采购人或者采购代理机构将通过“信用中国”网站(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Style w:val="68"/>
          <w:rFonts w:hint="eastAsia" w:ascii="宋体" w:hAnsi="宋体" w:eastAsia="宋体" w:cs="宋体"/>
          <w:snapToGrid/>
          <w:color w:val="auto"/>
          <w:sz w:val="21"/>
          <w:szCs w:val="21"/>
          <w:highlight w:val="none"/>
        </w:rPr>
        <w:t>www.creditchina.gov.cn</w:t>
      </w:r>
      <w:r>
        <w:rPr>
          <w:rStyle w:val="68"/>
          <w:rFonts w:hint="eastAsia" w:ascii="宋体" w:hAnsi="宋体" w:eastAsia="宋体" w:cs="宋体"/>
          <w:snapToGrid/>
          <w:color w:val="auto"/>
          <w:sz w:val="21"/>
          <w:szCs w:val="21"/>
          <w:highlight w:val="none"/>
        </w:rPr>
        <w:fldChar w:fldCharType="end"/>
      </w:r>
      <w:r>
        <w:rPr>
          <w:rFonts w:hint="eastAsia" w:ascii="宋体" w:hAnsi="宋体" w:eastAsia="宋体" w:cs="宋体"/>
          <w:color w:val="auto"/>
          <w:kern w:val="0"/>
          <w:sz w:val="21"/>
          <w:szCs w:val="21"/>
          <w:highlight w:val="none"/>
        </w:rPr>
        <w:t>)和中国政府采购网(www.ccgp.gov.cn)渠道查询供应商响应截止时间当日的信用记录。</w:t>
      </w:r>
    </w:p>
    <w:p w14:paraId="185787B5">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3.谈判与评审</w:t>
      </w:r>
    </w:p>
    <w:p w14:paraId="175BCE51">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3.1谈判小组签到。</w:t>
      </w:r>
    </w:p>
    <w:p w14:paraId="4919DBE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3.2采购代理机构宣布有关纪律以及谈判、评审工作程序。</w:t>
      </w:r>
    </w:p>
    <w:p w14:paraId="6CF46E4D">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3.3谈判小组审查确认谈判文件。谈判文件内容违反国家有关强制性规定的，谈判小组应当停止评审并向采购代理机构说明情况。</w:t>
      </w:r>
    </w:p>
    <w:p w14:paraId="45F5449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3.4谈判小组对供应商的资格进行审查。</w:t>
      </w:r>
    </w:p>
    <w:p w14:paraId="2AF6A917">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3.5谈判小组审查响应文件。</w:t>
      </w:r>
    </w:p>
    <w:p w14:paraId="4921874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3.6对于未实质性响应谈判文件的响应文件由谈判小组认定响应无效，并告知该供应商。</w:t>
      </w:r>
    </w:p>
    <w:p w14:paraId="383F57B3">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供应商根据谈判小组要求对响应文件中含义不明确、同类问题表述不一致或者有明显文字和计算错误的内容等作出必要的澄清、说明或者更正。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4B581DD9">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谈判小组与符合要求的供应商进行谈判。谈判小组所有成员按照响应文件解密次序集中与单一供应商分别进行谈判，并给予所有参加谈判的供应商平等的谈判机会。谈判过程中，谈判小组可以根据谈判情况调整轮次。谈判时由采购代理机构或谈判小组利用广西政府采购云平台发起谈判邀请，供应商通过广西政府采购云平台“在线评审室”进行远程视频谈判。供应商使用CA数字证书登录广西政府采购云平台——收到视频评审邀请——点击“视频评审”进入“视频评审系统”——开始远程谈判活动。</w:t>
      </w:r>
    </w:p>
    <w:p w14:paraId="049ACE20">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3.9经谈判确定谈判文件的变动情况。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05C68C33">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3.10供应商应当按照谈判文件的变动情况和谈判小组的要求重新提交响应文件，并由其法定代表人或授权代表签字或者加盖公章。由授权代表签字的，应当附法定代表人授权书。供应商为自然人的，应当由本人签字并附身份证明。签字或者加盖公章可以使用电子签名（如果有）。已提交响应文件的供应商，在提交最后报价之前，可以根据谈判情况退出谈判。如供应商未按谈判小组的要求在规定的时间内提交最后报价的，视为退出谈判。</w:t>
      </w:r>
    </w:p>
    <w:p w14:paraId="713AD23A">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3.11谈判小组按照下列方式确定提交最后报价的供应商，有特殊规定的从其规定：</w:t>
      </w:r>
    </w:p>
    <w:p w14:paraId="0539256D">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文件能够详细列明采购标的的技术、服务要求的，谈判结束后，谈判小组应当要求所有继续参加谈判的供应商在规定时间内提交最后报价，提交最后报价的供应商不得少于3家。符合《政府采购非招标采购方式管理办法》（财政部令第74号）第二十七条第二款规定情形的，提交最后报价的供应商可以为2家。</w:t>
      </w:r>
    </w:p>
    <w:p w14:paraId="0262AFC7">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62A7E681">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3.12确定进入最后报价的供应商在规定时间内提交最后报价。</w:t>
      </w:r>
    </w:p>
    <w:p w14:paraId="73B42A1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3.13谈判小组应当从质量和服务均能满足采购文件实质性响应要求的供应商中，按照最后报价由低到高的顺序提出3名以上成交候选人，并编写评审报告。多家供应商提供相同品牌产品（单一产品采购项目中的该产品或者非单一产品采购项目的核心产品）且通过资格审查、符合性审查的不同供应商参加同一合同项下谈判的，按一家供应商计算，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14:paraId="2B451AD9">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 成交</w:t>
      </w:r>
    </w:p>
    <w:p w14:paraId="4DB38D4B">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政府采购项目实行全流程电子化，评审报告送交、采购结果确定和结果公告均在线完成。采购代理机构应当依法及时将评审报告送采购人确认。采购人应当在收到评审报告后2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53FF87B6">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采购代理机构在收到采购人对评审报告的确认意见和对成交供应商的确定结果后，应当在2个工作日内，在中国政府采购网、广西政府采购网上公告成交结果，同时向成交供应商发出成交通知书，并将谈判文件随成交结果同时公告。</w:t>
      </w:r>
    </w:p>
    <w:p w14:paraId="266A7B9B">
      <w:pPr>
        <w:pStyle w:val="392"/>
        <w:pageBreakBefore w:val="0"/>
        <w:kinsoku/>
        <w:wordWrap/>
        <w:overflowPunct/>
        <w:topLinePunct w:val="0"/>
        <w:bidi w:val="0"/>
        <w:spacing w:before="0" w:line="360" w:lineRule="auto"/>
        <w:ind w:firstLine="0" w:firstLineChars="0"/>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5.合同及履约验收</w:t>
      </w:r>
    </w:p>
    <w:p w14:paraId="05ECE3F9">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73E77D6A">
      <w:pPr>
        <w:pageBreakBefore w:val="0"/>
        <w:tabs>
          <w:tab w:val="left" w:pos="0"/>
        </w:tabs>
        <w:kinsoku/>
        <w:wordWrap/>
        <w:overflowPunct/>
        <w:topLinePunct w:val="0"/>
        <w:bidi w:val="0"/>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5.2成交供应商按照政策要求及合同约定缴纳履约保证金（如有）。</w:t>
      </w:r>
    </w:p>
    <w:p w14:paraId="6BC33BE5">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5.3合同履约。</w:t>
      </w:r>
    </w:p>
    <w:p w14:paraId="7A148D6C">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5.4采购人组织验收。</w:t>
      </w:r>
    </w:p>
    <w:p w14:paraId="5DE2291B">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7B877E07">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6.竞争性谈判流程图</w:t>
      </w:r>
    </w:p>
    <w:p w14:paraId="23A09AEE">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p>
    <w:p w14:paraId="33AAC18F">
      <w:pPr>
        <w:pageBreakBefore w:val="0"/>
        <w:widowControl/>
        <w:kinsoku/>
        <w:wordWrap/>
        <w:overflowPunct/>
        <w:topLinePunct w:val="0"/>
        <w:bidi w:val="0"/>
        <w:adjustRightInd/>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065B22C4">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3360"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1F1373">
                            <w:pPr>
                              <w:rPr>
                                <w:rFonts w:asciiTheme="minorEastAsia" w:hAnsiTheme="minorEastAsia" w:eastAsiaTheme="minorEastAsia"/>
                              </w:rPr>
                            </w:pPr>
                            <w:r>
                              <w:rPr>
                                <w:rFonts w:hint="eastAsia" w:asciiTheme="minorEastAsia" w:hAnsiTheme="minorEastAsia" w:eastAsiaTheme="minorEastAsia"/>
                              </w:rPr>
                              <w:t>验收</w:t>
                            </w:r>
                          </w:p>
                          <w:p w14:paraId="32609193">
                            <w:pPr>
                              <w:rPr>
                                <w:rFonts w:ascii="仿宋_GB2312" w:eastAsia="仿宋_GB2312"/>
                              </w:rPr>
                            </w:pPr>
                            <w:r>
                              <w:rPr>
                                <w:rFonts w:hint="eastAsia" w:ascii="仿宋_GB2312" w:eastAsia="仿宋_GB2312"/>
                              </w:rPr>
                              <w:t>立项</w:t>
                            </w:r>
                          </w:p>
                          <w:p w14:paraId="17A2494E">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3360;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711F1373">
                      <w:pPr>
                        <w:rPr>
                          <w:rFonts w:asciiTheme="minorEastAsia" w:hAnsiTheme="minorEastAsia" w:eastAsiaTheme="minorEastAsia"/>
                        </w:rPr>
                      </w:pPr>
                      <w:r>
                        <w:rPr>
                          <w:rFonts w:hint="eastAsia" w:asciiTheme="minorEastAsia" w:hAnsiTheme="minorEastAsia" w:eastAsiaTheme="minorEastAsia"/>
                        </w:rPr>
                        <w:t>验收</w:t>
                      </w:r>
                    </w:p>
                    <w:p w14:paraId="32609193">
                      <w:pPr>
                        <w:rPr>
                          <w:rFonts w:ascii="仿宋_GB2312" w:eastAsia="仿宋_GB2312"/>
                        </w:rPr>
                      </w:pPr>
                      <w:r>
                        <w:rPr>
                          <w:rFonts w:hint="eastAsia" w:ascii="仿宋_GB2312" w:eastAsia="仿宋_GB2312"/>
                        </w:rPr>
                        <w:t>立项</w:t>
                      </w:r>
                    </w:p>
                    <w:p w14:paraId="17A2494E">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83840"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3840;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4384"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139DFC">
                            <w:pPr>
                              <w:rPr>
                                <w:rFonts w:asciiTheme="minorEastAsia" w:hAnsiTheme="minorEastAsia" w:eastAsiaTheme="minorEastAsia"/>
                              </w:rPr>
                            </w:pPr>
                            <w:r>
                              <w:rPr>
                                <w:rFonts w:hint="eastAsia" w:asciiTheme="minorEastAsia" w:hAnsiTheme="minorEastAsia" w:eastAsiaTheme="minorEastAsia"/>
                              </w:rPr>
                              <w:t>履约</w:t>
                            </w:r>
                          </w:p>
                          <w:p w14:paraId="714E45D1">
                            <w:pPr>
                              <w:rPr>
                                <w:rFonts w:ascii="仿宋_GB2312" w:eastAsia="仿宋_GB2312"/>
                              </w:rPr>
                            </w:pPr>
                            <w:r>
                              <w:rPr>
                                <w:rFonts w:hint="eastAsia" w:ascii="仿宋_GB2312" w:eastAsia="仿宋_GB2312"/>
                              </w:rPr>
                              <w:t>立项</w:t>
                            </w:r>
                          </w:p>
                          <w:p w14:paraId="3201612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4384;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7F139DFC">
                      <w:pPr>
                        <w:rPr>
                          <w:rFonts w:asciiTheme="minorEastAsia" w:hAnsiTheme="minorEastAsia" w:eastAsiaTheme="minorEastAsia"/>
                        </w:rPr>
                      </w:pPr>
                      <w:r>
                        <w:rPr>
                          <w:rFonts w:hint="eastAsia" w:asciiTheme="minorEastAsia" w:hAnsiTheme="minorEastAsia" w:eastAsiaTheme="minorEastAsia"/>
                        </w:rPr>
                        <w:t>履约</w:t>
                      </w:r>
                    </w:p>
                    <w:p w14:paraId="714E45D1">
                      <w:pPr>
                        <w:rPr>
                          <w:rFonts w:ascii="仿宋_GB2312" w:eastAsia="仿宋_GB2312"/>
                        </w:rPr>
                      </w:pPr>
                      <w:r>
                        <w:rPr>
                          <w:rFonts w:hint="eastAsia" w:ascii="仿宋_GB2312" w:eastAsia="仿宋_GB2312"/>
                        </w:rPr>
                        <w:t>立项</w:t>
                      </w:r>
                    </w:p>
                    <w:p w14:paraId="32016121">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80768"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E043C5">
                            <w:pPr>
                              <w:jc w:val="center"/>
                              <w:rPr>
                                <w:rFonts w:asciiTheme="minorEastAsia" w:hAnsiTheme="minorEastAsia" w:eastAsiaTheme="minorEastAsia"/>
                              </w:rPr>
                            </w:pPr>
                            <w:r>
                              <w:rPr>
                                <w:rFonts w:hint="eastAsia" w:asciiTheme="minorEastAsia" w:hAnsiTheme="minorEastAsia" w:eastAsiaTheme="minorEastAsia"/>
                              </w:rPr>
                              <w:t>签订合同</w:t>
                            </w:r>
                          </w:p>
                          <w:p w14:paraId="29840AB1">
                            <w:pPr>
                              <w:rPr>
                                <w:rFonts w:ascii="仿宋_GB2312" w:eastAsia="仿宋_GB2312"/>
                              </w:rPr>
                            </w:pPr>
                            <w:r>
                              <w:rPr>
                                <w:rFonts w:hint="eastAsia" w:ascii="仿宋_GB2312" w:eastAsia="仿宋_GB2312"/>
                              </w:rPr>
                              <w:t>立项</w:t>
                            </w:r>
                          </w:p>
                          <w:p w14:paraId="46A7E3F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80768;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17E043C5">
                      <w:pPr>
                        <w:jc w:val="center"/>
                        <w:rPr>
                          <w:rFonts w:asciiTheme="minorEastAsia" w:hAnsiTheme="minorEastAsia" w:eastAsiaTheme="minorEastAsia"/>
                        </w:rPr>
                      </w:pPr>
                      <w:r>
                        <w:rPr>
                          <w:rFonts w:hint="eastAsia" w:asciiTheme="minorEastAsia" w:hAnsiTheme="minorEastAsia" w:eastAsiaTheme="minorEastAsia"/>
                        </w:rPr>
                        <w:t>签订合同</w:t>
                      </w:r>
                    </w:p>
                    <w:p w14:paraId="29840AB1">
                      <w:pPr>
                        <w:rPr>
                          <w:rFonts w:ascii="仿宋_GB2312" w:eastAsia="仿宋_GB2312"/>
                        </w:rPr>
                      </w:pPr>
                      <w:r>
                        <w:rPr>
                          <w:rFonts w:hint="eastAsia" w:ascii="仿宋_GB2312" w:eastAsia="仿宋_GB2312"/>
                        </w:rPr>
                        <w:t>立项</w:t>
                      </w:r>
                    </w:p>
                    <w:p w14:paraId="46A7E3F1">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7696"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FF5F49">
                            <w:pPr>
                              <w:rPr>
                                <w:rFonts w:asciiTheme="minorEastAsia" w:hAnsiTheme="minorEastAsia" w:eastAsiaTheme="minorEastAsia"/>
                              </w:rPr>
                            </w:pPr>
                            <w:r>
                              <w:rPr>
                                <w:rFonts w:hint="eastAsia" w:asciiTheme="minorEastAsia" w:hAnsiTheme="minorEastAsia" w:eastAsiaTheme="minorEastAsia"/>
                              </w:rPr>
                              <w:t>成交公告；成交通知书</w:t>
                            </w:r>
                          </w:p>
                          <w:p w14:paraId="72E4FCE0">
                            <w:pPr>
                              <w:rPr>
                                <w:rFonts w:ascii="仿宋_GB2312" w:eastAsia="仿宋_GB2312"/>
                              </w:rPr>
                            </w:pPr>
                            <w:r>
                              <w:rPr>
                                <w:rFonts w:hint="eastAsia" w:ascii="仿宋_GB2312" w:eastAsia="仿宋_GB2312"/>
                              </w:rPr>
                              <w:t>立项</w:t>
                            </w:r>
                          </w:p>
                          <w:p w14:paraId="4EDD9F0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7696;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64FF5F49">
                      <w:pPr>
                        <w:rPr>
                          <w:rFonts w:asciiTheme="minorEastAsia" w:hAnsiTheme="minorEastAsia" w:eastAsiaTheme="minorEastAsia"/>
                        </w:rPr>
                      </w:pPr>
                      <w:r>
                        <w:rPr>
                          <w:rFonts w:hint="eastAsia" w:asciiTheme="minorEastAsia" w:hAnsiTheme="minorEastAsia" w:eastAsiaTheme="minorEastAsia"/>
                        </w:rPr>
                        <w:t>成交公告；成交通知书</w:t>
                      </w:r>
                    </w:p>
                    <w:p w14:paraId="72E4FCE0">
                      <w:pPr>
                        <w:rPr>
                          <w:rFonts w:ascii="仿宋_GB2312" w:eastAsia="仿宋_GB2312"/>
                        </w:rPr>
                      </w:pPr>
                      <w:r>
                        <w:rPr>
                          <w:rFonts w:hint="eastAsia" w:ascii="仿宋_GB2312" w:eastAsia="仿宋_GB2312"/>
                        </w:rPr>
                        <w:t>立项</w:t>
                      </w:r>
                    </w:p>
                    <w:p w14:paraId="4EDD9F03">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8720"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DCC357">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3D28915B">
                            <w:pPr>
                              <w:rPr>
                                <w:rFonts w:ascii="仿宋_GB2312" w:eastAsia="仿宋_GB2312"/>
                              </w:rPr>
                            </w:pPr>
                            <w:r>
                              <w:rPr>
                                <w:rFonts w:hint="eastAsia" w:ascii="仿宋_GB2312" w:eastAsia="仿宋_GB2312"/>
                              </w:rPr>
                              <w:t>立项</w:t>
                            </w:r>
                          </w:p>
                          <w:p w14:paraId="2934227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8720;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7DDCC357">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3D28915B">
                      <w:pPr>
                        <w:rPr>
                          <w:rFonts w:ascii="仿宋_GB2312" w:eastAsia="仿宋_GB2312"/>
                        </w:rPr>
                      </w:pPr>
                      <w:r>
                        <w:rPr>
                          <w:rFonts w:hint="eastAsia" w:ascii="仿宋_GB2312" w:eastAsia="仿宋_GB2312"/>
                        </w:rPr>
                        <w:t>立项</w:t>
                      </w:r>
                    </w:p>
                    <w:p w14:paraId="2934227A">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1986FC">
                            <w:pPr>
                              <w:jc w:val="center"/>
                              <w:rPr>
                                <w:rFonts w:asciiTheme="minorEastAsia" w:hAnsiTheme="minorEastAsia" w:eastAsiaTheme="minorEastAsia"/>
                              </w:rPr>
                            </w:pPr>
                            <w:r>
                              <w:rPr>
                                <w:rFonts w:hint="eastAsia" w:asciiTheme="minorEastAsia" w:hAnsiTheme="minorEastAsia" w:eastAsiaTheme="minorEastAsia"/>
                              </w:rPr>
                              <w:t>最后报价评审</w:t>
                            </w:r>
                          </w:p>
                          <w:p w14:paraId="44DA9BBD">
                            <w:pPr>
                              <w:rPr>
                                <w:rFonts w:ascii="仿宋_GB2312" w:eastAsia="仿宋_GB2312"/>
                              </w:rPr>
                            </w:pPr>
                            <w:r>
                              <w:rPr>
                                <w:rFonts w:hint="eastAsia" w:ascii="仿宋_GB2312" w:eastAsia="仿宋_GB2312"/>
                              </w:rPr>
                              <w:t>立项</w:t>
                            </w:r>
                          </w:p>
                          <w:p w14:paraId="48D5B0B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5408;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691986FC">
                      <w:pPr>
                        <w:jc w:val="center"/>
                        <w:rPr>
                          <w:rFonts w:asciiTheme="minorEastAsia" w:hAnsiTheme="minorEastAsia" w:eastAsiaTheme="minorEastAsia"/>
                        </w:rPr>
                      </w:pPr>
                      <w:r>
                        <w:rPr>
                          <w:rFonts w:hint="eastAsia" w:asciiTheme="minorEastAsia" w:hAnsiTheme="minorEastAsia" w:eastAsiaTheme="minorEastAsia"/>
                        </w:rPr>
                        <w:t>最后报价评审</w:t>
                      </w:r>
                    </w:p>
                    <w:p w14:paraId="44DA9BBD">
                      <w:pPr>
                        <w:rPr>
                          <w:rFonts w:ascii="仿宋_GB2312" w:eastAsia="仿宋_GB2312"/>
                        </w:rPr>
                      </w:pPr>
                      <w:r>
                        <w:rPr>
                          <w:rFonts w:hint="eastAsia" w:ascii="仿宋_GB2312" w:eastAsia="仿宋_GB2312"/>
                        </w:rPr>
                        <w:t>立项</w:t>
                      </w:r>
                    </w:p>
                    <w:p w14:paraId="48D5B0B0">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4624"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07D21D">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D6AB50D">
                            <w:pPr>
                              <w:rPr>
                                <w:rFonts w:ascii="仿宋_GB2312" w:eastAsia="仿宋_GB2312"/>
                              </w:rPr>
                            </w:pPr>
                            <w:r>
                              <w:rPr>
                                <w:rFonts w:hint="eastAsia" w:ascii="仿宋_GB2312" w:eastAsia="仿宋_GB2312"/>
                              </w:rPr>
                              <w:t>立项</w:t>
                            </w:r>
                          </w:p>
                          <w:p w14:paraId="77858F75">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4624;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D07D21D">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D6AB50D">
                      <w:pPr>
                        <w:rPr>
                          <w:rFonts w:ascii="仿宋_GB2312" w:eastAsia="仿宋_GB2312"/>
                        </w:rPr>
                      </w:pPr>
                      <w:r>
                        <w:rPr>
                          <w:rFonts w:hint="eastAsia" w:ascii="仿宋_GB2312" w:eastAsia="仿宋_GB2312"/>
                        </w:rPr>
                        <w:t>立项</w:t>
                      </w:r>
                    </w:p>
                    <w:p w14:paraId="77858F75">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3600"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64FCC1">
                            <w:pPr>
                              <w:jc w:val="center"/>
                              <w:rPr>
                                <w:rFonts w:asciiTheme="minorEastAsia" w:hAnsiTheme="minorEastAsia" w:eastAsiaTheme="minorEastAsia"/>
                              </w:rPr>
                            </w:pPr>
                            <w:r>
                              <w:rPr>
                                <w:rFonts w:hint="eastAsia" w:asciiTheme="minorEastAsia" w:hAnsiTheme="minorEastAsia" w:eastAsiaTheme="minorEastAsia"/>
                              </w:rPr>
                              <w:t>谈判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3600;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5464FCC1">
                      <w:pPr>
                        <w:jc w:val="center"/>
                        <w:rPr>
                          <w:rFonts w:asciiTheme="minorEastAsia" w:hAnsiTheme="minorEastAsia" w:eastAsiaTheme="minorEastAsia"/>
                        </w:rPr>
                      </w:pPr>
                      <w:r>
                        <w:rPr>
                          <w:rFonts w:hint="eastAsia" w:asciiTheme="minorEastAsia" w:hAnsiTheme="minorEastAsia" w:eastAsiaTheme="minorEastAsia"/>
                        </w:rPr>
                        <w:t>谈判</w:t>
                      </w: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82816"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C16D92">
                            <w:pPr>
                              <w:jc w:val="center"/>
                              <w:rPr>
                                <w:rFonts w:asciiTheme="minorEastAsia" w:hAnsiTheme="minorEastAsia" w:eastAsiaTheme="minorEastAsia"/>
                              </w:rPr>
                            </w:pPr>
                            <w:r>
                              <w:rPr>
                                <w:rFonts w:hint="eastAsia" w:asciiTheme="minorEastAsia" w:hAnsiTheme="minorEastAsia" w:eastAsiaTheme="minorEastAsia"/>
                              </w:rPr>
                              <w:t>资格审查</w:t>
                            </w:r>
                          </w:p>
                          <w:p w14:paraId="0A4269E6">
                            <w:pPr>
                              <w:jc w:val="center"/>
                              <w:rPr>
                                <w:rFonts w:ascii="仿宋_GB2312" w:eastAsia="仿宋_GB2312"/>
                              </w:rPr>
                            </w:pPr>
                          </w:p>
                          <w:p w14:paraId="77D538C2">
                            <w:pPr>
                              <w:rPr>
                                <w:rFonts w:ascii="仿宋_GB2312" w:eastAsia="仿宋_GB2312"/>
                              </w:rPr>
                            </w:pPr>
                            <w:r>
                              <w:rPr>
                                <w:rFonts w:hint="eastAsia" w:ascii="仿宋_GB2312" w:eastAsia="仿宋_GB2312"/>
                              </w:rPr>
                              <w:t>立项</w:t>
                            </w:r>
                          </w:p>
                          <w:p w14:paraId="7D2EBC7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2816;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61C16D92">
                      <w:pPr>
                        <w:jc w:val="center"/>
                        <w:rPr>
                          <w:rFonts w:asciiTheme="minorEastAsia" w:hAnsiTheme="minorEastAsia" w:eastAsiaTheme="minorEastAsia"/>
                        </w:rPr>
                      </w:pPr>
                      <w:r>
                        <w:rPr>
                          <w:rFonts w:hint="eastAsia" w:asciiTheme="minorEastAsia" w:hAnsiTheme="minorEastAsia" w:eastAsiaTheme="minorEastAsia"/>
                        </w:rPr>
                        <w:t>资格审查</w:t>
                      </w:r>
                    </w:p>
                    <w:p w14:paraId="0A4269E6">
                      <w:pPr>
                        <w:jc w:val="center"/>
                        <w:rPr>
                          <w:rFonts w:ascii="仿宋_GB2312" w:eastAsia="仿宋_GB2312"/>
                        </w:rPr>
                      </w:pPr>
                    </w:p>
                    <w:p w14:paraId="77D538C2">
                      <w:pPr>
                        <w:rPr>
                          <w:rFonts w:ascii="仿宋_GB2312" w:eastAsia="仿宋_GB2312"/>
                        </w:rPr>
                      </w:pPr>
                      <w:r>
                        <w:rPr>
                          <w:rFonts w:hint="eastAsia" w:ascii="仿宋_GB2312" w:eastAsia="仿宋_GB2312"/>
                        </w:rPr>
                        <w:t>立项</w:t>
                      </w:r>
                    </w:p>
                    <w:p w14:paraId="7D2EBC7A">
                      <w:pPr>
                        <w:rPr>
                          <w:rFonts w:ascii="仿宋_GB2312" w:eastAsia="仿宋_GB2312"/>
                        </w:rPr>
                      </w:pPr>
                    </w:p>
                  </w:txbxContent>
                </v:textbox>
              </v:shape>
            </w:pict>
          </mc:Fallback>
        </mc:AlternateContent>
      </w:r>
      <w:r>
        <w:rPr>
          <w:rFonts w:hint="eastAsia" w:ascii="宋体" w:hAnsi="宋体" w:eastAsia="宋体" w:cs="宋体"/>
          <w:color w:val="auto"/>
          <w:sz w:val="21"/>
          <w:szCs w:val="21"/>
          <w:highlight w:val="none"/>
        </w:rPr>
        <mc:AlternateContent>
          <mc:Choice Requires="wps">
            <w:drawing>
              <wp:anchor distT="0" distB="0" distL="114300" distR="114300" simplePos="0" relativeHeight="251681792"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81792;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hint="eastAsia" w:ascii="宋体" w:hAnsi="宋体" w:eastAsia="宋体" w:cs="宋体"/>
          <w:color w:val="auto"/>
          <w:sz w:val="21"/>
          <w:szCs w:val="21"/>
          <w:highlight w:val="none"/>
        </w:rPr>
        <mc:AlternateContent>
          <mc:Choice Requires="wps">
            <w:drawing>
              <wp:anchor distT="0" distB="0" distL="114300" distR="114300" simplePos="0" relativeHeight="251662336"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2336;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1312"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B278CF">
                            <w:pPr>
                              <w:jc w:val="center"/>
                              <w:rPr>
                                <w:rFonts w:asciiTheme="minorEastAsia" w:hAnsiTheme="minorEastAsia" w:eastAsiaTheme="minorEastAsia"/>
                              </w:rPr>
                            </w:pPr>
                            <w:r>
                              <w:rPr>
                                <w:rFonts w:hint="eastAsia" w:asciiTheme="minorEastAsia" w:hAnsiTheme="minorEastAsia" w:eastAsiaTheme="minorEastAsia"/>
                              </w:rPr>
                              <w:t>编制谈判文件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61312;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63B278CF">
                      <w:pPr>
                        <w:jc w:val="center"/>
                        <w:rPr>
                          <w:rFonts w:asciiTheme="minorEastAsia" w:hAnsiTheme="minorEastAsia" w:eastAsiaTheme="minorEastAsia"/>
                        </w:rPr>
                      </w:pPr>
                      <w:r>
                        <w:rPr>
                          <w:rFonts w:hint="eastAsia" w:asciiTheme="minorEastAsia" w:hAnsiTheme="minorEastAsia" w:eastAsiaTheme="minorEastAsia"/>
                        </w:rPr>
                        <w:t>编制谈判文件</w:t>
                      </w: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591BBA">
                            <w:pPr>
                              <w:jc w:val="center"/>
                              <w:rPr>
                                <w:rFonts w:asciiTheme="minorEastAsia" w:hAnsiTheme="minorEastAsia" w:eastAsiaTheme="minorEastAsia"/>
                              </w:rPr>
                            </w:pPr>
                            <w:r>
                              <w:rPr>
                                <w:rFonts w:hint="eastAsia" w:asciiTheme="minorEastAsia" w:hAnsiTheme="minorEastAsia" w:eastAsiaTheme="minorEastAsia"/>
                              </w:rPr>
                              <w:t>开启响应文件</w:t>
                            </w:r>
                          </w:p>
                          <w:p w14:paraId="1EDB074B">
                            <w:pPr>
                              <w:rPr>
                                <w:rFonts w:ascii="仿宋_GB2312" w:eastAsia="仿宋_GB2312"/>
                              </w:rPr>
                            </w:pPr>
                            <w:r>
                              <w:rPr>
                                <w:rFonts w:hint="eastAsia" w:ascii="仿宋_GB2312" w:eastAsia="仿宋_GB2312"/>
                              </w:rPr>
                              <w:t>立项</w:t>
                            </w:r>
                          </w:p>
                          <w:p w14:paraId="6602984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6432;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27591BBA">
                      <w:pPr>
                        <w:jc w:val="center"/>
                        <w:rPr>
                          <w:rFonts w:asciiTheme="minorEastAsia" w:hAnsiTheme="minorEastAsia" w:eastAsiaTheme="minorEastAsia"/>
                        </w:rPr>
                      </w:pPr>
                      <w:r>
                        <w:rPr>
                          <w:rFonts w:hint="eastAsia" w:asciiTheme="minorEastAsia" w:hAnsiTheme="minorEastAsia" w:eastAsiaTheme="minorEastAsia"/>
                        </w:rPr>
                        <w:t>开启响应文件</w:t>
                      </w:r>
                    </w:p>
                    <w:p w14:paraId="1EDB074B">
                      <w:pPr>
                        <w:rPr>
                          <w:rFonts w:ascii="仿宋_GB2312" w:eastAsia="仿宋_GB2312"/>
                        </w:rPr>
                      </w:pPr>
                      <w:r>
                        <w:rPr>
                          <w:rFonts w:hint="eastAsia" w:ascii="仿宋_GB2312" w:eastAsia="仿宋_GB2312"/>
                        </w:rPr>
                        <w:t>立项</w:t>
                      </w:r>
                    </w:p>
                    <w:p w14:paraId="66029841">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7456"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6E6BF4">
                            <w:pPr>
                              <w:jc w:val="center"/>
                              <w:rPr>
                                <w:rFonts w:asciiTheme="minorEastAsia" w:hAnsiTheme="minorEastAsia" w:eastAsiaTheme="minorEastAsia"/>
                              </w:rPr>
                            </w:pPr>
                            <w:r>
                              <w:rPr>
                                <w:rFonts w:hint="eastAsia" w:asciiTheme="minorEastAsia" w:hAnsiTheme="minorEastAsia" w:eastAsiaTheme="minorEastAsia"/>
                              </w:rPr>
                              <w:t>邀请供应商</w:t>
                            </w:r>
                          </w:p>
                          <w:p w14:paraId="600DD93C">
                            <w:pPr>
                              <w:rPr>
                                <w:rFonts w:ascii="仿宋_GB2312" w:eastAsia="仿宋_GB2312"/>
                              </w:rPr>
                            </w:pPr>
                            <w:r>
                              <w:rPr>
                                <w:rFonts w:hint="eastAsia" w:ascii="仿宋_GB2312" w:eastAsia="仿宋_GB2312"/>
                              </w:rPr>
                              <w:t>立项</w:t>
                            </w:r>
                          </w:p>
                          <w:p w14:paraId="04937BA4">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7456;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696E6BF4">
                      <w:pPr>
                        <w:jc w:val="center"/>
                        <w:rPr>
                          <w:rFonts w:asciiTheme="minorEastAsia" w:hAnsiTheme="minorEastAsia" w:eastAsiaTheme="minorEastAsia"/>
                        </w:rPr>
                      </w:pPr>
                      <w:r>
                        <w:rPr>
                          <w:rFonts w:hint="eastAsia" w:asciiTheme="minorEastAsia" w:hAnsiTheme="minorEastAsia" w:eastAsiaTheme="minorEastAsia"/>
                        </w:rPr>
                        <w:t>邀请供应商</w:t>
                      </w:r>
                    </w:p>
                    <w:p w14:paraId="600DD93C">
                      <w:pPr>
                        <w:rPr>
                          <w:rFonts w:ascii="仿宋_GB2312" w:eastAsia="仿宋_GB2312"/>
                        </w:rPr>
                      </w:pPr>
                      <w:r>
                        <w:rPr>
                          <w:rFonts w:hint="eastAsia" w:ascii="仿宋_GB2312" w:eastAsia="仿宋_GB2312"/>
                        </w:rPr>
                        <w:t>立项</w:t>
                      </w:r>
                    </w:p>
                    <w:p w14:paraId="04937BA4">
                      <w:pPr>
                        <w:rPr>
                          <w:rFonts w:ascii="仿宋_GB2312" w:eastAsia="仿宋_GB2312"/>
                        </w:rPr>
                      </w:pPr>
                    </w:p>
                  </w:txbxContent>
                </v:textbox>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8480"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8480;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69504"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9504;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70528;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1552"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71552;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2576"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2576;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5648"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5648;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6672"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6672;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9744;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ascii="宋体" w:hAnsi="宋体" w:eastAsia="宋体" w:cs="宋体"/>
          <w:b/>
          <w:color w:val="auto"/>
          <w:sz w:val="21"/>
          <w:szCs w:val="21"/>
          <w:highlight w:val="none"/>
        </w:rPr>
        <w:br w:type="page"/>
      </w:r>
    </w:p>
    <w:p w14:paraId="2B52733F">
      <w:pPr>
        <w:pStyle w:val="2"/>
        <w:numPr>
          <w:ilvl w:val="0"/>
          <w:numId w:val="0"/>
        </w:numPr>
        <w:bidi w:val="0"/>
        <w:ind w:leftChars="0"/>
        <w:jc w:val="center"/>
        <w:rPr>
          <w:rFonts w:hint="eastAsia"/>
          <w:color w:val="auto"/>
          <w:sz w:val="36"/>
          <w:szCs w:val="36"/>
          <w:highlight w:val="none"/>
        </w:rPr>
      </w:pPr>
      <w:bookmarkStart w:id="50" w:name="_Toc14924"/>
      <w:r>
        <w:rPr>
          <w:rFonts w:hint="eastAsia"/>
          <w:color w:val="auto"/>
          <w:sz w:val="36"/>
          <w:szCs w:val="36"/>
          <w:highlight w:val="none"/>
        </w:rPr>
        <w:t>第三部分</w:t>
      </w:r>
      <w:bookmarkEnd w:id="8"/>
      <w:r>
        <w:rPr>
          <w:rFonts w:hint="eastAsia"/>
          <w:color w:val="auto"/>
          <w:sz w:val="36"/>
          <w:szCs w:val="36"/>
          <w:highlight w:val="none"/>
        </w:rPr>
        <w:t xml:space="preserve">  供应商须知</w:t>
      </w:r>
      <w:bookmarkEnd w:id="9"/>
      <w:bookmarkEnd w:id="50"/>
    </w:p>
    <w:p w14:paraId="09B78D3F">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520"/>
      </w:tblGrid>
      <w:tr w14:paraId="0BAC27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5E63D752">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72F77B54">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事项</w:t>
            </w:r>
          </w:p>
        </w:tc>
        <w:tc>
          <w:tcPr>
            <w:tcW w:w="6520" w:type="dxa"/>
            <w:tcBorders>
              <w:top w:val="single" w:color="000000" w:sz="8" w:space="0"/>
              <w:left w:val="single" w:color="000000" w:sz="2" w:space="0"/>
              <w:bottom w:val="single" w:color="000000" w:sz="8" w:space="0"/>
              <w:right w:val="single" w:color="000000" w:sz="8" w:space="0"/>
            </w:tcBorders>
            <w:vAlign w:val="center"/>
          </w:tcPr>
          <w:p w14:paraId="3EADC2AE">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本项目的特别规定</w:t>
            </w:r>
          </w:p>
        </w:tc>
      </w:tr>
      <w:tr w14:paraId="1594EA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26" w:hRule="atLeast"/>
        </w:trPr>
        <w:tc>
          <w:tcPr>
            <w:tcW w:w="629" w:type="dxa"/>
            <w:tcBorders>
              <w:top w:val="single" w:color="auto" w:sz="4" w:space="0"/>
              <w:left w:val="single" w:color="auto" w:sz="4" w:space="0"/>
              <w:bottom w:val="single" w:color="auto" w:sz="4" w:space="0"/>
              <w:right w:val="single" w:color="auto" w:sz="4" w:space="0"/>
            </w:tcBorders>
            <w:vAlign w:val="center"/>
          </w:tcPr>
          <w:p w14:paraId="712E992A">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0DF5D92B">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项目属性与核心产品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327CBDB7">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货物类，</w:t>
            </w:r>
            <w:r>
              <w:rPr>
                <w:rFonts w:hint="eastAsia" w:ascii="宋体" w:hAnsi="宋体" w:eastAsia="宋体" w:cs="宋体"/>
                <w:color w:val="auto"/>
                <w:kern w:val="0"/>
                <w:sz w:val="21"/>
                <w:szCs w:val="21"/>
                <w:highlight w:val="none"/>
              </w:rPr>
              <w:t>核心产品为：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专用比赛新型武术场地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tc>
      </w:tr>
      <w:tr w14:paraId="4DD5F3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6D42CDB8">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6D87B123">
            <w:pPr>
              <w:pageBreakBefore w:val="0"/>
              <w:kinsoku/>
              <w:wordWrap/>
              <w:overflowPunct/>
              <w:topLinePunct w:val="0"/>
              <w:bidi w:val="0"/>
              <w:snapToGrid w:val="0"/>
              <w:spacing w:line="360" w:lineRule="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采购标的及其对应的中小企业划分标准所属行业</w:t>
            </w:r>
          </w:p>
        </w:tc>
        <w:tc>
          <w:tcPr>
            <w:tcW w:w="6520" w:type="dxa"/>
            <w:tcBorders>
              <w:top w:val="single" w:color="000000" w:sz="8" w:space="0"/>
              <w:left w:val="single" w:color="000000" w:sz="2" w:space="0"/>
              <w:bottom w:val="single" w:color="000000" w:sz="8" w:space="0"/>
              <w:right w:val="single" w:color="000000" w:sz="8" w:space="0"/>
            </w:tcBorders>
            <w:vAlign w:val="center"/>
          </w:tcPr>
          <w:p w14:paraId="1D35B422">
            <w:pPr>
              <w:pageBreakBefore w:val="0"/>
              <w:kinsoku/>
              <w:wordWrap/>
              <w:overflowPunct/>
              <w:topLinePunct w:val="0"/>
              <w:bidi w:val="0"/>
              <w:snapToGrid w:val="0"/>
              <w:spacing w:line="360" w:lineRule="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标的：</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采购标的详见采购需求</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，属于</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工业</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行业</w:t>
            </w:r>
            <w:r>
              <w:rPr>
                <w:rFonts w:hint="eastAsia" w:ascii="宋体" w:hAnsi="宋体" w:cs="宋体"/>
                <w:color w:val="auto"/>
                <w:kern w:val="0"/>
                <w:sz w:val="21"/>
                <w:szCs w:val="21"/>
                <w:highlight w:val="none"/>
                <w:lang w:eastAsia="zh-CN"/>
              </w:rPr>
              <w:t>。</w:t>
            </w:r>
          </w:p>
        </w:tc>
      </w:tr>
      <w:tr w14:paraId="4E0BE0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00" w:hRule="atLeast"/>
        </w:trPr>
        <w:tc>
          <w:tcPr>
            <w:tcW w:w="629" w:type="dxa"/>
            <w:tcBorders>
              <w:top w:val="single" w:color="auto" w:sz="4" w:space="0"/>
              <w:left w:val="single" w:color="auto" w:sz="4" w:space="0"/>
              <w:bottom w:val="single" w:color="auto" w:sz="4" w:space="0"/>
              <w:right w:val="single" w:color="auto" w:sz="4" w:space="0"/>
            </w:tcBorders>
            <w:vAlign w:val="center"/>
          </w:tcPr>
          <w:p w14:paraId="72B9C356">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0DDBFA36">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是否允许采购进口产品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31F0096C">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1513298430"/>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bookmarkStart w:id="83" w:name="_GoBack"/>
                <w:r>
                  <w:rPr>
                    <w:rFonts w:hint="eastAsia" w:ascii="宋体" w:hAnsi="宋体" w:eastAsia="宋体" w:cs="宋体"/>
                    <w:color w:val="auto"/>
                    <w:kern w:val="0"/>
                    <w:sz w:val="21"/>
                    <w:szCs w:val="21"/>
                    <w:highlight w:val="none"/>
                  </w:rPr>
                  <w:sym w:font="Wingdings" w:char="F0FE"/>
                </w:r>
              </w:sdtContent>
            </w:sdt>
            <w:bookmarkEnd w:id="83"/>
            <w:r>
              <w:rPr>
                <w:rFonts w:hint="eastAsia" w:ascii="宋体" w:hAnsi="宋体" w:eastAsia="宋体" w:cs="宋体"/>
                <w:color w:val="auto"/>
                <w:kern w:val="0"/>
                <w:sz w:val="21"/>
                <w:szCs w:val="21"/>
                <w:highlight w:val="none"/>
              </w:rPr>
              <w:t>本项目不允许采购进口产品。</w:t>
            </w:r>
          </w:p>
        </w:tc>
      </w:tr>
      <w:tr w14:paraId="4BA55D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17" w:hRule="atLeast"/>
        </w:trPr>
        <w:tc>
          <w:tcPr>
            <w:tcW w:w="629" w:type="dxa"/>
            <w:tcBorders>
              <w:top w:val="single" w:color="auto" w:sz="4" w:space="0"/>
              <w:left w:val="single" w:color="auto" w:sz="4" w:space="0"/>
              <w:bottom w:val="single" w:color="auto" w:sz="4" w:space="0"/>
              <w:right w:val="single" w:color="auto" w:sz="4" w:space="0"/>
            </w:tcBorders>
            <w:vAlign w:val="center"/>
          </w:tcPr>
          <w:p w14:paraId="63A78A14">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5D0EF44F">
            <w:pPr>
              <w:pageBreakBefore w:val="0"/>
              <w:kinsoku/>
              <w:wordWrap/>
              <w:overflowPunct/>
              <w:topLinePunct w:val="0"/>
              <w:bidi w:val="0"/>
              <w:snapToGrid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分包</w:t>
            </w:r>
          </w:p>
        </w:tc>
        <w:tc>
          <w:tcPr>
            <w:tcW w:w="6520" w:type="dxa"/>
            <w:tcBorders>
              <w:top w:val="single" w:color="000000" w:sz="8" w:space="0"/>
              <w:left w:val="single" w:color="000000" w:sz="2" w:space="0"/>
              <w:bottom w:val="single" w:color="000000" w:sz="8" w:space="0"/>
              <w:right w:val="single" w:color="000000" w:sz="8" w:space="0"/>
            </w:tcBorders>
            <w:vAlign w:val="center"/>
          </w:tcPr>
          <w:p w14:paraId="56F98CE4">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2077805082"/>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sz w:val="21"/>
                <w:szCs w:val="21"/>
                <w:highlight w:val="none"/>
              </w:rPr>
              <w:t>不同意分包。</w:t>
            </w:r>
          </w:p>
        </w:tc>
      </w:tr>
      <w:tr w14:paraId="46FC28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10" w:hRule="atLeast"/>
        </w:trPr>
        <w:tc>
          <w:tcPr>
            <w:tcW w:w="629" w:type="dxa"/>
            <w:tcBorders>
              <w:top w:val="single" w:color="auto" w:sz="4" w:space="0"/>
              <w:left w:val="single" w:color="auto" w:sz="4" w:space="0"/>
              <w:bottom w:val="single" w:color="auto" w:sz="4" w:space="0"/>
              <w:right w:val="single" w:color="auto" w:sz="4" w:space="0"/>
            </w:tcBorders>
            <w:vAlign w:val="center"/>
          </w:tcPr>
          <w:p w14:paraId="2409A24B">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6A06FC45">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开标前答疑会或现场考察</w:t>
            </w:r>
          </w:p>
        </w:tc>
        <w:tc>
          <w:tcPr>
            <w:tcW w:w="6520" w:type="dxa"/>
            <w:tcBorders>
              <w:top w:val="single" w:color="000000" w:sz="8" w:space="0"/>
              <w:left w:val="single" w:color="000000" w:sz="2" w:space="0"/>
              <w:bottom w:val="single" w:color="000000" w:sz="8" w:space="0"/>
              <w:right w:val="single" w:color="000000" w:sz="8" w:space="0"/>
            </w:tcBorders>
            <w:vAlign w:val="center"/>
          </w:tcPr>
          <w:p w14:paraId="0FF062BE">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71237414"/>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不组织。</w:t>
            </w:r>
          </w:p>
        </w:tc>
      </w:tr>
      <w:tr w14:paraId="0D055E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40EA8C48">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366B7C22">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样品提供</w:t>
            </w:r>
          </w:p>
        </w:tc>
        <w:tc>
          <w:tcPr>
            <w:tcW w:w="6520" w:type="dxa"/>
            <w:tcBorders>
              <w:top w:val="single" w:color="000000" w:sz="8" w:space="0"/>
              <w:left w:val="single" w:color="000000" w:sz="2" w:space="0"/>
              <w:bottom w:val="single" w:color="000000" w:sz="8" w:space="0"/>
              <w:right w:val="single" w:color="000000" w:sz="8" w:space="0"/>
            </w:tcBorders>
            <w:vAlign w:val="center"/>
          </w:tcPr>
          <w:p w14:paraId="20E4E462">
            <w:pPr>
              <w:pageBreakBefore w:val="0"/>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本项目</w:t>
            </w:r>
            <w:r>
              <w:rPr>
                <w:rFonts w:hint="eastAsia" w:ascii="宋体" w:hAnsi="宋体" w:eastAsia="宋体" w:cs="宋体"/>
                <w:color w:val="auto"/>
                <w:kern w:val="0"/>
                <w:sz w:val="21"/>
                <w:szCs w:val="21"/>
                <w:highlight w:val="none"/>
              </w:rPr>
              <w:t>要求提供</w:t>
            </w:r>
            <w:r>
              <w:rPr>
                <w:rFonts w:hint="eastAsia" w:ascii="宋体" w:hAnsi="宋体" w:cs="宋体"/>
                <w:color w:val="auto"/>
                <w:kern w:val="0"/>
                <w:sz w:val="21"/>
                <w:szCs w:val="21"/>
                <w:highlight w:val="none"/>
                <w:lang w:val="en-US" w:eastAsia="zh-CN"/>
              </w:rPr>
              <w:t>样品。</w:t>
            </w:r>
          </w:p>
          <w:p w14:paraId="4DB94BB6">
            <w:pPr>
              <w:pageBreakBefore w:val="0"/>
              <w:numPr>
                <w:ilvl w:val="0"/>
                <w:numId w:val="0"/>
              </w:numPr>
              <w:kinsoku/>
              <w:wordWrap/>
              <w:overflowPunct/>
              <w:topLinePunct w:val="0"/>
              <w:bidi w:val="0"/>
              <w:spacing w:line="360" w:lineRule="auto"/>
              <w:rPr>
                <w:rFonts w:hint="eastAsia" w:ascii="宋体" w:hAnsi="宋体" w:eastAsia="宋体" w:cs="宋体"/>
                <w:snapToGrid w:val="0"/>
                <w:color w:val="auto"/>
                <w:kern w:val="28"/>
                <w:sz w:val="21"/>
                <w:szCs w:val="21"/>
                <w:highlight w:val="none"/>
                <w:lang w:val="en-US" w:eastAsia="zh-CN"/>
              </w:rPr>
            </w:pPr>
            <w:r>
              <w:rPr>
                <w:rFonts w:hint="eastAsia" w:ascii="宋体" w:hAnsi="宋体" w:eastAsia="宋体" w:cs="宋体"/>
                <w:b/>
                <w:bCs/>
                <w:snapToGrid w:val="0"/>
                <w:color w:val="auto"/>
                <w:kern w:val="28"/>
                <w:sz w:val="21"/>
                <w:szCs w:val="21"/>
                <w:highlight w:val="none"/>
                <w:lang w:val="en-US" w:eastAsia="zh-CN" w:bidi="ar-SA"/>
              </w:rPr>
              <w:t>（1）</w:t>
            </w:r>
            <w:r>
              <w:rPr>
                <w:rFonts w:hint="eastAsia" w:ascii="宋体" w:hAnsi="宋体" w:eastAsia="宋体" w:cs="宋体"/>
                <w:b/>
                <w:bCs/>
                <w:snapToGrid w:val="0"/>
                <w:color w:val="auto"/>
                <w:kern w:val="28"/>
                <w:sz w:val="21"/>
                <w:szCs w:val="21"/>
                <w:highlight w:val="none"/>
              </w:rPr>
              <w:t>样品</w:t>
            </w:r>
            <w:r>
              <w:rPr>
                <w:rFonts w:hint="eastAsia" w:ascii="宋体" w:hAnsi="宋体" w:eastAsia="宋体" w:cs="宋体"/>
                <w:b/>
                <w:bCs/>
                <w:snapToGrid w:val="0"/>
                <w:color w:val="auto"/>
                <w:kern w:val="28"/>
                <w:sz w:val="21"/>
                <w:szCs w:val="21"/>
                <w:highlight w:val="none"/>
                <w:lang w:val="en-US" w:eastAsia="zh-CN"/>
              </w:rPr>
              <w:t>种类及数量</w:t>
            </w:r>
            <w:r>
              <w:rPr>
                <w:rFonts w:hint="eastAsia" w:ascii="宋体" w:hAnsi="宋体" w:eastAsia="宋体" w:cs="宋体"/>
                <w:b/>
                <w:bCs/>
                <w:snapToGrid w:val="0"/>
                <w:color w:val="auto"/>
                <w:kern w:val="28"/>
                <w:sz w:val="21"/>
                <w:szCs w:val="21"/>
                <w:highlight w:val="none"/>
              </w:rPr>
              <w:t>：</w:t>
            </w:r>
            <w:r>
              <w:rPr>
                <w:rFonts w:hint="eastAsia" w:ascii="宋体" w:hAnsi="宋体" w:eastAsia="宋体" w:cs="宋体"/>
                <w:b w:val="0"/>
                <w:bCs w:val="0"/>
                <w:snapToGrid w:val="0"/>
                <w:color w:val="auto"/>
                <w:kern w:val="28"/>
                <w:sz w:val="21"/>
                <w:szCs w:val="21"/>
                <w:highlight w:val="none"/>
              </w:rPr>
              <w:t xml:space="preserve"> </w:t>
            </w:r>
            <w:r>
              <w:rPr>
                <w:rFonts w:hint="eastAsia" w:ascii="宋体" w:hAnsi="宋体" w:cs="宋体"/>
                <w:b w:val="0"/>
                <w:bCs w:val="0"/>
                <w:snapToGrid w:val="0"/>
                <w:color w:val="auto"/>
                <w:kern w:val="28"/>
                <w:sz w:val="21"/>
                <w:szCs w:val="21"/>
                <w:highlight w:val="none"/>
                <w:lang w:val="en-US" w:eastAsia="zh-CN"/>
              </w:rPr>
              <w:t>本次采购项目核心产品为专用比赛新型武术场地设施，所有参与谈判的供应商必须在响应文件递交截止时间前，提交地毯小样。统一规格：20×20cm，数量：一式2份，密封，</w:t>
            </w:r>
            <w:r>
              <w:rPr>
                <w:rFonts w:hint="eastAsia" w:ascii="宋体" w:hAnsi="宋体" w:eastAsia="宋体" w:cs="宋体"/>
                <w:snapToGrid w:val="0"/>
                <w:color w:val="auto"/>
                <w:kern w:val="28"/>
                <w:sz w:val="21"/>
                <w:szCs w:val="21"/>
                <w:highlight w:val="none"/>
                <w:lang w:val="en-US" w:eastAsia="zh-CN"/>
              </w:rPr>
              <w:t>以邮寄或现场递交的方式，于响应文件递交截止时间前分别递交至评审主场及评审副场。未按要求提交样品、样品参数不达标、样品缺失或逾期提交的，将被认定为无效</w:t>
            </w:r>
            <w:r>
              <w:rPr>
                <w:rFonts w:hint="eastAsia" w:ascii="宋体" w:hAnsi="宋体" w:cs="宋体"/>
                <w:snapToGrid w:val="0"/>
                <w:color w:val="auto"/>
                <w:kern w:val="28"/>
                <w:sz w:val="21"/>
                <w:szCs w:val="21"/>
                <w:highlight w:val="none"/>
                <w:lang w:val="en-US" w:eastAsia="zh-CN"/>
              </w:rPr>
              <w:t>响应</w:t>
            </w:r>
            <w:r>
              <w:rPr>
                <w:rFonts w:hint="eastAsia" w:ascii="宋体" w:hAnsi="宋体" w:eastAsia="宋体" w:cs="宋体"/>
                <w:snapToGrid w:val="0"/>
                <w:color w:val="auto"/>
                <w:kern w:val="28"/>
                <w:sz w:val="21"/>
                <w:szCs w:val="21"/>
                <w:highlight w:val="none"/>
                <w:lang w:val="en-US" w:eastAsia="zh-CN"/>
              </w:rPr>
              <w:t>。</w:t>
            </w:r>
          </w:p>
          <w:p w14:paraId="743C4E84">
            <w:pPr>
              <w:pageBreakBefore w:val="0"/>
              <w:kinsoku/>
              <w:wordWrap/>
              <w:overflowPunct/>
              <w:topLinePunct w:val="0"/>
              <w:bidi w:val="0"/>
              <w:spacing w:line="360" w:lineRule="auto"/>
              <w:rPr>
                <w:rFonts w:hint="eastAsia" w:ascii="宋体" w:hAnsi="宋体" w:eastAsia="宋体" w:cs="宋体"/>
                <w:b/>
                <w:bCs/>
                <w:snapToGrid w:val="0"/>
                <w:color w:val="auto"/>
                <w:kern w:val="28"/>
                <w:sz w:val="21"/>
                <w:szCs w:val="21"/>
                <w:highlight w:val="none"/>
              </w:rPr>
            </w:pPr>
            <w:r>
              <w:rPr>
                <w:rFonts w:hint="eastAsia" w:ascii="宋体" w:hAnsi="宋体" w:eastAsia="宋体" w:cs="宋体"/>
                <w:b/>
                <w:bCs/>
                <w:color w:val="auto"/>
                <w:kern w:val="0"/>
                <w:sz w:val="21"/>
                <w:szCs w:val="21"/>
                <w:highlight w:val="none"/>
              </w:rPr>
              <w:t>（2）</w:t>
            </w:r>
            <w:r>
              <w:rPr>
                <w:rFonts w:hint="eastAsia" w:ascii="宋体" w:hAnsi="宋体" w:eastAsia="宋体" w:cs="宋体"/>
                <w:b/>
                <w:bCs/>
                <w:snapToGrid w:val="0"/>
                <w:color w:val="auto"/>
                <w:kern w:val="28"/>
                <w:sz w:val="21"/>
                <w:szCs w:val="21"/>
                <w:highlight w:val="none"/>
              </w:rPr>
              <w:t>样品制作的标准和要求：</w:t>
            </w:r>
          </w:p>
          <w:p w14:paraId="7CF49B68">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eastAsia="宋体" w:cs="宋体"/>
                <w:snapToGrid w:val="0"/>
                <w:color w:val="auto"/>
                <w:kern w:val="28"/>
                <w:sz w:val="21"/>
                <w:szCs w:val="21"/>
                <w:highlight w:val="none"/>
                <w:lang w:val="en-US" w:eastAsia="zh-CN"/>
              </w:rPr>
              <w:t>①</w:t>
            </w:r>
            <w:r>
              <w:rPr>
                <w:rFonts w:hint="eastAsia" w:ascii="宋体" w:hAnsi="宋体" w:cs="宋体"/>
                <w:color w:val="auto"/>
                <w:sz w:val="21"/>
                <w:szCs w:val="21"/>
                <w:highlight w:val="none"/>
                <w:u w:val="none"/>
                <w:vertAlign w:val="baseline"/>
                <w:lang w:val="en-US" w:eastAsia="zh-CN"/>
              </w:rPr>
              <w:t>样品表面平整、无破损、无翘曲、无污渍、无明显色差，边缘切割整齐，无脱层、开裂、变形等质量缺陷，完全模拟成品生产工艺及材质配比。</w:t>
            </w:r>
          </w:p>
          <w:p w14:paraId="0BBAEEE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②所有技术参数、材质性能、工艺标准必须完全匹配采购需求中的全部技术指标，具体要求详见采购需求，所有指标需100%达标，无偏差、无降级；</w:t>
            </w:r>
          </w:p>
          <w:p w14:paraId="600AFE7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snapToGrid w:val="0"/>
                <w:color w:val="auto"/>
                <w:kern w:val="28"/>
                <w:sz w:val="21"/>
                <w:szCs w:val="21"/>
                <w:highlight w:val="none"/>
                <w:lang w:val="en-US" w:eastAsia="zh-CN"/>
              </w:rPr>
              <w:t>③随样品</w:t>
            </w:r>
            <w:r>
              <w:rPr>
                <w:rFonts w:hint="eastAsia" w:ascii="宋体" w:hAnsi="宋体" w:cs="宋体"/>
                <w:color w:val="auto"/>
                <w:sz w:val="21"/>
                <w:szCs w:val="21"/>
                <w:highlight w:val="none"/>
                <w:u w:val="none"/>
                <w:vertAlign w:val="baseline"/>
                <w:lang w:val="en-US" w:eastAsia="zh-CN"/>
              </w:rPr>
              <w:t>配备</w:t>
            </w:r>
            <w:r>
              <w:rPr>
                <w:rFonts w:hint="eastAsia" w:ascii="宋体" w:hAnsi="宋体" w:eastAsia="宋体" w:cs="宋体"/>
                <w:color w:val="auto"/>
                <w:sz w:val="21"/>
                <w:szCs w:val="21"/>
                <w:highlight w:val="none"/>
                <w:u w:val="none"/>
                <w:lang w:val="en-US" w:eastAsia="zh-CN"/>
              </w:rPr>
              <w:t>第三方检测机构出具的</w:t>
            </w:r>
            <w:r>
              <w:rPr>
                <w:rFonts w:hint="eastAsia" w:ascii="宋体" w:hAnsi="宋体" w:cs="宋体"/>
                <w:color w:val="auto"/>
                <w:sz w:val="21"/>
                <w:szCs w:val="21"/>
                <w:highlight w:val="none"/>
                <w:u w:val="none"/>
                <w:lang w:val="en-US" w:eastAsia="zh-CN"/>
              </w:rPr>
              <w:t>产品</w:t>
            </w:r>
            <w:r>
              <w:rPr>
                <w:rFonts w:hint="eastAsia" w:ascii="宋体" w:hAnsi="宋体" w:eastAsia="宋体" w:cs="宋体"/>
                <w:color w:val="auto"/>
                <w:sz w:val="21"/>
                <w:szCs w:val="21"/>
                <w:highlight w:val="none"/>
                <w:u w:val="none"/>
                <w:lang w:val="en-US" w:eastAsia="zh-CN"/>
              </w:rPr>
              <w:t>检测报告</w:t>
            </w:r>
            <w:r>
              <w:rPr>
                <w:rFonts w:hint="eastAsia" w:ascii="宋体" w:hAnsi="宋体" w:eastAsia="宋体" w:cs="宋体"/>
                <w:color w:val="auto"/>
                <w:sz w:val="21"/>
                <w:szCs w:val="21"/>
                <w:highlight w:val="none"/>
                <w:u w:val="none"/>
                <w:vertAlign w:val="baseline"/>
                <w:lang w:val="en-US" w:eastAsia="zh-CN"/>
              </w:rPr>
              <w:t>，并加盖供应商公章；</w:t>
            </w:r>
          </w:p>
          <w:p w14:paraId="17B47E07">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④</w:t>
            </w:r>
            <w:r>
              <w:rPr>
                <w:rFonts w:hint="eastAsia" w:ascii="宋体" w:hAnsi="宋体" w:eastAsia="宋体" w:cs="宋体"/>
                <w:color w:val="auto"/>
                <w:sz w:val="21"/>
                <w:szCs w:val="21"/>
                <w:highlight w:val="none"/>
                <w:u w:val="none"/>
                <w:vertAlign w:val="baseline"/>
                <w:lang w:val="en-US" w:eastAsia="zh-CN"/>
              </w:rPr>
              <w:t>样品需张贴标签，标注项目名称、供应商名称、样品</w:t>
            </w:r>
            <w:r>
              <w:rPr>
                <w:rFonts w:hint="eastAsia" w:ascii="宋体" w:hAnsi="宋体" w:cs="宋体"/>
                <w:color w:val="auto"/>
                <w:sz w:val="21"/>
                <w:szCs w:val="21"/>
                <w:highlight w:val="none"/>
                <w:u w:val="none"/>
                <w:vertAlign w:val="baseline"/>
                <w:lang w:val="en-US" w:eastAsia="zh-CN"/>
              </w:rPr>
              <w:t>品类等</w:t>
            </w:r>
            <w:r>
              <w:rPr>
                <w:rFonts w:hint="eastAsia" w:ascii="宋体" w:hAnsi="宋体" w:eastAsia="宋体" w:cs="宋体"/>
                <w:color w:val="auto"/>
                <w:sz w:val="21"/>
                <w:szCs w:val="21"/>
                <w:highlight w:val="none"/>
                <w:u w:val="none"/>
                <w:vertAlign w:val="baseline"/>
                <w:lang w:val="en-US" w:eastAsia="zh-CN"/>
              </w:rPr>
              <w:t>说明；</w:t>
            </w:r>
          </w:p>
          <w:p w14:paraId="7E715ADB">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⑤</w:t>
            </w:r>
            <w:r>
              <w:rPr>
                <w:rFonts w:hint="eastAsia" w:ascii="宋体" w:hAnsi="宋体" w:eastAsia="宋体" w:cs="宋体"/>
                <w:color w:val="auto"/>
                <w:sz w:val="21"/>
                <w:szCs w:val="21"/>
                <w:highlight w:val="none"/>
                <w:u w:val="none"/>
                <w:vertAlign w:val="baseline"/>
                <w:lang w:val="en-US" w:eastAsia="zh-CN"/>
              </w:rPr>
              <w:t>所有样品需无偿提交采购人，评审结束后采购人统一留存归档，不予退还。</w:t>
            </w:r>
          </w:p>
          <w:p w14:paraId="668504B4">
            <w:pPr>
              <w:pageBreakBefore w:val="0"/>
              <w:numPr>
                <w:ilvl w:val="0"/>
                <w:numId w:val="0"/>
              </w:numPr>
              <w:kinsoku/>
              <w:wordWrap/>
              <w:overflowPunct/>
              <w:topLinePunct w:val="0"/>
              <w:bidi w:val="0"/>
              <w:spacing w:line="360" w:lineRule="auto"/>
              <w:rPr>
                <w:rFonts w:hint="eastAsia" w:ascii="宋体" w:hAnsi="宋体" w:eastAsia="宋体" w:cs="宋体"/>
                <w:b/>
                <w:bCs/>
                <w:snapToGrid w:val="0"/>
                <w:color w:val="auto"/>
                <w:kern w:val="28"/>
                <w:sz w:val="21"/>
                <w:szCs w:val="21"/>
                <w:highlight w:val="none"/>
              </w:rPr>
            </w:pPr>
            <w:r>
              <w:rPr>
                <w:rFonts w:hint="eastAsia" w:ascii="宋体" w:hAnsi="宋体" w:eastAsia="宋体" w:cs="宋体"/>
                <w:b/>
                <w:bCs/>
                <w:snapToGrid w:val="0"/>
                <w:color w:val="auto"/>
                <w:kern w:val="28"/>
                <w:sz w:val="21"/>
                <w:szCs w:val="21"/>
                <w:highlight w:val="none"/>
                <w:lang w:val="en-US" w:eastAsia="zh-CN" w:bidi="ar-SA"/>
              </w:rPr>
              <w:t>（3）</w:t>
            </w:r>
            <w:r>
              <w:rPr>
                <w:rFonts w:hint="eastAsia" w:ascii="宋体" w:hAnsi="宋体" w:eastAsia="宋体" w:cs="宋体"/>
                <w:b/>
                <w:bCs/>
                <w:color w:val="auto"/>
                <w:kern w:val="0"/>
                <w:sz w:val="21"/>
                <w:szCs w:val="21"/>
                <w:highlight w:val="none"/>
              </w:rPr>
              <w:t>样品的评审方法以及评审标准</w:t>
            </w:r>
            <w:r>
              <w:rPr>
                <w:rFonts w:hint="eastAsia" w:ascii="宋体" w:hAnsi="宋体" w:eastAsia="宋体" w:cs="宋体"/>
                <w:b/>
                <w:bCs/>
                <w:snapToGrid w:val="0"/>
                <w:color w:val="auto"/>
                <w:kern w:val="28"/>
                <w:sz w:val="21"/>
                <w:szCs w:val="21"/>
                <w:highlight w:val="none"/>
              </w:rPr>
              <w:t>：</w:t>
            </w:r>
          </w:p>
          <w:p w14:paraId="4A7E36D9">
            <w:pPr>
              <w:pageBreakBefore w:val="0"/>
              <w:numPr>
                <w:ilvl w:val="0"/>
                <w:numId w:val="0"/>
              </w:numPr>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①样品规格尺寸精准、无破损变形、工艺规整</w:t>
            </w:r>
            <w:r>
              <w:rPr>
                <w:rFonts w:hint="eastAsia" w:ascii="宋体" w:hAnsi="宋体" w:eastAsia="宋体" w:cs="宋体"/>
                <w:snapToGrid w:val="0"/>
                <w:color w:val="auto"/>
                <w:kern w:val="28"/>
                <w:sz w:val="21"/>
                <w:szCs w:val="21"/>
                <w:highlight w:val="none"/>
              </w:rPr>
              <w:t>；</w:t>
            </w:r>
          </w:p>
          <w:p w14:paraId="23562E8D">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②对照采购需求全部技术参数，逐项核验样品材质、</w:t>
            </w:r>
            <w:r>
              <w:rPr>
                <w:rFonts w:hint="eastAsia" w:ascii="宋体" w:hAnsi="宋体" w:eastAsia="宋体" w:cs="宋体"/>
                <w:color w:val="auto"/>
                <w:sz w:val="21"/>
                <w:szCs w:val="21"/>
                <w:highlight w:val="none"/>
                <w:u w:val="none"/>
                <w:vertAlign w:val="baseline"/>
                <w:lang w:val="en-US" w:eastAsia="zh-CN"/>
              </w:rPr>
              <w:t>面密度</w:t>
            </w:r>
            <w:r>
              <w:rPr>
                <w:rFonts w:hint="eastAsia" w:ascii="宋体" w:hAnsi="宋体" w:eastAsia="宋体" w:cs="宋体"/>
                <w:snapToGrid w:val="0"/>
                <w:color w:val="auto"/>
                <w:kern w:val="28"/>
                <w:sz w:val="21"/>
                <w:szCs w:val="21"/>
                <w:highlight w:val="none"/>
                <w:lang w:val="en-US" w:eastAsia="zh-CN"/>
              </w:rPr>
              <w:t>、</w:t>
            </w:r>
            <w:r>
              <w:rPr>
                <w:rFonts w:hint="eastAsia" w:ascii="宋体" w:hAnsi="宋体" w:eastAsia="宋体" w:cs="宋体"/>
                <w:color w:val="auto"/>
                <w:sz w:val="21"/>
                <w:szCs w:val="21"/>
                <w:highlight w:val="none"/>
                <w:u w:val="none"/>
                <w:vertAlign w:val="baseline"/>
                <w:lang w:val="en-US" w:eastAsia="zh-CN"/>
              </w:rPr>
              <w:t>摩擦系数/抗滑阻力</w:t>
            </w:r>
            <w:r>
              <w:rPr>
                <w:rFonts w:hint="eastAsia" w:ascii="宋体" w:hAnsi="宋体" w:eastAsia="宋体" w:cs="宋体"/>
                <w:snapToGrid w:val="0"/>
                <w:color w:val="auto"/>
                <w:kern w:val="28"/>
                <w:sz w:val="21"/>
                <w:szCs w:val="21"/>
                <w:highlight w:val="none"/>
                <w:lang w:val="en-US" w:eastAsia="zh-CN"/>
              </w:rPr>
              <w:t>、</w:t>
            </w:r>
            <w:r>
              <w:rPr>
                <w:rFonts w:hint="eastAsia" w:ascii="宋体" w:hAnsi="宋体" w:eastAsia="宋体" w:cs="宋体"/>
                <w:color w:val="auto"/>
                <w:sz w:val="21"/>
                <w:szCs w:val="21"/>
                <w:highlight w:val="none"/>
                <w:u w:val="none"/>
                <w:vertAlign w:val="baseline"/>
                <w:lang w:val="en-US" w:eastAsia="zh-CN"/>
              </w:rPr>
              <w:t>簇绒拔出力</w:t>
            </w:r>
            <w:r>
              <w:rPr>
                <w:rFonts w:hint="eastAsia" w:ascii="宋体" w:hAnsi="宋体" w:eastAsia="宋体" w:cs="宋体"/>
                <w:snapToGrid w:val="0"/>
                <w:color w:val="auto"/>
                <w:kern w:val="28"/>
                <w:sz w:val="21"/>
                <w:szCs w:val="21"/>
                <w:highlight w:val="none"/>
                <w:lang w:val="en-US" w:eastAsia="zh-CN"/>
              </w:rPr>
              <w:t>、</w:t>
            </w:r>
            <w:r>
              <w:rPr>
                <w:rFonts w:hint="eastAsia" w:ascii="宋体" w:hAnsi="宋体" w:eastAsia="宋体" w:cs="宋体"/>
                <w:color w:val="auto"/>
                <w:sz w:val="21"/>
                <w:szCs w:val="21"/>
                <w:highlight w:val="none"/>
                <w:u w:val="none"/>
                <w:vertAlign w:val="baseline"/>
                <w:lang w:val="en-US" w:eastAsia="zh-CN"/>
              </w:rPr>
              <w:t>耐摩擦色牢</w:t>
            </w:r>
            <w:r>
              <w:rPr>
                <w:rFonts w:hint="eastAsia" w:ascii="宋体" w:hAnsi="宋体" w:cs="宋体"/>
                <w:color w:val="auto"/>
                <w:sz w:val="21"/>
                <w:szCs w:val="21"/>
                <w:highlight w:val="none"/>
                <w:u w:val="none"/>
                <w:vertAlign w:val="baseline"/>
                <w:lang w:val="en-US" w:eastAsia="zh-CN"/>
              </w:rPr>
              <w:t>、</w:t>
            </w:r>
            <w:r>
              <w:rPr>
                <w:rFonts w:hint="eastAsia" w:ascii="宋体" w:hAnsi="宋体" w:eastAsia="宋体" w:cs="宋体"/>
                <w:color w:val="auto"/>
                <w:sz w:val="21"/>
                <w:szCs w:val="21"/>
                <w:highlight w:val="none"/>
                <w:u w:val="none"/>
                <w:vertAlign w:val="baseline"/>
                <w:lang w:val="en-US" w:eastAsia="zh-CN"/>
              </w:rPr>
              <w:t>撕裂强度</w:t>
            </w:r>
            <w:r>
              <w:rPr>
                <w:rFonts w:hint="eastAsia" w:ascii="宋体" w:hAnsi="宋体" w:eastAsia="宋体" w:cs="宋体"/>
                <w:snapToGrid w:val="0"/>
                <w:color w:val="auto"/>
                <w:kern w:val="28"/>
                <w:sz w:val="21"/>
                <w:szCs w:val="21"/>
                <w:highlight w:val="none"/>
                <w:lang w:val="en-US" w:eastAsia="zh-CN"/>
              </w:rPr>
              <w:t>等核心指标，全部达标</w:t>
            </w:r>
            <w:r>
              <w:rPr>
                <w:rFonts w:hint="eastAsia" w:ascii="宋体" w:hAnsi="宋体" w:eastAsia="宋体" w:cs="宋体"/>
                <w:snapToGrid w:val="0"/>
                <w:color w:val="auto"/>
                <w:kern w:val="28"/>
                <w:sz w:val="21"/>
                <w:szCs w:val="21"/>
                <w:highlight w:val="none"/>
              </w:rPr>
              <w:t>；</w:t>
            </w:r>
          </w:p>
          <w:p w14:paraId="1FDB1CFA">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cs="宋体"/>
                <w:snapToGrid w:val="0"/>
                <w:color w:val="auto"/>
                <w:kern w:val="28"/>
                <w:sz w:val="21"/>
                <w:szCs w:val="21"/>
                <w:highlight w:val="none"/>
                <w:lang w:val="en-US" w:eastAsia="zh-CN"/>
              </w:rPr>
              <w:t>③</w:t>
            </w:r>
            <w:r>
              <w:rPr>
                <w:rFonts w:hint="eastAsia" w:ascii="宋体" w:hAnsi="宋体" w:eastAsia="宋体" w:cs="宋体"/>
                <w:snapToGrid w:val="0"/>
                <w:color w:val="auto"/>
                <w:kern w:val="28"/>
                <w:sz w:val="21"/>
                <w:szCs w:val="21"/>
                <w:highlight w:val="none"/>
                <w:lang w:val="en-US" w:eastAsia="zh-CN"/>
              </w:rPr>
              <w:t>检测项目完整、参数对应精准</w:t>
            </w:r>
            <w:r>
              <w:rPr>
                <w:rFonts w:hint="eastAsia" w:ascii="宋体" w:hAnsi="宋体" w:cs="宋体"/>
                <w:snapToGrid w:val="0"/>
                <w:color w:val="auto"/>
                <w:kern w:val="28"/>
                <w:sz w:val="21"/>
                <w:szCs w:val="21"/>
                <w:highlight w:val="none"/>
                <w:lang w:val="en-US" w:eastAsia="zh-CN"/>
              </w:rPr>
              <w:t>，没有项目漏项、参数不符。</w:t>
            </w:r>
          </w:p>
          <w:p w14:paraId="27C903C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eastAsia="宋体" w:cs="宋体"/>
                <w:b/>
                <w:bCs/>
                <w:color w:val="auto"/>
                <w:kern w:val="0"/>
                <w:sz w:val="21"/>
                <w:szCs w:val="21"/>
                <w:highlight w:val="none"/>
                <w:lang w:val="en-US" w:eastAsia="zh-CN" w:bidi="ar-SA"/>
              </w:rPr>
              <w:t>（4）</w:t>
            </w:r>
            <w:r>
              <w:rPr>
                <w:rFonts w:hint="eastAsia" w:ascii="宋体" w:hAnsi="宋体" w:eastAsia="宋体" w:cs="宋体"/>
                <w:b/>
                <w:bCs/>
                <w:color w:val="auto"/>
                <w:kern w:val="0"/>
                <w:sz w:val="21"/>
                <w:szCs w:val="21"/>
                <w:highlight w:val="none"/>
              </w:rPr>
              <w:t>需要随样品提交检测报告：</w:t>
            </w:r>
            <w:r>
              <w:rPr>
                <w:rFonts w:hint="eastAsia" w:ascii="宋体" w:hAnsi="宋体" w:cs="宋体"/>
                <w:color w:val="auto"/>
                <w:kern w:val="0"/>
                <w:sz w:val="21"/>
                <w:szCs w:val="21"/>
                <w:highlight w:val="none"/>
                <w:lang w:val="en-US" w:eastAsia="zh-CN"/>
              </w:rPr>
              <w:t>由</w:t>
            </w:r>
            <w:r>
              <w:rPr>
                <w:rFonts w:hint="eastAsia" w:ascii="宋体" w:hAnsi="宋体" w:eastAsia="宋体" w:cs="宋体"/>
                <w:color w:val="auto"/>
                <w:sz w:val="21"/>
                <w:szCs w:val="21"/>
                <w:highlight w:val="none"/>
              </w:rPr>
              <w:t>第三方检测机构出具的检测报告，并加盖供应商公章</w:t>
            </w:r>
            <w:r>
              <w:rPr>
                <w:rFonts w:hint="eastAsia" w:ascii="宋体" w:hAnsi="宋体" w:cs="宋体"/>
                <w:color w:val="auto"/>
                <w:sz w:val="21"/>
                <w:szCs w:val="21"/>
                <w:highlight w:val="none"/>
                <w:lang w:eastAsia="zh-CN"/>
              </w:rPr>
              <w:t>。</w:t>
            </w:r>
            <w:r>
              <w:rPr>
                <w:rFonts w:hint="eastAsia" w:ascii="宋体" w:hAnsi="宋体" w:eastAsia="宋体" w:cs="宋体"/>
                <w:color w:val="auto"/>
                <w:kern w:val="0"/>
                <w:sz w:val="21"/>
                <w:szCs w:val="21"/>
                <w:highlight w:val="none"/>
              </w:rPr>
              <w:t>检测内容需覆盖</w:t>
            </w:r>
            <w:r>
              <w:rPr>
                <w:rFonts w:hint="eastAsia" w:ascii="宋体" w:hAnsi="宋体" w:cs="宋体"/>
                <w:color w:val="auto"/>
                <w:kern w:val="0"/>
                <w:sz w:val="21"/>
                <w:szCs w:val="21"/>
                <w:highlight w:val="none"/>
                <w:lang w:val="en-US" w:eastAsia="zh-CN"/>
              </w:rPr>
              <w:t>本项目采购需求所列明</w:t>
            </w:r>
            <w:r>
              <w:rPr>
                <w:rFonts w:hint="eastAsia" w:ascii="宋体" w:hAnsi="宋体" w:eastAsia="宋体" w:cs="宋体"/>
                <w:color w:val="auto"/>
                <w:kern w:val="0"/>
                <w:sz w:val="21"/>
                <w:szCs w:val="21"/>
                <w:highlight w:val="none"/>
              </w:rPr>
              <w:t>的全部</w:t>
            </w:r>
            <w:r>
              <w:rPr>
                <w:rFonts w:hint="eastAsia" w:ascii="宋体" w:hAnsi="宋体" w:cs="宋体"/>
                <w:color w:val="auto"/>
                <w:kern w:val="0"/>
                <w:sz w:val="21"/>
                <w:szCs w:val="21"/>
                <w:highlight w:val="none"/>
                <w:lang w:val="en-US" w:eastAsia="zh-CN"/>
              </w:rPr>
              <w:t>产品</w:t>
            </w:r>
            <w:r>
              <w:rPr>
                <w:rFonts w:hint="eastAsia" w:ascii="宋体" w:hAnsi="宋体" w:eastAsia="宋体" w:cs="宋体"/>
                <w:color w:val="auto"/>
                <w:kern w:val="0"/>
                <w:sz w:val="21"/>
                <w:szCs w:val="21"/>
                <w:highlight w:val="none"/>
              </w:rPr>
              <w:t>技术性能指标，包含材质参数、物理性能、冲击性能、环保性能等，不得缺项、漏项。</w:t>
            </w:r>
            <w:r>
              <w:rPr>
                <w:rFonts w:hint="eastAsia" w:ascii="宋体" w:hAnsi="宋体" w:cs="宋体"/>
                <w:color w:val="auto"/>
                <w:kern w:val="2"/>
                <w:sz w:val="21"/>
                <w:szCs w:val="21"/>
                <w:highlight w:val="none"/>
                <w:vertAlign w:val="baseline"/>
                <w:lang w:val="en-US" w:eastAsia="zh-CN" w:bidi="ar-SA"/>
              </w:rPr>
              <w:t>上层簇绒地毯物理性能执行 GB/T 11746‑2008标准；地毯及衬垫有害物质释放执行强制国标GB 18587‑2001标准；毯面纤维成分执行 GB/T 29862‑2013标准；色牢度检测按 GB/T 3920‑2008标准。</w:t>
            </w:r>
          </w:p>
          <w:p w14:paraId="258DCD1D">
            <w:pPr>
              <w:pageBreakBefore w:val="0"/>
              <w:numPr>
                <w:ilvl w:val="0"/>
                <w:numId w:val="0"/>
              </w:numPr>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highlight w:val="none"/>
                <w:lang w:eastAsia="zh-CN"/>
              </w:rPr>
              <w:t>（</w:t>
            </w:r>
            <w:r>
              <w:rPr>
                <w:rFonts w:hint="eastAsia" w:ascii="宋体" w:hAnsi="宋体" w:cs="宋体"/>
                <w:b/>
                <w:bCs/>
                <w:color w:val="auto"/>
                <w:kern w:val="0"/>
                <w:sz w:val="21"/>
                <w:szCs w:val="21"/>
                <w:highlight w:val="none"/>
                <w:lang w:val="en-US" w:eastAsia="zh-CN"/>
              </w:rPr>
              <w:t>5）后续履约要求：</w:t>
            </w:r>
            <w:r>
              <w:rPr>
                <w:rFonts w:hint="eastAsia" w:ascii="宋体" w:hAnsi="宋体" w:eastAsia="宋体" w:cs="宋体"/>
                <w:color w:val="auto"/>
                <w:kern w:val="0"/>
                <w:sz w:val="21"/>
                <w:szCs w:val="21"/>
                <w:highlight w:val="none"/>
              </w:rPr>
              <w:t>项目履约交货时，供应商需再次提供完整的产品检测报告原件备查，样品检测报告不作为最终交货检测依据，最终产品质量以交货抽检、复检结果为准。</w:t>
            </w:r>
          </w:p>
          <w:p w14:paraId="4EE2C495">
            <w:pPr>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）提供样品的时间：</w:t>
            </w:r>
            <w:r>
              <w:rPr>
                <w:rFonts w:hint="eastAsia" w:ascii="宋体" w:hAnsi="宋体" w:eastAsia="宋体" w:cs="宋体"/>
                <w:color w:val="auto"/>
                <w:sz w:val="21"/>
                <w:szCs w:val="21"/>
                <w:highlight w:val="none"/>
                <w:lang w:val="en-US" w:eastAsia="zh-CN"/>
              </w:rPr>
              <w:t>于响应文件递交截止时间前分别递交至评审主场及评审副场。</w:t>
            </w:r>
          </w:p>
          <w:p w14:paraId="0570E934">
            <w:pPr>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评审主场：北海市海城区银河城市科技产业城2幢0101号 韦丽丹 0779-3928925</w:t>
            </w:r>
          </w:p>
          <w:p w14:paraId="502F73D7">
            <w:pPr>
              <w:pageBreakBefore w:val="0"/>
              <w:kinsoku/>
              <w:wordWrap/>
              <w:overflowPunct/>
              <w:topLinePunct w:val="0"/>
              <w:bidi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评审副场：广西北部湾宏亚建设管理有限公司靖西分公司（靖西市吉祥路古力屯三产用地峰珲体育三楼） 农工 0776-6180899</w:t>
            </w:r>
          </w:p>
          <w:p w14:paraId="4C2482D9">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超过截止时间的，采购人或采购代理机构将不予接收。</w:t>
            </w:r>
          </w:p>
          <w:p w14:paraId="7CFF37C0">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（7）</w:t>
            </w:r>
            <w:r>
              <w:rPr>
                <w:rFonts w:hint="eastAsia" w:ascii="宋体" w:hAnsi="宋体" w:cs="宋体"/>
                <w:b/>
                <w:bCs/>
                <w:color w:val="auto"/>
                <w:sz w:val="21"/>
                <w:szCs w:val="21"/>
                <w:highlight w:val="none"/>
                <w:lang w:val="en-US" w:eastAsia="zh-CN"/>
              </w:rPr>
              <w:t>样品制作的费用：</w:t>
            </w:r>
            <w:r>
              <w:rPr>
                <w:rFonts w:hint="eastAsia" w:ascii="宋体" w:hAnsi="宋体" w:cs="宋体"/>
                <w:color w:val="auto"/>
                <w:sz w:val="21"/>
                <w:szCs w:val="21"/>
                <w:highlight w:val="none"/>
                <w:lang w:val="en-US" w:eastAsia="zh-CN"/>
              </w:rPr>
              <w:t>样品</w:t>
            </w:r>
            <w:r>
              <w:rPr>
                <w:rFonts w:hint="eastAsia" w:ascii="宋体" w:hAnsi="宋体" w:eastAsia="宋体" w:cs="宋体"/>
                <w:color w:val="auto"/>
                <w:sz w:val="21"/>
                <w:szCs w:val="21"/>
                <w:highlight w:val="none"/>
              </w:rPr>
              <w:t>制作、运输、安装和保管样品所发生的一切费用由供应商自理。</w:t>
            </w:r>
          </w:p>
        </w:tc>
      </w:tr>
      <w:tr w14:paraId="40E6D6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59" w:hRule="atLeast"/>
        </w:trPr>
        <w:tc>
          <w:tcPr>
            <w:tcW w:w="629" w:type="dxa"/>
            <w:tcBorders>
              <w:top w:val="single" w:color="auto" w:sz="4" w:space="0"/>
              <w:left w:val="single" w:color="auto" w:sz="4" w:space="0"/>
              <w:bottom w:val="single" w:color="auto" w:sz="4" w:space="0"/>
              <w:right w:val="single" w:color="auto" w:sz="4" w:space="0"/>
            </w:tcBorders>
            <w:vAlign w:val="center"/>
          </w:tcPr>
          <w:p w14:paraId="6B09089C">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1926420C">
            <w:pPr>
              <w:pageBreakBefore w:val="0"/>
              <w:kinsoku/>
              <w:wordWrap/>
              <w:overflowPunct/>
              <w:topLinePunct w:val="0"/>
              <w:bidi w:val="0"/>
              <w:snapToGrid w:val="0"/>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方案讲解演示</w:t>
            </w:r>
          </w:p>
        </w:tc>
        <w:tc>
          <w:tcPr>
            <w:tcW w:w="6520" w:type="dxa"/>
            <w:tcBorders>
              <w:top w:val="single" w:color="000000" w:sz="8" w:space="0"/>
              <w:left w:val="single" w:color="000000" w:sz="2" w:space="0"/>
              <w:bottom w:val="single" w:color="000000" w:sz="8" w:space="0"/>
              <w:right w:val="single" w:color="000000" w:sz="8" w:space="0"/>
            </w:tcBorders>
            <w:vAlign w:val="center"/>
          </w:tcPr>
          <w:p w14:paraId="3E1F5932">
            <w:pPr>
              <w:pageBreakBefore w:val="0"/>
              <w:kinsoku/>
              <w:wordWrap/>
              <w:overflowPunct/>
              <w:topLinePunct w:val="0"/>
              <w:bidi w:val="0"/>
              <w:spacing w:line="360" w:lineRule="auto"/>
              <w:rPr>
                <w:rFonts w:hint="eastAsia" w:ascii="宋体" w:hAnsi="宋体" w:eastAsia="宋体" w:cs="宋体"/>
                <w:b/>
                <w:color w:val="auto"/>
                <w:kern w:val="0"/>
                <w:sz w:val="21"/>
                <w:szCs w:val="21"/>
                <w:highlight w:val="none"/>
                <w:lang w:val="zh-CN"/>
              </w:rPr>
            </w:pPr>
            <w:sdt>
              <w:sdtPr>
                <w:rPr>
                  <w:rFonts w:hint="eastAsia" w:ascii="宋体" w:hAnsi="宋体" w:eastAsia="宋体" w:cs="宋体"/>
                  <w:color w:val="auto"/>
                  <w:kern w:val="0"/>
                  <w:sz w:val="21"/>
                  <w:szCs w:val="21"/>
                  <w:highlight w:val="none"/>
                </w:rPr>
                <w:id w:val="-1820569039"/>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不组织。</w:t>
            </w:r>
          </w:p>
        </w:tc>
      </w:tr>
      <w:tr w14:paraId="747B4B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bottom w:val="single" w:color="auto" w:sz="4" w:space="0"/>
              <w:right w:val="single" w:color="auto" w:sz="4" w:space="0"/>
            </w:tcBorders>
            <w:vAlign w:val="center"/>
          </w:tcPr>
          <w:p w14:paraId="29430AB3">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843" w:type="dxa"/>
            <w:vMerge w:val="restart"/>
            <w:tcBorders>
              <w:top w:val="single" w:color="000000" w:sz="8" w:space="0"/>
              <w:left w:val="single" w:color="auto" w:sz="4" w:space="0"/>
              <w:bottom w:val="single" w:color="000000" w:sz="8" w:space="0"/>
              <w:right w:val="single" w:color="000000" w:sz="8" w:space="0"/>
            </w:tcBorders>
            <w:vAlign w:val="center"/>
          </w:tcPr>
          <w:p w14:paraId="458A08FC">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供应商应当提供的资格、资信证明文件</w:t>
            </w:r>
          </w:p>
        </w:tc>
        <w:tc>
          <w:tcPr>
            <w:tcW w:w="6520" w:type="dxa"/>
            <w:tcBorders>
              <w:top w:val="single" w:color="000000" w:sz="8" w:space="0"/>
              <w:left w:val="single" w:color="000000" w:sz="2" w:space="0"/>
              <w:bottom w:val="single" w:color="auto" w:sz="4" w:space="0"/>
              <w:right w:val="single" w:color="000000" w:sz="8" w:space="0"/>
            </w:tcBorders>
            <w:vAlign w:val="center"/>
          </w:tcPr>
          <w:p w14:paraId="44D9C36B">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（1）资格证明文件：见谈判文件第三部分 六。</w:t>
            </w:r>
          </w:p>
          <w:p w14:paraId="3F5B19CF">
            <w:pPr>
              <w:pageBreakBefore w:val="0"/>
              <w:kinsoku/>
              <w:wordWrap/>
              <w:overflowPunct/>
              <w:topLinePunct w:val="0"/>
              <w:bidi w:val="0"/>
              <w:spacing w:line="360" w:lineRule="auto"/>
              <w:rPr>
                <w:rFonts w:hint="eastAsia" w:ascii="宋体" w:hAnsi="宋体" w:eastAsia="宋体" w:cs="宋体"/>
                <w:snapToGrid w:val="0"/>
                <w:color w:val="auto"/>
                <w:kern w:val="0"/>
                <w:sz w:val="21"/>
                <w:szCs w:val="21"/>
                <w:highlight w:val="none"/>
              </w:rPr>
            </w:pPr>
            <w:r>
              <w:rPr>
                <w:rFonts w:hint="eastAsia" w:ascii="宋体" w:hAnsi="宋体" w:eastAsia="宋体" w:cs="宋体"/>
                <w:color w:val="auto"/>
                <w:kern w:val="0"/>
                <w:sz w:val="21"/>
                <w:szCs w:val="21"/>
                <w:highlight w:val="none"/>
                <w:lang w:val="zh-CN"/>
              </w:rPr>
              <w:t>供应商未提供有效的资格证明文件的，视为供应商不具备谈判文件中规定的资格要求，响应无效。</w:t>
            </w:r>
          </w:p>
        </w:tc>
      </w:tr>
      <w:tr w14:paraId="5B9D9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80" w:hRule="atLeast"/>
        </w:trPr>
        <w:tc>
          <w:tcPr>
            <w:tcW w:w="629" w:type="dxa"/>
            <w:vMerge w:val="continue"/>
            <w:tcBorders>
              <w:top w:val="single" w:color="auto" w:sz="4" w:space="0"/>
              <w:left w:val="single" w:color="auto" w:sz="4" w:space="0"/>
              <w:bottom w:val="single" w:color="auto" w:sz="4" w:space="0"/>
              <w:right w:val="single" w:color="auto" w:sz="4" w:space="0"/>
            </w:tcBorders>
            <w:vAlign w:val="center"/>
          </w:tcPr>
          <w:p w14:paraId="001CE5DF">
            <w:pPr>
              <w:pageBreakBefore w:val="0"/>
              <w:widowControl/>
              <w:kinsoku/>
              <w:wordWrap/>
              <w:overflowPunct/>
              <w:topLinePunct w:val="0"/>
              <w:bidi w:val="0"/>
              <w:adjustRightInd/>
              <w:spacing w:line="360" w:lineRule="auto"/>
              <w:jc w:val="left"/>
              <w:rPr>
                <w:rFonts w:hint="eastAsia" w:ascii="宋体" w:hAnsi="宋体" w:eastAsia="宋体" w:cs="宋体"/>
                <w:color w:val="auto"/>
                <w:sz w:val="21"/>
                <w:szCs w:val="21"/>
                <w:highlight w:val="none"/>
              </w:rPr>
            </w:pPr>
          </w:p>
        </w:tc>
        <w:tc>
          <w:tcPr>
            <w:tcW w:w="1843" w:type="dxa"/>
            <w:vMerge w:val="continue"/>
            <w:tcBorders>
              <w:top w:val="single" w:color="000000" w:sz="8" w:space="0"/>
              <w:left w:val="single" w:color="auto" w:sz="4" w:space="0"/>
              <w:bottom w:val="single" w:color="000000" w:sz="8" w:space="0"/>
              <w:right w:val="single" w:color="000000" w:sz="8" w:space="0"/>
            </w:tcBorders>
            <w:vAlign w:val="center"/>
          </w:tcPr>
          <w:p w14:paraId="13F6C9CF">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p>
        </w:tc>
        <w:tc>
          <w:tcPr>
            <w:tcW w:w="6520" w:type="dxa"/>
            <w:tcBorders>
              <w:top w:val="single" w:color="auto" w:sz="4" w:space="0"/>
              <w:left w:val="single" w:color="000000" w:sz="2" w:space="0"/>
              <w:bottom w:val="single" w:color="000000" w:sz="8" w:space="0"/>
              <w:right w:val="single" w:color="000000" w:sz="8" w:space="0"/>
            </w:tcBorders>
            <w:vAlign w:val="center"/>
          </w:tcPr>
          <w:p w14:paraId="30342F33">
            <w:pPr>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（2）资信证明文件：根据谈判文件采购需求等有关要求提供。</w:t>
            </w:r>
          </w:p>
        </w:tc>
      </w:tr>
      <w:tr w14:paraId="0FB65D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296855F1">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46E8797A">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节能产品、环境标志产品</w:t>
            </w:r>
          </w:p>
        </w:tc>
        <w:tc>
          <w:tcPr>
            <w:tcW w:w="6520" w:type="dxa"/>
            <w:tcBorders>
              <w:top w:val="single" w:color="000000" w:sz="8" w:space="0"/>
              <w:left w:val="single" w:color="000000" w:sz="2" w:space="0"/>
              <w:bottom w:val="single" w:color="000000" w:sz="8" w:space="0"/>
              <w:right w:val="single" w:color="000000" w:sz="8" w:space="0"/>
            </w:tcBorders>
            <w:vAlign w:val="center"/>
          </w:tcPr>
          <w:p w14:paraId="453B63C9">
            <w:pPr>
              <w:pageBreakBefore w:val="0"/>
              <w:kinsoku/>
              <w:wordWrap/>
              <w:overflowPunct/>
              <w:topLinePunct w:val="0"/>
              <w:bidi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3E6F3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08D1FC62">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2D615095">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最后报价要求</w:t>
            </w:r>
          </w:p>
        </w:tc>
        <w:tc>
          <w:tcPr>
            <w:tcW w:w="6520" w:type="dxa"/>
            <w:tcBorders>
              <w:top w:val="single" w:color="000000" w:sz="8" w:space="0"/>
              <w:left w:val="single" w:color="000000" w:sz="2" w:space="0"/>
              <w:bottom w:val="single" w:color="000000" w:sz="8" w:space="0"/>
              <w:right w:val="single" w:color="000000" w:sz="8" w:space="0"/>
            </w:tcBorders>
            <w:vAlign w:val="center"/>
          </w:tcPr>
          <w:p w14:paraId="4AB57DB7">
            <w:pPr>
              <w:pageBreakBefore w:val="0"/>
              <w:kinsoku/>
              <w:wordWrap/>
              <w:overflowPunct/>
              <w:topLinePunct w:val="0"/>
              <w:bidi w:val="0"/>
              <w:snapToGrid w:val="0"/>
              <w:spacing w:line="360" w:lineRule="auto"/>
              <w:jc w:val="left"/>
              <w:rPr>
                <w:rFonts w:hint="eastAsia" w:ascii="宋体" w:hAnsi="宋体" w:eastAsia="宋体" w:cs="宋体"/>
                <w:b/>
                <w:color w:val="auto"/>
                <w:kern w:val="0"/>
                <w:sz w:val="21"/>
                <w:szCs w:val="21"/>
                <w:highlight w:val="none"/>
                <w:lang w:val="zh-CN"/>
              </w:rPr>
            </w:pPr>
            <w:r>
              <w:rPr>
                <w:rFonts w:hint="eastAsia" w:ascii="宋体" w:hAnsi="宋体" w:eastAsia="宋体" w:cs="宋体"/>
                <w:color w:val="auto"/>
                <w:kern w:val="0"/>
                <w:sz w:val="21"/>
                <w:szCs w:val="21"/>
                <w:highlight w:val="none"/>
                <w:lang w:val="zh-CN"/>
              </w:rPr>
              <w:t>有关本项目实施所需的所有费用（含税费）均计入最后报价。《最后报价</w:t>
            </w:r>
            <w:r>
              <w:rPr>
                <w:rFonts w:hint="eastAsia" w:ascii="宋体" w:hAnsi="宋体" w:eastAsia="宋体" w:cs="宋体"/>
                <w:color w:val="auto"/>
                <w:sz w:val="21"/>
                <w:szCs w:val="21"/>
                <w:highlight w:val="none"/>
              </w:rPr>
              <w:t>一览表（报价表）</w:t>
            </w:r>
            <w:r>
              <w:rPr>
                <w:rFonts w:hint="eastAsia" w:ascii="宋体" w:hAnsi="宋体" w:eastAsia="宋体" w:cs="宋体"/>
                <w:color w:val="auto"/>
                <w:kern w:val="0"/>
                <w:sz w:val="21"/>
                <w:szCs w:val="21"/>
                <w:highlight w:val="none"/>
                <w:lang w:val="zh-CN"/>
              </w:rPr>
              <w:t>》</w:t>
            </w:r>
            <w:r>
              <w:rPr>
                <w:rFonts w:hint="eastAsia" w:ascii="宋体" w:hAnsi="宋体" w:eastAsia="宋体" w:cs="宋体"/>
                <w:color w:val="auto"/>
                <w:sz w:val="21"/>
                <w:szCs w:val="21"/>
                <w:highlight w:val="none"/>
              </w:rPr>
              <w:t>是最后报价的唯一载体</w:t>
            </w:r>
            <w:r>
              <w:rPr>
                <w:rFonts w:hint="eastAsia" w:ascii="宋体" w:hAnsi="宋体" w:eastAsia="宋体" w:cs="宋体"/>
                <w:color w:val="auto"/>
                <w:kern w:val="0"/>
                <w:sz w:val="21"/>
                <w:szCs w:val="21"/>
                <w:highlight w:val="none"/>
                <w:lang w:val="zh-CN"/>
              </w:rPr>
              <w:t>。谈判文件中价格全部采用人民币报价。谈判文件未列明，而供应商认为必需的费用也需列入报价。</w:t>
            </w:r>
          </w:p>
          <w:p w14:paraId="45335D2C">
            <w:pPr>
              <w:pageBreakBefore w:val="0"/>
              <w:kinsoku/>
              <w:wordWrap/>
              <w:overflowPunct/>
              <w:topLinePunct w:val="0"/>
              <w:bidi w:val="0"/>
              <w:snapToGrid w:val="0"/>
              <w:spacing w:line="360" w:lineRule="auto"/>
              <w:jc w:val="left"/>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最后报价出现下列情形的，响应无效：</w:t>
            </w:r>
          </w:p>
          <w:p w14:paraId="6D1C1105">
            <w:pPr>
              <w:pageBreakBefore w:val="0"/>
              <w:kinsoku/>
              <w:wordWrap/>
              <w:overflowPunct/>
              <w:topLinePunct w:val="0"/>
              <w:bidi w:val="0"/>
              <w:snapToGrid w:val="0"/>
              <w:spacing w:line="360" w:lineRule="auto"/>
              <w:ind w:firstLine="422" w:firstLineChars="200"/>
              <w:jc w:val="left"/>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响应文件出现不是唯一的、有选择性的最后报价的；</w:t>
            </w:r>
          </w:p>
          <w:p w14:paraId="23E9384A">
            <w:pPr>
              <w:pageBreakBefore w:val="0"/>
              <w:kinsoku/>
              <w:wordWrap/>
              <w:overflowPunct/>
              <w:topLinePunct w:val="0"/>
              <w:bidi w:val="0"/>
              <w:snapToGrid w:val="0"/>
              <w:spacing w:line="360" w:lineRule="auto"/>
              <w:ind w:firstLine="422"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b/>
                <w:color w:val="auto"/>
                <w:kern w:val="0"/>
                <w:sz w:val="21"/>
                <w:szCs w:val="21"/>
                <w:highlight w:val="none"/>
                <w:lang w:val="zh-CN"/>
              </w:rPr>
              <w:t>最后报价超过谈判文件中规定的预算金额或者最高限价的;</w:t>
            </w:r>
          </w:p>
          <w:p w14:paraId="32242F98">
            <w:pPr>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供应商对根据修正原则修正后的报价不确认的</w:t>
            </w:r>
            <w:r>
              <w:rPr>
                <w:rFonts w:hint="eastAsia" w:ascii="宋体" w:hAnsi="宋体" w:eastAsia="宋体" w:cs="宋体"/>
                <w:b/>
                <w:color w:val="auto"/>
                <w:sz w:val="21"/>
                <w:szCs w:val="21"/>
                <w:highlight w:val="none"/>
              </w:rPr>
              <w:t>。</w:t>
            </w:r>
          </w:p>
        </w:tc>
      </w:tr>
      <w:tr w14:paraId="7F0846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bottom w:val="nil"/>
              <w:right w:val="single" w:color="000000" w:sz="2" w:space="0"/>
            </w:tcBorders>
            <w:vAlign w:val="center"/>
          </w:tcPr>
          <w:p w14:paraId="4AF0EFD9">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843" w:type="dxa"/>
            <w:tcBorders>
              <w:top w:val="single" w:color="000000" w:sz="8" w:space="0"/>
              <w:left w:val="single" w:color="000000" w:sz="2" w:space="0"/>
              <w:bottom w:val="nil"/>
              <w:right w:val="single" w:color="000000" w:sz="8" w:space="0"/>
            </w:tcBorders>
            <w:vAlign w:val="center"/>
          </w:tcPr>
          <w:p w14:paraId="4305B2CC">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中小企业信用融资</w:t>
            </w:r>
          </w:p>
        </w:tc>
        <w:tc>
          <w:tcPr>
            <w:tcW w:w="6520" w:type="dxa"/>
            <w:tcBorders>
              <w:top w:val="single" w:color="000000" w:sz="8" w:space="0"/>
              <w:left w:val="single" w:color="000000" w:sz="2" w:space="0"/>
              <w:bottom w:val="nil"/>
              <w:right w:val="single" w:color="000000" w:sz="8" w:space="0"/>
            </w:tcBorders>
            <w:vAlign w:val="center"/>
          </w:tcPr>
          <w:p w14:paraId="12CC919D">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720D487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snapToGrid w:val="0"/>
                <w:color w:val="auto"/>
                <w:kern w:val="28"/>
                <w:sz w:val="21"/>
                <w:szCs w:val="21"/>
                <w:highlight w:val="none"/>
              </w:rPr>
              <w:t>供应商成交后也可在“广西政府采购云”平台申请政采贷：操作路径：登录广西政府采购云平台-金融服务中心-【融资服务】，可在热门申请中选择产品直接申请。</w:t>
            </w:r>
          </w:p>
        </w:tc>
      </w:tr>
      <w:tr w14:paraId="78F54A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4EB5FDF2">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68053EE9">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备份响应文件送达地点和签收人员 </w:t>
            </w:r>
          </w:p>
        </w:tc>
        <w:tc>
          <w:tcPr>
            <w:tcW w:w="6520" w:type="dxa"/>
            <w:tcBorders>
              <w:top w:val="single" w:color="000000" w:sz="8" w:space="0"/>
              <w:left w:val="single" w:color="000000" w:sz="2" w:space="0"/>
              <w:bottom w:val="single" w:color="000000" w:sz="8" w:space="0"/>
              <w:right w:val="single" w:color="000000" w:sz="8" w:space="0"/>
            </w:tcBorders>
            <w:vAlign w:val="center"/>
          </w:tcPr>
          <w:p w14:paraId="0425E619">
            <w:pPr>
              <w:pageBreakBefore w:val="0"/>
              <w:kinsoku/>
              <w:wordWrap/>
              <w:overflowPunct/>
              <w:topLinePunct w:val="0"/>
              <w:bidi w:val="0"/>
              <w:spacing w:line="360" w:lineRule="auto"/>
              <w:rPr>
                <w:rFonts w:hint="eastAsia" w:ascii="宋体" w:hAnsi="宋体" w:eastAsia="宋体" w:cs="宋体"/>
                <w:color w:val="auto"/>
                <w:sz w:val="21"/>
                <w:szCs w:val="21"/>
                <w:highlight w:val="none"/>
              </w:rPr>
            </w:pPr>
            <w:sdt>
              <w:sdtPr>
                <w:rPr>
                  <w:rFonts w:hint="eastAsia" w:ascii="宋体" w:hAnsi="宋体" w:eastAsia="宋体" w:cs="宋体"/>
                  <w:color w:val="auto"/>
                  <w:kern w:val="0"/>
                  <w:sz w:val="21"/>
                  <w:szCs w:val="21"/>
                  <w:highlight w:val="none"/>
                </w:rPr>
                <w:id w:val="205304699"/>
                <w14:checkbox>
                  <w14:checked w14:val="1"/>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sym w:font="Wingdings" w:char="F0FE"/>
                </w:r>
              </w:sdtContent>
            </w:sdt>
            <w:r>
              <w:rPr>
                <w:rFonts w:hint="eastAsia" w:ascii="宋体" w:hAnsi="宋体" w:eastAsia="宋体" w:cs="宋体"/>
                <w:color w:val="auto"/>
                <w:kern w:val="0"/>
                <w:sz w:val="21"/>
                <w:szCs w:val="21"/>
                <w:highlight w:val="none"/>
              </w:rPr>
              <w:t>A</w:t>
            </w:r>
            <w:r>
              <w:rPr>
                <w:rFonts w:hint="eastAsia" w:ascii="宋体" w:hAnsi="宋体" w:eastAsia="宋体" w:cs="宋体"/>
                <w:color w:val="auto"/>
                <w:sz w:val="21"/>
                <w:szCs w:val="21"/>
                <w:highlight w:val="none"/>
              </w:rPr>
              <w:t>不接受。</w:t>
            </w:r>
          </w:p>
          <w:p w14:paraId="705C095D">
            <w:pPr>
              <w:pageBreakBefore w:val="0"/>
              <w:kinsoku/>
              <w:wordWrap/>
              <w:overflowPunct/>
              <w:topLinePunct w:val="0"/>
              <w:bidi w:val="0"/>
              <w:spacing w:line="360" w:lineRule="auto"/>
              <w:rPr>
                <w:rFonts w:hint="eastAsia" w:ascii="宋体" w:hAnsi="宋体" w:eastAsia="宋体" w:cs="宋体"/>
                <w:color w:val="auto"/>
                <w:kern w:val="28"/>
                <w:sz w:val="21"/>
                <w:szCs w:val="21"/>
                <w:highlight w:val="none"/>
              </w:rPr>
            </w:pPr>
            <w:sdt>
              <w:sdtPr>
                <w:rPr>
                  <w:rFonts w:hint="eastAsia" w:ascii="宋体" w:hAnsi="宋体" w:eastAsia="宋体" w:cs="宋体"/>
                  <w:color w:val="auto"/>
                  <w:kern w:val="0"/>
                  <w:sz w:val="21"/>
                  <w:szCs w:val="21"/>
                  <w:highlight w:val="none"/>
                </w:rPr>
                <w:id w:val="-926416851"/>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color w:val="auto"/>
                <w:kern w:val="0"/>
                <w:sz w:val="21"/>
                <w:szCs w:val="21"/>
                <w:highlight w:val="none"/>
              </w:rPr>
              <w:t>B</w:t>
            </w:r>
            <w:r>
              <w:rPr>
                <w:rFonts w:hint="eastAsia" w:ascii="宋体" w:hAnsi="宋体" w:eastAsia="宋体" w:cs="宋体"/>
                <w:color w:val="auto"/>
                <w:sz w:val="21"/>
                <w:szCs w:val="21"/>
                <w:highlight w:val="none"/>
              </w:rPr>
              <w:t>接受</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28"/>
                <w:sz w:val="21"/>
                <w:szCs w:val="21"/>
                <w:highlight w:val="none"/>
              </w:rPr>
              <w:t>备份响应文件送达地点：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kern w:val="28"/>
                <w:sz w:val="21"/>
                <w:szCs w:val="21"/>
                <w:highlight w:val="none"/>
              </w:rPr>
              <w:t>；备份响应文件签收人员联系电话：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采购人、采购代理机构不强制或变相强制供应商提交备份响应文件。</w:t>
            </w:r>
          </w:p>
        </w:tc>
      </w:tr>
      <w:tr w14:paraId="3628F9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bottom w:val="single" w:color="auto" w:sz="4" w:space="0"/>
              <w:right w:val="single" w:color="000000" w:sz="2" w:space="0"/>
            </w:tcBorders>
            <w:vAlign w:val="center"/>
          </w:tcPr>
          <w:p w14:paraId="7639DA3B">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843" w:type="dxa"/>
            <w:vMerge w:val="restart"/>
            <w:tcBorders>
              <w:top w:val="single" w:color="000000" w:sz="8" w:space="0"/>
              <w:left w:val="single" w:color="000000" w:sz="2" w:space="0"/>
              <w:bottom w:val="single" w:color="auto" w:sz="4" w:space="0"/>
              <w:right w:val="single" w:color="000000" w:sz="8" w:space="0"/>
            </w:tcBorders>
            <w:vAlign w:val="center"/>
          </w:tcPr>
          <w:p w14:paraId="60158FE6">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特别说明</w:t>
            </w:r>
          </w:p>
        </w:tc>
        <w:tc>
          <w:tcPr>
            <w:tcW w:w="6520" w:type="dxa"/>
            <w:tcBorders>
              <w:top w:val="single" w:color="000000" w:sz="8" w:space="0"/>
              <w:left w:val="single" w:color="000000" w:sz="2" w:space="0"/>
              <w:bottom w:val="single" w:color="000000" w:sz="8" w:space="0"/>
              <w:right w:val="single" w:color="000000" w:sz="8" w:space="0"/>
            </w:tcBorders>
            <w:vAlign w:val="center"/>
          </w:tcPr>
          <w:p w14:paraId="0E36B2A6">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联合体</w:t>
            </w:r>
            <w:r>
              <w:rPr>
                <w:rFonts w:hint="eastAsia" w:ascii="宋体" w:hAnsi="宋体" w:eastAsia="宋体" w:cs="宋体"/>
                <w:color w:val="auto"/>
                <w:kern w:val="28"/>
                <w:sz w:val="21"/>
                <w:szCs w:val="21"/>
                <w:highlight w:val="none"/>
              </w:rPr>
              <w:t>响应</w:t>
            </w:r>
            <w:r>
              <w:rPr>
                <w:rFonts w:hint="eastAsia" w:ascii="宋体" w:hAnsi="宋体" w:eastAsia="宋体" w:cs="宋体"/>
                <w:snapToGrid w:val="0"/>
                <w:color w:val="auto"/>
                <w:kern w:val="28"/>
                <w:sz w:val="21"/>
                <w:szCs w:val="21"/>
                <w:highlight w:val="none"/>
              </w:rPr>
              <w:t>的，联合体各方分别提供与联合体协议中规定的分工内容相应的业绩证明材料，业绩数量以提供材料较少的一方为准。</w:t>
            </w:r>
          </w:p>
        </w:tc>
      </w:tr>
      <w:tr w14:paraId="5766A4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top w:val="single" w:color="auto" w:sz="4" w:space="0"/>
              <w:left w:val="single" w:color="000000" w:sz="8" w:space="0"/>
              <w:bottom w:val="single" w:color="auto" w:sz="4" w:space="0"/>
              <w:right w:val="single" w:color="000000" w:sz="2" w:space="0"/>
            </w:tcBorders>
            <w:vAlign w:val="center"/>
          </w:tcPr>
          <w:p w14:paraId="21DE084C">
            <w:pPr>
              <w:pageBreakBefore w:val="0"/>
              <w:widowControl/>
              <w:kinsoku/>
              <w:wordWrap/>
              <w:overflowPunct/>
              <w:topLinePunct w:val="0"/>
              <w:bidi w:val="0"/>
              <w:adjustRightInd/>
              <w:spacing w:line="360" w:lineRule="auto"/>
              <w:jc w:val="left"/>
              <w:rPr>
                <w:rFonts w:hint="eastAsia" w:ascii="宋体" w:hAnsi="宋体" w:eastAsia="宋体" w:cs="宋体"/>
                <w:color w:val="auto"/>
                <w:sz w:val="21"/>
                <w:szCs w:val="21"/>
                <w:highlight w:val="none"/>
              </w:rPr>
            </w:pPr>
          </w:p>
        </w:tc>
        <w:tc>
          <w:tcPr>
            <w:tcW w:w="1843" w:type="dxa"/>
            <w:vMerge w:val="continue"/>
            <w:tcBorders>
              <w:top w:val="single" w:color="000000" w:sz="8" w:space="0"/>
              <w:left w:val="single" w:color="000000" w:sz="2" w:space="0"/>
              <w:bottom w:val="single" w:color="auto" w:sz="4" w:space="0"/>
              <w:right w:val="single" w:color="000000" w:sz="8" w:space="0"/>
            </w:tcBorders>
            <w:vAlign w:val="center"/>
          </w:tcPr>
          <w:p w14:paraId="7A45F925">
            <w:pPr>
              <w:pageBreakBefore w:val="0"/>
              <w:widowControl/>
              <w:kinsoku/>
              <w:wordWrap/>
              <w:overflowPunct/>
              <w:topLinePunct w:val="0"/>
              <w:bidi w:val="0"/>
              <w:adjustRightInd/>
              <w:spacing w:line="360" w:lineRule="auto"/>
              <w:jc w:val="left"/>
              <w:rPr>
                <w:rFonts w:hint="eastAsia" w:ascii="宋体" w:hAnsi="宋体" w:eastAsia="宋体" w:cs="宋体"/>
                <w:b/>
                <w:color w:val="auto"/>
                <w:sz w:val="21"/>
                <w:szCs w:val="21"/>
                <w:highlight w:val="none"/>
              </w:rPr>
            </w:pPr>
          </w:p>
        </w:tc>
        <w:tc>
          <w:tcPr>
            <w:tcW w:w="6520" w:type="dxa"/>
            <w:tcBorders>
              <w:top w:val="single" w:color="000000" w:sz="8" w:space="0"/>
              <w:left w:val="single" w:color="000000" w:sz="2" w:space="0"/>
              <w:bottom w:val="single" w:color="auto" w:sz="4" w:space="0"/>
              <w:right w:val="single" w:color="000000" w:sz="8" w:space="0"/>
            </w:tcBorders>
            <w:vAlign w:val="center"/>
          </w:tcPr>
          <w:p w14:paraId="7C6EFD60">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sdt>
              <w:sdtPr>
                <w:rPr>
                  <w:rFonts w:hint="eastAsia" w:ascii="宋体" w:hAnsi="宋体" w:eastAsia="宋体" w:cs="宋体"/>
                  <w:color w:val="auto"/>
                  <w:kern w:val="0"/>
                  <w:sz w:val="21"/>
                  <w:szCs w:val="21"/>
                  <w:highlight w:val="none"/>
                </w:rPr>
                <w:id w:val="320470398"/>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snapToGrid w:val="0"/>
                <w:color w:val="auto"/>
                <w:kern w:val="28"/>
                <w:sz w:val="21"/>
                <w:szCs w:val="21"/>
                <w:highlight w:val="none"/>
              </w:rPr>
              <w:t>联合体响应的，联合体各方均需按谈判文件第五部分评审标准要求提供资信证明文件，否则视为不符合相关要求。</w:t>
            </w:r>
          </w:p>
          <w:p w14:paraId="007EC60F">
            <w:pPr>
              <w:pageBreakBefore w:val="0"/>
              <w:kinsoku/>
              <w:wordWrap/>
              <w:overflowPunct/>
              <w:topLinePunct w:val="0"/>
              <w:bidi w:val="0"/>
              <w:spacing w:line="360" w:lineRule="auto"/>
              <w:rPr>
                <w:rFonts w:hint="eastAsia" w:ascii="宋体" w:hAnsi="宋体" w:eastAsia="宋体" w:cs="宋体"/>
                <w:snapToGrid w:val="0"/>
                <w:color w:val="auto"/>
                <w:kern w:val="28"/>
                <w:sz w:val="21"/>
                <w:szCs w:val="21"/>
                <w:highlight w:val="none"/>
              </w:rPr>
            </w:pPr>
            <w:sdt>
              <w:sdtPr>
                <w:rPr>
                  <w:rFonts w:hint="eastAsia" w:ascii="宋体" w:hAnsi="宋体" w:eastAsia="宋体" w:cs="宋体"/>
                  <w:color w:val="auto"/>
                  <w:kern w:val="0"/>
                  <w:sz w:val="21"/>
                  <w:szCs w:val="21"/>
                  <w:highlight w:val="none"/>
                </w:rPr>
                <w:id w:val="1023673503"/>
                <w14:checkbox>
                  <w14:checked w14:val="0"/>
                  <w14:checkedState w14:val="00FE" w14:font="Wingdings"/>
                  <w14:uncheckedState w14:val="2610" w14:font="MS Gothic"/>
                </w14:checkbox>
              </w:sdtPr>
              <w:sdtEndPr>
                <w:rPr>
                  <w:rFonts w:hint="eastAsia" w:ascii="宋体" w:hAnsi="宋体" w:eastAsia="宋体" w:cs="宋体"/>
                  <w:color w:val="auto"/>
                  <w:kern w:val="0"/>
                  <w:sz w:val="21"/>
                  <w:szCs w:val="21"/>
                  <w:highlight w:val="none"/>
                </w:rPr>
              </w:sdtEndPr>
              <w:sdtContent>
                <w:r>
                  <w:rPr>
                    <w:rFonts w:hint="eastAsia" w:ascii="宋体" w:hAnsi="宋体" w:eastAsia="宋体" w:cs="宋体"/>
                    <w:color w:val="auto"/>
                    <w:kern w:val="0"/>
                    <w:sz w:val="21"/>
                    <w:szCs w:val="21"/>
                    <w:highlight w:val="none"/>
                  </w:rPr>
                  <w:t>☐</w:t>
                </w:r>
              </w:sdtContent>
            </w:sdt>
            <w:r>
              <w:rPr>
                <w:rFonts w:hint="eastAsia" w:ascii="宋体" w:hAnsi="宋体" w:eastAsia="宋体" w:cs="宋体"/>
                <w:snapToGrid w:val="0"/>
                <w:color w:val="auto"/>
                <w:kern w:val="28"/>
                <w:sz w:val="21"/>
                <w:szCs w:val="21"/>
                <w:highlight w:val="none"/>
              </w:rPr>
              <w:t>联合体响应的，联合体中有一方或者联合体成员根据分工按谈判文件第五部分评审标准要求提供资信证明文件的，视为符合了相关要求。</w:t>
            </w:r>
          </w:p>
        </w:tc>
      </w:tr>
      <w:tr w14:paraId="2E1640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2085D943">
            <w:pPr>
              <w:pageBreakBefore w:val="0"/>
              <w:kinsoku/>
              <w:wordWrap/>
              <w:overflowPunct/>
              <w:topLinePunct w:val="0"/>
              <w:bidi w:val="0"/>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14:paraId="41CBE583">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解释权</w:t>
            </w:r>
          </w:p>
        </w:tc>
        <w:tc>
          <w:tcPr>
            <w:tcW w:w="6520" w:type="dxa"/>
            <w:tcBorders>
              <w:top w:val="single" w:color="auto" w:sz="4" w:space="0"/>
              <w:left w:val="single" w:color="auto" w:sz="4" w:space="0"/>
              <w:bottom w:val="single" w:color="auto" w:sz="4" w:space="0"/>
              <w:right w:val="single" w:color="auto" w:sz="4" w:space="0"/>
            </w:tcBorders>
            <w:vAlign w:val="center"/>
          </w:tcPr>
          <w:p w14:paraId="01DD7C88">
            <w:pPr>
              <w:pageBreakBefore w:val="0"/>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本谈判文件解释权属采购人及代理机构。</w:t>
            </w:r>
          </w:p>
        </w:tc>
      </w:tr>
    </w:tbl>
    <w:p w14:paraId="53216377">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4B2F4C4F">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6BBF6016">
      <w:pPr>
        <w:pageBreakBefore w:val="0"/>
        <w:kinsoku/>
        <w:wordWrap/>
        <w:overflowPunct/>
        <w:topLinePunct w:val="0"/>
        <w:bidi w:val="0"/>
        <w:adjustRightInd/>
        <w:spacing w:line="360" w:lineRule="auto"/>
        <w:ind w:firstLine="3845" w:firstLineChars="1197"/>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二、总则</w:t>
      </w:r>
    </w:p>
    <w:p w14:paraId="3FA954EB">
      <w:pPr>
        <w:pageBreakBefore w:val="0"/>
        <w:kinsoku/>
        <w:wordWrap/>
        <w:overflowPunct/>
        <w:topLinePunct w:val="0"/>
        <w:bidi w:val="0"/>
        <w:snapToGrid w:val="0"/>
        <w:spacing w:line="360" w:lineRule="auto"/>
        <w:jc w:val="left"/>
        <w:rPr>
          <w:rFonts w:hint="eastAsia" w:ascii="宋体" w:hAnsi="宋体" w:eastAsia="宋体" w:cs="宋体"/>
          <w:b/>
          <w:color w:val="auto"/>
          <w:sz w:val="21"/>
          <w:szCs w:val="21"/>
          <w:highlight w:val="none"/>
        </w:rPr>
      </w:pPr>
    </w:p>
    <w:p w14:paraId="1F1A5EE1">
      <w:pPr>
        <w:pageBreakBefore w:val="0"/>
        <w:kinsoku/>
        <w:wordWrap/>
        <w:overflowPunct/>
        <w:topLinePunct w:val="0"/>
        <w:bidi w:val="0"/>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适用范围</w:t>
      </w:r>
    </w:p>
    <w:p w14:paraId="6625889C">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本谈判文件适用于该项目的邀请、响应、开启响应文件、信用信息查询、资格性审查、评审、成交、合同、验收等行为（法律、法规另有规定的，从其规定）。</w:t>
      </w:r>
    </w:p>
    <w:p w14:paraId="2373DA8F">
      <w:pPr>
        <w:pageBreakBefore w:val="0"/>
        <w:kinsoku/>
        <w:wordWrap/>
        <w:overflowPunct/>
        <w:topLinePunct w:val="0"/>
        <w:bidi w:val="0"/>
        <w:adjustRightInd/>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2.定义</w:t>
      </w:r>
    </w:p>
    <w:p w14:paraId="24B78826">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 “采购人”系指谈判邀请公告中载明的本项目的采购人。</w:t>
      </w:r>
    </w:p>
    <w:p w14:paraId="3C3D41ED">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“采购代理机构”系指谈判邀请公告中载明的本项目的采购代理机构。</w:t>
      </w:r>
    </w:p>
    <w:p w14:paraId="1FEFA12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“供应商”系指响应谈判、参加本次竞争的法人、其他组织或自然人。</w:t>
      </w:r>
    </w:p>
    <w:p w14:paraId="3B38AAC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“法定代表人（负责人）”系指法人企业的法定负责人，或其他组织为法律、行政法规规定代表单位行使职权的主要负责人，或自然人本人。</w:t>
      </w:r>
    </w:p>
    <w:p w14:paraId="127BB54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 “成交人”系指经评审确定的成交供应商。</w:t>
      </w:r>
    </w:p>
    <w:p w14:paraId="5DE5E2C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2.6“响应文件”系指供应商提交的商务技术文件。供应商提交最后报价后，最后报价是供应商响应文件的有效组成部分。</w:t>
      </w:r>
    </w:p>
    <w:p w14:paraId="47AB0F0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2.7“电子交易平台”系指本项目政府采购活动所依托的广西政府采购云平台（https://www.gcy.zfcg.gxzf.gov.cn/）。</w:t>
      </w:r>
    </w:p>
    <w:p w14:paraId="1F8429B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4）。</w:t>
      </w:r>
    </w:p>
    <w:p w14:paraId="2F53FB2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446C624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 “书面形式”包括数据电文形式与纸质形式。数据电文形式与纸质形式的采购活动具有同等法律效力。</w:t>
      </w:r>
    </w:p>
    <w:p w14:paraId="243481A7">
      <w:pPr>
        <w:pageBreakBefore w:val="0"/>
        <w:kinsoku/>
        <w:wordWrap/>
        <w:overflowPunct/>
        <w:topLinePunct w:val="0"/>
        <w:bidi w:val="0"/>
        <w:snapToGrid w:val="0"/>
        <w:spacing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2.10 “▲” 系指实质性要求条款， “※”系指谈判过程中可能实质性变动的内容，</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rPr>
        <w:sym w:font="Wingdings" w:char="F0FE"/>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系指适用本项目的要求，“□”系指不适用本项目的要求。</w:t>
      </w:r>
    </w:p>
    <w:p w14:paraId="6AA5F0CD">
      <w:pPr>
        <w:pageBreakBefore w:val="0"/>
        <w:kinsoku/>
        <w:wordWrap/>
        <w:overflowPunct/>
        <w:topLinePunct w:val="0"/>
        <w:bidi w:val="0"/>
        <w:adjustRightInd/>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响应有效期</w:t>
      </w:r>
    </w:p>
    <w:p w14:paraId="032BF7A6">
      <w:pPr>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▲3.1</w:t>
      </w:r>
      <w:r>
        <w:rPr>
          <w:rFonts w:hint="eastAsia" w:ascii="宋体" w:hAnsi="宋体" w:eastAsia="宋体" w:cs="宋体"/>
          <w:b/>
          <w:color w:val="auto"/>
          <w:sz w:val="21"/>
          <w:szCs w:val="21"/>
          <w:highlight w:val="none"/>
        </w:rPr>
        <w:t>响应有效期为从提交响应文件的截止之日起60天。供应商的响应文件中承诺的响应有效期少于谈判文件中载明的谈判有效期的，响应无效。</w:t>
      </w:r>
    </w:p>
    <w:p w14:paraId="358DBA68">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3.2响应文件合格提交后，自响应截止日期起，在响应有效期内有效。</w:t>
      </w:r>
    </w:p>
    <w:p w14:paraId="28E97C98">
      <w:pPr>
        <w:pStyle w:val="392"/>
        <w:pageBreakBefore w:val="0"/>
        <w:kinsoku/>
        <w:wordWrap/>
        <w:overflowPunct/>
        <w:topLinePunct w:val="0"/>
        <w:bidi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在原定响应有效期满之前，如果出现特殊情况，采购人或采购代理机构可以以书面形式通知所有供应商延长响应有效期。供应商同意延长的，不得要求或被允许修改其响应文件;供应商拒绝延长的，其响应无效。拒绝延长谈判有效期的供应商不得再参与该项目后续采购活动。</w:t>
      </w:r>
    </w:p>
    <w:p w14:paraId="071DB274">
      <w:pPr>
        <w:pageBreakBefore w:val="0"/>
        <w:tabs>
          <w:tab w:val="left" w:pos="378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4．响应费用</w:t>
      </w:r>
    </w:p>
    <w:p w14:paraId="0E139D33">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rPr>
        <w:t>供应商需自行承担涉及响应的一切费用</w:t>
      </w:r>
      <w:r>
        <w:rPr>
          <w:rFonts w:hint="eastAsia" w:ascii="宋体" w:hAnsi="宋体" w:eastAsia="宋体" w:cs="宋体"/>
          <w:color w:val="auto"/>
          <w:sz w:val="21"/>
          <w:szCs w:val="21"/>
          <w:highlight w:val="none"/>
          <w:lang w:val="zh-CN"/>
        </w:rPr>
        <w:t>。</w:t>
      </w:r>
    </w:p>
    <w:p w14:paraId="7BC7B808">
      <w:pPr>
        <w:pageBreakBefore w:val="0"/>
        <w:kinsoku/>
        <w:wordWrap/>
        <w:overflowPunct/>
        <w:topLinePunct w:val="0"/>
        <w:bidi w:val="0"/>
        <w:spacing w:line="360" w:lineRule="auto"/>
        <w:jc w:val="center"/>
        <w:rPr>
          <w:rFonts w:hint="eastAsia" w:ascii="宋体" w:hAnsi="宋体" w:eastAsia="宋体" w:cs="宋体"/>
          <w:b/>
          <w:color w:val="auto"/>
          <w:sz w:val="21"/>
          <w:szCs w:val="21"/>
          <w:highlight w:val="none"/>
        </w:rPr>
      </w:pPr>
    </w:p>
    <w:p w14:paraId="539B2696">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三、需要落实的政府采购政策</w:t>
      </w:r>
    </w:p>
    <w:p w14:paraId="6085E013">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1.是否允许采购进口产品要求</w:t>
      </w:r>
    </w:p>
    <w:p w14:paraId="425C9990">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eastAsia="宋体" w:cs="宋体"/>
          <w:color w:val="auto"/>
          <w:kern w:val="0"/>
          <w:sz w:val="21"/>
          <w:szCs w:val="21"/>
          <w:highlight w:val="none"/>
        </w:rPr>
        <w:t>优先采购向我国企业转让技术、与我国企业签订消化吸收再创新方案的供应商的进口产品</w:t>
      </w:r>
      <w:r>
        <w:rPr>
          <w:rFonts w:hint="eastAsia" w:ascii="宋体" w:hAnsi="宋体" w:eastAsia="宋体" w:cs="宋体"/>
          <w:color w:val="auto"/>
          <w:sz w:val="21"/>
          <w:szCs w:val="21"/>
          <w:highlight w:val="none"/>
        </w:rPr>
        <w:t>。</w:t>
      </w:r>
    </w:p>
    <w:p w14:paraId="59941FD0">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2.支持绿色发展</w:t>
      </w:r>
    </w:p>
    <w:p w14:paraId="552FC531">
      <w:pPr>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谈判文件要求提供相关产品认证证书。</w:t>
      </w:r>
      <w:r>
        <w:rPr>
          <w:rFonts w:hint="eastAsia" w:ascii="宋体" w:hAnsi="宋体" w:eastAsia="宋体" w:cs="宋体"/>
          <w:b/>
          <w:color w:val="auto"/>
          <w:sz w:val="21"/>
          <w:szCs w:val="21"/>
          <w:highlight w:val="none"/>
        </w:rPr>
        <w:t>▲采购人拟采购的产品属于政府强制采购的节能产品品目清单范围的，供应商相应的响应产品未获得国家确定的认证机构出具的、处于有效期之内的节能产品认证证书的，响应无效。</w:t>
      </w:r>
    </w:p>
    <w:p w14:paraId="7117427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2.2纳入政府采购管理的修缮、装修类项目采购建材的，鼓励采购单位将绿色建材性能、指标等作为实质性条件纳入采购文件和合同，具体性能指标要求参考相关绿色建材政府采购需求标准。</w:t>
      </w:r>
    </w:p>
    <w:p w14:paraId="2CF6985E">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692F240D">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鼓励供应商在参加政府采购过程中开展绿色设计、选择绿色材料、打造绿色制造工艺、开展绿色运输、做好废弃产品回收处理，实现产品全周期的绿色环保。鼓励采购单位对其提高预付款比例、免收履约保证金。</w:t>
      </w:r>
    </w:p>
    <w:p w14:paraId="04A4C7F9">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3.支持中小企业发展。</w:t>
      </w:r>
    </w:p>
    <w:p w14:paraId="02C59B9C">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3.1中小企业，是指在中华人民共和国境内依法设立，依据国务院批准的中小企业划分标准确定的中型企业、小型企业和微型企业，但与大企业的负责人为同一人，或者与大企业存在直接控股、管理关系的除外。</w:t>
      </w:r>
    </w:p>
    <w:p w14:paraId="781B835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符合中小企业划分标准的个体工商户，在政府采购活动中视同中小企业。</w:t>
      </w:r>
    </w:p>
    <w:p w14:paraId="33837068">
      <w:pPr>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3.2</w:t>
      </w:r>
      <w:r>
        <w:rPr>
          <w:rFonts w:hint="eastAsia" w:ascii="宋体" w:hAnsi="宋体" w:eastAsia="宋体" w:cs="宋体"/>
          <w:color w:val="auto"/>
          <w:kern w:val="0"/>
          <w:sz w:val="21"/>
          <w:szCs w:val="21"/>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258A59EC">
      <w:pPr>
        <w:pageBreakBefore w:val="0"/>
        <w:widowControl/>
        <w:kinsoku/>
        <w:wordWrap/>
        <w:overflowPunct/>
        <w:topLinePunct w:val="0"/>
        <w:bidi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以联合体形式参加政府采购活动，联合体各方均为中小企业的，联合体视同中小企业。其中，联合体各方均为小微企业的，联合体视同小微企业。</w:t>
      </w:r>
    </w:p>
    <w:p w14:paraId="1D2014E0">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3343269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3.4符合《关于促进残疾人就业政府采购政策的通知》（财库〔2017〕141号）规定的条件并提供《残疾人福利性单位声明函》（附件3）的残疾人福利性单位视同小型、微型企业；</w:t>
      </w:r>
    </w:p>
    <w:p w14:paraId="320A1D7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符合《关于政府采购支持监狱企业发展有关问题的通知》（财库〔2014〕68号）规定的监狱企业并提供由省级以上监狱管理局、戒毒管理局（含新疆生产建设兵团）出具的属于监狱企业证明文件的，视同为小型、微型企业。</w:t>
      </w:r>
    </w:p>
    <w:p w14:paraId="48EB27E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可享受中小企业扶持政策的供应商应按照谈判文件格式要求提供《中小企业声明函》，供应商提供的《中小企业声明函》与实际情况不符的，不享受中小企业扶持政策。声明内容不实的，属于提供虚假材料谋取中标、成交的，依法承担法律责任。</w:t>
      </w:r>
    </w:p>
    <w:p w14:paraId="1DA24489">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3.7中小企业享受扶持政策获得政府采购合同的，小微企业不得将合同分包给大中型企业，中型企业不得将合同分包给大型企业。</w:t>
      </w:r>
    </w:p>
    <w:p w14:paraId="6A30F02B">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w:t>
      </w:r>
      <w:r>
        <w:rPr>
          <w:rFonts w:hint="eastAsia" w:ascii="宋体" w:hAnsi="宋体" w:eastAsia="宋体" w:cs="宋体"/>
          <w:b/>
          <w:bCs/>
          <w:color w:val="auto"/>
          <w:sz w:val="21"/>
          <w:szCs w:val="21"/>
          <w:highlight w:val="none"/>
        </w:rPr>
        <w:t>支持创新发展</w:t>
      </w:r>
    </w:p>
    <w:p w14:paraId="3D67539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 采购人优先采购被认定为首台套产品和“制造精品”的自主创新产品。</w:t>
      </w:r>
    </w:p>
    <w:p w14:paraId="4210AAED">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首台套产品被纳入《首台套产品推广应用指导目录》之日起3年内，以及产品核心技术高于国内领先水平，并具有明晰自主知识产权的“制造精品”产品，自认定之日起2年内视同已具备相应销售业绩，参加政府采购活动时优先采购。</w:t>
      </w:r>
    </w:p>
    <w:p w14:paraId="78A7B191">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5.平等对待内外资企业</w:t>
      </w:r>
    </w:p>
    <w:p w14:paraId="3CC85CAF">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24FFF4CA">
      <w:pPr>
        <w:pStyle w:val="631"/>
        <w:pageBreakBefore w:val="0"/>
        <w:kinsoku/>
        <w:wordWrap/>
        <w:overflowPunct/>
        <w:topLinePunct w:val="0"/>
        <w:bidi w:val="0"/>
        <w:spacing w:line="360" w:lineRule="auto"/>
        <w:ind w:firstLine="0"/>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6.平等对待符合条件的破产重整企业</w:t>
      </w:r>
    </w:p>
    <w:p w14:paraId="05C698A9">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平等对待符合条件的破产重整企业，切实保障企业公平竞争，平等维护企业的合法利益。</w:t>
      </w:r>
    </w:p>
    <w:p w14:paraId="7335C19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p>
    <w:p w14:paraId="32BB5B7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四、询问、质疑与投诉</w:t>
      </w:r>
    </w:p>
    <w:p w14:paraId="6D844312">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1.在线询问、质疑、投诉</w:t>
      </w:r>
    </w:p>
    <w:p w14:paraId="29FE4CF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68479758">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询问联系部门：</w:t>
      </w:r>
      <w:r>
        <w:rPr>
          <w:rFonts w:hint="eastAsia" w:ascii="宋体" w:hAnsi="宋体" w:eastAsia="宋体" w:cs="宋体"/>
          <w:b w:val="0"/>
          <w:bCs/>
          <w:color w:val="auto"/>
          <w:sz w:val="21"/>
          <w:szCs w:val="21"/>
          <w:highlight w:val="none"/>
          <w:lang w:val="zh-CN" w:eastAsia="zh-CN"/>
        </w:rPr>
        <w:t>广西北部湾宏亚建设管理有限公司</w:t>
      </w:r>
      <w:r>
        <w:rPr>
          <w:rFonts w:hint="eastAsia" w:ascii="宋体" w:hAnsi="宋体" w:eastAsia="宋体" w:cs="宋体"/>
          <w:b w:val="0"/>
          <w:bCs/>
          <w:color w:val="auto"/>
          <w:sz w:val="21"/>
          <w:szCs w:val="21"/>
          <w:highlight w:val="none"/>
          <w:lang w:val="zh-CN"/>
        </w:rPr>
        <w:t xml:space="preserve">  </w:t>
      </w:r>
    </w:p>
    <w:p w14:paraId="16B7E3B2">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联系电话：</w:t>
      </w:r>
      <w:r>
        <w:rPr>
          <w:rFonts w:hint="eastAsia" w:ascii="宋体" w:hAnsi="宋体" w:eastAsia="宋体" w:cs="宋体"/>
          <w:b w:val="0"/>
          <w:bCs/>
          <w:color w:val="auto"/>
          <w:sz w:val="21"/>
          <w:szCs w:val="21"/>
          <w:highlight w:val="none"/>
          <w:lang w:val="zh-CN" w:eastAsia="zh-CN"/>
        </w:rPr>
        <w:t>0779-3928925</w:t>
      </w:r>
      <w:r>
        <w:rPr>
          <w:rFonts w:hint="eastAsia" w:ascii="宋体" w:hAnsi="宋体" w:eastAsia="宋体" w:cs="宋体"/>
          <w:b w:val="0"/>
          <w:bCs/>
          <w:color w:val="auto"/>
          <w:sz w:val="21"/>
          <w:szCs w:val="21"/>
          <w:highlight w:val="none"/>
          <w:lang w:val="zh-CN"/>
        </w:rPr>
        <w:t xml:space="preserve"> </w:t>
      </w:r>
      <w:r>
        <w:rPr>
          <w:rFonts w:hint="eastAsia" w:ascii="宋体" w:hAnsi="宋体" w:eastAsia="宋体" w:cs="宋体"/>
          <w:b w:val="0"/>
          <w:bCs/>
          <w:color w:val="auto"/>
          <w:sz w:val="21"/>
          <w:szCs w:val="21"/>
          <w:highlight w:val="none"/>
          <w:lang w:val="zh-CN" w:eastAsia="zh-CN"/>
        </w:rPr>
        <w:t xml:space="preserve"> </w:t>
      </w:r>
      <w:r>
        <w:rPr>
          <w:rFonts w:hint="eastAsia" w:ascii="宋体" w:hAnsi="宋体" w:eastAsia="宋体" w:cs="宋体"/>
          <w:b w:val="0"/>
          <w:bCs/>
          <w:color w:val="auto"/>
          <w:sz w:val="21"/>
          <w:szCs w:val="21"/>
          <w:highlight w:val="none"/>
          <w:lang w:val="zh-CN"/>
        </w:rPr>
        <w:t>地址：北海市海城区银河城市科技产业城2幢0101号</w:t>
      </w:r>
    </w:p>
    <w:p w14:paraId="587A8A50">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质疑联系部门：</w:t>
      </w:r>
      <w:r>
        <w:rPr>
          <w:rFonts w:hint="eastAsia" w:ascii="宋体" w:hAnsi="宋体" w:eastAsia="宋体" w:cs="宋体"/>
          <w:b w:val="0"/>
          <w:bCs/>
          <w:color w:val="auto"/>
          <w:sz w:val="21"/>
          <w:szCs w:val="21"/>
          <w:highlight w:val="none"/>
          <w:lang w:val="zh-CN" w:eastAsia="zh-CN"/>
        </w:rPr>
        <w:t>广西北部湾宏亚建设管理有限公司</w:t>
      </w:r>
      <w:r>
        <w:rPr>
          <w:rFonts w:hint="eastAsia" w:ascii="宋体" w:hAnsi="宋体" w:eastAsia="宋体" w:cs="宋体"/>
          <w:b w:val="0"/>
          <w:bCs/>
          <w:color w:val="auto"/>
          <w:sz w:val="21"/>
          <w:szCs w:val="21"/>
          <w:highlight w:val="none"/>
          <w:lang w:val="zh-CN"/>
        </w:rPr>
        <w:t xml:space="preserve">        </w:t>
      </w:r>
    </w:p>
    <w:p w14:paraId="43942AA4">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联系电话：</w:t>
      </w:r>
      <w:r>
        <w:rPr>
          <w:rFonts w:hint="eastAsia" w:ascii="宋体" w:hAnsi="宋体" w:eastAsia="宋体" w:cs="宋体"/>
          <w:b w:val="0"/>
          <w:bCs/>
          <w:color w:val="auto"/>
          <w:sz w:val="21"/>
          <w:szCs w:val="21"/>
          <w:highlight w:val="none"/>
          <w:lang w:val="zh-CN" w:eastAsia="zh-CN"/>
        </w:rPr>
        <w:t>0779-3928925</w:t>
      </w:r>
      <w:r>
        <w:rPr>
          <w:rFonts w:hint="eastAsia" w:ascii="宋体" w:hAnsi="宋体" w:eastAsia="宋体" w:cs="宋体"/>
          <w:b w:val="0"/>
          <w:bCs/>
          <w:color w:val="auto"/>
          <w:sz w:val="21"/>
          <w:szCs w:val="21"/>
          <w:highlight w:val="none"/>
          <w:lang w:val="zh-CN"/>
        </w:rPr>
        <w:t xml:space="preserve">  地址：北海市海城区银河城市科技产业城2幢0101号 </w:t>
      </w:r>
    </w:p>
    <w:p w14:paraId="685E3DC3">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投诉联系部门：</w:t>
      </w:r>
      <w:r>
        <w:rPr>
          <w:rFonts w:hint="eastAsia" w:ascii="宋体" w:hAnsi="宋体" w:eastAsia="宋体" w:cs="宋体"/>
          <w:b w:val="0"/>
          <w:bCs/>
          <w:color w:val="auto"/>
          <w:sz w:val="21"/>
          <w:szCs w:val="21"/>
          <w:highlight w:val="none"/>
          <w:lang w:val="zh-CN" w:eastAsia="zh-CN"/>
        </w:rPr>
        <w:t>北海市财政局政府采购管理科</w:t>
      </w:r>
      <w:r>
        <w:rPr>
          <w:rFonts w:hint="eastAsia" w:ascii="宋体" w:hAnsi="宋体" w:eastAsia="宋体" w:cs="宋体"/>
          <w:b w:val="0"/>
          <w:bCs/>
          <w:color w:val="auto"/>
          <w:sz w:val="21"/>
          <w:szCs w:val="21"/>
          <w:highlight w:val="none"/>
          <w:lang w:val="zh-CN"/>
        </w:rPr>
        <w:t xml:space="preserve">     </w:t>
      </w:r>
    </w:p>
    <w:p w14:paraId="2E7F340A">
      <w:pPr>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联系电话：0779-3063975  地址：北海市海城区北部湾西路19号</w:t>
      </w:r>
    </w:p>
    <w:p w14:paraId="4C377A7C">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供应商询问</w:t>
      </w:r>
    </w:p>
    <w:p w14:paraId="251C37CB">
      <w:pPr>
        <w:pageBreakBefore w:val="0"/>
        <w:kinsoku/>
        <w:wordWrap/>
        <w:overflowPunct/>
        <w:topLinePunct w:val="0"/>
        <w:autoSpaceDE w:val="0"/>
        <w:autoSpaceDN w:val="0"/>
        <w:bidi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17CB3954">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供应商质疑</w:t>
      </w:r>
    </w:p>
    <w:p w14:paraId="74F209E8">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lang w:val="zh-CN"/>
        </w:rPr>
        <w:t>3</w:t>
      </w:r>
      <w:r>
        <w:rPr>
          <w:rFonts w:hint="eastAsia" w:ascii="宋体" w:hAnsi="宋体" w:eastAsia="宋体" w:cs="宋体"/>
          <w:b/>
          <w:color w:val="auto"/>
          <w:sz w:val="21"/>
          <w:szCs w:val="21"/>
          <w:highlight w:val="none"/>
        </w:rPr>
        <w:t>.1质疑提出时效</w:t>
      </w:r>
    </w:p>
    <w:p w14:paraId="09E990A9">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3.1.1提出质疑的供应商应当是参与所质疑项目采购活动的供应商。潜在供应商已依法获取其可质疑的采购文件的，可以对该文件提出质疑。</w:t>
      </w:r>
    </w:p>
    <w:p w14:paraId="3CAB9E07">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3</w:t>
      </w:r>
      <w:r>
        <w:rPr>
          <w:rFonts w:hint="eastAsia" w:ascii="宋体" w:hAnsi="宋体" w:eastAsia="宋体" w:cs="宋体"/>
          <w:color w:val="auto"/>
          <w:sz w:val="21"/>
          <w:szCs w:val="21"/>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3BC27E84">
      <w:pPr>
        <w:pStyle w:val="15"/>
        <w:pageBreakBefore w:val="0"/>
        <w:kinsoku/>
        <w:wordWrap/>
        <w:overflowPunct/>
        <w:topLinePunct w:val="0"/>
        <w:bidi w:val="0"/>
        <w:spacing w:line="360" w:lineRule="auto"/>
        <w:ind w:firstLine="380" w:firstLineChars="181"/>
        <w:rPr>
          <w:rFonts w:hint="eastAsia" w:ascii="宋体" w:hAnsi="宋体" w:eastAsia="宋体" w:cs="宋体"/>
          <w:snapToGrid/>
          <w:color w:val="auto"/>
          <w:kern w:val="2"/>
          <w:sz w:val="21"/>
          <w:szCs w:val="21"/>
          <w:highlight w:val="none"/>
        </w:rPr>
      </w:pPr>
      <w:r>
        <w:rPr>
          <w:rFonts w:hint="eastAsia" w:ascii="宋体" w:hAnsi="宋体" w:eastAsia="宋体" w:cs="宋体"/>
          <w:snapToGrid/>
          <w:color w:val="auto"/>
          <w:kern w:val="2"/>
          <w:sz w:val="21"/>
          <w:szCs w:val="21"/>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02AF4516">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3.1.2.2对采购过程提出质疑的，质疑期限为各采购程序环节结束之日起计算。</w:t>
      </w:r>
    </w:p>
    <w:p w14:paraId="2260A518">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3.1.2.3对采购结果提出质疑的，质疑期限自采购结果公告期限届满之日起计算。</w:t>
      </w:r>
    </w:p>
    <w:p w14:paraId="77A6A059">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3.1.2.4对同一采购程序环节的质疑，供应商须一次性提出。</w:t>
      </w:r>
    </w:p>
    <w:p w14:paraId="705BFA7F">
      <w:pPr>
        <w:pStyle w:val="31"/>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3.2质疑答复</w:t>
      </w:r>
    </w:p>
    <w:p w14:paraId="2F2D319C">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3.2.1根据采购人与采购代理机构签订的采购委托协议，质疑答复责任主体如下：</w:t>
      </w:r>
    </w:p>
    <w:p w14:paraId="73D10424">
      <w:pPr>
        <w:pageBreakBefore w:val="0"/>
        <w:widowControl/>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0615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07D0E6B6">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质疑内容</w:t>
            </w:r>
          </w:p>
        </w:tc>
        <w:tc>
          <w:tcPr>
            <w:tcW w:w="2232" w:type="dxa"/>
            <w:vAlign w:val="center"/>
          </w:tcPr>
          <w:p w14:paraId="052C8CAD">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质疑答复责任主体</w:t>
            </w:r>
          </w:p>
        </w:tc>
      </w:tr>
      <w:tr w14:paraId="7C9F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C0F8C22">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对采购文件提出质疑</w:t>
            </w:r>
          </w:p>
        </w:tc>
        <w:tc>
          <w:tcPr>
            <w:tcW w:w="4536" w:type="dxa"/>
            <w:vAlign w:val="center"/>
          </w:tcPr>
          <w:p w14:paraId="4C80BC7B">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对采购文件中特定资格条件、采购需求提出的质疑</w:t>
            </w:r>
          </w:p>
        </w:tc>
        <w:tc>
          <w:tcPr>
            <w:tcW w:w="2232" w:type="dxa"/>
            <w:vAlign w:val="center"/>
          </w:tcPr>
          <w:p w14:paraId="25439F36">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r>
      <w:tr w14:paraId="3EEB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78570F8">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c>
          <w:tcPr>
            <w:tcW w:w="4536" w:type="dxa"/>
            <w:vAlign w:val="center"/>
          </w:tcPr>
          <w:p w14:paraId="76AC1682">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对采购文件中其他内容提出的质疑</w:t>
            </w:r>
          </w:p>
        </w:tc>
        <w:tc>
          <w:tcPr>
            <w:tcW w:w="2232" w:type="dxa"/>
            <w:vAlign w:val="center"/>
          </w:tcPr>
          <w:p w14:paraId="56A43ECF">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r w14:paraId="7021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670EC20F">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对采购过程提出质疑</w:t>
            </w:r>
          </w:p>
        </w:tc>
        <w:tc>
          <w:tcPr>
            <w:tcW w:w="4536" w:type="dxa"/>
            <w:vAlign w:val="center"/>
          </w:tcPr>
          <w:p w14:paraId="1792B0CF">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有关现场考察或开启响应文件前答疑会事项提出的质疑</w:t>
            </w:r>
          </w:p>
        </w:tc>
        <w:tc>
          <w:tcPr>
            <w:tcW w:w="2232" w:type="dxa"/>
            <w:vAlign w:val="center"/>
          </w:tcPr>
          <w:p w14:paraId="5EBDEB9A">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w:t>
            </w:r>
          </w:p>
        </w:tc>
      </w:tr>
      <w:tr w14:paraId="7B05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737F07A4">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c>
          <w:tcPr>
            <w:tcW w:w="4536" w:type="dxa"/>
            <w:vAlign w:val="center"/>
          </w:tcPr>
          <w:p w14:paraId="0F40C9A3">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对采购过程中其它事项提出的质疑</w:t>
            </w:r>
          </w:p>
        </w:tc>
        <w:tc>
          <w:tcPr>
            <w:tcW w:w="2232" w:type="dxa"/>
            <w:vAlign w:val="center"/>
          </w:tcPr>
          <w:p w14:paraId="1FD9199D">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r w14:paraId="15A78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3FFDCAA2">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对采购结果提出质疑</w:t>
            </w:r>
          </w:p>
        </w:tc>
        <w:tc>
          <w:tcPr>
            <w:tcW w:w="4536" w:type="dxa"/>
            <w:vAlign w:val="center"/>
          </w:tcPr>
          <w:p w14:paraId="450F7096">
            <w:pPr>
              <w:pStyle w:val="31"/>
              <w:pageBreakBefore w:val="0"/>
              <w:kinsoku/>
              <w:wordWrap/>
              <w:overflowPunct/>
              <w:topLinePunct w:val="0"/>
              <w:bidi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对采购结果提出的质疑</w:t>
            </w:r>
          </w:p>
        </w:tc>
        <w:tc>
          <w:tcPr>
            <w:tcW w:w="2232" w:type="dxa"/>
            <w:vAlign w:val="center"/>
          </w:tcPr>
          <w:p w14:paraId="1F8D35D1">
            <w:pPr>
              <w:pStyle w:val="31"/>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p>
        </w:tc>
      </w:tr>
    </w:tbl>
    <w:p w14:paraId="395E632D">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注：采购人或代理机构应当协助质疑答复责任主体及时答复供应商的书面质疑。</w:t>
      </w:r>
    </w:p>
    <w:p w14:paraId="2CC19687">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71531C44">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2.3询问或者质疑事项可能影响采购结果的，采购人应当暂停签订合同，已经签订合同的，应当中止履行合同。</w:t>
      </w:r>
    </w:p>
    <w:p w14:paraId="4E9B9BFC">
      <w:pPr>
        <w:pStyle w:val="31"/>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lang w:val="zh-CN"/>
        </w:rPr>
        <w:t>3.3质疑函</w:t>
      </w:r>
    </w:p>
    <w:p w14:paraId="4C61DFF4">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3.3.1供应商提出质疑应当提交质疑函和必要的证明材料。质疑函应当包括下列内容：</w:t>
      </w:r>
    </w:p>
    <w:p w14:paraId="77178CE2">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3.3.1.1供应商的姓名或者名称、地址、邮编、联系人及联系电话；</w:t>
      </w:r>
    </w:p>
    <w:p w14:paraId="77FE206E">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3.3.1.2质疑项目的名称、编号；</w:t>
      </w:r>
    </w:p>
    <w:p w14:paraId="7802EB8A">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3.3.1.3具体、明确的质疑事项和与质疑事项相关的请求；</w:t>
      </w:r>
    </w:p>
    <w:p w14:paraId="428733A4">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3.3.1.4事实依据；</w:t>
      </w:r>
    </w:p>
    <w:p w14:paraId="14CB1D2D">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3.3.1.5必要的法律依据；</w:t>
      </w:r>
    </w:p>
    <w:p w14:paraId="48637952">
      <w:pPr>
        <w:pStyle w:val="31"/>
        <w:pageBreakBefore w:val="0"/>
        <w:tabs>
          <w:tab w:val="left" w:pos="426"/>
          <w:tab w:val="left" w:pos="840"/>
        </w:tabs>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3.3.1.6提出质疑的日期。</w:t>
      </w:r>
    </w:p>
    <w:p w14:paraId="37A54F0F">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3.3.2供应商提交的质疑函需一式三份。供应商为自然人的，应当由本人签字；供应商为法人或者其他组织的，应当由法定代表人、主要负责人，或者其授权代表签字或者盖章，并加盖公章。</w:t>
      </w:r>
    </w:p>
    <w:p w14:paraId="24322CC7">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质疑函范本及制作说明详见附件1。</w:t>
      </w:r>
    </w:p>
    <w:p w14:paraId="74C520EE">
      <w:pPr>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4.供应商投诉</w:t>
      </w:r>
    </w:p>
    <w:p w14:paraId="05846181">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4.1质疑供应商对采购人、采购代理机构的答复不满意或者采购人、采购代理机构未在规定的时间内作出答复的，可以在答复期满后十五个工作日内向同级政府采购监督管理部门提出投诉。</w:t>
      </w:r>
    </w:p>
    <w:p w14:paraId="03EB4E3E">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4.2供应商投诉的事项不得超出已质疑事项的范围，基于质疑答复内容提出的投诉事项除外。</w:t>
      </w:r>
    </w:p>
    <w:p w14:paraId="0AA2307D">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4.3供应商投诉应当有明确的请求和必要的证明材料。</w:t>
      </w:r>
    </w:p>
    <w:p w14:paraId="1EDEBA2C">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4.4以联合体形式参加政府采购活动的，其投诉应当由组成联合体的所有供应商共同提出。</w:t>
      </w:r>
    </w:p>
    <w:p w14:paraId="1F4560D5">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p>
    <w:p w14:paraId="76A1CB43">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2D92099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21"/>
          <w:szCs w:val="21"/>
          <w:highlight w:val="none"/>
        </w:rPr>
      </w:pPr>
      <w:r>
        <w:rPr>
          <w:rFonts w:hint="eastAsia" w:ascii="宋体" w:hAnsi="宋体" w:eastAsia="宋体" w:cs="宋体"/>
          <w:b/>
          <w:color w:val="auto"/>
          <w:sz w:val="32"/>
          <w:szCs w:val="32"/>
          <w:highlight w:val="none"/>
        </w:rPr>
        <w:t>五、谈判文件构成、修改、解释</w:t>
      </w:r>
    </w:p>
    <w:p w14:paraId="6D2A1B0B">
      <w:pPr>
        <w:pageBreakBefore w:val="0"/>
        <w:kinsoku/>
        <w:wordWrap/>
        <w:overflowPunct/>
        <w:topLinePunct w:val="0"/>
        <w:autoSpaceDE w:val="0"/>
        <w:autoSpaceDN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1．谈判文件的构成</w:t>
      </w:r>
    </w:p>
    <w:p w14:paraId="58838A40">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谈判文件包括下列文件及附件</w:t>
      </w:r>
    </w:p>
    <w:p w14:paraId="2B7A06F2">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第一部分  邀请供应商</w:t>
      </w:r>
    </w:p>
    <w:p w14:paraId="301D31E3">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第二部分  竞争性谈判流程</w:t>
      </w:r>
    </w:p>
    <w:p w14:paraId="770ABA7A">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第三部分  供应商须知</w:t>
      </w:r>
    </w:p>
    <w:p w14:paraId="59911B60">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第四部分  采购需求</w:t>
      </w:r>
    </w:p>
    <w:p w14:paraId="214F99DD">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第五部分  评定标准</w:t>
      </w:r>
    </w:p>
    <w:p w14:paraId="10EACCCA">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第六部分  拟签订的合同文本</w:t>
      </w:r>
    </w:p>
    <w:p w14:paraId="45DFA5F0">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第七部分  应提交的有关格式范例</w:t>
      </w:r>
    </w:p>
    <w:p w14:paraId="78CF7E4B">
      <w:pPr>
        <w:pStyle w:val="31"/>
        <w:pageBreakBefore w:val="0"/>
        <w:tabs>
          <w:tab w:val="left" w:pos="840"/>
        </w:tabs>
        <w:kinsoku/>
        <w:wordWrap/>
        <w:overflowPunct/>
        <w:topLinePunct w:val="0"/>
        <w:bidi w:val="0"/>
        <w:spacing w:line="360" w:lineRule="auto"/>
        <w:ind w:left="131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第八部分  最后报价格式</w:t>
      </w:r>
    </w:p>
    <w:p w14:paraId="3ADD08BA">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与本项目有关的</w:t>
      </w:r>
      <w:r>
        <w:rPr>
          <w:rFonts w:hint="eastAsia" w:ascii="宋体" w:hAnsi="宋体" w:eastAsia="宋体" w:cs="宋体"/>
          <w:bCs/>
          <w:color w:val="auto"/>
          <w:sz w:val="21"/>
          <w:szCs w:val="21"/>
          <w:highlight w:val="none"/>
        </w:rPr>
        <w:t>澄清或者修改的内容为谈判文件的组成部分</w:t>
      </w:r>
      <w:r>
        <w:rPr>
          <w:rFonts w:hint="eastAsia" w:ascii="宋体" w:hAnsi="宋体" w:eastAsia="宋体" w:cs="宋体"/>
          <w:color w:val="auto"/>
          <w:sz w:val="21"/>
          <w:szCs w:val="21"/>
          <w:highlight w:val="none"/>
        </w:rPr>
        <w:t>。</w:t>
      </w:r>
    </w:p>
    <w:p w14:paraId="168CDC7E">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谈判文件的澄清、修改</w:t>
      </w:r>
    </w:p>
    <w:p w14:paraId="322796DA">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2.1已获取谈判文件的潜在供应商，若有问题需要澄清，应于提交首次响应文件截止时间前，以书面形式向采购代理机构提出。</w:t>
      </w:r>
    </w:p>
    <w:p w14:paraId="456E2516">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采购代理机构对谈判文件进行澄清或修改的，将同时通过电子交易平台通知已获取谈判文件的供应商。依法应当公告的，将按规定公告，同时视情况延长提交首次响应文件截止时间和响应文件开启时间。该澄清或者修改的内容为谈判文件的组成部分。</w:t>
      </w:r>
    </w:p>
    <w:p w14:paraId="09DE991D">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澄清或者修改的内容可能影响响应文件编制的，采购人、采购代理机构应当在提交首次响应文件截止时间至少3个工作日前，通过电子交易平台通知所有获取谈判文件的供应商；不足3个工作日的，采购人、采购代理机构应当顺延提交首次响应文件截止时间。</w:t>
      </w:r>
    </w:p>
    <w:p w14:paraId="13098605">
      <w:pPr>
        <w:pStyle w:val="392"/>
        <w:pageBreakBefore w:val="0"/>
        <w:kinsoku/>
        <w:wordWrap/>
        <w:overflowPunct/>
        <w:topLinePunct w:val="0"/>
        <w:bidi w:val="0"/>
        <w:snapToGrid w:val="0"/>
        <w:spacing w:before="0" w:line="360" w:lineRule="auto"/>
        <w:ind w:firstLine="482"/>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▲响应文件未按谈判文件的澄清、修改的内容编制，又不符合实质性要求的，响应无效。</w:t>
      </w:r>
    </w:p>
    <w:p w14:paraId="454B0B6C">
      <w:pPr>
        <w:pStyle w:val="22"/>
        <w:pageBreakBefore w:val="0"/>
        <w:kinsoku/>
        <w:wordWrap/>
        <w:overflowPunct/>
        <w:topLinePunct w:val="0"/>
        <w:bidi w:val="0"/>
        <w:spacing w:line="360" w:lineRule="auto"/>
        <w:rPr>
          <w:rFonts w:hint="eastAsia"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rPr>
        <w:t xml:space="preserve">    </w:t>
      </w:r>
    </w:p>
    <w:p w14:paraId="287D15FB">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六、响应文件的编制</w:t>
      </w:r>
    </w:p>
    <w:p w14:paraId="58D41730">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响应文件的语言</w:t>
      </w:r>
    </w:p>
    <w:p w14:paraId="3D800B05">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响应文件及供应商与采购有关的来往通知、函件和文件均应使用中文。</w:t>
      </w:r>
    </w:p>
    <w:p w14:paraId="1B4738C7">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响应文件的组成</w:t>
      </w:r>
    </w:p>
    <w:p w14:paraId="6E77AE60">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响应文件应当包括以下主要内容（标注“</w:t>
      </w: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”为实质性要求，供应商必须提供，否则谈判无效。相关格式见谈判文件第七部分）：</w:t>
      </w:r>
    </w:p>
    <w:p w14:paraId="2C20187D">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 xml:space="preserve">2.1 </w:t>
      </w:r>
      <w:r>
        <w:rPr>
          <w:rFonts w:hint="eastAsia" w:ascii="宋体" w:hAnsi="宋体" w:eastAsia="宋体" w:cs="宋体"/>
          <w:b/>
          <w:color w:val="auto"/>
          <w:sz w:val="21"/>
          <w:szCs w:val="21"/>
          <w:highlight w:val="none"/>
        </w:rPr>
        <w:t>资格文件</w:t>
      </w:r>
    </w:p>
    <w:p w14:paraId="6D9B95EE">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w:t>
      </w:r>
      <w:r>
        <w:rPr>
          <w:rFonts w:hint="eastAsia" w:ascii="宋体" w:hAnsi="宋体" w:eastAsia="宋体" w:cs="宋体"/>
          <w:b w:val="0"/>
          <w:bCs/>
          <w:color w:val="auto"/>
          <w:sz w:val="21"/>
          <w:szCs w:val="21"/>
          <w:highlight w:val="none"/>
        </w:rPr>
        <w:t>北海市政府采购供应商信用承诺函（格式见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eastAsia="zh-CN"/>
        </w:rPr>
        <w:t>；</w:t>
      </w:r>
    </w:p>
    <w:p w14:paraId="0E0D90E4">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（2）供应商直接控股股东及出资信息表</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eastAsia="zh-CN"/>
        </w:rPr>
        <w:t>；</w:t>
      </w:r>
    </w:p>
    <w:p w14:paraId="293528F9">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（3）供应商直接管理关系信息表</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eastAsia="zh-CN"/>
        </w:rPr>
        <w:t>；</w:t>
      </w:r>
    </w:p>
    <w:p w14:paraId="33E8CD03">
      <w:pPr>
        <w:pStyle w:val="31"/>
        <w:pageBreakBefore w:val="0"/>
        <w:kinsoku/>
        <w:wordWrap/>
        <w:overflowPunct/>
        <w:topLinePunct w:val="0"/>
        <w:bidi w:val="0"/>
        <w:spacing w:line="360" w:lineRule="auto"/>
        <w:ind w:firstLine="420" w:firstLineChars="200"/>
        <w:rPr>
          <w:rFonts w:hint="default"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lang w:eastAsia="zh-CN"/>
        </w:rPr>
        <w:t>）</w:t>
      </w:r>
      <w:r>
        <w:rPr>
          <w:rFonts w:hint="eastAsia" w:hAnsi="宋体" w:cs="宋体"/>
          <w:b w:val="0"/>
          <w:bCs/>
          <w:color w:val="auto"/>
          <w:sz w:val="21"/>
          <w:szCs w:val="21"/>
          <w:highlight w:val="none"/>
          <w:lang w:val="en-US" w:eastAsia="zh-CN"/>
        </w:rPr>
        <w:t>供应商认为需要提供的其他资格文件</w:t>
      </w:r>
    </w:p>
    <w:p w14:paraId="30C9492C">
      <w:pPr>
        <w:pStyle w:val="31"/>
        <w:pageBreakBefore w:val="0"/>
        <w:kinsoku/>
        <w:wordWrap/>
        <w:overflowPunct/>
        <w:topLinePunct w:val="0"/>
        <w:bidi w:val="0"/>
        <w:spacing w:line="360" w:lineRule="auto"/>
        <w:ind w:firstLine="422" w:firstLineChars="200"/>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2.2 报价文件</w:t>
      </w:r>
    </w:p>
    <w:p w14:paraId="4578972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（1）报价一览表（</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0CAC299A">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（2）供应商认为需要提供的其他有关资料。</w:t>
      </w:r>
    </w:p>
    <w:p w14:paraId="3FFDB808">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2.3 商务技术文件</w:t>
      </w:r>
    </w:p>
    <w:p w14:paraId="3D3AC6C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（1）响应函（</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2B429391">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）承诺函</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107E789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政府采购供应商廉洁自律承诺书</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28BC30D0">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）授权委托书或法定代表人（单位负责人、自然人本人）身份证明</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w:t>
      </w:r>
    </w:p>
    <w:p w14:paraId="7B367A32">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lang w:val="zh-CN"/>
        </w:rPr>
        <w:t>）</w:t>
      </w:r>
      <w:r>
        <w:rPr>
          <w:rFonts w:hint="eastAsia" w:ascii="宋体" w:hAnsi="宋体" w:eastAsia="宋体" w:cs="宋体"/>
          <w:b w:val="0"/>
          <w:bCs/>
          <w:color w:val="auto"/>
          <w:sz w:val="21"/>
          <w:szCs w:val="21"/>
          <w:highlight w:val="none"/>
        </w:rPr>
        <w:t>商务条款偏离表</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12B4351F">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技术需求偏离表（格式后附）（</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5D865134">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w:t>
      </w:r>
      <w:r>
        <w:rPr>
          <w:rFonts w:hint="eastAsia" w:ascii="宋体" w:hAnsi="宋体" w:eastAsia="宋体" w:cs="宋体"/>
          <w:b w:val="0"/>
          <w:bCs/>
          <w:color w:val="auto"/>
          <w:sz w:val="21"/>
          <w:szCs w:val="21"/>
          <w:highlight w:val="none"/>
          <w:lang w:val="en-US" w:eastAsia="zh-CN"/>
        </w:rPr>
        <w:t>7</w:t>
      </w:r>
      <w:r>
        <w:rPr>
          <w:rFonts w:hint="eastAsia" w:ascii="宋体" w:hAnsi="宋体" w:eastAsia="宋体" w:cs="宋体"/>
          <w:b w:val="0"/>
          <w:bCs/>
          <w:color w:val="auto"/>
          <w:sz w:val="21"/>
          <w:szCs w:val="21"/>
          <w:highlight w:val="none"/>
          <w:lang w:val="zh-CN"/>
        </w:rPr>
        <w:t>）售后服务方案。供应商应以书面形式完整准确地表述售后服务承诺(范围、标准及期限等)、供应商可能增加的服务承诺，</w:t>
      </w:r>
      <w:r>
        <w:rPr>
          <w:rFonts w:hint="eastAsia" w:ascii="宋体" w:hAnsi="宋体" w:eastAsia="宋体" w:cs="宋体"/>
          <w:b w:val="0"/>
          <w:bCs/>
          <w:color w:val="auto"/>
          <w:sz w:val="21"/>
          <w:szCs w:val="21"/>
          <w:highlight w:val="none"/>
          <w:lang w:val="en-US" w:eastAsia="zh-CN"/>
        </w:rPr>
        <w:t>以及承诺质保期内免费上门提供退换货服务</w:t>
      </w:r>
      <w:r>
        <w:rPr>
          <w:rFonts w:hint="eastAsia" w:ascii="宋体" w:hAnsi="宋体" w:eastAsia="宋体" w:cs="宋体"/>
          <w:b w:val="0"/>
          <w:bCs/>
          <w:color w:val="auto"/>
          <w:sz w:val="21"/>
          <w:szCs w:val="21"/>
          <w:highlight w:val="none"/>
          <w:lang w:val="zh-CN"/>
        </w:rPr>
        <w:t>等（</w:t>
      </w:r>
      <w:r>
        <w:rPr>
          <w:rFonts w:hint="eastAsia" w:ascii="宋体" w:hAnsi="宋体" w:eastAsia="宋体" w:cs="宋体"/>
          <w:b w:val="0"/>
          <w:bCs/>
          <w:color w:val="auto"/>
          <w:sz w:val="21"/>
          <w:szCs w:val="21"/>
          <w:highlight w:val="none"/>
          <w:lang w:val="zh-CN" w:eastAsia="zh-CN"/>
        </w:rPr>
        <w:t>必须提供</w:t>
      </w:r>
      <w:r>
        <w:rPr>
          <w:rFonts w:hint="eastAsia" w:ascii="宋体" w:hAnsi="宋体" w:eastAsia="宋体" w:cs="宋体"/>
          <w:b w:val="0"/>
          <w:bCs/>
          <w:color w:val="auto"/>
          <w:sz w:val="21"/>
          <w:szCs w:val="21"/>
          <w:highlight w:val="none"/>
          <w:lang w:val="zh-CN"/>
        </w:rPr>
        <w:t>）；</w:t>
      </w:r>
    </w:p>
    <w:p w14:paraId="1A621B6E">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8</w:t>
      </w:r>
      <w:r>
        <w:rPr>
          <w:rFonts w:hint="eastAsia" w:ascii="宋体" w:hAnsi="宋体" w:eastAsia="宋体" w:cs="宋体"/>
          <w:b w:val="0"/>
          <w:bCs/>
          <w:color w:val="auto"/>
          <w:sz w:val="21"/>
          <w:szCs w:val="21"/>
          <w:highlight w:val="none"/>
          <w:lang w:val="en-US" w:eastAsia="zh-CN"/>
        </w:rPr>
        <w:t>）响应产品规格配置清单（</w:t>
      </w:r>
      <w:r>
        <w:rPr>
          <w:rFonts w:hint="eastAsia" w:ascii="宋体" w:hAnsi="宋体" w:eastAsia="宋体" w:cs="宋体"/>
          <w:b w:val="0"/>
          <w:bCs/>
          <w:color w:val="auto"/>
          <w:sz w:val="21"/>
          <w:szCs w:val="21"/>
          <w:highlight w:val="none"/>
        </w:rPr>
        <w:t>格式见</w:t>
      </w:r>
      <w:r>
        <w:rPr>
          <w:rFonts w:hint="eastAsia" w:ascii="宋体" w:hAnsi="宋体" w:eastAsia="宋体" w:cs="宋体"/>
          <w:b w:val="0"/>
          <w:bCs/>
          <w:color w:val="auto"/>
          <w:sz w:val="21"/>
          <w:szCs w:val="21"/>
          <w:highlight w:val="none"/>
          <w:lang w:val="en-US" w:eastAsia="zh-CN"/>
        </w:rPr>
        <w:t>第七部分</w:t>
      </w:r>
      <w:r>
        <w:rPr>
          <w:rFonts w:hint="eastAsia" w:ascii="宋体" w:hAnsi="宋体" w:eastAsia="宋体" w:cs="宋体"/>
          <w:b w:val="0"/>
          <w:bCs/>
          <w:color w:val="auto"/>
          <w:sz w:val="21"/>
          <w:szCs w:val="21"/>
          <w:highlight w:val="none"/>
        </w:rPr>
        <w:t>，必须提供</w:t>
      </w:r>
      <w:r>
        <w:rPr>
          <w:rFonts w:hint="eastAsia" w:ascii="宋体" w:hAnsi="宋体" w:eastAsia="宋体" w:cs="宋体"/>
          <w:b w:val="0"/>
          <w:bCs/>
          <w:color w:val="auto"/>
          <w:sz w:val="21"/>
          <w:szCs w:val="21"/>
          <w:highlight w:val="none"/>
          <w:lang w:val="en-US" w:eastAsia="zh-CN"/>
        </w:rPr>
        <w:t>）；</w:t>
      </w:r>
    </w:p>
    <w:p w14:paraId="59A942E5">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w:t>
      </w:r>
      <w:r>
        <w:rPr>
          <w:rFonts w:hint="eastAsia" w:hAnsi="宋体" w:cs="宋体"/>
          <w:b w:val="0"/>
          <w:bCs/>
          <w:color w:val="auto"/>
          <w:sz w:val="21"/>
          <w:szCs w:val="21"/>
          <w:highlight w:val="none"/>
          <w:lang w:val="en-US" w:eastAsia="zh-CN"/>
        </w:rPr>
        <w:t>9</w:t>
      </w:r>
      <w:r>
        <w:rPr>
          <w:rFonts w:hint="eastAsia" w:ascii="宋体" w:hAnsi="宋体" w:eastAsia="宋体" w:cs="宋体"/>
          <w:b w:val="0"/>
          <w:bCs/>
          <w:color w:val="auto"/>
          <w:sz w:val="21"/>
          <w:szCs w:val="21"/>
          <w:highlight w:val="none"/>
          <w:lang w:val="zh-CN"/>
        </w:rPr>
        <w:t>）优惠条件及特殊承诺（</w:t>
      </w:r>
      <w:r>
        <w:rPr>
          <w:rFonts w:hint="eastAsia" w:ascii="宋体" w:hAnsi="宋体" w:eastAsia="宋体" w:cs="宋体"/>
          <w:b w:val="0"/>
          <w:bCs/>
          <w:color w:val="auto"/>
          <w:sz w:val="21"/>
          <w:szCs w:val="21"/>
          <w:highlight w:val="none"/>
          <w:lang w:val="en-US" w:eastAsia="zh-CN"/>
        </w:rPr>
        <w:t>如有</w:t>
      </w:r>
      <w:r>
        <w:rPr>
          <w:rFonts w:hint="eastAsia" w:ascii="宋体" w:hAnsi="宋体" w:eastAsia="宋体" w:cs="宋体"/>
          <w:b w:val="0"/>
          <w:bCs/>
          <w:color w:val="auto"/>
          <w:sz w:val="21"/>
          <w:szCs w:val="21"/>
          <w:highlight w:val="none"/>
          <w:lang w:val="zh-CN"/>
        </w:rPr>
        <w:t>）；</w:t>
      </w:r>
    </w:p>
    <w:p w14:paraId="5BEF99A5">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zh-CN" w:eastAsia="zh-CN"/>
        </w:rPr>
      </w:pPr>
      <w:r>
        <w:rPr>
          <w:rFonts w:hint="eastAsia" w:ascii="宋体" w:hAnsi="宋体" w:eastAsia="宋体" w:cs="宋体"/>
          <w:b w:val="0"/>
          <w:bCs/>
          <w:color w:val="auto"/>
          <w:sz w:val="21"/>
          <w:szCs w:val="21"/>
          <w:highlight w:val="none"/>
          <w:lang w:val="zh-CN" w:eastAsia="zh-CN"/>
        </w:rPr>
        <w:t>（</w:t>
      </w:r>
      <w:r>
        <w:rPr>
          <w:rFonts w:hint="eastAsia" w:hAnsi="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lang w:val="zh-CN" w:eastAsia="zh-CN"/>
        </w:rPr>
        <w:t>）培训计划（</w:t>
      </w:r>
      <w:r>
        <w:rPr>
          <w:rFonts w:hint="eastAsia" w:ascii="宋体" w:hAnsi="宋体" w:eastAsia="宋体" w:cs="宋体"/>
          <w:b w:val="0"/>
          <w:bCs/>
          <w:color w:val="auto"/>
          <w:sz w:val="21"/>
          <w:szCs w:val="21"/>
          <w:highlight w:val="none"/>
          <w:lang w:val="en-US" w:eastAsia="zh-CN"/>
        </w:rPr>
        <w:t>如有</w:t>
      </w:r>
      <w:r>
        <w:rPr>
          <w:rFonts w:hint="eastAsia" w:ascii="宋体" w:hAnsi="宋体" w:eastAsia="宋体" w:cs="宋体"/>
          <w:b w:val="0"/>
          <w:bCs/>
          <w:color w:val="auto"/>
          <w:sz w:val="21"/>
          <w:szCs w:val="21"/>
          <w:highlight w:val="none"/>
          <w:lang w:val="zh-CN" w:eastAsia="zh-CN"/>
        </w:rPr>
        <w:t>）；</w:t>
      </w:r>
    </w:p>
    <w:p w14:paraId="7B23AD18">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11</w:t>
      </w:r>
      <w:r>
        <w:rPr>
          <w:rFonts w:hint="eastAsia" w:ascii="宋体" w:hAnsi="宋体" w:eastAsia="宋体" w:cs="宋体"/>
          <w:b w:val="0"/>
          <w:bCs/>
          <w:color w:val="auto"/>
          <w:sz w:val="21"/>
          <w:szCs w:val="21"/>
          <w:highlight w:val="none"/>
          <w:lang w:val="en-US" w:eastAsia="zh-CN"/>
        </w:rPr>
        <w:t>）随机特殊工具和备品备件清单（如有）；</w:t>
      </w:r>
    </w:p>
    <w:p w14:paraId="2FF7D89F">
      <w:pPr>
        <w:pStyle w:val="31"/>
        <w:pageBreakBefore w:val="0"/>
        <w:kinsoku/>
        <w:wordWrap/>
        <w:overflowPunct/>
        <w:topLinePunct w:val="0"/>
        <w:bidi w:val="0"/>
        <w:spacing w:line="360" w:lineRule="auto"/>
        <w:ind w:firstLine="420" w:firstLineChars="200"/>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12</w:t>
      </w:r>
      <w:r>
        <w:rPr>
          <w:rFonts w:hint="eastAsia" w:ascii="宋体" w:hAnsi="宋体" w:eastAsia="宋体" w:cs="宋体"/>
          <w:b w:val="0"/>
          <w:bCs/>
          <w:color w:val="auto"/>
          <w:sz w:val="21"/>
          <w:szCs w:val="21"/>
          <w:highlight w:val="none"/>
          <w:lang w:val="en-US" w:eastAsia="zh-CN"/>
        </w:rPr>
        <w:t>）</w:t>
      </w:r>
      <w:r>
        <w:rPr>
          <w:rFonts w:hint="eastAsia" w:ascii="宋体" w:hAnsi="宋体" w:eastAsia="宋体" w:cs="宋体"/>
          <w:b w:val="0"/>
          <w:bCs/>
          <w:color w:val="auto"/>
          <w:sz w:val="21"/>
          <w:szCs w:val="21"/>
          <w:highlight w:val="none"/>
          <w:lang w:val="zh-CN" w:eastAsia="zh-CN"/>
        </w:rPr>
        <w:t>供应商认为需要</w:t>
      </w:r>
      <w:r>
        <w:rPr>
          <w:rFonts w:hint="eastAsia" w:hAnsi="宋体" w:cs="宋体"/>
          <w:b w:val="0"/>
          <w:bCs/>
          <w:color w:val="auto"/>
          <w:sz w:val="21"/>
          <w:szCs w:val="21"/>
          <w:highlight w:val="none"/>
          <w:lang w:val="en-US" w:eastAsia="zh-CN"/>
        </w:rPr>
        <w:t>提供</w:t>
      </w:r>
      <w:r>
        <w:rPr>
          <w:rFonts w:hint="eastAsia" w:ascii="宋体" w:hAnsi="宋体" w:eastAsia="宋体" w:cs="宋体"/>
          <w:b w:val="0"/>
          <w:bCs/>
          <w:color w:val="auto"/>
          <w:sz w:val="21"/>
          <w:szCs w:val="21"/>
          <w:highlight w:val="none"/>
          <w:lang w:val="zh-CN" w:eastAsia="zh-CN"/>
        </w:rPr>
        <w:t>的其他技术文件或说明。</w:t>
      </w:r>
    </w:p>
    <w:p w14:paraId="79D8E33B">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 响应文件的编制和签署</w:t>
      </w:r>
    </w:p>
    <w:p w14:paraId="170D35F0">
      <w:pPr>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kern w:val="0"/>
          <w:sz w:val="21"/>
          <w:szCs w:val="21"/>
          <w:highlight w:val="none"/>
          <w:lang w:val="zh-CN"/>
        </w:rPr>
        <w:t>3.1各供应商在编制响应文件时请按照谈判文件第七部分规定的格式进行，混乱的编排导致响应文件被误读或谈判小组查找不到有效文件是供应商的风险。</w:t>
      </w:r>
    </w:p>
    <w:p w14:paraId="792B5736">
      <w:pPr>
        <w:pageBreakBefore w:val="0"/>
        <w:kinsoku/>
        <w:wordWrap/>
        <w:overflowPunct/>
        <w:topLinePunct w:val="0"/>
        <w:bidi w:val="0"/>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3.2供应商进行电子交易应安装客户端软件—“广西政府采购云平台电子交易客户端”，并按照谈判文件和电子交易平台的要求编制并加密响应文件。供应商未按规定加密的响应文件，电子交易平台将拒收并提示。</w:t>
      </w:r>
    </w:p>
    <w:p w14:paraId="7F1B6255">
      <w:pPr>
        <w:pageBreakBefore w:val="0"/>
        <w:kinsoku/>
        <w:wordWrap/>
        <w:overflowPunct/>
        <w:topLinePunct w:val="0"/>
        <w:bidi w:val="0"/>
        <w:spacing w:line="360" w:lineRule="auto"/>
        <w:ind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3.3使用“广西政府采购云平台电子交易客户端”需要提前申领CA数字证书，申领流程请自行前往“</w:t>
      </w:r>
      <w:r>
        <w:rPr>
          <w:rFonts w:hint="eastAsia" w:ascii="宋体" w:hAnsi="宋体" w:eastAsia="宋体" w:cs="宋体"/>
          <w:color w:val="auto"/>
          <w:sz w:val="21"/>
          <w:szCs w:val="21"/>
          <w:highlight w:val="none"/>
        </w:rPr>
        <w:t>广西政府采购网（http://zfcg.gxzf.gov.cn/）—办事服务—下载专区</w:t>
      </w:r>
      <w:r>
        <w:rPr>
          <w:rFonts w:hint="eastAsia" w:ascii="宋体" w:hAnsi="宋体" w:eastAsia="宋体" w:cs="宋体"/>
          <w:color w:val="auto"/>
          <w:kern w:val="0"/>
          <w:sz w:val="21"/>
          <w:szCs w:val="21"/>
          <w:highlight w:val="none"/>
          <w:lang w:val="zh-CN"/>
        </w:rPr>
        <w:t>”进行查阅</w:t>
      </w:r>
    </w:p>
    <w:p w14:paraId="0A075F9C">
      <w:pPr>
        <w:pStyle w:val="392"/>
        <w:pageBreakBefore w:val="0"/>
        <w:kinsoku/>
        <w:wordWrap/>
        <w:overflowPunct/>
        <w:topLinePunct w:val="0"/>
        <w:bidi w:val="0"/>
        <w:snapToGrid w:val="0"/>
        <w:spacing w:before="0" w:line="360" w:lineRule="auto"/>
        <w:ind w:firstLine="48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3.4响应文件按照谈判文件第七部分格式要求进行签署、盖章。</w:t>
      </w:r>
      <w:r>
        <w:rPr>
          <w:rFonts w:hint="eastAsia" w:ascii="宋体" w:hAnsi="宋体" w:eastAsia="宋体" w:cs="宋体"/>
          <w:b/>
          <w:color w:val="auto"/>
          <w:sz w:val="21"/>
          <w:szCs w:val="21"/>
          <w:highlight w:val="none"/>
        </w:rPr>
        <w:t>▲供应商的响应文件未按照谈判文件要求签署、盖章的，其响应无效</w:t>
      </w:r>
      <w:r>
        <w:rPr>
          <w:rFonts w:hint="eastAsia" w:ascii="宋体" w:hAnsi="宋体" w:eastAsia="宋体" w:cs="宋体"/>
          <w:color w:val="auto"/>
          <w:sz w:val="21"/>
          <w:szCs w:val="21"/>
          <w:highlight w:val="none"/>
        </w:rPr>
        <w:t>。</w:t>
      </w:r>
    </w:p>
    <w:p w14:paraId="1DEB437D">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3.5为确保网上操作合法、有效和安全，供应商应当在响应截止时间前完成在“广西政府采购云平台”的身份认证，确保在电子交易过程中能够对相关数据电文进行加密和使用电子签名。</w:t>
      </w:r>
    </w:p>
    <w:p w14:paraId="31BA9487">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3.6谈判文件对响应文件签署、盖章的要求适用于电子签名、CA签章以及谈判文件明确允许的其他方式。</w:t>
      </w:r>
    </w:p>
    <w:p w14:paraId="5DB5ED43">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p>
    <w:p w14:paraId="467D9E85">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7EEAC15C">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七、响应文件的提交和备份</w:t>
      </w:r>
    </w:p>
    <w:p w14:paraId="4FC07C94">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p>
    <w:p w14:paraId="5CFDC6FF">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1.响应文件的提交、补充、修改、撤回</w:t>
      </w:r>
    </w:p>
    <w:p w14:paraId="3A831313">
      <w:pPr>
        <w:pStyle w:val="392"/>
        <w:pageBreakBefore w:val="0"/>
        <w:kinsoku/>
        <w:wordWrap/>
        <w:overflowPunct/>
        <w:topLinePunct w:val="0"/>
        <w:bidi w:val="0"/>
        <w:spacing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52BC1D92">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 在响应截止时间以后，不能补充、修改响应文件。</w:t>
      </w:r>
    </w:p>
    <w:p w14:paraId="3E1B5161">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 在提交“最后报价”后，供应商不能退出谈判。</w:t>
      </w:r>
    </w:p>
    <w:p w14:paraId="676D11E7">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 电子交易平台收到响应文件，将妥善保存并即时向供应商发出确认回执通知。在响应截止时间前，除供应商补充、修改或者撤回响应文件外，任何单位和个人不得解密或提取响应文件。</w:t>
      </w:r>
    </w:p>
    <w:p w14:paraId="2CAC65CA">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 采购代理机构可以视情况延长提交响应文件的截止时间。在上述情况下，采购代理机构与供应商以前在响应截止期方面的全部权利、责任和义务，将适用于延长至新的响应截止期。</w:t>
      </w:r>
    </w:p>
    <w:p w14:paraId="404E8B78">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2.备份响应文件</w:t>
      </w:r>
    </w:p>
    <w:p w14:paraId="3076BA06">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2.1 供应商在电子交易平台传输提交响应文件后，还可以在响应截止时间前直接提交或者以邮政快递方式递交备份响应文件1份，</w:t>
      </w:r>
      <w:r>
        <w:rPr>
          <w:rFonts w:hint="eastAsia" w:ascii="宋体" w:hAnsi="宋体" w:eastAsia="宋体" w:cs="宋体"/>
          <w:b/>
          <w:color w:val="auto"/>
          <w:sz w:val="21"/>
          <w:szCs w:val="21"/>
          <w:highlight w:val="none"/>
        </w:rPr>
        <w:t>但采购人、采购代理机构不强制或变相强制供应商提交备份响应文件。</w:t>
      </w:r>
    </w:p>
    <w:p w14:paraId="7B0DA18C">
      <w:pPr>
        <w:pStyle w:val="31"/>
        <w:pageBreakBefore w:val="0"/>
        <w:kinsoku/>
        <w:wordWrap/>
        <w:overflowPunct/>
        <w:topLinePunct w:val="0"/>
        <w:bidi w:val="0"/>
        <w:spacing w:line="36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2.2 备份响应文件须在“广西政府采购云平台投标客户端”制作生成，并储存在不可修改的</w:t>
      </w:r>
      <w:r>
        <w:rPr>
          <w:rFonts w:hint="eastAsia" w:ascii="宋体" w:hAnsi="宋体" w:eastAsia="宋体" w:cs="宋体"/>
          <w:b/>
          <w:color w:val="auto"/>
          <w:sz w:val="21"/>
          <w:szCs w:val="21"/>
          <w:highlight w:val="none"/>
        </w:rPr>
        <w:t>电子光盘等存储介质</w:t>
      </w:r>
      <w:r>
        <w:rPr>
          <w:rFonts w:hint="eastAsia" w:ascii="宋体" w:hAnsi="宋体" w:eastAsia="宋体" w:cs="宋体"/>
          <w:color w:val="auto"/>
          <w:sz w:val="21"/>
          <w:szCs w:val="21"/>
          <w:highlight w:val="none"/>
        </w:rPr>
        <w:t>中。备份响应文件应当密封包装并在包装上加盖公章并注明响应项目名称，供应商名称(联合体响应的，包装物封面需注明联合体响应，并注明联合体成员各方的名称和联合体协议中约定的牵头人的名称)。</w:t>
      </w:r>
      <w:r>
        <w:rPr>
          <w:rFonts w:hint="eastAsia" w:ascii="宋体" w:hAnsi="宋体" w:eastAsia="宋体" w:cs="宋体"/>
          <w:b/>
          <w:color w:val="auto"/>
          <w:sz w:val="21"/>
          <w:szCs w:val="21"/>
          <w:highlight w:val="none"/>
        </w:rPr>
        <w:t>▲不符合上述制作、存储、密封规定的备份响应文件将被视为无效或者被拒绝接收。</w:t>
      </w:r>
    </w:p>
    <w:p w14:paraId="50708997">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直接提交备份响应文件的，供应商应于响应截止时间前在谈判公告中载明的开启响应文件的地点将备份响应文件提交给采购代理机构，采购代理机构将拒绝接受逾期送达的备份响应文件。</w:t>
      </w:r>
    </w:p>
    <w:p w14:paraId="1B108A4F">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以邮政快递方式递交备份响应文件的，供应商应先将备份响应文件按要求密封和标记，再进行邮政快递包装后邮寄。备份响应文件须在提交响应文件截止时间之前送达谈判文件第三部分供应商须知前附表规定的备份响应文件送达地点；送达时间以签收人签收时间为准。采购代理机构将拒绝接受逾期送达的备份响应文件。邮寄过程中，电子备份响应文件发生泄露、遗失、损坏或延期送达等情况的，由供应商自行负责。</w:t>
      </w:r>
    </w:p>
    <w:p w14:paraId="178EC374">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2.5 ▲供应商仅提交备份响应文件，未在电子交易平台传输提交响应文件的，响应无效。</w:t>
      </w:r>
    </w:p>
    <w:p w14:paraId="0A4987BC">
      <w:pPr>
        <w:pageBreakBefore w:val="0"/>
        <w:kinsoku/>
        <w:wordWrap/>
        <w:overflowPunct/>
        <w:topLinePunct w:val="0"/>
        <w:bidi w:val="0"/>
        <w:spacing w:line="360" w:lineRule="auto"/>
        <w:rPr>
          <w:rFonts w:hint="eastAsia" w:ascii="宋体" w:hAnsi="宋体" w:eastAsia="宋体" w:cs="宋体"/>
          <w:b/>
          <w:snapToGrid w:val="0"/>
          <w:color w:val="auto"/>
          <w:sz w:val="21"/>
          <w:szCs w:val="21"/>
          <w:highlight w:val="none"/>
          <w:lang w:val="en-US" w:eastAsia="zh-CN"/>
        </w:rPr>
      </w:pPr>
      <w:r>
        <w:rPr>
          <w:rFonts w:hint="eastAsia" w:ascii="宋体" w:hAnsi="宋体" w:eastAsia="宋体" w:cs="宋体"/>
          <w:b/>
          <w:color w:val="auto"/>
          <w:sz w:val="21"/>
          <w:szCs w:val="21"/>
          <w:highlight w:val="none"/>
        </w:rPr>
        <w:t>3.</w:t>
      </w:r>
      <w:r>
        <w:rPr>
          <w:rFonts w:hint="eastAsia" w:ascii="宋体" w:hAnsi="宋体" w:eastAsia="宋体" w:cs="宋体"/>
          <w:b/>
          <w:snapToGrid w:val="0"/>
          <w:color w:val="auto"/>
          <w:kern w:val="28"/>
          <w:sz w:val="21"/>
          <w:szCs w:val="21"/>
          <w:highlight w:val="none"/>
        </w:rPr>
        <w:t>谈判保证金</w:t>
      </w:r>
      <w:r>
        <w:rPr>
          <w:rFonts w:hint="eastAsia" w:ascii="宋体" w:hAnsi="宋体" w:eastAsia="宋体" w:cs="宋体"/>
          <w:b/>
          <w:snapToGrid w:val="0"/>
          <w:color w:val="auto"/>
          <w:kern w:val="28"/>
          <w:sz w:val="21"/>
          <w:szCs w:val="21"/>
          <w:highlight w:val="none"/>
          <w:lang w:eastAsia="zh-CN"/>
        </w:rPr>
        <w:t>（</w:t>
      </w:r>
      <w:r>
        <w:rPr>
          <w:rFonts w:hint="eastAsia" w:ascii="宋体" w:hAnsi="宋体" w:eastAsia="宋体" w:cs="宋体"/>
          <w:b/>
          <w:snapToGrid w:val="0"/>
          <w:color w:val="auto"/>
          <w:kern w:val="28"/>
          <w:sz w:val="21"/>
          <w:szCs w:val="21"/>
          <w:highlight w:val="none"/>
          <w:lang w:val="en-US" w:eastAsia="zh-CN"/>
        </w:rPr>
        <w:t>本项目不收取谈判保证金）</w:t>
      </w:r>
    </w:p>
    <w:p w14:paraId="0285D89E">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3.1采购人在采购文件中要求提交谈判保证金的，谈判保证金的数额不得超过采购项目预算金额的1%，鼓励对诚信记录良好的供应商免收或者减少收取谈判保证金，对于需要收取保证金的政府采购项目，政府采购信用白名单供应商可以免于缴纳保证金，降低信用白名单供应商参与政府采购活动成本。</w:t>
      </w:r>
      <w:r>
        <w:rPr>
          <w:rFonts w:hint="eastAsia" w:ascii="宋体" w:hAnsi="宋体" w:eastAsia="宋体" w:cs="宋体"/>
          <w:color w:val="auto"/>
          <w:sz w:val="21"/>
          <w:szCs w:val="21"/>
          <w:highlight w:val="none"/>
        </w:rPr>
        <w:t>谈判</w:t>
      </w:r>
      <w:r>
        <w:rPr>
          <w:rFonts w:hint="eastAsia" w:ascii="宋体" w:hAnsi="宋体" w:eastAsia="宋体" w:cs="宋体"/>
          <w:snapToGrid w:val="0"/>
          <w:color w:val="auto"/>
          <w:kern w:val="28"/>
          <w:sz w:val="21"/>
          <w:szCs w:val="21"/>
          <w:highlight w:val="none"/>
        </w:rPr>
        <w:t>保证金应当以支票、汇票、本票或者金融机构、担保机构出具的保函等非现金形式提交。</w:t>
      </w:r>
    </w:p>
    <w:p w14:paraId="06E49B25">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谈判保证金收取银行账户</w:t>
      </w:r>
    </w:p>
    <w:p w14:paraId="655B7C4A">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开户名称： </w:t>
      </w:r>
    </w:p>
    <w:p w14:paraId="6BE2B96E">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 </w:t>
      </w:r>
    </w:p>
    <w:p w14:paraId="7ABD2A9C">
      <w:pPr>
        <w:pageBreakBefore w:val="0"/>
        <w:kinsoku/>
        <w:wordWrap/>
        <w:overflowPunct/>
        <w:topLinePunct w:val="0"/>
        <w:bidi w:val="0"/>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p w14:paraId="73A79A52">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3.2</w:t>
      </w:r>
      <w:r>
        <w:rPr>
          <w:rFonts w:hint="eastAsia" w:ascii="宋体" w:hAnsi="宋体" w:eastAsia="宋体" w:cs="宋体"/>
          <w:color w:val="auto"/>
          <w:sz w:val="21"/>
          <w:szCs w:val="21"/>
          <w:highlight w:val="none"/>
        </w:rPr>
        <w:t>谈判供应商</w:t>
      </w:r>
      <w:r>
        <w:rPr>
          <w:rFonts w:hint="eastAsia" w:ascii="宋体" w:hAnsi="宋体" w:eastAsia="宋体" w:cs="宋体"/>
          <w:snapToGrid w:val="0"/>
          <w:color w:val="auto"/>
          <w:kern w:val="28"/>
          <w:sz w:val="21"/>
          <w:szCs w:val="21"/>
          <w:highlight w:val="none"/>
        </w:rPr>
        <w:t>在响应文件提交截止时间前撤回已提交的响应文件的，采购人或者采购代理机构应当自收到</w:t>
      </w:r>
      <w:r>
        <w:rPr>
          <w:rFonts w:hint="eastAsia" w:ascii="宋体" w:hAnsi="宋体" w:eastAsia="宋体" w:cs="宋体"/>
          <w:color w:val="auto"/>
          <w:sz w:val="21"/>
          <w:szCs w:val="21"/>
          <w:highlight w:val="none"/>
        </w:rPr>
        <w:t>谈判供应商</w:t>
      </w:r>
      <w:r>
        <w:rPr>
          <w:rFonts w:hint="eastAsia" w:ascii="宋体" w:hAnsi="宋体" w:eastAsia="宋体" w:cs="宋体"/>
          <w:snapToGrid w:val="0"/>
          <w:color w:val="auto"/>
          <w:kern w:val="28"/>
          <w:sz w:val="21"/>
          <w:szCs w:val="21"/>
          <w:highlight w:val="none"/>
        </w:rPr>
        <w:t>书面撤回通知之日起５个工作日内，退还已收取的</w:t>
      </w:r>
      <w:r>
        <w:rPr>
          <w:rFonts w:hint="eastAsia" w:ascii="宋体" w:hAnsi="宋体" w:eastAsia="宋体" w:cs="宋体"/>
          <w:color w:val="auto"/>
          <w:sz w:val="21"/>
          <w:szCs w:val="21"/>
          <w:highlight w:val="none"/>
        </w:rPr>
        <w:t>谈判</w:t>
      </w:r>
      <w:r>
        <w:rPr>
          <w:rFonts w:hint="eastAsia" w:ascii="宋体" w:hAnsi="宋体" w:eastAsia="宋体" w:cs="宋体"/>
          <w:snapToGrid w:val="0"/>
          <w:color w:val="auto"/>
          <w:kern w:val="28"/>
          <w:sz w:val="21"/>
          <w:szCs w:val="21"/>
          <w:highlight w:val="none"/>
        </w:rPr>
        <w:t>保证金，但因</w:t>
      </w:r>
      <w:r>
        <w:rPr>
          <w:rFonts w:hint="eastAsia" w:ascii="宋体" w:hAnsi="宋体" w:eastAsia="宋体" w:cs="宋体"/>
          <w:color w:val="auto"/>
          <w:sz w:val="21"/>
          <w:szCs w:val="21"/>
          <w:highlight w:val="none"/>
        </w:rPr>
        <w:t>谈判供应商</w:t>
      </w:r>
      <w:r>
        <w:rPr>
          <w:rFonts w:hint="eastAsia" w:ascii="宋体" w:hAnsi="宋体" w:eastAsia="宋体" w:cs="宋体"/>
          <w:snapToGrid w:val="0"/>
          <w:color w:val="auto"/>
          <w:kern w:val="28"/>
          <w:sz w:val="21"/>
          <w:szCs w:val="21"/>
          <w:highlight w:val="none"/>
        </w:rPr>
        <w:t>自身原因导致无法及时退还的除外。</w:t>
      </w:r>
    </w:p>
    <w:p w14:paraId="1A4A9AFA">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采购人或者采购代理机构应当自成交通知书发出之日起5个工作日内退还未成交供应商的谈判保证金，自采购合同签订之日起5个工作日内退还成交供应商的谈判保证金或者转为成交供应商的履约保证金。</w:t>
      </w:r>
    </w:p>
    <w:p w14:paraId="6CF0CAFC">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采购人或者采购代理机构逾期退还谈判保证金的，除应当退还谈判保证金本金外，还应当按中国人民银行同期贷款基准利率上浮20％后的利率支付超期资金占用费，但因供应商自身原因导致无法及时退还的除外。</w:t>
      </w:r>
    </w:p>
    <w:p w14:paraId="4C2FE24F">
      <w:pPr>
        <w:pageBreakBefore w:val="0"/>
        <w:widowControl/>
        <w:kinsoku/>
        <w:wordWrap/>
        <w:overflowPunct/>
        <w:topLinePunct w:val="0"/>
        <w:bidi w:val="0"/>
        <w:snapToGrid w:val="0"/>
        <w:spacing w:line="360" w:lineRule="auto"/>
        <w:ind w:firstLine="411" w:firstLineChars="196"/>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rPr>
        <w:t>3.3有下列情形之一的，谈判保证金不予退还：（一）供应商在提交响应文件截止时间后撤回响应文件的，但在提交最后报价之前退出谈判的情况除外；（二）供应商在响应文件中提供虚假材料的；（三）除因不可抗力或谈判文件认可的情形以外，成交供应商不与采购人签订合同的；（四）供应商与采购人、其他供应商或者采购代理机构恶意串通的；（五）谈判文件规定的其他情形。</w:t>
      </w:r>
    </w:p>
    <w:p w14:paraId="7A9D6080">
      <w:pPr>
        <w:pStyle w:val="31"/>
        <w:pageBreakBefore w:val="0"/>
        <w:kinsoku/>
        <w:wordWrap/>
        <w:overflowPunct/>
        <w:topLinePunct w:val="0"/>
        <w:bidi w:val="0"/>
        <w:spacing w:line="360" w:lineRule="auto"/>
        <w:ind w:firstLine="315" w:firstLineChars="150"/>
        <w:rPr>
          <w:rFonts w:hint="eastAsia" w:ascii="宋体" w:hAnsi="宋体" w:eastAsia="宋体" w:cs="宋体"/>
          <w:color w:val="auto"/>
          <w:sz w:val="21"/>
          <w:szCs w:val="21"/>
          <w:highlight w:val="none"/>
        </w:rPr>
      </w:pPr>
    </w:p>
    <w:p w14:paraId="7FF12443">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3011ACC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八、开启响应文件与信用信息查询</w:t>
      </w:r>
    </w:p>
    <w:p w14:paraId="71B6FE21">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开启响应文件</w:t>
      </w:r>
    </w:p>
    <w:p w14:paraId="3263C013">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采购代理机构按照谈判文件规定的时间通过电子交易平台组织响应文件开启，所有供应商均应当准时在线参加。</w:t>
      </w:r>
      <w:r>
        <w:rPr>
          <w:rFonts w:hint="eastAsia" w:ascii="宋体" w:hAnsi="宋体" w:eastAsia="宋体" w:cs="宋体"/>
          <w:b/>
          <w:color w:val="auto"/>
          <w:sz w:val="21"/>
          <w:szCs w:val="21"/>
          <w:highlight w:val="none"/>
        </w:rPr>
        <w:t>供应商数量不符合规定的，不得开启响应文件。</w:t>
      </w:r>
    </w:p>
    <w:p w14:paraId="15FDC7D6">
      <w:pPr>
        <w:pStyle w:val="31"/>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1.2开启响应文件时，电子交易平台按开启响应文件时间自动提取所有响应文件。采购代理机构依托电子交易平台发起开始解密指令，供应商按照平台提示和谈判文件的规定在半小时内完成在线解密。</w:t>
      </w:r>
    </w:p>
    <w:p w14:paraId="45C9CC93">
      <w:pPr>
        <w:pStyle w:val="31"/>
        <w:pageBreakBefore w:val="0"/>
        <w:kinsoku/>
        <w:wordWrap/>
        <w:overflowPunct/>
        <w:topLinePunct w:val="0"/>
        <w:bidi w:val="0"/>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1.3响应文件未在规定时间内成功解密的供应商，如提交了备份响应文件的，以备份响应文件作为依据，否则视为响应文件撤回。响应文件解密成功的供应商，其备份响应文件自动失效。</w:t>
      </w:r>
    </w:p>
    <w:p w14:paraId="57414F43">
      <w:pPr>
        <w:pStyle w:val="392"/>
        <w:pageBreakBefore w:val="0"/>
        <w:kinsoku/>
        <w:wordWrap/>
        <w:overflowPunct/>
        <w:topLinePunct w:val="0"/>
        <w:bidi w:val="0"/>
        <w:spacing w:before="0"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2.信用信息查询</w:t>
      </w:r>
    </w:p>
    <w:p w14:paraId="7345CB0F">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2.1信用信息查询渠道及截止时间：采购人或采购代理机构将通过“信用中国”网站(</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"http://www.creditchina.gov.cn" </w:instrText>
      </w:r>
      <w:r>
        <w:rPr>
          <w:rFonts w:hint="eastAsia" w:ascii="宋体" w:hAnsi="宋体" w:eastAsia="宋体" w:cs="宋体"/>
          <w:color w:val="auto"/>
          <w:sz w:val="21"/>
          <w:szCs w:val="21"/>
          <w:highlight w:val="none"/>
        </w:rPr>
        <w:fldChar w:fldCharType="separate"/>
      </w:r>
      <w:r>
        <w:rPr>
          <w:rStyle w:val="68"/>
          <w:rFonts w:hint="eastAsia" w:ascii="宋体" w:hAnsi="宋体" w:eastAsia="宋体" w:cs="宋体"/>
          <w:snapToGrid/>
          <w:color w:val="auto"/>
          <w:sz w:val="21"/>
          <w:szCs w:val="21"/>
          <w:highlight w:val="none"/>
        </w:rPr>
        <w:t>www.creditchina.gov.cn</w:t>
      </w:r>
      <w:r>
        <w:rPr>
          <w:rStyle w:val="68"/>
          <w:rFonts w:hint="eastAsia" w:ascii="宋体" w:hAnsi="宋体" w:eastAsia="宋体" w:cs="宋体"/>
          <w:snapToGrid/>
          <w:color w:val="auto"/>
          <w:sz w:val="21"/>
          <w:szCs w:val="21"/>
          <w:highlight w:val="none"/>
        </w:rPr>
        <w:fldChar w:fldCharType="end"/>
      </w:r>
      <w:r>
        <w:rPr>
          <w:rFonts w:hint="eastAsia" w:ascii="宋体" w:hAnsi="宋体" w:eastAsia="宋体" w:cs="宋体"/>
          <w:color w:val="auto"/>
          <w:kern w:val="0"/>
          <w:sz w:val="21"/>
          <w:szCs w:val="21"/>
          <w:highlight w:val="none"/>
        </w:rPr>
        <w:t>)、中国政府采购网(www.ccgp.gov.cn)渠道查询供应商响应截止时间前的信用记录。</w:t>
      </w:r>
    </w:p>
    <w:p w14:paraId="5853DC59">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2.2信用信息查询记录和证据留存的具体方式：现场查询的供应商的信用记录、查询结果经确认后存档。</w:t>
      </w:r>
    </w:p>
    <w:p w14:paraId="5A91F2E0">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2.3信用信息的使用规则：经查询列入失信被执行人名单、重大税收违法案件当事人名单、政府采购严重违法失信行为记录名单的供应商将被拒绝参与政府采购活动。</w:t>
      </w:r>
    </w:p>
    <w:p w14:paraId="3D2E2805">
      <w:pPr>
        <w:pStyle w:val="392"/>
        <w:pageBreakBefore w:val="0"/>
        <w:kinsoku/>
        <w:wordWrap/>
        <w:overflowPunct/>
        <w:topLinePunct w:val="0"/>
        <w:bidi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6C0B13D">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p>
    <w:p w14:paraId="3E37F9B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九、提交最后报价</w:t>
      </w:r>
    </w:p>
    <w:p w14:paraId="0473639E">
      <w:pPr>
        <w:pageBreakBefore w:val="0"/>
        <w:kinsoku/>
        <w:wordWrap/>
        <w:overflowPunct/>
        <w:topLinePunct w:val="0"/>
        <w:bidi w:val="0"/>
        <w:snapToGrid w:val="0"/>
        <w:spacing w:line="360" w:lineRule="auto"/>
        <w:rPr>
          <w:rFonts w:hint="eastAsia" w:ascii="宋体" w:hAnsi="宋体" w:eastAsia="宋体" w:cs="宋体"/>
          <w:color w:val="auto"/>
          <w:sz w:val="21"/>
          <w:szCs w:val="21"/>
          <w:highlight w:val="none"/>
          <w:u w:val="single"/>
          <w:lang w:val="zh-CN"/>
        </w:rPr>
      </w:pPr>
      <w:r>
        <w:rPr>
          <w:rFonts w:hint="eastAsia" w:ascii="宋体" w:hAnsi="宋体" w:eastAsia="宋体" w:cs="宋体"/>
          <w:b/>
          <w:color w:val="auto"/>
          <w:sz w:val="21"/>
          <w:szCs w:val="21"/>
          <w:highlight w:val="none"/>
        </w:rPr>
        <w:t>1.</w:t>
      </w:r>
      <w:r>
        <w:rPr>
          <w:rFonts w:hint="eastAsia" w:ascii="宋体" w:hAnsi="宋体" w:eastAsia="宋体" w:cs="宋体"/>
          <w:color w:val="auto"/>
          <w:sz w:val="21"/>
          <w:szCs w:val="21"/>
          <w:highlight w:val="none"/>
        </w:rPr>
        <w:t>供应商的</w:t>
      </w:r>
      <w:r>
        <w:rPr>
          <w:rFonts w:hint="eastAsia" w:ascii="宋体" w:hAnsi="宋体" w:eastAsia="宋体" w:cs="宋体"/>
          <w:b/>
          <w:color w:val="auto"/>
          <w:sz w:val="21"/>
          <w:szCs w:val="21"/>
          <w:highlight w:val="none"/>
        </w:rPr>
        <w:t>最后报价文件</w:t>
      </w:r>
      <w:r>
        <w:rPr>
          <w:rFonts w:hint="eastAsia" w:ascii="宋体" w:hAnsi="宋体" w:eastAsia="宋体" w:cs="宋体"/>
          <w:color w:val="auto"/>
          <w:sz w:val="21"/>
          <w:szCs w:val="21"/>
          <w:highlight w:val="none"/>
        </w:rPr>
        <w:t>应包括以下内容：</w:t>
      </w:r>
    </w:p>
    <w:p w14:paraId="4B8ADE01">
      <w:pPr>
        <w:pStyle w:val="31"/>
        <w:pageBreakBefore w:val="0"/>
        <w:kinsoku/>
        <w:wordWrap/>
        <w:overflowPunct/>
        <w:topLinePunct w:val="0"/>
        <w:bidi w:val="0"/>
        <w:snapToGrid w:val="0"/>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1.1最后报价一览表；</w:t>
      </w:r>
    </w:p>
    <w:p w14:paraId="0C651D05">
      <w:pPr>
        <w:pStyle w:val="31"/>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1.2中小企业声明函（如果有）。</w:t>
      </w:r>
    </w:p>
    <w:p w14:paraId="3507E435">
      <w:pPr>
        <w:pageBreakBefore w:val="0"/>
        <w:kinsoku/>
        <w:wordWrap/>
        <w:overflowPunct/>
        <w:topLinePunct w:val="0"/>
        <w:bidi w:val="0"/>
        <w:adjustRightInd/>
        <w:spacing w:line="360" w:lineRule="auto"/>
        <w:jc w:val="center"/>
        <w:rPr>
          <w:rFonts w:hint="eastAsia" w:ascii="宋体" w:hAnsi="宋体" w:eastAsia="宋体" w:cs="宋体"/>
          <w:b/>
          <w:color w:val="auto"/>
          <w:sz w:val="21"/>
          <w:szCs w:val="21"/>
          <w:highlight w:val="none"/>
        </w:rPr>
      </w:pPr>
    </w:p>
    <w:p w14:paraId="5AB05801">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十、评审</w:t>
      </w:r>
    </w:p>
    <w:p w14:paraId="2F5FDCDC">
      <w:pPr>
        <w:pStyle w:val="392"/>
        <w:pageBreakBefore w:val="0"/>
        <w:kinsoku/>
        <w:wordWrap/>
        <w:overflowPunct/>
        <w:topLinePunct w:val="0"/>
        <w:bidi w:val="0"/>
        <w:spacing w:before="0"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 评审要求：</w:t>
      </w:r>
      <w:r>
        <w:rPr>
          <w:rFonts w:hint="eastAsia" w:ascii="宋体" w:hAnsi="宋体" w:eastAsia="宋体" w:cs="宋体"/>
          <w:color w:val="auto"/>
          <w:sz w:val="21"/>
          <w:szCs w:val="21"/>
          <w:highlight w:val="none"/>
        </w:rPr>
        <w:t>详见谈判文件第五部分“评定标准”。</w:t>
      </w:r>
    </w:p>
    <w:p w14:paraId="122EE0AE">
      <w:pPr>
        <w:pageBreakBefore w:val="0"/>
        <w:kinsoku/>
        <w:wordWrap/>
        <w:overflowPunct/>
        <w:topLinePunct w:val="0"/>
        <w:bidi w:val="0"/>
        <w:adjustRightInd/>
        <w:spacing w:line="360" w:lineRule="auto"/>
        <w:jc w:val="center"/>
        <w:rPr>
          <w:rFonts w:hint="eastAsia" w:ascii="宋体" w:hAnsi="宋体" w:eastAsia="宋体" w:cs="宋体"/>
          <w:color w:val="auto"/>
          <w:sz w:val="21"/>
          <w:szCs w:val="21"/>
          <w:highlight w:val="none"/>
        </w:rPr>
      </w:pPr>
    </w:p>
    <w:p w14:paraId="61D1E346">
      <w:pPr>
        <w:pageBreakBefore w:val="0"/>
        <w:kinsoku/>
        <w:wordWrap/>
        <w:overflowPunct/>
        <w:topLinePunct w:val="0"/>
        <w:bidi w:val="0"/>
        <w:adjustRightInd/>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十一、成交</w:t>
      </w:r>
    </w:p>
    <w:p w14:paraId="3F373FA1">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推荐成交候选供应商</w:t>
      </w:r>
    </w:p>
    <w:p w14:paraId="4D835CF4">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小组应当从质量和服务均能满足采购文件实质性响应要求的供应商中，按照最后报价由低到高的顺序提出3名以上成交候选人，并编写评审报告。最后报价均相同时，由谈判小组按照响应文件技术要求响应、商务要求响应优劣情况集体讨论确定排序，并按确定排序由优到劣的原则推荐成交候选人。</w:t>
      </w:r>
    </w:p>
    <w:p w14:paraId="2A172E3A">
      <w:pPr>
        <w:pStyle w:val="31"/>
        <w:pageBreakBefore w:val="0"/>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 确定成交供应商</w:t>
      </w:r>
    </w:p>
    <w:p w14:paraId="13CE1E8E">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14:paraId="554AE18A">
      <w:pPr>
        <w:pageBreakBefore w:val="0"/>
        <w:tabs>
          <w:tab w:val="left" w:pos="0"/>
        </w:tabs>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b/>
          <w:color w:val="auto"/>
          <w:sz w:val="21"/>
          <w:szCs w:val="21"/>
          <w:highlight w:val="none"/>
        </w:rPr>
        <w:t>3．成交通知及成交结果公告</w:t>
      </w:r>
    </w:p>
    <w:p w14:paraId="36EB57B3">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3.1自成交人确定之日起2个工作日内，采购代理机构通过电子交易平台向成交人发出成交通知书，同时编制发布采购成交结果公告。</w:t>
      </w:r>
    </w:p>
    <w:p w14:paraId="62CB812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3.2成交结果公告内容包括采购人及其委托的采购代理机构的名称、地址、联系方式，项目名称和项目编号，成交人名称、地址和成交金额，主要成交标的的名称、规格型号、数量、单价、服务要求，</w:t>
      </w:r>
      <w:bookmarkStart w:id="51" w:name="_Hlk101184471"/>
      <w:r>
        <w:rPr>
          <w:rFonts w:hint="eastAsia" w:ascii="宋体" w:hAnsi="宋体" w:eastAsia="宋体" w:cs="宋体"/>
          <w:color w:val="auto"/>
          <w:sz w:val="21"/>
          <w:szCs w:val="21"/>
          <w:highlight w:val="none"/>
        </w:rPr>
        <w:t>评审专家抽取规则、</w:t>
      </w:r>
      <w:bookmarkEnd w:id="51"/>
      <w:r>
        <w:rPr>
          <w:rFonts w:hint="eastAsia" w:ascii="宋体" w:hAnsi="宋体" w:eastAsia="宋体" w:cs="宋体"/>
          <w:color w:val="auto"/>
          <w:sz w:val="21"/>
          <w:szCs w:val="21"/>
          <w:highlight w:val="none"/>
        </w:rPr>
        <w:t>未成交情况说明、成交公告期限以及评审专家名单、成交供应商和未成交供应商的评审报价及排名。</w:t>
      </w:r>
    </w:p>
    <w:p w14:paraId="18D66EBB">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3.3公告期限为1个工作日。</w:t>
      </w:r>
    </w:p>
    <w:p w14:paraId="2E797C40">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213B00C5">
      <w:pPr>
        <w:pageBreakBefore w:val="0"/>
        <w:kinsoku/>
        <w:wordWrap/>
        <w:overflowPunct/>
        <w:topLinePunct w:val="0"/>
        <w:bidi w:val="0"/>
        <w:snapToGrid w:val="0"/>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十二、合同</w:t>
      </w:r>
    </w:p>
    <w:p w14:paraId="1477C072">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1.合同主要条款：</w:t>
      </w:r>
      <w:r>
        <w:rPr>
          <w:rFonts w:hint="eastAsia" w:ascii="宋体" w:hAnsi="宋体" w:eastAsia="宋体" w:cs="宋体"/>
          <w:color w:val="auto"/>
          <w:sz w:val="21"/>
          <w:szCs w:val="21"/>
          <w:highlight w:val="none"/>
        </w:rPr>
        <w:t>详见“第六部分拟签订的合同文本”。</w:t>
      </w:r>
    </w:p>
    <w:p w14:paraId="26924E5C">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2.合同的签订</w:t>
      </w:r>
    </w:p>
    <w:p w14:paraId="2E41142A">
      <w:pPr>
        <w:pageBreakBefore w:val="0"/>
        <w:widowControl/>
        <w:shd w:val="clear" w:color="auto" w:fill="FFFFFF"/>
        <w:kinsoku/>
        <w:wordWrap/>
        <w:overflowPunct/>
        <w:topLinePunct w:val="0"/>
        <w:bidi w:val="0"/>
        <w:spacing w:line="360" w:lineRule="auto"/>
        <w:ind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2.1</w:t>
      </w:r>
      <w:r>
        <w:rPr>
          <w:rFonts w:hint="eastAsia" w:ascii="宋体" w:hAnsi="宋体" w:eastAsia="宋体" w:cs="宋体"/>
          <w:color w:val="auto"/>
          <w:kern w:val="0"/>
          <w:sz w:val="21"/>
          <w:szCs w:val="21"/>
          <w:highlight w:val="none"/>
        </w:rPr>
        <w:t>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D969AF1">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2.2成交人按规定的日期、时间、地点，由法定代表人或其授权代表与采购人代表签订合同。如成交人为联合体的，由联合体成员各方法定代表人或其授权代表与采购人代表签订合同。</w:t>
      </w:r>
    </w:p>
    <w:p w14:paraId="5577A8CD">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采购人不得向成交供应商提出超出谈判文件以外的任何要求作为签订合同的条件，不得与成交供应商订立背离谈判文件确定的合同文本以及采购标的、规格型号、采购金额、采购数量、技术和服务要求等实质性内容的协议。</w:t>
      </w:r>
    </w:p>
    <w:p w14:paraId="5A44584F">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成交供应商拒绝签订政府采购合同的，采购人可以按照《政府采购非招标采购方式管理办法》第三十六条第二款、第四十九条第二款规定的原则确定其他供应商作为成交供应商并签订政府采购合同，也可以重新开展采购活动。拒绝签订政府采购合同的成交供应商不得参加对该项目重新开展的采购活动。</w:t>
      </w:r>
    </w:p>
    <w:p w14:paraId="1C6E2B9E">
      <w:pPr>
        <w:pageBreakBefore w:val="0"/>
        <w:kinsoku/>
        <w:wordWrap/>
        <w:overflowPunct/>
        <w:topLinePunct w:val="0"/>
        <w:bidi w:val="0"/>
        <w:spacing w:line="360" w:lineRule="auto"/>
        <w:ind w:firstLine="407" w:firstLineChars="19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2.5如签订合同并生效后，供应商无故拒绝或延期，除按照合同条款处理外，列入不良行为记录一次，并给予通报。</w:t>
      </w:r>
    </w:p>
    <w:p w14:paraId="0BED191B">
      <w:pPr>
        <w:pStyle w:val="392"/>
        <w:pageBreakBefore w:val="0"/>
        <w:kinsoku/>
        <w:wordWrap/>
        <w:overflowPunct/>
        <w:topLinePunct w:val="0"/>
        <w:bidi w:val="0"/>
        <w:snapToGrid w:val="0"/>
        <w:spacing w:before="0" w:after="12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2.6采购合同由采购人与成交供应商根据谈判文件、响应文件等内容通过政府采购电子交易平台在线签订，自动备案。</w:t>
      </w:r>
    </w:p>
    <w:p w14:paraId="6E0E8C78">
      <w:pPr>
        <w:pStyle w:val="392"/>
        <w:pageBreakBefore w:val="0"/>
        <w:kinsoku/>
        <w:wordWrap/>
        <w:overflowPunct/>
        <w:topLinePunct w:val="0"/>
        <w:bidi w:val="0"/>
        <w:snapToGrid w:val="0"/>
        <w:spacing w:before="0" w:line="360" w:lineRule="auto"/>
        <w:ind w:firstLine="4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2.7政采贷</w:t>
      </w:r>
    </w:p>
    <w:p w14:paraId="53BE029C">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4E7217D3">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14D7A736">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5DE62543">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387C3C9">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（四）贷款发放。贷款金融机构根据贷款协议向供应商发放贷款。</w:t>
      </w:r>
    </w:p>
    <w:p w14:paraId="71505B9E">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30E44BE2">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（六）业务终止。贷款偿清后，贷款金融机构或北海市小微企业融资担保有限公司及时办理应收账款质押注销登记，业务终止。</w:t>
      </w:r>
    </w:p>
    <w:p w14:paraId="6F1FCD91">
      <w:pPr>
        <w:pageBreakBefore w:val="0"/>
        <w:kinsoku/>
        <w:wordWrap/>
        <w:overflowPunct/>
        <w:topLinePunct w:val="0"/>
        <w:bidi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注：相关合作银行的具体操作流程详见北海市政府采购中心首页“政采贷”板块。</w:t>
      </w:r>
    </w:p>
    <w:p w14:paraId="0E962859">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08ACC076">
      <w:pPr>
        <w:pageBreakBefore w:val="0"/>
        <w:kinsoku/>
        <w:wordWrap/>
        <w:overflowPunct/>
        <w:topLinePunct w:val="0"/>
        <w:autoSpaceDE w:val="0"/>
        <w:autoSpaceDN w:val="0"/>
        <w:bidi w:val="0"/>
        <w:adjustRightInd/>
        <w:snapToGrid w:val="0"/>
        <w:spacing w:line="36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供应商成交后可在“广西政府采购云”平台申请政采贷：操作路径：登录广西政府采购云平台-金融服务中心-【融资服务】，可在热门申请中选择产品直接申请。详见如下：</w:t>
      </w:r>
    </w:p>
    <w:p w14:paraId="28D24382">
      <w:pPr>
        <w:pageBreakBefore w:val="0"/>
        <w:kinsoku/>
        <w:wordWrap/>
        <w:overflowPunct/>
        <w:topLinePunct w:val="0"/>
        <w:bidi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（1）有贷款需求的供应商可以访问“广西政府采购云平台-金融服务-融资服务”栏目办理有关业务（链接：</w:t>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"https://jinrong.gcy.zfcg.gxzf.gov.cn/finance/loan/gx"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kern w:val="0"/>
          <w:sz w:val="21"/>
          <w:szCs w:val="21"/>
          <w:highlight w:val="none"/>
        </w:rPr>
        <w:t>https://jinrong.gcy.zfcg.gxzf.gov.cn/finance/loan/gx</w:t>
      </w:r>
      <w:r>
        <w:rPr>
          <w:rFonts w:hint="eastAsia" w:ascii="宋体" w:hAnsi="宋体" w:eastAsia="宋体" w:cs="宋体"/>
          <w:color w:val="auto"/>
          <w:kern w:val="0"/>
          <w:sz w:val="21"/>
          <w:szCs w:val="21"/>
          <w:highlight w:val="none"/>
        </w:rPr>
        <w:fldChar w:fldCharType="end"/>
      </w:r>
      <w:r>
        <w:rPr>
          <w:rFonts w:hint="eastAsia" w:ascii="宋体" w:hAnsi="宋体" w:eastAsia="宋体" w:cs="宋体"/>
          <w:color w:val="auto"/>
          <w:kern w:val="0"/>
          <w:sz w:val="21"/>
          <w:szCs w:val="21"/>
          <w:highlight w:val="none"/>
        </w:rPr>
        <w:t>）</w:t>
      </w:r>
    </w:p>
    <w:p w14:paraId="4A708BA8">
      <w:pPr>
        <w:pageBreakBefore w:val="0"/>
        <w:kinsoku/>
        <w:wordWrap/>
        <w:overflowPunct/>
        <w:topLinePunct w:val="0"/>
        <w:bidi w:val="0"/>
        <w:snapToGrid w:val="0"/>
        <w:spacing w:line="360" w:lineRule="auto"/>
        <w:ind w:firstLine="48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1E3CF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242" w:type="dxa"/>
            <w:vAlign w:val="center"/>
          </w:tcPr>
          <w:p w14:paraId="2BF941EB">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银行名称</w:t>
            </w:r>
          </w:p>
        </w:tc>
        <w:tc>
          <w:tcPr>
            <w:tcW w:w="1134" w:type="dxa"/>
            <w:vAlign w:val="center"/>
          </w:tcPr>
          <w:p w14:paraId="6F1F369D">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联系电话</w:t>
            </w:r>
          </w:p>
        </w:tc>
        <w:tc>
          <w:tcPr>
            <w:tcW w:w="1701" w:type="dxa"/>
            <w:vAlign w:val="center"/>
          </w:tcPr>
          <w:p w14:paraId="547230D4">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最高授信金额</w:t>
            </w:r>
          </w:p>
        </w:tc>
        <w:tc>
          <w:tcPr>
            <w:tcW w:w="993" w:type="dxa"/>
            <w:vAlign w:val="center"/>
          </w:tcPr>
          <w:p w14:paraId="0055D59E">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最长授信期限</w:t>
            </w:r>
          </w:p>
        </w:tc>
        <w:tc>
          <w:tcPr>
            <w:tcW w:w="850" w:type="dxa"/>
            <w:vAlign w:val="center"/>
          </w:tcPr>
          <w:p w14:paraId="570ADC8E">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最低利率</w:t>
            </w:r>
          </w:p>
        </w:tc>
        <w:tc>
          <w:tcPr>
            <w:tcW w:w="3366" w:type="dxa"/>
            <w:vAlign w:val="center"/>
          </w:tcPr>
          <w:p w14:paraId="3CB216F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流程简介</w:t>
            </w:r>
          </w:p>
        </w:tc>
      </w:tr>
      <w:tr w14:paraId="56E25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17BF85D">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建设银行</w:t>
            </w:r>
          </w:p>
        </w:tc>
        <w:tc>
          <w:tcPr>
            <w:tcW w:w="1134" w:type="dxa"/>
            <w:vAlign w:val="center"/>
          </w:tcPr>
          <w:p w14:paraId="18E93121">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13077729988</w:t>
            </w:r>
          </w:p>
        </w:tc>
        <w:tc>
          <w:tcPr>
            <w:tcW w:w="1701" w:type="dxa"/>
            <w:vAlign w:val="center"/>
          </w:tcPr>
          <w:p w14:paraId="2ACDF5B9">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最高3千万</w:t>
            </w:r>
          </w:p>
        </w:tc>
        <w:tc>
          <w:tcPr>
            <w:tcW w:w="993" w:type="dxa"/>
            <w:vAlign w:val="center"/>
          </w:tcPr>
          <w:p w14:paraId="66D6AE3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1年</w:t>
            </w:r>
          </w:p>
        </w:tc>
        <w:tc>
          <w:tcPr>
            <w:tcW w:w="850" w:type="dxa"/>
            <w:vAlign w:val="center"/>
          </w:tcPr>
          <w:p w14:paraId="5478B48F">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3366" w:type="dxa"/>
            <w:vAlign w:val="center"/>
          </w:tcPr>
          <w:p w14:paraId="414847E5">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开设账号，线下提供申请材料，进入贷款审批流程，贷款审批通过后可自主用款，银行官方网银可自主还款。</w:t>
            </w:r>
          </w:p>
        </w:tc>
      </w:tr>
      <w:tr w14:paraId="4FD1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BE683F0">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中国银行</w:t>
            </w:r>
          </w:p>
        </w:tc>
        <w:tc>
          <w:tcPr>
            <w:tcW w:w="1134" w:type="dxa"/>
            <w:vAlign w:val="center"/>
          </w:tcPr>
          <w:p w14:paraId="13F0CDF3">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0779-3997084</w:t>
            </w:r>
          </w:p>
        </w:tc>
        <w:tc>
          <w:tcPr>
            <w:tcW w:w="1701" w:type="dxa"/>
            <w:vAlign w:val="center"/>
          </w:tcPr>
          <w:p w14:paraId="0F7E2AC4">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w:t>
            </w:r>
          </w:p>
        </w:tc>
        <w:tc>
          <w:tcPr>
            <w:tcW w:w="993" w:type="dxa"/>
            <w:vAlign w:val="center"/>
          </w:tcPr>
          <w:p w14:paraId="08B13F23">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3年</w:t>
            </w:r>
          </w:p>
        </w:tc>
        <w:tc>
          <w:tcPr>
            <w:tcW w:w="850" w:type="dxa"/>
            <w:vAlign w:val="center"/>
          </w:tcPr>
          <w:p w14:paraId="37BF48A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1.93%</w:t>
            </w:r>
          </w:p>
        </w:tc>
        <w:tc>
          <w:tcPr>
            <w:tcW w:w="3366" w:type="dxa"/>
            <w:vAlign w:val="center"/>
          </w:tcPr>
          <w:p w14:paraId="5C226CDA">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在银行开户，线上申请，上传所需材料，等待审批，审批通过后可直接在手机银行提款。</w:t>
            </w:r>
          </w:p>
        </w:tc>
      </w:tr>
      <w:tr w14:paraId="25B2A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8934E24">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兴业银行</w:t>
            </w:r>
          </w:p>
        </w:tc>
        <w:tc>
          <w:tcPr>
            <w:tcW w:w="1134" w:type="dxa"/>
            <w:vAlign w:val="center"/>
          </w:tcPr>
          <w:p w14:paraId="358B306A">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0779-3158330</w:t>
            </w:r>
          </w:p>
        </w:tc>
        <w:tc>
          <w:tcPr>
            <w:tcW w:w="1701" w:type="dxa"/>
            <w:vAlign w:val="center"/>
          </w:tcPr>
          <w:p w14:paraId="10CDE46E">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最高1千万（单笔提款金额达合同金额70%）</w:t>
            </w:r>
          </w:p>
        </w:tc>
        <w:tc>
          <w:tcPr>
            <w:tcW w:w="993" w:type="dxa"/>
            <w:vAlign w:val="center"/>
          </w:tcPr>
          <w:p w14:paraId="6C5091A9">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1年</w:t>
            </w:r>
          </w:p>
        </w:tc>
        <w:tc>
          <w:tcPr>
            <w:tcW w:w="850" w:type="dxa"/>
            <w:vAlign w:val="center"/>
          </w:tcPr>
          <w:p w14:paraId="644D4F90">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3.70%</w:t>
            </w:r>
          </w:p>
        </w:tc>
        <w:tc>
          <w:tcPr>
            <w:tcW w:w="3366" w:type="dxa"/>
            <w:vAlign w:val="center"/>
          </w:tcPr>
          <w:p w14:paraId="54E8F0FD">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全流程线上，初次申请开立账户，提供营业执照、采购合同、信用材料等，申请复审，签订合同，提交单笔贷款使用需求，贷款到账后受托使用。</w:t>
            </w:r>
          </w:p>
        </w:tc>
      </w:tr>
      <w:tr w14:paraId="7557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1EC8C68">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工商银行</w:t>
            </w:r>
          </w:p>
        </w:tc>
        <w:tc>
          <w:tcPr>
            <w:tcW w:w="1134" w:type="dxa"/>
            <w:vAlign w:val="center"/>
          </w:tcPr>
          <w:p w14:paraId="45E8AA6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0779-3050645</w:t>
            </w:r>
          </w:p>
        </w:tc>
        <w:tc>
          <w:tcPr>
            <w:tcW w:w="1701" w:type="dxa"/>
            <w:vAlign w:val="center"/>
          </w:tcPr>
          <w:p w14:paraId="47493970">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最高1千万且不超过合同金额70%</w:t>
            </w:r>
          </w:p>
        </w:tc>
        <w:tc>
          <w:tcPr>
            <w:tcW w:w="993" w:type="dxa"/>
            <w:vAlign w:val="center"/>
          </w:tcPr>
          <w:p w14:paraId="595EA15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货物类1年</w:t>
            </w:r>
          </w:p>
          <w:p w14:paraId="4E43B162">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服务类3年</w:t>
            </w:r>
          </w:p>
          <w:p w14:paraId="070DE51B">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工程类5年</w:t>
            </w:r>
          </w:p>
        </w:tc>
        <w:tc>
          <w:tcPr>
            <w:tcW w:w="850" w:type="dxa"/>
            <w:vAlign w:val="center"/>
          </w:tcPr>
          <w:p w14:paraId="04733D01">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3.45%</w:t>
            </w:r>
          </w:p>
        </w:tc>
        <w:tc>
          <w:tcPr>
            <w:tcW w:w="3366" w:type="dxa"/>
            <w:vAlign w:val="center"/>
          </w:tcPr>
          <w:p w14:paraId="6EBC4CB1">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为中征系统白名单企业，提供相关要求材料，内部审批后放款自主借还。</w:t>
            </w:r>
          </w:p>
        </w:tc>
      </w:tr>
      <w:tr w14:paraId="3A106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0C30CA4">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国民村镇银行</w:t>
            </w:r>
          </w:p>
        </w:tc>
        <w:tc>
          <w:tcPr>
            <w:tcW w:w="1134" w:type="dxa"/>
            <w:vAlign w:val="center"/>
          </w:tcPr>
          <w:p w14:paraId="13CC7AD7">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0779-2668801</w:t>
            </w:r>
          </w:p>
        </w:tc>
        <w:tc>
          <w:tcPr>
            <w:tcW w:w="1701" w:type="dxa"/>
            <w:vAlign w:val="center"/>
          </w:tcPr>
          <w:p w14:paraId="411703D5">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最高500万</w:t>
            </w:r>
          </w:p>
        </w:tc>
        <w:tc>
          <w:tcPr>
            <w:tcW w:w="993" w:type="dxa"/>
            <w:vAlign w:val="center"/>
          </w:tcPr>
          <w:p w14:paraId="17F8067F">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5年</w:t>
            </w:r>
          </w:p>
        </w:tc>
        <w:tc>
          <w:tcPr>
            <w:tcW w:w="850" w:type="dxa"/>
            <w:vAlign w:val="center"/>
          </w:tcPr>
          <w:p w14:paraId="21684E10">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2.80%</w:t>
            </w:r>
          </w:p>
        </w:tc>
        <w:tc>
          <w:tcPr>
            <w:tcW w:w="3366" w:type="dxa"/>
            <w:vAlign w:val="center"/>
          </w:tcPr>
          <w:p w14:paraId="705A6A56">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银行开户，线下申请并提供材料，信用良好企业最快1天获批即可提款</w:t>
            </w:r>
          </w:p>
        </w:tc>
      </w:tr>
      <w:tr w14:paraId="269B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C7CD8BE">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桂林银行</w:t>
            </w:r>
          </w:p>
        </w:tc>
        <w:tc>
          <w:tcPr>
            <w:tcW w:w="1134" w:type="dxa"/>
            <w:vAlign w:val="center"/>
          </w:tcPr>
          <w:p w14:paraId="525AD87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18577993959</w:t>
            </w:r>
          </w:p>
        </w:tc>
        <w:tc>
          <w:tcPr>
            <w:tcW w:w="1701" w:type="dxa"/>
            <w:vAlign w:val="center"/>
          </w:tcPr>
          <w:p w14:paraId="6B54040D">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最高1千万</w:t>
            </w:r>
          </w:p>
        </w:tc>
        <w:tc>
          <w:tcPr>
            <w:tcW w:w="993" w:type="dxa"/>
            <w:vAlign w:val="center"/>
          </w:tcPr>
          <w:p w14:paraId="7F7D4FA6">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1年</w:t>
            </w:r>
          </w:p>
        </w:tc>
        <w:tc>
          <w:tcPr>
            <w:tcW w:w="850" w:type="dxa"/>
            <w:vAlign w:val="center"/>
          </w:tcPr>
          <w:p w14:paraId="17DBDC45">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3.45%</w:t>
            </w:r>
          </w:p>
        </w:tc>
        <w:tc>
          <w:tcPr>
            <w:tcW w:w="3366" w:type="dxa"/>
            <w:vAlign w:val="center"/>
          </w:tcPr>
          <w:p w14:paraId="57724E71">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线下申请，材料齐全最快1周内即可放款。</w:t>
            </w:r>
          </w:p>
        </w:tc>
      </w:tr>
      <w:tr w14:paraId="3FD7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179C8AF">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中小微商务服务公司</w:t>
            </w:r>
          </w:p>
        </w:tc>
        <w:tc>
          <w:tcPr>
            <w:tcW w:w="1134" w:type="dxa"/>
            <w:vAlign w:val="center"/>
          </w:tcPr>
          <w:p w14:paraId="2B756DB1">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19907799988</w:t>
            </w:r>
          </w:p>
        </w:tc>
        <w:tc>
          <w:tcPr>
            <w:tcW w:w="1701" w:type="dxa"/>
            <w:vAlign w:val="center"/>
          </w:tcPr>
          <w:p w14:paraId="0035A7A5">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p>
        </w:tc>
        <w:tc>
          <w:tcPr>
            <w:tcW w:w="993" w:type="dxa"/>
            <w:vAlign w:val="center"/>
          </w:tcPr>
          <w:p w14:paraId="6EB58EBC">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p>
        </w:tc>
        <w:tc>
          <w:tcPr>
            <w:tcW w:w="850" w:type="dxa"/>
            <w:vAlign w:val="center"/>
          </w:tcPr>
          <w:p w14:paraId="7B21E18D">
            <w:pPr>
              <w:pageBreakBefore w:val="0"/>
              <w:kinsoku/>
              <w:wordWrap/>
              <w:overflowPunct/>
              <w:topLinePunct w:val="0"/>
              <w:bidi w:val="0"/>
              <w:snapToGrid w:val="0"/>
              <w:spacing w:line="360" w:lineRule="auto"/>
              <w:jc w:val="center"/>
              <w:rPr>
                <w:rFonts w:hint="eastAsia" w:ascii="宋体" w:hAnsi="宋体" w:eastAsia="宋体" w:cs="宋体"/>
                <w:color w:val="auto"/>
                <w:kern w:val="0"/>
                <w:sz w:val="21"/>
                <w:szCs w:val="21"/>
                <w:highlight w:val="none"/>
              </w:rPr>
            </w:pPr>
          </w:p>
        </w:tc>
        <w:tc>
          <w:tcPr>
            <w:tcW w:w="3366" w:type="dxa"/>
            <w:vAlign w:val="center"/>
          </w:tcPr>
          <w:p w14:paraId="5B898542">
            <w:pPr>
              <w:pageBreakBefore w:val="0"/>
              <w:kinsoku/>
              <w:wordWrap/>
              <w:overflowPunct/>
              <w:topLinePunct w:val="0"/>
              <w:bidi w:val="0"/>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具体业务可电话咨询。</w:t>
            </w:r>
          </w:p>
        </w:tc>
      </w:tr>
    </w:tbl>
    <w:p w14:paraId="4EC52561">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注：表中联系电话、授信金额、授信期限、最低利率等信息可能动态更新，仅供参考，具体以办理时相关银行公布的为准。</w:t>
      </w:r>
    </w:p>
    <w:p w14:paraId="5ED67BEA">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rPr>
        <w:t>3．履约保证金</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本项目不收取履约保证金）</w:t>
      </w:r>
    </w:p>
    <w:p w14:paraId="783AE11E">
      <w:pPr>
        <w:pageBreakBefore w:val="0"/>
        <w:tabs>
          <w:tab w:val="left" w:pos="0"/>
        </w:tabs>
        <w:kinsoku/>
        <w:wordWrap/>
        <w:overflowPunct/>
        <w:topLinePunct w:val="0"/>
        <w:bidi w:val="0"/>
        <w:spacing w:line="360" w:lineRule="auto"/>
        <w:ind w:firstLine="482"/>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3.1拟签订的合同文本要求成交供应商提交履约保证金的，供应商应当以支票、汇票、本票或者金融机构、担保机构出具的保函等非现金形式提交</w:t>
      </w:r>
      <w:r>
        <w:rPr>
          <w:rFonts w:hint="eastAsia" w:ascii="宋体" w:hAnsi="宋体" w:eastAsia="宋体" w:cs="宋体"/>
          <w:color w:val="auto"/>
          <w:sz w:val="21"/>
          <w:szCs w:val="21"/>
          <w:highlight w:val="none"/>
        </w:rPr>
        <w:t>。履约保证金数额不得超过政府采购合同金额的5%；加大对中小企业发展的扶持力度，对中小企业收取的履约保证金数额不得超过政府采购合同金额的2%。</w:t>
      </w:r>
      <w:r>
        <w:rPr>
          <w:rFonts w:hint="eastAsia" w:ascii="宋体" w:hAnsi="宋体" w:eastAsia="宋体" w:cs="宋体"/>
          <w:color w:val="auto"/>
          <w:kern w:val="0"/>
          <w:sz w:val="21"/>
          <w:szCs w:val="21"/>
          <w:highlight w:val="none"/>
        </w:rPr>
        <w:t>成交</w:t>
      </w:r>
      <w:r>
        <w:rPr>
          <w:rFonts w:hint="eastAsia" w:ascii="宋体" w:hAnsi="宋体" w:eastAsia="宋体" w:cs="宋体"/>
          <w:color w:val="auto"/>
          <w:sz w:val="21"/>
          <w:szCs w:val="21"/>
          <w:highlight w:val="none"/>
        </w:rPr>
        <w:t>供应商的谈判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延迟退还的，应当按照合同约定和法律规定承担相应的赔偿责任。</w:t>
      </w:r>
    </w:p>
    <w:p w14:paraId="12920A4C">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sz w:val="21"/>
          <w:szCs w:val="21"/>
          <w:highlight w:val="none"/>
        </w:rPr>
        <w:t>履约保证金</w:t>
      </w:r>
      <w:r>
        <w:rPr>
          <w:rFonts w:hint="eastAsia" w:ascii="宋体" w:hAnsi="宋体" w:eastAsia="宋体" w:cs="宋体"/>
          <w:color w:val="auto"/>
          <w:kern w:val="2"/>
          <w:sz w:val="21"/>
          <w:szCs w:val="21"/>
          <w:highlight w:val="none"/>
        </w:rPr>
        <w:t>收取银行账户</w:t>
      </w:r>
    </w:p>
    <w:p w14:paraId="3AB8B149">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 xml:space="preserve">开户名称： </w:t>
      </w:r>
      <w:r>
        <w:rPr>
          <w:rFonts w:hint="eastAsia" w:cs="宋体"/>
          <w:color w:val="auto"/>
          <w:kern w:val="2"/>
          <w:sz w:val="21"/>
          <w:szCs w:val="21"/>
          <w:highlight w:val="none"/>
          <w:lang w:val="en-US" w:eastAsia="zh-CN"/>
        </w:rPr>
        <w:t>/</w:t>
      </w:r>
    </w:p>
    <w:p w14:paraId="64F42BB2">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 xml:space="preserve">开户银行： </w:t>
      </w:r>
      <w:r>
        <w:rPr>
          <w:rFonts w:hint="eastAsia" w:cs="宋体"/>
          <w:color w:val="auto"/>
          <w:kern w:val="2"/>
          <w:sz w:val="21"/>
          <w:szCs w:val="21"/>
          <w:highlight w:val="none"/>
          <w:lang w:val="en-US" w:eastAsia="zh-CN"/>
        </w:rPr>
        <w:t>/</w:t>
      </w:r>
    </w:p>
    <w:p w14:paraId="54309944">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lang w:val="en-US" w:eastAsia="zh-CN"/>
        </w:rPr>
      </w:pPr>
      <w:r>
        <w:rPr>
          <w:rFonts w:hint="eastAsia" w:ascii="宋体" w:hAnsi="宋体" w:eastAsia="宋体" w:cs="宋体"/>
          <w:color w:val="auto"/>
          <w:kern w:val="2"/>
          <w:sz w:val="21"/>
          <w:szCs w:val="21"/>
          <w:highlight w:val="none"/>
        </w:rPr>
        <w:t>银行账号：</w:t>
      </w:r>
      <w:r>
        <w:rPr>
          <w:rFonts w:hint="eastAsia" w:cs="宋体"/>
          <w:color w:val="auto"/>
          <w:kern w:val="2"/>
          <w:sz w:val="21"/>
          <w:szCs w:val="21"/>
          <w:highlight w:val="none"/>
          <w:lang w:val="en-US" w:eastAsia="zh-CN"/>
        </w:rPr>
        <w:t xml:space="preserve"> /</w:t>
      </w:r>
    </w:p>
    <w:p w14:paraId="6DA22DED">
      <w:pPr>
        <w:pStyle w:val="631"/>
        <w:pageBreakBefore w:val="0"/>
        <w:kinsoku/>
        <w:wordWrap/>
        <w:overflowPunct/>
        <w:topLinePunct w:val="0"/>
        <w:bidi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snapToGrid w:val="0"/>
          <w:color w:val="auto"/>
          <w:sz w:val="21"/>
          <w:szCs w:val="21"/>
          <w:highlight w:val="none"/>
        </w:rPr>
        <w:t>3.2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3671B034">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3.3履约保证金的退还。验收合格的政府采购项目，采购人应当按照合同约定的退还方式，在5个工作日内办理履约保证金退还手续。</w:t>
      </w:r>
    </w:p>
    <w:p w14:paraId="05F2E66E">
      <w:pPr>
        <w:pStyle w:val="631"/>
        <w:pageBreakBefore w:val="0"/>
        <w:kinsoku/>
        <w:wordWrap/>
        <w:overflowPunct/>
        <w:topLinePunct w:val="0"/>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4.预付款</w:t>
      </w:r>
    </w:p>
    <w:p w14:paraId="11498ED1">
      <w:pPr>
        <w:pageBreakBefore w:val="0"/>
        <w:kinsoku/>
        <w:wordWrap/>
        <w:overflowPunct/>
        <w:topLinePunct w:val="0"/>
        <w:bidi w:val="0"/>
        <w:adjustRightInd/>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采购单位应当在政府采购合同中约定预付款，对中小企业合同预付款比例原则上不低于合同金额的30％，不高于合同金额的50%；项目分年安排预算的，每年预付款比例不低于项目年度计划支付资金额的30％，不高于合同金额的50%；采购项目实施以人工投入为主的，可适当降低预付款比例，但不得低于10%。对供应商为大型企业的项目或者以人工投入为主且实行按月定期结算支付款项的项目，预付款可低于上述比例或者不约定预付款。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w:t>
      </w:r>
    </w:p>
    <w:p w14:paraId="32A4BDA5">
      <w:pPr>
        <w:pageBreakBefore w:val="0"/>
        <w:tabs>
          <w:tab w:val="left" w:pos="0"/>
        </w:tabs>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color w:val="auto"/>
          <w:sz w:val="21"/>
          <w:szCs w:val="21"/>
          <w:highlight w:val="none"/>
        </w:rPr>
        <w:t>4.2供应商可登录广西政府采购云平台前台大厅选择金融服务 - 【保函保险服务】出具预付款保函，具体步骤：选择产品—填写供应商信息—选择中标项目—确认信息—等待保险/保函受理—确认保单—支付保费—成功出单。广西政府采购云平台金融专线400-903-9583。</w:t>
      </w:r>
    </w:p>
    <w:p w14:paraId="709BC15D">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31532165">
      <w:pPr>
        <w:pageBreakBefore w:val="0"/>
        <w:kinsoku/>
        <w:wordWrap/>
        <w:overflowPunct/>
        <w:topLinePunct w:val="0"/>
        <w:bidi w:val="0"/>
        <w:snapToGrid w:val="0"/>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十三、验收</w:t>
      </w:r>
    </w:p>
    <w:p w14:paraId="75C2C13E">
      <w:pPr>
        <w:pStyle w:val="23"/>
        <w:pageBreakBefore w:val="0"/>
        <w:kinsoku/>
        <w:wordWrap/>
        <w:overflowPunct/>
        <w:topLinePunct w:val="0"/>
        <w:bidi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1.验收</w:t>
      </w:r>
    </w:p>
    <w:p w14:paraId="5FB4D0DC">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A8A3EC8">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1.2采购人可以邀请参加本项目的其他供应商或者第三方机构参与验收。参与验收的供应商或者第三方机构的意见作为验收书的参考资料一并存档。</w:t>
      </w:r>
    </w:p>
    <w:p w14:paraId="6F018C38">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7A72EE4">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3725B38">
      <w:pPr>
        <w:pageBreakBefore w:val="0"/>
        <w:kinsoku/>
        <w:wordWrap/>
        <w:overflowPunct/>
        <w:topLinePunct w:val="0"/>
        <w:bidi w:val="0"/>
        <w:snapToGrid w:val="0"/>
        <w:spacing w:line="360" w:lineRule="auto"/>
        <w:jc w:val="center"/>
        <w:rPr>
          <w:rFonts w:hint="eastAsia" w:ascii="宋体" w:hAnsi="宋体" w:eastAsia="宋体" w:cs="宋体"/>
          <w:b/>
          <w:color w:val="auto"/>
          <w:sz w:val="21"/>
          <w:szCs w:val="21"/>
          <w:highlight w:val="none"/>
        </w:rPr>
      </w:pPr>
    </w:p>
    <w:p w14:paraId="1EBE8E17">
      <w:pPr>
        <w:pageBreakBefore w:val="0"/>
        <w:kinsoku/>
        <w:wordWrap/>
        <w:overflowPunct/>
        <w:topLinePunct w:val="0"/>
        <w:bidi w:val="0"/>
        <w:snapToGrid w:val="0"/>
        <w:spacing w:line="360" w:lineRule="auto"/>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十四、电子交易活动的中止</w:t>
      </w:r>
    </w:p>
    <w:p w14:paraId="1C43626C">
      <w:pPr>
        <w:pageBreakBefore w:val="0"/>
        <w:tabs>
          <w:tab w:val="left" w:pos="0"/>
        </w:tabs>
        <w:kinsoku/>
        <w:wordWrap/>
        <w:overflowPunct/>
        <w:topLinePunct w:val="0"/>
        <w:bidi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 电子交易活动的中止</w:t>
      </w:r>
    </w:p>
    <w:p w14:paraId="5D5624C7">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采购过程中出现以下情形，导致电子交易平台无法正常运行，或者无法保证电子交易的公平、公正和安全时，采购代理机构可中止电子交易活动：</w:t>
      </w:r>
    </w:p>
    <w:p w14:paraId="022CB1DD">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1.1电子交易平台发生故障而无法登录访问的； </w:t>
      </w:r>
    </w:p>
    <w:p w14:paraId="5994CDCD">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1.2电子交易平台应用或数据库出现错误，不能进行正常操作的；</w:t>
      </w:r>
    </w:p>
    <w:p w14:paraId="77D736DE">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1.3电子交易平台发现严重安全漏洞，有潜在泄密危险的；</w:t>
      </w:r>
    </w:p>
    <w:p w14:paraId="5387E054">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1.4病毒发作导致不能进行正常操作的； </w:t>
      </w:r>
    </w:p>
    <w:p w14:paraId="191CBDB9">
      <w:pPr>
        <w:pageBreakBefore w:val="0"/>
        <w:tabs>
          <w:tab w:val="left" w:pos="0"/>
        </w:tabs>
        <w:kinsoku/>
        <w:wordWrap/>
        <w:overflowPunct/>
        <w:topLinePunct w:val="0"/>
        <w:bidi w:val="0"/>
        <w:spacing w:line="360" w:lineRule="auto"/>
        <w:ind w:firstLine="48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1.5其他无法保证电子交易的公平、公正和安全的情况。</w:t>
      </w:r>
    </w:p>
    <w:p w14:paraId="1873CAFC">
      <w:pPr>
        <w:pageBreakBefore w:val="0"/>
        <w:tabs>
          <w:tab w:val="left" w:pos="0"/>
        </w:tabs>
        <w:kinsoku/>
        <w:wordWrap/>
        <w:overflowPunct/>
        <w:topLinePunct w:val="0"/>
        <w:bidi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2.</w:t>
      </w:r>
      <w:r>
        <w:rPr>
          <w:rFonts w:hint="eastAsia" w:ascii="宋体" w:hAnsi="宋体" w:eastAsia="宋体" w:cs="宋体"/>
          <w:color w:val="auto"/>
          <w:kern w:val="0"/>
          <w:sz w:val="21"/>
          <w:szCs w:val="21"/>
          <w:highlight w:val="none"/>
        </w:rPr>
        <w:t>出现以上情形，不影响采购公平、公正性的，采购组织机构可以待上述情形消除后继续组织电子交易活动，也可以决定某些环节以纸质形式进行；影响或可能影响采购公平、公正性的，应当重新采购。</w:t>
      </w:r>
      <w:bookmarkEnd w:id="10"/>
      <w:bookmarkStart w:id="52" w:name="_Hlt75236290"/>
      <w:bookmarkEnd w:id="52"/>
      <w:bookmarkStart w:id="53" w:name="_Hlt74714665"/>
      <w:bookmarkEnd w:id="53"/>
      <w:bookmarkStart w:id="54" w:name="_Hlt68057669"/>
      <w:bookmarkEnd w:id="54"/>
      <w:bookmarkStart w:id="55" w:name="_Hlt75236011"/>
      <w:bookmarkEnd w:id="55"/>
      <w:bookmarkStart w:id="56" w:name="_Hlt68072990"/>
      <w:bookmarkEnd w:id="56"/>
      <w:bookmarkStart w:id="57" w:name="_Hlt75236101"/>
      <w:bookmarkEnd w:id="57"/>
      <w:bookmarkStart w:id="58" w:name="_Hlt74730295"/>
      <w:bookmarkEnd w:id="58"/>
      <w:bookmarkStart w:id="59" w:name="_Hlt74729768"/>
      <w:bookmarkEnd w:id="59"/>
      <w:bookmarkStart w:id="60" w:name="_Hlt74707468"/>
      <w:bookmarkEnd w:id="60"/>
      <w:bookmarkStart w:id="61" w:name="第三部分"/>
      <w:bookmarkStart w:id="62" w:name="_Toc164416483"/>
    </w:p>
    <w:p w14:paraId="31FDBAEC">
      <w:pPr>
        <w:pageBreakBefore w:val="0"/>
        <w:kinsoku/>
        <w:wordWrap/>
        <w:overflowPunct/>
        <w:topLinePunct w:val="0"/>
        <w:bidi w:val="0"/>
        <w:snapToGrid w:val="0"/>
        <w:spacing w:line="360" w:lineRule="auto"/>
        <w:ind w:left="120" w:leftChars="57" w:firstLine="482" w:firstLineChars="150"/>
        <w:jc w:val="center"/>
        <w:outlineLvl w:val="1"/>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十五、代理费用的收取标准和方式</w:t>
      </w:r>
    </w:p>
    <w:p w14:paraId="0844525A">
      <w:pPr>
        <w:pStyle w:val="23"/>
        <w:pageBreakBefore w:val="0"/>
        <w:kinsoku/>
        <w:wordWrap/>
        <w:overflowPunct/>
        <w:topLinePunct w:val="0"/>
        <w:bidi w:val="0"/>
        <w:spacing w:line="360" w:lineRule="auto"/>
        <w:ind w:firstLine="0" w:firstLineChars="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1.代理费用的收取标准和方式（适用于有权收取代理费用的采购代理机构）</w:t>
      </w:r>
    </w:p>
    <w:p w14:paraId="640E92EA">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1.1采购代理费支付方式：</w:t>
      </w:r>
    </w:p>
    <w:p w14:paraId="43E54B75">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本项目代理服务费由成交供应商一次性向采购代理机构支付。</w:t>
      </w:r>
    </w:p>
    <w:p w14:paraId="0DCEBEA5">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□采购人支付。</w:t>
      </w:r>
    </w:p>
    <w:p w14:paraId="6647CB43">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1.2采购代理费收取标准：</w:t>
      </w:r>
    </w:p>
    <w:p w14:paraId="285AA664">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以分标（□成交金额/</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采购预算/□暂定成交金额/□其他 / ）为计费额，按代理服务收费标准（</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货物类/□服务类/□工程类）采用差额定率累进法计算出收费基准价格，采购代理收费以（</w:t>
      </w:r>
      <w:r>
        <w:rPr>
          <w:rFonts w:hint="eastAsia" w:ascii="宋体" w:hAnsi="宋体" w:eastAsia="宋体" w:cs="宋体"/>
          <w:color w:val="auto"/>
          <w:kern w:val="2"/>
          <w:sz w:val="21"/>
          <w:szCs w:val="21"/>
          <w:highlight w:val="none"/>
          <w:lang w:eastAsia="zh-CN"/>
        </w:rPr>
        <w:t>☑</w:t>
      </w:r>
      <w:r>
        <w:rPr>
          <w:rFonts w:hint="eastAsia" w:ascii="宋体" w:hAnsi="宋体" w:eastAsia="宋体" w:cs="宋体"/>
          <w:color w:val="auto"/>
          <w:kern w:val="2"/>
          <w:sz w:val="21"/>
          <w:szCs w:val="21"/>
          <w:highlight w:val="none"/>
        </w:rPr>
        <w:t>收费基准价格/□收费基准价格下浮 20 %/□收费基准价格上浮 / %）收取。</w:t>
      </w:r>
    </w:p>
    <w:p w14:paraId="15A47340">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□固定采购代理收费。</w:t>
      </w:r>
    </w:p>
    <w:p w14:paraId="3A153689">
      <w:pPr>
        <w:pStyle w:val="631"/>
        <w:pageBreakBefore w:val="0"/>
        <w:kinsoku/>
        <w:wordWrap/>
        <w:overflowPunct/>
        <w:topLinePunct w:val="0"/>
        <w:bidi w:val="0"/>
        <w:spacing w:line="360" w:lineRule="auto"/>
        <w:ind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1.3采购代理费收取银行账户</w:t>
      </w:r>
    </w:p>
    <w:p w14:paraId="0E92CC4C">
      <w:pPr>
        <w:pageBreakBefore w:val="0"/>
        <w:kinsoku/>
        <w:wordWrap/>
        <w:overflowPunct/>
        <w:topLinePunct w:val="0"/>
        <w:bidi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开户名称：广西北部湾宏亚建设管理有限公司北海分公司 </w:t>
      </w:r>
    </w:p>
    <w:p w14:paraId="2EF739A2">
      <w:pPr>
        <w:pageBreakBefore w:val="0"/>
        <w:kinsoku/>
        <w:wordWrap/>
        <w:overflowPunct/>
        <w:topLinePunct w:val="0"/>
        <w:bidi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开户银行：北海工行江苏路支行</w:t>
      </w:r>
    </w:p>
    <w:p w14:paraId="0316B1F5">
      <w:pPr>
        <w:pageBreakBefore w:val="0"/>
        <w:kinsoku/>
        <w:wordWrap/>
        <w:overflowPunct/>
        <w:topLinePunct w:val="0"/>
        <w:bidi w:val="0"/>
        <w:snapToGrid w:val="0"/>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银行账号：2107 5309 0930 0049 767</w:t>
      </w:r>
    </w:p>
    <w:p w14:paraId="1618C68E">
      <w:pPr>
        <w:pageBreakBefore w:val="0"/>
        <w:kinsoku/>
        <w:wordWrap/>
        <w:overflowPunct/>
        <w:topLinePunct w:val="0"/>
        <w:bidi w:val="0"/>
        <w:snapToGrid w:val="0"/>
        <w:spacing w:line="360" w:lineRule="auto"/>
        <w:ind w:firstLine="420" w:firstLineChars="200"/>
        <w:rPr>
          <w:rFonts w:cs="仿宋_GB2312" w:asciiTheme="minorEastAsia" w:hAnsiTheme="minorEastAsia" w:eastAsiaTheme="minorEastAsia"/>
          <w:b/>
          <w:color w:val="auto"/>
          <w:sz w:val="36"/>
          <w:szCs w:val="36"/>
          <w:highlight w:val="none"/>
        </w:rPr>
      </w:pPr>
      <w:r>
        <w:rPr>
          <w:rFonts w:hint="eastAsia" w:ascii="宋体" w:hAnsi="宋体" w:eastAsia="宋体" w:cs="宋体"/>
          <w:bCs/>
          <w:color w:val="auto"/>
          <w:sz w:val="21"/>
          <w:szCs w:val="21"/>
          <w:highlight w:val="none"/>
        </w:rPr>
        <w:t>1.4代理服务收费标准：</w:t>
      </w:r>
      <w:r>
        <w:rPr>
          <w:rFonts w:hint="eastAsia" w:ascii="宋体" w:hAnsi="宋体" w:eastAsia="宋体" w:cs="宋体"/>
          <w:bCs/>
          <w:color w:val="auto"/>
          <w:sz w:val="21"/>
          <w:szCs w:val="21"/>
          <w:highlight w:val="none"/>
          <w:lang w:val="en-US" w:eastAsia="zh-CN"/>
        </w:rPr>
        <w:t>根据</w:t>
      </w:r>
      <w:r>
        <w:rPr>
          <w:rFonts w:hint="eastAsia" w:ascii="宋体" w:hAnsi="宋体" w:eastAsia="宋体" w:cs="宋体"/>
          <w:bCs/>
          <w:color w:val="auto"/>
          <w:sz w:val="21"/>
          <w:szCs w:val="21"/>
          <w:highlight w:val="none"/>
        </w:rPr>
        <w:t>《关于进一步放开建设项目专业服务价格的通知》（发改价格〔2015〕299号）</w:t>
      </w:r>
      <w:r>
        <w:rPr>
          <w:rFonts w:hint="eastAsia" w:ascii="宋体" w:hAnsi="宋体" w:eastAsia="宋体" w:cs="宋体"/>
          <w:bCs/>
          <w:color w:val="auto"/>
          <w:sz w:val="21"/>
          <w:szCs w:val="21"/>
          <w:highlight w:val="none"/>
          <w:lang w:val="en-US" w:eastAsia="zh-CN"/>
        </w:rPr>
        <w:t>规定</w:t>
      </w:r>
      <w:r>
        <w:rPr>
          <w:rFonts w:hint="eastAsia" w:ascii="宋体" w:hAnsi="宋体" w:eastAsia="宋体" w:cs="宋体"/>
          <w:bCs/>
          <w:color w:val="auto"/>
          <w:sz w:val="21"/>
          <w:szCs w:val="21"/>
          <w:highlight w:val="none"/>
        </w:rPr>
        <w:t>，招标代理</w:t>
      </w:r>
      <w:r>
        <w:rPr>
          <w:rFonts w:hint="eastAsia" w:ascii="宋体" w:hAnsi="宋体" w:eastAsia="宋体" w:cs="宋体"/>
          <w:bCs/>
          <w:color w:val="auto"/>
          <w:sz w:val="21"/>
          <w:szCs w:val="21"/>
          <w:highlight w:val="none"/>
          <w:lang w:val="en-US" w:eastAsia="zh-CN"/>
        </w:rPr>
        <w:t>服务</w:t>
      </w:r>
      <w:r>
        <w:rPr>
          <w:rFonts w:hint="eastAsia" w:ascii="宋体" w:hAnsi="宋体" w:eastAsia="宋体" w:cs="宋体"/>
          <w:bCs/>
          <w:color w:val="auto"/>
          <w:sz w:val="21"/>
          <w:szCs w:val="21"/>
          <w:highlight w:val="none"/>
        </w:rPr>
        <w:t>费实行市场调节价，价格由双方协商确定。</w:t>
      </w:r>
      <w:r>
        <w:rPr>
          <w:rFonts w:cs="仿宋_GB2312" w:asciiTheme="minorEastAsia" w:hAnsiTheme="minorEastAsia" w:eastAsiaTheme="minorEastAsia"/>
          <w:b/>
          <w:color w:val="auto"/>
          <w:sz w:val="36"/>
          <w:szCs w:val="36"/>
          <w:highlight w:val="none"/>
        </w:rPr>
        <w:br w:type="page"/>
      </w:r>
    </w:p>
    <w:p w14:paraId="55471937">
      <w:pPr>
        <w:adjustRightInd/>
        <w:spacing w:line="360" w:lineRule="auto"/>
        <w:jc w:val="center"/>
        <w:outlineLvl w:val="0"/>
        <w:rPr>
          <w:rFonts w:cs="仿宋_GB2312" w:asciiTheme="minorEastAsia" w:hAnsiTheme="minorEastAsia" w:eastAsiaTheme="minorEastAsia"/>
          <w:b/>
          <w:color w:val="auto"/>
          <w:sz w:val="36"/>
          <w:szCs w:val="36"/>
          <w:highlight w:val="none"/>
        </w:rPr>
      </w:pPr>
      <w:bookmarkStart w:id="63" w:name="_Toc7817"/>
      <w:r>
        <w:rPr>
          <w:rFonts w:hint="eastAsia" w:cs="仿宋_GB2312" w:asciiTheme="minorEastAsia" w:hAnsiTheme="minorEastAsia" w:eastAsiaTheme="minorEastAsia"/>
          <w:b/>
          <w:color w:val="auto"/>
          <w:sz w:val="36"/>
          <w:szCs w:val="36"/>
          <w:highlight w:val="none"/>
        </w:rPr>
        <w:t>第四部分  采购需求</w:t>
      </w:r>
      <w:bookmarkEnd w:id="63"/>
    </w:p>
    <w:p w14:paraId="509A51CA">
      <w:pPr>
        <w:adjustRightInd/>
        <w:spacing w:line="360" w:lineRule="auto"/>
        <w:jc w:val="left"/>
        <w:rPr>
          <w:rFonts w:hint="eastAsia" w:asciiTheme="minorEastAsia" w:hAnsiTheme="minorEastAsia" w:eastAsiaTheme="minorEastAsia"/>
          <w:b/>
          <w:bCs/>
          <w:color w:val="auto"/>
          <w:sz w:val="24"/>
          <w:highlight w:val="none"/>
          <w:u w:val="none"/>
          <w:lang w:val="en-US" w:eastAsia="zh-CN"/>
        </w:rPr>
      </w:pPr>
      <w:r>
        <w:rPr>
          <w:rFonts w:hint="eastAsia" w:asciiTheme="minorEastAsia" w:hAnsiTheme="minorEastAsia" w:eastAsiaTheme="minorEastAsia"/>
          <w:b/>
          <w:bCs/>
          <w:color w:val="auto"/>
          <w:sz w:val="24"/>
          <w:highlight w:val="none"/>
          <w:u w:val="none"/>
          <w:lang w:val="en-US" w:eastAsia="zh-CN"/>
        </w:rPr>
        <w:t>说明：</w:t>
      </w:r>
    </w:p>
    <w:p w14:paraId="7EEEB69B">
      <w:pPr>
        <w:spacing w:line="360" w:lineRule="auto"/>
        <w:ind w:firstLine="420" w:firstLineChars="200"/>
        <w:jc w:val="left"/>
        <w:rPr>
          <w:rFonts w:hint="eastAsia"/>
          <w:color w:val="auto"/>
          <w:highlight w:val="none"/>
          <w:lang w:eastAsia="zh-CN"/>
        </w:rPr>
      </w:pPr>
      <w:r>
        <w:rPr>
          <w:rFonts w:hint="eastAsia"/>
          <w:color w:val="auto"/>
          <w:highlight w:val="none"/>
          <w:lang w:val="en-US" w:eastAsia="zh-CN"/>
        </w:rPr>
        <w:t>1、</w:t>
      </w:r>
      <w:r>
        <w:rPr>
          <w:rFonts w:hint="eastAsia"/>
          <w:color w:val="auto"/>
          <w:highlight w:val="none"/>
        </w:rPr>
        <w:t>落实政府采购政策</w:t>
      </w:r>
      <w:r>
        <w:rPr>
          <w:rFonts w:hint="eastAsia"/>
          <w:color w:val="auto"/>
          <w:highlight w:val="none"/>
          <w:lang w:eastAsia="zh-CN"/>
        </w:rPr>
        <w:t>：</w:t>
      </w:r>
    </w:p>
    <w:p w14:paraId="17B84267">
      <w:pPr>
        <w:spacing w:line="360" w:lineRule="auto"/>
        <w:ind w:firstLine="420" w:firstLineChars="200"/>
        <w:jc w:val="left"/>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1）支持采用本国产品：政府采购应当采购本国产品，确需采购进口产品的，实行审核管理。优先采购向我国企业转让技术、与我国企业签订消化吸收再创新方案的供应商的进口产品。</w:t>
      </w:r>
    </w:p>
    <w:p w14:paraId="62011B9A">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（2）支持绿色发展：落实强制采购节能产品、鼓励节能政策；鼓励环保政策；推广使用绿色包装；采购绿色建材等。</w:t>
      </w:r>
    </w:p>
    <w:p w14:paraId="74C3D0F3">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（3）支持中小企业发展：根据《政府采购促进中小企业发展管理办法》（财库〔2020〕46 号）的规定，对于未预留份额专门面向中小企业采购的政府采购项目，以及预留份额政府采购项目中的非预留部分标项，对小型和微型企业的投标报价给予20%的扣除，用扣除后的价格参与评审。</w:t>
      </w:r>
    </w:p>
    <w:p w14:paraId="18AA387B">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（4）支持监狱企业、残疾人福利性单位发展：监狱企业、残疾人福利性单位视同小型和微型企业。</w:t>
      </w:r>
    </w:p>
    <w:p w14:paraId="7BA4BE53">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（5）支持创新发展：优先采购被认定为首台套产品和“制造精品”的自主创新产品。</w:t>
      </w:r>
    </w:p>
    <w:p w14:paraId="3AFD8EE7">
      <w:pPr>
        <w:spacing w:line="360" w:lineRule="auto"/>
        <w:ind w:firstLine="420" w:firstLineChars="200"/>
        <w:jc w:val="left"/>
        <w:rPr>
          <w:rFonts w:hint="eastAsia"/>
          <w:color w:val="auto"/>
          <w:highlight w:val="none"/>
          <w:lang w:val="en-US" w:eastAsia="zh-CN"/>
        </w:rPr>
      </w:pPr>
      <w:r>
        <w:rPr>
          <w:rFonts w:hint="eastAsia"/>
          <w:color w:val="auto"/>
          <w:highlight w:val="none"/>
          <w:lang w:val="en-US" w:eastAsia="zh-CN"/>
        </w:rPr>
        <w:t>（6）平等对待内外资企业和符合条件的破产重整企业。</w:t>
      </w:r>
    </w:p>
    <w:p w14:paraId="39F9FA33">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“实质性要求”是指采购需求中带“▲”的条款或者不能负偏离的条款或者已经指明不满足按响应文件按无效处理的条款。</w:t>
      </w:r>
    </w:p>
    <w:p w14:paraId="7B5A7A92">
      <w:pPr>
        <w:spacing w:line="360" w:lineRule="auto"/>
        <w:ind w:firstLine="424" w:firstLineChars="202"/>
        <w:jc w:val="left"/>
        <w:rPr>
          <w:rFonts w:hint="eastAsia"/>
          <w:color w:val="auto"/>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供应商应根据自身实际情况如实响应谈判文件</w:t>
      </w:r>
      <w:r>
        <w:rPr>
          <w:rFonts w:hint="eastAsia" w:ascii="宋体" w:hAnsi="宋体"/>
          <w:color w:val="auto"/>
          <w:szCs w:val="21"/>
          <w:highlight w:val="none"/>
        </w:rPr>
        <w:t>，不得仅将</w:t>
      </w:r>
      <w:r>
        <w:rPr>
          <w:rFonts w:hint="eastAsia" w:ascii="宋体" w:hAnsi="宋体" w:cs="宋体"/>
          <w:color w:val="auto"/>
          <w:szCs w:val="21"/>
          <w:highlight w:val="none"/>
        </w:rPr>
        <w:t>谈判文件</w:t>
      </w:r>
      <w:r>
        <w:rPr>
          <w:rFonts w:hint="eastAsia" w:ascii="宋体" w:hAnsi="宋体"/>
          <w:color w:val="auto"/>
          <w:szCs w:val="21"/>
          <w:highlight w:val="none"/>
        </w:rPr>
        <w:t>内容简单复制粘贴作为竞标响应，还应当提供相关证明材料，否则将按无效响应处理（定制采购不适用本条款）。</w:t>
      </w:r>
      <w:r>
        <w:rPr>
          <w:rFonts w:hint="eastAsia"/>
          <w:color w:val="auto"/>
          <w:highlight w:val="none"/>
        </w:rPr>
        <w:t>对于重要技术条款或技术参数应当在响应文件中提供技术支持资料，技术支持资料</w:t>
      </w:r>
      <w:r>
        <w:rPr>
          <w:rFonts w:hint="eastAsia" w:ascii="宋体" w:hAnsi="宋体" w:cs="宋体"/>
          <w:color w:val="auto"/>
          <w:szCs w:val="21"/>
          <w:highlight w:val="none"/>
          <w:lang w:val="en-US" w:eastAsia="zh-CN"/>
        </w:rPr>
        <w:t>可以是第三方检测机构出具的检测报告或产品制造厂商公开发行的宣传彩页或官方网站发布的产品介绍等能够清晰反映产品性能技术参数的证明材料</w:t>
      </w:r>
      <w:r>
        <w:rPr>
          <w:rFonts w:hint="eastAsia"/>
          <w:color w:val="auto"/>
          <w:highlight w:val="none"/>
        </w:rPr>
        <w:t>。</w:t>
      </w:r>
    </w:p>
    <w:p w14:paraId="4AF8688A">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4、进口产品规定：本项目不接受进口产品。</w:t>
      </w:r>
    </w:p>
    <w:p w14:paraId="1ED94DAC">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5、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本国产品是指在中国境内生产，即在中华人民共和国关境内实现从原材料、组件到产品的属性改变。属性改变是指经过制造、加工或者组装等工序，产生完全不同于原材料、组件的新产品，并具有新的名称和特征(用途)。</w:t>
      </w:r>
    </w:p>
    <w:p w14:paraId="7ECA7EA5">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6、本章节中如提及品牌、型号，仅起参考作用。供应商可选用其他品牌型号替代，但这些替代的品牌型号要实质上相当于或优于参考品牌型号及其技术参数性能(配置)要求。</w:t>
      </w:r>
    </w:p>
    <w:p w14:paraId="04818FA6">
      <w:pPr>
        <w:spacing w:line="360" w:lineRule="auto"/>
        <w:ind w:firstLine="426" w:firstLineChars="202"/>
        <w:jc w:val="left"/>
        <w:rPr>
          <w:rFonts w:hint="default"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7、本项目属于货物类采购项目。本项目核心产品：专用比赛新型武术场地。采购标的对应的行业为：工业。</w:t>
      </w:r>
    </w:p>
    <w:p w14:paraId="72E79B4B">
      <w:pPr>
        <w:spacing w:line="360" w:lineRule="auto"/>
        <w:jc w:val="left"/>
        <w:rPr>
          <w:rFonts w:hint="eastAsia" w:ascii="宋体" w:hAnsi="宋体" w:cs="宋体"/>
          <w:b/>
          <w:bCs/>
          <w:color w:val="auto"/>
          <w:szCs w:val="21"/>
          <w:highlight w:val="none"/>
          <w:lang w:val="en-US" w:eastAsia="zh-CN"/>
        </w:rPr>
      </w:pPr>
      <w:r>
        <w:rPr>
          <w:rFonts w:hint="eastAsia" w:ascii="宋体" w:hAnsi="宋体" w:cs="宋体"/>
          <w:color w:val="auto"/>
          <w:szCs w:val="21"/>
          <w:highlight w:val="none"/>
          <w:lang w:val="en-US" w:eastAsia="zh-CN"/>
        </w:rPr>
        <w:t xml:space="preserve">    </w:t>
      </w:r>
      <w:r>
        <w:rPr>
          <w:rFonts w:hint="eastAsia" w:ascii="宋体" w:hAnsi="宋体" w:cs="宋体"/>
          <w:b/>
          <w:bCs/>
          <w:color w:val="auto"/>
          <w:szCs w:val="21"/>
          <w:highlight w:val="none"/>
          <w:lang w:val="en-US" w:eastAsia="zh-CN"/>
        </w:rPr>
        <w:t>8、本项目采购预算（最高限价）：人民币伍拾捌万叁仟捌佰肆拾伍元整（</w:t>
      </w:r>
      <w:r>
        <w:rPr>
          <w:rFonts w:hint="eastAsia" w:ascii="宋体" w:hAnsi="宋体" w:eastAsia="宋体" w:cs="宋体"/>
          <w:b/>
          <w:bCs/>
          <w:color w:val="auto"/>
          <w:szCs w:val="21"/>
          <w:highlight w:val="none"/>
          <w:lang w:val="en-US" w:eastAsia="zh-CN"/>
        </w:rPr>
        <w:t>￥</w:t>
      </w:r>
      <w:r>
        <w:rPr>
          <w:rFonts w:hint="eastAsia" w:ascii="宋体" w:hAnsi="宋体" w:cs="宋体"/>
          <w:b/>
          <w:bCs/>
          <w:color w:val="auto"/>
          <w:szCs w:val="21"/>
          <w:highlight w:val="none"/>
          <w:lang w:val="en-US" w:eastAsia="zh-CN"/>
        </w:rPr>
        <w:t>583845.00元）。超过采购预算（最高限价）的报价为无效报价。</w:t>
      </w:r>
    </w:p>
    <w:p w14:paraId="3532BCA6">
      <w:pPr>
        <w:keepNext w:val="0"/>
        <w:keepLines w:val="0"/>
        <w:pageBreakBefore w:val="0"/>
        <w:widowControl w:val="0"/>
        <w:kinsoku/>
        <w:wordWrap/>
        <w:overflowPunct/>
        <w:topLinePunct w:val="0"/>
        <w:autoSpaceDE/>
        <w:autoSpaceDN/>
        <w:bidi w:val="0"/>
        <w:adjustRightInd w:val="0"/>
        <w:snapToGrid/>
        <w:spacing w:line="360" w:lineRule="auto"/>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一、项目概况</w:t>
      </w:r>
    </w:p>
    <w:p w14:paraId="56CFA8F3">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color w:val="auto"/>
          <w:sz w:val="21"/>
          <w:szCs w:val="21"/>
          <w:highlight w:val="none"/>
          <w:lang w:val="en-US" w:eastAsia="zh-CN"/>
        </w:rPr>
        <w:t>本项目为广西壮族自治区第十六届运动会武术套路、武术散打、围棋三项赛事提供设施设备保障工作，</w:t>
      </w:r>
      <w:r>
        <w:rPr>
          <w:rFonts w:hint="eastAsia" w:ascii="宋体" w:hAnsi="宋体" w:eastAsia="宋体" w:cs="宋体"/>
          <w:color w:val="auto"/>
          <w:sz w:val="21"/>
          <w:szCs w:val="21"/>
          <w:highlight w:val="none"/>
        </w:rPr>
        <w:t>采购品类涵盖武术套路、武术散打、围棋</w:t>
      </w:r>
      <w:r>
        <w:rPr>
          <w:rFonts w:hint="eastAsia" w:ascii="宋体" w:hAnsi="宋体" w:cs="宋体"/>
          <w:color w:val="auto"/>
          <w:sz w:val="21"/>
          <w:szCs w:val="21"/>
          <w:highlight w:val="none"/>
          <w:lang w:val="en-US" w:eastAsia="zh-CN"/>
        </w:rPr>
        <w:t>三项</w:t>
      </w:r>
      <w:r>
        <w:rPr>
          <w:rFonts w:hint="eastAsia" w:ascii="宋体" w:hAnsi="宋体" w:eastAsia="宋体" w:cs="宋体"/>
          <w:color w:val="auto"/>
          <w:sz w:val="21"/>
          <w:szCs w:val="21"/>
          <w:highlight w:val="none"/>
        </w:rPr>
        <w:t>运动项目专业竞赛及训练器材，包含器材采购、运输、安装调试、检测、培训、售后质保等全部配套服务</w:t>
      </w:r>
      <w:r>
        <w:rPr>
          <w:rFonts w:hint="eastAsia" w:ascii="宋体" w:hAnsi="宋体" w:cs="宋体"/>
          <w:color w:val="auto"/>
          <w:sz w:val="21"/>
          <w:szCs w:val="21"/>
          <w:highlight w:val="none"/>
          <w:lang w:eastAsia="zh-CN"/>
        </w:rPr>
        <w:t>。</w:t>
      </w:r>
      <w:r>
        <w:rPr>
          <w:rFonts w:hint="eastAsia" w:ascii="宋体" w:hAnsi="宋体" w:cs="宋体"/>
          <w:b/>
          <w:bCs/>
          <w:color w:val="auto"/>
          <w:sz w:val="21"/>
          <w:szCs w:val="21"/>
          <w:highlight w:val="none"/>
          <w:lang w:val="en-US" w:eastAsia="zh-CN"/>
        </w:rPr>
        <w:t>各项赛事的日程安排如下：</w:t>
      </w:r>
    </w:p>
    <w:p w14:paraId="5B573206">
      <w:pPr>
        <w:keepNext w:val="0"/>
        <w:keepLines w:val="0"/>
        <w:pageBreakBefore w:val="0"/>
        <w:widowControl w:val="0"/>
        <w:numPr>
          <w:ilvl w:val="0"/>
          <w:numId w:val="7"/>
        </w:numPr>
        <w:kinsoku/>
        <w:wordWrap/>
        <w:overflowPunct/>
        <w:topLinePunct w:val="0"/>
        <w:autoSpaceDE/>
        <w:autoSpaceDN/>
        <w:bidi w:val="0"/>
        <w:adjustRightInd w:val="0"/>
        <w:snapToGrid/>
        <w:spacing w:line="360" w:lineRule="auto"/>
        <w:ind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武术套路项目：</w:t>
      </w:r>
    </w:p>
    <w:p w14:paraId="7C34445F">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2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报到时间：2026年11月30日</w:t>
      </w:r>
    </w:p>
    <w:p w14:paraId="4C94E02F">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2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竞赛日期：2026年12月3日-5日</w:t>
      </w:r>
    </w:p>
    <w:p w14:paraId="3EB81AD7">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20"/>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比赛场地：北海市文化宫</w:t>
      </w:r>
    </w:p>
    <w:p w14:paraId="0CCA0D06">
      <w:pPr>
        <w:keepNext w:val="0"/>
        <w:keepLines w:val="0"/>
        <w:pageBreakBefore w:val="0"/>
        <w:widowControl w:val="0"/>
        <w:numPr>
          <w:ilvl w:val="0"/>
          <w:numId w:val="7"/>
        </w:numPr>
        <w:kinsoku/>
        <w:wordWrap/>
        <w:overflowPunct/>
        <w:topLinePunct w:val="0"/>
        <w:autoSpaceDE/>
        <w:autoSpaceDN/>
        <w:bidi w:val="0"/>
        <w:adjustRightInd w:val="0"/>
        <w:snapToGrid/>
        <w:spacing w:line="360" w:lineRule="auto"/>
        <w:ind w:left="0" w:leftChars="0"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武术散打项目：</w:t>
      </w:r>
    </w:p>
    <w:p w14:paraId="312EEFD7">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报到时间：2026年9月17日</w:t>
      </w:r>
    </w:p>
    <w:p w14:paraId="14F62039">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竞赛日期：2026年9月20日-23日</w:t>
      </w:r>
    </w:p>
    <w:p w14:paraId="260FF2EB">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比赛场地：北海市文化宫</w:t>
      </w:r>
    </w:p>
    <w:p w14:paraId="2B444E8A">
      <w:pPr>
        <w:keepNext w:val="0"/>
        <w:keepLines w:val="0"/>
        <w:pageBreakBefore w:val="0"/>
        <w:widowControl w:val="0"/>
        <w:numPr>
          <w:ilvl w:val="0"/>
          <w:numId w:val="7"/>
        </w:numPr>
        <w:kinsoku/>
        <w:wordWrap/>
        <w:overflowPunct/>
        <w:topLinePunct w:val="0"/>
        <w:autoSpaceDE/>
        <w:autoSpaceDN/>
        <w:bidi w:val="0"/>
        <w:adjustRightInd w:val="0"/>
        <w:snapToGrid/>
        <w:spacing w:line="360" w:lineRule="auto"/>
        <w:ind w:left="0" w:leftChars="0"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围棋项目：</w:t>
      </w:r>
    </w:p>
    <w:p w14:paraId="5F10EAA1">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报到时间：2026年9月12日</w:t>
      </w:r>
    </w:p>
    <w:p w14:paraId="70BF0B43">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竞赛日期：2026年9月15日-17日</w:t>
      </w:r>
    </w:p>
    <w:p w14:paraId="627032CB">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比赛场地：涠洲岛悦苑酒店</w:t>
      </w:r>
    </w:p>
    <w:p w14:paraId="5C488C14">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bidi="ar-SA"/>
        </w:rPr>
        <w:t>二、</w:t>
      </w:r>
      <w:r>
        <w:rPr>
          <w:rFonts w:hint="eastAsia" w:ascii="宋体" w:hAnsi="宋体" w:eastAsia="宋体" w:cs="宋体"/>
          <w:b/>
          <w:bCs/>
          <w:color w:val="auto"/>
          <w:sz w:val="21"/>
          <w:szCs w:val="21"/>
          <w:highlight w:val="none"/>
          <w:lang w:val="en-US" w:eastAsia="zh-CN"/>
        </w:rPr>
        <w:t>采购清单、</w:t>
      </w:r>
      <w:r>
        <w:rPr>
          <w:rFonts w:hint="eastAsia" w:ascii="宋体" w:hAnsi="宋体" w:cs="宋体"/>
          <w:b/>
          <w:bCs/>
          <w:color w:val="auto"/>
          <w:sz w:val="21"/>
          <w:szCs w:val="21"/>
          <w:highlight w:val="none"/>
          <w:lang w:val="en-US" w:eastAsia="zh-CN"/>
        </w:rPr>
        <w:t>产品性能技术要求</w:t>
      </w:r>
    </w:p>
    <w:tbl>
      <w:tblPr>
        <w:tblStyle w:val="61"/>
        <w:tblW w:w="95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175"/>
        <w:gridCol w:w="838"/>
        <w:gridCol w:w="823"/>
        <w:gridCol w:w="5191"/>
        <w:gridCol w:w="1084"/>
      </w:tblGrid>
      <w:tr w14:paraId="6A1C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38" w:type="dxa"/>
            <w:gridSpan w:val="6"/>
            <w:vAlign w:val="center"/>
          </w:tcPr>
          <w:p w14:paraId="672E2D4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（一）武术套路项目</w:t>
            </w:r>
          </w:p>
        </w:tc>
      </w:tr>
      <w:tr w14:paraId="491E6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2DE965D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序号</w:t>
            </w:r>
          </w:p>
        </w:tc>
        <w:tc>
          <w:tcPr>
            <w:tcW w:w="1175" w:type="dxa"/>
            <w:vAlign w:val="center"/>
          </w:tcPr>
          <w:p w14:paraId="6997C9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货物名称</w:t>
            </w:r>
          </w:p>
        </w:tc>
        <w:tc>
          <w:tcPr>
            <w:tcW w:w="838" w:type="dxa"/>
            <w:vAlign w:val="center"/>
          </w:tcPr>
          <w:p w14:paraId="4289DE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数量</w:t>
            </w:r>
          </w:p>
        </w:tc>
        <w:tc>
          <w:tcPr>
            <w:tcW w:w="823" w:type="dxa"/>
            <w:vAlign w:val="center"/>
          </w:tcPr>
          <w:p w14:paraId="2F9F2FD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单位</w:t>
            </w:r>
          </w:p>
        </w:tc>
        <w:tc>
          <w:tcPr>
            <w:tcW w:w="5191" w:type="dxa"/>
            <w:vAlign w:val="center"/>
          </w:tcPr>
          <w:p w14:paraId="1CCF4D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cs="宋体"/>
                <w:b/>
                <w:bCs/>
                <w:color w:val="auto"/>
                <w:sz w:val="21"/>
                <w:szCs w:val="21"/>
                <w:highlight w:val="none"/>
                <w:lang w:val="en-US" w:eastAsia="zh-CN"/>
              </w:rPr>
              <w:t>产品性能技术要求</w:t>
            </w:r>
          </w:p>
        </w:tc>
        <w:tc>
          <w:tcPr>
            <w:tcW w:w="1084" w:type="dxa"/>
            <w:vAlign w:val="center"/>
          </w:tcPr>
          <w:p w14:paraId="6C76EA3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1"/>
                <w:szCs w:val="21"/>
                <w:highlight w:val="none"/>
                <w:u w:val="none"/>
                <w:vertAlign w:val="baseline"/>
                <w:lang w:val="en-US" w:eastAsia="zh-CN"/>
              </w:rPr>
            </w:pPr>
            <w:r>
              <w:rPr>
                <w:rFonts w:hint="eastAsia" w:ascii="宋体" w:hAnsi="宋体" w:cs="宋体"/>
                <w:b/>
                <w:bCs/>
                <w:color w:val="auto"/>
                <w:sz w:val="21"/>
                <w:szCs w:val="21"/>
                <w:highlight w:val="none"/>
                <w:u w:val="none"/>
                <w:vertAlign w:val="baseline"/>
                <w:lang w:val="en-US" w:eastAsia="zh-CN"/>
              </w:rPr>
              <w:t>备注</w:t>
            </w:r>
          </w:p>
        </w:tc>
      </w:tr>
      <w:tr w14:paraId="705F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54264F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w:t>
            </w:r>
          </w:p>
        </w:tc>
        <w:tc>
          <w:tcPr>
            <w:tcW w:w="1175" w:type="dxa"/>
            <w:vAlign w:val="center"/>
          </w:tcPr>
          <w:p w14:paraId="0B04BA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专用比赛新型武术场地</w:t>
            </w:r>
          </w:p>
        </w:tc>
        <w:tc>
          <w:tcPr>
            <w:tcW w:w="838" w:type="dxa"/>
            <w:vAlign w:val="center"/>
          </w:tcPr>
          <w:p w14:paraId="42E2A4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w:t>
            </w:r>
          </w:p>
        </w:tc>
        <w:tc>
          <w:tcPr>
            <w:tcW w:w="823" w:type="dxa"/>
            <w:vAlign w:val="center"/>
          </w:tcPr>
          <w:p w14:paraId="200001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个</w:t>
            </w:r>
          </w:p>
        </w:tc>
        <w:tc>
          <w:tcPr>
            <w:tcW w:w="5191" w:type="dxa"/>
          </w:tcPr>
          <w:p w14:paraId="2403279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一、产品规格：整体规格：12000mm×18000mm×90mm（蓝色）。</w:t>
            </w:r>
          </w:p>
          <w:p w14:paraId="2551765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二、产品组成：由四层结构组成，从上到下依次为：第一层毯面、第二层柔性层地垫、第三层连接层毯架、第四层弹性层泡沫垫脚。</w:t>
            </w:r>
          </w:p>
          <w:p w14:paraId="23C36C2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三、竞赛场地要求：场地尺寸、比赛区、安全区、边线设置执行中国武术协会现行《武术套路竞赛规则》</w:t>
            </w:r>
          </w:p>
          <w:p w14:paraId="627A609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1.个人项目（包括对练）比赛区域为长14m、宽8m的长方形区域，四周标明5cm宽白色边线；比赛区域周围至少有2m宽的安全区；</w:t>
            </w:r>
          </w:p>
          <w:p w14:paraId="098FBE1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2.比赛场地上方无障碍空间高度不低于8m；相邻两个比赛场地之间的距离不小于6m；</w:t>
            </w:r>
          </w:p>
          <w:p w14:paraId="28A1DD2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3.比赛场地可高出地面0.6～1m；场地内灯光照度应符合高清电视转播要求，通常不低于1000勒克斯。</w:t>
            </w:r>
          </w:p>
          <w:p w14:paraId="66064C6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四、材质工艺与性能特点：</w:t>
            </w:r>
          </w:p>
          <w:p w14:paraId="69E6C9A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 xml:space="preserve">（一）主要材质：XPE、多层板、地毯； </w:t>
            </w:r>
          </w:p>
          <w:p w14:paraId="06F8849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（二）地毯材质性能：</w:t>
            </w:r>
          </w:p>
          <w:p w14:paraId="1BEFA11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1.100%尼龙，绒高8±1mm，经防滑静电处理；</w:t>
            </w:r>
          </w:p>
          <w:p w14:paraId="04298D5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2.面密度≥1800g/㎡；隔距≤1/8英寸；</w:t>
            </w:r>
          </w:p>
          <w:p w14:paraId="558C331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3.摩擦系数/抗滑阻力60N±5N；背衬剥离强力≥20N；</w:t>
            </w:r>
          </w:p>
          <w:p w14:paraId="0B97832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4.簇绒拔出力：割绒≥10N、圈绒≥20N；</w:t>
            </w:r>
          </w:p>
          <w:p w14:paraId="79EE562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5.耐摩擦色牢度≥4级；撕裂强度≥100N。                                                                                                                          （三）地垫反弹高度：1KG重锤0.5米自由下落反弹高度小于30cm；</w:t>
            </w:r>
          </w:p>
          <w:p w14:paraId="0567967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（四）毯架可承受静压力大于或等于300kg；</w:t>
            </w:r>
          </w:p>
          <w:p w14:paraId="33CADD1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（五）场地在直径0.36m范围内能承受1900N静压力，构件无损坏、折断现象；</w:t>
            </w:r>
          </w:p>
          <w:p w14:paraId="67F2364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（六）场地在单元对接台面上任意位置1m长度范围内，平面度≤5mm。                                                                                                五、环保性能：1. 上层簇绒地毯物理性能执行 GB/T 11746‑2008标准；地毯及衬垫有害物质释放执行强制国标GB 18587‑2001标准；</w:t>
            </w:r>
          </w:p>
          <w:p w14:paraId="3294EB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color w:val="auto"/>
                <w:kern w:val="2"/>
                <w:sz w:val="21"/>
                <w:szCs w:val="21"/>
                <w:highlight w:val="none"/>
                <w:vertAlign w:val="baseline"/>
                <w:lang w:val="en-US" w:eastAsia="zh-CN" w:bidi="ar-SA"/>
              </w:rPr>
              <w:t>2. XPE 缓冲垫层运动性能检测方法参照 GB/T 14833‑2020；整套材料可迁移重金属执行 GB/T 30419‑2013标准；橡塑增塑剂按 GB/T 36793‑2018 方法检测；3. 毯面纤维成分执行 GB/T 29862‑2013标准；色牢度检测按 GB/T 3920‑2008标准。</w:t>
            </w:r>
          </w:p>
          <w:p w14:paraId="2910B0A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kern w:val="2"/>
                <w:sz w:val="21"/>
                <w:szCs w:val="21"/>
                <w:highlight w:val="none"/>
                <w:vertAlign w:val="baseline"/>
                <w:lang w:val="en-US" w:eastAsia="zh-CN" w:bidi="ar-SA"/>
              </w:rPr>
              <w:t>六、本项为本次采购核心产品，须在响应文件递交截止时间之前提供地毯小样（规格20cm×20cm）一式两份，小样须满足地毯上述性能技术参数要求；随样品提供由第三方检测机构出具的检测报告，检测内容载明产品性能技术指标均满足上述要求并加盖供应商公章；交货时提供完整的检测报告，原件备查。</w:t>
            </w:r>
          </w:p>
        </w:tc>
        <w:tc>
          <w:tcPr>
            <w:tcW w:w="1084" w:type="dxa"/>
            <w:vAlign w:val="center"/>
          </w:tcPr>
          <w:p w14:paraId="4AEF7D1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b/>
                <w:bCs/>
                <w:color w:val="auto"/>
                <w:sz w:val="21"/>
                <w:szCs w:val="21"/>
                <w:highlight w:val="none"/>
                <w:u w:val="none"/>
                <w:vertAlign w:val="baseline"/>
                <w:lang w:val="en-US" w:eastAsia="zh-CN"/>
              </w:rPr>
              <w:t>核心产品</w:t>
            </w:r>
          </w:p>
        </w:tc>
      </w:tr>
      <w:tr w14:paraId="2C50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8" w:type="dxa"/>
            <w:gridSpan w:val="6"/>
            <w:vAlign w:val="center"/>
          </w:tcPr>
          <w:p w14:paraId="29C32D9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（二）武术散打项目</w:t>
            </w:r>
          </w:p>
        </w:tc>
      </w:tr>
      <w:tr w14:paraId="13EA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5D3F76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1</w:t>
            </w:r>
          </w:p>
        </w:tc>
        <w:tc>
          <w:tcPr>
            <w:tcW w:w="1175" w:type="dxa"/>
            <w:vAlign w:val="center"/>
          </w:tcPr>
          <w:p w14:paraId="02B6F5D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新型散打台</w:t>
            </w:r>
          </w:p>
        </w:tc>
        <w:tc>
          <w:tcPr>
            <w:tcW w:w="838" w:type="dxa"/>
            <w:vAlign w:val="center"/>
          </w:tcPr>
          <w:p w14:paraId="40ACC0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default" w:ascii="宋体" w:hAnsi="宋体" w:eastAsia="宋体" w:cs="宋体"/>
                <w:color w:val="auto"/>
                <w:sz w:val="21"/>
                <w:szCs w:val="21"/>
                <w:highlight w:val="none"/>
                <w:u w:val="none"/>
                <w:vertAlign w:val="baseline"/>
                <w:lang w:val="en-US" w:eastAsia="zh-CN"/>
              </w:rPr>
              <w:t>1</w:t>
            </w:r>
          </w:p>
        </w:tc>
        <w:tc>
          <w:tcPr>
            <w:tcW w:w="823" w:type="dxa"/>
            <w:vAlign w:val="center"/>
          </w:tcPr>
          <w:p w14:paraId="274C6AE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张</w:t>
            </w:r>
          </w:p>
        </w:tc>
        <w:tc>
          <w:tcPr>
            <w:tcW w:w="5191" w:type="dxa"/>
            <w:vAlign w:val="center"/>
          </w:tcPr>
          <w:p w14:paraId="18FB742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一、产品组成：由擂台架、擂台垫、盖单、围裙、保护垫组成。</w:t>
            </w:r>
          </w:p>
          <w:p w14:paraId="56F0AC3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二、规格尺寸：擂台长8000mm±100mm、宽8000mm±100mm、高800mm±30mm；台面上铺软垫，软垫上铺盖单，台中心画有直径120cm的国际武术联合会会徽；台面边缘有5cm宽红色边线，台面四边向内90cm处画有10cm宽黄色警戒线；台下四周铺有高30cm、宽200cm的保护软垫，软垫颜色为蓝色。</w:t>
            </w:r>
          </w:p>
          <w:p w14:paraId="2DF7397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三、材质：</w:t>
            </w:r>
          </w:p>
          <w:p w14:paraId="00C1805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（一）框架：擂台框架钢管焊接，部件之间接触面以消音垫片隔离，标准扣件组装，支柱间隔不超过1.3m；横梁、立柱采用≥120×80×3mm高强度钢矩管。</w:t>
            </w:r>
          </w:p>
          <w:p w14:paraId="406B7AB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（二）板面：厚度≥25mm多层木板；擂台木板单位面积负载≥500kg，负载残余变形量不大于1mm；拼接处高低差≤3mm，拼接处缝隙≤5mm；钢结构焊件抗拉强度≥300MPa。</w:t>
            </w:r>
          </w:p>
          <w:p w14:paraId="35A44AA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（三）盖单：厚度≥1.5mm PU，面密度≥540g/m²，拉伸负荷径向≥500N、纬向≥400N，断裂伸长率径向≥60%、纬向≥100%，撕裂负荷径向≥90N、纬向≥90N；太空革盖单耐磨≥1000g、≥300次无明显磨损，抗拉强度≥10N/mm²。</w:t>
            </w:r>
          </w:p>
          <w:p w14:paraId="3F80E65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（四）台裙/围子：≥0.55mm PVC机织布。</w:t>
            </w:r>
          </w:p>
          <w:p w14:paraId="78C85CF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（五）擂台垫：EVA泡沫双面复合拉绒地毯，正反面切割折叠；擂台垫硬度≥18度，反弹高度≥1kg重锤、0.5m自由下落＜10cm。</w:t>
            </w:r>
          </w:p>
          <w:p w14:paraId="6D4D6B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六）柔性层：ρ33XPE，密度≥31kg/m³，横向拉伸强度≥0.2MPa、纵向拉伸强度≥0.24MPa，横向断裂伸长率≥100%、纵向断裂伸长率≥80%，横向直角撕裂强度≥1.86N/mm、纵向直角撕裂强度≥1.57N/mm，压缩应力应变≥0.10MPa。</w:t>
            </w:r>
          </w:p>
          <w:p w14:paraId="4716377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（七）保护垫：垫套牛津布面料车缝，高效吸能海绵内胆。</w:t>
            </w:r>
          </w:p>
          <w:p w14:paraId="47247D0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四、须提供由第三方检测机构出具的检测报告，检测内容载明产品性能技术指标均满足上述要求并加盖供应商公章；交货时提供完整的检测报告，原件备查。</w:t>
            </w:r>
          </w:p>
        </w:tc>
        <w:tc>
          <w:tcPr>
            <w:tcW w:w="1084" w:type="dxa"/>
            <w:vAlign w:val="center"/>
          </w:tcPr>
          <w:p w14:paraId="1F3D565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p>
        </w:tc>
      </w:tr>
      <w:tr w14:paraId="61BA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778626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w:t>
            </w:r>
          </w:p>
        </w:tc>
        <w:tc>
          <w:tcPr>
            <w:tcW w:w="1175" w:type="dxa"/>
            <w:vAlign w:val="center"/>
          </w:tcPr>
          <w:p w14:paraId="5C1A90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新型散打垫</w:t>
            </w:r>
          </w:p>
        </w:tc>
        <w:tc>
          <w:tcPr>
            <w:tcW w:w="838" w:type="dxa"/>
            <w:vAlign w:val="center"/>
          </w:tcPr>
          <w:p w14:paraId="1863FB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w:t>
            </w:r>
          </w:p>
        </w:tc>
        <w:tc>
          <w:tcPr>
            <w:tcW w:w="823" w:type="dxa"/>
            <w:vAlign w:val="center"/>
          </w:tcPr>
          <w:p w14:paraId="03BF3F5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张</w:t>
            </w:r>
          </w:p>
        </w:tc>
        <w:tc>
          <w:tcPr>
            <w:tcW w:w="5191" w:type="dxa"/>
            <w:vAlign w:val="center"/>
          </w:tcPr>
          <w:p w14:paraId="2B38E70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一、产品组成：由盖单、垫子组成。</w:t>
            </w:r>
          </w:p>
          <w:p w14:paraId="1955ED5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二、规格尺寸：8000mm×8000mm×60mm，颜色：蓝色，用于散打训练或比赛。</w:t>
            </w:r>
          </w:p>
          <w:p w14:paraId="1217C30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三、材质：</w:t>
            </w:r>
          </w:p>
          <w:p w14:paraId="3E9D5A4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1.盖单：主要材质PU、PVC经编布；</w:t>
            </w:r>
          </w:p>
          <w:p w14:paraId="5EB3FBA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2.地垫：XPE，缓冲减震。</w:t>
            </w:r>
          </w:p>
          <w:p w14:paraId="67430A2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四、技术参数：</w:t>
            </w:r>
          </w:p>
          <w:p w14:paraId="7D9748B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1.盖单：撕裂强度≥75N；抗拉强度≥10N/mm²；耐磨≥1000g、≥300次无明显破损；12h耐水解不脱层；干/湿摩擦色牢度≥4级；</w:t>
            </w:r>
          </w:p>
          <w:p w14:paraId="130BA6A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2.地垫硬度：≥18度，表层硬度≥30度；</w:t>
            </w:r>
          </w:p>
          <w:p w14:paraId="3E958E7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3.地垫反弹高度：≥1kg重锤、0.5m自由下落，反弹高度＜10cm。</w:t>
            </w:r>
          </w:p>
        </w:tc>
        <w:tc>
          <w:tcPr>
            <w:tcW w:w="1084" w:type="dxa"/>
            <w:vAlign w:val="center"/>
          </w:tcPr>
          <w:p w14:paraId="6F9A96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66D89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774A276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w:t>
            </w:r>
          </w:p>
        </w:tc>
        <w:tc>
          <w:tcPr>
            <w:tcW w:w="1175" w:type="dxa"/>
            <w:vAlign w:val="center"/>
          </w:tcPr>
          <w:p w14:paraId="1760871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男子新型散打护具（红色、蓝色）</w:t>
            </w:r>
          </w:p>
        </w:tc>
        <w:tc>
          <w:tcPr>
            <w:tcW w:w="838" w:type="dxa"/>
            <w:vAlign w:val="center"/>
          </w:tcPr>
          <w:p w14:paraId="2927A84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32</w:t>
            </w:r>
          </w:p>
        </w:tc>
        <w:tc>
          <w:tcPr>
            <w:tcW w:w="823" w:type="dxa"/>
            <w:vAlign w:val="center"/>
          </w:tcPr>
          <w:p w14:paraId="3422C4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套</w:t>
            </w:r>
          </w:p>
        </w:tc>
        <w:tc>
          <w:tcPr>
            <w:tcW w:w="5191" w:type="dxa"/>
            <w:vAlign w:val="center"/>
          </w:tcPr>
          <w:p w14:paraId="60C80FE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一、产品组成：由头盔、护胸、拳套（散打手套）、护裆、护脚背（护腿连护脚背）、器材包（桶包）组成。</w:t>
            </w:r>
          </w:p>
          <w:p w14:paraId="61642B9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二、各部件材质与性能要求：</w:t>
            </w:r>
          </w:p>
          <w:p w14:paraId="5D33445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（一）头盔：超纤面料，针织布内里，可调节双粘扣，不易滑脱；多层海绵复合成型内胆，高效吸能，减少头部、耳部、后脑受冲击伤害。</w:t>
            </w:r>
          </w:p>
          <w:p w14:paraId="30CF04C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（二）护胸：超纤面料、抗菌透气革内里，可调节双扣带设计，多层不同泡沫压型内胆，高效吸能、缓冲减震；至少配备5种规格，以适应不同体形运动员需求。</w:t>
            </w:r>
          </w:p>
          <w:p w14:paraId="0EEF0C8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（三）拳套（散打手套）：超纤面料，多层密度仿乳胶发泡成型内胆，高效吸能；规格尺寸12oz。</w:t>
            </w:r>
          </w:p>
          <w:p w14:paraId="762A890C">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四）护裆：网布面料，透气性好；腰部松紧带，扣带可调节，穿戴方便舒适、稳定牢靠；ABS成型外包环保TPR内胆（硬塑内胆、高弹发泡制成），缓冲减震、抗冲击强；主要材质高质PU、网纹布；至少配备4种规格，以适应不同体形运动员需求。</w:t>
            </w:r>
          </w:p>
          <w:p w14:paraId="11ED460A">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（五）护脚背（护腿连护脚背）：潜水布面料，仿乳胶发泡成型内胆（高弹发泡制），高效吸能，防止脚背受伤；主要材质高质PU；至少配备5种规格，以适应不同体形运动员需求。</w:t>
            </w:r>
          </w:p>
          <w:p w14:paraId="271FE48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（六）器材包：高密度牛津布面料，双肩背带式，携带方便；可容纳多种护具、训练用品，抽绳式设计。</w:t>
            </w:r>
          </w:p>
          <w:p w14:paraId="6C60D94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三、各部件均须符合《武术散打规则和裁判法（2024）》关于服装护具的要求。</w:t>
            </w:r>
          </w:p>
          <w:p w14:paraId="4CBD8E3E">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kern w:val="2"/>
                <w:sz w:val="21"/>
                <w:szCs w:val="21"/>
                <w:highlight w:val="none"/>
                <w:vertAlign w:val="baseline"/>
                <w:lang w:val="en-US" w:eastAsia="zh-CN" w:bidi="ar-SA"/>
              </w:rPr>
              <w:t>四、数量与规格要求：S×8套（红色、蓝色各4套）、M×8套（红色、蓝色各4套）、L×8套（红色、蓝色各4套）、XL×8套（红色、蓝色各4套）。</w:t>
            </w:r>
          </w:p>
        </w:tc>
        <w:tc>
          <w:tcPr>
            <w:tcW w:w="1084" w:type="dxa"/>
            <w:vAlign w:val="center"/>
          </w:tcPr>
          <w:p w14:paraId="4BA3E3C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default"/>
                <w:color w:val="auto"/>
                <w:highlight w:val="none"/>
                <w:lang w:val="en-US" w:eastAsia="zh-CN"/>
              </w:rPr>
            </w:pPr>
          </w:p>
        </w:tc>
      </w:tr>
      <w:tr w14:paraId="477A3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0E7CF2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4</w:t>
            </w:r>
          </w:p>
        </w:tc>
        <w:tc>
          <w:tcPr>
            <w:tcW w:w="1175" w:type="dxa"/>
            <w:vAlign w:val="center"/>
          </w:tcPr>
          <w:p w14:paraId="31022F6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女子新型散打护具（红色、蓝色）</w:t>
            </w:r>
          </w:p>
        </w:tc>
        <w:tc>
          <w:tcPr>
            <w:tcW w:w="838" w:type="dxa"/>
            <w:vAlign w:val="center"/>
          </w:tcPr>
          <w:p w14:paraId="5CFE1A1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32</w:t>
            </w:r>
          </w:p>
        </w:tc>
        <w:tc>
          <w:tcPr>
            <w:tcW w:w="823" w:type="dxa"/>
            <w:vAlign w:val="center"/>
          </w:tcPr>
          <w:p w14:paraId="71C572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套</w:t>
            </w:r>
          </w:p>
        </w:tc>
        <w:tc>
          <w:tcPr>
            <w:tcW w:w="5191" w:type="dxa"/>
            <w:vAlign w:val="center"/>
          </w:tcPr>
          <w:p w14:paraId="1D6D70D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一、产品组成：由头盔、护胸、拳套（散打手套）、护阴（女子护裆）、护脚背（护腿连护脚背）、器材包（桶包）组成。</w:t>
            </w:r>
          </w:p>
          <w:p w14:paraId="345597B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二、各部件材质与性能要求：</w:t>
            </w:r>
          </w:p>
          <w:p w14:paraId="22D24C2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（一）头盔：超纤面料，针织布内里，可调节双粘扣，不易滑脱；多层海绵复合成型内胆，高效吸能，减少头部、耳部、后脑受冲击伤害。</w:t>
            </w:r>
          </w:p>
          <w:p w14:paraId="5E848C4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（二）护胸：超纤面料、抗菌透气革内里，可调节双扣带设计，多层不同泡沫压型内胆，高效吸能、缓冲减震；至少配备5种规格，以适应不同体形运动员需求。</w:t>
            </w:r>
          </w:p>
          <w:p w14:paraId="77E9D1B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（三）拳套（散打手套）：超纤面料，多层密度仿乳胶发泡成型内胆，高效吸能；规格尺寸12oz。</w:t>
            </w:r>
          </w:p>
          <w:p w14:paraId="5E788A7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四）护阴：皮革、潜水布面料车缝，透气性好，穿戴方便舒适、稳定牢靠，扣带可调节；泡沫压型保护垫内胆，吸能减震，透气可清洗；主要材质高质PU、网纹布；至少配备4种规格，以适应不同体形运动员需求。</w:t>
            </w:r>
          </w:p>
          <w:p w14:paraId="41CFEB5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（五）护脚背（护腿连护脚背）：潜水布面料，仿乳胶发泡成型内胆（高弹发泡制），高效吸能，防止脚背受伤；主要材质高质PU；至少配备5种规格，以适应不同体形运动员需求。</w:t>
            </w:r>
          </w:p>
          <w:p w14:paraId="7FF4670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（六）器材包：高密度牛津布面料，双肩背带式，携带方便；可容纳多种护具、训练用品，抽绳式设计。</w:t>
            </w:r>
          </w:p>
          <w:p w14:paraId="4DF8CD4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kern w:val="2"/>
                <w:sz w:val="21"/>
                <w:szCs w:val="21"/>
                <w:highlight w:val="none"/>
                <w:vertAlign w:val="baseline"/>
                <w:lang w:val="en-US" w:eastAsia="zh-CN" w:bidi="ar-SA"/>
              </w:rPr>
              <w:t>三、各部件均须符合《武术散打规则和裁判法（2024）》关于服装护具的要求。</w:t>
            </w:r>
          </w:p>
          <w:p w14:paraId="539AC3B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kern w:val="2"/>
                <w:sz w:val="21"/>
                <w:szCs w:val="21"/>
                <w:highlight w:val="none"/>
                <w:vertAlign w:val="baseline"/>
                <w:lang w:val="en-US" w:eastAsia="zh-CN" w:bidi="ar-SA"/>
              </w:rPr>
              <w:t>四、数量与规格要求：S×8套（红色、蓝色各4套）、M×8套（红色、蓝色各4套）、L×8套（红色、蓝色各4套）、XL×8套（红色、蓝色各4套）。</w:t>
            </w:r>
          </w:p>
        </w:tc>
        <w:tc>
          <w:tcPr>
            <w:tcW w:w="1084" w:type="dxa"/>
            <w:vAlign w:val="center"/>
          </w:tcPr>
          <w:p w14:paraId="7CB9E1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r w14:paraId="784C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8" w:type="dxa"/>
            <w:gridSpan w:val="6"/>
            <w:vAlign w:val="center"/>
          </w:tcPr>
          <w:p w14:paraId="52D236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u w:val="none"/>
                <w:vertAlign w:val="baseline"/>
                <w:lang w:val="en-US" w:eastAsia="zh-CN"/>
              </w:rPr>
            </w:pPr>
            <w:r>
              <w:rPr>
                <w:rFonts w:hint="eastAsia" w:ascii="宋体" w:hAnsi="宋体" w:eastAsia="宋体" w:cs="宋体"/>
                <w:b/>
                <w:bCs/>
                <w:color w:val="auto"/>
                <w:sz w:val="21"/>
                <w:szCs w:val="21"/>
                <w:highlight w:val="none"/>
                <w:u w:val="none"/>
                <w:vertAlign w:val="baseline"/>
                <w:lang w:val="en-US" w:eastAsia="zh-CN"/>
              </w:rPr>
              <w:t>（三）（群众比赛）围棋项目</w:t>
            </w:r>
          </w:p>
        </w:tc>
      </w:tr>
      <w:tr w14:paraId="304FA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 w:type="dxa"/>
            <w:vAlign w:val="center"/>
          </w:tcPr>
          <w:p w14:paraId="094E88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1</w:t>
            </w:r>
          </w:p>
        </w:tc>
        <w:tc>
          <w:tcPr>
            <w:tcW w:w="1175" w:type="dxa"/>
            <w:vAlign w:val="center"/>
          </w:tcPr>
          <w:p w14:paraId="25E933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棋钟</w:t>
            </w:r>
          </w:p>
        </w:tc>
        <w:tc>
          <w:tcPr>
            <w:tcW w:w="838" w:type="dxa"/>
            <w:vAlign w:val="center"/>
          </w:tcPr>
          <w:p w14:paraId="04E60E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eastAsia="宋体" w:cs="宋体"/>
                <w:color w:val="auto"/>
                <w:sz w:val="21"/>
                <w:szCs w:val="21"/>
                <w:highlight w:val="none"/>
                <w:u w:val="none"/>
                <w:vertAlign w:val="baseline"/>
                <w:lang w:val="en-US" w:eastAsia="zh-CN"/>
              </w:rPr>
              <w:t>20</w:t>
            </w:r>
          </w:p>
        </w:tc>
        <w:tc>
          <w:tcPr>
            <w:tcW w:w="823" w:type="dxa"/>
            <w:vAlign w:val="center"/>
          </w:tcPr>
          <w:p w14:paraId="7CFADC0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个</w:t>
            </w:r>
          </w:p>
        </w:tc>
        <w:tc>
          <w:tcPr>
            <w:tcW w:w="5191" w:type="dxa"/>
            <w:vAlign w:val="center"/>
          </w:tcPr>
          <w:p w14:paraId="06E8471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一、</w:t>
            </w:r>
            <w:r>
              <w:rPr>
                <w:rFonts w:ascii="宋体" w:hAnsi="宋体" w:eastAsia="宋体" w:cs="宋体"/>
                <w:color w:val="auto"/>
                <w:sz w:val="21"/>
                <w:szCs w:val="21"/>
                <w:highlight w:val="none"/>
              </w:rPr>
              <w:t>基础计时逻辑</w:t>
            </w:r>
            <w:r>
              <w:rPr>
                <w:rFonts w:hint="eastAsia" w:ascii="宋体" w:hAnsi="宋体" w:eastAsia="宋体" w:cs="宋体"/>
                <w:color w:val="auto"/>
                <w:sz w:val="21"/>
                <w:szCs w:val="21"/>
                <w:highlight w:val="none"/>
                <w:lang w:eastAsia="zh-CN"/>
              </w:rPr>
              <w:t>：</w:t>
            </w:r>
          </w:p>
          <w:p w14:paraId="1261B3F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1. 双独立计时单元；一方停止计时，另一方立即启动；支持双方同时暂停计时，禁止双方同时走时。</w:t>
            </w:r>
          </w:p>
          <w:p w14:paraId="219153C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2. 支持围棋主流赛制：包干制、基本用时 + 保留次数读秒、无保留读秒、快棋读秒模式，可自定义配置双方不同用时参数。</w:t>
            </w:r>
          </w:p>
          <w:p w14:paraId="251028B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3. 具备参数断电记忆功能，断电后已设置的比赛计时参数不丢失。</w:t>
            </w:r>
          </w:p>
          <w:p w14:paraId="7432CE3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w:t>
            </w:r>
            <w:r>
              <w:rPr>
                <w:rFonts w:ascii="宋体" w:hAnsi="宋体" w:eastAsia="宋体" w:cs="宋体"/>
                <w:color w:val="auto"/>
                <w:sz w:val="21"/>
                <w:szCs w:val="21"/>
                <w:highlight w:val="none"/>
              </w:rPr>
              <w:t>显示屏幕</w:t>
            </w:r>
          </w:p>
          <w:p w14:paraId="3FF9754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1. 双独立 LCD 液晶显示屏，单屏可视区域≥15mm×45mm，数字对比度高</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ascii="宋体" w:hAnsi="宋体" w:eastAsia="宋体" w:cs="宋体"/>
                <w:color w:val="auto"/>
                <w:sz w:val="21"/>
                <w:szCs w:val="21"/>
                <w:highlight w:val="none"/>
              </w:rPr>
              <w:t>米距离可清晰读取时间读数</w:t>
            </w:r>
            <w:r>
              <w:rPr>
                <w:rFonts w:hint="eastAsia" w:ascii="宋体" w:hAnsi="宋体" w:eastAsia="宋体" w:cs="宋体"/>
                <w:color w:val="auto"/>
                <w:sz w:val="21"/>
                <w:szCs w:val="21"/>
                <w:highlight w:val="none"/>
                <w:lang w:eastAsia="zh-CN"/>
              </w:rPr>
              <w:t>。</w:t>
            </w:r>
          </w:p>
          <w:p w14:paraId="1EA780C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2. 同步显示：剩余小时、分钟、秒、读秒剩余次数；超时状态醒目提示，明确标识超时方。</w:t>
            </w:r>
          </w:p>
          <w:p w14:paraId="7F35301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eastAsia="zh-CN"/>
              </w:rPr>
            </w:pPr>
            <w:r>
              <w:rPr>
                <w:rFonts w:ascii="宋体" w:hAnsi="宋体" w:eastAsia="宋体" w:cs="宋体"/>
                <w:color w:val="auto"/>
                <w:sz w:val="21"/>
                <w:szCs w:val="21"/>
                <w:highlight w:val="none"/>
              </w:rPr>
              <w:t>3. 低电量提示功能；读秒倒计时阶段清晰显示剩余秒数，剩余 2 分钟重点展示秒数信息</w:t>
            </w:r>
            <w:r>
              <w:rPr>
                <w:rFonts w:hint="eastAsia" w:ascii="宋体" w:hAnsi="宋体" w:eastAsia="宋体" w:cs="宋体"/>
                <w:color w:val="auto"/>
                <w:sz w:val="21"/>
                <w:szCs w:val="21"/>
                <w:highlight w:val="none"/>
                <w:lang w:eastAsia="zh-CN"/>
              </w:rPr>
              <w:t>。</w:t>
            </w:r>
          </w:p>
          <w:p w14:paraId="5593A32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w:t>
            </w:r>
            <w:r>
              <w:rPr>
                <w:rFonts w:ascii="宋体" w:hAnsi="宋体" w:eastAsia="宋体" w:cs="宋体"/>
                <w:color w:val="auto"/>
                <w:sz w:val="21"/>
                <w:szCs w:val="21"/>
                <w:highlight w:val="none"/>
              </w:rPr>
              <w:t>读秒与语音提示</w:t>
            </w:r>
          </w:p>
          <w:p w14:paraId="40D1F73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1. 支持围棋标准读秒，可自定义读秒时长、读秒保留次数；读秒阶段语音播报倒计时。</w:t>
            </w:r>
          </w:p>
          <w:p w14:paraId="1778C7F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2. 语音可切换开启 / 静音模式；音量可调，无破音杂音；超时语音声光提示。</w:t>
            </w:r>
          </w:p>
          <w:p w14:paraId="3147849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3. 支持裁判手动暂停、人工修改双方用时，适配比赛故障处置。</w:t>
            </w:r>
          </w:p>
          <w:p w14:paraId="7B59520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四、</w:t>
            </w:r>
            <w:r>
              <w:rPr>
                <w:rFonts w:ascii="宋体" w:hAnsi="宋体" w:eastAsia="宋体" w:cs="宋体"/>
                <w:color w:val="auto"/>
                <w:sz w:val="21"/>
                <w:szCs w:val="21"/>
                <w:highlight w:val="none"/>
              </w:rPr>
              <w:t>按键操作性能</w:t>
            </w:r>
          </w:p>
          <w:p w14:paraId="4FFF4DF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1. 左右两个大尺寸按压操作按钮，按键防抖，按压响应灵敏，无卡滞、误触发；落子后方可按压计时。</w:t>
            </w:r>
          </w:p>
          <w:p w14:paraId="607E791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ascii="宋体" w:hAnsi="宋体" w:eastAsia="宋体" w:cs="宋体"/>
                <w:color w:val="auto"/>
                <w:sz w:val="21"/>
                <w:szCs w:val="21"/>
                <w:highlight w:val="none"/>
              </w:rPr>
            </w:pPr>
            <w:r>
              <w:rPr>
                <w:rFonts w:ascii="宋体" w:hAnsi="宋体" w:eastAsia="宋体" w:cs="宋体"/>
                <w:color w:val="auto"/>
                <w:sz w:val="21"/>
                <w:szCs w:val="21"/>
                <w:highlight w:val="none"/>
              </w:rPr>
              <w:t>2. 设置按键带锁定功能，比赛过程可锁定参数设置，防止误触改动计时参数。</w:t>
            </w:r>
          </w:p>
          <w:p w14:paraId="59DD138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en-US" w:eastAsia="zh-CN"/>
              </w:rPr>
            </w:pPr>
            <w:r>
              <w:rPr>
                <w:rFonts w:ascii="宋体" w:hAnsi="宋体" w:eastAsia="宋体" w:cs="宋体"/>
                <w:color w:val="auto"/>
                <w:sz w:val="21"/>
                <w:szCs w:val="21"/>
                <w:highlight w:val="none"/>
              </w:rPr>
              <w:t>3. 整机摆放稳固，按压按键时机身不滑移。</w:t>
            </w:r>
          </w:p>
          <w:p w14:paraId="67D60C9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五、规格尺寸</w:t>
            </w:r>
          </w:p>
          <w:p w14:paraId="1CAE588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1、尺寸与重量：尺寸150-200mm（长）× 105-130mm（宽）× 51-87mm（高）；重量约 390-436克；</w:t>
            </w:r>
          </w:p>
          <w:p w14:paraId="6245664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2、电源：使用 1-2节5号（AA）或3号（R20）电池；</w:t>
            </w:r>
          </w:p>
          <w:p w14:paraId="2B15DA9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宋体" w:hAnsi="宋体" w:eastAsia="宋体" w:cs="宋体"/>
                <w:color w:val="auto"/>
                <w:kern w:val="2"/>
                <w:sz w:val="21"/>
                <w:szCs w:val="21"/>
                <w:highlight w:val="none"/>
                <w:vertAlign w:val="baseline"/>
                <w:lang w:val="en-US" w:eastAsia="zh-CN" w:bidi="ar-SA"/>
              </w:rPr>
            </w:pPr>
            <w:r>
              <w:rPr>
                <w:rFonts w:hint="eastAsia" w:ascii="宋体" w:hAnsi="宋体" w:eastAsia="宋体" w:cs="宋体"/>
                <w:color w:val="auto"/>
                <w:sz w:val="21"/>
                <w:szCs w:val="21"/>
                <w:highlight w:val="none"/>
                <w:lang w:val="en-US" w:eastAsia="zh-CN"/>
              </w:rPr>
              <w:t>3、外壳材质：耐用的 ABS工程塑料。</w:t>
            </w:r>
          </w:p>
        </w:tc>
        <w:tc>
          <w:tcPr>
            <w:tcW w:w="1084" w:type="dxa"/>
            <w:vAlign w:val="center"/>
          </w:tcPr>
          <w:p w14:paraId="4B206F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1"/>
                <w:szCs w:val="21"/>
                <w:highlight w:val="none"/>
                <w:u w:val="none"/>
                <w:vertAlign w:val="baseline"/>
                <w:lang w:val="en-US" w:eastAsia="zh-CN"/>
              </w:rPr>
            </w:pPr>
          </w:p>
        </w:tc>
      </w:tr>
    </w:tbl>
    <w:p w14:paraId="7F51257C">
      <w:pPr>
        <w:keepNext w:val="0"/>
        <w:keepLines w:val="0"/>
        <w:pageBreakBefore w:val="0"/>
        <w:widowControl w:val="0"/>
        <w:kinsoku/>
        <w:wordWrap/>
        <w:overflowPunct/>
        <w:topLinePunct w:val="0"/>
        <w:autoSpaceDE/>
        <w:autoSpaceDN/>
        <w:bidi w:val="0"/>
        <w:snapToGrid/>
        <w:spacing w:line="360" w:lineRule="auto"/>
        <w:textAlignment w:val="auto"/>
        <w:rPr>
          <w:rFonts w:hint="eastAsia" w:ascii="宋体" w:hAnsi="宋体" w:eastAsia="宋体" w:cs="宋体"/>
          <w:color w:val="auto"/>
          <w:sz w:val="21"/>
          <w:szCs w:val="21"/>
          <w:highlight w:val="none"/>
          <w:u w:val="none"/>
          <w:lang w:val="en-US" w:eastAsia="zh-CN"/>
        </w:rPr>
      </w:pPr>
    </w:p>
    <w:p w14:paraId="23F35A2B">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eastAsia="宋体" w:cs="宋体"/>
          <w:b/>
          <w:bCs/>
          <w:color w:val="auto"/>
          <w:sz w:val="21"/>
          <w:szCs w:val="21"/>
          <w:highlight w:val="none"/>
          <w:u w:val="none"/>
          <w:lang w:val="en-US" w:eastAsia="zh-CN"/>
        </w:rPr>
      </w:pPr>
      <w:r>
        <w:rPr>
          <w:rFonts w:hint="eastAsia" w:ascii="宋体" w:hAnsi="宋体" w:cs="宋体"/>
          <w:b/>
          <w:bCs/>
          <w:color w:val="auto"/>
          <w:sz w:val="21"/>
          <w:szCs w:val="21"/>
          <w:highlight w:val="none"/>
          <w:u w:val="none"/>
          <w:lang w:val="en-US" w:eastAsia="zh-CN"/>
        </w:rPr>
        <w:t>三</w:t>
      </w:r>
      <w:r>
        <w:rPr>
          <w:rFonts w:hint="eastAsia" w:ascii="宋体" w:hAnsi="宋体" w:eastAsia="宋体" w:cs="宋体"/>
          <w:b/>
          <w:bCs/>
          <w:color w:val="auto"/>
          <w:sz w:val="21"/>
          <w:szCs w:val="21"/>
          <w:highlight w:val="none"/>
          <w:u w:val="none"/>
          <w:lang w:val="en-US" w:eastAsia="zh-CN"/>
        </w:rPr>
        <w:t>、样品要求</w:t>
      </w:r>
    </w:p>
    <w:p w14:paraId="1BF18B76">
      <w:pPr>
        <w:pageBreakBefore w:val="0"/>
        <w:numPr>
          <w:ilvl w:val="0"/>
          <w:numId w:val="0"/>
        </w:numPr>
        <w:kinsoku/>
        <w:wordWrap/>
        <w:overflowPunct/>
        <w:topLinePunct w:val="0"/>
        <w:bidi w:val="0"/>
        <w:spacing w:line="360" w:lineRule="auto"/>
        <w:ind w:firstLine="422" w:firstLineChars="200"/>
        <w:rPr>
          <w:rFonts w:hint="eastAsia" w:ascii="宋体" w:hAnsi="宋体" w:eastAsia="宋体" w:cs="宋体"/>
          <w:snapToGrid w:val="0"/>
          <w:color w:val="auto"/>
          <w:kern w:val="28"/>
          <w:sz w:val="21"/>
          <w:szCs w:val="21"/>
          <w:highlight w:val="none"/>
          <w:lang w:val="en-US" w:eastAsia="zh-CN"/>
        </w:rPr>
      </w:pPr>
      <w:r>
        <w:rPr>
          <w:rFonts w:hint="eastAsia" w:ascii="宋体" w:hAnsi="宋体" w:cs="宋体"/>
          <w:b/>
          <w:bCs/>
          <w:snapToGrid w:val="0"/>
          <w:color w:val="auto"/>
          <w:kern w:val="28"/>
          <w:sz w:val="21"/>
          <w:szCs w:val="21"/>
          <w:highlight w:val="none"/>
          <w:lang w:val="en-US" w:eastAsia="zh-CN" w:bidi="ar-SA"/>
        </w:rPr>
        <w:t>1、</w:t>
      </w:r>
      <w:r>
        <w:rPr>
          <w:rFonts w:hint="eastAsia" w:ascii="宋体" w:hAnsi="宋体" w:eastAsia="宋体" w:cs="宋体"/>
          <w:b/>
          <w:bCs/>
          <w:snapToGrid w:val="0"/>
          <w:color w:val="auto"/>
          <w:kern w:val="28"/>
          <w:sz w:val="21"/>
          <w:szCs w:val="21"/>
          <w:highlight w:val="none"/>
        </w:rPr>
        <w:t>样品</w:t>
      </w:r>
      <w:r>
        <w:rPr>
          <w:rFonts w:hint="eastAsia" w:ascii="宋体" w:hAnsi="宋体" w:eastAsia="宋体" w:cs="宋体"/>
          <w:b/>
          <w:bCs/>
          <w:snapToGrid w:val="0"/>
          <w:color w:val="auto"/>
          <w:kern w:val="28"/>
          <w:sz w:val="21"/>
          <w:szCs w:val="21"/>
          <w:highlight w:val="none"/>
          <w:lang w:val="en-US" w:eastAsia="zh-CN"/>
        </w:rPr>
        <w:t>种类及数量</w:t>
      </w:r>
      <w:r>
        <w:rPr>
          <w:rFonts w:hint="eastAsia" w:ascii="宋体" w:hAnsi="宋体" w:eastAsia="宋体" w:cs="宋体"/>
          <w:b/>
          <w:bCs/>
          <w:snapToGrid w:val="0"/>
          <w:color w:val="auto"/>
          <w:kern w:val="28"/>
          <w:sz w:val="21"/>
          <w:szCs w:val="21"/>
          <w:highlight w:val="none"/>
        </w:rPr>
        <w:t>：</w:t>
      </w:r>
      <w:r>
        <w:rPr>
          <w:rFonts w:hint="eastAsia" w:ascii="宋体" w:hAnsi="宋体" w:eastAsia="宋体" w:cs="宋体"/>
          <w:b w:val="0"/>
          <w:bCs w:val="0"/>
          <w:snapToGrid w:val="0"/>
          <w:color w:val="auto"/>
          <w:kern w:val="28"/>
          <w:sz w:val="21"/>
          <w:szCs w:val="21"/>
          <w:highlight w:val="none"/>
        </w:rPr>
        <w:t xml:space="preserve"> </w:t>
      </w:r>
      <w:r>
        <w:rPr>
          <w:rFonts w:hint="eastAsia" w:ascii="宋体" w:hAnsi="宋体" w:cs="宋体"/>
          <w:b w:val="0"/>
          <w:bCs w:val="0"/>
          <w:snapToGrid w:val="0"/>
          <w:color w:val="auto"/>
          <w:kern w:val="28"/>
          <w:sz w:val="21"/>
          <w:szCs w:val="21"/>
          <w:highlight w:val="none"/>
          <w:lang w:val="en-US" w:eastAsia="zh-CN"/>
        </w:rPr>
        <w:t>本次采购项目核心产品为专用比赛新型武术场地设施，所有参与谈判的供应商必须在响应文件递交截止时间前，提交</w:t>
      </w:r>
      <w:r>
        <w:rPr>
          <w:rFonts w:hint="eastAsia" w:ascii="宋体" w:hAnsi="宋体" w:cs="宋体"/>
          <w:color w:val="auto"/>
          <w:kern w:val="2"/>
          <w:sz w:val="21"/>
          <w:szCs w:val="21"/>
          <w:highlight w:val="none"/>
          <w:vertAlign w:val="baseline"/>
          <w:lang w:val="en-US" w:eastAsia="zh-CN" w:bidi="ar-SA"/>
        </w:rPr>
        <w:t>地毯小样</w:t>
      </w:r>
      <w:r>
        <w:rPr>
          <w:rFonts w:hint="eastAsia" w:ascii="宋体" w:hAnsi="宋体" w:cs="宋体"/>
          <w:b w:val="0"/>
          <w:bCs w:val="0"/>
          <w:snapToGrid w:val="0"/>
          <w:color w:val="auto"/>
          <w:kern w:val="28"/>
          <w:sz w:val="21"/>
          <w:szCs w:val="21"/>
          <w:highlight w:val="none"/>
          <w:lang w:val="en-US" w:eastAsia="zh-CN"/>
        </w:rPr>
        <w:t>。统一规格：20×20cm，数量：一式2份，密封，</w:t>
      </w:r>
      <w:r>
        <w:rPr>
          <w:rFonts w:hint="eastAsia" w:ascii="宋体" w:hAnsi="宋体" w:eastAsia="宋体" w:cs="宋体"/>
          <w:snapToGrid w:val="0"/>
          <w:color w:val="auto"/>
          <w:kern w:val="28"/>
          <w:sz w:val="21"/>
          <w:szCs w:val="21"/>
          <w:highlight w:val="none"/>
          <w:lang w:val="en-US" w:eastAsia="zh-CN"/>
        </w:rPr>
        <w:t>以邮寄或现场递交的方式，于响应文件递交截止时间前分别递交至评审主场及评审副场。未按要求提交样品、样品参数不达标、样品缺失或逾期提交的，将被认定为无效</w:t>
      </w:r>
      <w:r>
        <w:rPr>
          <w:rFonts w:hint="eastAsia" w:ascii="宋体" w:hAnsi="宋体" w:cs="宋体"/>
          <w:snapToGrid w:val="0"/>
          <w:color w:val="auto"/>
          <w:kern w:val="28"/>
          <w:sz w:val="21"/>
          <w:szCs w:val="21"/>
          <w:highlight w:val="none"/>
          <w:lang w:val="en-US" w:eastAsia="zh-CN"/>
        </w:rPr>
        <w:t>响应</w:t>
      </w:r>
      <w:r>
        <w:rPr>
          <w:rFonts w:hint="eastAsia" w:ascii="宋体" w:hAnsi="宋体" w:eastAsia="宋体" w:cs="宋体"/>
          <w:snapToGrid w:val="0"/>
          <w:color w:val="auto"/>
          <w:kern w:val="28"/>
          <w:sz w:val="21"/>
          <w:szCs w:val="21"/>
          <w:highlight w:val="none"/>
          <w:lang w:val="en-US" w:eastAsia="zh-CN"/>
        </w:rPr>
        <w:t>。</w:t>
      </w:r>
    </w:p>
    <w:p w14:paraId="25BB9D01">
      <w:pPr>
        <w:pageBreakBefore w:val="0"/>
        <w:kinsoku/>
        <w:wordWrap/>
        <w:overflowPunct/>
        <w:topLinePunct w:val="0"/>
        <w:bidi w:val="0"/>
        <w:spacing w:line="360" w:lineRule="auto"/>
        <w:ind w:firstLine="422" w:firstLineChars="200"/>
        <w:rPr>
          <w:rFonts w:hint="eastAsia" w:ascii="宋体" w:hAnsi="宋体" w:eastAsia="宋体" w:cs="宋体"/>
          <w:b/>
          <w:bCs/>
          <w:snapToGrid w:val="0"/>
          <w:color w:val="auto"/>
          <w:kern w:val="28"/>
          <w:sz w:val="21"/>
          <w:szCs w:val="21"/>
          <w:highlight w:val="none"/>
        </w:rPr>
      </w:pPr>
      <w:r>
        <w:rPr>
          <w:rFonts w:hint="eastAsia" w:ascii="宋体" w:hAnsi="宋体" w:cs="宋体"/>
          <w:b/>
          <w:bCs/>
          <w:color w:val="auto"/>
          <w:kern w:val="0"/>
          <w:sz w:val="21"/>
          <w:szCs w:val="21"/>
          <w:highlight w:val="none"/>
          <w:lang w:val="en-US" w:eastAsia="zh-CN"/>
        </w:rPr>
        <w:t>2、</w:t>
      </w:r>
      <w:r>
        <w:rPr>
          <w:rFonts w:hint="eastAsia" w:ascii="宋体" w:hAnsi="宋体" w:eastAsia="宋体" w:cs="宋体"/>
          <w:b/>
          <w:bCs/>
          <w:snapToGrid w:val="0"/>
          <w:color w:val="auto"/>
          <w:kern w:val="28"/>
          <w:sz w:val="21"/>
          <w:szCs w:val="21"/>
          <w:highlight w:val="none"/>
        </w:rPr>
        <w:t>样品制作的标准和要求：</w:t>
      </w:r>
    </w:p>
    <w:p w14:paraId="0AED47C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color w:val="auto"/>
          <w:sz w:val="21"/>
          <w:szCs w:val="21"/>
          <w:highlight w:val="none"/>
          <w:u w:val="none"/>
          <w:vertAlign w:val="baseline"/>
          <w:lang w:val="en-US" w:eastAsia="zh-CN"/>
        </w:rPr>
      </w:pPr>
      <w:r>
        <w:rPr>
          <w:rFonts w:hint="eastAsia" w:ascii="宋体" w:hAnsi="宋体" w:eastAsia="宋体" w:cs="宋体"/>
          <w:snapToGrid w:val="0"/>
          <w:color w:val="auto"/>
          <w:kern w:val="28"/>
          <w:sz w:val="21"/>
          <w:szCs w:val="21"/>
          <w:highlight w:val="none"/>
          <w:lang w:val="en-US" w:eastAsia="zh-CN"/>
        </w:rPr>
        <w:t>①</w:t>
      </w:r>
      <w:r>
        <w:rPr>
          <w:rFonts w:hint="eastAsia" w:ascii="宋体" w:hAnsi="宋体" w:cs="宋体"/>
          <w:color w:val="auto"/>
          <w:sz w:val="21"/>
          <w:szCs w:val="21"/>
          <w:highlight w:val="none"/>
          <w:u w:val="none"/>
          <w:vertAlign w:val="baseline"/>
          <w:lang w:val="en-US" w:eastAsia="zh-CN"/>
        </w:rPr>
        <w:t>样品表面平整、无破损、无翘曲、无污渍、无明显色差，边缘切割整齐，无脱层、开裂、变形等质量缺陷，完全模拟成品生产工艺及材质配比。</w:t>
      </w:r>
    </w:p>
    <w:p w14:paraId="5C1C2968">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②所有技术参数、材质性能、工艺标准必须完全匹配采购需求中的全部技术指标，具体要求详见采购需求，所有指标需100%达标，无偏差、无降级；</w:t>
      </w:r>
    </w:p>
    <w:p w14:paraId="7BF659E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snapToGrid w:val="0"/>
          <w:color w:val="auto"/>
          <w:kern w:val="28"/>
          <w:sz w:val="21"/>
          <w:szCs w:val="21"/>
          <w:highlight w:val="none"/>
          <w:lang w:val="en-US" w:eastAsia="zh-CN"/>
        </w:rPr>
        <w:t>③随样品</w:t>
      </w:r>
      <w:r>
        <w:rPr>
          <w:rFonts w:hint="eastAsia" w:ascii="宋体" w:hAnsi="宋体" w:cs="宋体"/>
          <w:color w:val="auto"/>
          <w:sz w:val="21"/>
          <w:szCs w:val="21"/>
          <w:highlight w:val="none"/>
          <w:u w:val="none"/>
          <w:vertAlign w:val="baseline"/>
          <w:lang w:val="en-US" w:eastAsia="zh-CN"/>
        </w:rPr>
        <w:t>配备</w:t>
      </w:r>
      <w:r>
        <w:rPr>
          <w:rFonts w:hint="eastAsia" w:ascii="宋体" w:hAnsi="宋体" w:eastAsia="宋体" w:cs="宋体"/>
          <w:color w:val="auto"/>
          <w:sz w:val="21"/>
          <w:szCs w:val="21"/>
          <w:highlight w:val="none"/>
          <w:u w:val="none"/>
          <w:lang w:val="en-US" w:eastAsia="zh-CN"/>
        </w:rPr>
        <w:t>第三方检测机构出具的</w:t>
      </w:r>
      <w:r>
        <w:rPr>
          <w:rFonts w:hint="eastAsia" w:ascii="宋体" w:hAnsi="宋体" w:cs="宋体"/>
          <w:color w:val="auto"/>
          <w:sz w:val="21"/>
          <w:szCs w:val="21"/>
          <w:highlight w:val="none"/>
          <w:u w:val="none"/>
          <w:lang w:val="en-US" w:eastAsia="zh-CN"/>
        </w:rPr>
        <w:t>产品</w:t>
      </w:r>
      <w:r>
        <w:rPr>
          <w:rFonts w:hint="eastAsia" w:ascii="宋体" w:hAnsi="宋体" w:eastAsia="宋体" w:cs="宋体"/>
          <w:color w:val="auto"/>
          <w:sz w:val="21"/>
          <w:szCs w:val="21"/>
          <w:highlight w:val="none"/>
          <w:u w:val="none"/>
          <w:lang w:val="en-US" w:eastAsia="zh-CN"/>
        </w:rPr>
        <w:t>检测报告</w:t>
      </w:r>
      <w:r>
        <w:rPr>
          <w:rFonts w:hint="eastAsia" w:ascii="宋体" w:hAnsi="宋体" w:eastAsia="宋体" w:cs="宋体"/>
          <w:color w:val="auto"/>
          <w:sz w:val="21"/>
          <w:szCs w:val="21"/>
          <w:highlight w:val="none"/>
          <w:u w:val="none"/>
          <w:vertAlign w:val="baseline"/>
          <w:lang w:val="en-US" w:eastAsia="zh-CN"/>
        </w:rPr>
        <w:t>，并加盖供应商公章；</w:t>
      </w:r>
    </w:p>
    <w:p w14:paraId="04CDEDFA">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④</w:t>
      </w:r>
      <w:r>
        <w:rPr>
          <w:rFonts w:hint="eastAsia" w:ascii="宋体" w:hAnsi="宋体" w:eastAsia="宋体" w:cs="宋体"/>
          <w:color w:val="auto"/>
          <w:sz w:val="21"/>
          <w:szCs w:val="21"/>
          <w:highlight w:val="none"/>
          <w:u w:val="none"/>
          <w:vertAlign w:val="baseline"/>
          <w:lang w:val="en-US" w:eastAsia="zh-CN"/>
        </w:rPr>
        <w:t>样品需张贴标签，标注项目名称、供应商名称、样品</w:t>
      </w:r>
      <w:r>
        <w:rPr>
          <w:rFonts w:hint="eastAsia" w:ascii="宋体" w:hAnsi="宋体" w:cs="宋体"/>
          <w:color w:val="auto"/>
          <w:sz w:val="21"/>
          <w:szCs w:val="21"/>
          <w:highlight w:val="none"/>
          <w:u w:val="none"/>
          <w:vertAlign w:val="baseline"/>
          <w:lang w:val="en-US" w:eastAsia="zh-CN"/>
        </w:rPr>
        <w:t>品类等</w:t>
      </w:r>
      <w:r>
        <w:rPr>
          <w:rFonts w:hint="eastAsia" w:ascii="宋体" w:hAnsi="宋体" w:eastAsia="宋体" w:cs="宋体"/>
          <w:color w:val="auto"/>
          <w:sz w:val="21"/>
          <w:szCs w:val="21"/>
          <w:highlight w:val="none"/>
          <w:u w:val="none"/>
          <w:vertAlign w:val="baseline"/>
          <w:lang w:val="en-US" w:eastAsia="zh-CN"/>
        </w:rPr>
        <w:t>说明；</w:t>
      </w:r>
    </w:p>
    <w:p w14:paraId="0EDC3D92">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color w:val="auto"/>
          <w:sz w:val="21"/>
          <w:szCs w:val="21"/>
          <w:highlight w:val="none"/>
          <w:u w:val="none"/>
          <w:vertAlign w:val="baseline"/>
          <w:lang w:val="en-US" w:eastAsia="zh-CN"/>
        </w:rPr>
      </w:pPr>
      <w:r>
        <w:rPr>
          <w:rFonts w:hint="eastAsia" w:ascii="宋体" w:hAnsi="宋体" w:cs="宋体"/>
          <w:color w:val="auto"/>
          <w:sz w:val="21"/>
          <w:szCs w:val="21"/>
          <w:highlight w:val="none"/>
          <w:u w:val="none"/>
          <w:vertAlign w:val="baseline"/>
          <w:lang w:val="en-US" w:eastAsia="zh-CN"/>
        </w:rPr>
        <w:t>⑤</w:t>
      </w:r>
      <w:r>
        <w:rPr>
          <w:rFonts w:hint="eastAsia" w:ascii="宋体" w:hAnsi="宋体" w:eastAsia="宋体" w:cs="宋体"/>
          <w:color w:val="auto"/>
          <w:sz w:val="21"/>
          <w:szCs w:val="21"/>
          <w:highlight w:val="none"/>
          <w:u w:val="none"/>
          <w:vertAlign w:val="baseline"/>
          <w:lang w:val="en-US" w:eastAsia="zh-CN"/>
        </w:rPr>
        <w:t>所有样品需无偿提交采购人，评审结束后采购人统一留存归档，不予退还。</w:t>
      </w:r>
    </w:p>
    <w:p w14:paraId="670D5269">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eastAsia" w:ascii="宋体" w:hAnsi="宋体" w:eastAsia="宋体" w:cs="宋体"/>
          <w:b/>
          <w:bCs/>
          <w:snapToGrid w:val="0"/>
          <w:color w:val="auto"/>
          <w:kern w:val="28"/>
          <w:sz w:val="21"/>
          <w:szCs w:val="21"/>
          <w:highlight w:val="none"/>
        </w:rPr>
      </w:pPr>
      <w:r>
        <w:rPr>
          <w:rFonts w:hint="eastAsia" w:ascii="宋体" w:hAnsi="宋体" w:cs="宋体"/>
          <w:b/>
          <w:bCs/>
          <w:color w:val="auto"/>
          <w:sz w:val="21"/>
          <w:szCs w:val="21"/>
          <w:highlight w:val="none"/>
          <w:u w:val="none"/>
          <w:vertAlign w:val="baseline"/>
          <w:lang w:val="en-US" w:eastAsia="zh-CN"/>
        </w:rPr>
        <w:t>3、</w:t>
      </w:r>
      <w:r>
        <w:rPr>
          <w:rFonts w:hint="eastAsia" w:ascii="宋体" w:hAnsi="宋体" w:eastAsia="宋体" w:cs="宋体"/>
          <w:b/>
          <w:bCs/>
          <w:color w:val="auto"/>
          <w:kern w:val="0"/>
          <w:sz w:val="21"/>
          <w:szCs w:val="21"/>
          <w:highlight w:val="none"/>
        </w:rPr>
        <w:t>样品的评审方法以及评审标准</w:t>
      </w:r>
      <w:r>
        <w:rPr>
          <w:rFonts w:hint="eastAsia" w:ascii="宋体" w:hAnsi="宋体" w:eastAsia="宋体" w:cs="宋体"/>
          <w:b/>
          <w:bCs/>
          <w:snapToGrid w:val="0"/>
          <w:color w:val="auto"/>
          <w:kern w:val="28"/>
          <w:sz w:val="21"/>
          <w:szCs w:val="21"/>
          <w:highlight w:val="none"/>
        </w:rPr>
        <w:t>：</w:t>
      </w:r>
    </w:p>
    <w:p w14:paraId="0865DE5F">
      <w:pPr>
        <w:pageBreakBefore w:val="0"/>
        <w:numPr>
          <w:ilvl w:val="0"/>
          <w:numId w:val="0"/>
        </w:numPr>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①样品规格尺寸精准、无破损变形、工艺规整</w:t>
      </w:r>
      <w:r>
        <w:rPr>
          <w:rFonts w:hint="eastAsia" w:ascii="宋体" w:hAnsi="宋体" w:eastAsia="宋体" w:cs="宋体"/>
          <w:snapToGrid w:val="0"/>
          <w:color w:val="auto"/>
          <w:kern w:val="28"/>
          <w:sz w:val="21"/>
          <w:szCs w:val="21"/>
          <w:highlight w:val="none"/>
        </w:rPr>
        <w:t>；</w:t>
      </w:r>
    </w:p>
    <w:p w14:paraId="04330FFC">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eastAsia="宋体" w:cs="宋体"/>
          <w:snapToGrid w:val="0"/>
          <w:color w:val="auto"/>
          <w:kern w:val="28"/>
          <w:sz w:val="21"/>
          <w:szCs w:val="21"/>
          <w:highlight w:val="none"/>
          <w:lang w:val="en-US" w:eastAsia="zh-CN"/>
        </w:rPr>
        <w:t>②对照采购需求全部技术参数，逐项核验样品材质、</w:t>
      </w:r>
      <w:r>
        <w:rPr>
          <w:rFonts w:hint="eastAsia" w:ascii="宋体" w:hAnsi="宋体" w:eastAsia="宋体" w:cs="宋体"/>
          <w:color w:val="auto"/>
          <w:sz w:val="21"/>
          <w:szCs w:val="21"/>
          <w:highlight w:val="none"/>
          <w:u w:val="none"/>
          <w:vertAlign w:val="baseline"/>
          <w:lang w:val="en-US" w:eastAsia="zh-CN"/>
        </w:rPr>
        <w:t>面密度</w:t>
      </w:r>
      <w:r>
        <w:rPr>
          <w:rFonts w:hint="eastAsia" w:ascii="宋体" w:hAnsi="宋体" w:eastAsia="宋体" w:cs="宋体"/>
          <w:snapToGrid w:val="0"/>
          <w:color w:val="auto"/>
          <w:kern w:val="28"/>
          <w:sz w:val="21"/>
          <w:szCs w:val="21"/>
          <w:highlight w:val="none"/>
          <w:lang w:val="en-US" w:eastAsia="zh-CN"/>
        </w:rPr>
        <w:t>、</w:t>
      </w:r>
      <w:r>
        <w:rPr>
          <w:rFonts w:hint="eastAsia" w:ascii="宋体" w:hAnsi="宋体" w:eastAsia="宋体" w:cs="宋体"/>
          <w:color w:val="auto"/>
          <w:sz w:val="21"/>
          <w:szCs w:val="21"/>
          <w:highlight w:val="none"/>
          <w:u w:val="none"/>
          <w:vertAlign w:val="baseline"/>
          <w:lang w:val="en-US" w:eastAsia="zh-CN"/>
        </w:rPr>
        <w:t>摩擦系数/抗滑阻力</w:t>
      </w:r>
      <w:r>
        <w:rPr>
          <w:rFonts w:hint="eastAsia" w:ascii="宋体" w:hAnsi="宋体" w:eastAsia="宋体" w:cs="宋体"/>
          <w:snapToGrid w:val="0"/>
          <w:color w:val="auto"/>
          <w:kern w:val="28"/>
          <w:sz w:val="21"/>
          <w:szCs w:val="21"/>
          <w:highlight w:val="none"/>
          <w:lang w:val="en-US" w:eastAsia="zh-CN"/>
        </w:rPr>
        <w:t>、</w:t>
      </w:r>
      <w:r>
        <w:rPr>
          <w:rFonts w:hint="eastAsia" w:ascii="宋体" w:hAnsi="宋体" w:eastAsia="宋体" w:cs="宋体"/>
          <w:color w:val="auto"/>
          <w:sz w:val="21"/>
          <w:szCs w:val="21"/>
          <w:highlight w:val="none"/>
          <w:u w:val="none"/>
          <w:vertAlign w:val="baseline"/>
          <w:lang w:val="en-US" w:eastAsia="zh-CN"/>
        </w:rPr>
        <w:t>簇绒拔出力</w:t>
      </w:r>
      <w:r>
        <w:rPr>
          <w:rFonts w:hint="eastAsia" w:ascii="宋体" w:hAnsi="宋体" w:eastAsia="宋体" w:cs="宋体"/>
          <w:snapToGrid w:val="0"/>
          <w:color w:val="auto"/>
          <w:kern w:val="28"/>
          <w:sz w:val="21"/>
          <w:szCs w:val="21"/>
          <w:highlight w:val="none"/>
          <w:lang w:val="en-US" w:eastAsia="zh-CN"/>
        </w:rPr>
        <w:t>、</w:t>
      </w:r>
      <w:r>
        <w:rPr>
          <w:rFonts w:hint="eastAsia" w:ascii="宋体" w:hAnsi="宋体" w:eastAsia="宋体" w:cs="宋体"/>
          <w:color w:val="auto"/>
          <w:sz w:val="21"/>
          <w:szCs w:val="21"/>
          <w:highlight w:val="none"/>
          <w:u w:val="none"/>
          <w:vertAlign w:val="baseline"/>
          <w:lang w:val="en-US" w:eastAsia="zh-CN"/>
        </w:rPr>
        <w:t>耐摩擦色牢</w:t>
      </w:r>
      <w:r>
        <w:rPr>
          <w:rFonts w:hint="eastAsia" w:ascii="宋体" w:hAnsi="宋体" w:cs="宋体"/>
          <w:color w:val="auto"/>
          <w:sz w:val="21"/>
          <w:szCs w:val="21"/>
          <w:highlight w:val="none"/>
          <w:u w:val="none"/>
          <w:vertAlign w:val="baseline"/>
          <w:lang w:val="en-US" w:eastAsia="zh-CN"/>
        </w:rPr>
        <w:t>、</w:t>
      </w:r>
      <w:r>
        <w:rPr>
          <w:rFonts w:hint="eastAsia" w:ascii="宋体" w:hAnsi="宋体" w:eastAsia="宋体" w:cs="宋体"/>
          <w:color w:val="auto"/>
          <w:sz w:val="21"/>
          <w:szCs w:val="21"/>
          <w:highlight w:val="none"/>
          <w:u w:val="none"/>
          <w:vertAlign w:val="baseline"/>
          <w:lang w:val="en-US" w:eastAsia="zh-CN"/>
        </w:rPr>
        <w:t>撕裂强度</w:t>
      </w:r>
      <w:r>
        <w:rPr>
          <w:rFonts w:hint="eastAsia" w:ascii="宋体" w:hAnsi="宋体" w:eastAsia="宋体" w:cs="宋体"/>
          <w:snapToGrid w:val="0"/>
          <w:color w:val="auto"/>
          <w:kern w:val="28"/>
          <w:sz w:val="21"/>
          <w:szCs w:val="21"/>
          <w:highlight w:val="none"/>
          <w:lang w:val="en-US" w:eastAsia="zh-CN"/>
        </w:rPr>
        <w:t>等核心指标，全部达标</w:t>
      </w:r>
      <w:r>
        <w:rPr>
          <w:rFonts w:hint="eastAsia" w:ascii="宋体" w:hAnsi="宋体" w:eastAsia="宋体" w:cs="宋体"/>
          <w:snapToGrid w:val="0"/>
          <w:color w:val="auto"/>
          <w:kern w:val="28"/>
          <w:sz w:val="21"/>
          <w:szCs w:val="21"/>
          <w:highlight w:val="none"/>
        </w:rPr>
        <w:t>；</w:t>
      </w:r>
    </w:p>
    <w:p w14:paraId="738860C1">
      <w:pPr>
        <w:pageBreakBefore w:val="0"/>
        <w:kinsoku/>
        <w:wordWrap/>
        <w:overflowPunct/>
        <w:topLinePunct w:val="0"/>
        <w:bidi w:val="0"/>
        <w:spacing w:line="360" w:lineRule="auto"/>
        <w:ind w:firstLine="420" w:firstLineChars="200"/>
        <w:rPr>
          <w:rFonts w:hint="eastAsia" w:ascii="宋体" w:hAnsi="宋体" w:eastAsia="宋体" w:cs="宋体"/>
          <w:snapToGrid w:val="0"/>
          <w:color w:val="auto"/>
          <w:kern w:val="28"/>
          <w:sz w:val="21"/>
          <w:szCs w:val="21"/>
          <w:highlight w:val="none"/>
        </w:rPr>
      </w:pPr>
      <w:r>
        <w:rPr>
          <w:rFonts w:hint="eastAsia" w:ascii="宋体" w:hAnsi="宋体" w:cs="宋体"/>
          <w:snapToGrid w:val="0"/>
          <w:color w:val="auto"/>
          <w:kern w:val="28"/>
          <w:sz w:val="21"/>
          <w:szCs w:val="21"/>
          <w:highlight w:val="none"/>
          <w:lang w:val="en-US" w:eastAsia="zh-CN"/>
        </w:rPr>
        <w:t>③</w:t>
      </w:r>
      <w:r>
        <w:rPr>
          <w:rFonts w:hint="eastAsia" w:ascii="宋体" w:hAnsi="宋体" w:eastAsia="宋体" w:cs="宋体"/>
          <w:snapToGrid w:val="0"/>
          <w:color w:val="auto"/>
          <w:kern w:val="28"/>
          <w:sz w:val="21"/>
          <w:szCs w:val="21"/>
          <w:highlight w:val="none"/>
          <w:lang w:val="en-US" w:eastAsia="zh-CN"/>
        </w:rPr>
        <w:t>检测项目完整、参数对应精准</w:t>
      </w:r>
      <w:r>
        <w:rPr>
          <w:rFonts w:hint="eastAsia" w:ascii="宋体" w:hAnsi="宋体" w:cs="宋体"/>
          <w:snapToGrid w:val="0"/>
          <w:color w:val="auto"/>
          <w:kern w:val="28"/>
          <w:sz w:val="21"/>
          <w:szCs w:val="21"/>
          <w:highlight w:val="none"/>
          <w:lang w:val="en-US" w:eastAsia="zh-CN"/>
        </w:rPr>
        <w:t>，没有项目漏项、参数不符。</w:t>
      </w:r>
    </w:p>
    <w:p w14:paraId="07104AA8">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cs="宋体"/>
          <w:color w:val="auto"/>
          <w:kern w:val="2"/>
          <w:sz w:val="21"/>
          <w:szCs w:val="21"/>
          <w:highlight w:val="none"/>
          <w:vertAlign w:val="baseline"/>
          <w:lang w:val="en-US" w:eastAsia="zh-CN" w:bidi="ar-SA"/>
        </w:rPr>
      </w:pPr>
      <w:r>
        <w:rPr>
          <w:rFonts w:hint="eastAsia" w:ascii="宋体" w:hAnsi="宋体" w:cs="宋体"/>
          <w:b/>
          <w:bCs/>
          <w:color w:val="auto"/>
          <w:kern w:val="0"/>
          <w:sz w:val="21"/>
          <w:szCs w:val="21"/>
          <w:highlight w:val="none"/>
          <w:lang w:val="en-US" w:eastAsia="zh-CN"/>
        </w:rPr>
        <w:t>4、</w:t>
      </w:r>
      <w:r>
        <w:rPr>
          <w:rFonts w:hint="eastAsia" w:ascii="宋体" w:hAnsi="宋体" w:eastAsia="宋体" w:cs="宋体"/>
          <w:b/>
          <w:bCs/>
          <w:color w:val="auto"/>
          <w:kern w:val="0"/>
          <w:sz w:val="21"/>
          <w:szCs w:val="21"/>
          <w:highlight w:val="none"/>
        </w:rPr>
        <w:t>需要随样品提交检测报告：</w:t>
      </w:r>
      <w:r>
        <w:rPr>
          <w:rFonts w:hint="eastAsia" w:ascii="宋体" w:hAnsi="宋体" w:cs="宋体"/>
          <w:color w:val="auto"/>
          <w:kern w:val="0"/>
          <w:sz w:val="21"/>
          <w:szCs w:val="21"/>
          <w:highlight w:val="none"/>
          <w:lang w:val="en-US" w:eastAsia="zh-CN"/>
        </w:rPr>
        <w:t>由</w:t>
      </w:r>
      <w:r>
        <w:rPr>
          <w:rFonts w:hint="eastAsia" w:ascii="宋体" w:hAnsi="宋体" w:eastAsia="宋体" w:cs="宋体"/>
          <w:color w:val="auto"/>
          <w:sz w:val="21"/>
          <w:szCs w:val="21"/>
          <w:highlight w:val="none"/>
        </w:rPr>
        <w:t>第三方检测机构出具的检测报告，并加盖供应商公章</w:t>
      </w:r>
      <w:r>
        <w:rPr>
          <w:rFonts w:hint="eastAsia" w:ascii="宋体" w:hAnsi="宋体" w:cs="宋体"/>
          <w:color w:val="auto"/>
          <w:sz w:val="21"/>
          <w:szCs w:val="21"/>
          <w:highlight w:val="none"/>
          <w:lang w:eastAsia="zh-CN"/>
        </w:rPr>
        <w:t>。</w:t>
      </w:r>
      <w:r>
        <w:rPr>
          <w:rFonts w:hint="eastAsia" w:ascii="宋体" w:hAnsi="宋体" w:eastAsia="宋体" w:cs="宋体"/>
          <w:color w:val="auto"/>
          <w:kern w:val="0"/>
          <w:sz w:val="21"/>
          <w:szCs w:val="21"/>
          <w:highlight w:val="none"/>
        </w:rPr>
        <w:t>检测内容需覆盖</w:t>
      </w:r>
      <w:r>
        <w:rPr>
          <w:rFonts w:hint="eastAsia" w:ascii="宋体" w:hAnsi="宋体" w:cs="宋体"/>
          <w:color w:val="auto"/>
          <w:kern w:val="0"/>
          <w:sz w:val="21"/>
          <w:szCs w:val="21"/>
          <w:highlight w:val="none"/>
          <w:lang w:val="en-US" w:eastAsia="zh-CN"/>
        </w:rPr>
        <w:t>本项目采购需求所列明</w:t>
      </w:r>
      <w:r>
        <w:rPr>
          <w:rFonts w:hint="eastAsia" w:ascii="宋体" w:hAnsi="宋体" w:eastAsia="宋体" w:cs="宋体"/>
          <w:color w:val="auto"/>
          <w:kern w:val="0"/>
          <w:sz w:val="21"/>
          <w:szCs w:val="21"/>
          <w:highlight w:val="none"/>
        </w:rPr>
        <w:t>的全部</w:t>
      </w:r>
      <w:r>
        <w:rPr>
          <w:rFonts w:hint="eastAsia" w:ascii="宋体" w:hAnsi="宋体" w:cs="宋体"/>
          <w:color w:val="auto"/>
          <w:kern w:val="0"/>
          <w:sz w:val="21"/>
          <w:szCs w:val="21"/>
          <w:highlight w:val="none"/>
          <w:lang w:val="en-US" w:eastAsia="zh-CN"/>
        </w:rPr>
        <w:t>产品</w:t>
      </w:r>
      <w:r>
        <w:rPr>
          <w:rFonts w:hint="eastAsia" w:ascii="宋体" w:hAnsi="宋体" w:eastAsia="宋体" w:cs="宋体"/>
          <w:color w:val="auto"/>
          <w:kern w:val="0"/>
          <w:sz w:val="21"/>
          <w:szCs w:val="21"/>
          <w:highlight w:val="none"/>
        </w:rPr>
        <w:t>技术性能指标，包含材质参数、物理性能、冲击性能、环保性能等，不得缺项、漏项。</w:t>
      </w:r>
      <w:r>
        <w:rPr>
          <w:rFonts w:hint="eastAsia" w:ascii="宋体" w:hAnsi="宋体" w:cs="宋体"/>
          <w:color w:val="auto"/>
          <w:kern w:val="2"/>
          <w:sz w:val="21"/>
          <w:szCs w:val="21"/>
          <w:highlight w:val="none"/>
          <w:vertAlign w:val="baseline"/>
          <w:lang w:val="en-US" w:eastAsia="zh-CN" w:bidi="ar-SA"/>
        </w:rPr>
        <w:t>上层簇绒地毯物理性能执行 GB/T 11746‑2008标准；地毯及衬垫有害物质释放执行强制国标GB 18587‑2001标准；毯面纤维成分执行 GB/T 29862‑2013标准；色牢度检测按 GB/T 3920‑2008标准。</w:t>
      </w:r>
    </w:p>
    <w:p w14:paraId="2152406E">
      <w:pPr>
        <w:pageBreakBefore w:val="0"/>
        <w:numPr>
          <w:ilvl w:val="0"/>
          <w:numId w:val="0"/>
        </w:numPr>
        <w:kinsoku/>
        <w:wordWrap/>
        <w:overflowPunct/>
        <w:topLinePunct w:val="0"/>
        <w:bidi w:val="0"/>
        <w:spacing w:line="360" w:lineRule="auto"/>
        <w:ind w:firstLine="422" w:firstLineChars="200"/>
        <w:rPr>
          <w:rFonts w:hint="eastAsia" w:ascii="宋体" w:hAnsi="宋体" w:eastAsia="宋体" w:cs="宋体"/>
          <w:color w:val="auto"/>
          <w:kern w:val="0"/>
          <w:sz w:val="21"/>
          <w:szCs w:val="21"/>
          <w:highlight w:val="none"/>
        </w:rPr>
      </w:pPr>
      <w:r>
        <w:rPr>
          <w:rFonts w:hint="eastAsia" w:ascii="宋体" w:hAnsi="宋体" w:cs="宋体"/>
          <w:b/>
          <w:bCs/>
          <w:color w:val="auto"/>
          <w:kern w:val="0"/>
          <w:sz w:val="21"/>
          <w:szCs w:val="21"/>
          <w:highlight w:val="none"/>
          <w:lang w:val="en-US" w:eastAsia="zh-CN"/>
        </w:rPr>
        <w:t>5、后续履约要求：</w:t>
      </w:r>
      <w:r>
        <w:rPr>
          <w:rFonts w:hint="eastAsia" w:ascii="宋体" w:hAnsi="宋体" w:eastAsia="宋体" w:cs="宋体"/>
          <w:color w:val="auto"/>
          <w:kern w:val="0"/>
          <w:sz w:val="21"/>
          <w:szCs w:val="21"/>
          <w:highlight w:val="none"/>
        </w:rPr>
        <w:t>项目履约交货时，供应商需再次提供完整的产品检测报告原件备查，样品检测报告不作为最终交货检测依据，最终产品质量以交货抽检、复检结果为准。</w:t>
      </w:r>
    </w:p>
    <w:p w14:paraId="4E739C40">
      <w:pPr>
        <w:pageBreakBefore w:val="0"/>
        <w:kinsoku/>
        <w:wordWrap/>
        <w:overflowPunct/>
        <w:topLinePunct w:val="0"/>
        <w:bidi w:val="0"/>
        <w:spacing w:line="360" w:lineRule="auto"/>
        <w:ind w:firstLine="422" w:firstLineChars="200"/>
        <w:rPr>
          <w:rFonts w:hint="eastAsia" w:ascii="宋体" w:hAnsi="宋体" w:eastAsia="宋体" w:cs="宋体"/>
          <w:color w:val="auto"/>
          <w:sz w:val="21"/>
          <w:szCs w:val="21"/>
          <w:highlight w:val="none"/>
          <w:lang w:val="en-US" w:eastAsia="zh-CN"/>
        </w:rPr>
      </w:pP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提供样品的时间：</w:t>
      </w:r>
      <w:r>
        <w:rPr>
          <w:rFonts w:hint="eastAsia" w:ascii="宋体" w:hAnsi="宋体" w:eastAsia="宋体" w:cs="宋体"/>
          <w:color w:val="auto"/>
          <w:sz w:val="21"/>
          <w:szCs w:val="21"/>
          <w:highlight w:val="none"/>
          <w:lang w:val="en-US" w:eastAsia="zh-CN"/>
        </w:rPr>
        <w:t>于响应文件递交截止时间前分别递交至评审主场及评审副场。</w:t>
      </w:r>
    </w:p>
    <w:p w14:paraId="318B2E64">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评审主场：北海市海城区银河城市科技产业城2幢0101号 韦丽丹 0779-3928925</w:t>
      </w:r>
    </w:p>
    <w:p w14:paraId="34604E15">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评审副场：广西北部湾宏亚建设管理有限公司靖西分公司（靖西市吉祥路古力屯三产用地峰珲体育三楼） 农工 0776-6180899</w:t>
      </w:r>
    </w:p>
    <w:p w14:paraId="08F2A6CE">
      <w:pPr>
        <w:pageBreakBefore w:val="0"/>
        <w:kinsoku/>
        <w:wordWrap/>
        <w:overflowPunct/>
        <w:topLinePunct w:val="0"/>
        <w:bidi w:val="0"/>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超过截止时间的，采购人或采购代理机构将不予接收。</w:t>
      </w:r>
    </w:p>
    <w:p w14:paraId="1A69FAAA">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7、样品制作的费用：</w:t>
      </w:r>
      <w:r>
        <w:rPr>
          <w:rFonts w:hint="eastAsia" w:ascii="宋体" w:hAnsi="宋体" w:cs="宋体"/>
          <w:color w:val="auto"/>
          <w:sz w:val="21"/>
          <w:szCs w:val="21"/>
          <w:highlight w:val="none"/>
          <w:lang w:val="en-US" w:eastAsia="zh-CN"/>
        </w:rPr>
        <w:t>样品</w:t>
      </w:r>
      <w:r>
        <w:rPr>
          <w:rFonts w:hint="eastAsia" w:ascii="宋体" w:hAnsi="宋体" w:eastAsia="宋体" w:cs="宋体"/>
          <w:color w:val="auto"/>
          <w:sz w:val="21"/>
          <w:szCs w:val="21"/>
          <w:highlight w:val="none"/>
        </w:rPr>
        <w:t>制作、运输、安装和保管样品所发生的一切费用由供应商自理。</w:t>
      </w:r>
    </w:p>
    <w:p w14:paraId="29DCCB52">
      <w:pPr>
        <w:keepNext w:val="0"/>
        <w:keepLines w:val="0"/>
        <w:pageBreakBefore w:val="0"/>
        <w:widowControl w:val="0"/>
        <w:numPr>
          <w:ilvl w:val="0"/>
          <w:numId w:val="0"/>
        </w:numPr>
        <w:kinsoku/>
        <w:wordWrap/>
        <w:overflowPunct/>
        <w:topLinePunct w:val="0"/>
        <w:autoSpaceDE/>
        <w:autoSpaceDN/>
        <w:bidi w:val="0"/>
        <w:snapToGrid/>
        <w:spacing w:line="360" w:lineRule="auto"/>
        <w:textAlignment w:val="auto"/>
        <w:rPr>
          <w:rFonts w:hint="eastAsia" w:ascii="宋体" w:hAnsi="宋体" w:cs="宋体"/>
          <w:b/>
          <w:bCs/>
          <w:color w:val="auto"/>
          <w:sz w:val="21"/>
          <w:szCs w:val="21"/>
          <w:highlight w:val="none"/>
          <w:u w:val="none"/>
          <w:vertAlign w:val="baseline"/>
          <w:lang w:val="en-US" w:eastAsia="zh-CN"/>
        </w:rPr>
      </w:pPr>
      <w:r>
        <w:rPr>
          <w:rFonts w:hint="eastAsia" w:ascii="宋体" w:hAnsi="宋体" w:cs="宋体"/>
          <w:b/>
          <w:bCs/>
          <w:color w:val="auto"/>
          <w:kern w:val="2"/>
          <w:sz w:val="21"/>
          <w:szCs w:val="21"/>
          <w:highlight w:val="none"/>
          <w:vertAlign w:val="baseline"/>
          <w:lang w:val="en-US" w:eastAsia="zh-CN" w:bidi="ar-SA"/>
        </w:rPr>
        <w:t>四</w:t>
      </w:r>
      <w:r>
        <w:rPr>
          <w:rFonts w:hint="eastAsia" w:ascii="宋体" w:hAnsi="宋体" w:eastAsia="宋体" w:cs="宋体"/>
          <w:b/>
          <w:bCs/>
          <w:color w:val="auto"/>
          <w:kern w:val="2"/>
          <w:sz w:val="21"/>
          <w:szCs w:val="21"/>
          <w:highlight w:val="none"/>
          <w:vertAlign w:val="baseline"/>
          <w:lang w:val="en-US" w:eastAsia="zh-CN" w:bidi="ar-SA"/>
        </w:rPr>
        <w:t>、</w:t>
      </w:r>
      <w:r>
        <w:rPr>
          <w:rFonts w:hint="eastAsia" w:ascii="宋体" w:hAnsi="宋体" w:cs="宋体"/>
          <w:b/>
          <w:bCs/>
          <w:color w:val="auto"/>
          <w:sz w:val="21"/>
          <w:szCs w:val="21"/>
          <w:highlight w:val="none"/>
          <w:u w:val="none"/>
          <w:vertAlign w:val="baseline"/>
          <w:lang w:val="en-US" w:eastAsia="zh-CN"/>
        </w:rPr>
        <w:t>商务要求</w:t>
      </w:r>
    </w:p>
    <w:p w14:paraId="37187FC6">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eastAsia" w:ascii="宋体" w:hAnsi="宋体" w:eastAsia="宋体" w:cs="宋体"/>
          <w:b/>
          <w:bCs/>
          <w:color w:val="auto"/>
          <w:kern w:val="2"/>
          <w:sz w:val="21"/>
          <w:szCs w:val="21"/>
          <w:highlight w:val="none"/>
          <w:vertAlign w:val="baseline"/>
          <w:lang w:val="en-US" w:eastAsia="zh-CN" w:bidi="ar-SA"/>
        </w:rPr>
      </w:pPr>
      <w:bookmarkStart w:id="64" w:name="heading_0"/>
      <w:r>
        <w:rPr>
          <w:rFonts w:hint="eastAsia" w:ascii="宋体" w:hAnsi="宋体" w:cs="宋体"/>
          <w:b/>
          <w:bCs/>
          <w:color w:val="auto"/>
          <w:kern w:val="2"/>
          <w:sz w:val="21"/>
          <w:szCs w:val="21"/>
          <w:highlight w:val="none"/>
          <w:vertAlign w:val="baseline"/>
          <w:lang w:val="en-US" w:eastAsia="zh-CN" w:bidi="ar-SA"/>
        </w:rPr>
        <w:t>（</w:t>
      </w:r>
      <w:r>
        <w:rPr>
          <w:rFonts w:hint="eastAsia" w:ascii="宋体" w:hAnsi="宋体" w:eastAsia="宋体" w:cs="宋体"/>
          <w:b/>
          <w:bCs/>
          <w:color w:val="auto"/>
          <w:kern w:val="2"/>
          <w:sz w:val="21"/>
          <w:szCs w:val="21"/>
          <w:highlight w:val="none"/>
          <w:vertAlign w:val="baseline"/>
          <w:lang w:val="en-US" w:eastAsia="zh-CN" w:bidi="ar-SA"/>
        </w:rPr>
        <w:t>一</w:t>
      </w:r>
      <w:r>
        <w:rPr>
          <w:rFonts w:hint="eastAsia" w:ascii="宋体" w:hAnsi="宋体" w:cs="宋体"/>
          <w:b/>
          <w:bCs/>
          <w:color w:val="auto"/>
          <w:kern w:val="2"/>
          <w:sz w:val="21"/>
          <w:szCs w:val="21"/>
          <w:highlight w:val="none"/>
          <w:vertAlign w:val="baseline"/>
          <w:lang w:val="en-US" w:eastAsia="zh-CN" w:bidi="ar-SA"/>
        </w:rPr>
        <w:t>）</w:t>
      </w:r>
      <w:r>
        <w:rPr>
          <w:rFonts w:hint="eastAsia" w:ascii="宋体" w:hAnsi="宋体" w:eastAsia="宋体" w:cs="宋体"/>
          <w:b/>
          <w:bCs/>
          <w:color w:val="auto"/>
          <w:kern w:val="2"/>
          <w:sz w:val="21"/>
          <w:szCs w:val="21"/>
          <w:highlight w:val="none"/>
          <w:vertAlign w:val="baseline"/>
          <w:lang w:val="en-US" w:eastAsia="zh-CN" w:bidi="ar-SA"/>
        </w:rPr>
        <w:t>交货时间、地点及交付要求</w:t>
      </w:r>
      <w:bookmarkEnd w:id="64"/>
    </w:p>
    <w:p w14:paraId="4B0B38C0">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w:t>
      </w:r>
      <w:r>
        <w:rPr>
          <w:rFonts w:hint="eastAsia" w:ascii="宋体" w:hAnsi="宋体" w:eastAsia="宋体" w:cs="宋体"/>
          <w:b w:val="0"/>
          <w:bCs w:val="0"/>
          <w:color w:val="auto"/>
          <w:kern w:val="2"/>
          <w:sz w:val="21"/>
          <w:szCs w:val="21"/>
          <w:highlight w:val="none"/>
          <w:vertAlign w:val="baseline"/>
          <w:lang w:val="en-US" w:eastAsia="zh-CN" w:bidi="ar-SA"/>
        </w:rPr>
        <w:t>总体交付时限：供应商须严格贴合各赛事报到及竞赛日程，在对应项目赛事报到日前，完成全部设备供货、安装、铺设、调试、校准、试运行工作，确保设备完整达标、可直接投入赛事使用；全部设备整体终验工作</w:t>
      </w:r>
      <w:r>
        <w:rPr>
          <w:rFonts w:hint="eastAsia" w:ascii="宋体" w:hAnsi="宋体" w:cs="宋体"/>
          <w:b w:val="0"/>
          <w:bCs w:val="0"/>
          <w:color w:val="auto"/>
          <w:kern w:val="2"/>
          <w:sz w:val="21"/>
          <w:szCs w:val="21"/>
          <w:highlight w:val="none"/>
          <w:vertAlign w:val="baseline"/>
          <w:lang w:val="en-US" w:eastAsia="zh-CN" w:bidi="ar-SA"/>
        </w:rPr>
        <w:t>将</w:t>
      </w:r>
      <w:r>
        <w:rPr>
          <w:rFonts w:hint="eastAsia" w:ascii="宋体" w:hAnsi="宋体" w:eastAsia="宋体" w:cs="宋体"/>
          <w:b w:val="0"/>
          <w:bCs w:val="0"/>
          <w:color w:val="auto"/>
          <w:kern w:val="2"/>
          <w:sz w:val="21"/>
          <w:szCs w:val="21"/>
          <w:highlight w:val="none"/>
          <w:vertAlign w:val="baseline"/>
          <w:lang w:val="en-US" w:eastAsia="zh-CN" w:bidi="ar-SA"/>
        </w:rPr>
        <w:t>在所有赛事全部结束后3个工作日内完成。各分项赛事交付节点严格匹配项目赛程，不得延误赛事筹备工作。</w:t>
      </w:r>
    </w:p>
    <w:p w14:paraId="20A3B395">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kern w:val="2"/>
          <w:sz w:val="21"/>
          <w:szCs w:val="21"/>
          <w:highlight w:val="none"/>
          <w:vertAlign w:val="baseline"/>
          <w:lang w:val="en-US" w:eastAsia="zh-CN" w:bidi="ar-SA"/>
        </w:rPr>
        <w:t>各分项赛事报到时间</w:t>
      </w:r>
      <w:r>
        <w:rPr>
          <w:rFonts w:hint="eastAsia" w:ascii="宋体" w:hAnsi="宋体" w:eastAsia="宋体" w:cs="宋体"/>
          <w:b/>
          <w:bCs/>
          <w:color w:val="auto"/>
          <w:kern w:val="2"/>
          <w:sz w:val="21"/>
          <w:szCs w:val="21"/>
          <w:highlight w:val="none"/>
          <w:vertAlign w:val="baseline"/>
          <w:lang w:val="en-US" w:eastAsia="zh-CN" w:bidi="ar-SA"/>
        </w:rPr>
        <w:t>：</w:t>
      </w:r>
      <w:r>
        <w:rPr>
          <w:rFonts w:hint="eastAsia" w:ascii="宋体" w:hAnsi="宋体" w:cs="宋体"/>
          <w:b/>
          <w:bCs/>
          <w:color w:val="auto"/>
          <w:kern w:val="2"/>
          <w:sz w:val="21"/>
          <w:szCs w:val="21"/>
          <w:highlight w:val="none"/>
          <w:vertAlign w:val="baseline"/>
          <w:lang w:val="en-US" w:eastAsia="zh-CN" w:bidi="ar-SA"/>
        </w:rPr>
        <w:t>武术套路</w:t>
      </w:r>
      <w:r>
        <w:rPr>
          <w:rFonts w:hint="eastAsia" w:ascii="宋体" w:hAnsi="宋体" w:cs="宋体"/>
          <w:b/>
          <w:bCs/>
          <w:color w:val="auto"/>
          <w:sz w:val="21"/>
          <w:szCs w:val="21"/>
          <w:highlight w:val="none"/>
          <w:lang w:val="en-US" w:eastAsia="zh-CN"/>
        </w:rPr>
        <w:t>项目报到时间：2026年11月30日；武术散打项目报到时间：</w:t>
      </w:r>
    </w:p>
    <w:p w14:paraId="0A1571EA">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2026年9月17日；围棋项目报到时间：2026年9月12日。</w:t>
      </w:r>
    </w:p>
    <w:p w14:paraId="1AD206FA">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w:t>
      </w:r>
      <w:r>
        <w:rPr>
          <w:rFonts w:hint="eastAsia" w:ascii="宋体" w:hAnsi="宋体" w:eastAsia="宋体" w:cs="宋体"/>
          <w:b w:val="0"/>
          <w:bCs w:val="0"/>
          <w:color w:val="auto"/>
          <w:kern w:val="2"/>
          <w:sz w:val="21"/>
          <w:szCs w:val="21"/>
          <w:highlight w:val="none"/>
          <w:vertAlign w:val="baseline"/>
          <w:lang w:val="en-US" w:eastAsia="zh-CN" w:bidi="ar-SA"/>
        </w:rPr>
        <w:t>交货地点：采购人指定两处场地，分别为</w:t>
      </w:r>
      <w:r>
        <w:rPr>
          <w:rFonts w:hint="eastAsia" w:ascii="宋体" w:hAnsi="宋体" w:cs="宋体"/>
          <w:b w:val="0"/>
          <w:bCs w:val="0"/>
          <w:color w:val="auto"/>
          <w:kern w:val="2"/>
          <w:sz w:val="21"/>
          <w:szCs w:val="21"/>
          <w:highlight w:val="none"/>
          <w:vertAlign w:val="baseline"/>
          <w:lang w:val="en-US" w:eastAsia="zh-CN" w:bidi="ar-SA"/>
        </w:rPr>
        <w:t>北海市文化宫</w:t>
      </w:r>
      <w:r>
        <w:rPr>
          <w:rFonts w:hint="eastAsia" w:ascii="宋体" w:hAnsi="宋体" w:eastAsia="宋体" w:cs="宋体"/>
          <w:b w:val="0"/>
          <w:bCs w:val="0"/>
          <w:color w:val="auto"/>
          <w:kern w:val="2"/>
          <w:sz w:val="21"/>
          <w:szCs w:val="21"/>
          <w:highlight w:val="none"/>
          <w:vertAlign w:val="baseline"/>
          <w:lang w:val="en-US" w:eastAsia="zh-CN" w:bidi="ar-SA"/>
        </w:rPr>
        <w:t>、</w:t>
      </w:r>
      <w:r>
        <w:rPr>
          <w:rFonts w:hint="eastAsia" w:ascii="宋体" w:hAnsi="宋体" w:cs="宋体"/>
          <w:b w:val="0"/>
          <w:bCs w:val="0"/>
          <w:color w:val="auto"/>
          <w:kern w:val="2"/>
          <w:sz w:val="21"/>
          <w:szCs w:val="21"/>
          <w:highlight w:val="none"/>
          <w:vertAlign w:val="baseline"/>
          <w:lang w:val="en-US" w:eastAsia="zh-CN" w:bidi="ar-SA"/>
        </w:rPr>
        <w:t>涠洲岛悦苑酒店</w:t>
      </w:r>
      <w:r>
        <w:rPr>
          <w:rFonts w:hint="eastAsia" w:ascii="宋体" w:hAnsi="宋体" w:eastAsia="宋体" w:cs="宋体"/>
          <w:b w:val="0"/>
          <w:bCs w:val="0"/>
          <w:color w:val="auto"/>
          <w:kern w:val="2"/>
          <w:sz w:val="21"/>
          <w:szCs w:val="21"/>
          <w:highlight w:val="none"/>
          <w:vertAlign w:val="baseline"/>
          <w:lang w:val="en-US" w:eastAsia="zh-CN" w:bidi="ar-SA"/>
        </w:rPr>
        <w:t>，按各赛事项目对应场地分区交付、安装、布设。</w:t>
      </w:r>
    </w:p>
    <w:p w14:paraId="7BEEF552">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w:t>
      </w:r>
      <w:r>
        <w:rPr>
          <w:rFonts w:hint="eastAsia" w:ascii="宋体" w:hAnsi="宋体" w:eastAsia="宋体" w:cs="宋体"/>
          <w:b w:val="0"/>
          <w:bCs w:val="0"/>
          <w:color w:val="auto"/>
          <w:kern w:val="2"/>
          <w:sz w:val="21"/>
          <w:szCs w:val="21"/>
          <w:highlight w:val="none"/>
          <w:vertAlign w:val="baseline"/>
          <w:lang w:val="en-US" w:eastAsia="zh-CN" w:bidi="ar-SA"/>
        </w:rPr>
        <w:t>交付包含内容：本次报价为全包总价，包含设备材料费、生产制造、包装运输、装卸、现场安装、拼接铺设、调试校准、场地清洁、检测校验、人员培训、赛事前期试运行保障、备品备件、资料交付、税费等全部费用，采购人无需额外支付任何费用。</w:t>
      </w:r>
    </w:p>
    <w:p w14:paraId="18F00165">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4、</w:t>
      </w:r>
      <w:r>
        <w:rPr>
          <w:rFonts w:hint="eastAsia" w:ascii="宋体" w:hAnsi="宋体" w:eastAsia="宋体" w:cs="宋体"/>
          <w:b w:val="0"/>
          <w:bCs w:val="0"/>
          <w:color w:val="auto"/>
          <w:kern w:val="2"/>
          <w:sz w:val="21"/>
          <w:szCs w:val="21"/>
          <w:highlight w:val="none"/>
          <w:vertAlign w:val="baseline"/>
          <w:lang w:val="en-US" w:eastAsia="zh-CN" w:bidi="ar-SA"/>
        </w:rPr>
        <w:t>交付标准：所有设备进场后须完成整体拼装、调试、性能校准，试运行无故障，各项技术参数、安全性能、冲击防护、耐磨防滑、环保指标完全匹配采购需求技术参数及国家、行业赛事标准，满足正式竞赛使用条件。</w:t>
      </w:r>
    </w:p>
    <w:p w14:paraId="04794D7B">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eastAsia" w:ascii="宋体" w:hAnsi="宋体" w:cs="宋体"/>
          <w:b/>
          <w:bCs/>
          <w:color w:val="auto"/>
          <w:kern w:val="2"/>
          <w:sz w:val="21"/>
          <w:szCs w:val="21"/>
          <w:highlight w:val="none"/>
          <w:vertAlign w:val="baseline"/>
          <w:lang w:val="en-US" w:eastAsia="zh-CN" w:bidi="ar-SA"/>
        </w:rPr>
      </w:pPr>
      <w:r>
        <w:rPr>
          <w:rFonts w:hint="eastAsia" w:ascii="宋体" w:hAnsi="宋体" w:cs="宋体"/>
          <w:b/>
          <w:bCs/>
          <w:color w:val="auto"/>
          <w:kern w:val="2"/>
          <w:sz w:val="21"/>
          <w:szCs w:val="21"/>
          <w:highlight w:val="none"/>
          <w:vertAlign w:val="baseline"/>
          <w:lang w:val="en-US" w:eastAsia="zh-CN" w:bidi="ar-SA"/>
        </w:rPr>
        <w:t>（二）</w:t>
      </w:r>
      <w:bookmarkStart w:id="65" w:name="heading_1"/>
      <w:r>
        <w:rPr>
          <w:rFonts w:hint="eastAsia" w:ascii="宋体" w:hAnsi="宋体" w:cs="宋体"/>
          <w:b/>
          <w:bCs/>
          <w:color w:val="auto"/>
          <w:kern w:val="2"/>
          <w:sz w:val="21"/>
          <w:szCs w:val="21"/>
          <w:highlight w:val="none"/>
          <w:vertAlign w:val="baseline"/>
          <w:lang w:val="en-US" w:eastAsia="zh-CN" w:bidi="ar-SA"/>
        </w:rPr>
        <w:t>质保期及赛事专属质保服务要求</w:t>
      </w:r>
      <w:bookmarkEnd w:id="65"/>
    </w:p>
    <w:p w14:paraId="0C702678">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质保期限：本项目全部设备设施整体免费质保期不少于1年，自项目全部赛事结束、整体竣工验收合格之日起正式起算。国家、行业标准或产品规范有更长质保年限要求的，按就高不就低原则执行；供应商承诺更长质保期的，以响应承诺为准。</w:t>
      </w:r>
    </w:p>
    <w:p w14:paraId="53871EA3">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质保顺延规则：质保期内设备出现质量故障、部件损坏、性能不达标等问题，供应商完成免费维修、更换零部件或整机更换后，对应设备质保期自动顺延，顺延时长不少于设备停用至完全修复正常使用的全部时长，更换的全新零部件单独质保期不低于1年。</w:t>
      </w:r>
    </w:p>
    <w:p w14:paraId="17B1B3AA">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质保服务范围：质保期内提供全包式免费质保服务，免收维修费、配件费、上门服务费、调试校准费、运输费、人工工时费等一切费用，包含设备日常巡检、故障维修、性能校准、隐患排查、系统调试、技术咨询、运维指导等全部服务内容。</w:t>
      </w:r>
    </w:p>
    <w:p w14:paraId="6E08284A">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4、赛事专项保障</w:t>
      </w:r>
    </w:p>
    <w:p w14:paraId="064576F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（1）赛前保障：每批次赛事开赛3个工作日前，供应商须安排专业技术人员到场，对全部赛事设备进行全面排查、精度校准、压力测试、试运行，彻底消除运行隐患，确保设备完全符合竞赛标准。</w:t>
      </w:r>
    </w:p>
    <w:p w14:paraId="3F279FF2">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（2）赛中值守：各项目赛事竞赛期间，供应商须全程派驻专业技术人员现场驻点值守，实时处置设备突发故障、位移、性能偏差等问题，保障赛事全程稳定开展，无设备故障影响赛程情况。</w:t>
      </w:r>
    </w:p>
    <w:p w14:paraId="0AAE54CE">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（3）极速响应机制：质保期内日常故障1小时响应、2小时到场、12小时修复；赛事期间突发故障1小时内到场处置，无法现场修复的，立即提供同等规格、同等性能的备用设备，全力保障赛事正常进行。</w:t>
      </w:r>
    </w:p>
    <w:p w14:paraId="3AED92E2">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5. 质保期满延伸服务：质保期届满后，供应商提供终身技术支持服务，长期保障设备配件、耗材供应，后续维修、更换配件及运维服务价格给予采购人专属优惠，不高于市场公允价格。</w:t>
      </w:r>
    </w:p>
    <w:p w14:paraId="30A591A3">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default" w:ascii="宋体" w:hAnsi="宋体" w:eastAsia="宋体" w:cs="宋体"/>
          <w:b/>
          <w:bCs/>
          <w:color w:val="auto"/>
          <w:kern w:val="2"/>
          <w:sz w:val="21"/>
          <w:szCs w:val="21"/>
          <w:highlight w:val="none"/>
          <w:vertAlign w:val="baseline"/>
          <w:lang w:val="en-US" w:eastAsia="zh-CN" w:bidi="ar-SA"/>
        </w:rPr>
      </w:pPr>
      <w:bookmarkStart w:id="66" w:name="heading_2"/>
      <w:r>
        <w:rPr>
          <w:rFonts w:hint="eastAsia" w:ascii="宋体" w:hAnsi="宋体" w:cs="宋体"/>
          <w:b/>
          <w:bCs/>
          <w:color w:val="auto"/>
          <w:kern w:val="2"/>
          <w:sz w:val="21"/>
          <w:szCs w:val="21"/>
          <w:highlight w:val="none"/>
          <w:vertAlign w:val="baseline"/>
          <w:lang w:val="en-US" w:eastAsia="zh-CN" w:bidi="ar-SA"/>
        </w:rPr>
        <w:t>（三）</w:t>
      </w:r>
      <w:r>
        <w:rPr>
          <w:rFonts w:hint="default" w:ascii="宋体" w:hAnsi="宋体" w:eastAsia="宋体" w:cs="宋体"/>
          <w:b/>
          <w:bCs/>
          <w:color w:val="auto"/>
          <w:kern w:val="2"/>
          <w:sz w:val="21"/>
          <w:szCs w:val="21"/>
          <w:highlight w:val="none"/>
          <w:vertAlign w:val="baseline"/>
          <w:lang w:val="en-US" w:eastAsia="zh-CN" w:bidi="ar-SA"/>
        </w:rPr>
        <w:t>质量要求</w:t>
      </w:r>
      <w:bookmarkEnd w:id="66"/>
    </w:p>
    <w:p w14:paraId="16965BB3">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w:t>
      </w:r>
      <w:r>
        <w:rPr>
          <w:rFonts w:hint="default" w:ascii="宋体" w:hAnsi="宋体" w:eastAsia="宋体" w:cs="宋体"/>
          <w:b w:val="0"/>
          <w:bCs w:val="0"/>
          <w:color w:val="auto"/>
          <w:kern w:val="2"/>
          <w:sz w:val="21"/>
          <w:szCs w:val="21"/>
          <w:highlight w:val="none"/>
          <w:vertAlign w:val="baseline"/>
          <w:lang w:val="en-US" w:eastAsia="zh-CN" w:bidi="ar-SA"/>
        </w:rPr>
        <w:t>合规标准要求：所有产品须为全新正品、未使用过的全新货物，无瑕疵、无变形、无脱层、无破损，完全符合国家现行标准、体育行业竞赛标准、采购需求列明的全部技术参数</w:t>
      </w:r>
      <w:r>
        <w:rPr>
          <w:rFonts w:hint="eastAsia" w:ascii="宋体" w:hAnsi="宋体" w:cs="宋体"/>
          <w:b w:val="0"/>
          <w:bCs w:val="0"/>
          <w:color w:val="auto"/>
          <w:kern w:val="2"/>
          <w:sz w:val="21"/>
          <w:szCs w:val="21"/>
          <w:highlight w:val="none"/>
          <w:vertAlign w:val="baseline"/>
          <w:lang w:val="en-US" w:eastAsia="zh-CN" w:bidi="ar-SA"/>
        </w:rPr>
        <w:t>要求，同</w:t>
      </w:r>
      <w:r>
        <w:rPr>
          <w:rFonts w:hint="default" w:ascii="宋体" w:hAnsi="宋体" w:eastAsia="宋体" w:cs="宋体"/>
          <w:b w:val="0"/>
          <w:bCs w:val="0"/>
          <w:color w:val="auto"/>
          <w:kern w:val="2"/>
          <w:sz w:val="21"/>
          <w:szCs w:val="21"/>
          <w:highlight w:val="none"/>
          <w:vertAlign w:val="baseline"/>
          <w:lang w:val="en-US" w:eastAsia="zh-CN" w:bidi="ar-SA"/>
        </w:rPr>
        <w:t>时满</w:t>
      </w:r>
      <w:r>
        <w:rPr>
          <w:rFonts w:hint="eastAsia" w:ascii="宋体" w:hAnsi="宋体" w:cs="宋体"/>
          <w:b w:val="0"/>
          <w:bCs w:val="0"/>
          <w:color w:val="auto"/>
          <w:kern w:val="2"/>
          <w:sz w:val="21"/>
          <w:szCs w:val="21"/>
          <w:highlight w:val="none"/>
          <w:vertAlign w:val="baseline"/>
          <w:lang w:val="en-US" w:eastAsia="zh-CN" w:bidi="ar-SA"/>
        </w:rPr>
        <w:t>专业比赛技术</w:t>
      </w:r>
      <w:r>
        <w:rPr>
          <w:rFonts w:hint="default" w:ascii="宋体" w:hAnsi="宋体" w:eastAsia="宋体" w:cs="宋体"/>
          <w:b w:val="0"/>
          <w:bCs w:val="0"/>
          <w:color w:val="auto"/>
          <w:kern w:val="2"/>
          <w:sz w:val="21"/>
          <w:szCs w:val="21"/>
          <w:highlight w:val="none"/>
          <w:vertAlign w:val="baseline"/>
          <w:lang w:val="en-US" w:eastAsia="zh-CN" w:bidi="ar-SA"/>
        </w:rPr>
        <w:t>标准</w:t>
      </w:r>
      <w:r>
        <w:rPr>
          <w:rFonts w:hint="eastAsia" w:ascii="宋体" w:hAnsi="宋体" w:cs="宋体"/>
          <w:b w:val="0"/>
          <w:bCs w:val="0"/>
          <w:color w:val="auto"/>
          <w:kern w:val="2"/>
          <w:sz w:val="21"/>
          <w:szCs w:val="21"/>
          <w:highlight w:val="none"/>
          <w:vertAlign w:val="baseline"/>
          <w:lang w:val="en-US" w:eastAsia="zh-CN" w:bidi="ar-SA"/>
        </w:rPr>
        <w:t>及要求</w:t>
      </w:r>
      <w:r>
        <w:rPr>
          <w:rFonts w:hint="default" w:ascii="宋体" w:hAnsi="宋体" w:eastAsia="宋体" w:cs="宋体"/>
          <w:b w:val="0"/>
          <w:bCs w:val="0"/>
          <w:color w:val="auto"/>
          <w:kern w:val="2"/>
          <w:sz w:val="21"/>
          <w:szCs w:val="21"/>
          <w:highlight w:val="none"/>
          <w:vertAlign w:val="baseline"/>
          <w:lang w:val="en-US" w:eastAsia="zh-CN" w:bidi="ar-SA"/>
        </w:rPr>
        <w:t>。</w:t>
      </w:r>
    </w:p>
    <w:p w14:paraId="3C34DF7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w:t>
      </w:r>
      <w:r>
        <w:rPr>
          <w:rFonts w:hint="default" w:ascii="宋体" w:hAnsi="宋体" w:eastAsia="宋体" w:cs="宋体"/>
          <w:b w:val="0"/>
          <w:bCs w:val="0"/>
          <w:color w:val="auto"/>
          <w:kern w:val="2"/>
          <w:sz w:val="21"/>
          <w:szCs w:val="21"/>
          <w:highlight w:val="none"/>
          <w:vertAlign w:val="baseline"/>
          <w:lang w:val="en-US" w:eastAsia="zh-CN" w:bidi="ar-SA"/>
        </w:rPr>
        <w:t>环保安全要求：所有场地垫材、织物等产品</w:t>
      </w:r>
      <w:r>
        <w:rPr>
          <w:rFonts w:hint="eastAsia" w:ascii="宋体" w:hAnsi="宋体" w:cs="宋体"/>
          <w:b w:val="0"/>
          <w:bCs w:val="0"/>
          <w:color w:val="auto"/>
          <w:kern w:val="2"/>
          <w:sz w:val="21"/>
          <w:szCs w:val="21"/>
          <w:highlight w:val="none"/>
          <w:vertAlign w:val="baseline"/>
          <w:lang w:val="en-US" w:eastAsia="zh-CN" w:bidi="ar-SA"/>
        </w:rPr>
        <w:t>的有害物质释出量</w:t>
      </w:r>
      <w:r>
        <w:rPr>
          <w:rFonts w:hint="default" w:ascii="宋体" w:hAnsi="宋体" w:eastAsia="宋体" w:cs="宋体"/>
          <w:b w:val="0"/>
          <w:bCs w:val="0"/>
          <w:color w:val="auto"/>
          <w:kern w:val="2"/>
          <w:sz w:val="21"/>
          <w:szCs w:val="21"/>
          <w:highlight w:val="none"/>
          <w:vertAlign w:val="baseline"/>
          <w:lang w:val="en-US" w:eastAsia="zh-CN" w:bidi="ar-SA"/>
        </w:rPr>
        <w:t>、纺织品安全性能均符合国标规范，无异味、无污染，安全环保，符合公共体育赛事场地使用标准，保障运动员人身安全。</w:t>
      </w:r>
    </w:p>
    <w:p w14:paraId="2937D5F8">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w:t>
      </w:r>
      <w:r>
        <w:rPr>
          <w:rFonts w:hint="default" w:ascii="宋体" w:hAnsi="宋体" w:eastAsia="宋体" w:cs="宋体"/>
          <w:b w:val="0"/>
          <w:bCs w:val="0"/>
          <w:color w:val="auto"/>
          <w:kern w:val="2"/>
          <w:sz w:val="21"/>
          <w:szCs w:val="21"/>
          <w:highlight w:val="none"/>
          <w:vertAlign w:val="baseline"/>
          <w:lang w:val="en-US" w:eastAsia="zh-CN" w:bidi="ar-SA"/>
        </w:rPr>
        <w:t>检测合规要求：核心产品及所有带检测要求的设备，交货时须提供完整有效的第三方检测机构检测报告原件，检测项目全覆盖、无缺项漏项，全部指标达标，与</w:t>
      </w:r>
      <w:r>
        <w:rPr>
          <w:rFonts w:hint="eastAsia" w:ascii="宋体" w:hAnsi="宋体" w:cs="宋体"/>
          <w:b w:val="0"/>
          <w:bCs w:val="0"/>
          <w:color w:val="auto"/>
          <w:kern w:val="2"/>
          <w:sz w:val="21"/>
          <w:szCs w:val="21"/>
          <w:highlight w:val="none"/>
          <w:vertAlign w:val="baseline"/>
          <w:lang w:val="en-US" w:eastAsia="zh-CN" w:bidi="ar-SA"/>
        </w:rPr>
        <w:t>供应商投标</w:t>
      </w:r>
      <w:r>
        <w:rPr>
          <w:rFonts w:hint="default" w:ascii="宋体" w:hAnsi="宋体" w:eastAsia="宋体" w:cs="宋体"/>
          <w:b w:val="0"/>
          <w:bCs w:val="0"/>
          <w:color w:val="auto"/>
          <w:kern w:val="2"/>
          <w:sz w:val="21"/>
          <w:szCs w:val="21"/>
          <w:highlight w:val="none"/>
          <w:vertAlign w:val="baseline"/>
          <w:lang w:val="en-US" w:eastAsia="zh-CN" w:bidi="ar-SA"/>
        </w:rPr>
        <w:t>阶段提交的样品检测标准一致。</w:t>
      </w:r>
    </w:p>
    <w:p w14:paraId="3E0AD433">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4、</w:t>
      </w:r>
      <w:r>
        <w:rPr>
          <w:rFonts w:hint="default" w:ascii="宋体" w:hAnsi="宋体" w:eastAsia="宋体" w:cs="宋体"/>
          <w:b w:val="0"/>
          <w:bCs w:val="0"/>
          <w:color w:val="auto"/>
          <w:kern w:val="2"/>
          <w:sz w:val="21"/>
          <w:szCs w:val="21"/>
          <w:highlight w:val="none"/>
          <w:vertAlign w:val="baseline"/>
          <w:lang w:val="en-US" w:eastAsia="zh-CN" w:bidi="ar-SA"/>
        </w:rPr>
        <w:t>样品一致性要求：最终交付成品须与投标提交的核心产品小样结构、材质、工艺、性能完全一致，不得降级、替换材质、简化工艺，采购人有权随机抽检核验，不一致视为质量不合格，无条件退换货并承担违约责任。</w:t>
      </w:r>
    </w:p>
    <w:p w14:paraId="3B17843F">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5、</w:t>
      </w:r>
      <w:r>
        <w:rPr>
          <w:rFonts w:hint="default" w:ascii="宋体" w:hAnsi="宋体" w:eastAsia="宋体" w:cs="宋体"/>
          <w:b w:val="0"/>
          <w:bCs w:val="0"/>
          <w:color w:val="auto"/>
          <w:kern w:val="2"/>
          <w:sz w:val="21"/>
          <w:szCs w:val="21"/>
          <w:highlight w:val="none"/>
          <w:vertAlign w:val="baseline"/>
          <w:lang w:val="en-US" w:eastAsia="zh-CN" w:bidi="ar-SA"/>
        </w:rPr>
        <w:t>本项目不接受进口产品，所有货物均为中国境内生产的本国产品，符合国办发〔2025〕34号本国产品认定标准。</w:t>
      </w:r>
    </w:p>
    <w:p w14:paraId="05A031C7">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default" w:ascii="宋体" w:hAnsi="宋体" w:eastAsia="宋体" w:cs="宋体"/>
          <w:b/>
          <w:bCs/>
          <w:color w:val="auto"/>
          <w:kern w:val="2"/>
          <w:sz w:val="21"/>
          <w:szCs w:val="21"/>
          <w:highlight w:val="none"/>
          <w:vertAlign w:val="baseline"/>
          <w:lang w:val="en-US" w:eastAsia="zh-CN" w:bidi="ar-SA"/>
        </w:rPr>
      </w:pPr>
      <w:bookmarkStart w:id="67" w:name="heading_3"/>
      <w:r>
        <w:rPr>
          <w:rFonts w:hint="eastAsia" w:ascii="宋体" w:hAnsi="宋体" w:cs="宋体"/>
          <w:b/>
          <w:bCs/>
          <w:color w:val="auto"/>
          <w:kern w:val="2"/>
          <w:sz w:val="21"/>
          <w:szCs w:val="21"/>
          <w:highlight w:val="none"/>
          <w:vertAlign w:val="baseline"/>
          <w:lang w:val="en-US" w:eastAsia="zh-CN" w:bidi="ar-SA"/>
        </w:rPr>
        <w:t>（四）</w:t>
      </w:r>
      <w:r>
        <w:rPr>
          <w:rFonts w:hint="default" w:ascii="宋体" w:hAnsi="宋体" w:eastAsia="宋体" w:cs="宋体"/>
          <w:b/>
          <w:bCs/>
          <w:color w:val="auto"/>
          <w:kern w:val="2"/>
          <w:sz w:val="21"/>
          <w:szCs w:val="21"/>
          <w:highlight w:val="none"/>
          <w:vertAlign w:val="baseline"/>
          <w:lang w:val="en-US" w:eastAsia="zh-CN" w:bidi="ar-SA"/>
        </w:rPr>
        <w:t>产品验收要求</w:t>
      </w:r>
      <w:bookmarkEnd w:id="67"/>
    </w:p>
    <w:p w14:paraId="31D70937">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w:t>
      </w:r>
      <w:r>
        <w:rPr>
          <w:rFonts w:hint="default" w:ascii="宋体" w:hAnsi="宋体" w:eastAsia="宋体" w:cs="宋体"/>
          <w:b w:val="0"/>
          <w:bCs w:val="0"/>
          <w:color w:val="auto"/>
          <w:kern w:val="2"/>
          <w:sz w:val="21"/>
          <w:szCs w:val="21"/>
          <w:highlight w:val="none"/>
          <w:vertAlign w:val="baseline"/>
          <w:lang w:val="en-US" w:eastAsia="zh-CN" w:bidi="ar-SA"/>
        </w:rPr>
        <w:t xml:space="preserve"> 进场初验：设备进场安装完成后，采购人对设备规格、数量、外观、材质、配件、检测报告、资质资料进行初验，核对产品参数、资料完整性，初验合格后方可投入赛事试运行。</w:t>
      </w:r>
    </w:p>
    <w:p w14:paraId="3CC1BE6D">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w:t>
      </w:r>
      <w:r>
        <w:rPr>
          <w:rFonts w:hint="default" w:ascii="宋体" w:hAnsi="宋体" w:eastAsia="宋体" w:cs="宋体"/>
          <w:b w:val="0"/>
          <w:bCs w:val="0"/>
          <w:color w:val="auto"/>
          <w:kern w:val="2"/>
          <w:sz w:val="21"/>
          <w:szCs w:val="21"/>
          <w:highlight w:val="none"/>
          <w:vertAlign w:val="baseline"/>
          <w:lang w:val="en-US" w:eastAsia="zh-CN" w:bidi="ar-SA"/>
        </w:rPr>
        <w:t>赛事试运行验收：赛事期间全程核验设备运行状态、防护性能、稳定性、防滑耐磨、精度指标，确认设备可满足高强度赛事竞赛使用需求，无故障、无性能偏差。</w:t>
      </w:r>
    </w:p>
    <w:p w14:paraId="35BAF8CD">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w:t>
      </w:r>
      <w:r>
        <w:rPr>
          <w:rFonts w:hint="default" w:ascii="宋体" w:hAnsi="宋体" w:eastAsia="宋体" w:cs="宋体"/>
          <w:b w:val="0"/>
          <w:bCs w:val="0"/>
          <w:color w:val="auto"/>
          <w:kern w:val="2"/>
          <w:sz w:val="21"/>
          <w:szCs w:val="21"/>
          <w:highlight w:val="none"/>
          <w:vertAlign w:val="baseline"/>
          <w:lang w:val="en-US" w:eastAsia="zh-CN" w:bidi="ar-SA"/>
        </w:rPr>
        <w:t>整体竣工验收：全部赛事结束后3个工作日内，供应商整理全套履约资料，向采购人提交终验申请。采购人组织验收小组，对照采购需求、</w:t>
      </w:r>
      <w:r>
        <w:rPr>
          <w:rFonts w:hint="eastAsia" w:ascii="宋体" w:hAnsi="宋体" w:cs="宋体"/>
          <w:b w:val="0"/>
          <w:bCs w:val="0"/>
          <w:color w:val="auto"/>
          <w:kern w:val="2"/>
          <w:sz w:val="21"/>
          <w:szCs w:val="21"/>
          <w:highlight w:val="none"/>
          <w:vertAlign w:val="baseline"/>
          <w:lang w:val="en-US" w:eastAsia="zh-CN" w:bidi="ar-SA"/>
        </w:rPr>
        <w:t>响应</w:t>
      </w:r>
      <w:r>
        <w:rPr>
          <w:rFonts w:hint="default" w:ascii="宋体" w:hAnsi="宋体" w:eastAsia="宋体" w:cs="宋体"/>
          <w:b w:val="0"/>
          <w:bCs w:val="0"/>
          <w:color w:val="auto"/>
          <w:kern w:val="2"/>
          <w:sz w:val="21"/>
          <w:szCs w:val="21"/>
          <w:highlight w:val="none"/>
          <w:vertAlign w:val="baseline"/>
          <w:lang w:val="en-US" w:eastAsia="zh-CN" w:bidi="ar-SA"/>
        </w:rPr>
        <w:t>承诺、技术参数、样品标准进行全面验收，验收合格出具正式验收报告；验收不合格的，供应商须限期无条件整改、更换，直至验收合格，由此产生的所有费用及赛事延误损失由供应商自行承担。</w:t>
      </w:r>
    </w:p>
    <w:p w14:paraId="2B106AE8">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4、</w:t>
      </w:r>
      <w:r>
        <w:rPr>
          <w:rFonts w:hint="default" w:ascii="宋体" w:hAnsi="宋体" w:eastAsia="宋体" w:cs="宋体"/>
          <w:b w:val="0"/>
          <w:bCs w:val="0"/>
          <w:color w:val="auto"/>
          <w:kern w:val="2"/>
          <w:sz w:val="21"/>
          <w:szCs w:val="21"/>
          <w:highlight w:val="none"/>
          <w:vertAlign w:val="baseline"/>
          <w:lang w:val="en-US" w:eastAsia="zh-CN" w:bidi="ar-SA"/>
        </w:rPr>
        <w:t>验收资料要求：供应商须同步提供完整的产品合格证、检测报告、出厂资料、运维手册、培训记录、设备清单、质保承诺书等全套资料，资料不齐、参数不符的不予验收。</w:t>
      </w:r>
    </w:p>
    <w:p w14:paraId="0C3D1A05">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5、</w:t>
      </w:r>
      <w:r>
        <w:rPr>
          <w:rFonts w:hint="default" w:ascii="宋体" w:hAnsi="宋体" w:eastAsia="宋体" w:cs="宋体"/>
          <w:b w:val="0"/>
          <w:bCs w:val="0"/>
          <w:color w:val="auto"/>
          <w:kern w:val="2"/>
          <w:sz w:val="21"/>
          <w:szCs w:val="21"/>
          <w:highlight w:val="none"/>
          <w:vertAlign w:val="baseline"/>
          <w:lang w:val="en-US" w:eastAsia="zh-CN" w:bidi="ar-SA"/>
        </w:rPr>
        <w:t>抽检复检机制：采购人有权对交付产品委托第三方机构进行随机抽检复检，若检测指标不达标，直接判定履约不合格，供应商承担全部违约责任。</w:t>
      </w:r>
    </w:p>
    <w:p w14:paraId="45F8E2DC">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default" w:ascii="宋体" w:hAnsi="宋体" w:eastAsia="宋体" w:cs="宋体"/>
          <w:b/>
          <w:bCs/>
          <w:color w:val="auto"/>
          <w:kern w:val="2"/>
          <w:sz w:val="21"/>
          <w:szCs w:val="21"/>
          <w:highlight w:val="none"/>
          <w:vertAlign w:val="baseline"/>
          <w:lang w:val="en-US" w:eastAsia="zh-CN" w:bidi="ar-SA"/>
        </w:rPr>
      </w:pPr>
      <w:bookmarkStart w:id="68" w:name="heading_4"/>
      <w:r>
        <w:rPr>
          <w:rFonts w:hint="eastAsia" w:ascii="宋体" w:hAnsi="宋体" w:cs="宋体"/>
          <w:b/>
          <w:bCs/>
          <w:color w:val="auto"/>
          <w:kern w:val="2"/>
          <w:sz w:val="21"/>
          <w:szCs w:val="21"/>
          <w:highlight w:val="none"/>
          <w:vertAlign w:val="baseline"/>
          <w:lang w:val="en-US" w:eastAsia="zh-CN" w:bidi="ar-SA"/>
        </w:rPr>
        <w:t>（五）</w:t>
      </w:r>
      <w:r>
        <w:rPr>
          <w:rFonts w:hint="default" w:ascii="宋体" w:hAnsi="宋体" w:eastAsia="宋体" w:cs="宋体"/>
          <w:b/>
          <w:bCs/>
          <w:color w:val="auto"/>
          <w:kern w:val="2"/>
          <w:sz w:val="21"/>
          <w:szCs w:val="21"/>
          <w:highlight w:val="none"/>
          <w:vertAlign w:val="baseline"/>
          <w:lang w:val="en-US" w:eastAsia="zh-CN" w:bidi="ar-SA"/>
        </w:rPr>
        <w:t>付款方式</w:t>
      </w:r>
      <w:bookmarkEnd w:id="68"/>
    </w:p>
    <w:p w14:paraId="798B0B7C">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1、预付款：合同经供需双方签字生效后，于5个工作日内支付合同金额的50%作为预付款。</w:t>
      </w:r>
    </w:p>
    <w:p w14:paraId="774095CA">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w:t>
      </w:r>
      <w:r>
        <w:rPr>
          <w:rFonts w:hint="default" w:ascii="宋体" w:hAnsi="宋体" w:eastAsia="宋体" w:cs="宋体"/>
          <w:b w:val="0"/>
          <w:bCs w:val="0"/>
          <w:color w:val="auto"/>
          <w:kern w:val="2"/>
          <w:sz w:val="21"/>
          <w:szCs w:val="21"/>
          <w:highlight w:val="none"/>
          <w:vertAlign w:val="baseline"/>
          <w:lang w:val="en-US" w:eastAsia="zh-CN" w:bidi="ar-SA"/>
        </w:rPr>
        <w:t>验收合格付款：项目全部赛事结束、整体验收合格，供应商提交完整合规发票及全套结算资料后，采购人在15个工作日内支付</w:t>
      </w:r>
      <w:r>
        <w:rPr>
          <w:rFonts w:hint="eastAsia" w:ascii="宋体" w:hAnsi="宋体" w:cs="宋体"/>
          <w:b w:val="0"/>
          <w:bCs w:val="0"/>
          <w:color w:val="auto"/>
          <w:kern w:val="2"/>
          <w:sz w:val="21"/>
          <w:szCs w:val="21"/>
          <w:highlight w:val="none"/>
          <w:vertAlign w:val="baseline"/>
          <w:lang w:val="en-US" w:eastAsia="zh-CN" w:bidi="ar-SA"/>
        </w:rPr>
        <w:t>合同尾款</w:t>
      </w:r>
      <w:r>
        <w:rPr>
          <w:rFonts w:hint="default" w:ascii="宋体" w:hAnsi="宋体" w:eastAsia="宋体" w:cs="宋体"/>
          <w:b w:val="0"/>
          <w:bCs w:val="0"/>
          <w:color w:val="auto"/>
          <w:kern w:val="2"/>
          <w:sz w:val="21"/>
          <w:szCs w:val="21"/>
          <w:highlight w:val="none"/>
          <w:vertAlign w:val="baseline"/>
          <w:lang w:val="en-US" w:eastAsia="zh-CN" w:bidi="ar-SA"/>
        </w:rPr>
        <w:t>。</w:t>
      </w:r>
    </w:p>
    <w:p w14:paraId="4034E3AE">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w:t>
      </w:r>
      <w:r>
        <w:rPr>
          <w:rFonts w:hint="default" w:ascii="宋体" w:hAnsi="宋体" w:eastAsia="宋体" w:cs="宋体"/>
          <w:b w:val="0"/>
          <w:bCs w:val="0"/>
          <w:color w:val="auto"/>
          <w:kern w:val="2"/>
          <w:sz w:val="21"/>
          <w:szCs w:val="21"/>
          <w:highlight w:val="none"/>
          <w:vertAlign w:val="baseline"/>
          <w:lang w:val="en-US" w:eastAsia="zh-CN" w:bidi="ar-SA"/>
        </w:rPr>
        <w:t>付款前提：</w:t>
      </w:r>
      <w:r>
        <w:rPr>
          <w:rFonts w:hint="eastAsia" w:ascii="宋体" w:hAnsi="宋体" w:cs="宋体"/>
          <w:b w:val="0"/>
          <w:bCs w:val="0"/>
          <w:color w:val="auto"/>
          <w:kern w:val="2"/>
          <w:sz w:val="21"/>
          <w:szCs w:val="21"/>
          <w:highlight w:val="none"/>
          <w:vertAlign w:val="baseline"/>
          <w:lang w:val="en-US" w:eastAsia="zh-CN" w:bidi="ar-SA"/>
        </w:rPr>
        <w:t>每阶段付款</w:t>
      </w:r>
      <w:r>
        <w:rPr>
          <w:rFonts w:hint="default" w:ascii="宋体" w:hAnsi="宋体" w:eastAsia="宋体" w:cs="宋体"/>
          <w:b w:val="0"/>
          <w:bCs w:val="0"/>
          <w:color w:val="auto"/>
          <w:kern w:val="2"/>
          <w:sz w:val="21"/>
          <w:szCs w:val="21"/>
          <w:highlight w:val="none"/>
          <w:vertAlign w:val="baseline"/>
          <w:lang w:val="en-US" w:eastAsia="zh-CN" w:bidi="ar-SA"/>
        </w:rPr>
        <w:t>供应商</w:t>
      </w:r>
      <w:r>
        <w:rPr>
          <w:rFonts w:hint="eastAsia" w:ascii="宋体" w:hAnsi="宋体" w:cs="宋体"/>
          <w:b w:val="0"/>
          <w:bCs w:val="0"/>
          <w:color w:val="auto"/>
          <w:kern w:val="2"/>
          <w:sz w:val="21"/>
          <w:szCs w:val="21"/>
          <w:highlight w:val="none"/>
          <w:vertAlign w:val="baseline"/>
          <w:lang w:val="en-US" w:eastAsia="zh-CN" w:bidi="ar-SA"/>
        </w:rPr>
        <w:t>需</w:t>
      </w:r>
      <w:r>
        <w:rPr>
          <w:rFonts w:hint="default" w:ascii="宋体" w:hAnsi="宋体" w:eastAsia="宋体" w:cs="宋体"/>
          <w:b w:val="0"/>
          <w:bCs w:val="0"/>
          <w:color w:val="auto"/>
          <w:kern w:val="2"/>
          <w:sz w:val="21"/>
          <w:szCs w:val="21"/>
          <w:highlight w:val="none"/>
          <w:vertAlign w:val="baseline"/>
          <w:lang w:val="en-US" w:eastAsia="zh-CN" w:bidi="ar-SA"/>
        </w:rPr>
        <w:t>按要求提供合规票据及完整资料，</w:t>
      </w:r>
      <w:r>
        <w:rPr>
          <w:rFonts w:hint="eastAsia" w:ascii="宋体" w:hAnsi="宋体" w:cs="宋体"/>
          <w:b w:val="0"/>
          <w:bCs w:val="0"/>
          <w:color w:val="auto"/>
          <w:kern w:val="2"/>
          <w:sz w:val="21"/>
          <w:szCs w:val="21"/>
          <w:highlight w:val="none"/>
          <w:vertAlign w:val="baseline"/>
          <w:lang w:val="en-US" w:eastAsia="zh-CN" w:bidi="ar-SA"/>
        </w:rPr>
        <w:t>待财政资金拔付到位后，履行资金拔付程序，因财政资金拔付流程导致的付款延误，不视为采购人违约。</w:t>
      </w:r>
      <w:bookmarkStart w:id="69" w:name="heading_5"/>
    </w:p>
    <w:p w14:paraId="09951356">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default" w:ascii="宋体" w:hAnsi="宋体" w:eastAsia="宋体" w:cs="宋体"/>
          <w:b/>
          <w:bCs/>
          <w:color w:val="auto"/>
          <w:kern w:val="2"/>
          <w:sz w:val="21"/>
          <w:szCs w:val="21"/>
          <w:highlight w:val="none"/>
          <w:vertAlign w:val="baseline"/>
          <w:lang w:val="en-US" w:eastAsia="zh-CN" w:bidi="ar-SA"/>
        </w:rPr>
      </w:pPr>
      <w:r>
        <w:rPr>
          <w:rFonts w:hint="default" w:ascii="宋体" w:hAnsi="宋体" w:eastAsia="宋体" w:cs="宋体"/>
          <w:b/>
          <w:bCs/>
          <w:color w:val="auto"/>
          <w:kern w:val="2"/>
          <w:sz w:val="21"/>
          <w:szCs w:val="21"/>
          <w:highlight w:val="none"/>
          <w:vertAlign w:val="baseline"/>
          <w:lang w:val="en-US" w:eastAsia="zh-CN" w:bidi="ar-SA"/>
        </w:rPr>
        <w:t>六、售后服务要求</w:t>
      </w:r>
      <w:bookmarkEnd w:id="69"/>
    </w:p>
    <w:p w14:paraId="1B6102F1">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default" w:ascii="宋体" w:hAnsi="宋体" w:eastAsia="宋体" w:cs="宋体"/>
          <w:b w:val="0"/>
          <w:bCs w:val="0"/>
          <w:color w:val="auto"/>
          <w:kern w:val="2"/>
          <w:sz w:val="21"/>
          <w:szCs w:val="21"/>
          <w:highlight w:val="none"/>
          <w:vertAlign w:val="baseline"/>
          <w:lang w:val="en-US" w:eastAsia="zh-CN" w:bidi="ar-SA"/>
        </w:rPr>
        <w:t>1. 技术培训服务：设备安装调试完成后，供应商须免费为采购人赛事运维人员、场地工作人员提供专项操作、日常维护、简易故障排查、设备收纳保养培训，确保相关人员熟练使用及运维，同步提供书面运维手册。</w:t>
      </w:r>
    </w:p>
    <w:p w14:paraId="6650AAA7">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default" w:ascii="宋体" w:hAnsi="宋体" w:eastAsia="宋体" w:cs="宋体"/>
          <w:b w:val="0"/>
          <w:bCs w:val="0"/>
          <w:color w:val="auto"/>
          <w:kern w:val="2"/>
          <w:sz w:val="21"/>
          <w:szCs w:val="21"/>
          <w:highlight w:val="none"/>
          <w:vertAlign w:val="baseline"/>
          <w:lang w:val="en-US" w:eastAsia="zh-CN" w:bidi="ar-SA"/>
        </w:rPr>
        <w:t>2. 日常维保服务：质保期内提</w:t>
      </w:r>
      <w:r>
        <w:rPr>
          <w:rFonts w:hint="eastAsia" w:ascii="宋体" w:hAnsi="宋体" w:cs="宋体"/>
          <w:b w:val="0"/>
          <w:bCs w:val="0"/>
          <w:color w:val="auto"/>
          <w:kern w:val="2"/>
          <w:sz w:val="21"/>
          <w:szCs w:val="21"/>
          <w:highlight w:val="none"/>
          <w:vertAlign w:val="baseline"/>
          <w:lang w:val="en-US" w:eastAsia="zh-CN" w:bidi="ar-SA"/>
        </w:rPr>
        <w:t>供</w:t>
      </w:r>
      <w:r>
        <w:rPr>
          <w:rFonts w:hint="default" w:ascii="宋体" w:hAnsi="宋体" w:eastAsia="宋体" w:cs="宋体"/>
          <w:b w:val="0"/>
          <w:bCs w:val="0"/>
          <w:color w:val="auto"/>
          <w:kern w:val="2"/>
          <w:sz w:val="21"/>
          <w:szCs w:val="21"/>
          <w:highlight w:val="none"/>
          <w:vertAlign w:val="baseline"/>
          <w:lang w:val="en-US" w:eastAsia="zh-CN" w:bidi="ar-SA"/>
        </w:rPr>
        <w:t>免费上门巡检、保养、校准服务，形成巡检台账，及时排查设备老化、松动、性能衰减等隐患，保障设备长期稳定运行。</w:t>
      </w:r>
    </w:p>
    <w:p w14:paraId="138CE232">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default" w:ascii="宋体" w:hAnsi="宋体" w:eastAsia="宋体" w:cs="宋体"/>
          <w:b w:val="0"/>
          <w:bCs w:val="0"/>
          <w:color w:val="auto"/>
          <w:kern w:val="2"/>
          <w:sz w:val="21"/>
          <w:szCs w:val="21"/>
          <w:highlight w:val="none"/>
          <w:vertAlign w:val="baseline"/>
          <w:lang w:val="en-US" w:eastAsia="zh-CN" w:bidi="ar-SA"/>
        </w:rPr>
        <w:t>3. 故障处置服务：建立7×24小时售后服务热线，全天候响应报修需求，严格执行</w:t>
      </w:r>
      <w:r>
        <w:rPr>
          <w:rFonts w:hint="eastAsia" w:ascii="宋体" w:hAnsi="宋体" w:cs="宋体"/>
          <w:b w:val="0"/>
          <w:bCs w:val="0"/>
          <w:color w:val="auto"/>
          <w:kern w:val="2"/>
          <w:sz w:val="21"/>
          <w:szCs w:val="21"/>
          <w:highlight w:val="none"/>
          <w:vertAlign w:val="baseline"/>
          <w:lang w:val="en-US" w:eastAsia="zh-CN" w:bidi="ar-SA"/>
        </w:rPr>
        <w:t>赛事专项保障承诺</w:t>
      </w:r>
      <w:r>
        <w:rPr>
          <w:rFonts w:hint="default" w:ascii="宋体" w:hAnsi="宋体" w:eastAsia="宋体" w:cs="宋体"/>
          <w:b w:val="0"/>
          <w:bCs w:val="0"/>
          <w:color w:val="auto"/>
          <w:kern w:val="2"/>
          <w:sz w:val="21"/>
          <w:szCs w:val="21"/>
          <w:highlight w:val="none"/>
          <w:vertAlign w:val="baseline"/>
          <w:lang w:val="en-US" w:eastAsia="zh-CN" w:bidi="ar-SA"/>
        </w:rPr>
        <w:t>，赛事期间优先处置、极速保障。</w:t>
      </w:r>
    </w:p>
    <w:p w14:paraId="34DD6CA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default" w:ascii="宋体" w:hAnsi="宋体" w:eastAsia="宋体" w:cs="宋体"/>
          <w:b w:val="0"/>
          <w:bCs w:val="0"/>
          <w:color w:val="auto"/>
          <w:kern w:val="2"/>
          <w:sz w:val="21"/>
          <w:szCs w:val="21"/>
          <w:highlight w:val="none"/>
          <w:vertAlign w:val="baseline"/>
          <w:lang w:val="en-US" w:eastAsia="zh-CN" w:bidi="ar-SA"/>
        </w:rPr>
        <w:t>4. 违约处置服务：供应商未按要求落实售后、赛事值守、维保整改义务的，</w:t>
      </w:r>
      <w:r>
        <w:rPr>
          <w:rFonts w:hint="eastAsia" w:ascii="宋体" w:hAnsi="宋体" w:cs="宋体"/>
          <w:b w:val="0"/>
          <w:bCs w:val="0"/>
          <w:color w:val="auto"/>
          <w:kern w:val="2"/>
          <w:sz w:val="21"/>
          <w:szCs w:val="21"/>
          <w:highlight w:val="none"/>
          <w:vertAlign w:val="baseline"/>
          <w:lang w:val="en-US" w:eastAsia="zh-CN" w:bidi="ar-SA"/>
        </w:rPr>
        <w:t>按供应商违约处理，追究</w:t>
      </w:r>
      <w:r>
        <w:rPr>
          <w:rFonts w:hint="default" w:ascii="宋体" w:hAnsi="宋体" w:eastAsia="宋体" w:cs="宋体"/>
          <w:b w:val="0"/>
          <w:bCs w:val="0"/>
          <w:color w:val="auto"/>
          <w:kern w:val="2"/>
          <w:sz w:val="21"/>
          <w:szCs w:val="21"/>
          <w:highlight w:val="none"/>
          <w:vertAlign w:val="baseline"/>
          <w:lang w:val="en-US" w:eastAsia="zh-CN" w:bidi="ar-SA"/>
        </w:rPr>
        <w:t>违约责任，并将不良履约记录上报政府采购监管部门，纳入政府采购信用档案。</w:t>
      </w:r>
    </w:p>
    <w:p w14:paraId="078826DB">
      <w:pPr>
        <w:keepNext w:val="0"/>
        <w:keepLines w:val="0"/>
        <w:pageBreakBefore w:val="0"/>
        <w:widowControl w:val="0"/>
        <w:numPr>
          <w:ilvl w:val="0"/>
          <w:numId w:val="0"/>
        </w:numPr>
        <w:kinsoku/>
        <w:wordWrap/>
        <w:overflowPunct/>
        <w:topLinePunct w:val="0"/>
        <w:autoSpaceDE/>
        <w:autoSpaceDN/>
        <w:bidi w:val="0"/>
        <w:snapToGrid/>
        <w:spacing w:line="360" w:lineRule="auto"/>
        <w:ind w:firstLine="422" w:firstLineChars="200"/>
        <w:textAlignment w:val="auto"/>
        <w:rPr>
          <w:rFonts w:hint="default" w:ascii="宋体" w:hAnsi="宋体" w:eastAsia="宋体" w:cs="宋体"/>
          <w:b/>
          <w:bCs/>
          <w:color w:val="auto"/>
          <w:kern w:val="2"/>
          <w:sz w:val="21"/>
          <w:szCs w:val="21"/>
          <w:highlight w:val="none"/>
          <w:vertAlign w:val="baseline"/>
          <w:lang w:val="en-US" w:eastAsia="zh-CN" w:bidi="ar-SA"/>
        </w:rPr>
      </w:pPr>
      <w:bookmarkStart w:id="70" w:name="heading_6"/>
      <w:r>
        <w:rPr>
          <w:rFonts w:hint="default" w:ascii="宋体" w:hAnsi="宋体" w:eastAsia="宋体" w:cs="宋体"/>
          <w:b/>
          <w:bCs/>
          <w:color w:val="auto"/>
          <w:kern w:val="2"/>
          <w:sz w:val="21"/>
          <w:szCs w:val="21"/>
          <w:highlight w:val="none"/>
          <w:vertAlign w:val="baseline"/>
          <w:lang w:val="en-US" w:eastAsia="zh-CN" w:bidi="ar-SA"/>
        </w:rPr>
        <w:t>七、其他商务要求</w:t>
      </w:r>
      <w:bookmarkEnd w:id="70"/>
    </w:p>
    <w:p w14:paraId="47F2E2C5">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1、</w:t>
      </w:r>
      <w:r>
        <w:rPr>
          <w:rFonts w:hint="default" w:ascii="宋体" w:hAnsi="宋体" w:eastAsia="宋体" w:cs="宋体"/>
          <w:b w:val="0"/>
          <w:bCs w:val="0"/>
          <w:color w:val="auto"/>
          <w:kern w:val="2"/>
          <w:sz w:val="21"/>
          <w:szCs w:val="21"/>
          <w:highlight w:val="none"/>
          <w:vertAlign w:val="baseline"/>
          <w:lang w:val="en-US" w:eastAsia="zh-CN" w:bidi="ar-SA"/>
        </w:rPr>
        <w:t>知识产权要求：本项目所有交付设备、配套资料的知识产权合法合规，无侵权纠纷，若产生知识产权争议，由供应商承担全部法律及经济责任。项目履约完成后，全部设备及配套资料使用权归采购人所有。</w:t>
      </w:r>
    </w:p>
    <w:p w14:paraId="5FD83E4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2、</w:t>
      </w:r>
      <w:r>
        <w:rPr>
          <w:rFonts w:hint="default" w:ascii="宋体" w:hAnsi="宋体" w:eastAsia="宋体" w:cs="宋体"/>
          <w:b w:val="0"/>
          <w:bCs w:val="0"/>
          <w:color w:val="auto"/>
          <w:kern w:val="2"/>
          <w:sz w:val="21"/>
          <w:szCs w:val="21"/>
          <w:highlight w:val="none"/>
          <w:vertAlign w:val="baseline"/>
          <w:lang w:val="en-US" w:eastAsia="zh-CN" w:bidi="ar-SA"/>
        </w:rPr>
        <w:t>安全履约要求：供应商进场安装、调试、运维人员须具备专业资质，作业过程中严格遵守场地安全管理规定，做好安全防护，履约期间发生的人员安全事故、财产损失，由供应商自行承担全部责任。</w:t>
      </w:r>
    </w:p>
    <w:p w14:paraId="35562FBC">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3、</w:t>
      </w:r>
      <w:r>
        <w:rPr>
          <w:rFonts w:hint="default" w:ascii="宋体" w:hAnsi="宋体" w:eastAsia="宋体" w:cs="宋体"/>
          <w:b w:val="0"/>
          <w:bCs w:val="0"/>
          <w:color w:val="auto"/>
          <w:kern w:val="2"/>
          <w:sz w:val="21"/>
          <w:szCs w:val="21"/>
          <w:highlight w:val="none"/>
          <w:vertAlign w:val="baseline"/>
          <w:lang w:val="en-US" w:eastAsia="zh-CN" w:bidi="ar-SA"/>
        </w:rPr>
        <w:t>资料归档要求：供应商须全程配合采购人完成政府采购履约归档工作，按要求提交样品资料、检测报告、验收资料、培训台账、维保记录等全套归档材料，确保项目履约资料完整合规。</w:t>
      </w:r>
    </w:p>
    <w:p w14:paraId="54ED536F">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4、</w:t>
      </w:r>
      <w:r>
        <w:rPr>
          <w:rFonts w:hint="default" w:ascii="宋体" w:hAnsi="宋体" w:eastAsia="宋体" w:cs="宋体"/>
          <w:b w:val="0"/>
          <w:bCs w:val="0"/>
          <w:color w:val="auto"/>
          <w:kern w:val="2"/>
          <w:sz w:val="21"/>
          <w:szCs w:val="21"/>
          <w:highlight w:val="none"/>
          <w:vertAlign w:val="baseline"/>
          <w:lang w:val="en-US" w:eastAsia="zh-CN" w:bidi="ar-SA"/>
        </w:rPr>
        <w:t>严禁转包分包：本项目不允许转包、违法分包，一经发现，采购人有权单方面解除合同、追究违约责任，并上报政府采购监管部门。</w:t>
      </w:r>
    </w:p>
    <w:p w14:paraId="3FD62F92">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default" w:ascii="宋体" w:hAnsi="宋体" w:eastAsia="宋体" w:cs="宋体"/>
          <w:b w:val="0"/>
          <w:bCs w:val="0"/>
          <w:color w:val="auto"/>
          <w:kern w:val="2"/>
          <w:sz w:val="21"/>
          <w:szCs w:val="21"/>
          <w:highlight w:val="none"/>
          <w:vertAlign w:val="baseline"/>
          <w:lang w:val="en-US" w:eastAsia="zh-CN" w:bidi="ar-SA"/>
        </w:rPr>
      </w:pPr>
      <w:r>
        <w:rPr>
          <w:rFonts w:hint="eastAsia" w:ascii="宋体" w:hAnsi="宋体" w:cs="宋体"/>
          <w:b w:val="0"/>
          <w:bCs w:val="0"/>
          <w:color w:val="auto"/>
          <w:kern w:val="2"/>
          <w:sz w:val="21"/>
          <w:szCs w:val="21"/>
          <w:highlight w:val="none"/>
          <w:vertAlign w:val="baseline"/>
          <w:lang w:val="en-US" w:eastAsia="zh-CN" w:bidi="ar-SA"/>
        </w:rPr>
        <w:t>5、本章节所有技术要求、商务要求均为实质性要求，供应商需完全响应，不接受负偏离。否则，将视为未实质性响应谈判文件要求，响应无效。</w:t>
      </w:r>
    </w:p>
    <w:p w14:paraId="5FCD4CD9">
      <w:pPr>
        <w:keepNext w:val="0"/>
        <w:keepLines w:val="0"/>
        <w:pageBreakBefore w:val="0"/>
        <w:widowControl w:val="0"/>
        <w:numPr>
          <w:ilvl w:val="0"/>
          <w:numId w:val="0"/>
        </w:numPr>
        <w:kinsoku/>
        <w:wordWrap/>
        <w:overflowPunct/>
        <w:topLinePunct w:val="0"/>
        <w:autoSpaceDE/>
        <w:autoSpaceDN/>
        <w:bidi w:val="0"/>
        <w:snapToGrid/>
        <w:spacing w:line="360" w:lineRule="auto"/>
        <w:ind w:firstLine="420" w:firstLineChars="200"/>
        <w:textAlignment w:val="auto"/>
        <w:rPr>
          <w:rFonts w:hint="eastAsia" w:ascii="宋体" w:hAnsi="宋体" w:eastAsia="宋体" w:cs="宋体"/>
          <w:b w:val="0"/>
          <w:bCs w:val="0"/>
          <w:color w:val="auto"/>
          <w:kern w:val="2"/>
          <w:sz w:val="21"/>
          <w:szCs w:val="21"/>
          <w:highlight w:val="none"/>
          <w:vertAlign w:val="baseline"/>
          <w:lang w:val="en-US" w:eastAsia="zh-CN" w:bidi="ar-SA"/>
        </w:rPr>
      </w:pPr>
    </w:p>
    <w:p w14:paraId="3334189E">
      <w:pPr>
        <w:rPr>
          <w:rFonts w:hint="eastAsia" w:cs="仿宋_GB2312" w:asciiTheme="minorEastAsia" w:hAnsiTheme="minorEastAsia" w:eastAsiaTheme="minorEastAsia"/>
          <w:b/>
          <w:color w:val="auto"/>
          <w:sz w:val="36"/>
          <w:szCs w:val="36"/>
          <w:highlight w:val="none"/>
        </w:rPr>
      </w:pPr>
      <w:bookmarkStart w:id="71" w:name="_Toc2129"/>
      <w:r>
        <w:rPr>
          <w:rFonts w:hint="eastAsia" w:cs="仿宋_GB2312" w:asciiTheme="minorEastAsia" w:hAnsiTheme="minorEastAsia" w:eastAsiaTheme="minorEastAsia"/>
          <w:b/>
          <w:color w:val="auto"/>
          <w:sz w:val="36"/>
          <w:szCs w:val="36"/>
          <w:highlight w:val="none"/>
        </w:rPr>
        <w:br w:type="page"/>
      </w:r>
    </w:p>
    <w:p w14:paraId="34040E3D">
      <w:pPr>
        <w:adjustRightInd/>
        <w:spacing w:line="360" w:lineRule="auto"/>
        <w:jc w:val="center"/>
        <w:outlineLvl w:val="0"/>
        <w:rPr>
          <w:rFonts w:cs="仿宋_GB2312" w:asciiTheme="minorEastAsia" w:hAnsiTheme="minorEastAsia" w:eastAsiaTheme="minorEastAsia"/>
          <w:b/>
          <w:color w:val="auto"/>
          <w:sz w:val="36"/>
          <w:szCs w:val="36"/>
          <w:highlight w:val="none"/>
        </w:rPr>
      </w:pPr>
      <w:r>
        <w:rPr>
          <w:rFonts w:hint="eastAsia" w:cs="仿宋_GB2312" w:asciiTheme="minorEastAsia" w:hAnsiTheme="minorEastAsia" w:eastAsiaTheme="minorEastAsia"/>
          <w:b/>
          <w:color w:val="auto"/>
          <w:sz w:val="36"/>
          <w:szCs w:val="36"/>
          <w:highlight w:val="none"/>
        </w:rPr>
        <w:t xml:space="preserve">第五部分  </w:t>
      </w:r>
      <w:bookmarkEnd w:id="61"/>
      <w:bookmarkEnd w:id="62"/>
      <w:bookmarkStart w:id="72" w:name="第四部分"/>
      <w:r>
        <w:rPr>
          <w:rFonts w:hint="eastAsia" w:cs="仿宋_GB2312" w:asciiTheme="minorEastAsia" w:hAnsiTheme="minorEastAsia" w:eastAsiaTheme="minorEastAsia"/>
          <w:b/>
          <w:color w:val="auto"/>
          <w:sz w:val="36"/>
          <w:szCs w:val="36"/>
          <w:highlight w:val="none"/>
        </w:rPr>
        <w:t>评定标准</w:t>
      </w:r>
      <w:bookmarkEnd w:id="71"/>
    </w:p>
    <w:p w14:paraId="29D3F978">
      <w:pPr>
        <w:adjustRightInd/>
        <w:spacing w:line="360" w:lineRule="auto"/>
        <w:ind w:firstLine="482" w:firstLineChars="200"/>
        <w:rPr>
          <w:rFonts w:cs="Arial" w:asciiTheme="minorEastAsia" w:hAnsiTheme="minorEastAsia" w:eastAsiaTheme="minorEastAsia"/>
          <w:b/>
          <w:color w:val="auto"/>
          <w:kern w:val="0"/>
          <w:sz w:val="24"/>
          <w:highlight w:val="none"/>
        </w:rPr>
      </w:pPr>
    </w:p>
    <w:p w14:paraId="3D5AF7B0">
      <w:pPr>
        <w:pStyle w:val="392"/>
        <w:numPr>
          <w:ilvl w:val="0"/>
          <w:numId w:val="8"/>
        </w:numPr>
        <w:spacing w:before="0"/>
        <w:ind w:firstLine="643"/>
        <w:jc w:val="center"/>
        <w:outlineLvl w:val="1"/>
        <w:rPr>
          <w:rFonts w:hint="eastAsia"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评审方法</w:t>
      </w:r>
    </w:p>
    <w:p w14:paraId="7E6952C7">
      <w:pPr>
        <w:pStyle w:val="392"/>
        <w:keepNext w:val="0"/>
        <w:keepLines w:val="0"/>
        <w:pageBreakBefore w:val="0"/>
        <w:widowControl w:val="0"/>
        <w:numPr>
          <w:ilvl w:val="0"/>
          <w:numId w:val="0"/>
        </w:numPr>
        <w:kinsoku/>
        <w:wordWrap/>
        <w:overflowPunct/>
        <w:topLinePunct w:val="0"/>
        <w:autoSpaceDE/>
        <w:autoSpaceDN/>
        <w:bidi w:val="0"/>
        <w:snapToGrid/>
        <w:spacing w:before="0"/>
        <w:ind w:firstLine="420" w:firstLineChars="200"/>
        <w:jc w:val="both"/>
        <w:textAlignment w:val="auto"/>
        <w:outlineLvl w:val="1"/>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谈判小组应当从质量和服务均能满足采购文件实质性响应要求的供应商中，按照最后报价由低到高的顺序提出3名以上成交候选人，并编写评审报告。对于未预留份额专门面向中小企业采购的政府采购项目，以及预留份额政府采购项目中的非预留部分标项，对符合《政府采购促进中小企业发展管理办法》规定的小型和微型企业的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6%的扣除，用扣除后的价格参加评审。对于专门面向中小企业采购的项目或者采购包，不再执行价格评审优惠的扶持政策。</w:t>
      </w:r>
    </w:p>
    <w:p w14:paraId="32DE13C1">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4DB7C3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本国产品是指在中国境内生产，即在中华人民共和国关境内通过原材料、组件的加工、制造或组装等工序，实现属性改变，产生具有新名称和特征（用途）且完全不同于原材料、组件的新产品。</w:t>
      </w:r>
    </w:p>
    <w:p w14:paraId="2995EE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49E81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产品在中国境内生产的组件成本，应按照《中国境内生产的组件成本核算基本规则》（详见附件）进行计算。当符合本国产品标准的产品成本之和占所提供全部产品成本之和的比例达到80%及以上时，供应商须对其提供的产品出具《关于符合本国产品标准的声明函》（详见附件），或财政部会同有关部门规定的相关证明文件。</w:t>
      </w:r>
    </w:p>
    <w:p w14:paraId="1B36A3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多家供应商提供相同品牌产品（单一产品采购项目中的该产品或者非单一产品采购项目的核心产品）且通过资格审查、符合性审查的不同供应商参加同一合同项下谈判的，按一家供应商计算，评审后报价最低的同品牌供应商获得成交人推荐资格；报价相同的，由采购人或者采购人委托谈判小组按照谈判文件规定的方式确定一个供应商获得成交人推荐资格，谈判文件未规定的采取随机抽取方式确定，其他同品牌供应商不作为成交候选人。</w:t>
      </w:r>
    </w:p>
    <w:p w14:paraId="7D2B22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根据中华人民共和国财政部《关于推动解决政府采购异常低价问题的通知》（财库〔2026〕2号）规定，政府采购项目评审中出现下列情形之一的，谈判小组应当启动异常低价响应审查程序:</w:t>
      </w:r>
    </w:p>
    <w:p w14:paraId="260693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1、响应报价低于全部通过符合性审查供应商响应报价平均值65%的，即响应报价〈全部通过符合性审查供应商响应报价平均值×65%；</w:t>
      </w:r>
    </w:p>
    <w:p w14:paraId="32F81F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2、响应报价低于通过符合性审查的次低报价供应商响应报价65%的，即响应报价〈通过符合性审查的次低报价供应商响应报价×65%；</w:t>
      </w:r>
    </w:p>
    <w:p w14:paraId="0BDCFB7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3、响应报价低于采购项目最高限价65%的，即响应报价〈采购项目最高限价×65%；</w:t>
      </w:r>
    </w:p>
    <w:p w14:paraId="4F5DA7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4、谈判小组基于专业判断，认为供应商报价过低，有可能影响产品质量或者不能诚信履约的其他情形。</w:t>
      </w:r>
    </w:p>
    <w:p w14:paraId="3862AD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谈判小组启动异常低价响应审查后，应当要求相关供应商在评审现场合理的时间内对响应价格作出解释，提供项目具体成本测算等与报价合理性相关的书面说明及必要的证明材料，包括但不限于原材料成本、人工成本、制造费用等。</w:t>
      </w:r>
    </w:p>
    <w:p w14:paraId="713837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Arial" w:asciiTheme="minorEastAsia" w:hAnsiTheme="minorEastAsia" w:eastAsiaTheme="minorEastAsia"/>
          <w:color w:val="auto"/>
          <w:kern w:val="0"/>
          <w:sz w:val="21"/>
          <w:szCs w:val="21"/>
          <w:highlight w:val="none"/>
          <w:lang w:val="en-US" w:eastAsia="zh-CN"/>
        </w:rPr>
      </w:pPr>
      <w:r>
        <w:rPr>
          <w:rFonts w:hint="eastAsia" w:cs="Arial" w:asciiTheme="minorEastAsia" w:hAnsiTheme="minorEastAsia" w:eastAsiaTheme="minorEastAsia"/>
          <w:color w:val="auto"/>
          <w:kern w:val="0"/>
          <w:sz w:val="21"/>
          <w:szCs w:val="21"/>
          <w:highlight w:val="none"/>
          <w:lang w:val="en-US" w:eastAsia="zh-CN"/>
        </w:rPr>
        <w:t>谈判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谈判小组应当将其作为无效响应处理。</w:t>
      </w:r>
    </w:p>
    <w:p w14:paraId="0158BEAE">
      <w:pPr>
        <w:adjustRightInd/>
        <w:spacing w:line="360" w:lineRule="auto"/>
        <w:rPr>
          <w:rFonts w:hint="default" w:cs="Arial" w:asciiTheme="minorEastAsia" w:hAnsiTheme="minorEastAsia" w:eastAsiaTheme="minorEastAsia"/>
          <w:color w:val="auto"/>
          <w:kern w:val="0"/>
          <w:sz w:val="24"/>
          <w:highlight w:val="none"/>
          <w:lang w:val="en-US" w:eastAsia="zh-CN"/>
        </w:rPr>
      </w:pPr>
    </w:p>
    <w:p w14:paraId="25098C47">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二、谈判小组的组成</w:t>
      </w:r>
    </w:p>
    <w:p w14:paraId="38FF02BF">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1.谈判小组的组成。</w:t>
      </w:r>
    </w:p>
    <w:p w14:paraId="01E317C2">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谈判小组由采购人代表和评审专家共3人以上单数组成，其中评审专家人数不得少于谈判小组成员总数的2/3。采购人代表不得以评审专家身份参加本部门或本单位采购项目的评审。采购代理机构人员不得参加本机构代理的采购项目的评审。</w:t>
      </w:r>
    </w:p>
    <w:p w14:paraId="46270214">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达到公开招标数额标准的货物采购项目，竞争性谈判小组应当由5人以上单数组成。</w:t>
      </w:r>
    </w:p>
    <w:p w14:paraId="749D200C">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采用竞争性谈判采购的政府采购项目，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76E6D1D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2.谈判小组的组成人员的回避。</w:t>
      </w:r>
    </w:p>
    <w:p w14:paraId="1974D358">
      <w:pPr>
        <w:pStyle w:val="392"/>
        <w:keepNext w:val="0"/>
        <w:keepLines w:val="0"/>
        <w:pageBreakBefore w:val="0"/>
        <w:widowControl w:val="0"/>
        <w:kinsoku/>
        <w:wordWrap/>
        <w:overflowPunct/>
        <w:topLinePunct w:val="0"/>
        <w:autoSpaceDE/>
        <w:autoSpaceDN/>
        <w:bidi w:val="0"/>
        <w:adjustRightInd w:val="0"/>
        <w:spacing w:before="0"/>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在政府采购活动中，谈判小组的组成人员与供应商有下列利害关系之一的，应当回避：</w:t>
      </w:r>
    </w:p>
    <w:p w14:paraId="247C321E">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　　2.1参加采购活动前3年内与供应商存在劳动关系；</w:t>
      </w:r>
    </w:p>
    <w:p w14:paraId="7F10F52F">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　　2.2参加采购活动前3年内担任供应商的董事、监事；</w:t>
      </w:r>
    </w:p>
    <w:p w14:paraId="5DB81276">
      <w:pPr>
        <w:pStyle w:val="392"/>
        <w:keepNext w:val="0"/>
        <w:keepLines w:val="0"/>
        <w:pageBreakBefore w:val="0"/>
        <w:widowControl w:val="0"/>
        <w:kinsoku/>
        <w:wordWrap/>
        <w:overflowPunct/>
        <w:topLinePunct w:val="0"/>
        <w:autoSpaceDE/>
        <w:autoSpaceDN/>
        <w:bidi w:val="0"/>
        <w:adjustRightInd w:val="0"/>
        <w:spacing w:before="0"/>
        <w:ind w:firstLine="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　　2.3参加采购活动前3年内是供应商的控股股东或者实际控制人；</w:t>
      </w:r>
    </w:p>
    <w:p w14:paraId="2C452E44">
      <w:pPr>
        <w:pStyle w:val="392"/>
        <w:keepNext w:val="0"/>
        <w:keepLines w:val="0"/>
        <w:pageBreakBefore w:val="0"/>
        <w:widowControl w:val="0"/>
        <w:kinsoku/>
        <w:wordWrap/>
        <w:overflowPunct/>
        <w:topLinePunct w:val="0"/>
        <w:autoSpaceDE/>
        <w:autoSpaceDN/>
        <w:bidi w:val="0"/>
        <w:adjustRightInd w:val="0"/>
        <w:spacing w:before="0"/>
        <w:ind w:firstLine="48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2.4与供应商的法定代表人或者负责人有夫妻、直系血亲、三代以内旁系血亲或者近姻亲关系；</w:t>
      </w:r>
    </w:p>
    <w:p w14:paraId="58B4852F">
      <w:pPr>
        <w:pStyle w:val="392"/>
        <w:keepNext w:val="0"/>
        <w:keepLines w:val="0"/>
        <w:pageBreakBefore w:val="0"/>
        <w:widowControl w:val="0"/>
        <w:kinsoku/>
        <w:wordWrap/>
        <w:overflowPunct/>
        <w:topLinePunct w:val="0"/>
        <w:autoSpaceDE/>
        <w:autoSpaceDN/>
        <w:bidi w:val="0"/>
        <w:adjustRightInd w:val="0"/>
        <w:spacing w:before="0"/>
        <w:ind w:firstLine="480" w:firstLineChars="0"/>
        <w:textAlignment w:val="auto"/>
        <w:rPr>
          <w:rFonts w:cs="Arial" w:asciiTheme="minorEastAsia" w:hAnsiTheme="minorEastAsia" w:eastAsiaTheme="minorEastAsia"/>
          <w:color w:val="auto"/>
          <w:kern w:val="0"/>
          <w:sz w:val="21"/>
          <w:szCs w:val="21"/>
          <w:highlight w:val="none"/>
        </w:rPr>
      </w:pPr>
      <w:r>
        <w:rPr>
          <w:rFonts w:hint="eastAsia" w:cs="Arial" w:asciiTheme="minorEastAsia" w:hAnsiTheme="minorEastAsia" w:eastAsiaTheme="minorEastAsia"/>
          <w:color w:val="auto"/>
          <w:kern w:val="0"/>
          <w:sz w:val="21"/>
          <w:szCs w:val="21"/>
          <w:highlight w:val="none"/>
        </w:rPr>
        <w:t>2.5与供应商有其他可能影响政府采购活动公平、公正进行的关系。</w:t>
      </w:r>
    </w:p>
    <w:p w14:paraId="579DB12D">
      <w:pPr>
        <w:snapToGrid w:val="0"/>
        <w:spacing w:line="360" w:lineRule="auto"/>
        <w:ind w:left="120" w:leftChars="57" w:firstLine="482" w:firstLineChars="150"/>
        <w:jc w:val="center"/>
        <w:rPr>
          <w:rFonts w:cs="仿宋_GB2312" w:asciiTheme="minorEastAsia" w:hAnsiTheme="minorEastAsia" w:eastAsiaTheme="minorEastAsia"/>
          <w:b/>
          <w:color w:val="auto"/>
          <w:sz w:val="32"/>
          <w:highlight w:val="none"/>
        </w:rPr>
      </w:pPr>
    </w:p>
    <w:p w14:paraId="2AB0051B">
      <w:pPr>
        <w:snapToGrid w:val="0"/>
        <w:spacing w:line="360" w:lineRule="auto"/>
        <w:ind w:left="120" w:leftChars="57" w:firstLine="482" w:firstLineChars="150"/>
        <w:jc w:val="center"/>
        <w:outlineLvl w:val="1"/>
        <w:rPr>
          <w:rFonts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highlight w:val="none"/>
        </w:rPr>
        <w:t>三、谈判小组的职责</w:t>
      </w:r>
    </w:p>
    <w:p w14:paraId="3CC87E05">
      <w:pPr>
        <w:pStyle w:val="392"/>
        <w:spacing w:before="0"/>
        <w:ind w:firstLine="0" w:firstLineChars="0"/>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1.谈判小组负责具体评审事务，并独立履行下列职责：</w:t>
      </w:r>
    </w:p>
    <w:p w14:paraId="50672015">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1.1对供应商的资格进行审查；对响应文件的有效性、完整性和响应程度进行审查；</w:t>
      </w:r>
    </w:p>
    <w:p w14:paraId="363A20CD">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1.2审查、评价响应文件是否符合谈判文件的商务、技术等实质性要求；</w:t>
      </w:r>
    </w:p>
    <w:p w14:paraId="5A898DD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1.3要求供应商对响应文件有关事项作出澄清、说明或者更正；</w:t>
      </w:r>
    </w:p>
    <w:p w14:paraId="7EC2C3F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1.4谈判小组集中与单一供应商分别进行谈判；</w:t>
      </w:r>
    </w:p>
    <w:p w14:paraId="57043065">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1.5谈判小组根据谈判文件和谈判情况实质性变动采购需求中的技术、服务要求以及合同草案条款，并确定提交最后报价的供应商；</w:t>
      </w:r>
    </w:p>
    <w:p w14:paraId="0FBEA0B4">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1.6根据谈判文件确定的评定标准对提交最后报价的供应商的响应文件和最后报价进行评定；</w:t>
      </w:r>
    </w:p>
    <w:p w14:paraId="34E1A935">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1.7编制评审报告，确定成交候选人名单，以及根据采购人委托直接确定成交人；</w:t>
      </w:r>
    </w:p>
    <w:p w14:paraId="7ABD136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1.8向采购人、采购代理机构或者有关部门报告评审中发现的违法行为；</w:t>
      </w:r>
    </w:p>
    <w:p w14:paraId="647D5F3E">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1.9法律、法规、规章、谈判文件等规定的其它事项。</w:t>
      </w:r>
    </w:p>
    <w:p w14:paraId="739BA3BB">
      <w:pPr>
        <w:pStyle w:val="392"/>
        <w:spacing w:before="0"/>
        <w:ind w:firstLine="0" w:firstLineChars="0"/>
        <w:rPr>
          <w:rFonts w:cs="Arial" w:asciiTheme="minorEastAsia" w:hAnsiTheme="minorEastAsia" w:eastAsiaTheme="minorEastAsia"/>
          <w:b/>
          <w:color w:val="auto"/>
          <w:kern w:val="0"/>
          <w:sz w:val="21"/>
          <w:szCs w:val="21"/>
          <w:highlight w:val="none"/>
        </w:rPr>
      </w:pPr>
      <w:r>
        <w:rPr>
          <w:rFonts w:hint="eastAsia" w:cs="Arial" w:asciiTheme="minorEastAsia" w:hAnsiTheme="minorEastAsia" w:eastAsiaTheme="minorEastAsia"/>
          <w:b/>
          <w:color w:val="auto"/>
          <w:kern w:val="0"/>
          <w:sz w:val="21"/>
          <w:szCs w:val="21"/>
          <w:highlight w:val="none"/>
        </w:rPr>
        <w:t>2.谈判小组及其成员不得有下列行为：</w:t>
      </w:r>
    </w:p>
    <w:p w14:paraId="389E4203">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2.1确定参与本项目至评审结束前私自接触供应商；</w:t>
      </w:r>
    </w:p>
    <w:p w14:paraId="5CEF4234">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2.2接受供应商提出的“超出响应文件的范围或者改变响应文件的实质性内容”的澄清、说明或者更正； </w:t>
      </w:r>
    </w:p>
    <w:p w14:paraId="62B8B1AA">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2.3违反评审纪律发表倾向性意见或者征询采购人的倾向性意见；</w:t>
      </w:r>
    </w:p>
    <w:p w14:paraId="7BA0EA72">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2.4在评审过程中擅离职守，影响评审程序正常进行的；</w:t>
      </w:r>
    </w:p>
    <w:p w14:paraId="3237BFBB">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2.5记录、复制或者带走任何评审资料；</w:t>
      </w:r>
    </w:p>
    <w:p w14:paraId="200775BA">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2.6其他不遵守评审纪律的行为。</w:t>
      </w:r>
    </w:p>
    <w:p w14:paraId="5D6FACF8">
      <w:pPr>
        <w:pStyle w:val="392"/>
        <w:spacing w:before="0"/>
        <w:ind w:firstLine="48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谈判小组成员有2.1-2.4行为之一的，其评审意见无效，并不得获取评审劳务报酬和报销异地评审差旅费。</w:t>
      </w:r>
    </w:p>
    <w:p w14:paraId="43905D6A">
      <w:pPr>
        <w:pStyle w:val="392"/>
        <w:spacing w:before="0"/>
        <w:ind w:firstLine="0" w:firstLineChars="0"/>
        <w:rPr>
          <w:rFonts w:asciiTheme="minorEastAsia" w:hAnsiTheme="minorEastAsia" w:eastAsiaTheme="minorEastAsia"/>
          <w:b/>
          <w:color w:val="auto"/>
          <w:highlight w:val="none"/>
        </w:rPr>
      </w:pPr>
    </w:p>
    <w:p w14:paraId="7AF8FAD8">
      <w:pPr>
        <w:pStyle w:val="392"/>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四、评审程序</w:t>
      </w:r>
    </w:p>
    <w:p w14:paraId="623EE1A7">
      <w:pPr>
        <w:pStyle w:val="392"/>
        <w:spacing w:before="0"/>
        <w:ind w:firstLine="413" w:firstLineChars="196"/>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详见谈判文件“第二部分 竞争性谈判流程”。</w:t>
      </w:r>
    </w:p>
    <w:p w14:paraId="00DFD002">
      <w:pPr>
        <w:pStyle w:val="392"/>
        <w:spacing w:before="0"/>
        <w:ind w:firstLine="0" w:firstLineChars="0"/>
        <w:rPr>
          <w:rFonts w:asciiTheme="minorEastAsia" w:hAnsiTheme="minorEastAsia" w:eastAsiaTheme="minorEastAsia"/>
          <w:b/>
          <w:color w:val="auto"/>
          <w:highlight w:val="none"/>
        </w:rPr>
      </w:pPr>
    </w:p>
    <w:p w14:paraId="22DBA59B">
      <w:pPr>
        <w:pStyle w:val="392"/>
        <w:spacing w:before="0"/>
        <w:ind w:firstLine="0" w:firstLineChars="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五、评审须知</w:t>
      </w:r>
    </w:p>
    <w:p w14:paraId="5176A23C">
      <w:pPr>
        <w:pStyle w:val="392"/>
        <w:keepNext w:val="0"/>
        <w:keepLines w:val="0"/>
        <w:pageBreakBefore w:val="0"/>
        <w:widowControl w:val="0"/>
        <w:kinsoku/>
        <w:wordWrap/>
        <w:overflowPunct/>
        <w:topLinePunct w:val="0"/>
        <w:autoSpaceDE/>
        <w:autoSpaceDN/>
        <w:bidi w:val="0"/>
        <w:adjustRightInd w:val="0"/>
        <w:snapToGrid/>
        <w:spacing w:before="0"/>
        <w:ind w:firstLine="0" w:firstLineChars="0"/>
        <w:textAlignment w:val="auto"/>
        <w:rPr>
          <w:rFonts w:cs="仿宋_GB2312"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1. 响应文件的澄清</w:t>
      </w:r>
    </w:p>
    <w:p w14:paraId="1B68204E">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对于响应文件中含义不明确、同类问题表述不一致或者有明显文字和计算错误的内容需要供应商做出必要的澄清、说明或者补正的，谈判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669F4610">
      <w:pPr>
        <w:pStyle w:val="392"/>
        <w:keepNext w:val="0"/>
        <w:keepLines w:val="0"/>
        <w:pageBreakBefore w:val="0"/>
        <w:widowControl w:val="0"/>
        <w:numPr>
          <w:ilvl w:val="0"/>
          <w:numId w:val="9"/>
        </w:numPr>
        <w:kinsoku/>
        <w:wordWrap/>
        <w:overflowPunct/>
        <w:topLinePunct w:val="0"/>
        <w:autoSpaceDE/>
        <w:autoSpaceDN/>
        <w:bidi w:val="0"/>
        <w:adjustRightInd w:val="0"/>
        <w:snapToGrid/>
        <w:spacing w:before="0"/>
        <w:ind w:firstLine="0" w:firstLineChars="0"/>
        <w:textAlignment w:val="auto"/>
        <w:rPr>
          <w:rFonts w:cs="仿宋_GB2312"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最后报价的修正原则</w:t>
      </w:r>
    </w:p>
    <w:p w14:paraId="5FD08009">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谈判小组对响应文件的最后报价进行审核，对发现计算、书写等错误的，按以下原则进行修正：</w:t>
      </w:r>
    </w:p>
    <w:p w14:paraId="2E725D81">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2.1《最后报价一览表》内容与响应文件中响应内容不一致的，以《最后报价一览表》为准;</w:t>
      </w:r>
    </w:p>
    <w:p w14:paraId="2858E8E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2.2大写金额和小写金额不一致的，以大写金额为准;</w:t>
      </w:r>
    </w:p>
    <w:p w14:paraId="4B2502F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2.3单价金额小数点或者百分比有明显错位的，以《最后报价一览表》的总价为准，并修改单价;</w:t>
      </w:r>
    </w:p>
    <w:p w14:paraId="5F9C1DA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2.4总价金额与按单价汇总金额不一致的，以单价金额计算结果为准。</w:t>
      </w:r>
    </w:p>
    <w:p w14:paraId="232BAF4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2.5同时出现两种以上不一致的，按照前款规定的顺序修正。</w:t>
      </w:r>
    </w:p>
    <w:p w14:paraId="6EFBDF4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2.6以修正后的总价作为最后报价。</w:t>
      </w:r>
    </w:p>
    <w:p w14:paraId="348371F6">
      <w:pPr>
        <w:keepNext w:val="0"/>
        <w:keepLines w:val="0"/>
        <w:pageBreakBefore w:val="0"/>
        <w:widowControl w:val="0"/>
        <w:kinsoku/>
        <w:wordWrap/>
        <w:overflowPunct/>
        <w:topLinePunct w:val="0"/>
        <w:autoSpaceDE/>
        <w:autoSpaceDN/>
        <w:bidi w:val="0"/>
        <w:adjustRightInd w:val="0"/>
        <w:snapToGrid/>
        <w:spacing w:line="360" w:lineRule="auto"/>
        <w:textAlignment w:val="auto"/>
        <w:rPr>
          <w:rFonts w:cs="仿宋_GB2312" w:asciiTheme="minorEastAsia" w:hAnsiTheme="minorEastAsia" w:eastAsiaTheme="minorEastAsia"/>
          <w:b/>
          <w:bCs/>
          <w:color w:val="auto"/>
          <w:sz w:val="21"/>
          <w:szCs w:val="21"/>
          <w:highlight w:val="none"/>
        </w:rPr>
      </w:pPr>
      <w:r>
        <w:rPr>
          <w:rFonts w:hint="eastAsia" w:cs="仿宋_GB2312" w:asciiTheme="minorEastAsia" w:hAnsiTheme="minorEastAsia" w:eastAsiaTheme="minorEastAsia"/>
          <w:bCs/>
          <w:color w:val="auto"/>
          <w:sz w:val="21"/>
          <w:szCs w:val="21"/>
          <w:highlight w:val="none"/>
        </w:rPr>
        <w:t>▲</w:t>
      </w:r>
      <w:r>
        <w:rPr>
          <w:rFonts w:hint="eastAsia" w:cs="仿宋_GB2312" w:asciiTheme="minorEastAsia" w:hAnsiTheme="minorEastAsia" w:eastAsiaTheme="minorEastAsia"/>
          <w:b/>
          <w:bCs/>
          <w:color w:val="auto"/>
          <w:sz w:val="21"/>
          <w:szCs w:val="21"/>
          <w:highlight w:val="none"/>
        </w:rPr>
        <w:t>供应商对根据修正原则修正后的最后报价不确认的，响应无效。</w:t>
      </w:r>
    </w:p>
    <w:p w14:paraId="6E1F4B9A">
      <w:pPr>
        <w:pStyle w:val="392"/>
        <w:keepNext w:val="0"/>
        <w:keepLines w:val="0"/>
        <w:pageBreakBefore w:val="0"/>
        <w:widowControl w:val="0"/>
        <w:numPr>
          <w:ilvl w:val="0"/>
          <w:numId w:val="9"/>
        </w:numPr>
        <w:kinsoku/>
        <w:wordWrap/>
        <w:overflowPunct/>
        <w:topLinePunct w:val="0"/>
        <w:autoSpaceDE/>
        <w:autoSpaceDN/>
        <w:bidi w:val="0"/>
        <w:adjustRightInd w:val="0"/>
        <w:snapToGrid/>
        <w:spacing w:before="0"/>
        <w:ind w:left="0" w:leftChars="0" w:firstLine="0" w:firstLineChars="0"/>
        <w:textAlignment w:val="auto"/>
        <w:rPr>
          <w:rFonts w:cs="仿宋_GB2312"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pacing w:val="20"/>
          <w:sz w:val="21"/>
          <w:szCs w:val="21"/>
          <w:highlight w:val="none"/>
        </w:rPr>
        <w:t>响应无效</w:t>
      </w:r>
    </w:p>
    <w:p w14:paraId="0C34535F">
      <w:pPr>
        <w:pStyle w:val="23"/>
        <w:keepNext w:val="0"/>
        <w:keepLines w:val="0"/>
        <w:pageBreakBefore w:val="0"/>
        <w:widowControl w:val="0"/>
        <w:kinsoku/>
        <w:wordWrap/>
        <w:overflowPunct/>
        <w:topLinePunct w:val="0"/>
        <w:autoSpaceDE/>
        <w:autoSpaceDN/>
        <w:bidi w:val="0"/>
        <w:adjustRightInd w:val="0"/>
        <w:snapToGrid/>
        <w:spacing w:line="360" w:lineRule="auto"/>
        <w:ind w:left="0" w:leftChars="0" w:firstLine="420" w:firstLineChars="200"/>
        <w:textAlignment w:val="auto"/>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有下列情况之一的，响应无效</w:t>
      </w:r>
      <w:r>
        <w:rPr>
          <w:rFonts w:hint="eastAsia" w:asciiTheme="minorEastAsia" w:hAnsiTheme="minorEastAsia" w:eastAsiaTheme="minorEastAsia"/>
          <w:color w:val="auto"/>
          <w:sz w:val="21"/>
          <w:szCs w:val="21"/>
          <w:highlight w:val="none"/>
        </w:rPr>
        <w:t>：</w:t>
      </w:r>
    </w:p>
    <w:p w14:paraId="093900E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cs="仿宋_GB2312"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w:t>
      </w:r>
      <w:r>
        <w:rPr>
          <w:rFonts w:hint="eastAsia" w:cs="仿宋_GB2312" w:asciiTheme="minorEastAsia" w:hAnsiTheme="minorEastAsia" w:eastAsiaTheme="minorEastAsia"/>
          <w:color w:val="auto"/>
          <w:sz w:val="21"/>
          <w:szCs w:val="21"/>
          <w:highlight w:val="none"/>
        </w:rPr>
        <w:t>单位负责人为同一人或者存在直接控股、管理关系的不同供应商参加同一合同项下的政府采购活动的（均无效）；</w:t>
      </w:r>
    </w:p>
    <w:p w14:paraId="46B0740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3.2为采购项目提供整体设计、规范编制或者项目管理、监理、检测等服务的供应商再参加该采购项目的其他采购活动的； </w:t>
      </w:r>
    </w:p>
    <w:p w14:paraId="1F794D8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3.3供应商不具备谈判文件中规定的资格要求的（供应商未提供有效的资格证明文件的，视为供应商不具备谈判文件中规定的资格要求）；</w:t>
      </w:r>
    </w:p>
    <w:p w14:paraId="52111D9C">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3.4如以联合体形式参加政府采购活动的，联合协议不符合谈判文件规定的联合协议要求的；</w:t>
      </w:r>
    </w:p>
    <w:p w14:paraId="58D4E81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3.5响应文件未按谈判文件的澄清、修改的内容编制，又不符合实质性要求的；</w:t>
      </w:r>
    </w:p>
    <w:p w14:paraId="30B05AD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3.6响应文件组成漏项，内容不全或内容字迹模糊辨认不清的；</w:t>
      </w:r>
    </w:p>
    <w:p w14:paraId="0D49F657">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3.7响应文件中法人授权书所载内容与本项目内容有异的；</w:t>
      </w:r>
    </w:p>
    <w:p w14:paraId="6DE7465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3.8响应文件未按照谈判文件要求签署、盖章的；</w:t>
      </w:r>
    </w:p>
    <w:p w14:paraId="059CA23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3.9</w:t>
      </w:r>
      <w:r>
        <w:rPr>
          <w:rFonts w:hint="eastAsia" w:ascii="宋体" w:hAnsi="宋体" w:cs="宋体"/>
          <w:color w:val="auto"/>
          <w:kern w:val="0"/>
          <w:sz w:val="21"/>
          <w:szCs w:val="21"/>
          <w:highlight w:val="none"/>
        </w:rPr>
        <w:t>采购人拟采购的产品属于政府强制采购的节能产品品目清单范围的，供应商相应的响应产品未获得国家确定的认证机构出具的、处于有效期之内的节能产品认证证书的；</w:t>
      </w:r>
    </w:p>
    <w:p w14:paraId="06ED81A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3.10响应文件含有采购人不能接受的附加条件的；</w:t>
      </w:r>
    </w:p>
    <w:p w14:paraId="19C1436A">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3.11响应文件中承诺的响应有效期少于谈判文件中载明的响应有效期的；</w:t>
      </w:r>
    </w:p>
    <w:p w14:paraId="6ACFD29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3.12供应商所投内容不符合谈判文件中实质性要求的；</w:t>
      </w:r>
    </w:p>
    <w:p w14:paraId="77C01D4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3.13所提交的《最后报价一览表》中出现不是唯一的、有选择性的报价的;</w:t>
      </w:r>
    </w:p>
    <w:p w14:paraId="5BB21E1C">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3.14最后报价高于本项目采购预算或者最高限价的;</w:t>
      </w:r>
    </w:p>
    <w:p w14:paraId="5B2C61C5">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3.15《最后报价一览表》填写不完整或字迹不能辨认或有漏项的；</w:t>
      </w:r>
    </w:p>
    <w:p w14:paraId="0739B55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3.16供应商对根据修正原则修正后的最后报价不确认的；</w:t>
      </w:r>
    </w:p>
    <w:p w14:paraId="3383594A">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3.17供应商提供虚假材料响应的（包括但不限于以下情节）；</w:t>
      </w:r>
    </w:p>
    <w:p w14:paraId="638A17A4">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3.17.1使用伪造、变造的许可证件；</w:t>
      </w:r>
    </w:p>
    <w:p w14:paraId="57A5AAF8">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3.17.2提供虚假的财务状况或者业绩；</w:t>
      </w:r>
    </w:p>
    <w:p w14:paraId="65377B4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3.17.3提供虚假的项目负责人或者主要技术人员简历、劳动关系证明；</w:t>
      </w:r>
    </w:p>
    <w:p w14:paraId="51C4EB70">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3.17.4提供虚假的信用状况；</w:t>
      </w:r>
    </w:p>
    <w:p w14:paraId="43335A3E">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3.17.5其他弄虚作假的行为。</w:t>
      </w:r>
    </w:p>
    <w:p w14:paraId="3036D3E4">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3.18供应商有恶意串通、妨碍其他供应商的竞争行为、损害采购人或者其他供应商的合法权益情形的。</w:t>
      </w:r>
    </w:p>
    <w:p w14:paraId="134D9B73">
      <w:pPr>
        <w:keepNext w:val="0"/>
        <w:keepLines w:val="0"/>
        <w:pageBreakBefore w:val="0"/>
        <w:widowControl w:val="0"/>
        <w:kinsoku/>
        <w:wordWrap/>
        <w:overflowPunct/>
        <w:topLinePunct w:val="0"/>
        <w:autoSpaceDE/>
        <w:autoSpaceDN/>
        <w:bidi w:val="0"/>
        <w:adjustRightInd w:val="0"/>
        <w:snapToGrid/>
        <w:spacing w:line="360" w:lineRule="auto"/>
        <w:ind w:firstLine="48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有下列情形之一的，属于或视为恶意串通，其响应无效：</w:t>
      </w:r>
    </w:p>
    <w:p w14:paraId="19B6B7B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3.18.1供应商直接或者间接从采购人或者采购代理机构处获得其他供应商的相关情况并修改其响应文件；</w:t>
      </w:r>
    </w:p>
    <w:p w14:paraId="0F78FBA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3.18.2供应商按照采购人或者采购代理机构的授意撤换、修改投标文件或者响应文件；</w:t>
      </w:r>
    </w:p>
    <w:p w14:paraId="60BDA96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3.18.3供应商之间协商报价、技术方案等投标文件或者响应文件的实质性内容；</w:t>
      </w:r>
    </w:p>
    <w:p w14:paraId="2C4847A2">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3.18.4属于同一集团、协会、商会等组织成员的供应商按照该组织要求协同参加政府采购活动；</w:t>
      </w:r>
    </w:p>
    <w:p w14:paraId="22374D7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3.18.5供应商之间事先约定由某一特定供应商中标、成交；</w:t>
      </w:r>
    </w:p>
    <w:p w14:paraId="5B2361E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3.18.6供应商之间商定部分供应商放弃参加政府采购活动或者放弃中标、成交；</w:t>
      </w:r>
    </w:p>
    <w:p w14:paraId="70432833">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3.18.7供应商与采购人或者采购代理机构之间、供应商相互之间，为谋求特定供应商中标、成交或者排斥其他供应商的其他串通行为。</w:t>
      </w:r>
    </w:p>
    <w:p w14:paraId="31C99796">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3.18.8不同供应商的响应文件由同一单位或者个人编制；</w:t>
      </w:r>
    </w:p>
    <w:p w14:paraId="75C0E421">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3.18.9不同供应商委托同一单位或者个人办理响应事宜；</w:t>
      </w:r>
    </w:p>
    <w:p w14:paraId="3B4AE13E">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3.18.10不同供应商的响应文件载明的项目管理成员或者联系人员为同一人；</w:t>
      </w:r>
    </w:p>
    <w:p w14:paraId="0F29C0DC">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3.18.11不同供应商的响应文件异常一致或者最后报价呈规律性差异。</w:t>
      </w:r>
    </w:p>
    <w:p w14:paraId="009D0CA1">
      <w:pPr>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3.19供应商仅提交备份响应文件，没有在电子交易平台传输提交响应文件的，响应无效；</w:t>
      </w:r>
    </w:p>
    <w:p w14:paraId="0412EA1D">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3.20法律、法规、规章（适用本市的）及省级以上规范性文件（适用本市的）规定的其他无效情形。</w:t>
      </w:r>
    </w:p>
    <w:p w14:paraId="63C57E40">
      <w:pPr>
        <w:pStyle w:val="392"/>
        <w:keepNext w:val="0"/>
        <w:keepLines w:val="0"/>
        <w:pageBreakBefore w:val="0"/>
        <w:widowControl w:val="0"/>
        <w:kinsoku/>
        <w:wordWrap/>
        <w:overflowPunct/>
        <w:topLinePunct w:val="0"/>
        <w:autoSpaceDE/>
        <w:autoSpaceDN/>
        <w:bidi w:val="0"/>
        <w:adjustRightInd w:val="0"/>
        <w:snapToGrid/>
        <w:spacing w:before="0"/>
        <w:ind w:firstLine="0" w:firstLineChars="0"/>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4. 重新开展采购活动</w:t>
      </w:r>
    </w:p>
    <w:p w14:paraId="0823557A">
      <w:pPr>
        <w:keepNext w:val="0"/>
        <w:keepLines w:val="0"/>
        <w:pageBreakBefore w:val="0"/>
        <w:widowControl w:val="0"/>
        <w:kinsoku/>
        <w:wordWrap/>
        <w:overflowPunct/>
        <w:topLinePunct w:val="0"/>
        <w:autoSpaceDE/>
        <w:autoSpaceDN/>
        <w:bidi w:val="0"/>
        <w:adjustRightInd w:val="0"/>
        <w:snapToGrid/>
        <w:spacing w:line="360" w:lineRule="auto"/>
        <w:ind w:firstLine="407" w:firstLineChars="194"/>
        <w:textAlignment w:val="auto"/>
        <w:rPr>
          <w:rFonts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 xml:space="preserve"> </w:t>
      </w:r>
      <w:r>
        <w:rPr>
          <w:rFonts w:hint="eastAsia" w:asciiTheme="minorEastAsia" w:hAnsiTheme="minorEastAsia" w:eastAsiaTheme="minorEastAsia"/>
          <w:color w:val="auto"/>
          <w:sz w:val="21"/>
          <w:szCs w:val="21"/>
          <w:highlight w:val="none"/>
        </w:rPr>
        <w:t>出现下列情形之一的，采购代理机构应当终止竞争性谈判采购活动，通过电子交易平台发布项目终止公告并说明原因，重新开展采购活动：</w:t>
      </w:r>
    </w:p>
    <w:p w14:paraId="5D12D321">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（1）因情况变化，不再符合规定的竞争性谈判采购方式适用情形的；</w:t>
      </w:r>
    </w:p>
    <w:p w14:paraId="02EB3C96">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（2）出现影响采购公正的违法、违规行为的；</w:t>
      </w:r>
    </w:p>
    <w:p w14:paraId="76E81DE9">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（3）在采购过程中符合竞争要求的供应商或者报价未超过采购预算的供应商不足3家的，但《政府采购非招标采购方式管理办法》第二十七条第二款规定的情形除外。</w:t>
      </w:r>
    </w:p>
    <w:p w14:paraId="616D502D">
      <w:pPr>
        <w:pStyle w:val="392"/>
        <w:keepNext w:val="0"/>
        <w:keepLines w:val="0"/>
        <w:pageBreakBefore w:val="0"/>
        <w:widowControl w:val="0"/>
        <w:kinsoku/>
        <w:wordWrap/>
        <w:overflowPunct/>
        <w:topLinePunct w:val="0"/>
        <w:autoSpaceDE/>
        <w:autoSpaceDN/>
        <w:bidi w:val="0"/>
        <w:adjustRightInd w:val="0"/>
        <w:snapToGrid/>
        <w:spacing w:before="0"/>
        <w:ind w:firstLine="0" w:firstLineChars="0"/>
        <w:textAlignment w:val="auto"/>
        <w:rPr>
          <w:rFonts w:asciiTheme="minorEastAsia" w:hAnsiTheme="minorEastAsia" w:eastAsiaTheme="minorEastAsia"/>
          <w:b/>
          <w:color w:val="auto"/>
          <w:sz w:val="21"/>
          <w:szCs w:val="21"/>
          <w:highlight w:val="none"/>
        </w:rPr>
      </w:pPr>
      <w:r>
        <w:rPr>
          <w:rFonts w:hint="eastAsia" w:asciiTheme="minorEastAsia" w:hAnsiTheme="minorEastAsia" w:eastAsiaTheme="minorEastAsia"/>
          <w:b/>
          <w:color w:val="auto"/>
          <w:sz w:val="21"/>
          <w:szCs w:val="21"/>
          <w:highlight w:val="none"/>
        </w:rPr>
        <w:t>5. 终止采购活动</w:t>
      </w:r>
    </w:p>
    <w:p w14:paraId="38E40132">
      <w:pPr>
        <w:keepNext w:val="0"/>
        <w:keepLines w:val="0"/>
        <w:pageBreakBefore w:val="0"/>
        <w:widowControl w:val="0"/>
        <w:kinsoku/>
        <w:wordWrap/>
        <w:overflowPunct/>
        <w:topLinePunct w:val="0"/>
        <w:autoSpaceDE/>
        <w:autoSpaceDN/>
        <w:bidi w:val="0"/>
        <w:adjustRightInd w:val="0"/>
        <w:snapToGrid/>
        <w:spacing w:line="360" w:lineRule="auto"/>
        <w:ind w:firstLine="407" w:firstLineChars="194"/>
        <w:textAlignment w:val="auto"/>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在采购活动中因重大变故，采购任务取消的，采购代理机构将终止采购活动，通过电子交易平台通知所有参加采购活动的供应商，并将项目实施情况和采购任务取消原因报送本级财政部门。</w:t>
      </w:r>
    </w:p>
    <w:p w14:paraId="3E98DFC8">
      <w:pPr>
        <w:keepNext w:val="0"/>
        <w:keepLines w:val="0"/>
        <w:pageBreakBefore w:val="0"/>
        <w:widowControl w:val="0"/>
        <w:kinsoku/>
        <w:wordWrap/>
        <w:overflowPunct/>
        <w:topLinePunct w:val="0"/>
        <w:autoSpaceDE/>
        <w:autoSpaceDN/>
        <w:bidi w:val="0"/>
        <w:adjustRightInd w:val="0"/>
        <w:snapToGrid/>
        <w:spacing w:line="360" w:lineRule="auto"/>
        <w:textAlignment w:val="auto"/>
        <w:rPr>
          <w:rFonts w:hint="default" w:asciiTheme="minorEastAsia" w:hAnsiTheme="minorEastAsia" w:eastAsiaTheme="minorEastAsia"/>
          <w:b/>
          <w:color w:val="auto"/>
          <w:sz w:val="21"/>
          <w:szCs w:val="21"/>
          <w:highlight w:val="none"/>
          <w:lang w:val="en-US" w:eastAsia="zh-CN"/>
        </w:rPr>
      </w:pPr>
      <w:r>
        <w:rPr>
          <w:rFonts w:asciiTheme="minorEastAsia" w:hAnsiTheme="minorEastAsia" w:eastAsiaTheme="minorEastAsia"/>
          <w:b/>
          <w:color w:val="auto"/>
          <w:sz w:val="21"/>
          <w:szCs w:val="21"/>
          <w:highlight w:val="none"/>
        </w:rPr>
        <w:t xml:space="preserve">6. </w:t>
      </w:r>
      <w:r>
        <w:rPr>
          <w:rFonts w:hint="eastAsia" w:asciiTheme="minorEastAsia" w:hAnsiTheme="minorEastAsia" w:eastAsiaTheme="minorEastAsia"/>
          <w:b/>
          <w:color w:val="auto"/>
          <w:sz w:val="21"/>
          <w:szCs w:val="21"/>
          <w:highlight w:val="none"/>
          <w:lang w:val="en-US" w:eastAsia="zh-CN"/>
        </w:rPr>
        <w:t>合规性审查</w:t>
      </w:r>
    </w:p>
    <w:p w14:paraId="3E23308B">
      <w:pPr>
        <w:keepNext w:val="0"/>
        <w:keepLines w:val="0"/>
        <w:pageBreakBefore w:val="0"/>
        <w:widowControl w:val="0"/>
        <w:kinsoku/>
        <w:wordWrap/>
        <w:overflowPunct/>
        <w:topLinePunct w:val="0"/>
        <w:autoSpaceDE/>
        <w:autoSpaceDN/>
        <w:bidi w:val="0"/>
        <w:adjustRightInd w:val="0"/>
        <w:snapToGrid/>
        <w:spacing w:line="360" w:lineRule="auto"/>
        <w:ind w:firstLine="420" w:firstLineChars="200"/>
        <w:textAlignment w:val="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b w:val="0"/>
          <w:bCs/>
          <w:color w:val="auto"/>
          <w:sz w:val="21"/>
          <w:szCs w:val="21"/>
          <w:highlight w:val="none"/>
        </w:rPr>
        <w:t>采购代理机构有权对谈判小组各成员的评审情况和评审意见进行合理性和合规性审查，</w:t>
      </w:r>
      <w:r>
        <w:rPr>
          <w:rFonts w:hint="eastAsia" w:cs="仿宋_GB2312" w:asciiTheme="minorEastAsia" w:hAnsiTheme="minorEastAsia" w:eastAsiaTheme="minorEastAsia"/>
          <w:color w:val="auto"/>
          <w:sz w:val="21"/>
          <w:szCs w:val="21"/>
          <w:highlight w:val="none"/>
        </w:rPr>
        <w:t>如发现谈判小组成员的评审意见带有明显倾向性，或不按规定程序和标准评审，谈判小组成员应进行书面澄清和说明；谈判小组成员拒不接受采购代理机构审查的，采购代理机构将向同级政府采购监督管理部门报告并予以处理。</w:t>
      </w:r>
    </w:p>
    <w:p w14:paraId="363164F8">
      <w:pPr>
        <w:pStyle w:val="392"/>
        <w:spacing w:before="0"/>
        <w:ind w:firstLine="0" w:firstLineChars="0"/>
        <w:rPr>
          <w:rFonts w:cs="仿宋_GB2312" w:asciiTheme="minorEastAsia" w:hAnsiTheme="minorEastAsia" w:eastAsiaTheme="minorEastAsia"/>
          <w:b/>
          <w:color w:val="auto"/>
          <w:highlight w:val="none"/>
        </w:rPr>
      </w:pPr>
    </w:p>
    <w:p w14:paraId="0A300F8C">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highlight w:val="none"/>
        </w:rPr>
      </w:pPr>
      <w:r>
        <w:rPr>
          <w:rFonts w:hint="eastAsia" w:cs="仿宋_GB2312" w:asciiTheme="minorEastAsia" w:hAnsiTheme="minorEastAsia" w:eastAsiaTheme="minorEastAsia"/>
          <w:b/>
          <w:color w:val="auto"/>
          <w:sz w:val="32"/>
          <w:highlight w:val="none"/>
        </w:rPr>
        <w:t>六、评审过程的保密与录像</w:t>
      </w:r>
    </w:p>
    <w:p w14:paraId="6D33641E">
      <w:pPr>
        <w:widowControl/>
        <w:spacing w:line="360" w:lineRule="auto"/>
        <w:ind w:firstLine="422"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b/>
          <w:color w:val="auto"/>
          <w:sz w:val="21"/>
          <w:szCs w:val="21"/>
          <w:highlight w:val="none"/>
        </w:rPr>
        <w:t>1.保密。</w:t>
      </w:r>
      <w:r>
        <w:rPr>
          <w:rFonts w:hint="eastAsia" w:cs="仿宋_GB2312" w:asciiTheme="minorEastAsia" w:hAnsiTheme="minorEastAsia" w:eastAsiaTheme="minorEastAsia"/>
          <w:color w:val="auto"/>
          <w:sz w:val="21"/>
          <w:szCs w:val="21"/>
          <w:highlight w:val="none"/>
        </w:rPr>
        <w:t>评审活动在严格保密的情况下进行。评审过程中凡是与响应文件评审和比较、成交人推荐等评审有关的情况，以及涉及国家秘密和商业秘密等信息，谈判小组成员、采购人和采购代理机构工作人员、相关监督人员等与评审有关的人员应当予以保密。</w:t>
      </w:r>
    </w:p>
    <w:p w14:paraId="4B8D9A2F">
      <w:pPr>
        <w:widowControl/>
        <w:spacing w:line="360" w:lineRule="auto"/>
        <w:ind w:firstLine="422"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b/>
          <w:color w:val="auto"/>
          <w:sz w:val="21"/>
          <w:szCs w:val="21"/>
          <w:highlight w:val="none"/>
        </w:rPr>
        <w:t>2.录音录像。</w:t>
      </w:r>
      <w:r>
        <w:rPr>
          <w:rFonts w:hint="eastAsia" w:cs="仿宋_GB2312" w:asciiTheme="minorEastAsia" w:hAnsiTheme="minorEastAsia" w:eastAsiaTheme="minorEastAsia"/>
          <w:color w:val="auto"/>
          <w:sz w:val="21"/>
          <w:szCs w:val="21"/>
          <w:highlight w:val="none"/>
        </w:rPr>
        <w:t>采购代理机构对评审工作现场进行全过程录音录像，录音录像资料作为采购项目文件随其他文件一并存档。</w:t>
      </w:r>
    </w:p>
    <w:p w14:paraId="5D9ED0E0">
      <w:pPr>
        <w:widowControl/>
        <w:adjustRightInd/>
        <w:jc w:val="left"/>
        <w:rPr>
          <w:rFonts w:cs="仿宋_GB2312" w:asciiTheme="minorEastAsia" w:hAnsiTheme="minorEastAsia" w:eastAsiaTheme="minorEastAsia"/>
          <w:b/>
          <w:color w:val="auto"/>
          <w:sz w:val="36"/>
          <w:szCs w:val="36"/>
          <w:highlight w:val="none"/>
        </w:rPr>
      </w:pPr>
      <w:r>
        <w:rPr>
          <w:rFonts w:cs="仿宋_GB2312" w:asciiTheme="minorEastAsia" w:hAnsiTheme="minorEastAsia" w:eastAsiaTheme="minorEastAsia"/>
          <w:b/>
          <w:color w:val="auto"/>
          <w:sz w:val="36"/>
          <w:szCs w:val="36"/>
          <w:highlight w:val="none"/>
        </w:rPr>
        <w:br w:type="page"/>
      </w:r>
    </w:p>
    <w:p w14:paraId="23A60F70">
      <w:pPr>
        <w:spacing w:line="360" w:lineRule="auto"/>
        <w:jc w:val="center"/>
        <w:outlineLvl w:val="0"/>
        <w:rPr>
          <w:rFonts w:cs="仿宋_GB2312" w:asciiTheme="minorEastAsia" w:hAnsiTheme="minorEastAsia" w:eastAsiaTheme="minorEastAsia"/>
          <w:b/>
          <w:color w:val="auto"/>
          <w:sz w:val="36"/>
          <w:szCs w:val="36"/>
          <w:highlight w:val="none"/>
        </w:rPr>
      </w:pPr>
      <w:bookmarkStart w:id="73" w:name="_Toc31982"/>
      <w:r>
        <w:rPr>
          <w:rFonts w:hint="eastAsia" w:cs="仿宋_GB2312" w:asciiTheme="minorEastAsia" w:hAnsiTheme="minorEastAsia" w:eastAsiaTheme="minorEastAsia"/>
          <w:b/>
          <w:color w:val="auto"/>
          <w:sz w:val="36"/>
          <w:szCs w:val="36"/>
          <w:highlight w:val="none"/>
        </w:rPr>
        <w:t>第六部分</w:t>
      </w:r>
      <w:bookmarkEnd w:id="72"/>
      <w:r>
        <w:rPr>
          <w:rFonts w:hint="eastAsia" w:cs="仿宋_GB2312" w:asciiTheme="minorEastAsia" w:hAnsiTheme="minorEastAsia" w:eastAsiaTheme="minorEastAsia"/>
          <w:b/>
          <w:color w:val="auto"/>
          <w:sz w:val="36"/>
          <w:szCs w:val="36"/>
          <w:highlight w:val="none"/>
        </w:rPr>
        <w:t xml:space="preserve">  拟签订的合同文本</w:t>
      </w:r>
      <w:bookmarkEnd w:id="73"/>
    </w:p>
    <w:p w14:paraId="09D49D92">
      <w:pPr>
        <w:spacing w:line="480" w:lineRule="auto"/>
        <w:jc w:val="center"/>
        <w:rPr>
          <w:rFonts w:ascii="宋体" w:hAnsi="宋体" w:cs="宋体"/>
          <w:b/>
          <w:color w:val="auto"/>
          <w:sz w:val="24"/>
          <w:highlight w:val="none"/>
        </w:rPr>
      </w:pPr>
      <w:bookmarkStart w:id="74" w:name="第五部分"/>
      <w:bookmarkStart w:id="75" w:name="_Toc86217003"/>
    </w:p>
    <w:p w14:paraId="3762577C">
      <w:pPr>
        <w:adjustRightInd/>
        <w:spacing w:line="600" w:lineRule="exact"/>
        <w:ind w:firstLine="1044"/>
        <w:rPr>
          <w:rFonts w:ascii="宋体" w:hAnsi="宋体" w:cs="宋体"/>
          <w:b/>
          <w:color w:val="auto"/>
          <w:kern w:val="0"/>
          <w:sz w:val="52"/>
          <w:szCs w:val="52"/>
          <w:highlight w:val="none"/>
        </w:rPr>
      </w:pPr>
    </w:p>
    <w:p w14:paraId="71D91A10">
      <w:pPr>
        <w:adjustRightInd/>
        <w:jc w:val="center"/>
        <w:rPr>
          <w:rFonts w:ascii="宋体" w:hAnsi="宋体" w:cs="宋体"/>
          <w:b/>
          <w:bCs/>
          <w:color w:val="auto"/>
          <w:spacing w:val="-20"/>
          <w:kern w:val="44"/>
          <w:sz w:val="48"/>
          <w:szCs w:val="48"/>
          <w:highlight w:val="none"/>
        </w:rPr>
      </w:pPr>
      <w:bookmarkStart w:id="76" w:name="_Toc3995"/>
      <w:r>
        <w:rPr>
          <w:rFonts w:hint="eastAsia" w:ascii="宋体" w:hAnsi="宋体" w:cs="宋体"/>
          <w:b/>
          <w:bCs/>
          <w:color w:val="auto"/>
          <w:spacing w:val="-20"/>
          <w:kern w:val="44"/>
          <w:sz w:val="48"/>
          <w:szCs w:val="48"/>
          <w:highlight w:val="none"/>
        </w:rPr>
        <w:t>北海市政府采购合同</w:t>
      </w:r>
    </w:p>
    <w:p w14:paraId="3B78531C">
      <w:pPr>
        <w:adjustRightInd/>
        <w:jc w:val="center"/>
        <w:rPr>
          <w:rFonts w:ascii="宋体" w:hAnsi="宋体" w:cs="宋体"/>
          <w:b/>
          <w:bCs/>
          <w:color w:val="auto"/>
          <w:spacing w:val="-20"/>
          <w:kern w:val="44"/>
          <w:sz w:val="36"/>
          <w:szCs w:val="36"/>
          <w:highlight w:val="none"/>
        </w:rPr>
      </w:pPr>
    </w:p>
    <w:p w14:paraId="2DC21247">
      <w:pPr>
        <w:adjustRightInd/>
        <w:jc w:val="center"/>
        <w:rPr>
          <w:rFonts w:ascii="宋体" w:hAnsi="宋体" w:cs="宋体"/>
          <w:b/>
          <w:bCs/>
          <w:color w:val="auto"/>
          <w:spacing w:val="-20"/>
          <w:kern w:val="44"/>
          <w:sz w:val="36"/>
          <w:szCs w:val="36"/>
          <w:highlight w:val="none"/>
        </w:rPr>
      </w:pPr>
      <w:r>
        <w:rPr>
          <w:rFonts w:hint="eastAsia" w:ascii="宋体" w:hAnsi="宋体" w:cs="宋体"/>
          <w:b/>
          <w:bCs/>
          <w:color w:val="auto"/>
          <w:spacing w:val="-20"/>
          <w:kern w:val="44"/>
          <w:sz w:val="36"/>
          <w:szCs w:val="36"/>
          <w:highlight w:val="none"/>
        </w:rPr>
        <w:t>（货物类）</w:t>
      </w:r>
    </w:p>
    <w:p w14:paraId="5EDAD2C3">
      <w:pPr>
        <w:adjustRightInd/>
        <w:rPr>
          <w:rFonts w:ascii="宋体" w:hAnsi="宋体" w:cs="宋体"/>
          <w:b/>
          <w:bCs/>
          <w:color w:val="auto"/>
          <w:spacing w:val="-20"/>
          <w:kern w:val="44"/>
          <w:sz w:val="40"/>
          <w:szCs w:val="40"/>
          <w:highlight w:val="none"/>
        </w:rPr>
      </w:pPr>
    </w:p>
    <w:p w14:paraId="50266762">
      <w:pPr>
        <w:adjustRightInd/>
        <w:rPr>
          <w:rFonts w:ascii="宋体" w:hAnsi="宋体" w:cs="宋体"/>
          <w:b/>
          <w:bCs/>
          <w:color w:val="auto"/>
          <w:spacing w:val="-20"/>
          <w:kern w:val="44"/>
          <w:sz w:val="40"/>
          <w:szCs w:val="40"/>
          <w:highlight w:val="none"/>
        </w:rPr>
      </w:pPr>
    </w:p>
    <w:p w14:paraId="6B3E4DE7">
      <w:pPr>
        <w:adjustRightInd/>
        <w:rPr>
          <w:rFonts w:ascii="宋体" w:hAnsi="宋体" w:cs="宋体"/>
          <w:b/>
          <w:bCs/>
          <w:color w:val="auto"/>
          <w:spacing w:val="-20"/>
          <w:kern w:val="44"/>
          <w:sz w:val="40"/>
          <w:szCs w:val="40"/>
          <w:highlight w:val="none"/>
        </w:rPr>
      </w:pPr>
    </w:p>
    <w:p w14:paraId="3D37227B">
      <w:pPr>
        <w:adjustRightInd/>
        <w:spacing w:line="360" w:lineRule="auto"/>
        <w:ind w:left="1680" w:leftChars="800"/>
        <w:rPr>
          <w:color w:val="auto"/>
          <w:sz w:val="32"/>
          <w:szCs w:val="32"/>
          <w:highlight w:val="none"/>
        </w:rPr>
      </w:pPr>
      <w:r>
        <w:rPr>
          <w:rFonts w:hint="eastAsia" w:ascii="宋体" w:hAnsi="宋体" w:cs="宋体"/>
          <w:color w:val="auto"/>
          <w:kern w:val="0"/>
          <w:sz w:val="32"/>
          <w:szCs w:val="32"/>
          <w:highlight w:val="none"/>
        </w:rPr>
        <w:t>项目名称：</w:t>
      </w:r>
      <w:r>
        <w:rPr>
          <w:color w:val="auto"/>
          <w:sz w:val="32"/>
          <w:szCs w:val="32"/>
          <w:highlight w:val="none"/>
          <w:u w:val="single"/>
        </w:rPr>
        <w:t xml:space="preserve">                             </w:t>
      </w:r>
    </w:p>
    <w:p w14:paraId="7AB09BAE">
      <w:pPr>
        <w:adjustRightInd/>
        <w:spacing w:line="360" w:lineRule="auto"/>
        <w:ind w:left="1680" w:leftChars="800"/>
        <w:rPr>
          <w:color w:val="auto"/>
          <w:sz w:val="32"/>
          <w:szCs w:val="32"/>
          <w:highlight w:val="none"/>
          <w:u w:val="single"/>
        </w:rPr>
      </w:pPr>
      <w:r>
        <w:rPr>
          <w:rFonts w:hint="eastAsia"/>
          <w:color w:val="auto"/>
          <w:sz w:val="32"/>
          <w:szCs w:val="32"/>
          <w:highlight w:val="none"/>
        </w:rPr>
        <w:t>合同编号：</w:t>
      </w:r>
      <w:r>
        <w:rPr>
          <w:color w:val="auto"/>
          <w:sz w:val="32"/>
          <w:szCs w:val="32"/>
          <w:highlight w:val="none"/>
          <w:u w:val="single"/>
        </w:rPr>
        <w:t xml:space="preserve">                             </w:t>
      </w:r>
    </w:p>
    <w:p w14:paraId="7A584316">
      <w:pPr>
        <w:adjustRightInd/>
        <w:spacing w:line="360" w:lineRule="auto"/>
        <w:ind w:left="1680" w:leftChars="800"/>
        <w:rPr>
          <w:color w:val="auto"/>
          <w:sz w:val="32"/>
          <w:szCs w:val="32"/>
          <w:highlight w:val="none"/>
        </w:rPr>
      </w:pPr>
      <w:r>
        <w:rPr>
          <w:rFonts w:hint="eastAsia"/>
          <w:color w:val="auto"/>
          <w:sz w:val="32"/>
          <w:szCs w:val="32"/>
          <w:highlight w:val="none"/>
        </w:rPr>
        <w:t>甲</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31FAF6DA">
      <w:pPr>
        <w:adjustRightInd/>
        <w:spacing w:line="360" w:lineRule="auto"/>
        <w:ind w:left="1680" w:leftChars="800"/>
        <w:rPr>
          <w:color w:val="auto"/>
          <w:sz w:val="32"/>
          <w:szCs w:val="32"/>
          <w:highlight w:val="none"/>
          <w:u w:val="single"/>
        </w:rPr>
      </w:pPr>
      <w:r>
        <w:rPr>
          <w:rFonts w:hint="eastAsia"/>
          <w:color w:val="auto"/>
          <w:sz w:val="32"/>
          <w:szCs w:val="32"/>
          <w:highlight w:val="none"/>
        </w:rPr>
        <w:t>乙</w:t>
      </w:r>
      <w:r>
        <w:rPr>
          <w:color w:val="auto"/>
          <w:sz w:val="32"/>
          <w:szCs w:val="32"/>
          <w:highlight w:val="none"/>
        </w:rPr>
        <w:t xml:space="preserve">    </w:t>
      </w:r>
      <w:r>
        <w:rPr>
          <w:rFonts w:hint="eastAsia"/>
          <w:color w:val="auto"/>
          <w:sz w:val="32"/>
          <w:szCs w:val="32"/>
          <w:highlight w:val="none"/>
        </w:rPr>
        <w:t>方：</w:t>
      </w:r>
      <w:r>
        <w:rPr>
          <w:color w:val="auto"/>
          <w:sz w:val="32"/>
          <w:szCs w:val="32"/>
          <w:highlight w:val="none"/>
          <w:u w:val="single"/>
        </w:rPr>
        <w:t xml:space="preserve">                             </w:t>
      </w:r>
    </w:p>
    <w:p w14:paraId="3A5F780D">
      <w:pPr>
        <w:adjustRightInd/>
        <w:spacing w:line="360" w:lineRule="auto"/>
        <w:ind w:left="1680" w:leftChars="800"/>
        <w:rPr>
          <w:color w:val="auto"/>
          <w:sz w:val="32"/>
          <w:szCs w:val="32"/>
          <w:highlight w:val="none"/>
        </w:rPr>
      </w:pPr>
      <w:r>
        <w:rPr>
          <w:rFonts w:hint="eastAsia"/>
          <w:color w:val="auto"/>
          <w:sz w:val="32"/>
          <w:szCs w:val="32"/>
          <w:highlight w:val="none"/>
        </w:rPr>
        <w:t>签订时间：</w:t>
      </w:r>
      <w:r>
        <w:rPr>
          <w:color w:val="auto"/>
          <w:sz w:val="32"/>
          <w:szCs w:val="32"/>
          <w:highlight w:val="none"/>
          <w:u w:val="single"/>
        </w:rPr>
        <w:t xml:space="preserve">                             </w:t>
      </w:r>
    </w:p>
    <w:p w14:paraId="504AF4D0">
      <w:pPr>
        <w:adjustRightInd/>
        <w:rPr>
          <w:color w:val="auto"/>
          <w:highlight w:val="none"/>
        </w:rPr>
      </w:pPr>
    </w:p>
    <w:p w14:paraId="7C1A86E1">
      <w:pPr>
        <w:adjustRightInd/>
        <w:jc w:val="center"/>
        <w:outlineLvl w:val="1"/>
        <w:rPr>
          <w:rFonts w:ascii="黑体" w:hAnsi="黑体" w:eastAsia="黑体"/>
          <w:color w:val="auto"/>
          <w:sz w:val="28"/>
          <w:szCs w:val="28"/>
          <w:highlight w:val="none"/>
        </w:rPr>
      </w:pPr>
      <w:r>
        <w:rPr>
          <w:rFonts w:eastAsia="黑体"/>
          <w:color w:val="auto"/>
          <w:sz w:val="44"/>
          <w:szCs w:val="44"/>
          <w:highlight w:val="none"/>
        </w:rPr>
        <w:br w:type="page"/>
      </w:r>
      <w:bookmarkEnd w:id="76"/>
      <w:r>
        <w:rPr>
          <w:rFonts w:hint="eastAsia" w:ascii="黑体" w:hAnsi="黑体" w:eastAsia="黑体"/>
          <w:color w:val="auto"/>
          <w:sz w:val="28"/>
          <w:szCs w:val="28"/>
          <w:highlight w:val="none"/>
        </w:rPr>
        <w:t>第一节 政府采购合同协议书</w:t>
      </w:r>
    </w:p>
    <w:p w14:paraId="12171D59">
      <w:pPr>
        <w:pStyle w:val="631"/>
        <w:rPr>
          <w:color w:val="auto"/>
          <w:highlight w:val="none"/>
        </w:rPr>
      </w:pPr>
    </w:p>
    <w:p w14:paraId="41508F87">
      <w:pPr>
        <w:pStyle w:val="631"/>
        <w:ind w:firstLine="0"/>
        <w:rPr>
          <w:color w:val="auto"/>
          <w:sz w:val="21"/>
          <w:szCs w:val="21"/>
          <w:highlight w:val="none"/>
        </w:rPr>
      </w:pPr>
      <w:r>
        <w:rPr>
          <w:rFonts w:hint="eastAsia"/>
          <w:color w:val="auto"/>
          <w:sz w:val="21"/>
          <w:szCs w:val="21"/>
          <w:highlight w:val="none"/>
        </w:rPr>
        <w:t>甲方（全称）：</w:t>
      </w:r>
      <w:r>
        <w:rPr>
          <w:rFonts w:hint="eastAsia"/>
          <w:color w:val="auto"/>
          <w:sz w:val="21"/>
          <w:szCs w:val="21"/>
          <w:highlight w:val="none"/>
          <w:u w:val="single"/>
        </w:rPr>
        <w:t xml:space="preserve">                        </w:t>
      </w:r>
      <w:r>
        <w:rPr>
          <w:rFonts w:hint="eastAsia"/>
          <w:color w:val="auto"/>
          <w:sz w:val="21"/>
          <w:szCs w:val="21"/>
          <w:highlight w:val="none"/>
        </w:rPr>
        <w:t>（采购人）</w:t>
      </w:r>
    </w:p>
    <w:p w14:paraId="457AD325">
      <w:pPr>
        <w:pStyle w:val="631"/>
        <w:ind w:firstLine="0"/>
        <w:rPr>
          <w:color w:val="auto"/>
          <w:sz w:val="21"/>
          <w:szCs w:val="21"/>
          <w:highlight w:val="none"/>
        </w:rPr>
      </w:pPr>
      <w:r>
        <w:rPr>
          <w:rFonts w:hint="eastAsia"/>
          <w:color w:val="auto"/>
          <w:sz w:val="21"/>
          <w:szCs w:val="21"/>
          <w:highlight w:val="none"/>
        </w:rPr>
        <w:t>乙方（全称）：</w:t>
      </w:r>
      <w:r>
        <w:rPr>
          <w:rFonts w:hint="eastAsia"/>
          <w:color w:val="auto"/>
          <w:sz w:val="21"/>
          <w:szCs w:val="21"/>
          <w:highlight w:val="none"/>
          <w:u w:val="single"/>
        </w:rPr>
        <w:t xml:space="preserve">                       </w:t>
      </w:r>
      <w:r>
        <w:rPr>
          <w:rFonts w:hint="eastAsia"/>
          <w:color w:val="auto"/>
          <w:sz w:val="21"/>
          <w:szCs w:val="21"/>
          <w:highlight w:val="none"/>
        </w:rPr>
        <w:t>（供应商）</w:t>
      </w:r>
    </w:p>
    <w:p w14:paraId="02A5CD34">
      <w:pPr>
        <w:adjustRightInd/>
        <w:spacing w:line="400" w:lineRule="exact"/>
        <w:rPr>
          <w:color w:val="auto"/>
          <w:sz w:val="21"/>
          <w:szCs w:val="21"/>
          <w:highlight w:val="none"/>
        </w:rPr>
      </w:pPr>
    </w:p>
    <w:p w14:paraId="264BD48D">
      <w:pPr>
        <w:pStyle w:val="631"/>
        <w:ind w:firstLine="420" w:firstLineChars="200"/>
        <w:rPr>
          <w:color w:val="auto"/>
          <w:sz w:val="21"/>
          <w:szCs w:val="21"/>
          <w:highlight w:val="none"/>
        </w:rPr>
      </w:pPr>
      <w:r>
        <w:rPr>
          <w:rFonts w:hint="eastAsia"/>
          <w:color w:val="auto"/>
          <w:sz w:val="21"/>
          <w:szCs w:val="21"/>
          <w:highlight w:val="none"/>
        </w:rPr>
        <w:t xml:space="preserve">依据《中华人民共和国民法典》、《中华人民共和国政府采购法》等有关的法律法规，以及本采购项目的谈判文件等采购文件、乙方的《响应文件》及《成交通知书》，甲乙双方同意签订本合同。具体情况及要求如下：     </w:t>
      </w:r>
    </w:p>
    <w:p w14:paraId="7CEC48FF">
      <w:pPr>
        <w:pStyle w:val="631"/>
        <w:ind w:firstLine="0"/>
        <w:rPr>
          <w:b/>
          <w:color w:val="auto"/>
          <w:sz w:val="21"/>
          <w:szCs w:val="21"/>
          <w:highlight w:val="none"/>
        </w:rPr>
      </w:pPr>
      <w:r>
        <w:rPr>
          <w:rFonts w:hint="eastAsia"/>
          <w:b/>
          <w:color w:val="auto"/>
          <w:sz w:val="21"/>
          <w:szCs w:val="21"/>
          <w:highlight w:val="none"/>
        </w:rPr>
        <w:t>1.项目信息</w:t>
      </w:r>
    </w:p>
    <w:p w14:paraId="443E35F3">
      <w:pPr>
        <w:pStyle w:val="631"/>
        <w:ind w:firstLine="420" w:firstLineChars="200"/>
        <w:rPr>
          <w:rFonts w:hint="eastAsia"/>
          <w:color w:val="auto"/>
          <w:sz w:val="21"/>
          <w:szCs w:val="21"/>
          <w:highlight w:val="none"/>
          <w:u w:val="single"/>
        </w:rPr>
      </w:pPr>
      <w:r>
        <w:rPr>
          <w:rFonts w:hint="eastAsia"/>
          <w:color w:val="auto"/>
          <w:sz w:val="21"/>
          <w:szCs w:val="21"/>
          <w:highlight w:val="none"/>
        </w:rPr>
        <w:t>（1）采购项目名称：</w:t>
      </w:r>
      <w:r>
        <w:rPr>
          <w:rFonts w:hint="eastAsia"/>
          <w:color w:val="auto"/>
          <w:sz w:val="21"/>
          <w:szCs w:val="21"/>
          <w:highlight w:val="none"/>
          <w:u w:val="single"/>
        </w:rPr>
        <w:t xml:space="preserve"> </w:t>
      </w:r>
      <w:r>
        <w:rPr>
          <w:rFonts w:hint="eastAsia"/>
          <w:color w:val="auto"/>
          <w:sz w:val="21"/>
          <w:szCs w:val="21"/>
          <w:highlight w:val="none"/>
          <w:u w:val="single"/>
          <w:lang w:val="en-US" w:eastAsia="zh-CN"/>
        </w:rPr>
        <w:t>广西壮族自治区第十六届运动会(武术套路、武术散打、围棋)设施设备采购</w:t>
      </w:r>
    </w:p>
    <w:p w14:paraId="1FED4F2F">
      <w:pPr>
        <w:pStyle w:val="631"/>
        <w:ind w:firstLine="945" w:firstLineChars="450"/>
        <w:rPr>
          <w:color w:val="auto"/>
          <w:sz w:val="21"/>
          <w:szCs w:val="21"/>
          <w:highlight w:val="none"/>
        </w:rPr>
      </w:pPr>
      <w:r>
        <w:rPr>
          <w:rFonts w:hint="eastAsia"/>
          <w:color w:val="auto"/>
          <w:sz w:val="21"/>
          <w:szCs w:val="21"/>
          <w:highlight w:val="none"/>
        </w:rPr>
        <w:t>采购项目编号：</w:t>
      </w:r>
      <w:r>
        <w:rPr>
          <w:rFonts w:hint="eastAsia"/>
          <w:color w:val="auto"/>
          <w:sz w:val="21"/>
          <w:szCs w:val="21"/>
          <w:highlight w:val="none"/>
          <w:u w:val="single"/>
        </w:rPr>
        <w:t xml:space="preserve">                                          </w:t>
      </w:r>
    </w:p>
    <w:p w14:paraId="1D44F321">
      <w:pPr>
        <w:pStyle w:val="631"/>
        <w:ind w:firstLine="420" w:firstLineChars="200"/>
        <w:rPr>
          <w:color w:val="auto"/>
          <w:sz w:val="21"/>
          <w:szCs w:val="21"/>
          <w:highlight w:val="none"/>
        </w:rPr>
      </w:pPr>
      <w:r>
        <w:rPr>
          <w:rFonts w:hint="eastAsia"/>
          <w:color w:val="auto"/>
          <w:sz w:val="21"/>
          <w:szCs w:val="21"/>
          <w:highlight w:val="none"/>
        </w:rPr>
        <w:t>（2）采购计划编号：</w:t>
      </w:r>
      <w:r>
        <w:rPr>
          <w:rFonts w:hint="eastAsia"/>
          <w:color w:val="auto"/>
          <w:sz w:val="21"/>
          <w:szCs w:val="21"/>
          <w:highlight w:val="none"/>
          <w:u w:val="single"/>
        </w:rPr>
        <w:t xml:space="preserve">                                          </w:t>
      </w:r>
      <w:r>
        <w:rPr>
          <w:rFonts w:hint="eastAsia"/>
          <w:color w:val="auto"/>
          <w:sz w:val="21"/>
          <w:szCs w:val="21"/>
          <w:highlight w:val="none"/>
        </w:rPr>
        <w:t xml:space="preserve"> </w:t>
      </w:r>
    </w:p>
    <w:p w14:paraId="7E009386">
      <w:pPr>
        <w:pStyle w:val="631"/>
        <w:ind w:firstLine="420" w:firstLineChars="200"/>
        <w:rPr>
          <w:rFonts w:hint="eastAsia"/>
          <w:color w:val="auto"/>
          <w:sz w:val="21"/>
          <w:szCs w:val="21"/>
          <w:highlight w:val="none"/>
        </w:rPr>
      </w:pPr>
      <w:r>
        <w:rPr>
          <w:rFonts w:hint="eastAsia"/>
          <w:color w:val="auto"/>
          <w:sz w:val="21"/>
          <w:szCs w:val="21"/>
          <w:highlight w:val="none"/>
        </w:rPr>
        <w:t>（3）项目内容：本项目为</w:t>
      </w:r>
      <w:r>
        <w:rPr>
          <w:rFonts w:hint="eastAsia" w:ascii="宋体" w:hAnsi="宋体" w:cs="宋体"/>
          <w:color w:val="auto"/>
          <w:sz w:val="21"/>
          <w:szCs w:val="21"/>
          <w:highlight w:val="none"/>
          <w:lang w:val="en-US" w:eastAsia="zh-CN"/>
        </w:rPr>
        <w:t>广西壮族自治区第十六届运动会武术套路、武术散打、围棋三项赛事提供设施设备保障工作，</w:t>
      </w:r>
      <w:r>
        <w:rPr>
          <w:rFonts w:hint="eastAsia" w:ascii="宋体" w:hAnsi="宋体" w:eastAsia="宋体" w:cs="宋体"/>
          <w:color w:val="auto"/>
          <w:sz w:val="21"/>
          <w:szCs w:val="21"/>
          <w:highlight w:val="none"/>
        </w:rPr>
        <w:t>采购品类涵盖武术套路、武术散打、围棋</w:t>
      </w:r>
      <w:r>
        <w:rPr>
          <w:rFonts w:hint="eastAsia" w:ascii="宋体" w:hAnsi="宋体" w:cs="宋体"/>
          <w:color w:val="auto"/>
          <w:sz w:val="21"/>
          <w:szCs w:val="21"/>
          <w:highlight w:val="none"/>
          <w:lang w:val="en-US" w:eastAsia="zh-CN"/>
        </w:rPr>
        <w:t>三项</w:t>
      </w:r>
      <w:r>
        <w:rPr>
          <w:rFonts w:hint="eastAsia" w:ascii="宋体" w:hAnsi="宋体" w:eastAsia="宋体" w:cs="宋体"/>
          <w:color w:val="auto"/>
          <w:sz w:val="21"/>
          <w:szCs w:val="21"/>
          <w:highlight w:val="none"/>
        </w:rPr>
        <w:t>运动项目专业竞赛及训练器材，包含器材采购、运输、安装调试、检测、培训、售后质保等全部配套服务</w:t>
      </w:r>
      <w:r>
        <w:rPr>
          <w:rFonts w:hint="eastAsia" w:ascii="宋体" w:hAnsi="宋体" w:cs="宋体"/>
          <w:color w:val="auto"/>
          <w:sz w:val="21"/>
          <w:szCs w:val="21"/>
          <w:highlight w:val="none"/>
          <w:lang w:eastAsia="zh-CN"/>
        </w:rPr>
        <w:t>。</w:t>
      </w:r>
      <w:r>
        <w:rPr>
          <w:rFonts w:hint="eastAsia"/>
          <w:color w:val="auto"/>
          <w:sz w:val="21"/>
          <w:szCs w:val="21"/>
          <w:highlight w:val="none"/>
        </w:rPr>
        <w:t>采购标的、规格参数、材质性能、技术标准、赛事适配要求严格按照采购需求及乙方响应承诺执行</w:t>
      </w:r>
      <w:r>
        <w:rPr>
          <w:rFonts w:hint="eastAsia"/>
          <w:color w:val="auto"/>
          <w:sz w:val="21"/>
          <w:szCs w:val="21"/>
          <w:highlight w:val="none"/>
          <w:lang w:eastAsia="zh-CN"/>
        </w:rPr>
        <w:t>。</w:t>
      </w:r>
      <w:r>
        <w:rPr>
          <w:rFonts w:hint="eastAsia"/>
          <w:color w:val="auto"/>
          <w:sz w:val="21"/>
          <w:szCs w:val="21"/>
          <w:highlight w:val="none"/>
        </w:rPr>
        <w:t>具体采购清单、技术参数、质量标准详见本合同附件及采购需求全文。</w:t>
      </w:r>
    </w:p>
    <w:p w14:paraId="766FF8E9">
      <w:pPr>
        <w:pStyle w:val="631"/>
        <w:ind w:firstLine="420" w:firstLineChars="200"/>
        <w:rPr>
          <w:rFonts w:cs="宋体"/>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4</w:t>
      </w:r>
      <w:r>
        <w:rPr>
          <w:rFonts w:hint="eastAsia" w:cs="宋体"/>
          <w:color w:val="auto"/>
          <w:sz w:val="21"/>
          <w:szCs w:val="21"/>
          <w:highlight w:val="none"/>
        </w:rPr>
        <w:t>）政府采购组织形式：</w:t>
      </w:r>
      <w:r>
        <w:rPr>
          <w:rFonts w:cs="宋体"/>
          <w:color w:val="auto"/>
          <w:sz w:val="21"/>
          <w:szCs w:val="21"/>
          <w:highlight w:val="none"/>
        </w:rPr>
        <w:sym w:font="Wingdings" w:char="F0A8"/>
      </w:r>
      <w:r>
        <w:rPr>
          <w:rFonts w:hint="eastAsia" w:cs="宋体"/>
          <w:color w:val="auto"/>
          <w:sz w:val="21"/>
          <w:szCs w:val="21"/>
          <w:highlight w:val="none"/>
        </w:rPr>
        <w:t xml:space="preserve">政府集中采购  </w:t>
      </w:r>
      <w:r>
        <w:rPr>
          <w:rFonts w:cs="宋体"/>
          <w:color w:val="auto"/>
          <w:sz w:val="21"/>
          <w:szCs w:val="21"/>
          <w:highlight w:val="none"/>
        </w:rPr>
        <w:sym w:font="Wingdings" w:char="00A8"/>
      </w:r>
      <w:r>
        <w:rPr>
          <w:rFonts w:hint="eastAsia" w:cs="宋体"/>
          <w:color w:val="auto"/>
          <w:sz w:val="21"/>
          <w:szCs w:val="21"/>
          <w:highlight w:val="none"/>
        </w:rPr>
        <w:t xml:space="preserve">部门集中采购  </w:t>
      </w:r>
      <w:r>
        <w:rPr>
          <w:rFonts w:cs="宋体"/>
          <w:color w:val="auto"/>
          <w:sz w:val="21"/>
          <w:szCs w:val="21"/>
          <w:highlight w:val="none"/>
        </w:rPr>
        <w:sym w:font="Wingdings" w:char="00FE"/>
      </w:r>
      <w:r>
        <w:rPr>
          <w:rFonts w:hint="eastAsia" w:cs="宋体"/>
          <w:color w:val="auto"/>
          <w:sz w:val="21"/>
          <w:szCs w:val="21"/>
          <w:highlight w:val="none"/>
        </w:rPr>
        <w:t>分散采购</w:t>
      </w:r>
    </w:p>
    <w:p w14:paraId="5CE7B37C">
      <w:pPr>
        <w:pStyle w:val="631"/>
        <w:ind w:firstLine="420" w:firstLineChars="200"/>
        <w:rPr>
          <w:rFonts w:cs="宋体"/>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5</w:t>
      </w:r>
      <w:r>
        <w:rPr>
          <w:rFonts w:hint="eastAsia" w:cs="宋体"/>
          <w:color w:val="auto"/>
          <w:sz w:val="21"/>
          <w:szCs w:val="21"/>
          <w:highlight w:val="none"/>
        </w:rPr>
        <w:t>）政府采购方式：</w:t>
      </w:r>
      <w:r>
        <w:rPr>
          <w:rFonts w:cs="宋体"/>
          <w:color w:val="auto"/>
          <w:sz w:val="21"/>
          <w:szCs w:val="21"/>
          <w:highlight w:val="none"/>
        </w:rPr>
        <w:sym w:font="Wingdings" w:char="F0A8"/>
      </w:r>
      <w:r>
        <w:rPr>
          <w:rFonts w:hint="eastAsia" w:cs="宋体"/>
          <w:color w:val="auto"/>
          <w:sz w:val="21"/>
          <w:szCs w:val="21"/>
          <w:highlight w:val="none"/>
        </w:rPr>
        <w:t xml:space="preserve">公开招标 </w:t>
      </w:r>
      <w:r>
        <w:rPr>
          <w:rFonts w:cs="宋体"/>
          <w:color w:val="auto"/>
          <w:sz w:val="21"/>
          <w:szCs w:val="21"/>
          <w:highlight w:val="none"/>
        </w:rPr>
        <w:sym w:font="Wingdings" w:char="F0A8"/>
      </w:r>
      <w:r>
        <w:rPr>
          <w:rFonts w:hint="eastAsia" w:cs="宋体"/>
          <w:color w:val="auto"/>
          <w:sz w:val="21"/>
          <w:szCs w:val="21"/>
          <w:highlight w:val="none"/>
        </w:rPr>
        <w:t xml:space="preserve">邀请招标 </w:t>
      </w:r>
      <w:r>
        <w:rPr>
          <w:rFonts w:cs="宋体"/>
          <w:color w:val="auto"/>
          <w:sz w:val="21"/>
          <w:szCs w:val="21"/>
          <w:highlight w:val="none"/>
        </w:rPr>
        <w:sym w:font="Wingdings" w:char="00FE"/>
      </w:r>
      <w:r>
        <w:rPr>
          <w:rFonts w:hint="eastAsia" w:cs="宋体"/>
          <w:color w:val="auto"/>
          <w:sz w:val="21"/>
          <w:szCs w:val="21"/>
          <w:highlight w:val="none"/>
        </w:rPr>
        <w:t xml:space="preserve">竞争性谈判 </w:t>
      </w:r>
      <w:r>
        <w:rPr>
          <w:rFonts w:cs="宋体"/>
          <w:color w:val="auto"/>
          <w:sz w:val="21"/>
          <w:szCs w:val="21"/>
          <w:highlight w:val="none"/>
        </w:rPr>
        <w:sym w:font="Wingdings" w:char="F0A8"/>
      </w:r>
      <w:r>
        <w:rPr>
          <w:rFonts w:hint="eastAsia" w:cs="宋体"/>
          <w:color w:val="auto"/>
          <w:sz w:val="21"/>
          <w:szCs w:val="21"/>
          <w:highlight w:val="none"/>
        </w:rPr>
        <w:t>竞争性磋商</w:t>
      </w:r>
    </w:p>
    <w:p w14:paraId="6769BD1E">
      <w:pPr>
        <w:pStyle w:val="631"/>
        <w:ind w:firstLine="420" w:firstLineChars="200"/>
        <w:rPr>
          <w:rFonts w:cs="宋体"/>
          <w:color w:val="auto"/>
          <w:sz w:val="21"/>
          <w:szCs w:val="21"/>
          <w:highlight w:val="none"/>
          <w:u w:val="single"/>
        </w:rPr>
      </w:pPr>
      <w:r>
        <w:rPr>
          <w:rFonts w:hint="eastAsia" w:eastAsia="华文楷体" w:cs="宋体"/>
          <w:color w:val="auto"/>
          <w:sz w:val="21"/>
          <w:szCs w:val="21"/>
          <w:highlight w:val="none"/>
        </w:rPr>
        <w:t xml:space="preserve">                     </w:t>
      </w:r>
      <w:r>
        <w:rPr>
          <w:rFonts w:cs="宋体"/>
          <w:color w:val="auto"/>
          <w:sz w:val="21"/>
          <w:szCs w:val="21"/>
          <w:highlight w:val="none"/>
        </w:rPr>
        <w:sym w:font="Wingdings" w:char="F0A8"/>
      </w:r>
      <w:r>
        <w:rPr>
          <w:rFonts w:hint="eastAsia" w:cs="宋体"/>
          <w:color w:val="auto"/>
          <w:sz w:val="21"/>
          <w:szCs w:val="21"/>
          <w:highlight w:val="none"/>
        </w:rPr>
        <w:t xml:space="preserve">询价 </w:t>
      </w:r>
      <w:r>
        <w:rPr>
          <w:rFonts w:cs="宋体"/>
          <w:color w:val="auto"/>
          <w:sz w:val="21"/>
          <w:szCs w:val="21"/>
          <w:highlight w:val="none"/>
        </w:rPr>
        <w:sym w:font="Wingdings" w:char="F0A8"/>
      </w:r>
      <w:r>
        <w:rPr>
          <w:rFonts w:hint="eastAsia" w:cs="宋体"/>
          <w:color w:val="auto"/>
          <w:sz w:val="21"/>
          <w:szCs w:val="21"/>
          <w:highlight w:val="none"/>
        </w:rPr>
        <w:t xml:space="preserve">单一来源 </w:t>
      </w:r>
      <w:r>
        <w:rPr>
          <w:rFonts w:cs="宋体"/>
          <w:color w:val="auto"/>
          <w:sz w:val="21"/>
          <w:szCs w:val="21"/>
          <w:highlight w:val="none"/>
        </w:rPr>
        <w:sym w:font="Wingdings" w:char="F0A8"/>
      </w:r>
      <w:r>
        <w:rPr>
          <w:rFonts w:hint="eastAsia" w:cs="宋体"/>
          <w:color w:val="auto"/>
          <w:sz w:val="21"/>
          <w:szCs w:val="21"/>
          <w:highlight w:val="none"/>
        </w:rPr>
        <w:t xml:space="preserve">框架协议 </w:t>
      </w:r>
      <w:r>
        <w:rPr>
          <w:rFonts w:cs="宋体"/>
          <w:color w:val="auto"/>
          <w:sz w:val="21"/>
          <w:szCs w:val="21"/>
          <w:highlight w:val="none"/>
        </w:rPr>
        <w:sym w:font="Wingdings" w:char="F0A8"/>
      </w:r>
      <w:r>
        <w:rPr>
          <w:rFonts w:hint="eastAsia" w:cs="宋体"/>
          <w:color w:val="auto"/>
          <w:sz w:val="21"/>
          <w:szCs w:val="21"/>
          <w:highlight w:val="none"/>
        </w:rPr>
        <w:t>其他：</w:t>
      </w:r>
      <w:r>
        <w:rPr>
          <w:rFonts w:hint="eastAsia" w:cs="宋体"/>
          <w:color w:val="auto"/>
          <w:sz w:val="21"/>
          <w:szCs w:val="21"/>
          <w:highlight w:val="none"/>
          <w:u w:val="single"/>
        </w:rPr>
        <w:t xml:space="preserve">          </w:t>
      </w:r>
    </w:p>
    <w:p w14:paraId="570ABC0C">
      <w:pPr>
        <w:pStyle w:val="631"/>
        <w:ind w:firstLine="420" w:firstLineChars="200"/>
        <w:rPr>
          <w:color w:val="auto"/>
          <w:sz w:val="21"/>
          <w:szCs w:val="21"/>
          <w:highlight w:val="none"/>
        </w:rPr>
      </w:pPr>
      <w:r>
        <w:rPr>
          <w:rFonts w:hint="eastAsia" w:eastAsia="华文楷体" w:cs="华文楷体"/>
          <w:color w:val="auto"/>
          <w:sz w:val="21"/>
          <w:szCs w:val="21"/>
          <w:highlight w:val="none"/>
        </w:rPr>
        <w:t>（</w:t>
      </w:r>
      <w:r>
        <w:rPr>
          <w:rFonts w:hint="eastAsia" w:eastAsia="华文楷体" w:cs="华文楷体"/>
          <w:color w:val="auto"/>
          <w:sz w:val="21"/>
          <w:szCs w:val="21"/>
          <w:highlight w:val="none"/>
          <w:lang w:val="en"/>
        </w:rPr>
        <w:t>6</w:t>
      </w:r>
      <w:r>
        <w:rPr>
          <w:rFonts w:hint="eastAsia" w:eastAsia="华文楷体" w:cs="华文楷体"/>
          <w:color w:val="auto"/>
          <w:sz w:val="21"/>
          <w:szCs w:val="21"/>
          <w:highlight w:val="none"/>
        </w:rPr>
        <w:t>）</w:t>
      </w:r>
      <w:r>
        <w:rPr>
          <w:rFonts w:hint="eastAsia"/>
          <w:color w:val="auto"/>
          <w:sz w:val="21"/>
          <w:szCs w:val="21"/>
          <w:highlight w:val="none"/>
        </w:rPr>
        <w:t>中标（成交）采购标的制造商是否为中小企业：</w:t>
      </w:r>
      <w:r>
        <w:rPr>
          <w:color w:val="auto"/>
          <w:sz w:val="21"/>
          <w:szCs w:val="21"/>
          <w:highlight w:val="none"/>
        </w:rPr>
        <w:sym w:font="Wingdings" w:char="F0A8"/>
      </w:r>
      <w:r>
        <w:rPr>
          <w:rFonts w:hint="eastAsia"/>
          <w:color w:val="auto"/>
          <w:sz w:val="21"/>
          <w:szCs w:val="21"/>
          <w:highlight w:val="none"/>
        </w:rPr>
        <w:t xml:space="preserve">是      </w:t>
      </w:r>
      <w:r>
        <w:rPr>
          <w:color w:val="auto"/>
          <w:sz w:val="21"/>
          <w:szCs w:val="21"/>
          <w:highlight w:val="none"/>
        </w:rPr>
        <w:sym w:font="Wingdings" w:char="00A8"/>
      </w:r>
      <w:r>
        <w:rPr>
          <w:rFonts w:hint="eastAsia"/>
          <w:color w:val="auto"/>
          <w:sz w:val="21"/>
          <w:szCs w:val="21"/>
          <w:highlight w:val="none"/>
        </w:rPr>
        <w:t>否</w:t>
      </w:r>
    </w:p>
    <w:p w14:paraId="49EFAFA0">
      <w:pPr>
        <w:pStyle w:val="631"/>
        <w:ind w:firstLine="420" w:firstLineChars="200"/>
        <w:rPr>
          <w:iCs/>
          <w:color w:val="auto"/>
          <w:sz w:val="21"/>
          <w:szCs w:val="21"/>
          <w:highlight w:val="none"/>
        </w:rPr>
      </w:pPr>
      <w:r>
        <w:rPr>
          <w:rFonts w:hint="eastAsia"/>
          <w:color w:val="auto"/>
          <w:sz w:val="21"/>
          <w:szCs w:val="21"/>
          <w:highlight w:val="none"/>
        </w:rPr>
        <w:t>本合同是否为专门面向中小企业的采购合同（中小企业预留合同）：</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00FE"/>
      </w:r>
      <w:r>
        <w:rPr>
          <w:rFonts w:hint="eastAsia"/>
          <w:iCs/>
          <w:color w:val="auto"/>
          <w:sz w:val="21"/>
          <w:szCs w:val="21"/>
          <w:highlight w:val="none"/>
        </w:rPr>
        <w:t>否</w:t>
      </w:r>
    </w:p>
    <w:p w14:paraId="75E40722">
      <w:pPr>
        <w:pStyle w:val="631"/>
        <w:ind w:firstLine="420" w:firstLineChars="200"/>
        <w:rPr>
          <w:iCs/>
          <w:color w:val="auto"/>
          <w:sz w:val="21"/>
          <w:szCs w:val="21"/>
          <w:highlight w:val="none"/>
        </w:rPr>
      </w:pPr>
      <w:r>
        <w:rPr>
          <w:rFonts w:hint="eastAsia"/>
          <w:color w:val="auto"/>
          <w:sz w:val="21"/>
          <w:szCs w:val="21"/>
          <w:highlight w:val="none"/>
        </w:rPr>
        <w:t>若本项目不专门面向中小企业采购，是否给予小微企业评审优惠：</w:t>
      </w:r>
      <w:r>
        <w:rPr>
          <w:iCs/>
          <w:color w:val="auto"/>
          <w:sz w:val="21"/>
          <w:szCs w:val="21"/>
          <w:highlight w:val="none"/>
        </w:rPr>
        <w:sym w:font="Wingdings" w:char="00FE"/>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7CC59DC7">
      <w:pPr>
        <w:pStyle w:val="631"/>
        <w:ind w:firstLine="420" w:firstLineChars="200"/>
        <w:rPr>
          <w:iCs/>
          <w:color w:val="auto"/>
          <w:sz w:val="21"/>
          <w:szCs w:val="21"/>
          <w:highlight w:val="none"/>
        </w:rPr>
      </w:pPr>
      <w:r>
        <w:rPr>
          <w:rFonts w:hint="eastAsia"/>
          <w:color w:val="auto"/>
          <w:sz w:val="21"/>
          <w:szCs w:val="21"/>
          <w:highlight w:val="none"/>
        </w:rPr>
        <w:t>中标（成交）采购标的制造商是否为残疾人福利性单位：</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6D5B4DD0">
      <w:pPr>
        <w:pStyle w:val="631"/>
        <w:ind w:firstLine="420" w:firstLineChars="200"/>
        <w:rPr>
          <w:color w:val="auto"/>
          <w:sz w:val="21"/>
          <w:szCs w:val="21"/>
          <w:highlight w:val="none"/>
        </w:rPr>
      </w:pPr>
      <w:r>
        <w:rPr>
          <w:rFonts w:hint="eastAsia"/>
          <w:color w:val="auto"/>
          <w:sz w:val="21"/>
          <w:szCs w:val="21"/>
          <w:highlight w:val="none"/>
        </w:rPr>
        <w:t>中标（成交）采购标的制造商是否为监狱企业：</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F0A8"/>
      </w:r>
      <w:r>
        <w:rPr>
          <w:rFonts w:hint="eastAsia"/>
          <w:iCs/>
          <w:color w:val="auto"/>
          <w:sz w:val="21"/>
          <w:szCs w:val="21"/>
          <w:highlight w:val="none"/>
        </w:rPr>
        <w:t>否</w:t>
      </w:r>
    </w:p>
    <w:p w14:paraId="1BDD7464">
      <w:pPr>
        <w:pStyle w:val="631"/>
        <w:ind w:firstLine="420" w:firstLineChars="200"/>
        <w:rPr>
          <w:color w:val="auto"/>
          <w:sz w:val="21"/>
          <w:szCs w:val="21"/>
          <w:highlight w:val="none"/>
        </w:rPr>
      </w:pPr>
      <w:r>
        <w:rPr>
          <w:rFonts w:hint="eastAsia"/>
          <w:color w:val="auto"/>
          <w:sz w:val="21"/>
          <w:szCs w:val="21"/>
          <w:highlight w:val="none"/>
        </w:rPr>
        <w:t>（</w:t>
      </w:r>
      <w:r>
        <w:rPr>
          <w:rFonts w:hint="eastAsia"/>
          <w:color w:val="auto"/>
          <w:sz w:val="21"/>
          <w:szCs w:val="21"/>
          <w:highlight w:val="none"/>
          <w:lang w:val="en"/>
        </w:rPr>
        <w:t>7</w:t>
      </w:r>
      <w:r>
        <w:rPr>
          <w:rFonts w:hint="eastAsia"/>
          <w:color w:val="auto"/>
          <w:sz w:val="21"/>
          <w:szCs w:val="21"/>
          <w:highlight w:val="none"/>
        </w:rPr>
        <w:t>）合同是否分包：</w:t>
      </w:r>
      <w:r>
        <w:rPr>
          <w:iCs/>
          <w:color w:val="auto"/>
          <w:sz w:val="21"/>
          <w:szCs w:val="21"/>
          <w:highlight w:val="none"/>
        </w:rPr>
        <w:sym w:font="Wingdings" w:char="F0A8"/>
      </w:r>
      <w:r>
        <w:rPr>
          <w:rFonts w:hint="eastAsia"/>
          <w:iCs/>
          <w:color w:val="auto"/>
          <w:sz w:val="21"/>
          <w:szCs w:val="21"/>
          <w:highlight w:val="none"/>
        </w:rPr>
        <w:t xml:space="preserve">是       </w:t>
      </w:r>
      <w:r>
        <w:rPr>
          <w:iCs/>
          <w:color w:val="auto"/>
          <w:sz w:val="21"/>
          <w:szCs w:val="21"/>
          <w:highlight w:val="none"/>
        </w:rPr>
        <w:sym w:font="Wingdings" w:char="00FE"/>
      </w:r>
      <w:r>
        <w:rPr>
          <w:rFonts w:hint="eastAsia"/>
          <w:iCs/>
          <w:color w:val="auto"/>
          <w:sz w:val="21"/>
          <w:szCs w:val="21"/>
          <w:highlight w:val="none"/>
        </w:rPr>
        <w:t>否</w:t>
      </w:r>
    </w:p>
    <w:p w14:paraId="23AB753A">
      <w:pPr>
        <w:pStyle w:val="631"/>
        <w:ind w:firstLine="420" w:firstLineChars="200"/>
        <w:rPr>
          <w:rFonts w:hint="eastAsia" w:cs="宋体"/>
          <w:color w:val="auto"/>
          <w:sz w:val="21"/>
          <w:szCs w:val="21"/>
          <w:highlight w:val="none"/>
        </w:rPr>
      </w:pPr>
      <w:r>
        <w:rPr>
          <w:rFonts w:hint="eastAsia" w:cs="宋体"/>
          <w:color w:val="auto"/>
          <w:sz w:val="21"/>
          <w:szCs w:val="21"/>
          <w:highlight w:val="none"/>
        </w:rPr>
        <w:t>本项目严禁转包、违法分包、挂靠履约，一经查实，甲方有权单方解除合同、追究全部违约责任。</w:t>
      </w:r>
    </w:p>
    <w:p w14:paraId="324A184A">
      <w:pPr>
        <w:pStyle w:val="631"/>
        <w:ind w:firstLine="420" w:firstLineChars="200"/>
        <w:rPr>
          <w:rFonts w:cs="宋体"/>
          <w:iCs/>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8</w:t>
      </w:r>
      <w:r>
        <w:rPr>
          <w:rFonts w:hint="eastAsia" w:cs="宋体"/>
          <w:color w:val="auto"/>
          <w:sz w:val="21"/>
          <w:szCs w:val="21"/>
          <w:highlight w:val="none"/>
        </w:rPr>
        <w:t>）中标（成交）供应商是否为外商投资企业：</w:t>
      </w:r>
      <w:r>
        <w:rPr>
          <w:rFonts w:cs="宋体"/>
          <w:iCs/>
          <w:color w:val="auto"/>
          <w:sz w:val="21"/>
          <w:szCs w:val="21"/>
          <w:highlight w:val="none"/>
        </w:rPr>
        <w:sym w:font="Wingdings" w:char="F0A8"/>
      </w:r>
      <w:r>
        <w:rPr>
          <w:rFonts w:hint="eastAsia" w:cs="宋体"/>
          <w:iCs/>
          <w:color w:val="auto"/>
          <w:sz w:val="21"/>
          <w:szCs w:val="21"/>
          <w:highlight w:val="none"/>
        </w:rPr>
        <w:t xml:space="preserve">是       </w:t>
      </w:r>
      <w:r>
        <w:rPr>
          <w:rFonts w:cs="宋体"/>
          <w:iCs/>
          <w:color w:val="auto"/>
          <w:sz w:val="21"/>
          <w:szCs w:val="21"/>
          <w:highlight w:val="none"/>
        </w:rPr>
        <w:sym w:font="Wingdings" w:char="F0A8"/>
      </w:r>
      <w:r>
        <w:rPr>
          <w:rFonts w:hint="eastAsia" w:cs="宋体"/>
          <w:iCs/>
          <w:color w:val="auto"/>
          <w:sz w:val="21"/>
          <w:szCs w:val="21"/>
          <w:highlight w:val="none"/>
        </w:rPr>
        <w:t>否</w:t>
      </w:r>
    </w:p>
    <w:p w14:paraId="5C42226E">
      <w:pPr>
        <w:pStyle w:val="631"/>
        <w:ind w:firstLine="420" w:firstLineChars="200"/>
        <w:rPr>
          <w:rFonts w:cs="宋体"/>
          <w:color w:val="auto"/>
          <w:sz w:val="21"/>
          <w:szCs w:val="21"/>
          <w:highlight w:val="none"/>
          <w:u w:val="single"/>
        </w:rPr>
      </w:pPr>
      <w:r>
        <w:rPr>
          <w:rFonts w:hint="eastAsia" w:cs="宋体"/>
          <w:color w:val="auto"/>
          <w:sz w:val="21"/>
          <w:szCs w:val="21"/>
          <w:highlight w:val="none"/>
        </w:rPr>
        <w:t xml:space="preserve">     外商投资企业类型：</w:t>
      </w:r>
      <w:r>
        <w:rPr>
          <w:rFonts w:cs="宋体"/>
          <w:iCs/>
          <w:color w:val="auto"/>
          <w:sz w:val="21"/>
          <w:szCs w:val="21"/>
          <w:highlight w:val="none"/>
        </w:rPr>
        <w:sym w:font="Wingdings" w:char="F0A8"/>
      </w:r>
      <w:r>
        <w:rPr>
          <w:rFonts w:hint="eastAsia" w:cs="宋体"/>
          <w:color w:val="auto"/>
          <w:sz w:val="21"/>
          <w:szCs w:val="21"/>
          <w:highlight w:val="none"/>
        </w:rPr>
        <w:t xml:space="preserve">全部由外国投资者投资  </w:t>
      </w:r>
      <w:r>
        <w:rPr>
          <w:rFonts w:cs="宋体"/>
          <w:iCs/>
          <w:color w:val="auto"/>
          <w:sz w:val="21"/>
          <w:szCs w:val="21"/>
          <w:highlight w:val="none"/>
        </w:rPr>
        <w:sym w:font="Wingdings" w:char="F0A8"/>
      </w:r>
      <w:r>
        <w:rPr>
          <w:rFonts w:hint="eastAsia" w:cs="宋体"/>
          <w:iCs/>
          <w:color w:val="auto"/>
          <w:sz w:val="21"/>
          <w:szCs w:val="21"/>
          <w:highlight w:val="none"/>
        </w:rPr>
        <w:t>部分由外国投资者投资</w:t>
      </w:r>
    </w:p>
    <w:p w14:paraId="42961FAF">
      <w:pPr>
        <w:pStyle w:val="631"/>
        <w:ind w:firstLine="420" w:firstLineChars="200"/>
        <w:rPr>
          <w:rFonts w:cs="宋体"/>
          <w:color w:val="auto"/>
          <w:sz w:val="21"/>
          <w:szCs w:val="21"/>
          <w:highlight w:val="none"/>
        </w:rPr>
      </w:pPr>
      <w:r>
        <w:rPr>
          <w:rFonts w:hint="eastAsia" w:cs="宋体"/>
          <w:color w:val="auto"/>
          <w:sz w:val="21"/>
          <w:szCs w:val="21"/>
          <w:highlight w:val="none"/>
        </w:rPr>
        <w:t>（</w:t>
      </w:r>
      <w:r>
        <w:rPr>
          <w:rFonts w:hint="eastAsia" w:cs="宋体"/>
          <w:color w:val="auto"/>
          <w:sz w:val="21"/>
          <w:szCs w:val="21"/>
          <w:highlight w:val="none"/>
          <w:lang w:val="en"/>
        </w:rPr>
        <w:t>9</w:t>
      </w:r>
      <w:r>
        <w:rPr>
          <w:rFonts w:hint="eastAsia" w:cs="宋体"/>
          <w:color w:val="auto"/>
          <w:sz w:val="21"/>
          <w:szCs w:val="21"/>
          <w:highlight w:val="none"/>
        </w:rPr>
        <w:t>）是否涉及进口产品：</w:t>
      </w:r>
    </w:p>
    <w:p w14:paraId="62281BE7">
      <w:pPr>
        <w:pStyle w:val="631"/>
        <w:ind w:firstLine="420" w:firstLineChars="200"/>
        <w:rPr>
          <w:rFonts w:cs="宋体"/>
          <w:color w:val="auto"/>
          <w:sz w:val="21"/>
          <w:szCs w:val="21"/>
          <w:highlight w:val="none"/>
          <w:u w:val="single"/>
        </w:rPr>
      </w:pPr>
      <w:r>
        <w:rPr>
          <w:rFonts w:cs="宋体"/>
          <w:color w:val="auto"/>
          <w:sz w:val="21"/>
          <w:szCs w:val="21"/>
          <w:highlight w:val="none"/>
        </w:rPr>
        <w:sym w:font="Wingdings" w:char="F0A8"/>
      </w:r>
      <w:r>
        <w:rPr>
          <w:rFonts w:hint="eastAsia" w:cs="宋体"/>
          <w:color w:val="auto"/>
          <w:sz w:val="21"/>
          <w:szCs w:val="21"/>
          <w:highlight w:val="none"/>
        </w:rPr>
        <w:t>是，《政府采购品目分类目录》底级品目名称：</w:t>
      </w:r>
      <w:r>
        <w:rPr>
          <w:rFonts w:hint="eastAsia" w:cs="宋体"/>
          <w:color w:val="auto"/>
          <w:sz w:val="21"/>
          <w:szCs w:val="21"/>
          <w:highlight w:val="none"/>
          <w:u w:val="single"/>
        </w:rPr>
        <w:t xml:space="preserve">         </w:t>
      </w:r>
      <w:r>
        <w:rPr>
          <w:rFonts w:hint="eastAsia" w:cs="宋体"/>
          <w:color w:val="auto"/>
          <w:sz w:val="21"/>
          <w:szCs w:val="21"/>
          <w:highlight w:val="none"/>
        </w:rPr>
        <w:t xml:space="preserve"> 金额：</w:t>
      </w:r>
      <w:r>
        <w:rPr>
          <w:rFonts w:hint="eastAsia" w:cs="宋体"/>
          <w:color w:val="auto"/>
          <w:sz w:val="21"/>
          <w:szCs w:val="21"/>
          <w:highlight w:val="none"/>
          <w:u w:val="single"/>
        </w:rPr>
        <w:t xml:space="preserve">        </w:t>
      </w:r>
    </w:p>
    <w:p w14:paraId="0FA5D833">
      <w:pPr>
        <w:pStyle w:val="631"/>
        <w:ind w:firstLine="420" w:firstLineChars="200"/>
        <w:rPr>
          <w:color w:val="auto"/>
          <w:sz w:val="21"/>
          <w:szCs w:val="21"/>
          <w:highlight w:val="none"/>
        </w:rPr>
      </w:pPr>
      <w:r>
        <w:rPr>
          <w:rFonts w:hint="eastAsia" w:cs="宋体"/>
          <w:color w:val="auto"/>
          <w:sz w:val="21"/>
          <w:szCs w:val="21"/>
          <w:highlight w:val="none"/>
        </w:rPr>
        <w:t xml:space="preserve">        国别：</w:t>
      </w:r>
      <w:r>
        <w:rPr>
          <w:rFonts w:hint="eastAsia" w:cs="宋体"/>
          <w:color w:val="auto"/>
          <w:sz w:val="21"/>
          <w:szCs w:val="21"/>
          <w:highlight w:val="none"/>
          <w:u w:val="single"/>
        </w:rPr>
        <w:t xml:space="preserve">        </w:t>
      </w:r>
      <w:r>
        <w:rPr>
          <w:rFonts w:hint="eastAsia" w:cs="宋体"/>
          <w:color w:val="auto"/>
          <w:sz w:val="21"/>
          <w:szCs w:val="21"/>
          <w:highlight w:val="none"/>
        </w:rPr>
        <w:t xml:space="preserve"> 品牌：</w:t>
      </w:r>
      <w:r>
        <w:rPr>
          <w:rFonts w:hint="eastAsia" w:cs="宋体"/>
          <w:color w:val="auto"/>
          <w:sz w:val="21"/>
          <w:szCs w:val="21"/>
          <w:highlight w:val="none"/>
          <w:u w:val="single"/>
        </w:rPr>
        <w:t xml:space="preserve">        </w:t>
      </w:r>
      <w:r>
        <w:rPr>
          <w:rFonts w:hint="eastAsia" w:cs="宋体"/>
          <w:color w:val="auto"/>
          <w:sz w:val="21"/>
          <w:szCs w:val="21"/>
          <w:highlight w:val="none"/>
        </w:rPr>
        <w:t xml:space="preserve"> 规格型号：</w:t>
      </w:r>
      <w:r>
        <w:rPr>
          <w:rFonts w:hint="eastAsia" w:cs="宋体"/>
          <w:color w:val="auto"/>
          <w:sz w:val="21"/>
          <w:szCs w:val="21"/>
          <w:highlight w:val="none"/>
          <w:u w:val="single"/>
        </w:rPr>
        <w:t xml:space="preserve">        </w:t>
      </w:r>
      <w:r>
        <w:rPr>
          <w:rFonts w:hint="eastAsia"/>
          <w:color w:val="auto"/>
          <w:sz w:val="21"/>
          <w:szCs w:val="21"/>
          <w:highlight w:val="none"/>
        </w:rPr>
        <w:t xml:space="preserve">      </w:t>
      </w:r>
    </w:p>
    <w:p w14:paraId="37FEC47F">
      <w:pPr>
        <w:pStyle w:val="631"/>
        <w:ind w:firstLine="420" w:firstLineChars="200"/>
        <w:rPr>
          <w:rFonts w:hint="eastAsia"/>
          <w:color w:val="auto"/>
          <w:sz w:val="21"/>
          <w:szCs w:val="21"/>
          <w:highlight w:val="none"/>
        </w:rPr>
      </w:pPr>
      <w:r>
        <w:rPr>
          <w:color w:val="auto"/>
          <w:sz w:val="21"/>
          <w:szCs w:val="21"/>
          <w:highlight w:val="none"/>
        </w:rPr>
        <w:sym w:font="Wingdings" w:char="00FE"/>
      </w:r>
      <w:r>
        <w:rPr>
          <w:rFonts w:hint="eastAsia"/>
          <w:color w:val="auto"/>
          <w:sz w:val="21"/>
          <w:szCs w:val="21"/>
          <w:highlight w:val="none"/>
        </w:rPr>
        <w:t>否</w:t>
      </w:r>
    </w:p>
    <w:p w14:paraId="0B62645F">
      <w:pPr>
        <w:pStyle w:val="631"/>
        <w:ind w:firstLine="420" w:firstLineChars="200"/>
        <w:rPr>
          <w:rFonts w:hint="eastAsia"/>
          <w:color w:val="auto"/>
          <w:sz w:val="21"/>
          <w:szCs w:val="21"/>
          <w:highlight w:val="none"/>
        </w:rPr>
      </w:pPr>
      <w:r>
        <w:rPr>
          <w:rFonts w:hint="eastAsia"/>
          <w:color w:val="auto"/>
          <w:sz w:val="21"/>
          <w:szCs w:val="21"/>
          <w:highlight w:val="none"/>
        </w:rPr>
        <w:t>本项目全部货物均为中国境内生产的本国产品，完全符合国办发〔2025〕34号本国产品认定标准，严禁提供进口产品。</w:t>
      </w:r>
    </w:p>
    <w:p w14:paraId="3F8E8EDD">
      <w:pPr>
        <w:pStyle w:val="631"/>
        <w:ind w:firstLine="420" w:firstLineChars="200"/>
        <w:rPr>
          <w:color w:val="auto"/>
          <w:sz w:val="21"/>
          <w:szCs w:val="21"/>
          <w:highlight w:val="none"/>
        </w:rPr>
      </w:pPr>
      <w:r>
        <w:rPr>
          <w:rFonts w:hint="eastAsia"/>
          <w:color w:val="auto"/>
          <w:sz w:val="21"/>
          <w:szCs w:val="21"/>
          <w:highlight w:val="none"/>
        </w:rPr>
        <w:t>（1</w:t>
      </w:r>
      <w:r>
        <w:rPr>
          <w:rFonts w:hint="eastAsia"/>
          <w:color w:val="auto"/>
          <w:sz w:val="21"/>
          <w:szCs w:val="21"/>
          <w:highlight w:val="none"/>
          <w:lang w:val="en"/>
        </w:rPr>
        <w:t>0</w:t>
      </w:r>
      <w:r>
        <w:rPr>
          <w:rFonts w:hint="eastAsia"/>
          <w:color w:val="auto"/>
          <w:sz w:val="21"/>
          <w:szCs w:val="21"/>
          <w:highlight w:val="none"/>
        </w:rPr>
        <w:t>）是否涉及节能产品：</w:t>
      </w:r>
    </w:p>
    <w:p w14:paraId="54D392A0">
      <w:pPr>
        <w:pStyle w:val="631"/>
        <w:ind w:firstLine="420" w:firstLineChars="200"/>
        <w:rPr>
          <w:rFonts w:hint="eastAsia"/>
          <w:color w:val="auto"/>
          <w:sz w:val="21"/>
          <w:szCs w:val="21"/>
          <w:highlight w:val="none"/>
        </w:rPr>
      </w:pPr>
      <w:r>
        <w:rPr>
          <w:rFonts w:hint="eastAsia"/>
          <w:color w:val="auto"/>
          <w:sz w:val="21"/>
          <w:szCs w:val="21"/>
          <w:highlight w:val="none"/>
        </w:rPr>
        <w:t>按政府采购绿色发展政策落实，优先采用节能、环保、绿色包装、绿色建材相关产品，全部货物符合环保安全国标要求。</w:t>
      </w:r>
    </w:p>
    <w:p w14:paraId="29E507DC">
      <w:pPr>
        <w:pStyle w:val="631"/>
        <w:ind w:firstLine="420" w:firstLineChars="200"/>
        <w:rPr>
          <w:color w:val="auto"/>
          <w:sz w:val="21"/>
          <w:szCs w:val="21"/>
          <w:highlight w:val="none"/>
        </w:rPr>
      </w:pPr>
      <w:r>
        <w:rPr>
          <w:rFonts w:hint="eastAsia"/>
          <w:color w:val="auto"/>
          <w:sz w:val="21"/>
          <w:szCs w:val="21"/>
          <w:highlight w:val="none"/>
        </w:rPr>
        <w:t>（1</w:t>
      </w:r>
      <w:r>
        <w:rPr>
          <w:rFonts w:hint="eastAsia"/>
          <w:color w:val="auto"/>
          <w:sz w:val="21"/>
          <w:szCs w:val="21"/>
          <w:highlight w:val="none"/>
          <w:lang w:val="en"/>
        </w:rPr>
        <w:t>1</w:t>
      </w:r>
      <w:r>
        <w:rPr>
          <w:rFonts w:hint="eastAsia"/>
          <w:color w:val="auto"/>
          <w:sz w:val="21"/>
          <w:szCs w:val="21"/>
          <w:highlight w:val="none"/>
        </w:rPr>
        <w:t>）涉及商品包装和快递包装的，是否参考《商品包装政府采购需求标准（试行）》、《快递包装政府采购需求标准（试行）》明确产品及相关快递服务的具体包装要求：</w:t>
      </w:r>
    </w:p>
    <w:p w14:paraId="62EB9BAB">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 xml:space="preserve">是       </w:t>
      </w:r>
      <w:r>
        <w:rPr>
          <w:color w:val="auto"/>
          <w:sz w:val="21"/>
          <w:szCs w:val="21"/>
          <w:highlight w:val="none"/>
        </w:rPr>
        <w:sym w:font="Wingdings" w:char="F0A8"/>
      </w:r>
      <w:r>
        <w:rPr>
          <w:rFonts w:hint="eastAsia"/>
          <w:color w:val="auto"/>
          <w:sz w:val="21"/>
          <w:szCs w:val="21"/>
          <w:highlight w:val="none"/>
        </w:rPr>
        <w:t xml:space="preserve">否      </w:t>
      </w:r>
      <w:r>
        <w:rPr>
          <w:color w:val="auto"/>
          <w:sz w:val="21"/>
          <w:szCs w:val="21"/>
          <w:highlight w:val="none"/>
        </w:rPr>
        <w:sym w:font="Wingdings" w:char="00FE"/>
      </w:r>
      <w:r>
        <w:rPr>
          <w:rFonts w:hint="eastAsia"/>
          <w:color w:val="auto"/>
          <w:sz w:val="21"/>
          <w:szCs w:val="21"/>
          <w:highlight w:val="none"/>
        </w:rPr>
        <w:t>不涉及</w:t>
      </w:r>
    </w:p>
    <w:p w14:paraId="619EF3F3">
      <w:pPr>
        <w:pStyle w:val="631"/>
        <w:ind w:firstLineChars="200"/>
        <w:rPr>
          <w:b/>
          <w:color w:val="auto"/>
          <w:sz w:val="21"/>
          <w:szCs w:val="21"/>
          <w:highlight w:val="none"/>
        </w:rPr>
      </w:pPr>
      <w:r>
        <w:rPr>
          <w:rFonts w:hint="eastAsia"/>
          <w:b/>
          <w:color w:val="auto"/>
          <w:sz w:val="21"/>
          <w:szCs w:val="21"/>
          <w:highlight w:val="none"/>
        </w:rPr>
        <w:t>2.合同金额</w:t>
      </w:r>
    </w:p>
    <w:p w14:paraId="1606BD92">
      <w:pPr>
        <w:pStyle w:val="631"/>
        <w:ind w:firstLine="420" w:firstLineChars="200"/>
        <w:rPr>
          <w:color w:val="auto"/>
          <w:sz w:val="21"/>
          <w:szCs w:val="21"/>
          <w:highlight w:val="none"/>
        </w:rPr>
      </w:pPr>
      <w:r>
        <w:rPr>
          <w:rFonts w:hint="eastAsia"/>
          <w:color w:val="auto"/>
          <w:sz w:val="21"/>
          <w:szCs w:val="21"/>
          <w:highlight w:val="none"/>
        </w:rPr>
        <w:t>（1）合同金额小写：</w:t>
      </w:r>
      <w:r>
        <w:rPr>
          <w:rFonts w:hint="eastAsia"/>
          <w:color w:val="auto"/>
          <w:sz w:val="21"/>
          <w:szCs w:val="21"/>
          <w:highlight w:val="none"/>
          <w:u w:val="single"/>
        </w:rPr>
        <w:t xml:space="preserve">                           </w:t>
      </w:r>
    </w:p>
    <w:p w14:paraId="67652BE1">
      <w:pPr>
        <w:pStyle w:val="631"/>
        <w:ind w:firstLine="420" w:firstLineChars="200"/>
        <w:rPr>
          <w:color w:val="auto"/>
          <w:sz w:val="21"/>
          <w:szCs w:val="21"/>
          <w:highlight w:val="none"/>
          <w:u w:val="single"/>
        </w:rPr>
      </w:pPr>
      <w:r>
        <w:rPr>
          <w:rFonts w:hint="eastAsia"/>
          <w:color w:val="auto"/>
          <w:sz w:val="21"/>
          <w:szCs w:val="21"/>
          <w:highlight w:val="none"/>
        </w:rPr>
        <w:t xml:space="preserve">             大写：</w:t>
      </w:r>
      <w:r>
        <w:rPr>
          <w:rFonts w:hint="eastAsia"/>
          <w:color w:val="auto"/>
          <w:sz w:val="21"/>
          <w:szCs w:val="21"/>
          <w:highlight w:val="none"/>
          <w:u w:val="single"/>
        </w:rPr>
        <w:t xml:space="preserve">                           </w:t>
      </w:r>
    </w:p>
    <w:p w14:paraId="1A27469A">
      <w:pPr>
        <w:pStyle w:val="631"/>
        <w:ind w:firstLine="420" w:firstLineChars="200"/>
        <w:rPr>
          <w:color w:val="auto"/>
          <w:sz w:val="21"/>
          <w:szCs w:val="21"/>
          <w:highlight w:val="none"/>
        </w:rPr>
      </w:pPr>
      <w:r>
        <w:rPr>
          <w:rFonts w:hint="eastAsia"/>
          <w:color w:val="auto"/>
          <w:sz w:val="21"/>
          <w:szCs w:val="21"/>
          <w:highlight w:val="none"/>
        </w:rPr>
        <w:t>（2）合同定价方式（采用组合定价方式的，可以勾选多项）：</w:t>
      </w:r>
    </w:p>
    <w:p w14:paraId="4EEE8518">
      <w:pPr>
        <w:pStyle w:val="631"/>
        <w:ind w:firstLine="420" w:firstLineChars="200"/>
        <w:rPr>
          <w:color w:val="auto"/>
          <w:sz w:val="21"/>
          <w:szCs w:val="21"/>
          <w:highlight w:val="none"/>
        </w:rPr>
      </w:pPr>
      <w:r>
        <w:rPr>
          <w:iCs/>
          <w:color w:val="auto"/>
          <w:sz w:val="21"/>
          <w:szCs w:val="21"/>
          <w:highlight w:val="none"/>
        </w:rPr>
        <w:sym w:font="Wingdings" w:char="00FE"/>
      </w:r>
      <w:r>
        <w:rPr>
          <w:rFonts w:hint="eastAsia"/>
          <w:iCs/>
          <w:color w:val="auto"/>
          <w:sz w:val="21"/>
          <w:szCs w:val="21"/>
          <w:highlight w:val="none"/>
        </w:rPr>
        <w:t xml:space="preserve">固定总价 </w:t>
      </w:r>
      <w:r>
        <w:rPr>
          <w:iCs/>
          <w:color w:val="auto"/>
          <w:sz w:val="21"/>
          <w:szCs w:val="21"/>
          <w:highlight w:val="none"/>
        </w:rPr>
        <w:sym w:font="Wingdings" w:char="00A8"/>
      </w:r>
      <w:r>
        <w:rPr>
          <w:rFonts w:hint="eastAsia"/>
          <w:iCs/>
          <w:color w:val="auto"/>
          <w:sz w:val="21"/>
          <w:szCs w:val="21"/>
          <w:highlight w:val="none"/>
        </w:rPr>
        <w:t xml:space="preserve">固定单价 </w:t>
      </w:r>
      <w:r>
        <w:rPr>
          <w:iCs/>
          <w:color w:val="auto"/>
          <w:sz w:val="21"/>
          <w:szCs w:val="21"/>
          <w:highlight w:val="none"/>
        </w:rPr>
        <w:sym w:font="Wingdings" w:char="F0A8"/>
      </w:r>
      <w:r>
        <w:rPr>
          <w:rFonts w:hint="eastAsia"/>
          <w:iCs/>
          <w:color w:val="auto"/>
          <w:sz w:val="21"/>
          <w:szCs w:val="21"/>
          <w:highlight w:val="none"/>
        </w:rPr>
        <w:t xml:space="preserve">固定费率 </w:t>
      </w:r>
      <w:r>
        <w:rPr>
          <w:iCs/>
          <w:color w:val="auto"/>
          <w:sz w:val="21"/>
          <w:szCs w:val="21"/>
          <w:highlight w:val="none"/>
        </w:rPr>
        <w:sym w:font="Wingdings" w:char="F0A8"/>
      </w:r>
      <w:r>
        <w:rPr>
          <w:rFonts w:hint="eastAsia"/>
          <w:iCs/>
          <w:color w:val="auto"/>
          <w:sz w:val="21"/>
          <w:szCs w:val="21"/>
          <w:highlight w:val="none"/>
        </w:rPr>
        <w:t xml:space="preserve">成本补偿 </w:t>
      </w:r>
      <w:r>
        <w:rPr>
          <w:iCs/>
          <w:color w:val="auto"/>
          <w:sz w:val="21"/>
          <w:szCs w:val="21"/>
          <w:highlight w:val="none"/>
        </w:rPr>
        <w:sym w:font="Wingdings" w:char="F0A8"/>
      </w:r>
      <w:r>
        <w:rPr>
          <w:rFonts w:hint="eastAsia"/>
          <w:iCs/>
          <w:color w:val="auto"/>
          <w:sz w:val="21"/>
          <w:szCs w:val="21"/>
          <w:highlight w:val="none"/>
        </w:rPr>
        <w:t xml:space="preserve">绩效激励 </w:t>
      </w:r>
      <w:r>
        <w:rPr>
          <w:iCs/>
          <w:color w:val="auto"/>
          <w:sz w:val="21"/>
          <w:szCs w:val="21"/>
          <w:highlight w:val="none"/>
        </w:rPr>
        <w:sym w:font="Wingdings" w:char="F0A8"/>
      </w:r>
      <w:r>
        <w:rPr>
          <w:rFonts w:hint="eastAsia"/>
          <w:iCs/>
          <w:color w:val="auto"/>
          <w:sz w:val="21"/>
          <w:szCs w:val="21"/>
          <w:highlight w:val="none"/>
        </w:rPr>
        <w:t>其他</w:t>
      </w:r>
      <w:r>
        <w:rPr>
          <w:rFonts w:hint="eastAsia"/>
          <w:color w:val="auto"/>
          <w:sz w:val="21"/>
          <w:szCs w:val="21"/>
          <w:highlight w:val="none"/>
          <w:u w:val="single"/>
        </w:rPr>
        <w:t xml:space="preserve">       </w:t>
      </w:r>
    </w:p>
    <w:p w14:paraId="4BE153A4">
      <w:pPr>
        <w:pStyle w:val="631"/>
        <w:ind w:firstLine="420" w:firstLineChars="200"/>
        <w:rPr>
          <w:color w:val="auto"/>
          <w:sz w:val="21"/>
          <w:szCs w:val="21"/>
          <w:highlight w:val="none"/>
        </w:rPr>
      </w:pPr>
      <w:r>
        <w:rPr>
          <w:rFonts w:hint="eastAsia"/>
          <w:color w:val="auto"/>
          <w:sz w:val="21"/>
          <w:szCs w:val="21"/>
          <w:highlight w:val="none"/>
        </w:rPr>
        <w:t>（3）付款方式（按项目实际勾选填写）：</w:t>
      </w:r>
    </w:p>
    <w:p w14:paraId="215A7BFF">
      <w:pPr>
        <w:pStyle w:val="631"/>
        <w:ind w:firstLine="420" w:firstLineChars="200"/>
        <w:rPr>
          <w:color w:val="auto"/>
          <w:sz w:val="21"/>
          <w:szCs w:val="21"/>
          <w:highlight w:val="none"/>
          <w:u w:val="single"/>
        </w:rPr>
      </w:pPr>
      <w:r>
        <w:rPr>
          <w:color w:val="auto"/>
          <w:sz w:val="21"/>
          <w:szCs w:val="21"/>
          <w:highlight w:val="none"/>
        </w:rPr>
        <w:sym w:font="Wingdings" w:char="F0A8"/>
      </w:r>
      <w:r>
        <w:rPr>
          <w:rFonts w:hint="eastAsia"/>
          <w:color w:val="auto"/>
          <w:sz w:val="21"/>
          <w:szCs w:val="21"/>
          <w:highlight w:val="none"/>
        </w:rPr>
        <w:t>全额付款：</w:t>
      </w:r>
      <w:r>
        <w:rPr>
          <w:rFonts w:hint="eastAsia"/>
          <w:color w:val="auto"/>
          <w:sz w:val="21"/>
          <w:szCs w:val="21"/>
          <w:highlight w:val="none"/>
          <w:u w:val="single"/>
        </w:rPr>
        <w:t xml:space="preserve">     （应明确一次性支付合同款项的条件）                    </w:t>
      </w:r>
    </w:p>
    <w:p w14:paraId="51B2FA44">
      <w:pPr>
        <w:pStyle w:val="631"/>
        <w:ind w:firstLine="420" w:firstLineChars="200"/>
        <w:rPr>
          <w:rFonts w:hint="eastAsia"/>
          <w:color w:val="auto"/>
          <w:sz w:val="21"/>
          <w:szCs w:val="21"/>
          <w:highlight w:val="none"/>
        </w:rPr>
      </w:pPr>
      <w:r>
        <w:rPr>
          <w:color w:val="auto"/>
          <w:sz w:val="21"/>
          <w:szCs w:val="21"/>
          <w:highlight w:val="none"/>
        </w:rPr>
        <w:sym w:font="Wingdings" w:char="00FE"/>
      </w:r>
      <w:r>
        <w:rPr>
          <w:rFonts w:hint="eastAsia"/>
          <w:color w:val="auto"/>
          <w:sz w:val="21"/>
          <w:szCs w:val="21"/>
          <w:highlight w:val="none"/>
        </w:rPr>
        <w:t>分期付款：</w:t>
      </w:r>
    </w:p>
    <w:p w14:paraId="3F5A7372">
      <w:pPr>
        <w:pStyle w:val="631"/>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1、预付款：合同经甲乙双方签字生效后，甲方于5个工作日内支付合同金额的50%作为预付款。</w:t>
      </w:r>
    </w:p>
    <w:p w14:paraId="4EB16128">
      <w:pPr>
        <w:pStyle w:val="631"/>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2、验收合格付款：项目全部赛事结束、整体验收合格，乙方提交完整合规发票及全套结算资料后，甲方在15个工作日内支付合同尾款。</w:t>
      </w:r>
    </w:p>
    <w:p w14:paraId="1B093400">
      <w:pPr>
        <w:pStyle w:val="631"/>
        <w:ind w:firstLine="420" w:firstLineChars="200"/>
        <w:rPr>
          <w:rFonts w:hint="eastAsia"/>
          <w:color w:val="auto"/>
          <w:sz w:val="21"/>
          <w:szCs w:val="21"/>
          <w:highlight w:val="none"/>
          <w:lang w:val="en-US" w:eastAsia="zh-CN"/>
        </w:rPr>
      </w:pPr>
      <w:r>
        <w:rPr>
          <w:rFonts w:hint="eastAsia"/>
          <w:color w:val="auto"/>
          <w:sz w:val="21"/>
          <w:szCs w:val="21"/>
          <w:highlight w:val="none"/>
          <w:lang w:val="en-US" w:eastAsia="zh-CN"/>
        </w:rPr>
        <w:t>3、付款前提：每阶段付款乙方需按要求提供合规票据及完整资料，待财政资金拔付到位后，履行资金拔付程序，因财政资金拔付流程导致的付款延误，不视为甲方违约。</w:t>
      </w:r>
    </w:p>
    <w:p w14:paraId="55C37472">
      <w:pPr>
        <w:pStyle w:val="631"/>
        <w:ind w:firstLine="420" w:firstLineChars="200"/>
        <w:rPr>
          <w:color w:val="auto"/>
          <w:sz w:val="21"/>
          <w:szCs w:val="21"/>
          <w:highlight w:val="none"/>
          <w:u w:val="single"/>
        </w:rPr>
      </w:pPr>
      <w:r>
        <w:rPr>
          <w:color w:val="auto"/>
          <w:sz w:val="21"/>
          <w:szCs w:val="21"/>
          <w:highlight w:val="none"/>
        </w:rPr>
        <w:sym w:font="Wingdings" w:char="F0A8"/>
      </w:r>
      <w:r>
        <w:rPr>
          <w:rFonts w:hint="eastAsia"/>
          <w:color w:val="auto"/>
          <w:sz w:val="21"/>
          <w:szCs w:val="21"/>
          <w:highlight w:val="none"/>
        </w:rPr>
        <w:t>成本补偿：</w:t>
      </w:r>
      <w:r>
        <w:rPr>
          <w:rFonts w:hint="eastAsia"/>
          <w:color w:val="auto"/>
          <w:sz w:val="21"/>
          <w:szCs w:val="21"/>
          <w:highlight w:val="none"/>
          <w:u w:val="single"/>
        </w:rPr>
        <w:t xml:space="preserve">      （应明确按照成本补偿方式的支付方式和支付条件）   </w:t>
      </w:r>
    </w:p>
    <w:p w14:paraId="0727E7A4">
      <w:pPr>
        <w:pStyle w:val="631"/>
        <w:ind w:firstLine="420" w:firstLineChars="200"/>
        <w:rPr>
          <w:color w:val="auto"/>
          <w:sz w:val="21"/>
          <w:szCs w:val="21"/>
          <w:highlight w:val="none"/>
        </w:rPr>
      </w:pPr>
      <w:r>
        <w:rPr>
          <w:color w:val="auto"/>
          <w:sz w:val="21"/>
          <w:szCs w:val="21"/>
          <w:highlight w:val="none"/>
        </w:rPr>
        <w:sym w:font="Wingdings" w:char="F0A8"/>
      </w:r>
      <w:r>
        <w:rPr>
          <w:rFonts w:hint="eastAsia"/>
          <w:color w:val="auto"/>
          <w:sz w:val="21"/>
          <w:szCs w:val="21"/>
          <w:highlight w:val="none"/>
        </w:rPr>
        <w:t>绩效激励：</w:t>
      </w:r>
      <w:r>
        <w:rPr>
          <w:rFonts w:hint="eastAsia"/>
          <w:color w:val="auto"/>
          <w:sz w:val="21"/>
          <w:szCs w:val="21"/>
          <w:highlight w:val="none"/>
          <w:u w:val="single"/>
        </w:rPr>
        <w:t xml:space="preserve">      （应明确按照绩效激励方式的支付方式和支付条件）   </w:t>
      </w:r>
    </w:p>
    <w:p w14:paraId="02466513">
      <w:pPr>
        <w:pStyle w:val="631"/>
        <w:ind w:firstLineChars="200"/>
        <w:rPr>
          <w:b/>
          <w:color w:val="auto"/>
          <w:sz w:val="21"/>
          <w:szCs w:val="21"/>
          <w:highlight w:val="none"/>
          <w:u w:val="single"/>
        </w:rPr>
      </w:pPr>
      <w:r>
        <w:rPr>
          <w:rFonts w:hint="eastAsia"/>
          <w:b/>
          <w:color w:val="auto"/>
          <w:sz w:val="21"/>
          <w:szCs w:val="21"/>
          <w:highlight w:val="none"/>
        </w:rPr>
        <w:t>3.合同履行</w:t>
      </w:r>
    </w:p>
    <w:p w14:paraId="6A0761AE">
      <w:pPr>
        <w:pStyle w:val="631"/>
        <w:ind w:firstLine="420" w:firstLineChars="200"/>
        <w:rPr>
          <w:rFonts w:hint="eastAsia" w:cs="宋体"/>
          <w:color w:val="auto"/>
          <w:sz w:val="21"/>
          <w:szCs w:val="21"/>
          <w:highlight w:val="none"/>
        </w:rPr>
      </w:pPr>
      <w:r>
        <w:rPr>
          <w:rFonts w:hint="eastAsia" w:cs="宋体"/>
          <w:color w:val="auto"/>
          <w:sz w:val="21"/>
          <w:szCs w:val="21"/>
          <w:highlight w:val="none"/>
        </w:rPr>
        <w:t>（1）起始日期：合同签订生效之日起；完成日期：全部赛事结束、项目整体竣工验收合格、质保服务履约完毕之日止。</w:t>
      </w:r>
    </w:p>
    <w:p w14:paraId="27E8329C">
      <w:pPr>
        <w:pStyle w:val="631"/>
        <w:ind w:firstLine="420" w:firstLineChars="200"/>
        <w:rPr>
          <w:rFonts w:cs="宋体"/>
          <w:color w:val="auto"/>
          <w:sz w:val="21"/>
          <w:szCs w:val="21"/>
          <w:highlight w:val="none"/>
          <w:u w:val="single"/>
        </w:rPr>
      </w:pPr>
      <w:r>
        <w:rPr>
          <w:rFonts w:hint="eastAsia" w:cs="宋体"/>
          <w:color w:val="auto"/>
          <w:sz w:val="21"/>
          <w:szCs w:val="21"/>
          <w:highlight w:val="none"/>
        </w:rPr>
        <w:t>（2）履约地点</w:t>
      </w:r>
      <w:r>
        <w:rPr>
          <w:rFonts w:hint="eastAsia" w:cs="宋体"/>
          <w:bCs/>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甲方指定地点</w:t>
      </w:r>
      <w:r>
        <w:rPr>
          <w:rFonts w:hint="eastAsia" w:cs="宋体"/>
          <w:color w:val="auto"/>
          <w:sz w:val="21"/>
          <w:szCs w:val="21"/>
          <w:highlight w:val="none"/>
          <w:u w:val="single"/>
        </w:rPr>
        <w:t xml:space="preserve"> </w:t>
      </w:r>
    </w:p>
    <w:p w14:paraId="10AE738B">
      <w:pPr>
        <w:pStyle w:val="631"/>
        <w:ind w:firstLine="420" w:firstLineChars="200"/>
        <w:rPr>
          <w:rFonts w:cs="宋体"/>
          <w:color w:val="auto"/>
          <w:sz w:val="21"/>
          <w:szCs w:val="21"/>
          <w:highlight w:val="none"/>
        </w:rPr>
      </w:pPr>
      <w:r>
        <w:rPr>
          <w:rFonts w:hint="eastAsia" w:cs="宋体"/>
          <w:bCs/>
          <w:color w:val="auto"/>
          <w:sz w:val="21"/>
          <w:szCs w:val="21"/>
          <w:highlight w:val="none"/>
        </w:rPr>
        <w:t>（3）履约担保：</w:t>
      </w:r>
      <w:r>
        <w:rPr>
          <w:rFonts w:hint="eastAsia" w:cs="宋体"/>
          <w:color w:val="auto"/>
          <w:sz w:val="21"/>
          <w:szCs w:val="21"/>
          <w:highlight w:val="none"/>
        </w:rPr>
        <w:t>是否收取履约保证金：</w:t>
      </w:r>
      <w:r>
        <w:rPr>
          <w:rFonts w:cs="宋体"/>
          <w:color w:val="auto"/>
          <w:sz w:val="21"/>
          <w:szCs w:val="21"/>
          <w:highlight w:val="none"/>
        </w:rPr>
        <w:sym w:font="Wingdings" w:char="F0A8"/>
      </w:r>
      <w:r>
        <w:rPr>
          <w:rFonts w:hint="eastAsia" w:cs="宋体"/>
          <w:color w:val="auto"/>
          <w:sz w:val="21"/>
          <w:szCs w:val="21"/>
          <w:highlight w:val="none"/>
        </w:rPr>
        <w:t xml:space="preserve">是    </w:t>
      </w:r>
      <w:r>
        <w:rPr>
          <w:rFonts w:cs="宋体"/>
          <w:color w:val="auto"/>
          <w:sz w:val="21"/>
          <w:szCs w:val="21"/>
          <w:highlight w:val="none"/>
        </w:rPr>
        <w:sym w:font="Wingdings" w:char="00FE"/>
      </w:r>
      <w:r>
        <w:rPr>
          <w:rFonts w:hint="eastAsia" w:cs="宋体"/>
          <w:color w:val="auto"/>
          <w:sz w:val="21"/>
          <w:szCs w:val="21"/>
          <w:highlight w:val="none"/>
        </w:rPr>
        <w:t>否</w:t>
      </w:r>
    </w:p>
    <w:p w14:paraId="4775CC7C">
      <w:pPr>
        <w:pStyle w:val="631"/>
        <w:ind w:firstLine="420" w:firstLineChars="200"/>
        <w:rPr>
          <w:rFonts w:cs="宋体"/>
          <w:color w:val="auto"/>
          <w:sz w:val="21"/>
          <w:szCs w:val="21"/>
          <w:highlight w:val="none"/>
        </w:rPr>
      </w:pPr>
      <w:r>
        <w:rPr>
          <w:rFonts w:hint="eastAsia" w:cs="宋体"/>
          <w:color w:val="auto"/>
          <w:sz w:val="21"/>
          <w:szCs w:val="21"/>
          <w:highlight w:val="none"/>
        </w:rPr>
        <w:t>收取履约保证金形式：</w:t>
      </w:r>
      <w:r>
        <w:rPr>
          <w:rFonts w:hint="eastAsia" w:cs="宋体"/>
          <w:bCs/>
          <w:color w:val="auto"/>
          <w:sz w:val="21"/>
          <w:szCs w:val="21"/>
          <w:highlight w:val="none"/>
          <w:u w:val="single"/>
        </w:rPr>
        <w:t xml:space="preserve">                            </w:t>
      </w:r>
    </w:p>
    <w:p w14:paraId="13CAF4C2">
      <w:pPr>
        <w:pStyle w:val="631"/>
        <w:ind w:firstLine="420" w:firstLineChars="200"/>
        <w:rPr>
          <w:rFonts w:cs="宋体"/>
          <w:color w:val="auto"/>
          <w:sz w:val="21"/>
          <w:szCs w:val="21"/>
          <w:highlight w:val="none"/>
        </w:rPr>
      </w:pPr>
      <w:r>
        <w:rPr>
          <w:rFonts w:hint="eastAsia" w:cs="宋体"/>
          <w:color w:val="auto"/>
          <w:sz w:val="21"/>
          <w:szCs w:val="21"/>
          <w:highlight w:val="none"/>
        </w:rPr>
        <w:t>收取履约保证金金额：</w:t>
      </w:r>
      <w:r>
        <w:rPr>
          <w:rFonts w:hint="eastAsia" w:cs="宋体"/>
          <w:bCs/>
          <w:color w:val="auto"/>
          <w:sz w:val="21"/>
          <w:szCs w:val="21"/>
          <w:highlight w:val="none"/>
          <w:u w:val="single"/>
        </w:rPr>
        <w:t xml:space="preserve">                            </w:t>
      </w:r>
    </w:p>
    <w:p w14:paraId="5CC17951">
      <w:pPr>
        <w:pStyle w:val="631"/>
        <w:ind w:firstLine="420" w:firstLineChars="200"/>
        <w:rPr>
          <w:rFonts w:cs="宋体"/>
          <w:color w:val="auto"/>
          <w:sz w:val="21"/>
          <w:szCs w:val="21"/>
          <w:highlight w:val="none"/>
        </w:rPr>
      </w:pPr>
      <w:r>
        <w:rPr>
          <w:rFonts w:hint="eastAsia" w:cs="宋体"/>
          <w:bCs/>
          <w:color w:val="auto"/>
          <w:sz w:val="21"/>
          <w:szCs w:val="21"/>
          <w:highlight w:val="none"/>
        </w:rPr>
        <w:t>履约担保期限：</w:t>
      </w:r>
      <w:r>
        <w:rPr>
          <w:rFonts w:hint="eastAsia" w:cs="宋体"/>
          <w:bCs/>
          <w:color w:val="auto"/>
          <w:sz w:val="21"/>
          <w:szCs w:val="21"/>
          <w:highlight w:val="none"/>
          <w:u w:val="single"/>
        </w:rPr>
        <w:t xml:space="preserve">                                  </w:t>
      </w:r>
    </w:p>
    <w:p w14:paraId="265CF634">
      <w:pPr>
        <w:pStyle w:val="631"/>
        <w:ind w:firstLine="420" w:firstLineChars="200"/>
        <w:rPr>
          <w:rFonts w:hint="eastAsia" w:cs="宋体"/>
          <w:bCs/>
          <w:color w:val="auto"/>
          <w:sz w:val="21"/>
          <w:szCs w:val="21"/>
          <w:highlight w:val="none"/>
          <w:u w:val="single"/>
        </w:rPr>
      </w:pPr>
      <w:r>
        <w:rPr>
          <w:rFonts w:hint="eastAsia" w:cs="宋体"/>
          <w:bCs/>
          <w:color w:val="auto"/>
          <w:sz w:val="21"/>
          <w:szCs w:val="21"/>
          <w:highlight w:val="none"/>
        </w:rPr>
        <w:t>（4）分期履行要求：</w:t>
      </w:r>
      <w:r>
        <w:rPr>
          <w:rFonts w:hint="eastAsia" w:cs="宋体"/>
          <w:bCs/>
          <w:color w:val="auto"/>
          <w:sz w:val="21"/>
          <w:szCs w:val="21"/>
          <w:highlight w:val="none"/>
          <w:u w:val="single"/>
        </w:rPr>
        <w:t xml:space="preserve"> 乙方严格按照各赛事报到时间节点分期完成供货、安装、调试、试运行，确保各赛事按期保障，具体节点严格贴合采购需求赛事日程。</w:t>
      </w:r>
    </w:p>
    <w:p w14:paraId="10572156">
      <w:pPr>
        <w:pStyle w:val="631"/>
        <w:ind w:firstLine="420" w:firstLineChars="200"/>
        <w:rPr>
          <w:rFonts w:cs="宋体"/>
          <w:color w:val="auto"/>
          <w:sz w:val="21"/>
          <w:szCs w:val="21"/>
          <w:highlight w:val="none"/>
          <w:u w:val="single"/>
        </w:rPr>
      </w:pPr>
      <w:r>
        <w:rPr>
          <w:rFonts w:hint="eastAsia" w:cs="宋体"/>
          <w:bCs/>
          <w:color w:val="auto"/>
          <w:sz w:val="21"/>
          <w:szCs w:val="21"/>
          <w:highlight w:val="none"/>
        </w:rPr>
        <w:t>（5）风险处置措施和替代方案：</w:t>
      </w:r>
      <w:r>
        <w:rPr>
          <w:rFonts w:hint="eastAsia" w:cs="宋体"/>
          <w:color w:val="auto"/>
          <w:sz w:val="21"/>
          <w:szCs w:val="21"/>
          <w:highlight w:val="none"/>
          <w:u w:val="single"/>
        </w:rPr>
        <w:t xml:space="preserve"> 赛事期间设备出现故障、性能偏差、破损等问题，乙方1小时内到场处置，无法现场修复的立即提供同等规格、同等性能备用设备，保障赛事正常开展；履约过程中出现质量、工期、服务问题，乙方无条件限期整改并承担全部损失。 </w:t>
      </w:r>
    </w:p>
    <w:p w14:paraId="7DFEE3FE">
      <w:pPr>
        <w:pStyle w:val="631"/>
        <w:ind w:firstLineChars="200"/>
        <w:rPr>
          <w:b/>
          <w:color w:val="auto"/>
          <w:sz w:val="21"/>
          <w:szCs w:val="21"/>
          <w:highlight w:val="none"/>
        </w:rPr>
      </w:pPr>
      <w:r>
        <w:rPr>
          <w:rFonts w:hint="eastAsia"/>
          <w:b/>
          <w:color w:val="auto"/>
          <w:sz w:val="21"/>
          <w:szCs w:val="21"/>
          <w:highlight w:val="none"/>
        </w:rPr>
        <w:t>4.合同验收</w:t>
      </w:r>
    </w:p>
    <w:p w14:paraId="020B03CB">
      <w:pPr>
        <w:pStyle w:val="631"/>
        <w:ind w:firstLine="420" w:firstLineChars="200"/>
        <w:rPr>
          <w:bCs/>
          <w:color w:val="auto"/>
          <w:sz w:val="21"/>
          <w:szCs w:val="21"/>
          <w:highlight w:val="none"/>
        </w:rPr>
      </w:pPr>
      <w:r>
        <w:rPr>
          <w:rFonts w:hint="eastAsia"/>
          <w:bCs/>
          <w:color w:val="auto"/>
          <w:sz w:val="21"/>
          <w:szCs w:val="21"/>
          <w:highlight w:val="none"/>
        </w:rPr>
        <w:t>验收组织方式：</w:t>
      </w:r>
      <w:r>
        <w:rPr>
          <w:rFonts w:cs="宋体"/>
          <w:color w:val="auto"/>
          <w:sz w:val="21"/>
          <w:szCs w:val="21"/>
          <w:highlight w:val="none"/>
        </w:rPr>
        <w:sym w:font="Wingdings" w:char="00FE"/>
      </w:r>
      <w:r>
        <w:rPr>
          <w:rFonts w:hint="eastAsia"/>
          <w:bCs/>
          <w:color w:val="auto"/>
          <w:sz w:val="21"/>
          <w:szCs w:val="21"/>
          <w:highlight w:val="none"/>
        </w:rPr>
        <w:t xml:space="preserve">自行组织 </w:t>
      </w:r>
      <w:r>
        <w:rPr>
          <w:rFonts w:cs="宋体"/>
          <w:color w:val="auto"/>
          <w:sz w:val="21"/>
          <w:szCs w:val="21"/>
          <w:highlight w:val="none"/>
        </w:rPr>
        <w:sym w:font="Wingdings" w:char="F0A8"/>
      </w:r>
      <w:r>
        <w:rPr>
          <w:rFonts w:hint="eastAsia"/>
          <w:bCs/>
          <w:color w:val="auto"/>
          <w:sz w:val="21"/>
          <w:szCs w:val="21"/>
          <w:highlight w:val="none"/>
        </w:rPr>
        <w:t>委托第三方组织</w:t>
      </w:r>
    </w:p>
    <w:p w14:paraId="69D90845">
      <w:pPr>
        <w:pStyle w:val="631"/>
        <w:ind w:firstLine="420" w:firstLineChars="200"/>
        <w:rPr>
          <w:bCs/>
          <w:color w:val="auto"/>
          <w:sz w:val="21"/>
          <w:szCs w:val="21"/>
          <w:highlight w:val="none"/>
        </w:rPr>
      </w:pPr>
      <w:r>
        <w:rPr>
          <w:rFonts w:hint="eastAsia"/>
          <w:bCs/>
          <w:color w:val="auto"/>
          <w:sz w:val="21"/>
          <w:szCs w:val="21"/>
          <w:highlight w:val="none"/>
        </w:rPr>
        <w:t>验收主体：</w:t>
      </w:r>
      <w:r>
        <w:rPr>
          <w:rFonts w:hint="eastAsia"/>
          <w:bCs/>
          <w:color w:val="auto"/>
          <w:sz w:val="21"/>
          <w:szCs w:val="21"/>
          <w:highlight w:val="none"/>
          <w:u w:val="single"/>
        </w:rPr>
        <w:t xml:space="preserve"> 甲方组建专项验收小组开展履约验收 </w:t>
      </w:r>
    </w:p>
    <w:p w14:paraId="0AB38C61">
      <w:pPr>
        <w:pStyle w:val="631"/>
        <w:ind w:firstLine="420" w:firstLineChars="200"/>
        <w:rPr>
          <w:bCs/>
          <w:color w:val="auto"/>
          <w:sz w:val="21"/>
          <w:szCs w:val="21"/>
          <w:highlight w:val="none"/>
        </w:rPr>
      </w:pPr>
      <w:r>
        <w:rPr>
          <w:rFonts w:hint="eastAsia"/>
          <w:bCs/>
          <w:color w:val="auto"/>
          <w:sz w:val="21"/>
          <w:szCs w:val="21"/>
          <w:highlight w:val="none"/>
        </w:rPr>
        <w:t>是否邀请本项目的其他供应商参加验收：</w:t>
      </w:r>
      <w:r>
        <w:rPr>
          <w:rFonts w:cs="宋体"/>
          <w:color w:val="auto"/>
          <w:sz w:val="21"/>
          <w:szCs w:val="21"/>
          <w:highlight w:val="none"/>
        </w:rPr>
        <w:sym w:font="Wingdings" w:char="F0A8"/>
      </w:r>
      <w:r>
        <w:rPr>
          <w:rFonts w:hint="eastAsia"/>
          <w:bCs/>
          <w:color w:val="auto"/>
          <w:sz w:val="21"/>
          <w:szCs w:val="21"/>
          <w:highlight w:val="none"/>
        </w:rPr>
        <w:t xml:space="preserve">是  </w:t>
      </w:r>
      <w:r>
        <w:rPr>
          <w:rFonts w:cs="宋体"/>
          <w:color w:val="auto"/>
          <w:sz w:val="21"/>
          <w:szCs w:val="21"/>
          <w:highlight w:val="none"/>
        </w:rPr>
        <w:sym w:font="Wingdings" w:char="00A8"/>
      </w:r>
      <w:r>
        <w:rPr>
          <w:rFonts w:hint="eastAsia"/>
          <w:bCs/>
          <w:color w:val="auto"/>
          <w:sz w:val="21"/>
          <w:szCs w:val="21"/>
          <w:highlight w:val="none"/>
        </w:rPr>
        <w:t>否</w:t>
      </w:r>
    </w:p>
    <w:p w14:paraId="0C0FF779">
      <w:pPr>
        <w:pStyle w:val="631"/>
        <w:ind w:firstLine="420" w:firstLineChars="200"/>
        <w:rPr>
          <w:bCs/>
          <w:color w:val="auto"/>
          <w:sz w:val="21"/>
          <w:szCs w:val="21"/>
          <w:highlight w:val="none"/>
        </w:rPr>
      </w:pPr>
      <w:r>
        <w:rPr>
          <w:rFonts w:hint="eastAsia"/>
          <w:bCs/>
          <w:color w:val="auto"/>
          <w:sz w:val="21"/>
          <w:szCs w:val="21"/>
          <w:highlight w:val="none"/>
        </w:rPr>
        <w:t>是否邀请专家参加验收：</w:t>
      </w:r>
      <w:r>
        <w:rPr>
          <w:rFonts w:cs="宋体"/>
          <w:color w:val="auto"/>
          <w:sz w:val="21"/>
          <w:szCs w:val="21"/>
          <w:highlight w:val="none"/>
        </w:rPr>
        <w:sym w:font="Wingdings" w:char="00A8"/>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3978BFCC">
      <w:pPr>
        <w:pStyle w:val="631"/>
        <w:ind w:firstLine="420" w:firstLineChars="200"/>
        <w:rPr>
          <w:bCs/>
          <w:color w:val="auto"/>
          <w:sz w:val="21"/>
          <w:szCs w:val="21"/>
          <w:highlight w:val="none"/>
        </w:rPr>
      </w:pPr>
      <w:r>
        <w:rPr>
          <w:rFonts w:hint="eastAsia"/>
          <w:bCs/>
          <w:color w:val="auto"/>
          <w:sz w:val="21"/>
          <w:szCs w:val="21"/>
          <w:highlight w:val="none"/>
        </w:rPr>
        <w:t>是否邀请服务对象参加验收：</w:t>
      </w:r>
      <w:r>
        <w:rPr>
          <w:rFonts w:cs="宋体"/>
          <w:color w:val="auto"/>
          <w:sz w:val="21"/>
          <w:szCs w:val="21"/>
          <w:highlight w:val="none"/>
        </w:rPr>
        <w:sym w:font="Wingdings" w:char="00A8"/>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6CB5BA1C">
      <w:pPr>
        <w:pStyle w:val="631"/>
        <w:ind w:firstLine="420" w:firstLineChars="200"/>
        <w:rPr>
          <w:bCs/>
          <w:color w:val="auto"/>
          <w:sz w:val="21"/>
          <w:szCs w:val="21"/>
          <w:highlight w:val="none"/>
        </w:rPr>
      </w:pPr>
      <w:r>
        <w:rPr>
          <w:rFonts w:hint="eastAsia"/>
          <w:bCs/>
          <w:color w:val="auto"/>
          <w:sz w:val="21"/>
          <w:szCs w:val="21"/>
          <w:highlight w:val="none"/>
        </w:rPr>
        <w:t>是否邀请第三方检测机构参加验收：</w:t>
      </w:r>
      <w:r>
        <w:rPr>
          <w:rFonts w:cs="宋体"/>
          <w:color w:val="auto"/>
          <w:sz w:val="21"/>
          <w:szCs w:val="21"/>
          <w:highlight w:val="none"/>
        </w:rPr>
        <w:sym w:font="Wingdings" w:char="00FE"/>
      </w:r>
      <w:r>
        <w:rPr>
          <w:rFonts w:hint="eastAsia"/>
          <w:bCs/>
          <w:color w:val="auto"/>
          <w:sz w:val="21"/>
          <w:szCs w:val="21"/>
          <w:highlight w:val="none"/>
        </w:rPr>
        <w:t xml:space="preserve">是  </w:t>
      </w:r>
      <w:r>
        <w:rPr>
          <w:rFonts w:cs="宋体"/>
          <w:color w:val="auto"/>
          <w:sz w:val="21"/>
          <w:szCs w:val="21"/>
          <w:highlight w:val="none"/>
        </w:rPr>
        <w:sym w:font="Wingdings" w:char="F0A8"/>
      </w:r>
      <w:r>
        <w:rPr>
          <w:rFonts w:hint="eastAsia"/>
          <w:bCs/>
          <w:color w:val="auto"/>
          <w:sz w:val="21"/>
          <w:szCs w:val="21"/>
          <w:highlight w:val="none"/>
        </w:rPr>
        <w:t>否</w:t>
      </w:r>
    </w:p>
    <w:p w14:paraId="18C082F5">
      <w:pPr>
        <w:pStyle w:val="631"/>
        <w:ind w:firstLine="420" w:firstLineChars="200"/>
        <w:rPr>
          <w:rFonts w:hint="eastAsia"/>
          <w:bCs/>
          <w:color w:val="auto"/>
          <w:sz w:val="21"/>
          <w:szCs w:val="21"/>
          <w:highlight w:val="none"/>
        </w:rPr>
      </w:pPr>
      <w:r>
        <w:rPr>
          <w:rFonts w:hint="eastAsia"/>
          <w:bCs/>
          <w:color w:val="auto"/>
          <w:sz w:val="21"/>
          <w:szCs w:val="21"/>
          <w:highlight w:val="none"/>
        </w:rPr>
        <w:t>甲方有权委托第三方机构对产品材质、性能、环保指标、冲击参数等进行抽检复检。</w:t>
      </w:r>
    </w:p>
    <w:p w14:paraId="4F5C091A">
      <w:pPr>
        <w:spacing w:before="120" w:after="120" w:line="288" w:lineRule="auto"/>
        <w:ind w:left="0"/>
        <w:jc w:val="left"/>
        <w:rPr>
          <w:rFonts w:hint="eastAsia" w:ascii="宋体" w:hAnsi="宋体" w:eastAsia="宋体" w:cs="Times New Roman"/>
          <w:bCs/>
          <w:color w:val="auto"/>
          <w:kern w:val="0"/>
          <w:sz w:val="21"/>
          <w:szCs w:val="21"/>
          <w:highlight w:val="none"/>
          <w:lang w:val="en-US" w:eastAsia="zh-CN" w:bidi="ar-SA"/>
        </w:rPr>
      </w:pPr>
      <w:r>
        <w:rPr>
          <w:rFonts w:hint="eastAsia"/>
          <w:bCs/>
          <w:color w:val="auto"/>
          <w:sz w:val="21"/>
          <w:szCs w:val="21"/>
          <w:highlight w:val="none"/>
        </w:rPr>
        <w:t>是否进行抽查检测：</w:t>
      </w:r>
      <w:r>
        <w:rPr>
          <w:rFonts w:cs="宋体"/>
          <w:color w:val="auto"/>
          <w:sz w:val="21"/>
          <w:szCs w:val="21"/>
          <w:highlight w:val="none"/>
        </w:rPr>
        <w:sym w:font="Wingdings" w:char="00FE"/>
      </w:r>
      <w:r>
        <w:rPr>
          <w:rFonts w:hint="eastAsia"/>
          <w:bCs/>
          <w:color w:val="auto"/>
          <w:sz w:val="21"/>
          <w:szCs w:val="21"/>
          <w:highlight w:val="none"/>
        </w:rPr>
        <w:t>是，</w:t>
      </w:r>
      <w:r>
        <w:rPr>
          <w:rFonts w:hint="eastAsia" w:ascii="宋体" w:hAnsi="宋体" w:eastAsia="宋体" w:cs="Times New Roman"/>
          <w:bCs/>
          <w:color w:val="auto"/>
          <w:kern w:val="0"/>
          <w:sz w:val="21"/>
          <w:szCs w:val="21"/>
          <w:highlight w:val="none"/>
          <w:lang w:val="en-US" w:eastAsia="zh-CN" w:bidi="ar-SA"/>
        </w:rPr>
        <w:t>随机抽查核心参数、材质结构、环保标准，不合格直接判定履约违约。</w:t>
      </w:r>
    </w:p>
    <w:p w14:paraId="5E3612AD">
      <w:pPr>
        <w:pStyle w:val="631"/>
        <w:ind w:firstLine="420" w:firstLineChars="200"/>
        <w:rPr>
          <w:rFonts w:hint="eastAsia" w:ascii="宋体" w:hAnsi="宋体" w:eastAsia="宋体" w:cs="Times New Roman"/>
          <w:bCs/>
          <w:color w:val="auto"/>
          <w:kern w:val="0"/>
          <w:sz w:val="21"/>
          <w:szCs w:val="21"/>
          <w:highlight w:val="none"/>
          <w:lang w:val="en-US" w:eastAsia="zh-CN" w:bidi="ar-SA"/>
        </w:rPr>
      </w:pPr>
      <w:r>
        <w:rPr>
          <w:rFonts w:hint="eastAsia" w:ascii="宋体" w:hAnsi="宋体" w:eastAsia="宋体" w:cs="Times New Roman"/>
          <w:bCs/>
          <w:color w:val="auto"/>
          <w:kern w:val="0"/>
          <w:sz w:val="21"/>
          <w:szCs w:val="21"/>
          <w:highlight w:val="none"/>
          <w:lang w:val="en-US" w:eastAsia="zh-CN" w:bidi="ar-SA"/>
        </w:rPr>
        <w:t>是否存在破坏性检测：</w:t>
      </w:r>
      <w:r>
        <w:rPr>
          <w:rFonts w:hint="eastAsia" w:ascii="宋体" w:hAnsi="宋体" w:eastAsia="宋体" w:cs="Times New Roman"/>
          <w:bCs/>
          <w:color w:val="auto"/>
          <w:kern w:val="0"/>
          <w:sz w:val="21"/>
          <w:szCs w:val="21"/>
          <w:highlight w:val="none"/>
          <w:lang w:val="en-US" w:eastAsia="zh-CN" w:bidi="ar-SA"/>
        </w:rPr>
        <w:sym w:font="Wingdings" w:char="F0A8"/>
      </w:r>
      <w:r>
        <w:rPr>
          <w:rFonts w:hint="eastAsia" w:ascii="宋体" w:hAnsi="宋体" w:eastAsia="宋体" w:cs="Times New Roman"/>
          <w:bCs/>
          <w:color w:val="auto"/>
          <w:kern w:val="0"/>
          <w:sz w:val="21"/>
          <w:szCs w:val="21"/>
          <w:highlight w:val="none"/>
          <w:lang w:val="en-US" w:eastAsia="zh-CN" w:bidi="ar-SA"/>
        </w:rPr>
        <w:t>是，（应明确对被破坏的检测产品的处理方式）</w:t>
      </w:r>
    </w:p>
    <w:p w14:paraId="6573BCBC">
      <w:pPr>
        <w:pStyle w:val="631"/>
        <w:ind w:firstLine="420" w:firstLineChars="200"/>
        <w:rPr>
          <w:bCs/>
          <w:color w:val="auto"/>
          <w:sz w:val="21"/>
          <w:szCs w:val="21"/>
          <w:highlight w:val="none"/>
        </w:rPr>
      </w:pPr>
      <w:r>
        <w:rPr>
          <w:rFonts w:hint="eastAsia"/>
          <w:bCs/>
          <w:color w:val="auto"/>
          <w:sz w:val="21"/>
          <w:szCs w:val="21"/>
          <w:highlight w:val="none"/>
        </w:rPr>
        <w:t xml:space="preserve">                    </w:t>
      </w:r>
      <w:r>
        <w:rPr>
          <w:rFonts w:cs="宋体"/>
          <w:color w:val="auto"/>
          <w:sz w:val="21"/>
          <w:szCs w:val="21"/>
          <w:highlight w:val="none"/>
        </w:rPr>
        <w:sym w:font="Wingdings" w:char="F0A8"/>
      </w:r>
      <w:r>
        <w:rPr>
          <w:rFonts w:hint="eastAsia"/>
          <w:bCs/>
          <w:color w:val="auto"/>
          <w:sz w:val="21"/>
          <w:szCs w:val="21"/>
          <w:highlight w:val="none"/>
        </w:rPr>
        <w:t>否</w:t>
      </w:r>
    </w:p>
    <w:p w14:paraId="502708CE">
      <w:pPr>
        <w:pStyle w:val="631"/>
        <w:ind w:firstLine="420" w:firstLineChars="200"/>
        <w:rPr>
          <w:bCs/>
          <w:color w:val="auto"/>
          <w:sz w:val="21"/>
          <w:szCs w:val="21"/>
          <w:highlight w:val="none"/>
          <w:u w:val="single"/>
        </w:rPr>
      </w:pPr>
      <w:r>
        <w:rPr>
          <w:rFonts w:hint="eastAsia"/>
          <w:bCs/>
          <w:color w:val="auto"/>
          <w:sz w:val="21"/>
          <w:szCs w:val="21"/>
          <w:highlight w:val="none"/>
        </w:rPr>
        <w:t>验收组织的其他事项：</w:t>
      </w:r>
      <w:r>
        <w:rPr>
          <w:rFonts w:hint="eastAsia"/>
          <w:bCs/>
          <w:color w:val="auto"/>
          <w:sz w:val="21"/>
          <w:szCs w:val="21"/>
          <w:highlight w:val="none"/>
          <w:u w:val="single"/>
        </w:rPr>
        <w:t xml:space="preserve">                </w:t>
      </w:r>
    </w:p>
    <w:p w14:paraId="5C00D9A8">
      <w:pPr>
        <w:pStyle w:val="631"/>
        <w:ind w:firstLine="420" w:firstLineChars="200"/>
        <w:rPr>
          <w:rFonts w:hint="eastAsia"/>
          <w:bCs/>
          <w:color w:val="auto"/>
          <w:sz w:val="21"/>
          <w:szCs w:val="21"/>
          <w:highlight w:val="none"/>
          <w:u w:val="single"/>
        </w:rPr>
      </w:pPr>
      <w:r>
        <w:rPr>
          <w:rFonts w:hint="eastAsia"/>
          <w:bCs/>
          <w:color w:val="auto"/>
          <w:sz w:val="21"/>
          <w:szCs w:val="21"/>
          <w:highlight w:val="none"/>
        </w:rPr>
        <w:t>（2）履约验收时间：</w:t>
      </w:r>
      <w:r>
        <w:rPr>
          <w:rFonts w:hint="eastAsia"/>
          <w:bCs/>
          <w:color w:val="auto"/>
          <w:sz w:val="21"/>
          <w:szCs w:val="21"/>
          <w:highlight w:val="none"/>
          <w:u w:val="single"/>
        </w:rPr>
        <w:t>分阶段验收，单项目设备安装调试完成后3个工作日内完成进场初验；赛事期间同步开展试运行验收；全部赛事结束后3个工作日内完成项目整体竣工验收。</w:t>
      </w:r>
    </w:p>
    <w:p w14:paraId="31349AF1">
      <w:pPr>
        <w:pStyle w:val="631"/>
        <w:ind w:firstLine="420" w:firstLineChars="200"/>
        <w:rPr>
          <w:bCs/>
          <w:color w:val="auto"/>
          <w:sz w:val="21"/>
          <w:szCs w:val="21"/>
          <w:highlight w:val="none"/>
        </w:rPr>
      </w:pPr>
      <w:r>
        <w:rPr>
          <w:rFonts w:hint="eastAsia"/>
          <w:bCs/>
          <w:color w:val="auto"/>
          <w:sz w:val="21"/>
          <w:szCs w:val="21"/>
          <w:highlight w:val="none"/>
        </w:rPr>
        <w:t>（3）履约验收方式：</w:t>
      </w:r>
      <w:r>
        <w:rPr>
          <w:rFonts w:cs="宋体"/>
          <w:color w:val="auto"/>
          <w:sz w:val="21"/>
          <w:szCs w:val="21"/>
          <w:highlight w:val="none"/>
        </w:rPr>
        <w:sym w:font="Wingdings" w:char="F0A8"/>
      </w:r>
      <w:r>
        <w:rPr>
          <w:rFonts w:hint="eastAsia"/>
          <w:bCs/>
          <w:color w:val="auto"/>
          <w:sz w:val="21"/>
          <w:szCs w:val="21"/>
          <w:highlight w:val="none"/>
        </w:rPr>
        <w:t xml:space="preserve">一次性验收         </w:t>
      </w:r>
    </w:p>
    <w:p w14:paraId="0F4042ED">
      <w:pPr>
        <w:pStyle w:val="631"/>
        <w:ind w:firstLine="420" w:firstLineChars="200"/>
        <w:rPr>
          <w:rFonts w:hint="eastAsia"/>
          <w:bCs/>
          <w:color w:val="auto"/>
          <w:sz w:val="21"/>
          <w:szCs w:val="21"/>
          <w:highlight w:val="none"/>
          <w:u w:val="single"/>
        </w:rPr>
      </w:pPr>
      <w:r>
        <w:rPr>
          <w:rFonts w:hint="eastAsia"/>
          <w:bCs/>
          <w:color w:val="auto"/>
          <w:sz w:val="21"/>
          <w:szCs w:val="21"/>
          <w:highlight w:val="none"/>
        </w:rPr>
        <w:t xml:space="preserve">                   </w:t>
      </w:r>
      <w:r>
        <w:rPr>
          <w:rFonts w:cs="宋体"/>
          <w:color w:val="auto"/>
          <w:sz w:val="21"/>
          <w:szCs w:val="21"/>
          <w:highlight w:val="none"/>
        </w:rPr>
        <w:sym w:font="Wingdings" w:char="00FE"/>
      </w:r>
      <w:r>
        <w:rPr>
          <w:rFonts w:hint="eastAsia"/>
          <w:bCs/>
          <w:color w:val="auto"/>
          <w:sz w:val="21"/>
          <w:szCs w:val="21"/>
          <w:highlight w:val="none"/>
        </w:rPr>
        <w:t>分期/分项验收：</w:t>
      </w:r>
      <w:r>
        <w:rPr>
          <w:rFonts w:hint="eastAsia"/>
          <w:bCs/>
          <w:color w:val="auto"/>
          <w:sz w:val="21"/>
          <w:szCs w:val="21"/>
          <w:highlight w:val="none"/>
          <w:u w:val="single"/>
        </w:rPr>
        <w:t xml:space="preserve"> 分项分期验收+整体终验，以采购需求技术参数、样品标准、国标行标、赛事竞赛标准为唯一验收依据。</w:t>
      </w:r>
    </w:p>
    <w:p w14:paraId="0EF14982">
      <w:pPr>
        <w:pStyle w:val="631"/>
        <w:ind w:firstLine="420" w:firstLineChars="200"/>
        <w:rPr>
          <w:bCs/>
          <w:color w:val="auto"/>
          <w:sz w:val="21"/>
          <w:szCs w:val="21"/>
          <w:highlight w:val="none"/>
        </w:rPr>
      </w:pPr>
      <w:r>
        <w:rPr>
          <w:rFonts w:hint="eastAsia"/>
          <w:bCs/>
          <w:color w:val="auto"/>
          <w:sz w:val="21"/>
          <w:szCs w:val="21"/>
          <w:highlight w:val="none"/>
        </w:rPr>
        <w:t>（4）履约验收程序：</w:t>
      </w:r>
      <w:r>
        <w:rPr>
          <w:rFonts w:hint="eastAsia"/>
          <w:bCs/>
          <w:color w:val="auto"/>
          <w:sz w:val="21"/>
          <w:szCs w:val="21"/>
          <w:highlight w:val="none"/>
          <w:u w:val="single"/>
        </w:rPr>
        <w:t xml:space="preserve">                                         </w:t>
      </w:r>
    </w:p>
    <w:p w14:paraId="1B1D4582">
      <w:pPr>
        <w:pStyle w:val="631"/>
        <w:ind w:firstLine="420" w:firstLineChars="200"/>
        <w:rPr>
          <w:rFonts w:hint="eastAsia"/>
          <w:bCs/>
          <w:color w:val="auto"/>
          <w:sz w:val="21"/>
          <w:szCs w:val="21"/>
          <w:highlight w:val="none"/>
          <w:u w:val="single"/>
        </w:rPr>
      </w:pPr>
      <w:r>
        <w:rPr>
          <w:rFonts w:hint="eastAsia"/>
          <w:bCs/>
          <w:color w:val="auto"/>
          <w:sz w:val="21"/>
          <w:szCs w:val="21"/>
          <w:highlight w:val="none"/>
        </w:rPr>
        <w:t>（5）履约验收的内容：</w:t>
      </w:r>
      <w:r>
        <w:rPr>
          <w:rFonts w:hint="eastAsia"/>
          <w:bCs/>
          <w:color w:val="auto"/>
          <w:sz w:val="21"/>
          <w:szCs w:val="21"/>
          <w:highlight w:val="none"/>
          <w:u w:val="single"/>
        </w:rPr>
        <w:t xml:space="preserve"> 货物数量、规格尺寸、材质结构、物理性能、冲击减震指标、环保参数、检测报告、样品一致性、安装质量、赛事运行稳定性、售后服务、政策落实情况等全部履约内容。</w:t>
      </w:r>
    </w:p>
    <w:p w14:paraId="7A95AB79">
      <w:pPr>
        <w:pStyle w:val="631"/>
        <w:ind w:firstLine="420" w:firstLineChars="200"/>
        <w:rPr>
          <w:rFonts w:hint="eastAsia"/>
          <w:bCs/>
          <w:color w:val="auto"/>
          <w:sz w:val="21"/>
          <w:szCs w:val="21"/>
          <w:highlight w:val="none"/>
          <w:u w:val="single"/>
        </w:rPr>
      </w:pPr>
      <w:r>
        <w:rPr>
          <w:rFonts w:hint="eastAsia"/>
          <w:bCs/>
          <w:color w:val="auto"/>
          <w:sz w:val="21"/>
          <w:szCs w:val="21"/>
          <w:highlight w:val="none"/>
        </w:rPr>
        <w:t>（6）履约验收标准：</w:t>
      </w:r>
      <w:r>
        <w:rPr>
          <w:rFonts w:hint="eastAsia"/>
          <w:bCs/>
          <w:color w:val="auto"/>
          <w:sz w:val="21"/>
          <w:szCs w:val="21"/>
          <w:highlight w:val="none"/>
          <w:u w:val="single"/>
        </w:rPr>
        <w:t xml:space="preserve">  100%满足采购需求全部技术、商务、样品、检测要求，符合</w:t>
      </w:r>
      <w:r>
        <w:rPr>
          <w:rFonts w:hint="eastAsia"/>
          <w:bCs/>
          <w:color w:val="auto"/>
          <w:sz w:val="21"/>
          <w:szCs w:val="21"/>
          <w:highlight w:val="none"/>
          <w:u w:val="single"/>
          <w:lang w:val="en-US" w:eastAsia="zh-CN"/>
        </w:rPr>
        <w:t>现行</w:t>
      </w:r>
      <w:r>
        <w:rPr>
          <w:rFonts w:hint="eastAsia"/>
          <w:bCs/>
          <w:color w:val="auto"/>
          <w:sz w:val="21"/>
          <w:szCs w:val="21"/>
          <w:highlight w:val="none"/>
          <w:u w:val="single"/>
        </w:rPr>
        <w:t>国标</w:t>
      </w:r>
      <w:r>
        <w:rPr>
          <w:rFonts w:hint="eastAsia"/>
          <w:bCs/>
          <w:color w:val="auto"/>
          <w:sz w:val="21"/>
          <w:szCs w:val="21"/>
          <w:highlight w:val="none"/>
          <w:u w:val="single"/>
          <w:lang w:val="en-US" w:eastAsia="zh-CN"/>
        </w:rPr>
        <w:t>以</w:t>
      </w:r>
      <w:r>
        <w:rPr>
          <w:rFonts w:hint="eastAsia"/>
          <w:bCs/>
          <w:color w:val="auto"/>
          <w:sz w:val="21"/>
          <w:szCs w:val="21"/>
          <w:highlight w:val="none"/>
          <w:u w:val="single"/>
        </w:rPr>
        <w:t>及</w:t>
      </w:r>
      <w:r>
        <w:rPr>
          <w:rFonts w:hint="eastAsia"/>
          <w:bCs/>
          <w:color w:val="auto"/>
          <w:sz w:val="21"/>
          <w:szCs w:val="21"/>
          <w:highlight w:val="none"/>
          <w:u w:val="single"/>
          <w:lang w:val="en-US" w:eastAsia="zh-CN"/>
        </w:rPr>
        <w:t>专业赛事技术标准及要求</w:t>
      </w:r>
      <w:r>
        <w:rPr>
          <w:rFonts w:hint="eastAsia"/>
          <w:bCs/>
          <w:color w:val="auto"/>
          <w:sz w:val="21"/>
          <w:szCs w:val="21"/>
          <w:highlight w:val="none"/>
          <w:u w:val="single"/>
        </w:rPr>
        <w:t>，与投标样品结构、材质、工艺、性能完全一致。</w:t>
      </w:r>
    </w:p>
    <w:p w14:paraId="4E63B74A">
      <w:pPr>
        <w:pStyle w:val="631"/>
        <w:ind w:firstLine="420" w:firstLineChars="200"/>
        <w:rPr>
          <w:rFonts w:cs="宋体"/>
          <w:color w:val="auto"/>
          <w:sz w:val="21"/>
          <w:szCs w:val="21"/>
          <w:highlight w:val="none"/>
        </w:rPr>
      </w:pPr>
      <w:r>
        <w:rPr>
          <w:rFonts w:hint="eastAsia" w:cs="宋体"/>
          <w:bCs/>
          <w:color w:val="auto"/>
          <w:sz w:val="21"/>
          <w:szCs w:val="21"/>
          <w:highlight w:val="none"/>
        </w:rPr>
        <w:t>（7）是否以采购活动中供应商提供的样品作为参考：</w:t>
      </w:r>
      <w:r>
        <w:rPr>
          <w:rFonts w:cs="宋体"/>
          <w:color w:val="auto"/>
          <w:sz w:val="21"/>
          <w:szCs w:val="21"/>
          <w:highlight w:val="none"/>
        </w:rPr>
        <w:sym w:font="Wingdings" w:char="00FE"/>
      </w:r>
      <w:r>
        <w:rPr>
          <w:rFonts w:hint="eastAsia" w:cs="宋体"/>
          <w:bCs/>
          <w:color w:val="auto"/>
          <w:sz w:val="21"/>
          <w:szCs w:val="21"/>
          <w:highlight w:val="none"/>
        </w:rPr>
        <w:t xml:space="preserve">是  </w:t>
      </w:r>
      <w:r>
        <w:rPr>
          <w:rFonts w:cs="宋体"/>
          <w:color w:val="auto"/>
          <w:sz w:val="21"/>
          <w:szCs w:val="21"/>
          <w:highlight w:val="none"/>
        </w:rPr>
        <w:sym w:font="Wingdings" w:char="F0A8"/>
      </w:r>
      <w:r>
        <w:rPr>
          <w:rFonts w:hint="eastAsia" w:cs="宋体"/>
          <w:bCs/>
          <w:color w:val="auto"/>
          <w:sz w:val="21"/>
          <w:szCs w:val="21"/>
          <w:highlight w:val="none"/>
        </w:rPr>
        <w:t>否</w:t>
      </w:r>
    </w:p>
    <w:p w14:paraId="2A5271D1">
      <w:pPr>
        <w:pStyle w:val="631"/>
        <w:ind w:firstLine="420" w:firstLineChars="200"/>
        <w:rPr>
          <w:rFonts w:hint="eastAsia" w:cs="宋体"/>
          <w:bCs/>
          <w:color w:val="auto"/>
          <w:sz w:val="21"/>
          <w:szCs w:val="21"/>
          <w:highlight w:val="none"/>
          <w:u w:val="single"/>
        </w:rPr>
      </w:pPr>
      <w:r>
        <w:rPr>
          <w:rFonts w:hint="eastAsia" w:cs="宋体"/>
          <w:bCs/>
          <w:color w:val="auto"/>
          <w:sz w:val="21"/>
          <w:szCs w:val="21"/>
          <w:highlight w:val="none"/>
        </w:rPr>
        <w:t>（8）履约验收其他事项：</w:t>
      </w:r>
      <w:r>
        <w:rPr>
          <w:rFonts w:hint="eastAsia" w:cs="宋体"/>
          <w:bCs/>
          <w:color w:val="auto"/>
          <w:sz w:val="21"/>
          <w:szCs w:val="21"/>
          <w:highlight w:val="none"/>
          <w:u w:val="single"/>
        </w:rPr>
        <w:t xml:space="preserve"> 本项目投标样品作为核心验收参考依据，成品与样品不一致视为验收不合格。</w:t>
      </w:r>
    </w:p>
    <w:p w14:paraId="1E0AD4B9">
      <w:pPr>
        <w:pStyle w:val="631"/>
        <w:ind w:firstLineChars="200"/>
        <w:rPr>
          <w:b/>
          <w:color w:val="auto"/>
          <w:sz w:val="21"/>
          <w:szCs w:val="21"/>
          <w:highlight w:val="none"/>
        </w:rPr>
      </w:pPr>
      <w:r>
        <w:rPr>
          <w:rFonts w:hint="eastAsia"/>
          <w:b/>
          <w:color w:val="auto"/>
          <w:sz w:val="21"/>
          <w:szCs w:val="21"/>
          <w:highlight w:val="none"/>
        </w:rPr>
        <w:t>5.组成合同的文件</w:t>
      </w:r>
    </w:p>
    <w:p w14:paraId="0FD6DC62">
      <w:pPr>
        <w:pStyle w:val="631"/>
        <w:ind w:firstLine="420" w:firstLineChars="200"/>
        <w:rPr>
          <w:color w:val="auto"/>
          <w:sz w:val="21"/>
          <w:szCs w:val="21"/>
          <w:highlight w:val="none"/>
        </w:rPr>
      </w:pPr>
      <w:r>
        <w:rPr>
          <w:rFonts w:hint="eastAsia"/>
          <w:color w:val="auto"/>
          <w:sz w:val="21"/>
          <w:szCs w:val="21"/>
          <w:highlight w:val="none"/>
        </w:rPr>
        <w:t>本协议书与下列文件一起构成合同文件，如下述文件之间有任何抵触、矛盾或歧义，应按以下顺序解释：</w:t>
      </w:r>
    </w:p>
    <w:p w14:paraId="78EC5C74">
      <w:pPr>
        <w:pStyle w:val="631"/>
        <w:ind w:firstLine="420" w:firstLineChars="200"/>
        <w:rPr>
          <w:color w:val="auto"/>
          <w:sz w:val="21"/>
          <w:szCs w:val="21"/>
          <w:highlight w:val="none"/>
        </w:rPr>
      </w:pPr>
      <w:r>
        <w:rPr>
          <w:rFonts w:hint="eastAsia"/>
          <w:color w:val="auto"/>
          <w:sz w:val="21"/>
          <w:szCs w:val="21"/>
          <w:highlight w:val="none"/>
        </w:rPr>
        <w:t>（1）政府采购合同协议书及其变更、补充协议</w:t>
      </w:r>
    </w:p>
    <w:p w14:paraId="4F63384B">
      <w:pPr>
        <w:pStyle w:val="631"/>
        <w:ind w:firstLine="420" w:firstLineChars="200"/>
        <w:rPr>
          <w:color w:val="auto"/>
          <w:sz w:val="21"/>
          <w:szCs w:val="21"/>
          <w:highlight w:val="none"/>
        </w:rPr>
      </w:pPr>
      <w:r>
        <w:rPr>
          <w:rFonts w:hint="eastAsia"/>
          <w:color w:val="auto"/>
          <w:sz w:val="21"/>
          <w:szCs w:val="21"/>
          <w:highlight w:val="none"/>
        </w:rPr>
        <w:t>（2）政府采购合同专用条款</w:t>
      </w:r>
    </w:p>
    <w:p w14:paraId="2D666C9F">
      <w:pPr>
        <w:pStyle w:val="631"/>
        <w:ind w:firstLine="420" w:firstLineChars="200"/>
        <w:rPr>
          <w:color w:val="auto"/>
          <w:sz w:val="21"/>
          <w:szCs w:val="21"/>
          <w:highlight w:val="none"/>
        </w:rPr>
      </w:pPr>
      <w:r>
        <w:rPr>
          <w:rFonts w:hint="eastAsia"/>
          <w:color w:val="auto"/>
          <w:sz w:val="21"/>
          <w:szCs w:val="21"/>
          <w:highlight w:val="none"/>
        </w:rPr>
        <w:t>（3）政府采购合同通用条款</w:t>
      </w:r>
    </w:p>
    <w:p w14:paraId="31D3479B">
      <w:pPr>
        <w:pStyle w:val="631"/>
        <w:ind w:firstLine="420" w:firstLineChars="200"/>
        <w:rPr>
          <w:color w:val="auto"/>
          <w:sz w:val="21"/>
          <w:szCs w:val="21"/>
          <w:highlight w:val="none"/>
        </w:rPr>
      </w:pPr>
      <w:r>
        <w:rPr>
          <w:rFonts w:hint="eastAsia"/>
          <w:color w:val="auto"/>
          <w:sz w:val="21"/>
          <w:szCs w:val="21"/>
          <w:highlight w:val="none"/>
        </w:rPr>
        <w:t>（4）中标（成交）通知书</w:t>
      </w:r>
    </w:p>
    <w:p w14:paraId="30ACB7EC">
      <w:pPr>
        <w:pStyle w:val="631"/>
        <w:ind w:firstLine="420" w:firstLineChars="200"/>
        <w:rPr>
          <w:color w:val="auto"/>
          <w:sz w:val="21"/>
          <w:szCs w:val="21"/>
          <w:highlight w:val="none"/>
        </w:rPr>
      </w:pPr>
      <w:r>
        <w:rPr>
          <w:rFonts w:hint="eastAsia"/>
          <w:color w:val="auto"/>
          <w:sz w:val="21"/>
          <w:szCs w:val="21"/>
          <w:highlight w:val="none"/>
        </w:rPr>
        <w:t>（5）投标（响应）文件</w:t>
      </w:r>
    </w:p>
    <w:p w14:paraId="49F5BD01">
      <w:pPr>
        <w:pStyle w:val="631"/>
        <w:ind w:firstLine="420" w:firstLineChars="200"/>
        <w:rPr>
          <w:color w:val="auto"/>
          <w:sz w:val="21"/>
          <w:szCs w:val="21"/>
          <w:highlight w:val="none"/>
        </w:rPr>
      </w:pPr>
      <w:r>
        <w:rPr>
          <w:rFonts w:hint="eastAsia"/>
          <w:color w:val="auto"/>
          <w:sz w:val="21"/>
          <w:szCs w:val="21"/>
          <w:highlight w:val="none"/>
        </w:rPr>
        <w:t>（6）采购文件</w:t>
      </w:r>
    </w:p>
    <w:p w14:paraId="0CF97FC6">
      <w:pPr>
        <w:pStyle w:val="631"/>
        <w:ind w:firstLine="420" w:firstLineChars="200"/>
        <w:rPr>
          <w:color w:val="auto"/>
          <w:sz w:val="21"/>
          <w:szCs w:val="21"/>
          <w:highlight w:val="none"/>
        </w:rPr>
      </w:pPr>
      <w:r>
        <w:rPr>
          <w:rFonts w:hint="eastAsia"/>
          <w:color w:val="auto"/>
          <w:sz w:val="21"/>
          <w:szCs w:val="21"/>
          <w:highlight w:val="none"/>
        </w:rPr>
        <w:t>（7）有关技术文件，图纸</w:t>
      </w:r>
    </w:p>
    <w:p w14:paraId="289BEE6F">
      <w:pPr>
        <w:pStyle w:val="631"/>
        <w:ind w:firstLine="420" w:firstLineChars="200"/>
        <w:rPr>
          <w:rFonts w:cs="宋体"/>
          <w:color w:val="auto"/>
          <w:sz w:val="21"/>
          <w:szCs w:val="21"/>
          <w:highlight w:val="none"/>
        </w:rPr>
      </w:pPr>
      <w:r>
        <w:rPr>
          <w:rFonts w:hint="eastAsia" w:cs="宋体"/>
          <w:color w:val="auto"/>
          <w:sz w:val="21"/>
          <w:szCs w:val="21"/>
          <w:highlight w:val="none"/>
        </w:rPr>
        <w:t>（8）国家法律、行政法规和规章制度规定或合同约定的作为合同组成部分的其他文件</w:t>
      </w:r>
    </w:p>
    <w:p w14:paraId="4F60CB92">
      <w:pPr>
        <w:pStyle w:val="631"/>
        <w:ind w:firstLineChars="200"/>
        <w:rPr>
          <w:b/>
          <w:color w:val="auto"/>
          <w:sz w:val="21"/>
          <w:szCs w:val="21"/>
          <w:highlight w:val="none"/>
        </w:rPr>
      </w:pPr>
      <w:r>
        <w:rPr>
          <w:rFonts w:hint="eastAsia"/>
          <w:b/>
          <w:color w:val="auto"/>
          <w:sz w:val="21"/>
          <w:szCs w:val="21"/>
          <w:highlight w:val="none"/>
        </w:rPr>
        <w:t>6.合同生效</w:t>
      </w:r>
    </w:p>
    <w:p w14:paraId="11EBC034">
      <w:pPr>
        <w:pStyle w:val="631"/>
        <w:ind w:firstLine="420" w:firstLineChars="200"/>
        <w:rPr>
          <w:color w:val="auto"/>
          <w:sz w:val="21"/>
          <w:szCs w:val="21"/>
          <w:highlight w:val="none"/>
        </w:rPr>
      </w:pPr>
      <w:r>
        <w:rPr>
          <w:rFonts w:hint="eastAsia"/>
          <w:color w:val="auto"/>
          <w:sz w:val="21"/>
          <w:szCs w:val="21"/>
          <w:highlight w:val="none"/>
        </w:rPr>
        <w:t>本合同自</w:t>
      </w:r>
      <w:r>
        <w:rPr>
          <w:rFonts w:hint="eastAsia"/>
          <w:color w:val="auto"/>
          <w:sz w:val="21"/>
          <w:szCs w:val="21"/>
          <w:highlight w:val="none"/>
          <w:u w:val="single"/>
        </w:rPr>
        <w:t xml:space="preserve"> 甲乙双方法定代表人或授权代理人签字并加盖公章之日起 </w:t>
      </w:r>
      <w:r>
        <w:rPr>
          <w:rFonts w:hint="eastAsia"/>
          <w:color w:val="auto"/>
          <w:sz w:val="21"/>
          <w:szCs w:val="21"/>
          <w:highlight w:val="none"/>
        </w:rPr>
        <w:t>生效。</w:t>
      </w:r>
    </w:p>
    <w:p w14:paraId="2447796D">
      <w:pPr>
        <w:pStyle w:val="631"/>
        <w:ind w:firstLineChars="200"/>
        <w:rPr>
          <w:b/>
          <w:color w:val="auto"/>
          <w:sz w:val="21"/>
          <w:szCs w:val="21"/>
          <w:highlight w:val="none"/>
        </w:rPr>
      </w:pPr>
      <w:r>
        <w:rPr>
          <w:rFonts w:hint="eastAsia"/>
          <w:b/>
          <w:color w:val="auto"/>
          <w:sz w:val="21"/>
          <w:szCs w:val="21"/>
          <w:highlight w:val="none"/>
        </w:rPr>
        <w:t>7.合同份数</w:t>
      </w:r>
    </w:p>
    <w:p w14:paraId="6627709F">
      <w:pPr>
        <w:pStyle w:val="631"/>
        <w:ind w:firstLine="420" w:firstLineChars="200"/>
        <w:rPr>
          <w:color w:val="auto"/>
          <w:sz w:val="21"/>
          <w:szCs w:val="21"/>
          <w:highlight w:val="none"/>
        </w:rPr>
      </w:pPr>
      <w:r>
        <w:rPr>
          <w:rFonts w:hint="eastAsia"/>
          <w:color w:val="auto"/>
          <w:sz w:val="21"/>
          <w:szCs w:val="21"/>
          <w:highlight w:val="none"/>
        </w:rPr>
        <w:t>本合同一式</w:t>
      </w:r>
      <w:r>
        <w:rPr>
          <w:rFonts w:hint="eastAsia"/>
          <w:color w:val="auto"/>
          <w:sz w:val="21"/>
          <w:szCs w:val="21"/>
          <w:highlight w:val="none"/>
          <w:u w:val="single"/>
        </w:rPr>
        <w:t xml:space="preserve">    </w:t>
      </w:r>
      <w:r>
        <w:rPr>
          <w:rFonts w:hint="eastAsia"/>
          <w:color w:val="auto"/>
          <w:sz w:val="21"/>
          <w:szCs w:val="21"/>
          <w:highlight w:val="none"/>
        </w:rPr>
        <w:t>份，甲方执</w:t>
      </w:r>
      <w:r>
        <w:rPr>
          <w:rFonts w:hint="eastAsia"/>
          <w:color w:val="auto"/>
          <w:sz w:val="21"/>
          <w:szCs w:val="21"/>
          <w:highlight w:val="none"/>
          <w:u w:val="single"/>
        </w:rPr>
        <w:t xml:space="preserve">    </w:t>
      </w:r>
      <w:r>
        <w:rPr>
          <w:rFonts w:hint="eastAsia"/>
          <w:color w:val="auto"/>
          <w:sz w:val="21"/>
          <w:szCs w:val="21"/>
          <w:highlight w:val="none"/>
        </w:rPr>
        <w:t>份，乙方执</w:t>
      </w:r>
      <w:r>
        <w:rPr>
          <w:rFonts w:hint="eastAsia"/>
          <w:color w:val="auto"/>
          <w:sz w:val="21"/>
          <w:szCs w:val="21"/>
          <w:highlight w:val="none"/>
          <w:u w:val="single"/>
        </w:rPr>
        <w:t xml:space="preserve">    </w:t>
      </w:r>
      <w:r>
        <w:rPr>
          <w:rFonts w:hint="eastAsia"/>
          <w:color w:val="auto"/>
          <w:sz w:val="21"/>
          <w:szCs w:val="21"/>
          <w:highlight w:val="none"/>
        </w:rPr>
        <w:t>份，均具有同等法律效力。</w:t>
      </w:r>
    </w:p>
    <w:p w14:paraId="1EA20D4E">
      <w:pPr>
        <w:pStyle w:val="631"/>
        <w:ind w:firstLine="420" w:firstLineChars="200"/>
        <w:rPr>
          <w:color w:val="auto"/>
          <w:sz w:val="21"/>
          <w:szCs w:val="21"/>
          <w:highlight w:val="none"/>
        </w:rPr>
      </w:pPr>
      <w:r>
        <w:rPr>
          <w:rFonts w:hint="eastAsia"/>
          <w:color w:val="auto"/>
          <w:sz w:val="21"/>
          <w:szCs w:val="21"/>
          <w:highlight w:val="none"/>
        </w:rPr>
        <w:t>合同订立时间：</w:t>
      </w:r>
      <w:r>
        <w:rPr>
          <w:rFonts w:hint="eastAsia"/>
          <w:color w:val="auto"/>
          <w:sz w:val="21"/>
          <w:szCs w:val="21"/>
          <w:highlight w:val="none"/>
          <w:u w:val="single"/>
        </w:rPr>
        <w:t xml:space="preserve">         </w:t>
      </w:r>
      <w:r>
        <w:rPr>
          <w:rFonts w:hint="eastAsia"/>
          <w:color w:val="auto"/>
          <w:sz w:val="21"/>
          <w:szCs w:val="21"/>
          <w:highlight w:val="none"/>
        </w:rPr>
        <w:t>年</w:t>
      </w:r>
      <w:r>
        <w:rPr>
          <w:rFonts w:hint="eastAsia"/>
          <w:color w:val="auto"/>
          <w:sz w:val="21"/>
          <w:szCs w:val="21"/>
          <w:highlight w:val="none"/>
          <w:u w:val="single"/>
        </w:rPr>
        <w:t xml:space="preserve">      </w:t>
      </w:r>
      <w:r>
        <w:rPr>
          <w:rFonts w:hint="eastAsia"/>
          <w:color w:val="auto"/>
          <w:sz w:val="21"/>
          <w:szCs w:val="21"/>
          <w:highlight w:val="none"/>
        </w:rPr>
        <w:t>月</w:t>
      </w:r>
      <w:r>
        <w:rPr>
          <w:rFonts w:hint="eastAsia"/>
          <w:color w:val="auto"/>
          <w:sz w:val="21"/>
          <w:szCs w:val="21"/>
          <w:highlight w:val="none"/>
          <w:u w:val="single"/>
        </w:rPr>
        <w:t xml:space="preserve">      </w:t>
      </w:r>
      <w:r>
        <w:rPr>
          <w:rFonts w:hint="eastAsia"/>
          <w:color w:val="auto"/>
          <w:sz w:val="21"/>
          <w:szCs w:val="21"/>
          <w:highlight w:val="none"/>
        </w:rPr>
        <w:t>日</w:t>
      </w:r>
    </w:p>
    <w:p w14:paraId="319C24FF">
      <w:pPr>
        <w:pStyle w:val="631"/>
        <w:ind w:firstLine="420" w:firstLineChars="200"/>
        <w:rPr>
          <w:color w:val="auto"/>
          <w:sz w:val="21"/>
          <w:szCs w:val="21"/>
          <w:highlight w:val="none"/>
        </w:rPr>
      </w:pPr>
      <w:r>
        <w:rPr>
          <w:rFonts w:hint="eastAsia"/>
          <w:color w:val="auto"/>
          <w:sz w:val="21"/>
          <w:szCs w:val="21"/>
          <w:highlight w:val="none"/>
        </w:rPr>
        <w:t>合同订立地点：</w:t>
      </w:r>
      <w:r>
        <w:rPr>
          <w:rFonts w:hint="eastAsia"/>
          <w:color w:val="auto"/>
          <w:sz w:val="21"/>
          <w:szCs w:val="21"/>
          <w:highlight w:val="none"/>
          <w:u w:val="single"/>
        </w:rPr>
        <w:t xml:space="preserve">                           </w:t>
      </w:r>
    </w:p>
    <w:p w14:paraId="753375C6">
      <w:pPr>
        <w:pStyle w:val="631"/>
        <w:ind w:firstLine="420" w:firstLineChars="200"/>
        <w:rPr>
          <w:color w:val="auto"/>
          <w:sz w:val="21"/>
          <w:szCs w:val="21"/>
          <w:highlight w:val="none"/>
        </w:rPr>
      </w:pPr>
      <w:r>
        <w:rPr>
          <w:rFonts w:hint="eastAsia"/>
          <w:color w:val="auto"/>
          <w:sz w:val="21"/>
          <w:szCs w:val="21"/>
          <w:highlight w:val="none"/>
        </w:rPr>
        <w:t>附件：具体标的及其技术要求和商务要求、联合协议、分包意向协议等。</w:t>
      </w:r>
    </w:p>
    <w:p w14:paraId="3D8D17D5">
      <w:pPr>
        <w:adjustRightInd/>
        <w:rPr>
          <w:color w:val="auto"/>
          <w:sz w:val="21"/>
          <w:szCs w:val="21"/>
          <w:highlight w:val="none"/>
        </w:rPr>
      </w:pPr>
    </w:p>
    <w:p w14:paraId="795ED24C">
      <w:pPr>
        <w:adjustRightInd/>
        <w:ind w:firstLine="420" w:firstLineChars="200"/>
        <w:rPr>
          <w:color w:val="auto"/>
          <w:sz w:val="21"/>
          <w:szCs w:val="21"/>
          <w:highlight w:val="none"/>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1"/>
        <w:gridCol w:w="2628"/>
        <w:gridCol w:w="2156"/>
        <w:gridCol w:w="2307"/>
      </w:tblGrid>
      <w:tr w14:paraId="0E5A0E6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2ECF1DB1">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甲方（采购人</w:t>
            </w:r>
            <w:r>
              <w:rPr>
                <w:rFonts w:hint="eastAsia" w:ascii="宋体" w:hAnsi="宋体"/>
                <w:color w:val="auto"/>
                <w:sz w:val="21"/>
                <w:szCs w:val="21"/>
                <w:highlight w:val="none"/>
              </w:rPr>
              <w:t>、受采购人委托签订合同的单位或</w:t>
            </w:r>
            <w:r>
              <w:rPr>
                <w:rFonts w:hint="eastAsia" w:ascii="Calibri" w:hAnsi="Calibri"/>
                <w:color w:val="auto"/>
                <w:sz w:val="21"/>
                <w:szCs w:val="21"/>
                <w:highlight w:val="none"/>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01065BE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乙方（供应商）</w:t>
            </w:r>
          </w:p>
        </w:tc>
      </w:tr>
      <w:tr w14:paraId="4F83E38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29A8A2C8">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5AFA1E8E">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BBAB6B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5DCCEDB3">
            <w:pPr>
              <w:snapToGrid w:val="0"/>
              <w:spacing w:line="360" w:lineRule="auto"/>
              <w:jc w:val="center"/>
              <w:rPr>
                <w:rFonts w:ascii="Calibri" w:hAnsi="Calibri"/>
                <w:color w:val="auto"/>
                <w:spacing w:val="20"/>
                <w:sz w:val="21"/>
                <w:szCs w:val="21"/>
                <w:highlight w:val="none"/>
              </w:rPr>
            </w:pPr>
          </w:p>
        </w:tc>
      </w:tr>
      <w:tr w14:paraId="590E0D9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448BB01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法定代表人</w:t>
            </w:r>
          </w:p>
          <w:p w14:paraId="3D88A53A">
            <w:pPr>
              <w:snapToGrid w:val="0"/>
              <w:spacing w:line="360" w:lineRule="auto"/>
              <w:ind w:firstLine="100" w:firstLineChars="48"/>
              <w:jc w:val="center"/>
              <w:rPr>
                <w:rFonts w:ascii="Calibri" w:hAnsi="Calibri"/>
                <w:color w:val="auto"/>
                <w:sz w:val="21"/>
                <w:szCs w:val="21"/>
                <w:highlight w:val="none"/>
              </w:rPr>
            </w:pPr>
            <w:r>
              <w:rPr>
                <w:rFonts w:hint="eastAsia" w:ascii="Calibri" w:hAnsi="Calibri"/>
                <w:color w:val="auto"/>
                <w:sz w:val="21"/>
                <w:szCs w:val="21"/>
                <w:highlight w:val="none"/>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20FCA6A1">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CD3681F">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法定代表人</w:t>
            </w:r>
          </w:p>
          <w:p w14:paraId="468957CE">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1B58B9AD">
            <w:pPr>
              <w:snapToGrid w:val="0"/>
              <w:spacing w:line="360" w:lineRule="auto"/>
              <w:jc w:val="center"/>
              <w:rPr>
                <w:rFonts w:ascii="Calibri" w:hAnsi="Calibri"/>
                <w:color w:val="auto"/>
                <w:sz w:val="21"/>
                <w:szCs w:val="21"/>
                <w:highlight w:val="none"/>
              </w:rPr>
            </w:pPr>
          </w:p>
        </w:tc>
      </w:tr>
      <w:tr w14:paraId="7E31DC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17B3D86B">
            <w:pPr>
              <w:widowControl/>
              <w:adjustRightInd/>
              <w:spacing w:line="360" w:lineRule="auto"/>
              <w:jc w:val="left"/>
              <w:rPr>
                <w:rFonts w:ascii="Calibri" w:hAnsi="Calibri"/>
                <w:color w:val="auto"/>
                <w:sz w:val="21"/>
                <w:szCs w:val="21"/>
                <w:highlight w:val="none"/>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66A9D52C">
            <w:pPr>
              <w:widowControl/>
              <w:adjustRightInd/>
              <w:spacing w:line="360" w:lineRule="auto"/>
              <w:jc w:val="left"/>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B988B46">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729CCA92">
            <w:pPr>
              <w:snapToGrid w:val="0"/>
              <w:spacing w:line="360" w:lineRule="auto"/>
              <w:jc w:val="center"/>
              <w:rPr>
                <w:rFonts w:ascii="Calibri" w:hAnsi="Calibri"/>
                <w:color w:val="auto"/>
                <w:spacing w:val="20"/>
                <w:sz w:val="21"/>
                <w:szCs w:val="21"/>
                <w:highlight w:val="none"/>
              </w:rPr>
            </w:pPr>
          </w:p>
        </w:tc>
      </w:tr>
      <w:tr w14:paraId="54E8759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396DED0">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住</w:t>
            </w:r>
            <w:r>
              <w:rPr>
                <w:rFonts w:ascii="Calibri" w:hAnsi="Calibri"/>
                <w:color w:val="auto"/>
                <w:sz w:val="21"/>
                <w:szCs w:val="21"/>
                <w:highlight w:val="none"/>
              </w:rPr>
              <w:t xml:space="preserve">  </w:t>
            </w:r>
            <w:r>
              <w:rPr>
                <w:rFonts w:hint="eastAsia" w:ascii="Calibri" w:hAnsi="Calibri"/>
                <w:color w:val="auto"/>
                <w:sz w:val="21"/>
                <w:szCs w:val="21"/>
                <w:highlight w:val="none"/>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2AE0EC2C">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F0F8B74">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住</w:t>
            </w:r>
            <w:r>
              <w:rPr>
                <w:rFonts w:ascii="Calibri" w:hAnsi="Calibri"/>
                <w:color w:val="auto"/>
                <w:sz w:val="21"/>
                <w:szCs w:val="21"/>
                <w:highlight w:val="none"/>
              </w:rPr>
              <w:t xml:space="preserve">  </w:t>
            </w:r>
            <w:r>
              <w:rPr>
                <w:rFonts w:hint="eastAsia" w:ascii="Calibri" w:hAnsi="Calibri"/>
                <w:color w:val="auto"/>
                <w:sz w:val="21"/>
                <w:szCs w:val="21"/>
                <w:highlight w:val="none"/>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689ADBF4">
            <w:pPr>
              <w:snapToGrid w:val="0"/>
              <w:spacing w:line="360" w:lineRule="auto"/>
              <w:jc w:val="center"/>
              <w:rPr>
                <w:rFonts w:ascii="Calibri" w:hAnsi="Calibri"/>
                <w:color w:val="auto"/>
                <w:spacing w:val="20"/>
                <w:sz w:val="21"/>
                <w:szCs w:val="21"/>
                <w:highlight w:val="none"/>
              </w:rPr>
            </w:pPr>
          </w:p>
        </w:tc>
      </w:tr>
      <w:tr w14:paraId="4CD486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35C35AA">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w:t>
            </w:r>
            <w:r>
              <w:rPr>
                <w:rFonts w:ascii="Calibri" w:hAnsi="Calibri"/>
                <w:color w:val="auto"/>
                <w:sz w:val="21"/>
                <w:szCs w:val="21"/>
                <w:highlight w:val="none"/>
              </w:rPr>
              <w:t xml:space="preserve"> </w:t>
            </w:r>
            <w:r>
              <w:rPr>
                <w:rFonts w:hint="eastAsia" w:ascii="Calibri" w:hAnsi="Calibri"/>
                <w:color w:val="auto"/>
                <w:sz w:val="21"/>
                <w:szCs w:val="21"/>
                <w:highlight w:val="none"/>
              </w:rPr>
              <w:t>系</w:t>
            </w:r>
            <w:r>
              <w:rPr>
                <w:rFonts w:ascii="Calibri" w:hAnsi="Calibri"/>
                <w:color w:val="auto"/>
                <w:sz w:val="21"/>
                <w:szCs w:val="21"/>
                <w:highlight w:val="none"/>
              </w:rPr>
              <w:t xml:space="preserve"> </w:t>
            </w:r>
            <w:r>
              <w:rPr>
                <w:rFonts w:hint="eastAsia" w:ascii="Calibri" w:hAnsi="Calibri"/>
                <w:color w:val="auto"/>
                <w:sz w:val="21"/>
                <w:szCs w:val="21"/>
                <w:highlight w:val="none"/>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3B2AB4AE">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34DC701">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w:t>
            </w:r>
            <w:r>
              <w:rPr>
                <w:rFonts w:ascii="Calibri" w:hAnsi="Calibri"/>
                <w:color w:val="auto"/>
                <w:sz w:val="21"/>
                <w:szCs w:val="21"/>
                <w:highlight w:val="none"/>
              </w:rPr>
              <w:t xml:space="preserve"> </w:t>
            </w:r>
            <w:r>
              <w:rPr>
                <w:rFonts w:hint="eastAsia" w:ascii="Calibri" w:hAnsi="Calibri"/>
                <w:color w:val="auto"/>
                <w:sz w:val="21"/>
                <w:szCs w:val="21"/>
                <w:highlight w:val="none"/>
              </w:rPr>
              <w:t>系</w:t>
            </w:r>
            <w:r>
              <w:rPr>
                <w:rFonts w:ascii="Calibri" w:hAnsi="Calibri"/>
                <w:color w:val="auto"/>
                <w:sz w:val="21"/>
                <w:szCs w:val="21"/>
                <w:highlight w:val="none"/>
              </w:rPr>
              <w:t xml:space="preserve"> </w:t>
            </w:r>
            <w:r>
              <w:rPr>
                <w:rFonts w:hint="eastAsia" w:ascii="Calibri" w:hAnsi="Calibri"/>
                <w:color w:val="auto"/>
                <w:sz w:val="21"/>
                <w:szCs w:val="21"/>
                <w:highlight w:val="none"/>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2C058983">
            <w:pPr>
              <w:snapToGrid w:val="0"/>
              <w:spacing w:line="360" w:lineRule="auto"/>
              <w:jc w:val="center"/>
              <w:rPr>
                <w:rFonts w:ascii="Calibri" w:hAnsi="Calibri"/>
                <w:color w:val="auto"/>
                <w:spacing w:val="20"/>
                <w:sz w:val="21"/>
                <w:szCs w:val="21"/>
                <w:highlight w:val="none"/>
              </w:rPr>
            </w:pPr>
          </w:p>
        </w:tc>
      </w:tr>
      <w:tr w14:paraId="6D3A28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AFB1039">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1A3CCD3A">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A6EFBAD">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7AB4D5B5">
            <w:pPr>
              <w:snapToGrid w:val="0"/>
              <w:spacing w:line="360" w:lineRule="auto"/>
              <w:jc w:val="center"/>
              <w:rPr>
                <w:rFonts w:ascii="Calibri" w:hAnsi="Calibri"/>
                <w:color w:val="auto"/>
                <w:spacing w:val="20"/>
                <w:sz w:val="21"/>
                <w:szCs w:val="21"/>
                <w:highlight w:val="none"/>
              </w:rPr>
            </w:pPr>
          </w:p>
        </w:tc>
      </w:tr>
      <w:tr w14:paraId="617CBB4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54820B3E">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5255A7F4">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D7B4108">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0CE63B76">
            <w:pPr>
              <w:snapToGrid w:val="0"/>
              <w:spacing w:line="360" w:lineRule="auto"/>
              <w:jc w:val="center"/>
              <w:rPr>
                <w:rFonts w:ascii="Calibri" w:hAnsi="Calibri"/>
                <w:color w:val="auto"/>
                <w:spacing w:val="20"/>
                <w:sz w:val="21"/>
                <w:szCs w:val="21"/>
                <w:highlight w:val="none"/>
              </w:rPr>
            </w:pPr>
          </w:p>
        </w:tc>
      </w:tr>
      <w:tr w14:paraId="0FE3E4A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9ED6862">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41C37444">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42B7D40">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73AB14A7">
            <w:pPr>
              <w:snapToGrid w:val="0"/>
              <w:spacing w:line="360" w:lineRule="auto"/>
              <w:jc w:val="center"/>
              <w:rPr>
                <w:rFonts w:ascii="Calibri" w:hAnsi="Calibri"/>
                <w:color w:val="auto"/>
                <w:spacing w:val="20"/>
                <w:sz w:val="21"/>
                <w:szCs w:val="21"/>
                <w:highlight w:val="none"/>
              </w:rPr>
            </w:pPr>
          </w:p>
        </w:tc>
      </w:tr>
      <w:tr w14:paraId="41388CF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138AFC7">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D7B8E99">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1DC2974">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41F261D8">
            <w:pPr>
              <w:snapToGrid w:val="0"/>
              <w:spacing w:line="360" w:lineRule="auto"/>
              <w:jc w:val="center"/>
              <w:rPr>
                <w:rFonts w:ascii="Calibri" w:hAnsi="Calibri"/>
                <w:color w:val="auto"/>
                <w:spacing w:val="20"/>
                <w:sz w:val="21"/>
                <w:szCs w:val="21"/>
                <w:highlight w:val="none"/>
              </w:rPr>
            </w:pPr>
          </w:p>
        </w:tc>
      </w:tr>
      <w:tr w14:paraId="5F2BE5C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605878C">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CFC6DFF">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7FCEB90">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5C72D27D">
            <w:pPr>
              <w:snapToGrid w:val="0"/>
              <w:spacing w:line="360" w:lineRule="auto"/>
              <w:jc w:val="center"/>
              <w:rPr>
                <w:rFonts w:ascii="Calibri" w:hAnsi="Calibri"/>
                <w:color w:val="auto"/>
                <w:spacing w:val="20"/>
                <w:sz w:val="21"/>
                <w:szCs w:val="21"/>
                <w:highlight w:val="none"/>
              </w:rPr>
            </w:pPr>
          </w:p>
        </w:tc>
      </w:tr>
      <w:tr w14:paraId="443CD4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9B2D160">
            <w:pPr>
              <w:snapToGrid w:val="0"/>
              <w:spacing w:line="360" w:lineRule="auto"/>
              <w:jc w:val="center"/>
              <w:rPr>
                <w:rFonts w:ascii="Calibri" w:hAnsi="Calibri"/>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D2A9C97">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8175DD5">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0F43AB3B">
            <w:pPr>
              <w:snapToGrid w:val="0"/>
              <w:spacing w:line="360" w:lineRule="auto"/>
              <w:jc w:val="center"/>
              <w:rPr>
                <w:rFonts w:ascii="Calibri" w:hAnsi="Calibri"/>
                <w:color w:val="auto"/>
                <w:spacing w:val="20"/>
                <w:sz w:val="21"/>
                <w:szCs w:val="21"/>
                <w:highlight w:val="none"/>
              </w:rPr>
            </w:pPr>
          </w:p>
        </w:tc>
      </w:tr>
      <w:tr w14:paraId="1FDBBC0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18E3D352">
            <w:pPr>
              <w:snapToGrid w:val="0"/>
              <w:spacing w:line="360" w:lineRule="auto"/>
              <w:jc w:val="center"/>
              <w:rPr>
                <w:rFonts w:ascii="Calibri" w:hAnsi="Calibri"/>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DBD0C52">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EBA84CD">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0A77151E">
            <w:pPr>
              <w:snapToGrid w:val="0"/>
              <w:spacing w:line="360" w:lineRule="auto"/>
              <w:jc w:val="center"/>
              <w:rPr>
                <w:rFonts w:ascii="Calibri" w:hAnsi="Calibri"/>
                <w:color w:val="auto"/>
                <w:spacing w:val="20"/>
                <w:sz w:val="21"/>
                <w:szCs w:val="21"/>
                <w:highlight w:val="none"/>
              </w:rPr>
            </w:pPr>
          </w:p>
        </w:tc>
      </w:tr>
      <w:tr w14:paraId="7D8A21D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E41200D">
            <w:pPr>
              <w:snapToGrid w:val="0"/>
              <w:spacing w:line="360" w:lineRule="auto"/>
              <w:jc w:val="center"/>
              <w:rPr>
                <w:rFonts w:ascii="Calibri" w:hAnsi="Calibri"/>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3DDC7A90">
            <w:pPr>
              <w:snapToGrid w:val="0"/>
              <w:spacing w:line="360" w:lineRule="auto"/>
              <w:jc w:val="center"/>
              <w:rPr>
                <w:rFonts w:ascii="Calibri" w:hAnsi="Calibri"/>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7A75DB6">
            <w:pPr>
              <w:snapToGrid w:val="0"/>
              <w:spacing w:line="360" w:lineRule="auto"/>
              <w:jc w:val="center"/>
              <w:rPr>
                <w:rFonts w:ascii="Calibri" w:hAnsi="Calibri"/>
                <w:color w:val="auto"/>
                <w:sz w:val="21"/>
                <w:szCs w:val="21"/>
                <w:highlight w:val="none"/>
              </w:rPr>
            </w:pPr>
            <w:r>
              <w:rPr>
                <w:rFonts w:hint="eastAsia" w:ascii="Calibri" w:hAnsi="Calibri"/>
                <w:color w:val="auto"/>
                <w:sz w:val="21"/>
                <w:szCs w:val="21"/>
                <w:highlight w:val="none"/>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3D7072C4">
            <w:pPr>
              <w:snapToGrid w:val="0"/>
              <w:spacing w:line="360" w:lineRule="auto"/>
              <w:jc w:val="center"/>
              <w:rPr>
                <w:rFonts w:ascii="Calibri" w:hAnsi="Calibri"/>
                <w:color w:val="auto"/>
                <w:spacing w:val="20"/>
                <w:sz w:val="21"/>
                <w:szCs w:val="21"/>
                <w:highlight w:val="none"/>
              </w:rPr>
            </w:pPr>
          </w:p>
        </w:tc>
      </w:tr>
      <w:tr w14:paraId="0325A49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4ADCD934">
            <w:pPr>
              <w:snapToGrid w:val="0"/>
              <w:spacing w:line="360" w:lineRule="auto"/>
              <w:jc w:val="left"/>
              <w:rPr>
                <w:rFonts w:ascii="Calibri" w:hAnsi="Calibri"/>
                <w:color w:val="auto"/>
                <w:spacing w:val="20"/>
                <w:sz w:val="21"/>
                <w:szCs w:val="21"/>
                <w:highlight w:val="none"/>
              </w:rPr>
            </w:pPr>
            <w:r>
              <w:rPr>
                <w:rFonts w:hint="eastAsia" w:ascii="宋体" w:hAnsi="宋体"/>
                <w:color w:val="auto"/>
                <w:sz w:val="21"/>
                <w:szCs w:val="21"/>
                <w:highlight w:val="none"/>
              </w:rPr>
              <w:t>注：涉及联合体或其他合同主体的信息应按上表格式加列。</w:t>
            </w:r>
          </w:p>
        </w:tc>
      </w:tr>
    </w:tbl>
    <w:p w14:paraId="349305FE">
      <w:pPr>
        <w:keepNext/>
        <w:keepLines/>
        <w:snapToGrid w:val="0"/>
        <w:spacing w:before="120" w:beforeLines="50" w:line="360" w:lineRule="auto"/>
        <w:jc w:val="center"/>
        <w:outlineLvl w:val="1"/>
        <w:rPr>
          <w:rFonts w:ascii="黑体" w:hAnsi="黑体" w:eastAsia="黑体"/>
          <w:b/>
          <w:bCs/>
          <w:color w:val="auto"/>
          <w:sz w:val="28"/>
          <w:szCs w:val="28"/>
          <w:highlight w:val="none"/>
        </w:rPr>
      </w:pPr>
      <w:r>
        <w:rPr>
          <w:rFonts w:hint="eastAsia" w:ascii="宋体" w:hAnsi="宋体"/>
          <w:b/>
          <w:bCs/>
          <w:color w:val="auto"/>
          <w:szCs w:val="21"/>
          <w:highlight w:val="none"/>
          <w:u w:val="single"/>
        </w:rPr>
        <w:br w:type="page"/>
      </w:r>
      <w:bookmarkStart w:id="77" w:name="_Toc27624"/>
      <w:r>
        <w:rPr>
          <w:rFonts w:hint="eastAsia" w:ascii="黑体" w:hAnsi="黑体" w:eastAsia="黑体"/>
          <w:color w:val="auto"/>
          <w:sz w:val="28"/>
          <w:szCs w:val="28"/>
          <w:highlight w:val="none"/>
        </w:rPr>
        <w:t>第二节 政府采购合同通用条款</w:t>
      </w:r>
      <w:bookmarkEnd w:id="77"/>
    </w:p>
    <w:p w14:paraId="45507129">
      <w:pPr>
        <w:tabs>
          <w:tab w:val="left" w:pos="8820"/>
          <w:tab w:val="left" w:pos="9345"/>
          <w:tab w:val="left" w:pos="9765"/>
        </w:tabs>
        <w:snapToGrid w:val="0"/>
        <w:spacing w:line="360" w:lineRule="auto"/>
        <w:jc w:val="left"/>
        <w:rPr>
          <w:rFonts w:ascii="宋体" w:hAnsi="宋体"/>
          <w:b/>
          <w:bCs/>
          <w:color w:val="auto"/>
          <w:sz w:val="21"/>
          <w:szCs w:val="21"/>
          <w:highlight w:val="none"/>
        </w:rPr>
      </w:pPr>
      <w:r>
        <w:rPr>
          <w:rFonts w:hint="eastAsia" w:ascii="宋体" w:hAnsi="宋体"/>
          <w:b/>
          <w:color w:val="auto"/>
          <w:sz w:val="21"/>
          <w:szCs w:val="21"/>
          <w:highlight w:val="none"/>
        </w:rPr>
        <w:t xml:space="preserve">1. </w:t>
      </w:r>
      <w:r>
        <w:rPr>
          <w:rFonts w:hint="eastAsia" w:ascii="宋体" w:hAnsi="宋体"/>
          <w:b/>
          <w:bCs/>
          <w:color w:val="auto"/>
          <w:sz w:val="21"/>
          <w:szCs w:val="21"/>
          <w:highlight w:val="none"/>
        </w:rPr>
        <w:t>定义</w:t>
      </w:r>
    </w:p>
    <w:p w14:paraId="5DCF0564">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1.1合同当事人</w:t>
      </w:r>
    </w:p>
    <w:p w14:paraId="0AC1A77F">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（1）采购人（以下称甲方）是指使用财政性资金，通过政府采购方式向供应商购买货物及其相关服务的国家机关、事业单位、团体组织。</w:t>
      </w:r>
    </w:p>
    <w:p w14:paraId="1BE4D6F6">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（2）供应商（以下称乙方）是指参加政府采购活动并且中标（成交），向采购人提供合同约定的货物及其相关服务的法人、非法人组织或者自然人。</w:t>
      </w:r>
    </w:p>
    <w:p w14:paraId="583F550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（3）其他合同主体是指除采购人和供应商以外，</w:t>
      </w:r>
      <w:r>
        <w:rPr>
          <w:rFonts w:hint="eastAsia" w:ascii="宋体" w:hAnsi="宋体" w:cs="宋体"/>
          <w:bCs/>
          <w:color w:val="auto"/>
          <w:sz w:val="21"/>
          <w:szCs w:val="21"/>
          <w:highlight w:val="none"/>
        </w:rPr>
        <w:t>依法参与合同缔结或履行，享有权利、承担义务的合同当事人</w:t>
      </w:r>
      <w:r>
        <w:rPr>
          <w:rFonts w:hint="eastAsia" w:ascii="宋体" w:hAnsi="宋体"/>
          <w:color w:val="auto"/>
          <w:sz w:val="21"/>
          <w:szCs w:val="21"/>
          <w:highlight w:val="none"/>
        </w:rPr>
        <w:t>。</w:t>
      </w:r>
    </w:p>
    <w:p w14:paraId="4CC072D1">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1.2本合同下列术语应解释为：</w:t>
      </w:r>
    </w:p>
    <w:p w14:paraId="5CB36630">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（1）“合同”系指</w:t>
      </w:r>
      <w:r>
        <w:rPr>
          <w:rFonts w:hint="eastAsia" w:ascii="宋体" w:hAnsi="宋体" w:cs="宋体"/>
          <w:bCs/>
          <w:color w:val="auto"/>
          <w:sz w:val="21"/>
          <w:szCs w:val="21"/>
          <w:highlight w:val="none"/>
        </w:rPr>
        <w:t>合同当事人意思表示达成一致的任何协议，包括签署的</w:t>
      </w:r>
      <w:r>
        <w:rPr>
          <w:rFonts w:hint="eastAsia" w:ascii="宋体" w:hAnsi="宋体"/>
          <w:color w:val="auto"/>
          <w:sz w:val="21"/>
          <w:szCs w:val="21"/>
          <w:highlight w:val="none"/>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auto"/>
          <w:sz w:val="21"/>
          <w:szCs w:val="21"/>
          <w:highlight w:val="none"/>
        </w:rPr>
        <w:t>国家法律、行政法规和规章制度规定或合同约定的作为合同组成部分的其他文件</w:t>
      </w:r>
      <w:r>
        <w:rPr>
          <w:rFonts w:hint="eastAsia" w:ascii="宋体" w:hAnsi="宋体"/>
          <w:color w:val="auto"/>
          <w:sz w:val="21"/>
          <w:szCs w:val="21"/>
          <w:highlight w:val="none"/>
        </w:rPr>
        <w:t>。</w:t>
      </w:r>
    </w:p>
    <w:p w14:paraId="54B673CD">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（2）“合同价款”系指根据本合同规定乙方在全面履行合同义务后甲方应支付给乙方的价款。</w:t>
      </w:r>
    </w:p>
    <w:p w14:paraId="7C083433">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（3）“货物”系指乙方根据本合同规定须向甲方提供的各种形态和种类的物品，包括原材料、设备、产品（包括软件）及相关的其备品备件、工具、手册及</w:t>
      </w:r>
      <w:r>
        <w:rPr>
          <w:rFonts w:hint="eastAsia" w:ascii="宋体" w:hAnsi="宋体"/>
          <w:color w:val="auto"/>
          <w:sz w:val="21"/>
          <w:szCs w:val="21"/>
          <w:highlight w:val="none"/>
          <w:lang w:val="en"/>
        </w:rPr>
        <w:t>其他</w:t>
      </w:r>
      <w:r>
        <w:rPr>
          <w:rFonts w:hint="eastAsia" w:ascii="宋体" w:hAnsi="宋体"/>
          <w:color w:val="auto"/>
          <w:sz w:val="21"/>
          <w:szCs w:val="21"/>
          <w:highlight w:val="none"/>
        </w:rPr>
        <w:t>技术资料和材料等。</w:t>
      </w:r>
    </w:p>
    <w:p w14:paraId="0EBFB1F1">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（4）“相关服务”系指根据合同规定，乙方应提供的与货物有关的技术、管理和</w:t>
      </w:r>
      <w:r>
        <w:rPr>
          <w:rFonts w:hint="eastAsia" w:ascii="宋体" w:hAnsi="宋体"/>
          <w:color w:val="auto"/>
          <w:sz w:val="21"/>
          <w:szCs w:val="21"/>
          <w:highlight w:val="none"/>
          <w:lang w:val="en"/>
        </w:rPr>
        <w:t>其他</w:t>
      </w:r>
      <w:r>
        <w:rPr>
          <w:rFonts w:hint="eastAsia" w:ascii="宋体" w:hAnsi="宋体"/>
          <w:color w:val="auto"/>
          <w:sz w:val="21"/>
          <w:szCs w:val="21"/>
          <w:highlight w:val="none"/>
        </w:rPr>
        <w:t>服务，包括但不限于：管理和质量保证、运输、保险、检验、现场准备、安装、集成、调试、培训、维修、废弃处置、技术支持等以及合同中规定乙方应承担的</w:t>
      </w:r>
      <w:r>
        <w:rPr>
          <w:rFonts w:hint="eastAsia" w:ascii="宋体" w:hAnsi="宋体"/>
          <w:color w:val="auto"/>
          <w:sz w:val="21"/>
          <w:szCs w:val="21"/>
          <w:highlight w:val="none"/>
          <w:lang w:val="en"/>
        </w:rPr>
        <w:t>其他</w:t>
      </w:r>
      <w:r>
        <w:rPr>
          <w:rFonts w:hint="eastAsia" w:ascii="宋体" w:hAnsi="宋体"/>
          <w:color w:val="auto"/>
          <w:sz w:val="21"/>
          <w:szCs w:val="21"/>
          <w:highlight w:val="none"/>
        </w:rPr>
        <w:t>义务。</w:t>
      </w:r>
    </w:p>
    <w:p w14:paraId="4E39574B">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（5）“分包”系指中标（成交）供应商按采购文件、投标（响应）文件的规定，根据分包意向协议，将中标（成交）项目中的部分履约内容，分给具有相应资质条件的供应商履行合同的行为。</w:t>
      </w:r>
    </w:p>
    <w:p w14:paraId="5D677DBE">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w:t>
      </w:r>
    </w:p>
    <w:p w14:paraId="27F09130">
      <w:pPr>
        <w:tabs>
          <w:tab w:val="left" w:pos="570"/>
          <w:tab w:val="left" w:pos="9240"/>
          <w:tab w:val="left" w:pos="9555"/>
        </w:tabs>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（7）其他术语解释，见【</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w:t>
      </w:r>
    </w:p>
    <w:p w14:paraId="1F3C887D">
      <w:pPr>
        <w:tabs>
          <w:tab w:val="left" w:pos="8820"/>
          <w:tab w:val="left" w:pos="9345"/>
          <w:tab w:val="left" w:pos="9765"/>
        </w:tabs>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 合同标的及金额</w:t>
      </w:r>
    </w:p>
    <w:p w14:paraId="501C5367">
      <w:pPr>
        <w:autoSpaceDE w:val="0"/>
        <w:autoSpaceDN w:val="0"/>
        <w:snapToGrid w:val="0"/>
        <w:spacing w:line="360" w:lineRule="auto"/>
        <w:ind w:firstLine="420" w:firstLineChars="200"/>
        <w:jc w:val="left"/>
        <w:rPr>
          <w:rFonts w:ascii="宋体" w:hAnsi="宋体"/>
          <w:b/>
          <w:bCs/>
          <w:i/>
          <w:iCs/>
          <w:color w:val="auto"/>
          <w:sz w:val="21"/>
          <w:szCs w:val="21"/>
          <w:highlight w:val="none"/>
        </w:rPr>
      </w:pPr>
      <w:r>
        <w:rPr>
          <w:rFonts w:hint="eastAsia" w:ascii="宋体" w:hAnsi="宋体"/>
          <w:color w:val="auto"/>
          <w:sz w:val="21"/>
          <w:szCs w:val="21"/>
          <w:highlight w:val="none"/>
        </w:rPr>
        <w:t>2.1 合同标的及金额应与中标（成交）结果一致。乙方为履行本合同而发生的所有费用均应包含在合同价款中，甲方不再另行支付</w:t>
      </w:r>
      <w:r>
        <w:rPr>
          <w:rFonts w:hint="eastAsia" w:ascii="宋体" w:hAnsi="宋体"/>
          <w:color w:val="auto"/>
          <w:sz w:val="21"/>
          <w:szCs w:val="21"/>
          <w:highlight w:val="none"/>
          <w:lang w:val="en"/>
        </w:rPr>
        <w:t>其他</w:t>
      </w:r>
      <w:r>
        <w:rPr>
          <w:rFonts w:hint="eastAsia" w:ascii="宋体" w:hAnsi="宋体"/>
          <w:color w:val="auto"/>
          <w:sz w:val="21"/>
          <w:szCs w:val="21"/>
          <w:highlight w:val="none"/>
        </w:rPr>
        <w:t>任何费用。</w:t>
      </w:r>
    </w:p>
    <w:p w14:paraId="60B2186B">
      <w:pPr>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3. 履行合同的时间、地点和方式</w:t>
      </w:r>
    </w:p>
    <w:p w14:paraId="6136A655">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3.1 </w:t>
      </w:r>
      <w:r>
        <w:rPr>
          <w:rFonts w:hint="eastAsia" w:ascii="宋体" w:hAnsi="宋体" w:cs="宋体"/>
          <w:color w:val="auto"/>
          <w:sz w:val="21"/>
          <w:szCs w:val="21"/>
          <w:highlight w:val="none"/>
        </w:rPr>
        <w:t>乙方应当在约定的时间、地点，按照约定方式履行合同。</w:t>
      </w:r>
    </w:p>
    <w:p w14:paraId="2C3720E6">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4. 甲方的权利和义务</w:t>
      </w:r>
    </w:p>
    <w:p w14:paraId="224F32C2">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4.1 签署合同后，甲方应确定项目负责人（或项目联系人），负责与本合同有关的事务。甲方有权对乙方的履约行为进行检查，并及时确认乙方提交的事项。甲方应当配合乙方完成相关项目实施工作。</w:t>
      </w:r>
    </w:p>
    <w:p w14:paraId="306847B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4.2 甲方有权要求乙方按时提交各阶段有关安排计划，并有权定期核对乙方提供货物数量、规格、质量等内容。甲方有权督促乙方工作并要求乙方更换不符合要求的货物。</w:t>
      </w:r>
    </w:p>
    <w:p w14:paraId="052CA95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4.3 甲方有权要求乙方对缺陷部分予以修复，并按合同约定享有货物保修及其他合同约定的权利。</w:t>
      </w:r>
    </w:p>
    <w:p w14:paraId="71A116C2">
      <w:pPr>
        <w:adjustRightInd/>
        <w:snapToGrid w:val="0"/>
        <w:spacing w:line="360" w:lineRule="auto"/>
        <w:ind w:firstLine="420" w:firstLineChars="200"/>
        <w:rPr>
          <w:rFonts w:eastAsia="华文楷体"/>
          <w:color w:val="auto"/>
          <w:sz w:val="21"/>
          <w:szCs w:val="21"/>
          <w:highlight w:val="none"/>
        </w:rPr>
      </w:pPr>
      <w:r>
        <w:rPr>
          <w:rFonts w:hint="eastAsia" w:ascii="宋体" w:hAnsi="宋体"/>
          <w:color w:val="auto"/>
          <w:sz w:val="21"/>
          <w:szCs w:val="21"/>
          <w:highlight w:val="none"/>
        </w:rPr>
        <w:t>4.4 甲方应当按照合同约定及时对交付的货物进行验收，</w:t>
      </w:r>
      <w:r>
        <w:rPr>
          <w:rFonts w:hint="eastAsia" w:ascii="宋体" w:hAnsi="宋体" w:cs="宋体"/>
          <w:color w:val="auto"/>
          <w:sz w:val="21"/>
          <w:szCs w:val="21"/>
          <w:highlight w:val="none"/>
        </w:rPr>
        <w:t>未</w:t>
      </w:r>
      <w:r>
        <w:rPr>
          <w:rFonts w:hint="eastAsia" w:ascii="宋体" w:hAnsi="宋体"/>
          <w:color w:val="auto"/>
          <w:sz w:val="21"/>
          <w:szCs w:val="21"/>
          <w:highlight w:val="none"/>
        </w:rPr>
        <w:t>在</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约定的期限内对乙方履约提出任何异议或者向乙方作出任何说明的，</w:t>
      </w:r>
      <w:r>
        <w:rPr>
          <w:rFonts w:hint="eastAsia" w:ascii="宋体" w:hAnsi="宋体"/>
          <w:color w:val="auto"/>
          <w:sz w:val="21"/>
          <w:szCs w:val="21"/>
          <w:highlight w:val="none"/>
        </w:rPr>
        <w:t>视为验收通过。</w:t>
      </w:r>
    </w:p>
    <w:p w14:paraId="2A3B2D6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4.5 甲方应当根据合同约定及时向乙方支付合同价款，不得以内部人员变更、履行内部付款流程等为由，拒绝或迟延支付。</w:t>
      </w:r>
    </w:p>
    <w:p w14:paraId="4945DFC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4.6 国家法律法规规定及</w:t>
      </w:r>
      <w:r>
        <w:rPr>
          <w:rFonts w:hint="eastAsia" w:ascii="宋体" w:hAnsi="宋体" w:cs="宋体"/>
          <w:b/>
          <w:bCs/>
          <w:color w:val="auto"/>
          <w:sz w:val="21"/>
          <w:szCs w:val="21"/>
          <w:highlight w:val="none"/>
        </w:rPr>
        <w:t>【政府采购合同专用条款】</w:t>
      </w:r>
      <w:r>
        <w:rPr>
          <w:rFonts w:hint="eastAsia" w:ascii="宋体" w:hAnsi="宋体"/>
          <w:color w:val="auto"/>
          <w:sz w:val="21"/>
          <w:szCs w:val="21"/>
          <w:highlight w:val="none"/>
        </w:rPr>
        <w:t>约定应由甲方承担的其他义务和责任。</w:t>
      </w:r>
    </w:p>
    <w:p w14:paraId="3FDE82EE">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5. 乙方的权利和义务</w:t>
      </w:r>
    </w:p>
    <w:p w14:paraId="36C35646">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5.1 签署合同后，乙方应确定项目负责人（或项目联系人），负责与本合同有关的事务。</w:t>
      </w:r>
    </w:p>
    <w:p w14:paraId="7F20C139">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6BC42E36">
      <w:pPr>
        <w:adjustRightInd/>
        <w:spacing w:line="360" w:lineRule="auto"/>
        <w:ind w:firstLine="369" w:firstLineChars="176"/>
        <w:rPr>
          <w:rFonts w:ascii="宋体" w:hAnsi="宋体" w:cs="宋体"/>
          <w:color w:val="auto"/>
          <w:sz w:val="21"/>
          <w:szCs w:val="21"/>
          <w:highlight w:val="none"/>
        </w:rPr>
      </w:pPr>
      <w:r>
        <w:rPr>
          <w:rFonts w:hint="eastAsia" w:ascii="宋体" w:hAnsi="宋体"/>
          <w:color w:val="auto"/>
          <w:sz w:val="21"/>
          <w:szCs w:val="21"/>
          <w:highlight w:val="none"/>
        </w:rPr>
        <w:t>5.3乙方有权</w:t>
      </w:r>
      <w:r>
        <w:rPr>
          <w:rFonts w:hint="eastAsia" w:ascii="宋体" w:hAnsi="宋体" w:cs="宋体"/>
          <w:color w:val="auto"/>
          <w:sz w:val="21"/>
          <w:szCs w:val="21"/>
          <w:highlight w:val="none"/>
        </w:rPr>
        <w:t>根据合同约定向甲方收取合同价款。</w:t>
      </w:r>
    </w:p>
    <w:p w14:paraId="18D5C90F">
      <w:pPr>
        <w:adjustRightInd/>
        <w:spacing w:line="360" w:lineRule="auto"/>
        <w:ind w:firstLine="369" w:firstLineChars="176"/>
        <w:rPr>
          <w:rFonts w:ascii="宋体" w:hAnsi="宋体" w:cs="宋体"/>
          <w:color w:val="auto"/>
          <w:sz w:val="21"/>
          <w:szCs w:val="21"/>
          <w:highlight w:val="none"/>
        </w:rPr>
      </w:pPr>
      <w:r>
        <w:rPr>
          <w:rFonts w:hint="eastAsia" w:ascii="宋体" w:hAnsi="宋体"/>
          <w:color w:val="auto"/>
          <w:sz w:val="21"/>
          <w:szCs w:val="21"/>
          <w:highlight w:val="none"/>
        </w:rPr>
        <w:t>5.4</w:t>
      </w:r>
      <w:r>
        <w:rPr>
          <w:rFonts w:hint="eastAsia" w:ascii="宋体" w:hAnsi="宋体" w:cs="宋体"/>
          <w:color w:val="auto"/>
          <w:sz w:val="21"/>
          <w:szCs w:val="21"/>
          <w:highlight w:val="none"/>
        </w:rPr>
        <w:t>国家法律法规规定</w:t>
      </w:r>
      <w:r>
        <w:rPr>
          <w:rFonts w:hint="eastAsia" w:ascii="宋体" w:hAnsi="宋体"/>
          <w:color w:val="auto"/>
          <w:sz w:val="21"/>
          <w:szCs w:val="21"/>
          <w:highlight w:val="none"/>
        </w:rPr>
        <w:t>及</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约定应由乙方承担的其他义务和责任。</w:t>
      </w:r>
    </w:p>
    <w:p w14:paraId="69660CAC">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6.合同履行</w:t>
      </w:r>
    </w:p>
    <w:p w14:paraId="0E4A327F">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6.1 甲乙双方应当按照</w:t>
      </w:r>
      <w:r>
        <w:rPr>
          <w:rFonts w:hint="eastAsia" w:ascii="宋体" w:hAnsi="宋体" w:cs="宋体"/>
          <w:b/>
          <w:bCs/>
          <w:color w:val="auto"/>
          <w:sz w:val="21"/>
          <w:szCs w:val="21"/>
          <w:highlight w:val="none"/>
        </w:rPr>
        <w:t>【政府采购合同专用条款】</w:t>
      </w:r>
      <w:r>
        <w:rPr>
          <w:rFonts w:hint="eastAsia" w:ascii="宋体" w:hAnsi="宋体"/>
          <w:color w:val="auto"/>
          <w:sz w:val="21"/>
          <w:szCs w:val="21"/>
          <w:highlight w:val="none"/>
        </w:rPr>
        <w:t>约定顺序履行合同义务；如果没有先后顺序的，应当同时履行。</w:t>
      </w:r>
    </w:p>
    <w:p w14:paraId="316FAC10">
      <w:pPr>
        <w:autoSpaceDE w:val="0"/>
        <w:autoSpaceDN w:val="0"/>
        <w:snapToGrid w:val="0"/>
        <w:spacing w:line="360" w:lineRule="auto"/>
        <w:ind w:firstLine="420" w:firstLineChars="200"/>
        <w:jc w:val="left"/>
        <w:rPr>
          <w:color w:val="auto"/>
          <w:sz w:val="21"/>
          <w:szCs w:val="21"/>
          <w:highlight w:val="none"/>
        </w:rPr>
      </w:pPr>
      <w:r>
        <w:rPr>
          <w:rFonts w:hint="eastAsia" w:ascii="宋体" w:hAnsi="宋体"/>
          <w:color w:val="auto"/>
          <w:sz w:val="21"/>
          <w:szCs w:val="21"/>
          <w:highlight w:val="none"/>
        </w:rPr>
        <w:t>6.2 甲乙双方按照合同约定顺序履行合同义务时，应当先履行一方未履行的，后履行一方有权拒绝其履行请求。先履行一方履行不符合约定的，后履行一方有权拒绝其相应的履行请求。</w:t>
      </w:r>
    </w:p>
    <w:p w14:paraId="1C857BD9">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7. 货物包装、运输、保险和交付要求</w:t>
      </w:r>
    </w:p>
    <w:p w14:paraId="37DE02F2">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7.1 本合同</w:t>
      </w:r>
      <w:r>
        <w:rPr>
          <w:rFonts w:hint="eastAsia" w:ascii="宋体" w:hAnsi="宋体"/>
          <w:bCs/>
          <w:color w:val="auto"/>
          <w:sz w:val="21"/>
          <w:szCs w:val="21"/>
          <w:highlight w:val="none"/>
        </w:rPr>
        <w:t>涉及商品包装、快递包装的，</w:t>
      </w:r>
      <w:r>
        <w:rPr>
          <w:rFonts w:hint="eastAsia" w:ascii="宋体" w:hAnsi="宋体"/>
          <w:color w:val="auto"/>
          <w:sz w:val="21"/>
          <w:szCs w:val="21"/>
          <w:highlight w:val="none"/>
        </w:rPr>
        <w:t>除</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另有约定外，</w:t>
      </w:r>
      <w:r>
        <w:rPr>
          <w:rFonts w:hint="eastAsia" w:ascii="宋体" w:hAnsi="宋体"/>
          <w:color w:val="auto"/>
          <w:sz w:val="21"/>
          <w:szCs w:val="21"/>
          <w:highlight w:val="none"/>
        </w:rPr>
        <w:t>包装应适应远距离运输、防潮、防震、防锈和防野蛮装卸等要求，确保货物安全无损地运抵</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约定的</w:t>
      </w:r>
      <w:r>
        <w:rPr>
          <w:rFonts w:hint="eastAsia" w:ascii="宋体" w:hAnsi="宋体"/>
          <w:color w:val="auto"/>
          <w:sz w:val="21"/>
          <w:szCs w:val="21"/>
          <w:highlight w:val="none"/>
        </w:rPr>
        <w:t>指定现场。</w:t>
      </w:r>
    </w:p>
    <w:p w14:paraId="65539A89">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7.2 除</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另有约定外，</w:t>
      </w:r>
      <w:r>
        <w:rPr>
          <w:rFonts w:hint="eastAsia" w:ascii="宋体" w:hAnsi="宋体"/>
          <w:color w:val="auto"/>
          <w:sz w:val="21"/>
          <w:szCs w:val="21"/>
          <w:highlight w:val="none"/>
        </w:rPr>
        <w:t>乙方负责办理将货物运抵本合同规定的交货地点，并装卸、交付至甲方的一切运输事项，相关费用应包含在合同价款中。</w:t>
      </w:r>
    </w:p>
    <w:p w14:paraId="2B2E56FE">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7.3 货物保险要求按</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规定执行</w:t>
      </w:r>
      <w:r>
        <w:rPr>
          <w:rFonts w:hint="eastAsia" w:ascii="宋体" w:hAnsi="宋体"/>
          <w:color w:val="auto"/>
          <w:sz w:val="21"/>
          <w:szCs w:val="21"/>
          <w:highlight w:val="none"/>
        </w:rPr>
        <w:t>。</w:t>
      </w:r>
    </w:p>
    <w:p w14:paraId="0FE81199">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C41BFC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7.5 </w:t>
      </w:r>
      <w:r>
        <w:rPr>
          <w:rFonts w:hint="eastAsia" w:ascii="宋体" w:hAnsi="宋体" w:cs="宋体"/>
          <w:color w:val="auto"/>
          <w:sz w:val="21"/>
          <w:szCs w:val="21"/>
          <w:highlight w:val="none"/>
        </w:rPr>
        <w:t>乙方在运输到达之前应提前通知甲方，并提示货物运输装卸的注意事项，甲方配合乙方做好货物的接收工作。</w:t>
      </w:r>
    </w:p>
    <w:p w14:paraId="6DC17699">
      <w:pPr>
        <w:widowControl/>
        <w:autoSpaceDE w:val="0"/>
        <w:autoSpaceDN w:val="0"/>
        <w:spacing w:line="360" w:lineRule="auto"/>
        <w:ind w:firstLine="420" w:firstLineChars="200"/>
        <w:jc w:val="left"/>
        <w:rPr>
          <w:rFonts w:ascii="华文楷体" w:hAnsi="华文楷体" w:eastAsia="华文楷体" w:cs="华文楷体"/>
          <w:color w:val="auto"/>
          <w:kern w:val="0"/>
          <w:sz w:val="21"/>
          <w:szCs w:val="21"/>
          <w:highlight w:val="none"/>
        </w:rPr>
      </w:pPr>
      <w:r>
        <w:rPr>
          <w:rFonts w:hint="eastAsia" w:ascii="宋体" w:hAnsi="宋体"/>
          <w:color w:val="auto"/>
          <w:sz w:val="21"/>
          <w:szCs w:val="21"/>
          <w:highlight w:val="none"/>
        </w:rPr>
        <w:t>7.6 如因包装、运输问题导致货物损毁、丢失或者品质下降，甲方有权要求降价、换货、拒收部分或整批货物，由此产生的费用和损失，均由乙方承担。</w:t>
      </w:r>
    </w:p>
    <w:p w14:paraId="60E11C98">
      <w:pPr>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8. 质量标准和保证</w:t>
      </w:r>
    </w:p>
    <w:p w14:paraId="213F8598">
      <w:pPr>
        <w:snapToGrid w:val="0"/>
        <w:spacing w:line="360" w:lineRule="auto"/>
        <w:ind w:firstLine="420" w:firstLineChars="200"/>
        <w:jc w:val="left"/>
        <w:rPr>
          <w:rFonts w:ascii="宋体" w:hAnsi="宋体" w:cs="Courier New"/>
          <w:b/>
          <w:color w:val="auto"/>
          <w:sz w:val="21"/>
          <w:szCs w:val="21"/>
          <w:highlight w:val="none"/>
        </w:rPr>
      </w:pPr>
      <w:r>
        <w:rPr>
          <w:rFonts w:hint="eastAsia" w:ascii="宋体" w:hAnsi="宋体" w:cs="Courier New"/>
          <w:color w:val="auto"/>
          <w:sz w:val="21"/>
          <w:szCs w:val="21"/>
          <w:highlight w:val="none"/>
        </w:rPr>
        <w:t>8.1 质量标准</w:t>
      </w:r>
    </w:p>
    <w:p w14:paraId="7D14A29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（1）本合同下提供的货物应符合合同</w:t>
      </w:r>
      <w:r>
        <w:rPr>
          <w:rFonts w:hint="eastAsia" w:ascii="宋体" w:hAnsi="宋体" w:cs="宋体"/>
          <w:color w:val="auto"/>
          <w:sz w:val="21"/>
          <w:szCs w:val="21"/>
          <w:highlight w:val="none"/>
        </w:rPr>
        <w:t>约定的品牌、规格型号、技术性能、配置、质量、数量等要求。</w:t>
      </w:r>
      <w:r>
        <w:rPr>
          <w:rFonts w:hint="eastAsia" w:ascii="宋体" w:hAnsi="宋体"/>
          <w:color w:val="auto"/>
          <w:sz w:val="21"/>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1D262AB">
      <w:pPr>
        <w:snapToGrid w:val="0"/>
        <w:spacing w:line="360" w:lineRule="auto"/>
        <w:ind w:firstLine="420" w:firstLineChars="200"/>
        <w:jc w:val="left"/>
        <w:rPr>
          <w:rFonts w:ascii="宋体" w:hAnsi="宋体" w:cs="Courier New"/>
          <w:color w:val="auto"/>
          <w:sz w:val="21"/>
          <w:szCs w:val="21"/>
          <w:highlight w:val="none"/>
        </w:rPr>
      </w:pPr>
      <w:r>
        <w:rPr>
          <w:rFonts w:hint="eastAsia" w:ascii="宋体" w:hAnsi="宋体" w:cs="Courier New"/>
          <w:color w:val="auto"/>
          <w:sz w:val="21"/>
          <w:szCs w:val="21"/>
          <w:highlight w:val="none"/>
        </w:rPr>
        <w:t>（2）采用中华人民共和国法定计量单位。</w:t>
      </w:r>
    </w:p>
    <w:p w14:paraId="735879F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（3）乙方所提供的货物应符合国家有关安全、环保、卫生的规定。</w:t>
      </w:r>
    </w:p>
    <w:p w14:paraId="3E4A433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（4）乙方应向甲方提交所提供货物的技术文件，包括相应的中文技术文件，如：产品目录、图纸、操作手册、使用说明、维护手册或服务指南等。上述文件应包装好随货物一同发运。</w:t>
      </w:r>
    </w:p>
    <w:p w14:paraId="701EDF1F">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8.2 保证</w:t>
      </w:r>
    </w:p>
    <w:p w14:paraId="14E0E2AC">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（1）乙方应保证提供的货物完全符合合同规定的质量、规格和性能要求。乙方应保证货物在正确安装、正常使用和保养条件下，</w:t>
      </w:r>
      <w:r>
        <w:rPr>
          <w:rFonts w:hint="eastAsia" w:ascii="宋体" w:hAnsi="宋体" w:cs="宋体"/>
          <w:color w:val="auto"/>
          <w:sz w:val="21"/>
          <w:szCs w:val="21"/>
          <w:highlight w:val="none"/>
        </w:rPr>
        <w:t>在其使用寿命期内具备合同约定的性能</w:t>
      </w:r>
      <w:r>
        <w:rPr>
          <w:rFonts w:hint="eastAsia" w:ascii="宋体" w:hAnsi="宋体"/>
          <w:color w:val="auto"/>
          <w:sz w:val="21"/>
          <w:szCs w:val="21"/>
          <w:highlight w:val="none"/>
        </w:rPr>
        <w:t>。存在质量保证期的，货物最终交付验收合格后在</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规定或乙方书面承诺（两者以较长的为准）的质量保证期内，本保证保持有效。</w:t>
      </w:r>
    </w:p>
    <w:p w14:paraId="65E672B9">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（2）在质量保证期内所发现的缺陷，甲方应尽快以书面形式通知乙方。</w:t>
      </w:r>
    </w:p>
    <w:p w14:paraId="54F882E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（3）乙方收到通知后，应在</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规定的响应时间内以合理的速度免费维修或更换有缺陷的货物或部件。</w:t>
      </w:r>
    </w:p>
    <w:p w14:paraId="6D110E2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（4）在质量保证期内，如果货物的质量或规格与合同不符，或证实货物是有缺陷的，包括潜在的缺陷或使用不符合要求的材料等，甲方可以根据本合同第15.1条规定以书面形式追究乙方的违约责任。</w:t>
      </w:r>
    </w:p>
    <w:p w14:paraId="20097C37">
      <w:pPr>
        <w:snapToGrid w:val="0"/>
        <w:spacing w:line="360" w:lineRule="auto"/>
        <w:ind w:firstLine="420" w:firstLineChars="200"/>
        <w:jc w:val="left"/>
        <w:rPr>
          <w:color w:val="auto"/>
          <w:sz w:val="21"/>
          <w:szCs w:val="21"/>
          <w:highlight w:val="none"/>
        </w:rPr>
      </w:pPr>
      <w:r>
        <w:rPr>
          <w:rFonts w:hint="eastAsia" w:ascii="宋体" w:hAnsi="宋体"/>
          <w:color w:val="auto"/>
          <w:sz w:val="21"/>
          <w:szCs w:val="21"/>
          <w:highlight w:val="none"/>
        </w:rPr>
        <w:t>（5）乙方在约定的时间内未能弥补缺陷，甲方可采取必要的补救措施，但其风险和费用将由乙方承担，甲方根据合同约定对乙方行使的其他权利不受影响。</w:t>
      </w:r>
    </w:p>
    <w:p w14:paraId="1905D474">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9. 权利瑕疵担保</w:t>
      </w:r>
    </w:p>
    <w:p w14:paraId="61E29EB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9.1 乙方保证对其出售的货物享有合法的权利。</w:t>
      </w:r>
    </w:p>
    <w:p w14:paraId="6CD013B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9.2 </w:t>
      </w:r>
      <w:r>
        <w:rPr>
          <w:rFonts w:hint="eastAsia" w:ascii="宋体" w:hAnsi="宋体" w:cs="宋体"/>
          <w:color w:val="auto"/>
          <w:sz w:val="21"/>
          <w:szCs w:val="21"/>
          <w:highlight w:val="none"/>
        </w:rPr>
        <w:t>乙方保证在交付的货物上不存在抵押权等担保物权。</w:t>
      </w:r>
    </w:p>
    <w:p w14:paraId="04C3AB1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9.3 如甲方使用上述货物构成对第三人侵权的，则由乙方承担全部责任。</w:t>
      </w:r>
    </w:p>
    <w:p w14:paraId="27FEE716">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10. 知识产权保护</w:t>
      </w:r>
    </w:p>
    <w:p w14:paraId="7A79A3F0">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10.1 乙方对其所销售的货物应当享有知识产权或经权利人合法授权，保证没有侵犯任何第三人的知识产权等权利。</w:t>
      </w:r>
      <w:bookmarkStart w:id="78" w:name="_Hlk163047038"/>
      <w:r>
        <w:rPr>
          <w:rFonts w:hint="eastAsia" w:ascii="宋体" w:hAnsi="宋体" w:cs="宋体"/>
          <w:color w:val="auto"/>
          <w:sz w:val="21"/>
          <w:szCs w:val="21"/>
          <w:highlight w:val="none"/>
        </w:rPr>
        <w:t>因违反前述约定对第三人构成侵权的，应当由乙方向第三人承担法律责任；甲方依法向第三人赔偿后，有权向乙方追偿。甲方有其他损失的，乙方应当赔偿</w:t>
      </w:r>
      <w:bookmarkEnd w:id="78"/>
      <w:r>
        <w:rPr>
          <w:rFonts w:hint="eastAsia" w:ascii="宋体" w:hAnsi="宋体"/>
          <w:color w:val="auto"/>
          <w:sz w:val="21"/>
          <w:szCs w:val="21"/>
          <w:highlight w:val="none"/>
        </w:rPr>
        <w:t>。</w:t>
      </w:r>
    </w:p>
    <w:p w14:paraId="119DC7D2">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11. 保密义务</w:t>
      </w:r>
    </w:p>
    <w:p w14:paraId="6503D140">
      <w:pPr>
        <w:autoSpaceDE w:val="0"/>
        <w:autoSpaceDN w:val="0"/>
        <w:snapToGrid w:val="0"/>
        <w:spacing w:line="360" w:lineRule="auto"/>
        <w:ind w:firstLine="420" w:firstLineChars="200"/>
        <w:jc w:val="left"/>
        <w:rPr>
          <w:rFonts w:ascii="宋体" w:hAnsi="宋体" w:cs="宋体"/>
          <w:color w:val="auto"/>
          <w:sz w:val="21"/>
          <w:szCs w:val="21"/>
          <w:highlight w:val="none"/>
        </w:rPr>
      </w:pPr>
      <w:r>
        <w:rPr>
          <w:rFonts w:hint="eastAsia" w:ascii="宋体" w:hAnsi="宋体" w:cs="宋体"/>
          <w:color w:val="auto"/>
          <w:sz w:val="21"/>
          <w:szCs w:val="21"/>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中约定。</w:t>
      </w:r>
    </w:p>
    <w:p w14:paraId="5D622925">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12. 合同价款支付</w:t>
      </w:r>
    </w:p>
    <w:p w14:paraId="2DE7A1D2">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12.1 合同价款支付按照国库集中支付制度及财政管理相关规定执行。</w:t>
      </w:r>
    </w:p>
    <w:p w14:paraId="257495E4">
      <w:pPr>
        <w:keepNext/>
        <w:keepLines/>
        <w:adjustRightInd/>
        <w:spacing w:line="360" w:lineRule="auto"/>
        <w:ind w:firstLine="420" w:firstLineChars="200"/>
        <w:rPr>
          <w:rFonts w:ascii="Arial" w:hAnsi="Arial"/>
          <w:b/>
          <w:bCs/>
          <w:color w:val="auto"/>
          <w:sz w:val="21"/>
          <w:szCs w:val="21"/>
          <w:highlight w:val="none"/>
        </w:rPr>
      </w:pPr>
      <w:r>
        <w:rPr>
          <w:rFonts w:hint="eastAsia" w:ascii="宋体" w:hAnsi="宋体"/>
          <w:color w:val="auto"/>
          <w:sz w:val="21"/>
          <w:szCs w:val="21"/>
          <w:highlight w:val="none"/>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】中约定。</w:t>
      </w:r>
    </w:p>
    <w:p w14:paraId="049A32A8">
      <w:pPr>
        <w:adjustRightInd/>
        <w:spacing w:line="360" w:lineRule="auto"/>
        <w:rPr>
          <w:rFonts w:ascii="宋体" w:hAnsi="宋体"/>
          <w:b/>
          <w:bCs/>
          <w:color w:val="auto"/>
          <w:sz w:val="21"/>
          <w:szCs w:val="21"/>
          <w:highlight w:val="none"/>
        </w:rPr>
      </w:pPr>
      <w:r>
        <w:rPr>
          <w:rFonts w:hint="eastAsia" w:ascii="宋体" w:hAnsi="宋体"/>
          <w:b/>
          <w:bCs/>
          <w:color w:val="auto"/>
          <w:sz w:val="21"/>
          <w:szCs w:val="21"/>
          <w:highlight w:val="none"/>
        </w:rPr>
        <w:t>13. 履约保证金</w:t>
      </w:r>
    </w:p>
    <w:p w14:paraId="2B160B29">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13.1 </w:t>
      </w:r>
      <w:r>
        <w:rPr>
          <w:rFonts w:hint="eastAsia" w:ascii="宋体" w:hAnsi="宋体" w:cs="宋体"/>
          <w:color w:val="auto"/>
          <w:sz w:val="21"/>
          <w:szCs w:val="21"/>
          <w:highlight w:val="none"/>
        </w:rPr>
        <w:t>乙方应当以支票、汇票、本票或者金融机构、担保机构出具的保函等非现金形式提交。</w:t>
      </w:r>
    </w:p>
    <w:p w14:paraId="5D0A09DE">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13.2 如果乙方出现</w:t>
      </w:r>
      <w:r>
        <w:rPr>
          <w:rFonts w:hint="eastAsia" w:ascii="宋体" w:hAnsi="宋体" w:cs="宋体"/>
          <w:b/>
          <w:bCs/>
          <w:color w:val="auto"/>
          <w:sz w:val="21"/>
          <w:szCs w:val="21"/>
          <w:highlight w:val="none"/>
        </w:rPr>
        <w:t>【政府采购合同专用条款】</w:t>
      </w:r>
      <w:r>
        <w:rPr>
          <w:rFonts w:hint="eastAsia" w:ascii="宋体" w:hAnsi="宋体" w:cs="宋体"/>
          <w:color w:val="auto"/>
          <w:sz w:val="21"/>
          <w:szCs w:val="21"/>
          <w:highlight w:val="none"/>
        </w:rPr>
        <w:t>约定情形的</w:t>
      </w:r>
      <w:r>
        <w:rPr>
          <w:rFonts w:hint="eastAsia" w:ascii="宋体" w:hAnsi="宋体"/>
          <w:color w:val="auto"/>
          <w:sz w:val="21"/>
          <w:szCs w:val="21"/>
          <w:highlight w:val="none"/>
        </w:rPr>
        <w:t>，履约保证金不予退还；如果乙方未能按合同约定全面履行义务，甲方有权从履约保证金中取得补偿或赔偿，且不影响甲方要求乙方承担合同约定的超过履约保证金的违约责任的权利。</w:t>
      </w:r>
    </w:p>
    <w:p w14:paraId="039C1F74">
      <w:pPr>
        <w:adjustRightInd/>
        <w:spacing w:line="360" w:lineRule="auto"/>
        <w:ind w:firstLine="420"/>
        <w:rPr>
          <w:color w:val="auto"/>
          <w:sz w:val="21"/>
          <w:szCs w:val="21"/>
          <w:highlight w:val="none"/>
        </w:rPr>
      </w:pPr>
      <w:r>
        <w:rPr>
          <w:rFonts w:hint="eastAsia" w:ascii="宋体" w:hAnsi="宋体"/>
          <w:color w:val="auto"/>
          <w:sz w:val="21"/>
          <w:szCs w:val="21"/>
          <w:highlight w:val="none"/>
        </w:rPr>
        <w:t>13.3 甲方在项目通过验收后按照</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规定的时间内将履约保证金退还乙方；逾期退还的，乙方可要求甲方支付违约金，违约金按照</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规定支付。</w:t>
      </w:r>
    </w:p>
    <w:p w14:paraId="0ACE85D1">
      <w:pPr>
        <w:autoSpaceDE w:val="0"/>
        <w:autoSpaceDN w:val="0"/>
        <w:snapToGrid w:val="0"/>
        <w:spacing w:line="360" w:lineRule="auto"/>
        <w:jc w:val="left"/>
        <w:rPr>
          <w:rFonts w:ascii="宋体" w:hAnsi="宋体"/>
          <w:b/>
          <w:color w:val="auto"/>
          <w:sz w:val="21"/>
          <w:szCs w:val="21"/>
          <w:highlight w:val="none"/>
        </w:rPr>
      </w:pPr>
      <w:r>
        <w:rPr>
          <w:rFonts w:hint="eastAsia" w:ascii="宋体" w:hAnsi="宋体"/>
          <w:b/>
          <w:bCs/>
          <w:color w:val="auto"/>
          <w:sz w:val="21"/>
          <w:szCs w:val="21"/>
          <w:highlight w:val="none"/>
        </w:rPr>
        <w:t xml:space="preserve">14. </w:t>
      </w:r>
      <w:r>
        <w:rPr>
          <w:rFonts w:hint="eastAsia"/>
          <w:b/>
          <w:color w:val="auto"/>
          <w:sz w:val="21"/>
          <w:szCs w:val="21"/>
          <w:highlight w:val="none"/>
        </w:rPr>
        <w:t>售后</w:t>
      </w:r>
      <w:r>
        <w:rPr>
          <w:rFonts w:hint="eastAsia" w:ascii="宋体" w:hAnsi="宋体"/>
          <w:b/>
          <w:color w:val="auto"/>
          <w:sz w:val="21"/>
          <w:szCs w:val="21"/>
          <w:highlight w:val="none"/>
        </w:rPr>
        <w:t>服务</w:t>
      </w:r>
    </w:p>
    <w:p w14:paraId="6F4E8F1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14.1 除项目不涉及或采购活动中明确约定无须承担外，乙方还应提供下列服务：</w:t>
      </w:r>
    </w:p>
    <w:p w14:paraId="3AB44382">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（1）货物的现场移动、安装、调试、启动监督及技术支持；</w:t>
      </w:r>
    </w:p>
    <w:p w14:paraId="3DC2C7D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（2）提供货物组装和维修所需的专用工具和辅助材料；</w:t>
      </w:r>
    </w:p>
    <w:p w14:paraId="59DD7DE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（3）在</w:t>
      </w:r>
      <w:r>
        <w:rPr>
          <w:rFonts w:hint="eastAsia" w:ascii="宋体" w:hAnsi="宋体" w:cs="宋体"/>
          <w:b/>
          <w:bCs/>
          <w:color w:val="auto"/>
          <w:sz w:val="21"/>
          <w:szCs w:val="21"/>
          <w:highlight w:val="none"/>
        </w:rPr>
        <w:t>【政府采购合同专用条款】</w:t>
      </w:r>
      <w:r>
        <w:rPr>
          <w:rFonts w:hint="eastAsia" w:ascii="宋体" w:hAnsi="宋体"/>
          <w:color w:val="auto"/>
          <w:sz w:val="21"/>
          <w:szCs w:val="21"/>
          <w:highlight w:val="none"/>
        </w:rPr>
        <w:t>约定的期限内对所有的货物实施运行监督、维修，但前提条件是该服务并不能免除乙方在质量保证期内所承担的义务；</w:t>
      </w:r>
    </w:p>
    <w:p w14:paraId="10BF81C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（4）在制造商所在地或指定现场就货物的安装、启动、运营、维护、废弃处置等对甲方操作人员进行培训</w:t>
      </w:r>
      <w:r>
        <w:rPr>
          <w:rFonts w:hint="eastAsia" w:ascii="宋体" w:hAnsi="宋体" w:cs="宋体"/>
          <w:color w:val="auto"/>
          <w:sz w:val="21"/>
          <w:szCs w:val="21"/>
          <w:highlight w:val="none"/>
        </w:rPr>
        <w:t>；</w:t>
      </w:r>
    </w:p>
    <w:p w14:paraId="59F15C2C">
      <w:pPr>
        <w:widowControl/>
        <w:autoSpaceDE w:val="0"/>
        <w:autoSpaceDN w:val="0"/>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（5）依照法律、行政法规的规定或者按照</w:t>
      </w:r>
      <w:r>
        <w:rPr>
          <w:rFonts w:hint="eastAsia" w:ascii="宋体" w:hAnsi="宋体" w:cs="宋体"/>
          <w:b/>
          <w:bCs/>
          <w:color w:val="auto"/>
          <w:kern w:val="0"/>
          <w:sz w:val="21"/>
          <w:szCs w:val="21"/>
          <w:highlight w:val="none"/>
        </w:rPr>
        <w:t>【政府采购合同专用条款】</w:t>
      </w:r>
      <w:r>
        <w:rPr>
          <w:rFonts w:hint="eastAsia" w:ascii="宋体" w:hAnsi="宋体" w:cs="宋体"/>
          <w:color w:val="auto"/>
          <w:kern w:val="0"/>
          <w:sz w:val="21"/>
          <w:szCs w:val="21"/>
          <w:highlight w:val="none"/>
        </w:rPr>
        <w:t>约定，货物在有效使用年限届满后应予回收的，乙方负有自行或者委托第三人对货物予以回收的义务；</w:t>
      </w:r>
    </w:p>
    <w:p w14:paraId="7DA5706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（6）</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规定由乙方提供的其他服务。</w:t>
      </w:r>
    </w:p>
    <w:p w14:paraId="3194E0E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14.2 乙方提供的售后服务的费用已包含在合同价款中，甲方不再另行支付。</w:t>
      </w:r>
    </w:p>
    <w:p w14:paraId="2F3185A3">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15. 违约责任</w:t>
      </w:r>
    </w:p>
    <w:p w14:paraId="0C0F67AA">
      <w:pPr>
        <w:snapToGrid w:val="0"/>
        <w:spacing w:line="360" w:lineRule="auto"/>
        <w:ind w:firstLine="420" w:firstLineChars="200"/>
        <w:jc w:val="left"/>
        <w:rPr>
          <w:rFonts w:ascii="宋体" w:hAnsi="宋体"/>
          <w:bCs/>
          <w:color w:val="auto"/>
          <w:sz w:val="21"/>
          <w:szCs w:val="21"/>
          <w:highlight w:val="none"/>
        </w:rPr>
      </w:pPr>
      <w:r>
        <w:rPr>
          <w:rFonts w:hint="eastAsia" w:ascii="宋体" w:hAnsi="宋体"/>
          <w:bCs/>
          <w:color w:val="auto"/>
          <w:sz w:val="21"/>
          <w:szCs w:val="21"/>
          <w:highlight w:val="none"/>
        </w:rPr>
        <w:t>15.1质量瑕疵的违约责任</w:t>
      </w:r>
    </w:p>
    <w:p w14:paraId="3020D2B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乙方提供的产品不符合合同约定的质量标准或存在产品质量缺陷，甲方有权要求乙方根据</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要求</w:t>
      </w:r>
      <w:r>
        <w:rPr>
          <w:rFonts w:hint="eastAsia" w:ascii="宋体" w:hAnsi="宋体"/>
          <w:color w:val="auto"/>
          <w:sz w:val="21"/>
          <w:szCs w:val="21"/>
          <w:highlight w:val="none"/>
        </w:rPr>
        <w:t>及时修理、重作、更换，并承担由此给甲方造成的损失。</w:t>
      </w:r>
    </w:p>
    <w:p w14:paraId="5FCE85D1">
      <w:pPr>
        <w:autoSpaceDE w:val="0"/>
        <w:autoSpaceDN w:val="0"/>
        <w:snapToGrid w:val="0"/>
        <w:spacing w:line="360" w:lineRule="auto"/>
        <w:ind w:firstLine="420" w:firstLineChars="200"/>
        <w:jc w:val="left"/>
        <w:rPr>
          <w:rFonts w:ascii="宋体" w:hAnsi="宋体"/>
          <w:bCs/>
          <w:color w:val="auto"/>
          <w:sz w:val="21"/>
          <w:szCs w:val="21"/>
          <w:highlight w:val="none"/>
        </w:rPr>
      </w:pPr>
      <w:r>
        <w:rPr>
          <w:rFonts w:hint="eastAsia" w:ascii="宋体" w:hAnsi="宋体"/>
          <w:bCs/>
          <w:color w:val="auto"/>
          <w:sz w:val="21"/>
          <w:szCs w:val="21"/>
          <w:highlight w:val="none"/>
        </w:rPr>
        <w:t>15.2 迟延交货的违约责任</w:t>
      </w:r>
    </w:p>
    <w:p w14:paraId="00D1259D">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483F2F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（2）如果乙方没有按照合同规定的时间交货和提供相关服务，甲方有权从货款中扣除误期赔偿费而不影响合同项下的其他补救方法，赔偿费按</w:t>
      </w:r>
      <w:r>
        <w:rPr>
          <w:rFonts w:hint="eastAsia" w:ascii="宋体" w:hAnsi="宋体"/>
          <w:b/>
          <w:color w:val="auto"/>
          <w:sz w:val="21"/>
          <w:szCs w:val="21"/>
          <w:highlight w:val="none"/>
        </w:rPr>
        <w:t>【政府采购合同专用条款】</w:t>
      </w:r>
      <w:r>
        <w:rPr>
          <w:rFonts w:hint="eastAsia" w:ascii="宋体" w:hAnsi="宋体"/>
          <w:color w:val="auto"/>
          <w:sz w:val="21"/>
          <w:szCs w:val="21"/>
          <w:highlight w:val="none"/>
        </w:rPr>
        <w:t>规定执行。如果涉及公共利益，且赔偿金额无法弥补公共利益损失，甲方可要求继续履行或者采取其他补救措施。</w:t>
      </w:r>
    </w:p>
    <w:p w14:paraId="4EE2CADC">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15.3 迟延支付的违约责任</w:t>
      </w:r>
    </w:p>
    <w:p w14:paraId="66BE429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甲方存在迟延支付乙方合同款项的，应当承担</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规定的逾期付款利息。</w:t>
      </w:r>
    </w:p>
    <w:p w14:paraId="0858CA12">
      <w:pPr>
        <w:snapToGrid w:val="0"/>
        <w:spacing w:line="360" w:lineRule="auto"/>
        <w:ind w:firstLine="420" w:firstLineChars="200"/>
        <w:jc w:val="left"/>
        <w:rPr>
          <w:rFonts w:ascii="宋体" w:hAnsi="宋体"/>
          <w:color w:val="auto"/>
          <w:sz w:val="21"/>
          <w:szCs w:val="21"/>
          <w:highlight w:val="none"/>
        </w:rPr>
      </w:pPr>
      <w:r>
        <w:rPr>
          <w:rFonts w:hint="eastAsia" w:ascii="宋体" w:hAnsi="宋体"/>
          <w:bCs/>
          <w:color w:val="auto"/>
          <w:sz w:val="21"/>
          <w:szCs w:val="21"/>
          <w:highlight w:val="none"/>
        </w:rPr>
        <w:t>15.4其他违约责任根据项目实际需要按</w:t>
      </w:r>
      <w:r>
        <w:rPr>
          <w:rFonts w:hint="eastAsia" w:ascii="宋体" w:hAnsi="宋体"/>
          <w:b/>
          <w:bCs/>
          <w:color w:val="auto"/>
          <w:sz w:val="21"/>
          <w:szCs w:val="21"/>
          <w:highlight w:val="none"/>
        </w:rPr>
        <w:t>【政府采购合同专用条款】</w:t>
      </w:r>
      <w:r>
        <w:rPr>
          <w:rFonts w:hint="eastAsia" w:ascii="宋体" w:hAnsi="宋体"/>
          <w:color w:val="auto"/>
          <w:sz w:val="21"/>
          <w:szCs w:val="21"/>
          <w:highlight w:val="none"/>
        </w:rPr>
        <w:t>规定执行。</w:t>
      </w:r>
    </w:p>
    <w:p w14:paraId="2F442239">
      <w:pPr>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16. 合同变更、中止与终止</w:t>
      </w:r>
    </w:p>
    <w:p w14:paraId="72B02DE5">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 xml:space="preserve">    16.1合同的变更</w:t>
      </w:r>
    </w:p>
    <w:p w14:paraId="2E547185">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政府采购合同履行中，在不改变合同其他条款的前提下，甲方可以在合同价款10%的范围内追加与合同标的相同的货物，并就此与乙方协商一致后签订补充协议。</w:t>
      </w:r>
    </w:p>
    <w:p w14:paraId="7EAE4C91">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16.2合同的中止</w:t>
      </w:r>
    </w:p>
    <w:p w14:paraId="5BA8663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（1）合同履行过程中因供应商就采购文件、采购过程或结果提起投诉的，甲方认为有必要的，可以中止合同的履行。</w:t>
      </w:r>
    </w:p>
    <w:p w14:paraId="23860511">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BAAD8BC">
      <w:pPr>
        <w:widowControl/>
        <w:autoSpaceDE w:val="0"/>
        <w:autoSpaceDN w:val="0"/>
        <w:spacing w:line="360" w:lineRule="auto"/>
        <w:ind w:firstLine="420" w:firstLineChars="200"/>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（3）乙方分立、合并或者变更住所的，应当及时以书面形式告知甲方。乙方没有及时告知甲方，致使合同履行发生困难的，甲方可以中止合同履行并要求乙方承担由此给甲方造成的损失。</w:t>
      </w:r>
    </w:p>
    <w:p w14:paraId="3EDD27B7">
      <w:pPr>
        <w:adjustRightInd/>
        <w:snapToGrid w:val="0"/>
        <w:spacing w:line="360" w:lineRule="auto"/>
        <w:ind w:firstLine="420" w:firstLineChars="200"/>
        <w:jc w:val="left"/>
        <w:rPr>
          <w:color w:val="auto"/>
          <w:sz w:val="21"/>
          <w:szCs w:val="21"/>
          <w:highlight w:val="none"/>
        </w:rPr>
      </w:pPr>
      <w:r>
        <w:rPr>
          <w:rFonts w:hint="eastAsia" w:ascii="宋体" w:hAnsi="宋体"/>
          <w:color w:val="auto"/>
          <w:sz w:val="21"/>
          <w:szCs w:val="21"/>
          <w:highlight w:val="none"/>
        </w:rPr>
        <w:t>（4）甲方不得以行政区划调整、政府换届、机构或者职能调整以及相关责任人更替为由中止合同。</w:t>
      </w:r>
    </w:p>
    <w:p w14:paraId="0ADB19FE">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16.3合同的终止</w:t>
      </w:r>
    </w:p>
    <w:p w14:paraId="354AED97">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（1）合同因有效期限届满而终止；</w:t>
      </w:r>
    </w:p>
    <w:p w14:paraId="305DA942">
      <w:pPr>
        <w:adjustRightInd/>
        <w:snapToGrid w:val="0"/>
        <w:spacing w:line="360" w:lineRule="auto"/>
        <w:ind w:firstLine="420" w:firstLineChars="200"/>
        <w:rPr>
          <w:rFonts w:ascii="宋体" w:hAnsi="宋体" w:cs="宋体"/>
          <w:color w:val="auto"/>
          <w:sz w:val="21"/>
          <w:szCs w:val="21"/>
          <w:highlight w:val="none"/>
        </w:rPr>
      </w:pPr>
      <w:r>
        <w:rPr>
          <w:rFonts w:hint="eastAsia" w:ascii="宋体" w:hAnsi="宋体"/>
          <w:color w:val="auto"/>
          <w:sz w:val="21"/>
          <w:szCs w:val="21"/>
          <w:highlight w:val="none"/>
        </w:rPr>
        <w:t>（2）乙方未按合同约定履行，构成根本性违约的，甲方有权终止合同，</w:t>
      </w:r>
      <w:r>
        <w:rPr>
          <w:rFonts w:hint="eastAsia" w:ascii="宋体" w:hAnsi="宋体" w:cs="宋体"/>
          <w:color w:val="auto"/>
          <w:sz w:val="21"/>
          <w:szCs w:val="21"/>
          <w:highlight w:val="none"/>
        </w:rPr>
        <w:t>并追究乙方的违约责任</w:t>
      </w:r>
      <w:r>
        <w:rPr>
          <w:rFonts w:hint="eastAsia" w:ascii="宋体" w:hAnsi="宋体"/>
          <w:color w:val="auto"/>
          <w:sz w:val="21"/>
          <w:szCs w:val="21"/>
          <w:highlight w:val="none"/>
        </w:rPr>
        <w:t>。</w:t>
      </w:r>
    </w:p>
    <w:p w14:paraId="6777BE10">
      <w:pPr>
        <w:widowControl/>
        <w:autoSpaceDE w:val="0"/>
        <w:autoSpaceDN w:val="0"/>
        <w:spacing w:line="360" w:lineRule="auto"/>
        <w:ind w:firstLine="420" w:firstLineChars="200"/>
        <w:jc w:val="left"/>
        <w:rPr>
          <w:rFonts w:ascii="宋体" w:hAnsi="宋体" w:eastAsia="华文楷体" w:cs="华文楷体"/>
          <w:color w:val="auto"/>
          <w:kern w:val="0"/>
          <w:sz w:val="21"/>
          <w:szCs w:val="21"/>
          <w:highlight w:val="none"/>
        </w:rPr>
      </w:pPr>
      <w:r>
        <w:rPr>
          <w:rFonts w:hint="eastAsia" w:ascii="宋体" w:hAnsi="宋体" w:eastAsia="华文楷体" w:cs="华文楷体"/>
          <w:color w:val="auto"/>
          <w:kern w:val="0"/>
          <w:sz w:val="21"/>
          <w:szCs w:val="21"/>
          <w:highlight w:val="none"/>
        </w:rPr>
        <w:t xml:space="preserve">16.4 </w:t>
      </w:r>
      <w:r>
        <w:rPr>
          <w:rFonts w:hint="eastAsia" w:ascii="宋体" w:hAnsi="宋体"/>
          <w:color w:val="auto"/>
          <w:sz w:val="21"/>
          <w:szCs w:val="21"/>
          <w:highlight w:val="none"/>
        </w:rPr>
        <w:t>涉及国家利益、社会公共利益的情形</w:t>
      </w:r>
    </w:p>
    <w:p w14:paraId="5A03379D">
      <w:pPr>
        <w:widowControl/>
        <w:autoSpaceDE w:val="0"/>
        <w:autoSpaceDN w:val="0"/>
        <w:spacing w:line="360" w:lineRule="auto"/>
        <w:ind w:firstLine="420" w:firstLineChars="200"/>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政府采购合同继续履行将损害国家利益和社会公共利益的，双方当事人应当变更、中止或者终止合同。有过错的一方应当承担赔偿责任，双方都有过错的，各自承担相应的责任。</w:t>
      </w:r>
    </w:p>
    <w:p w14:paraId="0E7E6467">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17. 合同分包</w:t>
      </w:r>
    </w:p>
    <w:p w14:paraId="275A2E23">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17.1 乙方不得将合同转包给其他供应商。涉及合同分包的，乙方应根据采购文件和投标（响应）文件规定进行合同分包。</w:t>
      </w:r>
    </w:p>
    <w:p w14:paraId="49E4844E">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17.2 乙方执行政府采购政策向中小企业依法分包的，乙方应当按采购文件和投标（响应）文件签订分包意向协议，分包意向协议属于本合同组成部分。</w:t>
      </w:r>
    </w:p>
    <w:p w14:paraId="257F4928">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18. 不可抗力</w:t>
      </w:r>
    </w:p>
    <w:p w14:paraId="2CDDA09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18.1 不可抗力是指合同双方不能预见、不能避免且不能克服的客观情况。</w:t>
      </w:r>
    </w:p>
    <w:p w14:paraId="6C8C0C2A">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18.2 任何一方对由于不可抗力造成的部分或全部不能履行合同不承担违约责任。但迟延履行后发生不可抗力的，不能免除责任。</w:t>
      </w:r>
    </w:p>
    <w:p w14:paraId="18B1339B">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6777689D">
      <w:pPr>
        <w:autoSpaceDE w:val="0"/>
        <w:autoSpaceDN w:val="0"/>
        <w:snapToGrid w:val="0"/>
        <w:spacing w:line="360" w:lineRule="auto"/>
        <w:jc w:val="left"/>
        <w:rPr>
          <w:rFonts w:ascii="宋体" w:hAnsi="宋体"/>
          <w:b/>
          <w:bCs/>
          <w:color w:val="auto"/>
          <w:sz w:val="21"/>
          <w:szCs w:val="21"/>
          <w:highlight w:val="none"/>
        </w:rPr>
      </w:pPr>
      <w:r>
        <w:rPr>
          <w:rFonts w:hint="eastAsia" w:ascii="宋体" w:hAnsi="宋体"/>
          <w:b/>
          <w:bCs/>
          <w:color w:val="auto"/>
          <w:sz w:val="21"/>
          <w:szCs w:val="21"/>
          <w:highlight w:val="none"/>
        </w:rPr>
        <w:t>19. 解决争议的方法</w:t>
      </w:r>
    </w:p>
    <w:p w14:paraId="15F16CBA">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19.1 因本合同及合同有关事项发生的争议，由甲乙双方友好协商解决。协商不成时，可以向有关组织申请调解。合同一方或双方不愿调解或调解不成的，可以通过仲裁或诉讼的方式解决争议。</w:t>
      </w:r>
    </w:p>
    <w:p w14:paraId="3F3AF62F">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19.2 选择仲裁的，应在</w:t>
      </w:r>
      <w:r>
        <w:rPr>
          <w:rFonts w:hint="eastAsia" w:ascii="宋体" w:hAnsi="宋体" w:cs="宋体"/>
          <w:b/>
          <w:bCs/>
          <w:color w:val="auto"/>
          <w:kern w:val="0"/>
          <w:sz w:val="21"/>
          <w:szCs w:val="21"/>
          <w:highlight w:val="none"/>
        </w:rPr>
        <w:t>【政府采购合同专用条款】</w:t>
      </w:r>
      <w:r>
        <w:rPr>
          <w:rFonts w:hint="eastAsia" w:ascii="宋体" w:hAnsi="宋体" w:cs="宋体"/>
          <w:color w:val="auto"/>
          <w:kern w:val="0"/>
          <w:sz w:val="21"/>
          <w:szCs w:val="21"/>
          <w:highlight w:val="none"/>
        </w:rPr>
        <w:t>中明确仲裁机构及仲裁地；通过诉讼方式解决的，可以在</w:t>
      </w:r>
      <w:r>
        <w:rPr>
          <w:rFonts w:hint="eastAsia" w:ascii="宋体" w:hAnsi="宋体" w:cs="宋体"/>
          <w:b/>
          <w:bCs/>
          <w:color w:val="auto"/>
          <w:kern w:val="0"/>
          <w:sz w:val="21"/>
          <w:szCs w:val="21"/>
          <w:highlight w:val="none"/>
        </w:rPr>
        <w:t>【政府采购合同专用条款】</w:t>
      </w:r>
      <w:r>
        <w:rPr>
          <w:rFonts w:hint="eastAsia" w:ascii="宋体" w:hAnsi="宋体" w:cs="宋体"/>
          <w:color w:val="auto"/>
          <w:kern w:val="0"/>
          <w:sz w:val="21"/>
          <w:szCs w:val="21"/>
          <w:highlight w:val="none"/>
        </w:rPr>
        <w:t>中进一步约定选择与争议有实际联系的地点的人民法院管辖，但管辖法院的约定不得违反级别管辖和专属管辖的规定。</w:t>
      </w:r>
    </w:p>
    <w:p w14:paraId="01CF3CB6">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19.3 如甲乙双方有争议的事项不影响合同其他部分的履行，在争议解决期间，合同其他部分应当继续履行。</w:t>
      </w:r>
    </w:p>
    <w:p w14:paraId="18C341E6">
      <w:pPr>
        <w:autoSpaceDE w:val="0"/>
        <w:autoSpaceDN w:val="0"/>
        <w:snapToGrid w:val="0"/>
        <w:spacing w:line="360" w:lineRule="auto"/>
        <w:jc w:val="left"/>
        <w:rPr>
          <w:rFonts w:ascii="宋体" w:hAnsi="宋体"/>
          <w:color w:val="auto"/>
          <w:sz w:val="21"/>
          <w:szCs w:val="21"/>
          <w:highlight w:val="none"/>
        </w:rPr>
      </w:pPr>
      <w:r>
        <w:rPr>
          <w:rFonts w:hint="eastAsia" w:ascii="宋体" w:hAnsi="宋体"/>
          <w:b/>
          <w:color w:val="auto"/>
          <w:sz w:val="21"/>
          <w:szCs w:val="21"/>
          <w:highlight w:val="none"/>
        </w:rPr>
        <w:t>20. 政府采购政策</w:t>
      </w:r>
    </w:p>
    <w:p w14:paraId="690A9CD5">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 xml:space="preserve">20.1 </w:t>
      </w:r>
      <w:r>
        <w:rPr>
          <w:rFonts w:hint="eastAsia" w:ascii="宋体" w:hAnsi="宋体" w:cs="宋体"/>
          <w:color w:val="auto"/>
          <w:sz w:val="21"/>
          <w:szCs w:val="21"/>
          <w:highlight w:val="none"/>
          <w:lang w:val="en-GB"/>
        </w:rPr>
        <w:t>本合同应当按照规定执行政府采购政策。</w:t>
      </w:r>
    </w:p>
    <w:p w14:paraId="5B8C0558">
      <w:pPr>
        <w:autoSpaceDE w:val="0"/>
        <w:autoSpaceDN w:val="0"/>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20.2 本合同依法执行政府采购政策的方式和内容，属于合同履约验收的范围。</w:t>
      </w:r>
      <w:r>
        <w:rPr>
          <w:rFonts w:hint="eastAsia" w:ascii="宋体" w:hAnsi="宋体" w:cs="宋体"/>
          <w:color w:val="auto"/>
          <w:sz w:val="21"/>
          <w:szCs w:val="21"/>
          <w:highlight w:val="none"/>
        </w:rPr>
        <w:t>甲乙双方</w:t>
      </w:r>
      <w:r>
        <w:rPr>
          <w:rFonts w:hint="eastAsia" w:ascii="宋体" w:hAnsi="宋体" w:cs="宋体"/>
          <w:color w:val="auto"/>
          <w:sz w:val="21"/>
          <w:szCs w:val="21"/>
          <w:highlight w:val="none"/>
          <w:lang w:val="en-GB"/>
        </w:rPr>
        <w:t>未按规定要求执行政府采购政策造成损失的</w:t>
      </w:r>
      <w:r>
        <w:rPr>
          <w:rFonts w:hint="eastAsia" w:ascii="宋体" w:hAnsi="宋体"/>
          <w:color w:val="auto"/>
          <w:sz w:val="21"/>
          <w:szCs w:val="21"/>
          <w:highlight w:val="none"/>
        </w:rPr>
        <w:t>，有过错的一方应当承担赔偿责任，双方都有过错的，各自承担相应的责任。</w:t>
      </w:r>
    </w:p>
    <w:p w14:paraId="1526EE55">
      <w:pPr>
        <w:adjustRightInd/>
        <w:spacing w:line="360" w:lineRule="auto"/>
        <w:ind w:firstLine="420" w:firstLineChars="200"/>
        <w:rPr>
          <w:rFonts w:ascii="Calibri" w:hAnsi="Calibri"/>
          <w:color w:val="auto"/>
          <w:sz w:val="21"/>
          <w:szCs w:val="21"/>
          <w:highlight w:val="none"/>
        </w:rPr>
      </w:pPr>
      <w:r>
        <w:rPr>
          <w:rFonts w:hint="eastAsia" w:ascii="宋体" w:hAnsi="宋体"/>
          <w:color w:val="auto"/>
          <w:sz w:val="21"/>
          <w:szCs w:val="21"/>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6776CB52">
      <w:pPr>
        <w:autoSpaceDE w:val="0"/>
        <w:autoSpaceDN w:val="0"/>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21. 法律适用</w:t>
      </w:r>
    </w:p>
    <w:p w14:paraId="1710F4D3">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21.1 本合同的订立、生效、解释、履行及与本合同有关的争议解决，均适用法律、行政法规。</w:t>
      </w:r>
    </w:p>
    <w:p w14:paraId="62C9A7F7">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21.2 本合同条款与法律、行政法规的强制性规定不一致的，双方当事人应按照法律、行政法规的强制性规定修改本合同的相关条款。</w:t>
      </w:r>
    </w:p>
    <w:p w14:paraId="149D136C">
      <w:pPr>
        <w:autoSpaceDE w:val="0"/>
        <w:autoSpaceDN w:val="0"/>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22. 通知</w:t>
      </w:r>
    </w:p>
    <w:p w14:paraId="5E7B6387">
      <w:pPr>
        <w:widowControl/>
        <w:autoSpaceDE w:val="0"/>
        <w:autoSpaceDN w:val="0"/>
        <w:spacing w:line="360" w:lineRule="auto"/>
        <w:ind w:firstLine="420" w:firstLineChars="200"/>
        <w:rPr>
          <w:rFonts w:ascii="宋体" w:hAnsi="宋体" w:cs="宋体"/>
          <w:color w:val="auto"/>
          <w:kern w:val="0"/>
          <w:sz w:val="21"/>
          <w:szCs w:val="21"/>
          <w:highlight w:val="none"/>
        </w:rPr>
      </w:pPr>
      <w:r>
        <w:rPr>
          <w:rFonts w:hint="eastAsia" w:ascii="宋体" w:hAnsi="宋体" w:cs="宋体"/>
          <w:color w:val="auto"/>
          <w:kern w:val="0"/>
          <w:sz w:val="21"/>
          <w:szCs w:val="21"/>
          <w:highlight w:val="none"/>
        </w:rPr>
        <w:t>22.1 本合同任何一方向对方发出的通知、信件、数据电文等，应当发送至本合同第一部分《政府采购合同协议书》所约定的通讯地址、联系人、联系电话或电子邮箱。</w:t>
      </w:r>
    </w:p>
    <w:p w14:paraId="7E97C628">
      <w:pPr>
        <w:widowControl/>
        <w:autoSpaceDE w:val="0"/>
        <w:autoSpaceDN w:val="0"/>
        <w:spacing w:line="360" w:lineRule="auto"/>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 xml:space="preserve">    22.2 一方当事人变更名称、住所、联系人、联系电话或电子邮箱等信息的，应当在变更后3日内及时书面通知对方，对方实际收到变更通知前的送达仍为有效送达。</w:t>
      </w:r>
    </w:p>
    <w:p w14:paraId="3DEEB6FF">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22.3本合同一方给另一方的通知均应采用书面形式，传真或快递送到本合同中规定的对方的地址和办理签收手续。</w:t>
      </w:r>
    </w:p>
    <w:p w14:paraId="2D77F829">
      <w:pPr>
        <w:snapToGrid w:val="0"/>
        <w:spacing w:line="360" w:lineRule="auto"/>
        <w:ind w:firstLine="420" w:firstLineChars="200"/>
        <w:jc w:val="left"/>
        <w:rPr>
          <w:rFonts w:ascii="宋体" w:hAnsi="宋体"/>
          <w:color w:val="auto"/>
          <w:sz w:val="21"/>
          <w:szCs w:val="21"/>
          <w:highlight w:val="none"/>
        </w:rPr>
      </w:pPr>
      <w:r>
        <w:rPr>
          <w:rFonts w:hint="eastAsia" w:ascii="宋体" w:hAnsi="宋体"/>
          <w:color w:val="auto"/>
          <w:sz w:val="21"/>
          <w:szCs w:val="21"/>
          <w:highlight w:val="none"/>
        </w:rPr>
        <w:t>22.4通知以送达之日或通知书中规定的生效之日起生效，两者中以较迟之日为准。</w:t>
      </w:r>
    </w:p>
    <w:p w14:paraId="18C378FB">
      <w:pPr>
        <w:autoSpaceDE w:val="0"/>
        <w:autoSpaceDN w:val="0"/>
        <w:snapToGrid w:val="0"/>
        <w:spacing w:line="360" w:lineRule="auto"/>
        <w:jc w:val="left"/>
        <w:rPr>
          <w:rFonts w:ascii="宋体" w:hAnsi="宋体"/>
          <w:b/>
          <w:color w:val="auto"/>
          <w:sz w:val="21"/>
          <w:szCs w:val="21"/>
          <w:highlight w:val="none"/>
        </w:rPr>
      </w:pPr>
      <w:r>
        <w:rPr>
          <w:rFonts w:hint="eastAsia" w:ascii="宋体" w:hAnsi="宋体"/>
          <w:b/>
          <w:color w:val="auto"/>
          <w:sz w:val="21"/>
          <w:szCs w:val="21"/>
          <w:highlight w:val="none"/>
        </w:rPr>
        <w:t>23. 合同未尽事项</w:t>
      </w:r>
    </w:p>
    <w:p w14:paraId="31906BB4">
      <w:pPr>
        <w:snapToGrid w:val="0"/>
        <w:spacing w:line="360" w:lineRule="auto"/>
        <w:ind w:firstLine="420" w:firstLineChars="200"/>
        <w:jc w:val="left"/>
        <w:rPr>
          <w:rFonts w:ascii="宋体" w:hAnsi="宋体"/>
          <w:bCs/>
          <w:color w:val="auto"/>
          <w:sz w:val="21"/>
          <w:szCs w:val="21"/>
          <w:highlight w:val="none"/>
        </w:rPr>
      </w:pPr>
      <w:r>
        <w:rPr>
          <w:rFonts w:hint="eastAsia" w:ascii="宋体" w:hAnsi="宋体"/>
          <w:bCs/>
          <w:color w:val="auto"/>
          <w:sz w:val="21"/>
          <w:szCs w:val="21"/>
          <w:highlight w:val="none"/>
        </w:rPr>
        <w:t>23.1合同未尽事项见</w:t>
      </w:r>
      <w:r>
        <w:rPr>
          <w:rFonts w:hint="eastAsia" w:ascii="宋体" w:hAnsi="宋体"/>
          <w:b/>
          <w:color w:val="auto"/>
          <w:sz w:val="21"/>
          <w:szCs w:val="21"/>
          <w:highlight w:val="none"/>
        </w:rPr>
        <w:t>【政府采购合同专用条款】</w:t>
      </w:r>
      <w:r>
        <w:rPr>
          <w:rFonts w:hint="eastAsia" w:ascii="宋体" w:hAnsi="宋体"/>
          <w:bCs/>
          <w:color w:val="auto"/>
          <w:sz w:val="21"/>
          <w:szCs w:val="21"/>
          <w:highlight w:val="none"/>
        </w:rPr>
        <w:t>。</w:t>
      </w:r>
    </w:p>
    <w:p w14:paraId="19639FC8">
      <w:pPr>
        <w:snapToGrid w:val="0"/>
        <w:spacing w:line="360" w:lineRule="auto"/>
        <w:jc w:val="left"/>
        <w:rPr>
          <w:rFonts w:ascii="黑体" w:hAnsi="华文中宋" w:eastAsia="黑体"/>
          <w:color w:val="auto"/>
          <w:sz w:val="24"/>
          <w:highlight w:val="none"/>
        </w:rPr>
      </w:pPr>
      <w:r>
        <w:rPr>
          <w:rFonts w:hint="eastAsia" w:ascii="宋体" w:hAnsi="宋体"/>
          <w:bCs/>
          <w:color w:val="auto"/>
          <w:sz w:val="21"/>
          <w:szCs w:val="21"/>
          <w:highlight w:val="none"/>
        </w:rPr>
        <w:t xml:space="preserve">    23.2 合同附件与合同正文具有同等的法律效力。</w:t>
      </w:r>
      <w:bookmarkStart w:id="79" w:name="_Toc20313"/>
      <w:r>
        <w:rPr>
          <w:rFonts w:hint="eastAsia" w:ascii="黑体" w:hAnsi="华文中宋" w:eastAsia="黑体"/>
          <w:color w:val="auto"/>
          <w:sz w:val="24"/>
          <w:highlight w:val="none"/>
        </w:rPr>
        <w:br w:type="page"/>
      </w:r>
    </w:p>
    <w:p w14:paraId="4C288B7D">
      <w:pPr>
        <w:keepNext/>
        <w:keepLines/>
        <w:snapToGrid w:val="0"/>
        <w:spacing w:line="360" w:lineRule="auto"/>
        <w:jc w:val="center"/>
        <w:outlineLvl w:val="1"/>
        <w:rPr>
          <w:rFonts w:ascii="黑体" w:hAnsi="华文中宋" w:eastAsia="黑体"/>
          <w:color w:val="auto"/>
          <w:sz w:val="24"/>
          <w:highlight w:val="none"/>
        </w:rPr>
      </w:pPr>
      <w:r>
        <w:rPr>
          <w:rFonts w:hint="eastAsia" w:ascii="黑体" w:hAnsi="华文中宋" w:eastAsia="黑体"/>
          <w:color w:val="auto"/>
          <w:sz w:val="24"/>
          <w:highlight w:val="none"/>
        </w:rPr>
        <w:t>第三节 政府采购合同专用条款</w:t>
      </w:r>
      <w:bookmarkEnd w:id="79"/>
    </w:p>
    <w:tbl>
      <w:tblPr>
        <w:tblStyle w:val="60"/>
        <w:tblW w:w="85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1"/>
      </w:tblGrid>
      <w:tr w14:paraId="03B921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double" w:color="auto" w:sz="4" w:space="0"/>
              <w:left w:val="double" w:color="auto" w:sz="4" w:space="0"/>
              <w:bottom w:val="single" w:color="auto" w:sz="6" w:space="0"/>
              <w:right w:val="single" w:color="auto" w:sz="6" w:space="0"/>
            </w:tcBorders>
            <w:vAlign w:val="center"/>
          </w:tcPr>
          <w:p w14:paraId="5AE236E7">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6BE82C46">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第1.2（6）项</w:t>
            </w:r>
          </w:p>
        </w:tc>
        <w:tc>
          <w:tcPr>
            <w:tcW w:w="1742" w:type="dxa"/>
            <w:tcBorders>
              <w:top w:val="double" w:color="auto" w:sz="4" w:space="0"/>
              <w:left w:val="single" w:color="auto" w:sz="6" w:space="0"/>
              <w:bottom w:val="single" w:color="auto" w:sz="6" w:space="0"/>
              <w:right w:val="single" w:color="auto" w:sz="6" w:space="0"/>
            </w:tcBorders>
            <w:vAlign w:val="center"/>
          </w:tcPr>
          <w:p w14:paraId="20E845AD">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联合体具体要求</w:t>
            </w:r>
          </w:p>
        </w:tc>
        <w:tc>
          <w:tcPr>
            <w:tcW w:w="5171" w:type="dxa"/>
            <w:tcBorders>
              <w:top w:val="double" w:color="auto" w:sz="4" w:space="0"/>
              <w:left w:val="single" w:color="auto" w:sz="6" w:space="0"/>
              <w:bottom w:val="single" w:color="auto" w:sz="6" w:space="0"/>
              <w:right w:val="double" w:color="auto" w:sz="4" w:space="0"/>
            </w:tcBorders>
            <w:vAlign w:val="center"/>
          </w:tcPr>
          <w:p w14:paraId="53E6A5CF">
            <w:pPr>
              <w:snapToGrid w:val="0"/>
              <w:spacing w:line="360" w:lineRule="auto"/>
              <w:jc w:val="left"/>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本项目不接受联合体</w:t>
            </w:r>
            <w:r>
              <w:rPr>
                <w:rFonts w:hint="eastAsia" w:ascii="宋体" w:hAnsi="宋体"/>
                <w:color w:val="auto"/>
                <w:sz w:val="21"/>
                <w:szCs w:val="21"/>
                <w:highlight w:val="none"/>
                <w:lang w:val="en-US" w:eastAsia="zh-CN"/>
              </w:rPr>
              <w:t>竞标</w:t>
            </w:r>
            <w:r>
              <w:rPr>
                <w:rFonts w:hint="default" w:ascii="宋体" w:hAnsi="宋体" w:eastAsia="宋体"/>
                <w:color w:val="auto"/>
                <w:sz w:val="21"/>
                <w:szCs w:val="21"/>
                <w:highlight w:val="none"/>
                <w:lang w:val="en-US" w:eastAsia="zh-CN"/>
              </w:rPr>
              <w:t>，无联合体主体。</w:t>
            </w:r>
          </w:p>
        </w:tc>
      </w:tr>
      <w:tr w14:paraId="2A1458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tcBorders>
              <w:top w:val="single" w:color="auto" w:sz="6" w:space="0"/>
              <w:left w:val="double" w:color="auto" w:sz="4" w:space="0"/>
              <w:bottom w:val="single" w:color="auto" w:sz="6" w:space="0"/>
              <w:right w:val="single" w:color="auto" w:sz="6" w:space="0"/>
            </w:tcBorders>
            <w:vAlign w:val="center"/>
          </w:tcPr>
          <w:p w14:paraId="08C8433A">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FBBF17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第1.2（7）项</w:t>
            </w:r>
          </w:p>
        </w:tc>
        <w:tc>
          <w:tcPr>
            <w:tcW w:w="1742" w:type="dxa"/>
            <w:tcBorders>
              <w:top w:val="single" w:color="auto" w:sz="6" w:space="0"/>
              <w:left w:val="single" w:color="auto" w:sz="6" w:space="0"/>
              <w:bottom w:val="single" w:color="auto" w:sz="6" w:space="0"/>
              <w:right w:val="single" w:color="auto" w:sz="6" w:space="0"/>
            </w:tcBorders>
            <w:vAlign w:val="center"/>
          </w:tcPr>
          <w:p w14:paraId="7ECF655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其他术语解释</w:t>
            </w:r>
          </w:p>
        </w:tc>
        <w:tc>
          <w:tcPr>
            <w:tcW w:w="5171" w:type="dxa"/>
            <w:tcBorders>
              <w:top w:val="single" w:color="auto" w:sz="6" w:space="0"/>
              <w:left w:val="single" w:color="auto" w:sz="6" w:space="0"/>
              <w:bottom w:val="single" w:color="auto" w:sz="6" w:space="0"/>
              <w:right w:val="double" w:color="auto" w:sz="4" w:space="0"/>
            </w:tcBorders>
            <w:vAlign w:val="center"/>
          </w:tcPr>
          <w:p w14:paraId="2870E80E">
            <w:pPr>
              <w:numPr>
                <w:ilvl w:val="0"/>
                <w:numId w:val="0"/>
              </w:numPr>
              <w:snapToGrid w:val="0"/>
              <w:spacing w:line="360" w:lineRule="auto"/>
              <w:jc w:val="left"/>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赛事保障期：指本项目四项赛事全部竞赛举办周期；2.质保期：自项目整体竣工验收合格之日起计算的免费售后质保周期；3.样品一致性：交付成品材质、结构、工艺、参数、性能与投标提交20×20cm核心样品完全一致；4.赛事驻点值守：赛事竞赛全程技术人员在岗待命、实时处置故障。</w:t>
            </w:r>
          </w:p>
        </w:tc>
      </w:tr>
      <w:tr w14:paraId="61043D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1251C65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D2C5B26">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第4.4款</w:t>
            </w:r>
          </w:p>
        </w:tc>
        <w:tc>
          <w:tcPr>
            <w:tcW w:w="1742" w:type="dxa"/>
            <w:tcBorders>
              <w:top w:val="single" w:color="auto" w:sz="6" w:space="0"/>
              <w:left w:val="single" w:color="auto" w:sz="6" w:space="0"/>
              <w:bottom w:val="single" w:color="auto" w:sz="6" w:space="0"/>
              <w:right w:val="single" w:color="auto" w:sz="6" w:space="0"/>
            </w:tcBorders>
            <w:vAlign w:val="center"/>
          </w:tcPr>
          <w:p w14:paraId="27E8351E">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履约验收中甲方提出异议或作出说明的期限</w:t>
            </w:r>
          </w:p>
        </w:tc>
        <w:tc>
          <w:tcPr>
            <w:tcW w:w="5171" w:type="dxa"/>
            <w:tcBorders>
              <w:top w:val="single" w:color="auto" w:sz="6" w:space="0"/>
              <w:left w:val="single" w:color="auto" w:sz="6" w:space="0"/>
              <w:bottom w:val="single" w:color="auto" w:sz="6" w:space="0"/>
              <w:right w:val="double" w:color="auto" w:sz="4" w:space="0"/>
            </w:tcBorders>
            <w:vAlign w:val="center"/>
          </w:tcPr>
          <w:p w14:paraId="43559680">
            <w:pPr>
              <w:numPr>
                <w:ilvl w:val="0"/>
                <w:numId w:val="0"/>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乙方提交验收申请及全套资料后，甲方在7个工作日内完成验收审核、出具验收意见，逾期未提出书面异议的，视为阶段性验收合格，但不免除乙方质保期质量责任。</w:t>
            </w:r>
          </w:p>
        </w:tc>
      </w:tr>
      <w:tr w14:paraId="5F745F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46CE3635">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51CF2A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第4.6款</w:t>
            </w:r>
          </w:p>
        </w:tc>
        <w:tc>
          <w:tcPr>
            <w:tcW w:w="1742" w:type="dxa"/>
            <w:tcBorders>
              <w:top w:val="single" w:color="auto" w:sz="6" w:space="0"/>
              <w:left w:val="single" w:color="auto" w:sz="6" w:space="0"/>
              <w:bottom w:val="single" w:color="auto" w:sz="6" w:space="0"/>
              <w:right w:val="single" w:color="auto" w:sz="6" w:space="0"/>
            </w:tcBorders>
            <w:vAlign w:val="center"/>
          </w:tcPr>
          <w:p w14:paraId="2F2F88A7">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约定甲方承担的其他义务和责任</w:t>
            </w:r>
          </w:p>
        </w:tc>
        <w:tc>
          <w:tcPr>
            <w:tcW w:w="5171" w:type="dxa"/>
            <w:tcBorders>
              <w:top w:val="single" w:color="auto" w:sz="6" w:space="0"/>
              <w:left w:val="single" w:color="auto" w:sz="6" w:space="0"/>
              <w:bottom w:val="single" w:color="auto" w:sz="6" w:space="0"/>
              <w:right w:val="double" w:color="auto" w:sz="4" w:space="0"/>
            </w:tcBorders>
            <w:vAlign w:val="center"/>
          </w:tcPr>
          <w:p w14:paraId="3CC6EE06">
            <w:pPr>
              <w:numPr>
                <w:ilvl w:val="0"/>
                <w:numId w:val="0"/>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1.及时配合乙方完成场地对接、进场施工、验收核对工作；2.按合同约定及财政资金拨付流程按时支付款项；3.及时向乙方告知赛事时间、场地调整等相关信息；4.依法依规开展履约验收、信用评价及资料归档工作。</w:t>
            </w:r>
          </w:p>
        </w:tc>
      </w:tr>
      <w:tr w14:paraId="51D4AE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2856FA2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95BCE8C">
            <w:pPr>
              <w:adjustRightInd/>
              <w:snapToGrid w:val="0"/>
              <w:spacing w:line="360" w:lineRule="auto"/>
              <w:jc w:val="center"/>
              <w:rPr>
                <w:rFonts w:ascii="Calibri" w:hAnsi="Calibri"/>
                <w:color w:val="auto"/>
                <w:sz w:val="21"/>
                <w:szCs w:val="21"/>
                <w:highlight w:val="none"/>
              </w:rPr>
            </w:pPr>
            <w:r>
              <w:rPr>
                <w:rFonts w:hint="eastAsia" w:ascii="宋体" w:hAnsi="宋体"/>
                <w:color w:val="auto"/>
                <w:sz w:val="21"/>
                <w:szCs w:val="21"/>
                <w:highlight w:val="none"/>
              </w:rPr>
              <w:t>第5.4款</w:t>
            </w:r>
          </w:p>
        </w:tc>
        <w:tc>
          <w:tcPr>
            <w:tcW w:w="1742" w:type="dxa"/>
            <w:tcBorders>
              <w:top w:val="single" w:color="auto" w:sz="6" w:space="0"/>
              <w:left w:val="single" w:color="auto" w:sz="6" w:space="0"/>
              <w:bottom w:val="single" w:color="auto" w:sz="6" w:space="0"/>
              <w:right w:val="single" w:color="auto" w:sz="6" w:space="0"/>
            </w:tcBorders>
            <w:vAlign w:val="center"/>
          </w:tcPr>
          <w:p w14:paraId="60139BC9">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约定乙方承担的其他义务和责任</w:t>
            </w:r>
          </w:p>
        </w:tc>
        <w:tc>
          <w:tcPr>
            <w:tcW w:w="5171" w:type="dxa"/>
            <w:tcBorders>
              <w:top w:val="single" w:color="auto" w:sz="6" w:space="0"/>
              <w:left w:val="single" w:color="auto" w:sz="6" w:space="0"/>
              <w:bottom w:val="single" w:color="auto" w:sz="6" w:space="0"/>
              <w:right w:val="double" w:color="auto" w:sz="4" w:space="0"/>
            </w:tcBorders>
            <w:vAlign w:val="center"/>
          </w:tcPr>
          <w:p w14:paraId="36699FC6">
            <w:pPr>
              <w:numPr>
                <w:ilvl w:val="0"/>
                <w:numId w:val="0"/>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1.严格贴合各赛事节点完成供货、安装、调试、试运行，不得延误赛事筹备；2.严格落实样品一致性、检测合规、环保安全、赛事专属保障要求；3.全程配合甲方验收、抽检、归档、培训、台账记录工作；4.履约全程遵守场地安全管理规定，承担全部安全责任；5.严禁转包、分包、挂靠，严禁更换材质、降级参数、替换配件；6.全程落实政府采购绿色、节能、本国产品、中小企业扶持等政策要求；7.赛事期间无条件服从赛事组委会、甲方现场管理调度。</w:t>
            </w:r>
          </w:p>
        </w:tc>
      </w:tr>
      <w:tr w14:paraId="132618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6BEE0D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38107682">
            <w:pPr>
              <w:adjustRightInd/>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第6.1款</w:t>
            </w:r>
          </w:p>
        </w:tc>
        <w:tc>
          <w:tcPr>
            <w:tcW w:w="1742" w:type="dxa"/>
            <w:tcBorders>
              <w:top w:val="single" w:color="auto" w:sz="6" w:space="0"/>
              <w:left w:val="single" w:color="auto" w:sz="6" w:space="0"/>
              <w:bottom w:val="single" w:color="auto" w:sz="6" w:space="0"/>
              <w:right w:val="single" w:color="auto" w:sz="6" w:space="0"/>
            </w:tcBorders>
            <w:vAlign w:val="center"/>
          </w:tcPr>
          <w:p w14:paraId="2752861D">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履行合同义务的顺序</w:t>
            </w:r>
          </w:p>
        </w:tc>
        <w:tc>
          <w:tcPr>
            <w:tcW w:w="5171" w:type="dxa"/>
            <w:tcBorders>
              <w:top w:val="single" w:color="auto" w:sz="6" w:space="0"/>
              <w:left w:val="single" w:color="auto" w:sz="6" w:space="0"/>
              <w:bottom w:val="single" w:color="auto" w:sz="6" w:space="0"/>
              <w:right w:val="double" w:color="auto" w:sz="4" w:space="0"/>
            </w:tcBorders>
            <w:vAlign w:val="center"/>
          </w:tcPr>
          <w:p w14:paraId="048A6E90">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合同生效→预付款支付→乙方分期供货安装调试→赛前试运行→赛事驻点保障→分阶段验收→整体竣工验收→尾款支付→质保期全程售后→质保期满履约终结。</w:t>
            </w:r>
          </w:p>
        </w:tc>
      </w:tr>
      <w:tr w14:paraId="48255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27ECE23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933EEF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第7.1款</w:t>
            </w:r>
          </w:p>
        </w:tc>
        <w:tc>
          <w:tcPr>
            <w:tcW w:w="1742" w:type="dxa"/>
            <w:tcBorders>
              <w:top w:val="single" w:color="auto" w:sz="6" w:space="0"/>
              <w:left w:val="single" w:color="auto" w:sz="6" w:space="0"/>
              <w:bottom w:val="single" w:color="auto" w:sz="6" w:space="0"/>
              <w:right w:val="single" w:color="auto" w:sz="6" w:space="0"/>
            </w:tcBorders>
            <w:vAlign w:val="center"/>
          </w:tcPr>
          <w:p w14:paraId="06C0D23E">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包装特殊要求</w:t>
            </w:r>
          </w:p>
        </w:tc>
        <w:tc>
          <w:tcPr>
            <w:tcW w:w="5171" w:type="dxa"/>
            <w:tcBorders>
              <w:top w:val="single" w:color="auto" w:sz="6" w:space="0"/>
              <w:left w:val="single" w:color="auto" w:sz="6" w:space="0"/>
              <w:bottom w:val="single" w:color="auto" w:sz="6" w:space="0"/>
              <w:right w:val="double" w:color="auto" w:sz="4" w:space="0"/>
            </w:tcBorders>
            <w:vAlign w:val="center"/>
          </w:tcPr>
          <w:p w14:paraId="49316880">
            <w:pPr>
              <w:adjustRightInd/>
              <w:spacing w:line="360" w:lineRule="auto"/>
              <w:rPr>
                <w:rFonts w:ascii="Calibri" w:hAnsi="Calibri"/>
                <w:color w:val="auto"/>
                <w:sz w:val="21"/>
                <w:szCs w:val="21"/>
                <w:highlight w:val="none"/>
              </w:rPr>
            </w:pPr>
            <w:r>
              <w:rPr>
                <w:rFonts w:ascii="Calibri" w:hAnsi="Calibri"/>
                <w:color w:val="auto"/>
                <w:sz w:val="21"/>
                <w:szCs w:val="21"/>
                <w:highlight w:val="none"/>
              </w:rPr>
              <w:t>全部货物采用绿色环保包装、防震防潮耐磨包装，无过度包装，符合政府采购绿色包装标准；包装标注产品名称、规格、材质、厂家、合格标识，确保长途运输无破损、无变形、无受潮，包装费用全部包含在合同总价内。</w:t>
            </w:r>
          </w:p>
        </w:tc>
      </w:tr>
      <w:tr w14:paraId="3FEAAC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tcBorders>
              <w:top w:val="single" w:color="auto" w:sz="6" w:space="0"/>
              <w:left w:val="double" w:color="auto" w:sz="4" w:space="0"/>
              <w:bottom w:val="single" w:color="auto" w:sz="6" w:space="0"/>
              <w:right w:val="single" w:color="auto" w:sz="6" w:space="0"/>
            </w:tcBorders>
            <w:vAlign w:val="center"/>
          </w:tcPr>
          <w:p w14:paraId="109B06E1">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8EEF21A">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第7.2款</w:t>
            </w:r>
          </w:p>
        </w:tc>
        <w:tc>
          <w:tcPr>
            <w:tcW w:w="1742" w:type="dxa"/>
            <w:tcBorders>
              <w:top w:val="single" w:color="auto" w:sz="6" w:space="0"/>
              <w:left w:val="single" w:color="auto" w:sz="6" w:space="0"/>
              <w:bottom w:val="single" w:color="auto" w:sz="6" w:space="0"/>
              <w:right w:val="single" w:color="auto" w:sz="6" w:space="0"/>
            </w:tcBorders>
            <w:vAlign w:val="center"/>
          </w:tcPr>
          <w:p w14:paraId="3E764947">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运输特殊要求</w:t>
            </w:r>
          </w:p>
        </w:tc>
        <w:tc>
          <w:tcPr>
            <w:tcW w:w="5171" w:type="dxa"/>
            <w:tcBorders>
              <w:top w:val="single" w:color="auto" w:sz="6" w:space="0"/>
              <w:left w:val="single" w:color="auto" w:sz="6" w:space="0"/>
              <w:bottom w:val="single" w:color="auto" w:sz="6" w:space="0"/>
              <w:right w:val="double" w:color="auto" w:sz="4" w:space="0"/>
            </w:tcBorders>
            <w:vAlign w:val="center"/>
          </w:tcPr>
          <w:p w14:paraId="13F76977">
            <w:pPr>
              <w:numPr>
                <w:ilvl w:val="0"/>
                <w:numId w:val="0"/>
              </w:numPr>
              <w:adjustRightInd/>
              <w:spacing w:line="360" w:lineRule="auto"/>
              <w:rPr>
                <w:rFonts w:ascii="Calibri" w:hAnsi="Calibri"/>
                <w:color w:val="auto"/>
                <w:sz w:val="21"/>
                <w:szCs w:val="21"/>
                <w:highlight w:val="none"/>
              </w:rPr>
            </w:pPr>
            <w:r>
              <w:rPr>
                <w:rFonts w:ascii="Calibri" w:hAnsi="Calibri"/>
                <w:color w:val="auto"/>
                <w:sz w:val="21"/>
                <w:szCs w:val="21"/>
                <w:highlight w:val="none"/>
              </w:rPr>
              <w:t>乙方负责全程运输、装卸、上楼、就位，运输过程做好防护，杜绝磕碰、破损、受潮、变形；运输、装卸、就位过程产生的一切损耗、安全事故、财产损失由乙方全权承担。</w:t>
            </w:r>
          </w:p>
        </w:tc>
      </w:tr>
      <w:tr w14:paraId="25E6CB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tcBorders>
              <w:top w:val="single" w:color="auto" w:sz="6" w:space="0"/>
              <w:left w:val="double" w:color="auto" w:sz="4" w:space="0"/>
              <w:bottom w:val="single" w:color="auto" w:sz="6" w:space="0"/>
              <w:right w:val="single" w:color="auto" w:sz="6" w:space="0"/>
            </w:tcBorders>
            <w:vAlign w:val="center"/>
          </w:tcPr>
          <w:p w14:paraId="35B1D73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468F9F4">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第7.3款</w:t>
            </w:r>
          </w:p>
        </w:tc>
        <w:tc>
          <w:tcPr>
            <w:tcW w:w="1742" w:type="dxa"/>
            <w:tcBorders>
              <w:top w:val="single" w:color="auto" w:sz="6" w:space="0"/>
              <w:left w:val="single" w:color="auto" w:sz="6" w:space="0"/>
              <w:bottom w:val="single" w:color="auto" w:sz="6" w:space="0"/>
              <w:right w:val="single" w:color="auto" w:sz="6" w:space="0"/>
            </w:tcBorders>
            <w:vAlign w:val="center"/>
          </w:tcPr>
          <w:p w14:paraId="749A8256">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保险要求</w:t>
            </w:r>
          </w:p>
        </w:tc>
        <w:tc>
          <w:tcPr>
            <w:tcW w:w="5171" w:type="dxa"/>
            <w:tcBorders>
              <w:top w:val="single" w:color="auto" w:sz="6" w:space="0"/>
              <w:left w:val="single" w:color="auto" w:sz="6" w:space="0"/>
              <w:bottom w:val="single" w:color="auto" w:sz="6" w:space="0"/>
              <w:right w:val="double" w:color="auto" w:sz="4" w:space="0"/>
            </w:tcBorders>
            <w:vAlign w:val="center"/>
          </w:tcPr>
          <w:p w14:paraId="5DC0BC62">
            <w:pPr>
              <w:adjustRightInd/>
              <w:spacing w:line="360" w:lineRule="auto"/>
              <w:rPr>
                <w:rFonts w:ascii="Calibri" w:hAnsi="Calibri"/>
                <w:color w:val="auto"/>
                <w:sz w:val="21"/>
                <w:szCs w:val="21"/>
                <w:highlight w:val="none"/>
              </w:rPr>
            </w:pPr>
            <w:r>
              <w:rPr>
                <w:rFonts w:ascii="Calibri" w:hAnsi="Calibri"/>
                <w:color w:val="auto"/>
                <w:sz w:val="21"/>
                <w:szCs w:val="21"/>
                <w:highlight w:val="none"/>
              </w:rPr>
              <w:t>乙方自行购买货物运输险、施工现场意外险，履约全过程人身、财产、货物损毁风险由乙方自行承担。</w:t>
            </w:r>
          </w:p>
        </w:tc>
      </w:tr>
      <w:tr w14:paraId="5BCB8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56815E5">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CCF347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第8.2（1）项</w:t>
            </w:r>
          </w:p>
        </w:tc>
        <w:tc>
          <w:tcPr>
            <w:tcW w:w="1742" w:type="dxa"/>
            <w:tcBorders>
              <w:top w:val="single" w:color="auto" w:sz="6" w:space="0"/>
              <w:left w:val="single" w:color="auto" w:sz="6" w:space="0"/>
              <w:bottom w:val="single" w:color="auto" w:sz="6" w:space="0"/>
              <w:right w:val="single" w:color="auto" w:sz="6" w:space="0"/>
            </w:tcBorders>
            <w:vAlign w:val="center"/>
          </w:tcPr>
          <w:p w14:paraId="42772225">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质量保证期</w:t>
            </w:r>
          </w:p>
        </w:tc>
        <w:tc>
          <w:tcPr>
            <w:tcW w:w="5171" w:type="dxa"/>
            <w:tcBorders>
              <w:top w:val="single" w:color="auto" w:sz="6" w:space="0"/>
              <w:left w:val="single" w:color="auto" w:sz="6" w:space="0"/>
              <w:bottom w:val="single" w:color="auto" w:sz="6" w:space="0"/>
              <w:right w:val="double" w:color="auto" w:sz="4" w:space="0"/>
            </w:tcBorders>
            <w:vAlign w:val="center"/>
          </w:tcPr>
          <w:p w14:paraId="3068463D">
            <w:pPr>
              <w:numPr>
                <w:ilvl w:val="0"/>
                <w:numId w:val="0"/>
              </w:numPr>
              <w:autoSpaceDE w:val="0"/>
              <w:autoSpaceDN w:val="0"/>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本项目全部设备整体免费质保期</w:t>
            </w:r>
            <w:r>
              <w:rPr>
                <w:rFonts w:hint="eastAsia" w:ascii="宋体" w:hAnsi="宋体"/>
                <w:color w:val="auto"/>
                <w:sz w:val="21"/>
                <w:szCs w:val="21"/>
                <w:highlight w:val="none"/>
                <w:u w:val="single"/>
                <w:lang w:val="en-US" w:eastAsia="zh-CN"/>
              </w:rPr>
              <w:t xml:space="preserve">       </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不少于1年），</w:t>
            </w:r>
            <w:r>
              <w:rPr>
                <w:rFonts w:ascii="宋体" w:hAnsi="宋体"/>
                <w:color w:val="auto"/>
                <w:sz w:val="21"/>
                <w:szCs w:val="21"/>
                <w:highlight w:val="none"/>
              </w:rPr>
              <w:t>自项目全部赛事结束、整体竣工验收合格之日起正式起算。国家、行业标准、产品规范有更长质保年限的，按就高不就低原则执行；乙方投标承诺更长质保期的，以投标承诺为准。质保期内更换的全新零部件单独质保期</w:t>
            </w:r>
            <w:r>
              <w:rPr>
                <w:rFonts w:hint="eastAsia" w:ascii="宋体" w:hAnsi="宋体"/>
                <w:color w:val="auto"/>
                <w:sz w:val="21"/>
                <w:szCs w:val="21"/>
                <w:highlight w:val="none"/>
                <w:u w:val="single"/>
                <w:lang w:val="en-US" w:eastAsia="zh-CN"/>
              </w:rPr>
              <w:t xml:space="preserve">           （不少于1年）</w:t>
            </w:r>
            <w:r>
              <w:rPr>
                <w:rFonts w:ascii="宋体" w:hAnsi="宋体"/>
                <w:color w:val="auto"/>
                <w:sz w:val="21"/>
                <w:szCs w:val="21"/>
                <w:highlight w:val="none"/>
              </w:rPr>
              <w:t>，设备维修、更换后质保期自动顺延。</w:t>
            </w:r>
          </w:p>
        </w:tc>
      </w:tr>
      <w:tr w14:paraId="265488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AE11DE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67245DA">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第8.2（3）项</w:t>
            </w:r>
          </w:p>
        </w:tc>
        <w:tc>
          <w:tcPr>
            <w:tcW w:w="1742" w:type="dxa"/>
            <w:tcBorders>
              <w:top w:val="single" w:color="auto" w:sz="6" w:space="0"/>
              <w:left w:val="single" w:color="auto" w:sz="6" w:space="0"/>
              <w:bottom w:val="single" w:color="auto" w:sz="6" w:space="0"/>
              <w:right w:val="single" w:color="auto" w:sz="6" w:space="0"/>
            </w:tcBorders>
            <w:vAlign w:val="center"/>
          </w:tcPr>
          <w:p w14:paraId="748F7952">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货物质量缺陷</w:t>
            </w:r>
          </w:p>
          <w:p w14:paraId="39CAC5D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响应时间</w:t>
            </w:r>
          </w:p>
        </w:tc>
        <w:tc>
          <w:tcPr>
            <w:tcW w:w="5171" w:type="dxa"/>
            <w:tcBorders>
              <w:top w:val="single" w:color="auto" w:sz="6" w:space="0"/>
              <w:left w:val="single" w:color="auto" w:sz="6" w:space="0"/>
              <w:bottom w:val="single" w:color="auto" w:sz="6" w:space="0"/>
              <w:right w:val="double" w:color="auto" w:sz="4" w:space="0"/>
            </w:tcBorders>
            <w:vAlign w:val="center"/>
          </w:tcPr>
          <w:p w14:paraId="6E39792B">
            <w:pPr>
              <w:numPr>
                <w:ilvl w:val="0"/>
                <w:numId w:val="0"/>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1.日常质保故障：1小时响应、2小时到场、12小时完成修复；2.赛事期间突发故障：1小时内到场、即刻处置，无法现场修复的，立即提供同等规格、同等性能备用设备，零延迟保障赛事；3.7×24小时售后服务热线全天候值守。</w:t>
            </w:r>
          </w:p>
        </w:tc>
      </w:tr>
      <w:tr w14:paraId="4F2A6A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A471BE8">
            <w:pPr>
              <w:adjustRightInd/>
              <w:snapToGrid w:val="0"/>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第二节</w:t>
            </w:r>
          </w:p>
          <w:p w14:paraId="1CDF8CE0">
            <w:pPr>
              <w:widowControl/>
              <w:autoSpaceDE w:val="0"/>
              <w:autoSpaceDN w:val="0"/>
              <w:spacing w:line="360" w:lineRule="auto"/>
              <w:jc w:val="center"/>
              <w:rPr>
                <w:rFonts w:ascii="华文楷体" w:hAnsi="华文楷体" w:eastAsia="华文楷体" w:cs="华文楷体"/>
                <w:color w:val="auto"/>
                <w:kern w:val="0"/>
                <w:sz w:val="21"/>
                <w:szCs w:val="21"/>
                <w:highlight w:val="none"/>
              </w:rPr>
            </w:pPr>
            <w:r>
              <w:rPr>
                <w:rFonts w:hint="eastAsia" w:ascii="宋体" w:hAnsi="宋体" w:cs="宋体"/>
                <w:color w:val="auto"/>
                <w:kern w:val="0"/>
                <w:sz w:val="21"/>
                <w:szCs w:val="21"/>
                <w:highlight w:val="none"/>
              </w:rPr>
              <w:t>第11.1款</w:t>
            </w:r>
          </w:p>
        </w:tc>
        <w:tc>
          <w:tcPr>
            <w:tcW w:w="1742" w:type="dxa"/>
            <w:tcBorders>
              <w:top w:val="single" w:color="auto" w:sz="6" w:space="0"/>
              <w:left w:val="single" w:color="auto" w:sz="6" w:space="0"/>
              <w:bottom w:val="single" w:color="auto" w:sz="6" w:space="0"/>
              <w:right w:val="single" w:color="auto" w:sz="6" w:space="0"/>
            </w:tcBorders>
            <w:vAlign w:val="center"/>
          </w:tcPr>
          <w:p w14:paraId="0827E007">
            <w:pPr>
              <w:snapToGrid w:val="0"/>
              <w:spacing w:line="360" w:lineRule="auto"/>
              <w:rPr>
                <w:rFonts w:ascii="宋体" w:hAnsi="宋体"/>
                <w:color w:val="auto"/>
                <w:sz w:val="21"/>
                <w:szCs w:val="21"/>
                <w:highlight w:val="none"/>
              </w:rPr>
            </w:pPr>
            <w:r>
              <w:rPr>
                <w:rFonts w:hint="eastAsia" w:ascii="宋体" w:hAnsi="宋体"/>
                <w:color w:val="auto"/>
                <w:sz w:val="21"/>
                <w:szCs w:val="21"/>
                <w:highlight w:val="none"/>
              </w:rPr>
              <w:t>其他应当保密的信息</w:t>
            </w:r>
          </w:p>
        </w:tc>
        <w:tc>
          <w:tcPr>
            <w:tcW w:w="5171" w:type="dxa"/>
            <w:tcBorders>
              <w:top w:val="single" w:color="auto" w:sz="6" w:space="0"/>
              <w:left w:val="single" w:color="auto" w:sz="6" w:space="0"/>
              <w:bottom w:val="single" w:color="auto" w:sz="6" w:space="0"/>
              <w:right w:val="double" w:color="auto" w:sz="4" w:space="0"/>
            </w:tcBorders>
            <w:vAlign w:val="center"/>
          </w:tcPr>
          <w:p w14:paraId="5437EDF6">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甲乙双方对本项目采购参数、赛事保障方案、样品资料、检测数据、合同信息、履约台账等涉密信息负有永久保密义务，不得擅自对外泄露、传播。</w:t>
            </w:r>
          </w:p>
        </w:tc>
      </w:tr>
      <w:tr w14:paraId="10D044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53200B8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22C83E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第12.2款</w:t>
            </w:r>
          </w:p>
        </w:tc>
        <w:tc>
          <w:tcPr>
            <w:tcW w:w="1742" w:type="dxa"/>
            <w:tcBorders>
              <w:top w:val="single" w:color="auto" w:sz="6" w:space="0"/>
              <w:left w:val="single" w:color="auto" w:sz="6" w:space="0"/>
              <w:bottom w:val="single" w:color="auto" w:sz="6" w:space="0"/>
              <w:right w:val="single" w:color="auto" w:sz="6" w:space="0"/>
            </w:tcBorders>
            <w:vAlign w:val="center"/>
          </w:tcPr>
          <w:p w14:paraId="2AB0471C">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合同价款支付时间</w:t>
            </w:r>
          </w:p>
        </w:tc>
        <w:tc>
          <w:tcPr>
            <w:tcW w:w="5171" w:type="dxa"/>
            <w:tcBorders>
              <w:top w:val="single" w:color="auto" w:sz="6" w:space="0"/>
              <w:left w:val="single" w:color="auto" w:sz="6" w:space="0"/>
              <w:bottom w:val="single" w:color="auto" w:sz="6" w:space="0"/>
              <w:right w:val="double" w:color="auto" w:sz="4" w:space="0"/>
            </w:tcBorders>
            <w:vAlign w:val="center"/>
          </w:tcPr>
          <w:p w14:paraId="5C92D05A">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1.预付款：合同生效后5个工作日内，支付合同总金额的50%；2.尾款：全部赛事结束、项目整体竣工验收合格，乙方提交合规发票、全套结算及归档资料后15个工作日内，支付剩余合同尾款；3.付款前提：财政资金拨付到位，因财政流程导致的付款顺延，不视为甲方违约；乙方需提前提供合法有效增值税发票及全套履约资料，否则甲方有权顺延付款。</w:t>
            </w:r>
          </w:p>
        </w:tc>
      </w:tr>
      <w:tr w14:paraId="7F103F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tcBorders>
              <w:top w:val="single" w:color="auto" w:sz="6" w:space="0"/>
              <w:left w:val="double" w:color="auto" w:sz="4" w:space="0"/>
              <w:bottom w:val="single" w:color="auto" w:sz="6" w:space="0"/>
              <w:right w:val="single" w:color="auto" w:sz="6" w:space="0"/>
            </w:tcBorders>
            <w:vAlign w:val="center"/>
          </w:tcPr>
          <w:p w14:paraId="19053E11">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48CD395C">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第13.2款</w:t>
            </w:r>
          </w:p>
        </w:tc>
        <w:tc>
          <w:tcPr>
            <w:tcW w:w="1742" w:type="dxa"/>
            <w:tcBorders>
              <w:top w:val="single" w:color="auto" w:sz="6" w:space="0"/>
              <w:left w:val="single" w:color="auto" w:sz="6" w:space="0"/>
              <w:bottom w:val="single" w:color="auto" w:sz="6" w:space="0"/>
              <w:right w:val="single" w:color="auto" w:sz="6" w:space="0"/>
            </w:tcBorders>
            <w:vAlign w:val="center"/>
          </w:tcPr>
          <w:p w14:paraId="68AF2C10">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履约保证金不予退还的情形</w:t>
            </w:r>
          </w:p>
        </w:tc>
        <w:tc>
          <w:tcPr>
            <w:tcW w:w="5171" w:type="dxa"/>
            <w:tcBorders>
              <w:top w:val="single" w:color="auto" w:sz="6" w:space="0"/>
              <w:left w:val="single" w:color="auto" w:sz="6" w:space="0"/>
              <w:bottom w:val="single" w:color="auto" w:sz="6" w:space="0"/>
              <w:right w:val="double" w:color="auto" w:sz="4" w:space="0"/>
            </w:tcBorders>
            <w:vAlign w:val="center"/>
          </w:tcPr>
          <w:p w14:paraId="642500ED">
            <w:pPr>
              <w:numPr>
                <w:ilvl w:val="0"/>
                <w:numId w:val="0"/>
              </w:numPr>
              <w:snapToGrid w:val="0"/>
              <w:spacing w:line="360" w:lineRule="auto"/>
              <w:jc w:val="left"/>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本项目不要求缴纳履约保证金。</w:t>
            </w:r>
          </w:p>
        </w:tc>
      </w:tr>
      <w:tr w14:paraId="469FCE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665AB23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4B51B73">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第13.3款</w:t>
            </w:r>
          </w:p>
        </w:tc>
        <w:tc>
          <w:tcPr>
            <w:tcW w:w="1742" w:type="dxa"/>
            <w:tcBorders>
              <w:top w:val="single" w:color="auto" w:sz="6" w:space="0"/>
              <w:left w:val="single" w:color="auto" w:sz="6" w:space="0"/>
              <w:bottom w:val="single" w:color="auto" w:sz="6" w:space="0"/>
              <w:right w:val="single" w:color="auto" w:sz="6" w:space="0"/>
            </w:tcBorders>
            <w:vAlign w:val="center"/>
          </w:tcPr>
          <w:p w14:paraId="48E30F2F">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履约保证金退还时间及逾期退还的违约金</w:t>
            </w:r>
          </w:p>
        </w:tc>
        <w:tc>
          <w:tcPr>
            <w:tcW w:w="5171" w:type="dxa"/>
            <w:tcBorders>
              <w:top w:val="single" w:color="auto" w:sz="6" w:space="0"/>
              <w:left w:val="single" w:color="auto" w:sz="6" w:space="0"/>
              <w:bottom w:val="single" w:color="auto" w:sz="6" w:space="0"/>
              <w:right w:val="double" w:color="auto" w:sz="4" w:space="0"/>
            </w:tcBorders>
            <w:vAlign w:val="center"/>
          </w:tcPr>
          <w:p w14:paraId="6E91B5FC">
            <w:pPr>
              <w:numPr>
                <w:ilvl w:val="0"/>
                <w:numId w:val="0"/>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本项目不要求缴纳履约保证金。</w:t>
            </w:r>
          </w:p>
        </w:tc>
      </w:tr>
      <w:tr w14:paraId="3C8D43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1381DBF7">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32463839">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第14.1（3）项</w:t>
            </w:r>
          </w:p>
        </w:tc>
        <w:tc>
          <w:tcPr>
            <w:tcW w:w="1742" w:type="dxa"/>
            <w:tcBorders>
              <w:top w:val="single" w:color="auto" w:sz="6" w:space="0"/>
              <w:left w:val="single" w:color="auto" w:sz="6" w:space="0"/>
              <w:bottom w:val="single" w:color="auto" w:sz="6" w:space="0"/>
              <w:right w:val="single" w:color="auto" w:sz="6" w:space="0"/>
            </w:tcBorders>
            <w:vAlign w:val="center"/>
          </w:tcPr>
          <w:p w14:paraId="3D52FA26">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运行监督、维修期限</w:t>
            </w:r>
          </w:p>
        </w:tc>
        <w:tc>
          <w:tcPr>
            <w:tcW w:w="5171" w:type="dxa"/>
            <w:tcBorders>
              <w:top w:val="single" w:color="auto" w:sz="6" w:space="0"/>
              <w:left w:val="single" w:color="auto" w:sz="6" w:space="0"/>
              <w:bottom w:val="single" w:color="auto" w:sz="6" w:space="0"/>
              <w:right w:val="double" w:color="auto" w:sz="4" w:space="0"/>
            </w:tcBorders>
            <w:vAlign w:val="center"/>
          </w:tcPr>
          <w:p w14:paraId="67F73BA3">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质保期全程提供免费运行监督、巡检校准、故障维修；赛事期间全程运行保障，质保期满后提供终身技术支持、配件优惠供应服务。</w:t>
            </w:r>
          </w:p>
        </w:tc>
      </w:tr>
      <w:tr w14:paraId="53C51E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tcBorders>
              <w:top w:val="single" w:color="auto" w:sz="6" w:space="0"/>
              <w:left w:val="double" w:color="auto" w:sz="4" w:space="0"/>
              <w:bottom w:val="single" w:color="auto" w:sz="6" w:space="0"/>
              <w:right w:val="single" w:color="auto" w:sz="6" w:space="0"/>
            </w:tcBorders>
            <w:vAlign w:val="center"/>
          </w:tcPr>
          <w:p w14:paraId="10146C45">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9F5B2E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第14.1（5）项</w:t>
            </w:r>
          </w:p>
        </w:tc>
        <w:tc>
          <w:tcPr>
            <w:tcW w:w="1742" w:type="dxa"/>
            <w:tcBorders>
              <w:top w:val="single" w:color="auto" w:sz="6" w:space="0"/>
              <w:left w:val="single" w:color="auto" w:sz="6" w:space="0"/>
              <w:bottom w:val="single" w:color="auto" w:sz="6" w:space="0"/>
              <w:right w:val="single" w:color="auto" w:sz="6" w:space="0"/>
            </w:tcBorders>
            <w:vAlign w:val="center"/>
          </w:tcPr>
          <w:p w14:paraId="79F9ADAF">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货物回收的约定</w:t>
            </w:r>
          </w:p>
        </w:tc>
        <w:tc>
          <w:tcPr>
            <w:tcW w:w="5171" w:type="dxa"/>
            <w:tcBorders>
              <w:top w:val="single" w:color="auto" w:sz="6" w:space="0"/>
              <w:left w:val="single" w:color="auto" w:sz="6" w:space="0"/>
              <w:bottom w:val="single" w:color="auto" w:sz="6" w:space="0"/>
              <w:right w:val="double" w:color="auto" w:sz="4" w:space="0"/>
            </w:tcBorders>
            <w:vAlign w:val="center"/>
          </w:tcPr>
          <w:p w14:paraId="23112725">
            <w:p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质保期满、设备达到使用年限后，乙方可有偿回收废旧设备，无条件配合甲方完成设备处置、场地清理工作，杜绝环境污染。</w:t>
            </w:r>
          </w:p>
        </w:tc>
      </w:tr>
      <w:tr w14:paraId="2076E2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37AA5738">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6A46C08E">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第14.1（6）项</w:t>
            </w:r>
          </w:p>
        </w:tc>
        <w:tc>
          <w:tcPr>
            <w:tcW w:w="1742" w:type="dxa"/>
            <w:tcBorders>
              <w:top w:val="single" w:color="auto" w:sz="6" w:space="0"/>
              <w:left w:val="single" w:color="auto" w:sz="6" w:space="0"/>
              <w:bottom w:val="single" w:color="auto" w:sz="6" w:space="0"/>
              <w:right w:val="single" w:color="auto" w:sz="6" w:space="0"/>
            </w:tcBorders>
            <w:vAlign w:val="center"/>
          </w:tcPr>
          <w:p w14:paraId="4796BA71">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乙方提供的其他服务</w:t>
            </w:r>
          </w:p>
        </w:tc>
        <w:tc>
          <w:tcPr>
            <w:tcW w:w="5171" w:type="dxa"/>
            <w:tcBorders>
              <w:top w:val="single" w:color="auto" w:sz="6" w:space="0"/>
              <w:left w:val="single" w:color="auto" w:sz="6" w:space="0"/>
              <w:bottom w:val="single" w:color="auto" w:sz="6" w:space="0"/>
              <w:right w:val="double" w:color="auto" w:sz="4" w:space="0"/>
            </w:tcBorders>
            <w:vAlign w:val="center"/>
          </w:tcPr>
          <w:p w14:paraId="39E30BC6">
            <w:pPr>
              <w:numPr>
                <w:ilvl w:val="0"/>
                <w:numId w:val="0"/>
              </w:numPr>
              <w:snapToGrid w:val="0"/>
              <w:spacing w:line="360" w:lineRule="auto"/>
              <w:ind w:leftChars="0"/>
              <w:jc w:val="left"/>
              <w:rPr>
                <w:rFonts w:ascii="宋体" w:hAnsi="宋体"/>
                <w:color w:val="auto"/>
                <w:sz w:val="21"/>
                <w:szCs w:val="21"/>
                <w:highlight w:val="none"/>
              </w:rPr>
            </w:pPr>
            <w:r>
              <w:rPr>
                <w:rFonts w:ascii="宋体" w:hAnsi="宋体"/>
                <w:color w:val="auto"/>
                <w:sz w:val="21"/>
                <w:szCs w:val="21"/>
                <w:highlight w:val="none"/>
              </w:rPr>
              <w:t>1.赛前专项排查校准、压力测试、试运行服务；2.赛事全程驻点值守保障服务；3.免费人员操作、运维、收纳、故障排查培训服务，提供书面运维手册及培训台账；4.质保期定期巡检、保养、性能校准服务，留存巡检记录；5.配合甲方完成政府采购履约归档、信用评价、抽检复检全部工作。</w:t>
            </w:r>
          </w:p>
        </w:tc>
      </w:tr>
      <w:tr w14:paraId="42E2B2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546436D2">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7BFE352C">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第15.1款</w:t>
            </w:r>
          </w:p>
        </w:tc>
        <w:tc>
          <w:tcPr>
            <w:tcW w:w="1742" w:type="dxa"/>
            <w:tcBorders>
              <w:top w:val="single" w:color="auto" w:sz="6" w:space="0"/>
              <w:left w:val="single" w:color="auto" w:sz="6" w:space="0"/>
              <w:bottom w:val="single" w:color="auto" w:sz="6" w:space="0"/>
              <w:right w:val="single" w:color="auto" w:sz="6" w:space="0"/>
            </w:tcBorders>
            <w:vAlign w:val="center"/>
          </w:tcPr>
          <w:p w14:paraId="2C24FB61">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修理、重作、更换相关具体规定</w:t>
            </w:r>
          </w:p>
        </w:tc>
        <w:tc>
          <w:tcPr>
            <w:tcW w:w="5171" w:type="dxa"/>
            <w:tcBorders>
              <w:top w:val="single" w:color="auto" w:sz="6" w:space="0"/>
              <w:left w:val="single" w:color="auto" w:sz="6" w:space="0"/>
              <w:bottom w:val="single" w:color="auto" w:sz="6" w:space="0"/>
              <w:right w:val="double" w:color="auto" w:sz="4" w:space="0"/>
            </w:tcBorders>
            <w:vAlign w:val="center"/>
          </w:tcPr>
          <w:p w14:paraId="0A1475D6">
            <w:pPr>
              <w:numPr>
                <w:ilvl w:val="0"/>
                <w:numId w:val="0"/>
              </w:numPr>
              <w:snapToGrid w:val="0"/>
              <w:spacing w:line="360" w:lineRule="auto"/>
              <w:jc w:val="left"/>
              <w:rPr>
                <w:rFonts w:ascii="宋体" w:hAnsi="宋体"/>
                <w:color w:val="auto"/>
                <w:sz w:val="21"/>
                <w:szCs w:val="21"/>
                <w:highlight w:val="none"/>
              </w:rPr>
            </w:pPr>
            <w:r>
              <w:rPr>
                <w:rFonts w:ascii="宋体" w:hAnsi="宋体"/>
                <w:color w:val="auto"/>
                <w:sz w:val="21"/>
                <w:szCs w:val="21"/>
                <w:highlight w:val="none"/>
              </w:rPr>
              <w:t>1.货物参数不达标、材质不符、性能缺陷、与样品不一致、检测不合格的，乙方必须无条件免费更换全新合格货物；2.设备轻微故障免费维修、校准，严重缺陷直接整机更换；3.所有整改、更换工作必须在甲方规定时限内完成，逾期未整改的，甲方有权委托第三方整改，费用全部由乙方承担，并追究违约责任；4.整改更换后重新验收，直至100%达标。</w:t>
            </w:r>
          </w:p>
        </w:tc>
      </w:tr>
      <w:tr w14:paraId="4B3F8F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41" w:hRule="atLeast"/>
        </w:trPr>
        <w:tc>
          <w:tcPr>
            <w:tcW w:w="1607" w:type="dxa"/>
            <w:tcBorders>
              <w:top w:val="single" w:color="auto" w:sz="6" w:space="0"/>
              <w:left w:val="double" w:color="auto" w:sz="4" w:space="0"/>
              <w:bottom w:val="single" w:color="auto" w:sz="6" w:space="0"/>
              <w:right w:val="single" w:color="auto" w:sz="6" w:space="0"/>
            </w:tcBorders>
            <w:vAlign w:val="center"/>
          </w:tcPr>
          <w:p w14:paraId="0052402F">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2BE6210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第15.2（2）项</w:t>
            </w:r>
          </w:p>
        </w:tc>
        <w:tc>
          <w:tcPr>
            <w:tcW w:w="1742" w:type="dxa"/>
            <w:tcBorders>
              <w:top w:val="single" w:color="auto" w:sz="6" w:space="0"/>
              <w:left w:val="single" w:color="auto" w:sz="6" w:space="0"/>
              <w:bottom w:val="single" w:color="auto" w:sz="6" w:space="0"/>
              <w:right w:val="single" w:color="auto" w:sz="6" w:space="0"/>
            </w:tcBorders>
            <w:vAlign w:val="center"/>
          </w:tcPr>
          <w:p w14:paraId="31514481">
            <w:pPr>
              <w:snapToGrid w:val="0"/>
              <w:spacing w:line="360" w:lineRule="auto"/>
              <w:jc w:val="left"/>
              <w:rPr>
                <w:rFonts w:ascii="宋体" w:hAnsi="宋体"/>
                <w:color w:val="auto"/>
                <w:sz w:val="21"/>
                <w:szCs w:val="21"/>
                <w:highlight w:val="none"/>
                <w:u w:val="none"/>
              </w:rPr>
            </w:pPr>
            <w:r>
              <w:rPr>
                <w:rFonts w:hint="eastAsia" w:ascii="宋体" w:hAnsi="宋体"/>
                <w:color w:val="auto"/>
                <w:sz w:val="21"/>
                <w:szCs w:val="21"/>
                <w:highlight w:val="none"/>
                <w:u w:val="none"/>
              </w:rPr>
              <w:t>迟延交货赔偿费</w:t>
            </w:r>
          </w:p>
        </w:tc>
        <w:tc>
          <w:tcPr>
            <w:tcW w:w="5171" w:type="dxa"/>
            <w:tcBorders>
              <w:top w:val="single" w:color="auto" w:sz="6" w:space="0"/>
              <w:left w:val="single" w:color="auto" w:sz="6" w:space="0"/>
              <w:bottom w:val="single" w:color="auto" w:sz="6" w:space="0"/>
              <w:right w:val="double" w:color="auto" w:sz="4" w:space="0"/>
            </w:tcBorders>
            <w:vAlign w:val="center"/>
          </w:tcPr>
          <w:p w14:paraId="4753C73A">
            <w:pPr>
              <w:snapToGrid w:val="0"/>
              <w:spacing w:line="360" w:lineRule="auto"/>
              <w:jc w:val="left"/>
              <w:rPr>
                <w:rFonts w:ascii="宋体" w:hAnsi="宋体"/>
                <w:color w:val="auto"/>
                <w:sz w:val="21"/>
                <w:szCs w:val="21"/>
                <w:highlight w:val="none"/>
                <w:u w:val="none"/>
              </w:rPr>
            </w:pPr>
            <w:r>
              <w:rPr>
                <w:rFonts w:ascii="宋体" w:hAnsi="宋体"/>
                <w:color w:val="auto"/>
                <w:sz w:val="21"/>
                <w:szCs w:val="21"/>
                <w:highlight w:val="none"/>
                <w:u w:val="none"/>
              </w:rPr>
              <w:t>乙方未按赛事节点按期完成供货、安装、调试、试运行的，每逾期1日历天，按合同总金额0.5%支付违约金，逾期超过3天，甲方有权单方解除合同、没收履约保证金、追偿全部损失；造成赛事延误、损失的，乙方承担全部赔偿责任。</w:t>
            </w:r>
          </w:p>
        </w:tc>
      </w:tr>
      <w:tr w14:paraId="6EE85F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tcBorders>
              <w:top w:val="single" w:color="auto" w:sz="6" w:space="0"/>
              <w:left w:val="double" w:color="auto" w:sz="4" w:space="0"/>
              <w:bottom w:val="single" w:color="auto" w:sz="6" w:space="0"/>
              <w:right w:val="single" w:color="auto" w:sz="6" w:space="0"/>
            </w:tcBorders>
            <w:vAlign w:val="center"/>
          </w:tcPr>
          <w:p w14:paraId="0B09010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0F42DBD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第15.3款</w:t>
            </w:r>
          </w:p>
        </w:tc>
        <w:tc>
          <w:tcPr>
            <w:tcW w:w="1742" w:type="dxa"/>
            <w:tcBorders>
              <w:top w:val="single" w:color="auto" w:sz="6" w:space="0"/>
              <w:left w:val="single" w:color="auto" w:sz="6" w:space="0"/>
              <w:bottom w:val="single" w:color="auto" w:sz="6" w:space="0"/>
              <w:right w:val="single" w:color="auto" w:sz="6" w:space="0"/>
            </w:tcBorders>
            <w:vAlign w:val="center"/>
          </w:tcPr>
          <w:p w14:paraId="3F03E40F">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逾期付款利息</w:t>
            </w:r>
          </w:p>
        </w:tc>
        <w:tc>
          <w:tcPr>
            <w:tcW w:w="5171" w:type="dxa"/>
            <w:tcBorders>
              <w:top w:val="single" w:color="auto" w:sz="6" w:space="0"/>
              <w:left w:val="single" w:color="auto" w:sz="6" w:space="0"/>
              <w:bottom w:val="single" w:color="auto" w:sz="6" w:space="0"/>
              <w:right w:val="double" w:color="auto" w:sz="4" w:space="0"/>
            </w:tcBorders>
            <w:vAlign w:val="center"/>
          </w:tcPr>
          <w:p w14:paraId="69179765">
            <w:p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甲方无正当理由逾期付款的，按当期应付未付金额，参照全国银行间同业拆借中心LPR计算逾期付款利息。因财政资金拨付流程、乙方资料不全、发票不合规导致的顺延，不计算逾期利息。</w:t>
            </w:r>
          </w:p>
        </w:tc>
      </w:tr>
      <w:tr w14:paraId="38954F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top w:val="single" w:color="auto" w:sz="6" w:space="0"/>
              <w:left w:val="double" w:color="auto" w:sz="4" w:space="0"/>
              <w:bottom w:val="single" w:color="auto" w:sz="2" w:space="0"/>
              <w:right w:val="single" w:color="auto" w:sz="2" w:space="0"/>
            </w:tcBorders>
            <w:vAlign w:val="center"/>
          </w:tcPr>
          <w:p w14:paraId="0D92E9CD">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0CFB09C">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第15.4款</w:t>
            </w:r>
          </w:p>
        </w:tc>
        <w:tc>
          <w:tcPr>
            <w:tcW w:w="1742" w:type="dxa"/>
            <w:tcBorders>
              <w:top w:val="single" w:color="auto" w:sz="6" w:space="0"/>
              <w:left w:val="single" w:color="auto" w:sz="2" w:space="0"/>
              <w:bottom w:val="single" w:color="auto" w:sz="2" w:space="0"/>
              <w:right w:val="single" w:color="auto" w:sz="2" w:space="0"/>
            </w:tcBorders>
            <w:vAlign w:val="center"/>
          </w:tcPr>
          <w:p w14:paraId="495DCAE2">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其他违约责任</w:t>
            </w:r>
          </w:p>
        </w:tc>
        <w:tc>
          <w:tcPr>
            <w:tcW w:w="5171" w:type="dxa"/>
            <w:tcBorders>
              <w:top w:val="single" w:color="auto" w:sz="6" w:space="0"/>
              <w:left w:val="single" w:color="auto" w:sz="2" w:space="0"/>
              <w:bottom w:val="single" w:color="auto" w:sz="2" w:space="0"/>
              <w:right w:val="double" w:color="auto" w:sz="4" w:space="0"/>
            </w:tcBorders>
            <w:vAlign w:val="center"/>
          </w:tcPr>
          <w:p w14:paraId="60738813">
            <w:p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1.样品与成品不一致、参数降级、材质替换、工艺简化的，乙方承担合同总金额20%违约金，无条件退换货；2.赛事保障缺位、驻点无人、故障处置不及时影响赛事的，每次承担合同总金额10%违约金；3.检测报告缺项、造假、参数不符的，直接判定违约，甲方解除合同并上报政府采购监管部门；4.售后拒不履约、整改逾期、巡检缺位的，甲方有权扣除全部质保相关费用，并纳入政府采购不良信用记录；5.乙方违约造成甲方赛事损失、舆情风险、财政损失的，乙方全额赔偿。</w:t>
            </w:r>
          </w:p>
        </w:tc>
      </w:tr>
      <w:tr w14:paraId="2B9B21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left w:val="double" w:color="auto" w:sz="4" w:space="0"/>
              <w:bottom w:val="single" w:color="auto" w:sz="6" w:space="0"/>
              <w:right w:val="single" w:color="auto" w:sz="2" w:space="0"/>
            </w:tcBorders>
            <w:vAlign w:val="center"/>
          </w:tcPr>
          <w:p w14:paraId="28CB3F8B">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18D31AF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第19.2款</w:t>
            </w:r>
          </w:p>
        </w:tc>
        <w:tc>
          <w:tcPr>
            <w:tcW w:w="1742" w:type="dxa"/>
            <w:tcBorders>
              <w:top w:val="single" w:color="auto" w:sz="2" w:space="0"/>
              <w:left w:val="single" w:color="auto" w:sz="2" w:space="0"/>
              <w:bottom w:val="single" w:color="auto" w:sz="6" w:space="0"/>
              <w:right w:val="single" w:color="auto" w:sz="2" w:space="0"/>
            </w:tcBorders>
            <w:vAlign w:val="center"/>
          </w:tcPr>
          <w:p w14:paraId="45B6E7EA">
            <w:p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解决争议的方法</w:t>
            </w:r>
          </w:p>
        </w:tc>
        <w:tc>
          <w:tcPr>
            <w:tcW w:w="5171" w:type="dxa"/>
            <w:tcBorders>
              <w:top w:val="single" w:color="auto" w:sz="2" w:space="0"/>
              <w:left w:val="single" w:color="auto" w:sz="2" w:space="0"/>
              <w:bottom w:val="single" w:color="auto" w:sz="6" w:space="0"/>
              <w:right w:val="double" w:color="auto" w:sz="4" w:space="0"/>
            </w:tcBorders>
            <w:vAlign w:val="center"/>
          </w:tcPr>
          <w:p w14:paraId="1909E777">
            <w:pPr>
              <w:snapToGrid w:val="0"/>
              <w:spacing w:line="360" w:lineRule="auto"/>
              <w:jc w:val="left"/>
              <w:rPr>
                <w:rFonts w:ascii="宋体" w:hAnsi="宋体"/>
                <w:color w:val="auto"/>
                <w:sz w:val="21"/>
                <w:szCs w:val="21"/>
                <w:highlight w:val="none"/>
                <w:u w:val="single"/>
              </w:rPr>
            </w:pPr>
            <w:r>
              <w:rPr>
                <w:rFonts w:ascii="宋体" w:hAnsi="宋体"/>
                <w:color w:val="auto"/>
                <w:sz w:val="21"/>
                <w:szCs w:val="21"/>
                <w:highlight w:val="none"/>
                <w:u w:val="none"/>
              </w:rPr>
              <w:t>双方友好协商解决；协商不成的，依法向</w:t>
            </w:r>
            <w:r>
              <w:rPr>
                <w:rFonts w:hint="eastAsia" w:ascii="宋体" w:hAnsi="宋体"/>
                <w:color w:val="auto"/>
                <w:sz w:val="21"/>
                <w:szCs w:val="21"/>
                <w:highlight w:val="none"/>
                <w:u w:val="none"/>
                <w:lang w:val="en-US" w:eastAsia="zh-CN"/>
              </w:rPr>
              <w:t>甲方</w:t>
            </w:r>
            <w:r>
              <w:rPr>
                <w:rFonts w:ascii="宋体" w:hAnsi="宋体"/>
                <w:color w:val="auto"/>
                <w:sz w:val="21"/>
                <w:szCs w:val="21"/>
                <w:highlight w:val="none"/>
                <w:u w:val="none"/>
              </w:rPr>
              <w:t>所在地人民法院提起诉讼。</w:t>
            </w:r>
          </w:p>
        </w:tc>
      </w:tr>
      <w:tr w14:paraId="425770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tcBorders>
              <w:top w:val="single" w:color="auto" w:sz="6" w:space="0"/>
              <w:left w:val="double" w:color="auto" w:sz="4" w:space="0"/>
              <w:bottom w:val="double" w:color="auto" w:sz="4" w:space="0"/>
              <w:right w:val="single" w:color="auto" w:sz="6" w:space="0"/>
            </w:tcBorders>
            <w:vAlign w:val="center"/>
          </w:tcPr>
          <w:p w14:paraId="10D1B380">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第二节</w:t>
            </w:r>
          </w:p>
          <w:p w14:paraId="5D15B5DF">
            <w:pPr>
              <w:snapToGrid w:val="0"/>
              <w:spacing w:line="360" w:lineRule="auto"/>
              <w:jc w:val="center"/>
              <w:rPr>
                <w:rFonts w:ascii="宋体" w:hAnsi="宋体"/>
                <w:color w:val="auto"/>
                <w:sz w:val="21"/>
                <w:szCs w:val="21"/>
                <w:highlight w:val="none"/>
              </w:rPr>
            </w:pPr>
            <w:r>
              <w:rPr>
                <w:rFonts w:hint="eastAsia" w:ascii="宋体" w:hAnsi="宋体"/>
                <w:color w:val="auto"/>
                <w:sz w:val="21"/>
                <w:szCs w:val="21"/>
                <w:highlight w:val="none"/>
              </w:rPr>
              <w:t>第23.1款</w:t>
            </w:r>
          </w:p>
        </w:tc>
        <w:tc>
          <w:tcPr>
            <w:tcW w:w="1742" w:type="dxa"/>
            <w:tcBorders>
              <w:top w:val="single" w:color="auto" w:sz="6" w:space="0"/>
              <w:left w:val="single" w:color="auto" w:sz="6" w:space="0"/>
              <w:bottom w:val="double" w:color="auto" w:sz="4" w:space="0"/>
              <w:right w:val="single" w:color="auto" w:sz="6" w:space="0"/>
            </w:tcBorders>
            <w:vAlign w:val="center"/>
          </w:tcPr>
          <w:p w14:paraId="149DCEB7">
            <w:pPr>
              <w:snapToGrid w:val="0"/>
              <w:spacing w:line="360" w:lineRule="auto"/>
              <w:jc w:val="left"/>
              <w:rPr>
                <w:rFonts w:ascii="宋体" w:hAnsi="宋体"/>
                <w:color w:val="auto"/>
                <w:sz w:val="21"/>
                <w:szCs w:val="21"/>
                <w:highlight w:val="none"/>
              </w:rPr>
            </w:pPr>
            <w:r>
              <w:rPr>
                <w:rFonts w:hint="eastAsia" w:ascii="宋体" w:hAnsi="宋体"/>
                <w:bCs/>
                <w:color w:val="auto"/>
                <w:sz w:val="21"/>
                <w:szCs w:val="21"/>
                <w:highlight w:val="none"/>
              </w:rPr>
              <w:t>其他专用条款</w:t>
            </w:r>
          </w:p>
        </w:tc>
        <w:tc>
          <w:tcPr>
            <w:tcW w:w="5171" w:type="dxa"/>
            <w:tcBorders>
              <w:top w:val="single" w:color="auto" w:sz="6" w:space="0"/>
              <w:left w:val="single" w:color="auto" w:sz="6" w:space="0"/>
              <w:bottom w:val="double" w:color="auto" w:sz="4" w:space="0"/>
              <w:right w:val="double" w:color="auto" w:sz="4" w:space="0"/>
            </w:tcBorders>
            <w:vAlign w:val="center"/>
          </w:tcPr>
          <w:p w14:paraId="0991C907">
            <w:pPr>
              <w:numPr>
                <w:ilvl w:val="0"/>
                <w:numId w:val="10"/>
              </w:numPr>
              <w:snapToGrid w:val="0"/>
              <w:spacing w:line="360" w:lineRule="auto"/>
              <w:jc w:val="left"/>
              <w:rPr>
                <w:rFonts w:hint="eastAsia" w:ascii="宋体" w:hAnsi="宋体"/>
                <w:color w:val="auto"/>
                <w:sz w:val="21"/>
                <w:szCs w:val="21"/>
                <w:highlight w:val="none"/>
                <w:lang w:eastAsia="zh-CN"/>
              </w:rPr>
            </w:pPr>
            <w:r>
              <w:rPr>
                <w:rFonts w:hint="eastAsia" w:ascii="宋体" w:hAnsi="宋体"/>
                <w:color w:val="auto"/>
                <w:sz w:val="21"/>
                <w:szCs w:val="21"/>
                <w:highlight w:val="none"/>
              </w:rPr>
              <w:t>赛事节点履约硬性约定</w:t>
            </w:r>
            <w:r>
              <w:rPr>
                <w:rFonts w:hint="eastAsia" w:ascii="宋体" w:hAnsi="宋体"/>
                <w:color w:val="auto"/>
                <w:sz w:val="21"/>
                <w:szCs w:val="21"/>
                <w:highlight w:val="none"/>
                <w:lang w:eastAsia="zh-CN"/>
              </w:rPr>
              <w:t>：</w:t>
            </w:r>
          </w:p>
          <w:p w14:paraId="19CBE0EF">
            <w:pPr>
              <w:numPr>
                <w:ilvl w:val="0"/>
                <w:numId w:val="11"/>
              </w:numPr>
              <w:snapToGrid w:val="0"/>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lang w:val="en-US" w:eastAsia="zh-CN"/>
              </w:rPr>
              <w:t>武术套路</w:t>
            </w:r>
            <w:r>
              <w:rPr>
                <w:rFonts w:hint="eastAsia" w:ascii="宋体" w:hAnsi="宋体"/>
                <w:color w:val="auto"/>
                <w:sz w:val="21"/>
                <w:szCs w:val="21"/>
                <w:highlight w:val="none"/>
              </w:rPr>
              <w:t>项目：2026年</w:t>
            </w:r>
            <w:r>
              <w:rPr>
                <w:rFonts w:hint="eastAsia" w:ascii="宋体" w:hAnsi="宋体"/>
                <w:color w:val="auto"/>
                <w:sz w:val="21"/>
                <w:szCs w:val="21"/>
                <w:highlight w:val="none"/>
                <w:lang w:val="en-US" w:eastAsia="zh-CN"/>
              </w:rPr>
              <w:t>11</w:t>
            </w:r>
            <w:r>
              <w:rPr>
                <w:rFonts w:hint="eastAsia" w:ascii="宋体" w:hAnsi="宋体"/>
                <w:color w:val="auto"/>
                <w:sz w:val="21"/>
                <w:szCs w:val="21"/>
                <w:highlight w:val="none"/>
              </w:rPr>
              <w:t>月</w:t>
            </w:r>
            <w:r>
              <w:rPr>
                <w:rFonts w:hint="eastAsia" w:ascii="宋体" w:hAnsi="宋体"/>
                <w:color w:val="auto"/>
                <w:sz w:val="21"/>
                <w:szCs w:val="21"/>
                <w:highlight w:val="none"/>
                <w:lang w:val="en-US" w:eastAsia="zh-CN"/>
              </w:rPr>
              <w:t>30</w:t>
            </w:r>
            <w:r>
              <w:rPr>
                <w:rFonts w:hint="eastAsia" w:ascii="宋体" w:hAnsi="宋体"/>
                <w:color w:val="auto"/>
                <w:sz w:val="21"/>
                <w:szCs w:val="21"/>
                <w:highlight w:val="none"/>
              </w:rPr>
              <w:t>日报到前完成全部交付调试；</w:t>
            </w:r>
          </w:p>
          <w:p w14:paraId="09F6B4D1">
            <w:pPr>
              <w:numPr>
                <w:ilvl w:val="0"/>
                <w:numId w:val="11"/>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武术散打</w:t>
            </w:r>
            <w:r>
              <w:rPr>
                <w:rFonts w:hint="eastAsia" w:ascii="宋体" w:hAnsi="宋体"/>
                <w:color w:val="auto"/>
                <w:sz w:val="21"/>
                <w:szCs w:val="21"/>
                <w:highlight w:val="none"/>
              </w:rPr>
              <w:t>项目：2026年9月</w:t>
            </w:r>
            <w:r>
              <w:rPr>
                <w:rFonts w:hint="eastAsia" w:ascii="宋体" w:hAnsi="宋体"/>
                <w:color w:val="auto"/>
                <w:sz w:val="21"/>
                <w:szCs w:val="21"/>
                <w:highlight w:val="none"/>
                <w:lang w:val="en-US" w:eastAsia="zh-CN"/>
              </w:rPr>
              <w:t>17</w:t>
            </w:r>
            <w:r>
              <w:rPr>
                <w:rFonts w:hint="eastAsia" w:ascii="宋体" w:hAnsi="宋体"/>
                <w:color w:val="auto"/>
                <w:sz w:val="21"/>
                <w:szCs w:val="21"/>
                <w:highlight w:val="none"/>
              </w:rPr>
              <w:t>日报到前完成全部交付调试；</w:t>
            </w:r>
          </w:p>
          <w:p w14:paraId="4AA19FDE">
            <w:pPr>
              <w:numPr>
                <w:ilvl w:val="0"/>
                <w:numId w:val="11"/>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lang w:val="en-US" w:eastAsia="zh-CN"/>
              </w:rPr>
              <w:t>围棋</w:t>
            </w:r>
            <w:r>
              <w:rPr>
                <w:rFonts w:hint="eastAsia" w:ascii="宋体" w:hAnsi="宋体"/>
                <w:color w:val="auto"/>
                <w:sz w:val="21"/>
                <w:szCs w:val="21"/>
                <w:highlight w:val="none"/>
              </w:rPr>
              <w:t>项目：2026年9月</w:t>
            </w:r>
            <w:r>
              <w:rPr>
                <w:rFonts w:hint="eastAsia" w:ascii="宋体" w:hAnsi="宋体"/>
                <w:color w:val="auto"/>
                <w:sz w:val="21"/>
                <w:szCs w:val="21"/>
                <w:highlight w:val="none"/>
                <w:lang w:val="en-US" w:eastAsia="zh-CN"/>
              </w:rPr>
              <w:t>12</w:t>
            </w:r>
            <w:r>
              <w:rPr>
                <w:rFonts w:hint="eastAsia" w:ascii="宋体" w:hAnsi="宋体"/>
                <w:color w:val="auto"/>
                <w:sz w:val="21"/>
                <w:szCs w:val="21"/>
                <w:highlight w:val="none"/>
              </w:rPr>
              <w:t>日报到前完成全部交付调试；</w:t>
            </w:r>
          </w:p>
          <w:p w14:paraId="5404A943">
            <w:pPr>
              <w:numPr>
                <w:ilvl w:val="0"/>
                <w:numId w:val="0"/>
              </w:numPr>
              <w:snapToGrid w:val="0"/>
              <w:spacing w:line="360" w:lineRule="auto"/>
              <w:jc w:val="left"/>
              <w:rPr>
                <w:rFonts w:ascii="宋体" w:hAnsi="宋体"/>
                <w:color w:val="auto"/>
                <w:sz w:val="21"/>
                <w:szCs w:val="21"/>
                <w:highlight w:val="none"/>
              </w:rPr>
            </w:pPr>
            <w:r>
              <w:rPr>
                <w:rFonts w:hint="eastAsia" w:ascii="宋体" w:hAnsi="宋体"/>
                <w:color w:val="auto"/>
                <w:sz w:val="21"/>
                <w:szCs w:val="21"/>
                <w:highlight w:val="none"/>
              </w:rPr>
              <w:t>所有设备交付后必须完成试运行，达到赛事竞赛标准方可投入使用。</w:t>
            </w:r>
          </w:p>
          <w:p w14:paraId="0DC5B90E">
            <w:pPr>
              <w:numPr>
                <w:ilvl w:val="0"/>
                <w:numId w:val="10"/>
              </w:numPr>
              <w:snapToGrid w:val="0"/>
              <w:spacing w:line="360" w:lineRule="auto"/>
              <w:ind w:left="0" w:leftChars="0" w:firstLine="0" w:firstLineChars="0"/>
              <w:jc w:val="left"/>
              <w:rPr>
                <w:rFonts w:hint="eastAsia" w:ascii="宋体" w:hAnsi="宋体"/>
                <w:color w:val="auto"/>
                <w:sz w:val="21"/>
                <w:szCs w:val="21"/>
                <w:highlight w:val="none"/>
                <w:lang w:eastAsia="zh-CN"/>
              </w:rPr>
            </w:pPr>
            <w:r>
              <w:rPr>
                <w:rFonts w:hint="eastAsia" w:ascii="宋体" w:hAnsi="宋体"/>
                <w:color w:val="auto"/>
                <w:sz w:val="21"/>
                <w:szCs w:val="21"/>
                <w:highlight w:val="none"/>
              </w:rPr>
              <w:t>样品与检测硬性约定</w:t>
            </w:r>
            <w:r>
              <w:rPr>
                <w:rFonts w:hint="eastAsia" w:ascii="宋体" w:hAnsi="宋体"/>
                <w:color w:val="auto"/>
                <w:sz w:val="21"/>
                <w:szCs w:val="21"/>
                <w:highlight w:val="none"/>
                <w:lang w:eastAsia="zh-CN"/>
              </w:rPr>
              <w:t>：</w:t>
            </w:r>
          </w:p>
          <w:p w14:paraId="5766606D">
            <w:pPr>
              <w:numPr>
                <w:ilvl w:val="0"/>
                <w:numId w:val="12"/>
              </w:numPr>
              <w:snapToGrid w:val="0"/>
              <w:spacing w:line="360" w:lineRule="auto"/>
              <w:ind w:leftChars="0"/>
              <w:jc w:val="left"/>
              <w:rPr>
                <w:rFonts w:hint="eastAsia" w:ascii="宋体" w:hAnsi="宋体"/>
                <w:color w:val="auto"/>
                <w:sz w:val="21"/>
                <w:szCs w:val="21"/>
                <w:highlight w:val="none"/>
              </w:rPr>
            </w:pPr>
            <w:r>
              <w:rPr>
                <w:rFonts w:hint="eastAsia" w:ascii="宋体" w:hAnsi="宋体"/>
                <w:color w:val="auto"/>
                <w:sz w:val="21"/>
                <w:szCs w:val="21"/>
                <w:highlight w:val="none"/>
              </w:rPr>
              <w:t>投标样品为成品验收唯一参照标准，成品必须完整复刻样品全部层级结构、材质配比、工艺参数；</w:t>
            </w:r>
          </w:p>
          <w:p w14:paraId="76EAEE42">
            <w:pPr>
              <w:numPr>
                <w:ilvl w:val="0"/>
                <w:numId w:val="12"/>
              </w:numPr>
              <w:snapToGrid w:val="0"/>
              <w:spacing w:line="360" w:lineRule="auto"/>
              <w:ind w:left="0" w:leftChars="0"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交货必须提供完整第三方检测报告原件，覆盖全部技术参数、物理性能、冲击指标、环保标准，</w:t>
            </w:r>
            <w:r>
              <w:rPr>
                <w:rFonts w:hint="eastAsia" w:ascii="宋体" w:hAnsi="宋体"/>
                <w:color w:val="auto"/>
                <w:sz w:val="21"/>
                <w:szCs w:val="21"/>
                <w:highlight w:val="none"/>
                <w:lang w:val="en-US" w:eastAsia="zh-CN"/>
              </w:rPr>
              <w:t>符合现行</w:t>
            </w:r>
            <w:r>
              <w:rPr>
                <w:rFonts w:hint="eastAsia" w:ascii="宋体" w:hAnsi="宋体"/>
                <w:color w:val="auto"/>
                <w:sz w:val="21"/>
                <w:szCs w:val="21"/>
                <w:highlight w:val="none"/>
              </w:rPr>
              <w:t>国标</w:t>
            </w:r>
            <w:r>
              <w:rPr>
                <w:rFonts w:hint="eastAsia" w:ascii="宋体" w:hAnsi="宋体"/>
                <w:color w:val="auto"/>
                <w:sz w:val="21"/>
                <w:szCs w:val="21"/>
                <w:highlight w:val="none"/>
                <w:lang w:val="en-US" w:eastAsia="zh-CN"/>
              </w:rPr>
              <w:t>以及专业赛事技术标准要求的合格标准。</w:t>
            </w:r>
          </w:p>
          <w:p w14:paraId="366BE380">
            <w:pPr>
              <w:numPr>
                <w:ilvl w:val="0"/>
                <w:numId w:val="12"/>
              </w:numPr>
              <w:snapToGrid w:val="0"/>
              <w:spacing w:line="360" w:lineRule="auto"/>
              <w:ind w:left="0" w:leftChars="0"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甲方有权随机抽检、复检，检测不合格无条件退换货并追责。</w:t>
            </w:r>
          </w:p>
          <w:p w14:paraId="113000A2">
            <w:pPr>
              <w:numPr>
                <w:ilvl w:val="0"/>
                <w:numId w:val="10"/>
              </w:numPr>
              <w:snapToGrid w:val="0"/>
              <w:spacing w:line="360" w:lineRule="auto"/>
              <w:ind w:left="0" w:leftChars="0"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本国产品与政策落实约定本项目全部货物均为境内生产本国产品，不接受进口产品，严格落实中小企业扶持、绿色环保、节能采购、创新产品优先采购等政府采购政策，政策落实情况纳入履约验收。</w:t>
            </w:r>
          </w:p>
          <w:p w14:paraId="4AAF64DF">
            <w:pPr>
              <w:numPr>
                <w:ilvl w:val="0"/>
                <w:numId w:val="10"/>
              </w:numPr>
              <w:snapToGrid w:val="0"/>
              <w:spacing w:line="360" w:lineRule="auto"/>
              <w:ind w:left="0" w:leftChars="0" w:firstLine="0" w:firstLineChars="0"/>
              <w:jc w:val="left"/>
              <w:rPr>
                <w:rFonts w:hint="eastAsia" w:ascii="宋体" w:hAnsi="宋体"/>
                <w:color w:val="auto"/>
                <w:sz w:val="21"/>
                <w:szCs w:val="21"/>
                <w:highlight w:val="none"/>
              </w:rPr>
            </w:pPr>
            <w:r>
              <w:rPr>
                <w:rFonts w:hint="eastAsia" w:ascii="宋体" w:hAnsi="宋体"/>
                <w:color w:val="auto"/>
                <w:sz w:val="21"/>
                <w:szCs w:val="21"/>
                <w:highlight w:val="none"/>
              </w:rPr>
              <w:t>禁止偏离约定本项目采购需求全部技术、商务、样品、质保、赛事保障条款均为实质性条款，乙方无任何负偏离，全部响应履约，任何偏离均视为无效履约、构成根本性违约。</w:t>
            </w:r>
          </w:p>
          <w:p w14:paraId="660BF43B">
            <w:pPr>
              <w:numPr>
                <w:ilvl w:val="0"/>
                <w:numId w:val="0"/>
              </w:numPr>
              <w:snapToGrid w:val="0"/>
              <w:spacing w:line="360" w:lineRule="auto"/>
              <w:ind w:leftChars="0"/>
              <w:jc w:val="left"/>
              <w:rPr>
                <w:rFonts w:ascii="宋体" w:hAnsi="宋体"/>
                <w:color w:val="auto"/>
                <w:sz w:val="21"/>
                <w:szCs w:val="21"/>
                <w:highlight w:val="none"/>
              </w:rPr>
            </w:pPr>
            <w:r>
              <w:rPr>
                <w:rFonts w:hint="eastAsia" w:ascii="宋体" w:hAnsi="宋体"/>
                <w:color w:val="auto"/>
                <w:sz w:val="21"/>
                <w:szCs w:val="21"/>
                <w:highlight w:val="none"/>
              </w:rPr>
              <w:t>五、资料归档约定乙方须全程配合甲方完成政府采购履约归档，按时提交样品资料、检测报告、验收台账、培训记录、维保台账、质保承诺书等全套资料，资料不全不予验收、不予付款。</w:t>
            </w:r>
          </w:p>
        </w:tc>
      </w:tr>
    </w:tbl>
    <w:p w14:paraId="0B234B2C">
      <w:pPr>
        <w:adjustRightInd/>
        <w:rPr>
          <w:color w:val="auto"/>
          <w:highlight w:val="none"/>
        </w:rPr>
      </w:pPr>
    </w:p>
    <w:p w14:paraId="0E43ED6F">
      <w:pPr>
        <w:snapToGrid w:val="0"/>
        <w:spacing w:line="360" w:lineRule="auto"/>
        <w:jc w:val="center"/>
        <w:outlineLvl w:val="0"/>
        <w:rPr>
          <w:rFonts w:cs="仿宋_GB2312" w:asciiTheme="minorEastAsia" w:hAnsiTheme="minorEastAsia" w:eastAsiaTheme="minorEastAsia"/>
          <w:b/>
          <w:color w:val="auto"/>
          <w:sz w:val="36"/>
          <w:szCs w:val="20"/>
          <w:highlight w:val="none"/>
        </w:rPr>
      </w:pPr>
      <w:bookmarkStart w:id="80" w:name="_Toc26858"/>
      <w:r>
        <w:rPr>
          <w:rFonts w:hint="eastAsia" w:cs="仿宋_GB2312" w:asciiTheme="minorEastAsia" w:hAnsiTheme="minorEastAsia" w:eastAsiaTheme="minorEastAsia"/>
          <w:b/>
          <w:color w:val="auto"/>
          <w:sz w:val="36"/>
          <w:szCs w:val="20"/>
          <w:highlight w:val="none"/>
        </w:rPr>
        <w:t>第七部分</w:t>
      </w:r>
      <w:bookmarkEnd w:id="74"/>
      <w:r>
        <w:rPr>
          <w:rFonts w:hint="eastAsia" w:cs="仿宋_GB2312" w:asciiTheme="minorEastAsia" w:hAnsiTheme="minorEastAsia" w:eastAsiaTheme="minorEastAsia"/>
          <w:b/>
          <w:color w:val="auto"/>
          <w:sz w:val="36"/>
          <w:szCs w:val="20"/>
          <w:highlight w:val="none"/>
        </w:rPr>
        <w:t xml:space="preserve">  </w:t>
      </w:r>
      <w:bookmarkEnd w:id="75"/>
      <w:r>
        <w:rPr>
          <w:rFonts w:hint="eastAsia" w:cs="仿宋_GB2312" w:asciiTheme="minorEastAsia" w:hAnsiTheme="minorEastAsia" w:eastAsiaTheme="minorEastAsia"/>
          <w:b/>
          <w:color w:val="auto"/>
          <w:sz w:val="36"/>
          <w:szCs w:val="20"/>
          <w:highlight w:val="none"/>
        </w:rPr>
        <w:t>应提交的有关格式范例</w:t>
      </w:r>
      <w:bookmarkEnd w:id="80"/>
    </w:p>
    <w:p w14:paraId="430FF4ED">
      <w:pPr>
        <w:spacing w:line="360" w:lineRule="auto"/>
        <w:ind w:firstLine="420" w:firstLineChars="200"/>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供应商按照以下格式编制响应文件。</w:t>
      </w:r>
    </w:p>
    <w:p w14:paraId="5F3668FF">
      <w:pPr>
        <w:spacing w:line="360" w:lineRule="auto"/>
        <w:rPr>
          <w:rFonts w:hint="eastAsia" w:cs="仿宋_GB2312" w:asciiTheme="minorEastAsia" w:hAnsiTheme="minorEastAsia" w:eastAsiaTheme="minorEastAsia"/>
          <w:color w:val="auto"/>
          <w:sz w:val="21"/>
          <w:szCs w:val="21"/>
          <w:highlight w:val="none"/>
        </w:rPr>
      </w:pPr>
    </w:p>
    <w:p w14:paraId="7DF58BB0">
      <w:pPr>
        <w:spacing w:line="360" w:lineRule="auto"/>
        <w:ind w:firstLine="480" w:firstLineChars="200"/>
        <w:rPr>
          <w:rFonts w:cs="仿宋_GB2312" w:asciiTheme="minorEastAsia" w:hAnsiTheme="minorEastAsia" w:eastAsiaTheme="minorEastAsia"/>
          <w:color w:val="auto"/>
          <w:sz w:val="24"/>
          <w:highlight w:val="none"/>
        </w:rPr>
      </w:pPr>
    </w:p>
    <w:p w14:paraId="7719AE6B">
      <w:pPr>
        <w:rPr>
          <w:rFonts w:hint="eastAsia" w:cs="仿宋_GB2312" w:asciiTheme="minorEastAsia" w:hAnsiTheme="minorEastAsia" w:eastAsiaTheme="minorEastAsia"/>
          <w:b/>
          <w:color w:val="auto"/>
          <w:kern w:val="0"/>
          <w:sz w:val="32"/>
          <w:szCs w:val="32"/>
          <w:highlight w:val="none"/>
        </w:rPr>
      </w:pPr>
      <w:r>
        <w:rPr>
          <w:rFonts w:hint="eastAsia" w:cs="仿宋_GB2312" w:asciiTheme="minorEastAsia" w:hAnsiTheme="minorEastAsia" w:eastAsiaTheme="minorEastAsia"/>
          <w:b/>
          <w:color w:val="auto"/>
          <w:kern w:val="0"/>
          <w:sz w:val="32"/>
          <w:szCs w:val="32"/>
          <w:highlight w:val="none"/>
        </w:rPr>
        <w:br w:type="page"/>
      </w:r>
    </w:p>
    <w:p w14:paraId="7EDA7695">
      <w:pPr>
        <w:pStyle w:val="31"/>
        <w:numPr>
          <w:ilvl w:val="0"/>
          <w:numId w:val="13"/>
        </w:numPr>
        <w:spacing w:line="360" w:lineRule="auto"/>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lang w:val="en-US" w:eastAsia="zh-CN"/>
        </w:rPr>
        <w:t>资格文件格式</w:t>
      </w:r>
    </w:p>
    <w:p w14:paraId="79C3DC5C">
      <w:pPr>
        <w:pStyle w:val="31"/>
        <w:numPr>
          <w:ilvl w:val="0"/>
          <w:numId w:val="0"/>
        </w:numPr>
        <w:spacing w:line="360" w:lineRule="auto"/>
        <w:rPr>
          <w:rFonts w:hint="eastAsia" w:cs="宋体" w:asciiTheme="minorEastAsia" w:hAnsiTheme="minorEastAsia" w:eastAsiaTheme="minorEastAsia"/>
          <w:b/>
          <w:bCs/>
          <w:color w:val="auto"/>
          <w:sz w:val="24"/>
          <w:highlight w:val="none"/>
        </w:rPr>
      </w:pPr>
    </w:p>
    <w:p w14:paraId="35478D4C">
      <w:pPr>
        <w:pStyle w:val="31"/>
        <w:numPr>
          <w:ilvl w:val="0"/>
          <w:numId w:val="0"/>
        </w:numPr>
        <w:spacing w:line="360" w:lineRule="auto"/>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lang w:val="en-US" w:eastAsia="zh-CN"/>
        </w:rPr>
        <w:t>1、</w:t>
      </w:r>
      <w:r>
        <w:rPr>
          <w:rFonts w:hint="eastAsia" w:cs="宋体" w:asciiTheme="minorEastAsia" w:hAnsiTheme="minorEastAsia" w:eastAsiaTheme="minorEastAsia"/>
          <w:b/>
          <w:bCs/>
          <w:color w:val="auto"/>
          <w:sz w:val="24"/>
          <w:highlight w:val="none"/>
        </w:rPr>
        <w:t>北海市政府采购供应商信用承诺函</w:t>
      </w:r>
    </w:p>
    <w:p w14:paraId="0C180762">
      <w:pPr>
        <w:pStyle w:val="31"/>
        <w:numPr>
          <w:ilvl w:val="0"/>
          <w:numId w:val="0"/>
        </w:numPr>
        <w:spacing w:line="360" w:lineRule="auto"/>
        <w:rPr>
          <w:rFonts w:hint="eastAsia" w:cs="宋体" w:asciiTheme="minorEastAsia" w:hAnsiTheme="minorEastAsia" w:eastAsiaTheme="minorEastAsia"/>
          <w:color w:val="auto"/>
          <w:sz w:val="24"/>
          <w:highlight w:val="none"/>
          <w:lang w:eastAsia="zh-CN"/>
        </w:rPr>
      </w:pPr>
    </w:p>
    <w:p w14:paraId="6EDB30F9">
      <w:pPr>
        <w:snapToGrid w:val="0"/>
        <w:spacing w:line="360" w:lineRule="auto"/>
        <w:ind w:right="480"/>
        <w:jc w:val="center"/>
        <w:rPr>
          <w:rFonts w:ascii="宋体" w:hAnsi="宋体" w:cs="宋体"/>
          <w:color w:val="auto"/>
          <w:sz w:val="24"/>
          <w:highlight w:val="none"/>
        </w:rPr>
      </w:pPr>
      <w:r>
        <w:rPr>
          <w:rFonts w:hint="eastAsia" w:ascii="宋体" w:hAnsi="宋体" w:cs="宋体"/>
          <w:color w:val="auto"/>
          <w:sz w:val="24"/>
          <w:highlight w:val="none"/>
        </w:rPr>
        <w:t>北海市政府采购供应商信用承诺函（格式）</w:t>
      </w:r>
    </w:p>
    <w:p w14:paraId="058E075F">
      <w:pPr>
        <w:snapToGrid w:val="0"/>
        <w:spacing w:line="360" w:lineRule="auto"/>
        <w:rPr>
          <w:rFonts w:ascii="宋体" w:hAnsi="宋体" w:cs="宋体"/>
          <w:color w:val="auto"/>
          <w:sz w:val="24"/>
          <w:highlight w:val="none"/>
        </w:rPr>
      </w:pPr>
    </w:p>
    <w:p w14:paraId="529949F0">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（采购人）、（采购代理机构） ：</w:t>
      </w:r>
    </w:p>
    <w:p w14:paraId="088275A1">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供应商名称：</w:t>
      </w:r>
    </w:p>
    <w:p w14:paraId="3F9C3CA0">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统一社会信用代码：</w:t>
      </w:r>
    </w:p>
    <w:p w14:paraId="021856EA">
      <w:pPr>
        <w:snapToGrid w:val="0"/>
        <w:spacing w:line="360" w:lineRule="auto"/>
        <w:ind w:right="480"/>
        <w:rPr>
          <w:rFonts w:ascii="宋体" w:hAnsi="宋体" w:cs="宋体"/>
          <w:color w:val="auto"/>
          <w:sz w:val="21"/>
          <w:szCs w:val="21"/>
          <w:highlight w:val="none"/>
        </w:rPr>
      </w:pPr>
      <w:r>
        <w:rPr>
          <w:rFonts w:hint="eastAsia" w:ascii="宋体" w:hAnsi="宋体" w:cs="宋体"/>
          <w:color w:val="auto"/>
          <w:sz w:val="21"/>
          <w:szCs w:val="21"/>
          <w:highlight w:val="none"/>
        </w:rPr>
        <w:t>供应商地址：</w:t>
      </w:r>
    </w:p>
    <w:p w14:paraId="2E2608F3">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4EECC883">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1.我单位具有符合采购文件资格要求独立承担民事责任的能力。</w:t>
      </w:r>
    </w:p>
    <w:p w14:paraId="4B9039B6">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2.我单位具有符合采购文件资格要求的财务状况报告。</w:t>
      </w:r>
    </w:p>
    <w:p w14:paraId="789CF432">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3.我单位具有符合采购文件资格要求的依法缴纳税收和社会保障记录的良好记录。</w:t>
      </w:r>
    </w:p>
    <w:p w14:paraId="5482B2C8">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4.我单位具有符合采购文件资格要求履行合同所必需的设备和专业技术能力。</w:t>
      </w:r>
    </w:p>
    <w:p w14:paraId="6B00F679">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5.参加政府采购活动前三年内，在经营活动中没有重大违法记录。</w:t>
      </w:r>
    </w:p>
    <w:p w14:paraId="35A4772B">
      <w:pPr>
        <w:snapToGrid w:val="0"/>
        <w:spacing w:line="360" w:lineRule="auto"/>
        <w:ind w:right="482" w:firstLine="420" w:firstLineChars="200"/>
        <w:rPr>
          <w:rFonts w:ascii="宋体" w:hAnsi="宋体" w:cs="宋体"/>
          <w:color w:val="auto"/>
          <w:sz w:val="21"/>
          <w:szCs w:val="21"/>
          <w:highlight w:val="none"/>
        </w:rPr>
      </w:pPr>
      <w:r>
        <w:rPr>
          <w:rFonts w:hint="eastAsia" w:ascii="宋体" w:hAnsi="宋体" w:cs="宋体"/>
          <w:color w:val="auto"/>
          <w:sz w:val="21"/>
          <w:szCs w:val="21"/>
          <w:highlight w:val="none"/>
        </w:rPr>
        <w:t>若我单位承诺不实，自愿承担提供虚假材料谋取中标、成交的法律责任。</w:t>
      </w:r>
    </w:p>
    <w:p w14:paraId="58F3F010">
      <w:pPr>
        <w:snapToGrid w:val="0"/>
        <w:spacing w:line="360" w:lineRule="auto"/>
        <w:ind w:right="480"/>
        <w:rPr>
          <w:rFonts w:ascii="宋体" w:hAnsi="宋体" w:cs="宋体"/>
          <w:color w:val="auto"/>
          <w:sz w:val="21"/>
          <w:szCs w:val="21"/>
          <w:highlight w:val="none"/>
        </w:rPr>
      </w:pPr>
    </w:p>
    <w:p w14:paraId="2D14373D">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谈判供应商名称（公章）：</w:t>
      </w:r>
    </w:p>
    <w:p w14:paraId="4580BAEE">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 xml:space="preserve">法定代表人（负责人）或委托代理人(签名)：                          </w:t>
      </w:r>
    </w:p>
    <w:p w14:paraId="303B670B">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 xml:space="preserve">     日期：  年   月   日</w:t>
      </w:r>
    </w:p>
    <w:p w14:paraId="46018E8E">
      <w:pPr>
        <w:pStyle w:val="31"/>
        <w:spacing w:line="360" w:lineRule="auto"/>
        <w:ind w:firstLine="480" w:firstLineChars="200"/>
        <w:rPr>
          <w:rFonts w:hint="eastAsia" w:cs="宋体" w:asciiTheme="minorEastAsia" w:hAnsiTheme="minorEastAsia" w:eastAsiaTheme="minorEastAsia"/>
          <w:color w:val="auto"/>
          <w:sz w:val="24"/>
          <w:highlight w:val="none"/>
        </w:rPr>
      </w:pPr>
    </w:p>
    <w:p w14:paraId="1A619919">
      <w:pPr>
        <w:pStyle w:val="31"/>
        <w:spacing w:line="360" w:lineRule="auto"/>
        <w:ind w:firstLine="480" w:firstLineChars="200"/>
        <w:rPr>
          <w:rFonts w:hint="eastAsia" w:cs="宋体" w:asciiTheme="minorEastAsia" w:hAnsiTheme="minorEastAsia" w:eastAsiaTheme="minorEastAsia"/>
          <w:color w:val="auto"/>
          <w:sz w:val="24"/>
          <w:highlight w:val="none"/>
          <w:lang w:val="en-US" w:eastAsia="zh-CN"/>
        </w:rPr>
      </w:pPr>
    </w:p>
    <w:p w14:paraId="058CB672">
      <w:pPr>
        <w:pStyle w:val="31"/>
        <w:spacing w:line="360" w:lineRule="auto"/>
        <w:ind w:firstLine="480" w:firstLineChars="200"/>
        <w:rPr>
          <w:rFonts w:hint="eastAsia" w:cs="宋体" w:asciiTheme="minorEastAsia" w:hAnsiTheme="minorEastAsia" w:eastAsiaTheme="minorEastAsia"/>
          <w:color w:val="auto"/>
          <w:sz w:val="24"/>
          <w:highlight w:val="none"/>
          <w:lang w:val="en-US" w:eastAsia="zh-CN"/>
        </w:rPr>
      </w:pPr>
    </w:p>
    <w:p w14:paraId="0A2CA116">
      <w:pPr>
        <w:rPr>
          <w:rFonts w:hint="eastAsia" w:cs="宋体" w:asciiTheme="minorEastAsia" w:hAnsiTheme="minorEastAsia" w:eastAsiaTheme="minorEastAsia"/>
          <w:color w:val="auto"/>
          <w:sz w:val="24"/>
          <w:highlight w:val="none"/>
          <w:lang w:val="en-US" w:eastAsia="zh-CN"/>
        </w:rPr>
      </w:pPr>
      <w:r>
        <w:rPr>
          <w:rFonts w:hint="eastAsia" w:cs="宋体" w:asciiTheme="minorEastAsia" w:hAnsiTheme="minorEastAsia" w:eastAsiaTheme="minorEastAsia"/>
          <w:color w:val="auto"/>
          <w:sz w:val="24"/>
          <w:highlight w:val="none"/>
          <w:lang w:val="en-US" w:eastAsia="zh-CN"/>
        </w:rPr>
        <w:br w:type="page"/>
      </w:r>
      <w:r>
        <w:rPr>
          <w:rFonts w:hint="eastAsia" w:cs="宋体" w:asciiTheme="minorEastAsia" w:hAnsiTheme="minorEastAsia" w:eastAsiaTheme="minorEastAsia"/>
          <w:color w:val="auto"/>
          <w:sz w:val="24"/>
          <w:highlight w:val="none"/>
          <w:lang w:val="en-US" w:eastAsia="zh-CN"/>
        </w:rPr>
        <w:t>2、</w:t>
      </w:r>
      <w:r>
        <w:rPr>
          <w:rFonts w:hint="eastAsia" w:cs="宋体" w:asciiTheme="minorEastAsia" w:hAnsiTheme="minorEastAsia" w:eastAsiaTheme="minorEastAsia"/>
          <w:b/>
          <w:bCs/>
          <w:color w:val="auto"/>
          <w:sz w:val="24"/>
          <w:highlight w:val="none"/>
          <w:lang w:val="en-US" w:eastAsia="zh-CN"/>
        </w:rPr>
        <w:t>供应商直接控股股东及出资信息表</w:t>
      </w:r>
    </w:p>
    <w:p w14:paraId="48B22731">
      <w:pPr>
        <w:snapToGrid w:val="0"/>
        <w:spacing w:before="120" w:beforeLines="50" w:after="50"/>
        <w:jc w:val="center"/>
        <w:rPr>
          <w:rFonts w:hint="eastAsia" w:ascii="宋体" w:hAnsi="宋体" w:eastAsia="宋体" w:cs="宋体"/>
          <w:b/>
          <w:color w:val="auto"/>
          <w:sz w:val="32"/>
          <w:szCs w:val="32"/>
          <w:highlight w:val="none"/>
        </w:rPr>
      </w:pPr>
    </w:p>
    <w:p w14:paraId="0544971B">
      <w:pPr>
        <w:snapToGrid w:val="0"/>
        <w:spacing w:before="120" w:beforeLines="50" w:after="5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供应商直接控股、管理关系信息表</w:t>
      </w:r>
    </w:p>
    <w:p w14:paraId="0EE06B79">
      <w:pPr>
        <w:snapToGrid w:val="0"/>
        <w:spacing w:before="120" w:beforeLines="50" w:after="50"/>
        <w:jc w:val="center"/>
        <w:rPr>
          <w:rFonts w:hint="eastAsia" w:ascii="宋体" w:hAnsi="宋体" w:eastAsia="宋体" w:cs="宋体"/>
          <w:b/>
          <w:color w:val="auto"/>
          <w:sz w:val="28"/>
          <w:szCs w:val="28"/>
          <w:highlight w:val="none"/>
        </w:rPr>
      </w:pPr>
    </w:p>
    <w:tbl>
      <w:tblPr>
        <w:tblStyle w:val="60"/>
        <w:tblW w:w="9879" w:type="dxa"/>
        <w:jc w:val="center"/>
        <w:shd w:val="clear" w:color="auto" w:fill="auto"/>
        <w:tblLayout w:type="fixed"/>
        <w:tblCellMar>
          <w:top w:w="0" w:type="dxa"/>
          <w:left w:w="0" w:type="dxa"/>
          <w:bottom w:w="0" w:type="dxa"/>
          <w:right w:w="0" w:type="dxa"/>
        </w:tblCellMar>
      </w:tblPr>
      <w:tblGrid>
        <w:gridCol w:w="856"/>
        <w:gridCol w:w="2585"/>
        <w:gridCol w:w="1417"/>
        <w:gridCol w:w="4175"/>
        <w:gridCol w:w="846"/>
      </w:tblGrid>
      <w:tr w14:paraId="15A60DF2">
        <w:tblPrEx>
          <w:shd w:val="clear" w:color="auto" w:fill="auto"/>
          <w:tblCellMar>
            <w:top w:w="0" w:type="dxa"/>
            <w:left w:w="0" w:type="dxa"/>
            <w:bottom w:w="0" w:type="dxa"/>
            <w:right w:w="0" w:type="dxa"/>
          </w:tblCellMar>
        </w:tblPrEx>
        <w:trPr>
          <w:tblHeade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BA6D27F">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89C4090">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直接控股股东名称</w:t>
            </w: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FD4D128">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出资比例</w:t>
            </w: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D5D198">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身份证号码或者统一社会信用代码</w:t>
            </w: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7B20CF8">
            <w:pPr>
              <w:widowControl/>
              <w:spacing w:line="36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7C30ADDC">
        <w:tblPrEx>
          <w:shd w:val="clear" w:color="auto" w:fill="auto"/>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709F7A">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4E5B533">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9BC2FA">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D7439D6">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8DB5D4">
            <w:pPr>
              <w:widowControl/>
              <w:spacing w:line="360" w:lineRule="auto"/>
              <w:jc w:val="center"/>
              <w:rPr>
                <w:rFonts w:hint="eastAsia" w:ascii="宋体" w:hAnsi="宋体" w:eastAsia="宋体" w:cs="宋体"/>
                <w:color w:val="auto"/>
                <w:kern w:val="0"/>
                <w:sz w:val="28"/>
                <w:szCs w:val="28"/>
                <w:highlight w:val="none"/>
              </w:rPr>
            </w:pPr>
          </w:p>
        </w:tc>
      </w:tr>
      <w:tr w14:paraId="60AE8412">
        <w:tblPrEx>
          <w:shd w:val="clear" w:color="auto" w:fill="auto"/>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6974C1">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9D16D3A">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0856D2">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7DA9318">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155FD46">
            <w:pPr>
              <w:widowControl/>
              <w:spacing w:line="360" w:lineRule="auto"/>
              <w:jc w:val="center"/>
              <w:rPr>
                <w:rFonts w:hint="eastAsia" w:ascii="宋体" w:hAnsi="宋体" w:eastAsia="宋体" w:cs="宋体"/>
                <w:color w:val="auto"/>
                <w:kern w:val="0"/>
                <w:sz w:val="28"/>
                <w:szCs w:val="28"/>
                <w:highlight w:val="none"/>
              </w:rPr>
            </w:pPr>
          </w:p>
        </w:tc>
      </w:tr>
      <w:tr w14:paraId="76B73562">
        <w:tblPrEx>
          <w:shd w:val="clear" w:color="auto" w:fill="auto"/>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634CC00">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FFEB89">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A39D7B">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6ABE8AB">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23308BF">
            <w:pPr>
              <w:widowControl/>
              <w:spacing w:line="360" w:lineRule="auto"/>
              <w:jc w:val="center"/>
              <w:rPr>
                <w:rFonts w:hint="eastAsia" w:ascii="宋体" w:hAnsi="宋体" w:eastAsia="宋体" w:cs="宋体"/>
                <w:color w:val="auto"/>
                <w:kern w:val="0"/>
                <w:sz w:val="28"/>
                <w:szCs w:val="28"/>
                <w:highlight w:val="none"/>
              </w:rPr>
            </w:pPr>
          </w:p>
        </w:tc>
      </w:tr>
      <w:tr w14:paraId="24263105">
        <w:tblPrEx>
          <w:shd w:val="clear" w:color="auto" w:fill="auto"/>
          <w:tblCellMar>
            <w:top w:w="0" w:type="dxa"/>
            <w:left w:w="0" w:type="dxa"/>
            <w:bottom w:w="0" w:type="dxa"/>
            <w:right w:w="0" w:type="dxa"/>
          </w:tblCellMar>
        </w:tblPrEx>
        <w:trPr>
          <w:jc w:val="center"/>
        </w:trPr>
        <w:tc>
          <w:tcPr>
            <w:tcW w:w="85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D08CBF">
            <w:pPr>
              <w:widowControl/>
              <w:spacing w:line="36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258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F87B21">
            <w:pPr>
              <w:widowControl/>
              <w:spacing w:line="360" w:lineRule="auto"/>
              <w:jc w:val="center"/>
              <w:rPr>
                <w:rFonts w:hint="eastAsia" w:ascii="宋体" w:hAnsi="宋体" w:eastAsia="宋体" w:cs="宋体"/>
                <w:color w:val="auto"/>
                <w:kern w:val="0"/>
                <w:sz w:val="21"/>
                <w:szCs w:val="21"/>
                <w:highlight w:val="none"/>
              </w:rPr>
            </w:pPr>
          </w:p>
        </w:tc>
        <w:tc>
          <w:tcPr>
            <w:tcW w:w="141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5F9253">
            <w:pPr>
              <w:widowControl/>
              <w:spacing w:line="360" w:lineRule="auto"/>
              <w:jc w:val="center"/>
              <w:rPr>
                <w:rFonts w:hint="eastAsia" w:ascii="宋体" w:hAnsi="宋体" w:eastAsia="宋体" w:cs="宋体"/>
                <w:color w:val="auto"/>
                <w:kern w:val="0"/>
                <w:sz w:val="28"/>
                <w:szCs w:val="28"/>
                <w:highlight w:val="none"/>
              </w:rPr>
            </w:pPr>
          </w:p>
        </w:tc>
        <w:tc>
          <w:tcPr>
            <w:tcW w:w="417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A3DE351">
            <w:pPr>
              <w:widowControl/>
              <w:spacing w:line="360" w:lineRule="auto"/>
              <w:jc w:val="center"/>
              <w:rPr>
                <w:rFonts w:hint="eastAsia" w:ascii="宋体" w:hAnsi="宋体" w:eastAsia="宋体" w:cs="宋体"/>
                <w:color w:val="auto"/>
                <w:kern w:val="0"/>
                <w:sz w:val="28"/>
                <w:szCs w:val="28"/>
                <w:highlight w:val="none"/>
              </w:rPr>
            </w:pPr>
          </w:p>
        </w:tc>
        <w:tc>
          <w:tcPr>
            <w:tcW w:w="84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68A0CB1">
            <w:pPr>
              <w:widowControl/>
              <w:spacing w:line="360" w:lineRule="auto"/>
              <w:jc w:val="center"/>
              <w:rPr>
                <w:rFonts w:hint="eastAsia" w:ascii="宋体" w:hAnsi="宋体" w:eastAsia="宋体" w:cs="宋体"/>
                <w:color w:val="auto"/>
                <w:kern w:val="0"/>
                <w:sz w:val="28"/>
                <w:szCs w:val="28"/>
                <w:highlight w:val="none"/>
              </w:rPr>
            </w:pPr>
          </w:p>
        </w:tc>
      </w:tr>
    </w:tbl>
    <w:p w14:paraId="5D42DAB7">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6FD6ECEE">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16F05D">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2.本表所指的控股关系仅限于直接控股关系，不包括间接的控股关系。公司实际控制人与公司之间的关系不属于本表所指的直接控股关系。</w:t>
      </w:r>
    </w:p>
    <w:p w14:paraId="2391BC8C">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3.供应商不存在直接控股股东的，则填“无”。</w:t>
      </w:r>
    </w:p>
    <w:p w14:paraId="5A639C3F">
      <w:pPr>
        <w:spacing w:line="360" w:lineRule="auto"/>
        <w:ind w:firstLine="420" w:firstLineChars="200"/>
        <w:contextualSpacing/>
        <w:jc w:val="left"/>
        <w:rPr>
          <w:rFonts w:hint="eastAsia" w:ascii="宋体" w:hAnsi="宋体" w:eastAsia="宋体" w:cs="宋体"/>
          <w:color w:val="auto"/>
          <w:szCs w:val="21"/>
          <w:highlight w:val="none"/>
        </w:rPr>
      </w:pPr>
    </w:p>
    <w:p w14:paraId="349C4AAD">
      <w:pPr>
        <w:spacing w:line="360" w:lineRule="auto"/>
        <w:ind w:firstLine="560" w:firstLineChars="200"/>
        <w:contextualSpacing/>
        <w:jc w:val="left"/>
        <w:rPr>
          <w:rFonts w:hint="eastAsia" w:ascii="宋体" w:hAnsi="宋体" w:eastAsia="宋体" w:cs="宋体"/>
          <w:color w:val="auto"/>
          <w:sz w:val="28"/>
          <w:szCs w:val="28"/>
          <w:highlight w:val="none"/>
        </w:rPr>
      </w:pPr>
    </w:p>
    <w:p w14:paraId="35A18587">
      <w:pPr>
        <w:spacing w:line="360" w:lineRule="auto"/>
        <w:ind w:firstLine="3600" w:firstLineChars="1500"/>
        <w:rPr>
          <w:rFonts w:hint="eastAsia" w:ascii="宋体" w:hAnsi="宋体" w:eastAsia="宋体" w:cs="宋体"/>
          <w:color w:val="auto"/>
          <w:sz w:val="21"/>
          <w:szCs w:val="21"/>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1"/>
          <w:szCs w:val="21"/>
          <w:highlight w:val="none"/>
        </w:rPr>
        <w:t>谈判供应商名称（公章）：</w:t>
      </w:r>
    </w:p>
    <w:p w14:paraId="0138FA8E">
      <w:pPr>
        <w:spacing w:line="360" w:lineRule="auto"/>
        <w:ind w:right="480" w:firstLine="2625" w:firstLineChars="1250"/>
        <w:contextualSpacing/>
        <w:rPr>
          <w:rFonts w:hint="eastAsia" w:ascii="宋体" w:hAnsi="宋体" w:eastAsia="宋体" w:cs="宋体"/>
          <w:color w:val="auto"/>
          <w:sz w:val="24"/>
          <w:highlight w:val="none"/>
          <w:u w:val="single"/>
        </w:rPr>
      </w:pPr>
      <w:r>
        <w:rPr>
          <w:rFonts w:hint="eastAsia" w:ascii="宋体" w:hAnsi="宋体" w:eastAsia="宋体" w:cs="宋体"/>
          <w:color w:val="auto"/>
          <w:sz w:val="21"/>
          <w:szCs w:val="21"/>
          <w:highlight w:val="none"/>
        </w:rPr>
        <w:t>法定代表人（负责人）或委托代理人(签名)：</w:t>
      </w:r>
    </w:p>
    <w:p w14:paraId="79AC69D2">
      <w:pPr>
        <w:spacing w:line="360" w:lineRule="auto"/>
        <w:ind w:right="480" w:firstLine="4620" w:firstLineChars="2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76DA15EA">
      <w:pPr>
        <w:snapToGrid w:val="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5B258E62">
      <w:pPr>
        <w:snapToGrid w:val="0"/>
        <w:jc w:val="left"/>
        <w:rPr>
          <w:rFonts w:hint="eastAsia" w:ascii="宋体" w:hAnsi="宋体" w:eastAsia="宋体" w:cs="宋体"/>
          <w:b/>
          <w:bCs/>
          <w:color w:val="auto"/>
          <w:sz w:val="32"/>
          <w:szCs w:val="32"/>
          <w:highlight w:val="none"/>
        </w:rPr>
      </w:pPr>
      <w:r>
        <w:rPr>
          <w:rFonts w:hint="eastAsia" w:cs="宋体" w:asciiTheme="minorEastAsia" w:hAnsiTheme="minorEastAsia" w:eastAsiaTheme="minorEastAsia"/>
          <w:b/>
          <w:bCs/>
          <w:color w:val="auto"/>
          <w:sz w:val="24"/>
          <w:highlight w:val="none"/>
          <w:lang w:val="en-US" w:eastAsia="zh-CN"/>
        </w:rPr>
        <w:t>3、供应商直接管理关系信息表</w:t>
      </w:r>
    </w:p>
    <w:p w14:paraId="0254DE20">
      <w:pPr>
        <w:snapToGrid w:val="0"/>
        <w:jc w:val="center"/>
        <w:rPr>
          <w:rFonts w:hint="eastAsia" w:ascii="宋体" w:hAnsi="宋体" w:eastAsia="宋体" w:cs="宋体"/>
          <w:b/>
          <w:color w:val="auto"/>
          <w:sz w:val="32"/>
          <w:szCs w:val="32"/>
          <w:highlight w:val="none"/>
        </w:rPr>
      </w:pPr>
    </w:p>
    <w:p w14:paraId="51AC70AA">
      <w:pPr>
        <w:snapToGrid w:val="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供应商直接管理关系信息表</w:t>
      </w:r>
    </w:p>
    <w:p w14:paraId="5E03CEAF">
      <w:pPr>
        <w:snapToGrid w:val="0"/>
        <w:jc w:val="center"/>
        <w:rPr>
          <w:rFonts w:hint="eastAsia" w:ascii="宋体" w:hAnsi="宋体" w:eastAsia="宋体" w:cs="宋体"/>
          <w:b/>
          <w:color w:val="auto"/>
          <w:sz w:val="32"/>
          <w:szCs w:val="32"/>
          <w:highlight w:val="none"/>
        </w:rPr>
      </w:pPr>
    </w:p>
    <w:tbl>
      <w:tblPr>
        <w:tblStyle w:val="60"/>
        <w:tblW w:w="9883" w:type="dxa"/>
        <w:jc w:val="center"/>
        <w:shd w:val="clear" w:color="auto" w:fill="auto"/>
        <w:tblLayout w:type="fixed"/>
        <w:tblCellMar>
          <w:top w:w="0" w:type="dxa"/>
          <w:left w:w="0" w:type="dxa"/>
          <w:bottom w:w="0" w:type="dxa"/>
          <w:right w:w="0" w:type="dxa"/>
        </w:tblCellMar>
      </w:tblPr>
      <w:tblGrid>
        <w:gridCol w:w="826"/>
        <w:gridCol w:w="3687"/>
        <w:gridCol w:w="3641"/>
        <w:gridCol w:w="1729"/>
      </w:tblGrid>
      <w:tr w14:paraId="4A314021">
        <w:tblPrEx>
          <w:tblCellMar>
            <w:top w:w="0" w:type="dxa"/>
            <w:left w:w="0" w:type="dxa"/>
            <w:bottom w:w="0" w:type="dxa"/>
            <w:right w:w="0" w:type="dxa"/>
          </w:tblCellMar>
        </w:tblPrEx>
        <w:trPr>
          <w:tblHeade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E4429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2E007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直接管理关系单位名称</w:t>
            </w: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0519E7">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统一社会信用代码</w:t>
            </w: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1E837B">
            <w:pPr>
              <w:widowControl/>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21C444FC">
        <w:tblPrEx>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0ED55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64CC659">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6529362">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A05B378">
            <w:pPr>
              <w:widowControl/>
              <w:wordWrap w:val="0"/>
              <w:spacing w:line="200" w:lineRule="atLeast"/>
              <w:jc w:val="center"/>
              <w:rPr>
                <w:rFonts w:hint="eastAsia" w:ascii="宋体" w:hAnsi="宋体" w:eastAsia="宋体" w:cs="宋体"/>
                <w:color w:val="auto"/>
                <w:kern w:val="0"/>
                <w:sz w:val="21"/>
                <w:szCs w:val="21"/>
                <w:highlight w:val="none"/>
              </w:rPr>
            </w:pPr>
          </w:p>
        </w:tc>
      </w:tr>
      <w:tr w14:paraId="7FF87F35">
        <w:tblPrEx>
          <w:shd w:val="clear" w:color="auto" w:fill="auto"/>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2907A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C1B16AB">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2BB2F4">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F80A87">
            <w:pPr>
              <w:widowControl/>
              <w:wordWrap w:val="0"/>
              <w:spacing w:line="200" w:lineRule="atLeast"/>
              <w:jc w:val="center"/>
              <w:rPr>
                <w:rFonts w:hint="eastAsia" w:ascii="宋体" w:hAnsi="宋体" w:eastAsia="宋体" w:cs="宋体"/>
                <w:color w:val="auto"/>
                <w:kern w:val="0"/>
                <w:sz w:val="21"/>
                <w:szCs w:val="21"/>
                <w:highlight w:val="none"/>
              </w:rPr>
            </w:pPr>
          </w:p>
        </w:tc>
      </w:tr>
      <w:tr w14:paraId="2989D531">
        <w:tblPrEx>
          <w:shd w:val="clear" w:color="auto" w:fill="auto"/>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19800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1369894">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C4DD4E">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A98235">
            <w:pPr>
              <w:widowControl/>
              <w:wordWrap w:val="0"/>
              <w:spacing w:line="200" w:lineRule="atLeast"/>
              <w:jc w:val="center"/>
              <w:rPr>
                <w:rFonts w:hint="eastAsia" w:ascii="宋体" w:hAnsi="宋体" w:eastAsia="宋体" w:cs="宋体"/>
                <w:color w:val="auto"/>
                <w:kern w:val="0"/>
                <w:sz w:val="21"/>
                <w:szCs w:val="21"/>
                <w:highlight w:val="none"/>
              </w:rPr>
            </w:pPr>
          </w:p>
        </w:tc>
      </w:tr>
      <w:tr w14:paraId="44B624BB">
        <w:tblPrEx>
          <w:tblCellMar>
            <w:top w:w="0" w:type="dxa"/>
            <w:left w:w="0" w:type="dxa"/>
            <w:bottom w:w="0" w:type="dxa"/>
            <w:right w:w="0" w:type="dxa"/>
          </w:tblCellMar>
        </w:tblPrEx>
        <w:trPr>
          <w:jc w:val="center"/>
        </w:trPr>
        <w:tc>
          <w:tcPr>
            <w:tcW w:w="826"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533F60">
            <w:pPr>
              <w:widowControl/>
              <w:wordWrap w:val="0"/>
              <w:spacing w:line="20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36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0057300">
            <w:pPr>
              <w:widowControl/>
              <w:wordWrap w:val="0"/>
              <w:spacing w:line="200" w:lineRule="atLeast"/>
              <w:jc w:val="center"/>
              <w:rPr>
                <w:rFonts w:hint="eastAsia" w:ascii="宋体" w:hAnsi="宋体" w:eastAsia="宋体" w:cs="宋体"/>
                <w:color w:val="auto"/>
                <w:kern w:val="0"/>
                <w:sz w:val="21"/>
                <w:szCs w:val="21"/>
                <w:highlight w:val="none"/>
              </w:rPr>
            </w:pPr>
          </w:p>
        </w:tc>
        <w:tc>
          <w:tcPr>
            <w:tcW w:w="364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B8E894D">
            <w:pPr>
              <w:widowControl/>
              <w:wordWrap w:val="0"/>
              <w:spacing w:line="200" w:lineRule="atLeast"/>
              <w:jc w:val="center"/>
              <w:rPr>
                <w:rFonts w:hint="eastAsia" w:ascii="宋体" w:hAnsi="宋体" w:eastAsia="宋体" w:cs="宋体"/>
                <w:color w:val="auto"/>
                <w:kern w:val="0"/>
                <w:sz w:val="21"/>
                <w:szCs w:val="21"/>
                <w:highlight w:val="none"/>
              </w:rPr>
            </w:pPr>
          </w:p>
        </w:tc>
        <w:tc>
          <w:tcPr>
            <w:tcW w:w="172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561A33">
            <w:pPr>
              <w:widowControl/>
              <w:wordWrap w:val="0"/>
              <w:spacing w:line="200" w:lineRule="atLeast"/>
              <w:jc w:val="center"/>
              <w:rPr>
                <w:rFonts w:hint="eastAsia" w:ascii="宋体" w:hAnsi="宋体" w:eastAsia="宋体" w:cs="宋体"/>
                <w:color w:val="auto"/>
                <w:kern w:val="0"/>
                <w:sz w:val="21"/>
                <w:szCs w:val="21"/>
                <w:highlight w:val="none"/>
              </w:rPr>
            </w:pPr>
          </w:p>
        </w:tc>
      </w:tr>
    </w:tbl>
    <w:p w14:paraId="22C1E557">
      <w:pPr>
        <w:spacing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w:t>
      </w:r>
    </w:p>
    <w:p w14:paraId="6815D910">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1.管理关系：是指不具有出资持股关系的其他单位之间存在的管理与被管理关系，如一些上下级关系的事业单位和团体组织。</w:t>
      </w:r>
    </w:p>
    <w:p w14:paraId="1309B43B">
      <w:pPr>
        <w:spacing w:line="360" w:lineRule="auto"/>
        <w:ind w:firstLine="420" w:firstLineChars="200"/>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pacing w:val="-6"/>
          <w:szCs w:val="21"/>
          <w:highlight w:val="none"/>
        </w:rPr>
        <w:t>本表所指的管理关系仅限于直接管理关系，不包括间接的管理关系。</w:t>
      </w:r>
    </w:p>
    <w:p w14:paraId="2F818023">
      <w:pPr>
        <w:spacing w:line="360" w:lineRule="auto"/>
        <w:ind w:firstLine="420" w:firstLineChars="200"/>
        <w:contextualSpacing/>
        <w:jc w:val="left"/>
        <w:rPr>
          <w:rFonts w:hint="eastAsia" w:ascii="宋体" w:hAnsi="宋体" w:eastAsia="宋体" w:cs="宋体"/>
          <w:color w:val="auto"/>
          <w:sz w:val="28"/>
          <w:szCs w:val="28"/>
          <w:highlight w:val="none"/>
        </w:rPr>
      </w:pPr>
      <w:r>
        <w:rPr>
          <w:rFonts w:hint="eastAsia" w:ascii="宋体" w:hAnsi="宋体" w:eastAsia="宋体" w:cs="宋体"/>
          <w:color w:val="auto"/>
          <w:szCs w:val="21"/>
          <w:highlight w:val="none"/>
        </w:rPr>
        <w:t>3.供应商不存在直接管理关系的，则填“无”。</w:t>
      </w:r>
    </w:p>
    <w:p w14:paraId="4316D371">
      <w:pPr>
        <w:spacing w:line="360" w:lineRule="auto"/>
        <w:contextualSpacing/>
        <w:jc w:val="left"/>
        <w:rPr>
          <w:rFonts w:hint="eastAsia" w:ascii="宋体" w:hAnsi="宋体" w:eastAsia="宋体" w:cs="宋体"/>
          <w:color w:val="auto"/>
          <w:sz w:val="28"/>
          <w:szCs w:val="28"/>
          <w:highlight w:val="none"/>
        </w:rPr>
      </w:pPr>
    </w:p>
    <w:p w14:paraId="5570780C">
      <w:pPr>
        <w:spacing w:line="360" w:lineRule="auto"/>
        <w:contextualSpacing/>
        <w:jc w:val="left"/>
        <w:rPr>
          <w:rFonts w:hint="eastAsia" w:ascii="宋体" w:hAnsi="宋体" w:eastAsia="宋体" w:cs="宋体"/>
          <w:color w:val="auto"/>
          <w:sz w:val="28"/>
          <w:szCs w:val="28"/>
          <w:highlight w:val="none"/>
        </w:rPr>
      </w:pPr>
    </w:p>
    <w:p w14:paraId="0863AD0E">
      <w:pPr>
        <w:spacing w:line="360" w:lineRule="auto"/>
        <w:contextualSpacing/>
        <w:jc w:val="left"/>
        <w:rPr>
          <w:rFonts w:hint="eastAsia" w:ascii="宋体" w:hAnsi="宋体" w:eastAsia="宋体" w:cs="宋体"/>
          <w:color w:val="auto"/>
          <w:sz w:val="28"/>
          <w:szCs w:val="28"/>
          <w:highlight w:val="none"/>
        </w:rPr>
      </w:pPr>
    </w:p>
    <w:p w14:paraId="093A5C2D">
      <w:pPr>
        <w:spacing w:line="360" w:lineRule="auto"/>
        <w:contextualSpacing/>
        <w:jc w:val="left"/>
        <w:rPr>
          <w:rFonts w:hint="eastAsia" w:ascii="宋体" w:hAnsi="宋体" w:eastAsia="宋体" w:cs="宋体"/>
          <w:color w:val="auto"/>
          <w:sz w:val="28"/>
          <w:szCs w:val="28"/>
          <w:highlight w:val="none"/>
        </w:rPr>
      </w:pPr>
    </w:p>
    <w:p w14:paraId="545E6385">
      <w:pPr>
        <w:spacing w:line="360" w:lineRule="auto"/>
        <w:contextualSpacing/>
        <w:jc w:val="left"/>
        <w:rPr>
          <w:rFonts w:hint="eastAsia" w:ascii="宋体" w:hAnsi="宋体" w:eastAsia="宋体" w:cs="宋体"/>
          <w:color w:val="auto"/>
          <w:sz w:val="28"/>
          <w:szCs w:val="28"/>
          <w:highlight w:val="none"/>
        </w:rPr>
      </w:pPr>
    </w:p>
    <w:p w14:paraId="5DF4D453">
      <w:pPr>
        <w:spacing w:line="360" w:lineRule="auto"/>
        <w:contextualSpacing/>
        <w:jc w:val="left"/>
        <w:rPr>
          <w:rFonts w:hint="eastAsia" w:ascii="宋体" w:hAnsi="宋体" w:eastAsia="宋体" w:cs="宋体"/>
          <w:color w:val="auto"/>
          <w:sz w:val="21"/>
          <w:szCs w:val="21"/>
          <w:highlight w:val="none"/>
        </w:rPr>
      </w:pPr>
    </w:p>
    <w:p w14:paraId="266E5C5F">
      <w:pPr>
        <w:spacing w:line="360" w:lineRule="auto"/>
        <w:ind w:firstLine="3150" w:firstLineChars="15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谈判供应商名称（公章）：</w:t>
      </w:r>
    </w:p>
    <w:p w14:paraId="3920D639">
      <w:pPr>
        <w:spacing w:line="360" w:lineRule="auto"/>
        <w:ind w:right="480" w:firstLine="3150" w:firstLineChars="15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法定代表人（负责人）或委托代理人(签名)：</w:t>
      </w:r>
    </w:p>
    <w:p w14:paraId="53A3E7B0">
      <w:pPr>
        <w:spacing w:line="360" w:lineRule="auto"/>
        <w:ind w:right="480" w:firstLine="210" w:firstLineChars="10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7D24CC8C">
      <w:pPr>
        <w:pStyle w:val="31"/>
        <w:spacing w:line="360" w:lineRule="auto"/>
        <w:ind w:firstLine="480" w:firstLineChars="200"/>
        <w:rPr>
          <w:rFonts w:hint="eastAsia" w:cs="宋体" w:asciiTheme="minorEastAsia" w:hAnsiTheme="minorEastAsia" w:eastAsiaTheme="minorEastAsia"/>
          <w:color w:val="auto"/>
          <w:sz w:val="24"/>
          <w:highlight w:val="none"/>
        </w:rPr>
      </w:pPr>
    </w:p>
    <w:p w14:paraId="2D94112C">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6FC21400">
      <w:pPr>
        <w:pStyle w:val="31"/>
        <w:spacing w:line="360" w:lineRule="auto"/>
        <w:jc w:val="left"/>
        <w:rPr>
          <w:rFonts w:hint="eastAsia" w:cs="宋体" w:asciiTheme="minorEastAsia" w:hAnsiTheme="minorEastAsia" w:eastAsiaTheme="minorEastAsia"/>
          <w:b/>
          <w:bCs/>
          <w:color w:val="auto"/>
          <w:sz w:val="24"/>
          <w:highlight w:val="none"/>
          <w:lang w:eastAsia="zh-CN"/>
        </w:rPr>
      </w:pPr>
      <w:r>
        <w:rPr>
          <w:rFonts w:hint="eastAsia" w:cs="宋体" w:asciiTheme="minorEastAsia" w:hAnsiTheme="minorEastAsia" w:eastAsiaTheme="minorEastAsia"/>
          <w:b/>
          <w:bCs/>
          <w:color w:val="auto"/>
          <w:sz w:val="24"/>
          <w:highlight w:val="none"/>
          <w:lang w:val="en-US" w:eastAsia="zh-CN"/>
        </w:rPr>
        <w:t>4、</w:t>
      </w:r>
      <w:r>
        <w:rPr>
          <w:rFonts w:hint="eastAsia" w:cs="宋体" w:asciiTheme="minorEastAsia" w:hAnsiTheme="minorEastAsia" w:eastAsiaTheme="minorEastAsia"/>
          <w:b/>
          <w:bCs/>
          <w:color w:val="auto"/>
          <w:sz w:val="24"/>
          <w:highlight w:val="none"/>
          <w:lang w:eastAsia="zh-CN"/>
        </w:rPr>
        <w:t>落实政府采购政策需满足的资格要求</w:t>
      </w:r>
    </w:p>
    <w:p w14:paraId="4D1229C7">
      <w:pPr>
        <w:spacing w:line="360" w:lineRule="auto"/>
        <w:jc w:val="center"/>
        <w:rPr>
          <w:rFonts w:hint="eastAsia" w:ascii="宋体" w:hAnsi="宋体" w:eastAsia="宋体" w:cs="宋体"/>
          <w:b/>
          <w:color w:val="auto"/>
          <w:sz w:val="32"/>
          <w:szCs w:val="32"/>
          <w:highlight w:val="none"/>
        </w:rPr>
      </w:pPr>
    </w:p>
    <w:p w14:paraId="3BA678D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中小企业声明函（货物）</w:t>
      </w:r>
    </w:p>
    <w:p w14:paraId="3BCBA4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1"/>
          <w:szCs w:val="21"/>
          <w:highlight w:val="none"/>
          <w:u w:val="single"/>
        </w:rPr>
        <w:t xml:space="preserve">（采购人） </w:t>
      </w:r>
      <w:r>
        <w:rPr>
          <w:rFonts w:hint="eastAsia" w:ascii="宋体" w:hAnsi="宋体" w:eastAsia="宋体" w:cs="宋体"/>
          <w:color w:val="auto"/>
          <w:sz w:val="21"/>
          <w:szCs w:val="21"/>
          <w:highlight w:val="none"/>
        </w:rPr>
        <w:t xml:space="preserve">的 </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 xml:space="preserve"> 采购活动，提供的货物全部由符合政策要求的中小企业制造。相关企业（含联合体中的中小企业、签订分包意向协议的中小企业）的具体情况如下：</w:t>
      </w:r>
    </w:p>
    <w:p w14:paraId="2365535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4ADB7F02">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06954AF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0E0339E9">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2B19488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65F6EFD1">
      <w:pPr>
        <w:snapToGrid w:val="0"/>
        <w:spacing w:line="360" w:lineRule="auto"/>
        <w:ind w:firstLine="4515" w:firstLineChars="21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谈判供应商名称(公章)</w:t>
      </w:r>
      <w:r>
        <w:rPr>
          <w:rFonts w:hint="eastAsia" w:ascii="宋体" w:hAnsi="宋体" w:eastAsia="宋体" w:cs="宋体"/>
          <w:color w:val="auto"/>
          <w:kern w:val="0"/>
          <w:sz w:val="21"/>
          <w:szCs w:val="21"/>
          <w:highlight w:val="none"/>
        </w:rPr>
        <w:t>：</w:t>
      </w:r>
    </w:p>
    <w:p w14:paraId="25989736">
      <w:pPr>
        <w:snapToGrid w:val="0"/>
        <w:spacing w:line="360" w:lineRule="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10D4D742">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6EC5B0A5">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034E21E6">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3A5FC7F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1E996DA4">
      <w:pPr>
        <w:rPr>
          <w:rFonts w:hint="eastAsia" w:ascii="宋体" w:hAnsi="宋体" w:eastAsia="宋体" w:cs="宋体"/>
          <w:color w:val="auto"/>
          <w:sz w:val="21"/>
          <w:szCs w:val="21"/>
          <w:highlight w:val="none"/>
        </w:rPr>
      </w:pPr>
    </w:p>
    <w:p w14:paraId="12CF8CBD">
      <w:pPr>
        <w:spacing w:line="360" w:lineRule="auto"/>
        <w:jc w:val="center"/>
        <w:rPr>
          <w:rFonts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残疾人福利性单位声明函</w:t>
      </w:r>
    </w:p>
    <w:p w14:paraId="501ADA21">
      <w:pPr>
        <w:spacing w:line="360" w:lineRule="auto"/>
        <w:rPr>
          <w:rFonts w:asciiTheme="minorEastAsia" w:hAnsiTheme="minorEastAsia" w:eastAsiaTheme="minorEastAsia"/>
          <w:b/>
          <w:color w:val="auto"/>
          <w:spacing w:val="6"/>
          <w:sz w:val="30"/>
          <w:szCs w:val="30"/>
          <w:highlight w:val="none"/>
        </w:rPr>
      </w:pPr>
    </w:p>
    <w:p w14:paraId="24856F6D">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1"/>
          <w:szCs w:val="21"/>
          <w:highlight w:val="none"/>
          <w:u w:val="single"/>
        </w:rPr>
        <w:t xml:space="preserve">   （采购人）    </w:t>
      </w:r>
      <w:r>
        <w:rPr>
          <w:rFonts w:hint="eastAsia" w:cs="仿宋_GB2312" w:asciiTheme="minorEastAsia" w:hAnsiTheme="minorEastAsia" w:eastAsiaTheme="minorEastAsia"/>
          <w:color w:val="auto"/>
          <w:sz w:val="21"/>
          <w:szCs w:val="21"/>
          <w:highlight w:val="none"/>
        </w:rPr>
        <w:t>单位的</w:t>
      </w:r>
      <w:r>
        <w:rPr>
          <w:rFonts w:hint="eastAsia" w:cs="仿宋_GB2312" w:asciiTheme="minorEastAsia" w:hAnsiTheme="minorEastAsia" w:eastAsiaTheme="minorEastAsia"/>
          <w:color w:val="auto"/>
          <w:sz w:val="21"/>
          <w:szCs w:val="21"/>
          <w:highlight w:val="none"/>
          <w:u w:val="single"/>
        </w:rPr>
        <w:t xml:space="preserve">     （项目名称）    </w:t>
      </w:r>
      <w:r>
        <w:rPr>
          <w:rFonts w:hint="eastAsia" w:cs="仿宋_GB2312" w:asciiTheme="minorEastAsia" w:hAnsiTheme="minorEastAsia" w:eastAsiaTheme="minorEastAsia"/>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652025C8">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本单位对上述声明的真实性负责。如有虚假，将依法承担相应责任。</w:t>
      </w:r>
    </w:p>
    <w:p w14:paraId="5985D186">
      <w:pPr>
        <w:spacing w:line="360" w:lineRule="auto"/>
        <w:ind w:firstLine="420" w:firstLineChars="200"/>
        <w:rPr>
          <w:rFonts w:cs="仿宋_GB2312" w:asciiTheme="minorEastAsia" w:hAnsiTheme="minorEastAsia" w:eastAsiaTheme="minorEastAsia"/>
          <w:color w:val="auto"/>
          <w:sz w:val="21"/>
          <w:szCs w:val="21"/>
          <w:highlight w:val="none"/>
        </w:rPr>
      </w:pPr>
    </w:p>
    <w:p w14:paraId="11431158">
      <w:pPr>
        <w:spacing w:line="360" w:lineRule="auto"/>
        <w:ind w:firstLine="420" w:firstLineChars="200"/>
        <w:rPr>
          <w:rFonts w:cs="仿宋_GB2312" w:asciiTheme="minorEastAsia" w:hAnsiTheme="minorEastAsia" w:eastAsiaTheme="minorEastAsia"/>
          <w:color w:val="auto"/>
          <w:sz w:val="21"/>
          <w:szCs w:val="21"/>
          <w:highlight w:val="none"/>
        </w:rPr>
      </w:pPr>
    </w:p>
    <w:p w14:paraId="1E957F60">
      <w:pPr>
        <w:tabs>
          <w:tab w:val="left" w:pos="4860"/>
        </w:tabs>
        <w:spacing w:line="360" w:lineRule="auto"/>
        <w:ind w:right="1560" w:firstLine="420" w:firstLineChars="200"/>
        <w:jc w:val="center"/>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w:t>
      </w: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sz w:val="21"/>
          <w:szCs w:val="21"/>
          <w:highlight w:val="none"/>
        </w:rPr>
        <w:t>：</w:t>
      </w:r>
    </w:p>
    <w:p w14:paraId="25F289B2">
      <w:pPr>
        <w:tabs>
          <w:tab w:val="left" w:pos="4860"/>
        </w:tabs>
        <w:spacing w:line="360" w:lineRule="auto"/>
        <w:ind w:right="1560" w:firstLine="420" w:firstLineChars="200"/>
        <w:jc w:val="center"/>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日  期：</w:t>
      </w:r>
    </w:p>
    <w:p w14:paraId="4B72E48E">
      <w:pPr>
        <w:pStyle w:val="98"/>
        <w:rPr>
          <w:rFonts w:hint="eastAsia"/>
          <w:color w:val="auto"/>
          <w:highlight w:val="none"/>
        </w:rPr>
      </w:pPr>
    </w:p>
    <w:p w14:paraId="427D9E1B">
      <w:pPr>
        <w:spacing w:line="360" w:lineRule="auto"/>
        <w:rPr>
          <w:rFonts w:hint="eastAsia" w:ascii="宋体" w:hAnsi="宋体" w:eastAsia="宋体" w:cs="宋体"/>
          <w:b/>
          <w:color w:val="auto"/>
          <w:sz w:val="24"/>
          <w:highlight w:val="none"/>
        </w:rPr>
      </w:pPr>
    </w:p>
    <w:p w14:paraId="1C7AA001">
      <w:pPr>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br w:type="page"/>
      </w:r>
    </w:p>
    <w:p w14:paraId="7AE94B34">
      <w:pPr>
        <w:pStyle w:val="22"/>
        <w:spacing w:before="91" w:line="221" w:lineRule="auto"/>
        <w:rPr>
          <w:b/>
          <w:bCs/>
          <w:color w:val="auto"/>
          <w:sz w:val="21"/>
          <w:szCs w:val="21"/>
          <w:highlight w:val="none"/>
        </w:rPr>
      </w:pPr>
      <w:r>
        <w:rPr>
          <w:rFonts w:hint="eastAsia"/>
          <w:b/>
          <w:bCs/>
          <w:color w:val="auto"/>
          <w:spacing w:val="-1"/>
          <w:sz w:val="21"/>
          <w:szCs w:val="21"/>
          <w:highlight w:val="none"/>
          <w:lang w:val="en-US" w:eastAsia="zh-CN"/>
        </w:rPr>
        <w:t>二</w:t>
      </w:r>
      <w:r>
        <w:rPr>
          <w:b/>
          <w:bCs/>
          <w:color w:val="auto"/>
          <w:spacing w:val="-1"/>
          <w:sz w:val="21"/>
          <w:szCs w:val="21"/>
          <w:highlight w:val="none"/>
        </w:rPr>
        <w:t>、</w:t>
      </w:r>
      <w:r>
        <w:rPr>
          <w:rFonts w:hint="eastAsia"/>
          <w:b/>
          <w:bCs/>
          <w:color w:val="auto"/>
          <w:spacing w:val="-1"/>
          <w:sz w:val="21"/>
          <w:szCs w:val="21"/>
          <w:highlight w:val="none"/>
          <w:lang w:val="en-US" w:eastAsia="zh-CN"/>
        </w:rPr>
        <w:t>报价文</w:t>
      </w:r>
      <w:r>
        <w:rPr>
          <w:b/>
          <w:bCs/>
          <w:color w:val="auto"/>
          <w:spacing w:val="-1"/>
          <w:sz w:val="21"/>
          <w:szCs w:val="21"/>
          <w:highlight w:val="none"/>
        </w:rPr>
        <w:t>件格式</w:t>
      </w:r>
    </w:p>
    <w:p w14:paraId="76304082">
      <w:pPr>
        <w:rPr>
          <w:rFonts w:hint="eastAsia" w:cs="宋体" w:asciiTheme="minorEastAsia" w:hAnsiTheme="minorEastAsia" w:eastAsiaTheme="minorEastAsia"/>
          <w:color w:val="auto"/>
          <w:sz w:val="24"/>
          <w:highlight w:val="none"/>
        </w:rPr>
      </w:pPr>
    </w:p>
    <w:p w14:paraId="46F402AA">
      <w:pPr>
        <w:pStyle w:val="31"/>
        <w:spacing w:line="360" w:lineRule="auto"/>
        <w:jc w:val="center"/>
        <w:rPr>
          <w:rFonts w:hint="eastAsia" w:cs="宋体" w:asciiTheme="minorEastAsia" w:hAnsiTheme="minorEastAsia" w:eastAsiaTheme="minorEastAsia"/>
          <w:b/>
          <w:bCs/>
          <w:color w:val="auto"/>
          <w:sz w:val="28"/>
          <w:szCs w:val="28"/>
          <w:highlight w:val="none"/>
          <w:lang w:val="en-US" w:eastAsia="zh-CN"/>
        </w:rPr>
      </w:pPr>
      <w:r>
        <w:rPr>
          <w:rFonts w:hint="eastAsia" w:cs="宋体" w:asciiTheme="minorEastAsia" w:hAnsiTheme="minorEastAsia" w:eastAsiaTheme="minorEastAsia"/>
          <w:b/>
          <w:bCs/>
          <w:color w:val="auto"/>
          <w:sz w:val="28"/>
          <w:szCs w:val="28"/>
          <w:highlight w:val="none"/>
          <w:lang w:val="en-US" w:eastAsia="zh-CN"/>
        </w:rPr>
        <w:t>报价一览表</w:t>
      </w:r>
    </w:p>
    <w:p w14:paraId="774FD951">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（采购人）、（采购代理机构）</w:t>
      </w:r>
      <w:r>
        <w:rPr>
          <w:rFonts w:hint="eastAsia" w:ascii="宋体" w:hAnsi="宋体" w:eastAsia="宋体" w:cs="宋体"/>
          <w:color w:val="auto"/>
          <w:kern w:val="0"/>
          <w:sz w:val="21"/>
          <w:szCs w:val="21"/>
          <w:highlight w:val="none"/>
          <w:lang w:val="zh-CN"/>
        </w:rPr>
        <w:t>：</w:t>
      </w:r>
    </w:p>
    <w:p w14:paraId="19D68286">
      <w:pPr>
        <w:snapToGrid w:val="0"/>
        <w:spacing w:line="360" w:lineRule="auto"/>
        <w:ind w:firstLine="482"/>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我方承诺按照如下报价一览表的价格完成</w:t>
      </w:r>
      <w:r>
        <w:rPr>
          <w:rFonts w:hint="eastAsia" w:ascii="宋体" w:hAnsi="宋体" w:cs="宋体"/>
          <w:color w:val="auto"/>
          <w:kern w:val="0"/>
          <w:sz w:val="21"/>
          <w:szCs w:val="21"/>
          <w:highlight w:val="none"/>
          <w:lang w:val="zh-CN" w:eastAsia="zh-CN"/>
        </w:rPr>
        <w:t>广西壮族自治区第十六届运动会(武术套路、武术散打、围棋)设施设备采购（</w:t>
      </w:r>
      <w:r>
        <w:rPr>
          <w:rFonts w:hint="eastAsia" w:ascii="宋体" w:hAnsi="宋体" w:cs="宋体"/>
          <w:color w:val="auto"/>
          <w:kern w:val="0"/>
          <w:sz w:val="21"/>
          <w:szCs w:val="21"/>
          <w:highlight w:val="none"/>
          <w:lang w:val="en-US" w:eastAsia="zh-CN"/>
        </w:rPr>
        <w:t>项目</w:t>
      </w:r>
      <w:r>
        <w:rPr>
          <w:rFonts w:hint="eastAsia" w:ascii="宋体" w:hAnsi="宋体" w:eastAsia="宋体" w:cs="宋体"/>
          <w:color w:val="auto"/>
          <w:kern w:val="0"/>
          <w:sz w:val="21"/>
          <w:szCs w:val="21"/>
          <w:highlight w:val="none"/>
          <w:lang w:val="zh-CN"/>
        </w:rPr>
        <w:t>编号：</w:t>
      </w:r>
    </w:p>
    <w:p w14:paraId="53C33A40">
      <w:pPr>
        <w:snapToGrid w:val="0"/>
        <w:spacing w:line="360" w:lineRule="auto"/>
        <w:ind w:firstLine="482"/>
        <w:rPr>
          <w:rFonts w:hint="eastAsia" w:ascii="宋体" w:hAnsi="宋体" w:eastAsia="宋体" w:cs="宋体"/>
          <w:color w:val="auto"/>
          <w:kern w:val="0"/>
          <w:sz w:val="21"/>
          <w:szCs w:val="21"/>
          <w:highlight w:val="none"/>
          <w:lang w:val="zh-CN"/>
        </w:rPr>
      </w:pPr>
      <w:r>
        <w:rPr>
          <w:rFonts w:hint="eastAsia" w:ascii="宋体" w:hAnsi="宋体" w:cs="宋体"/>
          <w:color w:val="auto"/>
          <w:sz w:val="21"/>
          <w:szCs w:val="21"/>
          <w:highlight w:val="none"/>
          <w:lang w:eastAsia="zh-CN"/>
        </w:rPr>
        <w:t>BHZC2026-J1-990270-BBWH）</w:t>
      </w:r>
      <w:r>
        <w:rPr>
          <w:rFonts w:hint="eastAsia" w:ascii="宋体" w:hAnsi="宋体" w:eastAsia="宋体" w:cs="宋体"/>
          <w:color w:val="auto"/>
          <w:sz w:val="21"/>
          <w:szCs w:val="21"/>
          <w:highlight w:val="none"/>
        </w:rPr>
        <w:t>的实施</w:t>
      </w:r>
      <w:r>
        <w:rPr>
          <w:rFonts w:hint="eastAsia" w:ascii="宋体" w:hAnsi="宋体" w:eastAsia="宋体" w:cs="宋体"/>
          <w:color w:val="auto"/>
          <w:kern w:val="0"/>
          <w:sz w:val="21"/>
          <w:szCs w:val="21"/>
          <w:highlight w:val="none"/>
          <w:lang w:val="zh-CN"/>
        </w:rPr>
        <w:t>。</w:t>
      </w:r>
    </w:p>
    <w:p w14:paraId="0E1AE5C9">
      <w:pPr>
        <w:pStyle w:val="631"/>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zh-CN"/>
        </w:rPr>
        <w:t>报价一览表(单位均为人民币元)</w:t>
      </w:r>
    </w:p>
    <w:tbl>
      <w:tblPr>
        <w:tblStyle w:val="60"/>
        <w:tblW w:w="98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144"/>
        <w:gridCol w:w="1415"/>
        <w:gridCol w:w="1890"/>
        <w:gridCol w:w="770"/>
        <w:gridCol w:w="1121"/>
        <w:gridCol w:w="1211"/>
        <w:gridCol w:w="1626"/>
      </w:tblGrid>
      <w:tr w14:paraId="318F6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676" w:type="dxa"/>
            <w:vAlign w:val="center"/>
          </w:tcPr>
          <w:p w14:paraId="477B41A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144" w:type="dxa"/>
            <w:vAlign w:val="center"/>
          </w:tcPr>
          <w:p w14:paraId="13733C72">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名称</w:t>
            </w:r>
          </w:p>
        </w:tc>
        <w:tc>
          <w:tcPr>
            <w:tcW w:w="1415" w:type="dxa"/>
            <w:vAlign w:val="center"/>
          </w:tcPr>
          <w:p w14:paraId="01A2E5D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生产厂家、</w:t>
            </w:r>
          </w:p>
          <w:p w14:paraId="0E1F96D7">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品牌（如果有）</w:t>
            </w:r>
          </w:p>
        </w:tc>
        <w:tc>
          <w:tcPr>
            <w:tcW w:w="1890" w:type="dxa"/>
            <w:vAlign w:val="center"/>
          </w:tcPr>
          <w:p w14:paraId="72F60A6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规格型号</w:t>
            </w:r>
          </w:p>
        </w:tc>
        <w:tc>
          <w:tcPr>
            <w:tcW w:w="770" w:type="dxa"/>
            <w:vAlign w:val="center"/>
          </w:tcPr>
          <w:p w14:paraId="5F219C92">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1121" w:type="dxa"/>
            <w:vAlign w:val="center"/>
          </w:tcPr>
          <w:p w14:paraId="7B083AF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p>
        </w:tc>
        <w:tc>
          <w:tcPr>
            <w:tcW w:w="1211" w:type="dxa"/>
            <w:vAlign w:val="center"/>
          </w:tcPr>
          <w:p w14:paraId="022C9544">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合计</w:t>
            </w:r>
          </w:p>
        </w:tc>
        <w:tc>
          <w:tcPr>
            <w:tcW w:w="1626" w:type="dxa"/>
            <w:vAlign w:val="center"/>
          </w:tcPr>
          <w:p w14:paraId="1DE5A70E">
            <w:pPr>
              <w:spacing w:line="360" w:lineRule="auto"/>
              <w:jc w:val="center"/>
              <w:rPr>
                <w:rFonts w:hint="eastAsia" w:ascii="宋体" w:hAnsi="宋体" w:eastAsia="宋体" w:cs="宋体"/>
                <w:b/>
                <w:color w:val="auto"/>
                <w:sz w:val="21"/>
                <w:szCs w:val="21"/>
                <w:highlight w:val="none"/>
              </w:rPr>
            </w:pPr>
          </w:p>
          <w:p w14:paraId="502344BC">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备注（如果有）</w:t>
            </w:r>
          </w:p>
          <w:p w14:paraId="51561E09">
            <w:pPr>
              <w:spacing w:line="360" w:lineRule="auto"/>
              <w:jc w:val="center"/>
              <w:rPr>
                <w:rFonts w:hint="eastAsia" w:ascii="宋体" w:hAnsi="宋体" w:eastAsia="宋体" w:cs="宋体"/>
                <w:b/>
                <w:color w:val="auto"/>
                <w:sz w:val="21"/>
                <w:szCs w:val="21"/>
                <w:highlight w:val="none"/>
              </w:rPr>
            </w:pPr>
          </w:p>
        </w:tc>
      </w:tr>
      <w:tr w14:paraId="4777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76" w:type="dxa"/>
            <w:vAlign w:val="center"/>
          </w:tcPr>
          <w:p w14:paraId="3BECE55D">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144" w:type="dxa"/>
            <w:vAlign w:val="center"/>
          </w:tcPr>
          <w:p w14:paraId="1AC9BB7C">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XX</w:t>
            </w:r>
          </w:p>
        </w:tc>
        <w:tc>
          <w:tcPr>
            <w:tcW w:w="1415" w:type="dxa"/>
            <w:vAlign w:val="center"/>
          </w:tcPr>
          <w:p w14:paraId="3614E485">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4848BF3A">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7EBD06AC">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5B7A3249">
            <w:pPr>
              <w:spacing w:line="360" w:lineRule="auto"/>
              <w:jc w:val="center"/>
              <w:rPr>
                <w:rFonts w:hint="eastAsia" w:ascii="宋体" w:hAnsi="宋体" w:eastAsia="宋体" w:cs="宋体"/>
                <w:color w:val="auto"/>
                <w:sz w:val="21"/>
                <w:szCs w:val="21"/>
                <w:highlight w:val="none"/>
              </w:rPr>
            </w:pPr>
          </w:p>
        </w:tc>
        <w:tc>
          <w:tcPr>
            <w:tcW w:w="1211" w:type="dxa"/>
            <w:vAlign w:val="center"/>
          </w:tcPr>
          <w:p w14:paraId="18CB7884">
            <w:pPr>
              <w:spacing w:line="360" w:lineRule="auto"/>
              <w:jc w:val="center"/>
              <w:rPr>
                <w:rFonts w:hint="eastAsia" w:ascii="宋体" w:hAnsi="宋体" w:eastAsia="宋体" w:cs="宋体"/>
                <w:color w:val="auto"/>
                <w:sz w:val="21"/>
                <w:szCs w:val="21"/>
                <w:highlight w:val="none"/>
              </w:rPr>
            </w:pPr>
          </w:p>
        </w:tc>
        <w:tc>
          <w:tcPr>
            <w:tcW w:w="1626" w:type="dxa"/>
            <w:vAlign w:val="center"/>
          </w:tcPr>
          <w:p w14:paraId="65731AB6">
            <w:pPr>
              <w:spacing w:line="360" w:lineRule="auto"/>
              <w:jc w:val="center"/>
              <w:rPr>
                <w:rFonts w:hint="eastAsia" w:ascii="宋体" w:hAnsi="宋体" w:eastAsia="宋体" w:cs="宋体"/>
                <w:color w:val="auto"/>
                <w:sz w:val="21"/>
                <w:szCs w:val="21"/>
                <w:highlight w:val="none"/>
              </w:rPr>
            </w:pPr>
          </w:p>
        </w:tc>
      </w:tr>
      <w:tr w14:paraId="5108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31020B17">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144" w:type="dxa"/>
            <w:vAlign w:val="center"/>
          </w:tcPr>
          <w:p w14:paraId="49D1EBF8">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XX</w:t>
            </w:r>
          </w:p>
        </w:tc>
        <w:tc>
          <w:tcPr>
            <w:tcW w:w="1415" w:type="dxa"/>
            <w:vAlign w:val="center"/>
          </w:tcPr>
          <w:p w14:paraId="76246AD8">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5EC644B6">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48430980">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5AA9DA72">
            <w:pPr>
              <w:spacing w:line="360" w:lineRule="auto"/>
              <w:jc w:val="center"/>
              <w:rPr>
                <w:rFonts w:hint="eastAsia" w:ascii="宋体" w:hAnsi="宋体" w:eastAsia="宋体" w:cs="宋体"/>
                <w:color w:val="auto"/>
                <w:sz w:val="21"/>
                <w:szCs w:val="21"/>
                <w:highlight w:val="none"/>
              </w:rPr>
            </w:pPr>
          </w:p>
        </w:tc>
        <w:tc>
          <w:tcPr>
            <w:tcW w:w="1211" w:type="dxa"/>
            <w:vAlign w:val="center"/>
          </w:tcPr>
          <w:p w14:paraId="44641853">
            <w:pPr>
              <w:spacing w:line="360" w:lineRule="auto"/>
              <w:jc w:val="center"/>
              <w:rPr>
                <w:rFonts w:hint="eastAsia" w:ascii="宋体" w:hAnsi="宋体" w:eastAsia="宋体" w:cs="宋体"/>
                <w:color w:val="auto"/>
                <w:sz w:val="21"/>
                <w:szCs w:val="21"/>
                <w:highlight w:val="none"/>
              </w:rPr>
            </w:pPr>
          </w:p>
        </w:tc>
        <w:tc>
          <w:tcPr>
            <w:tcW w:w="1626" w:type="dxa"/>
            <w:vAlign w:val="center"/>
          </w:tcPr>
          <w:p w14:paraId="4843474A">
            <w:pPr>
              <w:spacing w:line="360" w:lineRule="auto"/>
              <w:jc w:val="center"/>
              <w:rPr>
                <w:rFonts w:hint="eastAsia" w:ascii="宋体" w:hAnsi="宋体" w:eastAsia="宋体" w:cs="宋体"/>
                <w:color w:val="auto"/>
                <w:sz w:val="21"/>
                <w:szCs w:val="21"/>
                <w:highlight w:val="none"/>
              </w:rPr>
            </w:pPr>
          </w:p>
        </w:tc>
      </w:tr>
      <w:tr w14:paraId="2070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35678E8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144" w:type="dxa"/>
            <w:vAlign w:val="center"/>
          </w:tcPr>
          <w:p w14:paraId="1AA3CC5F">
            <w:pPr>
              <w:snapToGrid w:val="0"/>
              <w:spacing w:line="360" w:lineRule="auto"/>
              <w:jc w:val="center"/>
              <w:rPr>
                <w:rFonts w:hint="eastAsia" w:ascii="宋体" w:hAnsi="宋体" w:eastAsia="宋体" w:cs="宋体"/>
                <w:color w:val="auto"/>
                <w:sz w:val="21"/>
                <w:szCs w:val="21"/>
                <w:highlight w:val="none"/>
              </w:rPr>
            </w:pPr>
          </w:p>
        </w:tc>
        <w:tc>
          <w:tcPr>
            <w:tcW w:w="1415" w:type="dxa"/>
            <w:vAlign w:val="center"/>
          </w:tcPr>
          <w:p w14:paraId="4795BBED">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70D5B3DD">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48ED0FA9">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62C80101">
            <w:pPr>
              <w:spacing w:line="360" w:lineRule="auto"/>
              <w:jc w:val="center"/>
              <w:rPr>
                <w:rFonts w:hint="eastAsia" w:ascii="宋体" w:hAnsi="宋体" w:eastAsia="宋体" w:cs="宋体"/>
                <w:color w:val="auto"/>
                <w:sz w:val="21"/>
                <w:szCs w:val="21"/>
                <w:highlight w:val="none"/>
              </w:rPr>
            </w:pPr>
          </w:p>
        </w:tc>
        <w:tc>
          <w:tcPr>
            <w:tcW w:w="1211" w:type="dxa"/>
            <w:vAlign w:val="center"/>
          </w:tcPr>
          <w:p w14:paraId="0FD66417">
            <w:pPr>
              <w:spacing w:line="360" w:lineRule="auto"/>
              <w:jc w:val="center"/>
              <w:rPr>
                <w:rFonts w:hint="eastAsia" w:ascii="宋体" w:hAnsi="宋体" w:eastAsia="宋体" w:cs="宋体"/>
                <w:color w:val="auto"/>
                <w:sz w:val="21"/>
                <w:szCs w:val="21"/>
                <w:highlight w:val="none"/>
              </w:rPr>
            </w:pPr>
          </w:p>
        </w:tc>
        <w:tc>
          <w:tcPr>
            <w:tcW w:w="1626" w:type="dxa"/>
            <w:vAlign w:val="center"/>
          </w:tcPr>
          <w:p w14:paraId="0A611A25">
            <w:pPr>
              <w:spacing w:line="360" w:lineRule="auto"/>
              <w:jc w:val="center"/>
              <w:rPr>
                <w:rFonts w:hint="eastAsia" w:ascii="宋体" w:hAnsi="宋体" w:eastAsia="宋体" w:cs="宋体"/>
                <w:color w:val="auto"/>
                <w:sz w:val="21"/>
                <w:szCs w:val="21"/>
                <w:highlight w:val="none"/>
              </w:rPr>
            </w:pPr>
          </w:p>
        </w:tc>
      </w:tr>
      <w:tr w14:paraId="1688F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79A956F1">
            <w:pPr>
              <w:spacing w:line="360" w:lineRule="auto"/>
              <w:jc w:val="center"/>
              <w:rPr>
                <w:rFonts w:hint="eastAsia" w:ascii="宋体" w:hAnsi="宋体" w:eastAsia="宋体" w:cs="宋体"/>
                <w:color w:val="auto"/>
                <w:sz w:val="21"/>
                <w:szCs w:val="21"/>
                <w:highlight w:val="none"/>
              </w:rPr>
            </w:pPr>
          </w:p>
        </w:tc>
        <w:tc>
          <w:tcPr>
            <w:tcW w:w="1144" w:type="dxa"/>
            <w:vAlign w:val="center"/>
          </w:tcPr>
          <w:p w14:paraId="6D9AC3AA">
            <w:pPr>
              <w:snapToGrid w:val="0"/>
              <w:spacing w:line="360" w:lineRule="auto"/>
              <w:jc w:val="center"/>
              <w:rPr>
                <w:rFonts w:hint="eastAsia" w:ascii="宋体" w:hAnsi="宋体" w:eastAsia="宋体" w:cs="宋体"/>
                <w:color w:val="auto"/>
                <w:sz w:val="21"/>
                <w:szCs w:val="21"/>
                <w:highlight w:val="none"/>
              </w:rPr>
            </w:pPr>
          </w:p>
        </w:tc>
        <w:tc>
          <w:tcPr>
            <w:tcW w:w="1415" w:type="dxa"/>
            <w:vAlign w:val="center"/>
          </w:tcPr>
          <w:p w14:paraId="0E30BE73">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7FFE0814">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46231E00">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2395205E">
            <w:pPr>
              <w:spacing w:line="360" w:lineRule="auto"/>
              <w:jc w:val="center"/>
              <w:rPr>
                <w:rFonts w:hint="eastAsia" w:ascii="宋体" w:hAnsi="宋体" w:eastAsia="宋体" w:cs="宋体"/>
                <w:color w:val="auto"/>
                <w:sz w:val="21"/>
                <w:szCs w:val="21"/>
                <w:highlight w:val="none"/>
              </w:rPr>
            </w:pPr>
          </w:p>
        </w:tc>
        <w:tc>
          <w:tcPr>
            <w:tcW w:w="1211" w:type="dxa"/>
            <w:vAlign w:val="center"/>
          </w:tcPr>
          <w:p w14:paraId="252D196A">
            <w:pPr>
              <w:spacing w:line="360" w:lineRule="auto"/>
              <w:jc w:val="center"/>
              <w:rPr>
                <w:rFonts w:hint="eastAsia" w:ascii="宋体" w:hAnsi="宋体" w:eastAsia="宋体" w:cs="宋体"/>
                <w:color w:val="auto"/>
                <w:sz w:val="21"/>
                <w:szCs w:val="21"/>
                <w:highlight w:val="none"/>
              </w:rPr>
            </w:pPr>
          </w:p>
        </w:tc>
        <w:tc>
          <w:tcPr>
            <w:tcW w:w="1626" w:type="dxa"/>
            <w:vAlign w:val="center"/>
          </w:tcPr>
          <w:p w14:paraId="2524FC53">
            <w:pPr>
              <w:spacing w:line="360" w:lineRule="auto"/>
              <w:jc w:val="center"/>
              <w:rPr>
                <w:rFonts w:hint="eastAsia" w:ascii="宋体" w:hAnsi="宋体" w:eastAsia="宋体" w:cs="宋体"/>
                <w:color w:val="auto"/>
                <w:sz w:val="21"/>
                <w:szCs w:val="21"/>
                <w:highlight w:val="none"/>
              </w:rPr>
            </w:pPr>
          </w:p>
        </w:tc>
      </w:tr>
      <w:tr w14:paraId="4110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76" w:type="dxa"/>
            <w:vAlign w:val="center"/>
          </w:tcPr>
          <w:p w14:paraId="5C3EB0DA">
            <w:pPr>
              <w:spacing w:line="360" w:lineRule="auto"/>
              <w:jc w:val="center"/>
              <w:rPr>
                <w:rFonts w:hint="eastAsia" w:ascii="宋体" w:hAnsi="宋体" w:eastAsia="宋体" w:cs="宋体"/>
                <w:color w:val="auto"/>
                <w:sz w:val="21"/>
                <w:szCs w:val="21"/>
                <w:highlight w:val="none"/>
              </w:rPr>
            </w:pPr>
          </w:p>
        </w:tc>
        <w:tc>
          <w:tcPr>
            <w:tcW w:w="1144" w:type="dxa"/>
            <w:vAlign w:val="center"/>
          </w:tcPr>
          <w:p w14:paraId="1150F0AE">
            <w:pPr>
              <w:snapToGrid w:val="0"/>
              <w:spacing w:line="360" w:lineRule="auto"/>
              <w:jc w:val="center"/>
              <w:rPr>
                <w:rFonts w:hint="eastAsia" w:ascii="宋体" w:hAnsi="宋体" w:eastAsia="宋体" w:cs="宋体"/>
                <w:color w:val="auto"/>
                <w:sz w:val="21"/>
                <w:szCs w:val="21"/>
                <w:highlight w:val="none"/>
              </w:rPr>
            </w:pPr>
          </w:p>
        </w:tc>
        <w:tc>
          <w:tcPr>
            <w:tcW w:w="1415" w:type="dxa"/>
            <w:vAlign w:val="center"/>
          </w:tcPr>
          <w:p w14:paraId="2CC40792">
            <w:pPr>
              <w:snapToGrid w:val="0"/>
              <w:spacing w:line="360" w:lineRule="auto"/>
              <w:jc w:val="center"/>
              <w:rPr>
                <w:rFonts w:hint="eastAsia" w:ascii="宋体" w:hAnsi="宋体" w:eastAsia="宋体" w:cs="宋体"/>
                <w:color w:val="auto"/>
                <w:sz w:val="21"/>
                <w:szCs w:val="21"/>
                <w:highlight w:val="none"/>
              </w:rPr>
            </w:pPr>
          </w:p>
        </w:tc>
        <w:tc>
          <w:tcPr>
            <w:tcW w:w="1890" w:type="dxa"/>
            <w:vAlign w:val="center"/>
          </w:tcPr>
          <w:p w14:paraId="560577A6">
            <w:pPr>
              <w:snapToGrid w:val="0"/>
              <w:spacing w:line="360" w:lineRule="auto"/>
              <w:jc w:val="center"/>
              <w:rPr>
                <w:rFonts w:hint="eastAsia" w:ascii="宋体" w:hAnsi="宋体" w:eastAsia="宋体" w:cs="宋体"/>
                <w:color w:val="auto"/>
                <w:sz w:val="21"/>
                <w:szCs w:val="21"/>
                <w:highlight w:val="none"/>
              </w:rPr>
            </w:pPr>
          </w:p>
        </w:tc>
        <w:tc>
          <w:tcPr>
            <w:tcW w:w="770" w:type="dxa"/>
            <w:vAlign w:val="center"/>
          </w:tcPr>
          <w:p w14:paraId="59BBCAC3">
            <w:pPr>
              <w:snapToGrid w:val="0"/>
              <w:spacing w:line="360" w:lineRule="auto"/>
              <w:jc w:val="center"/>
              <w:rPr>
                <w:rFonts w:hint="eastAsia" w:ascii="宋体" w:hAnsi="宋体" w:eastAsia="宋体" w:cs="宋体"/>
                <w:color w:val="auto"/>
                <w:sz w:val="21"/>
                <w:szCs w:val="21"/>
                <w:highlight w:val="none"/>
              </w:rPr>
            </w:pPr>
          </w:p>
        </w:tc>
        <w:tc>
          <w:tcPr>
            <w:tcW w:w="1121" w:type="dxa"/>
            <w:vAlign w:val="center"/>
          </w:tcPr>
          <w:p w14:paraId="05016FB9">
            <w:pPr>
              <w:spacing w:line="360" w:lineRule="auto"/>
              <w:jc w:val="center"/>
              <w:rPr>
                <w:rFonts w:hint="eastAsia" w:ascii="宋体" w:hAnsi="宋体" w:eastAsia="宋体" w:cs="宋体"/>
                <w:color w:val="auto"/>
                <w:sz w:val="21"/>
                <w:szCs w:val="21"/>
                <w:highlight w:val="none"/>
              </w:rPr>
            </w:pPr>
          </w:p>
        </w:tc>
        <w:tc>
          <w:tcPr>
            <w:tcW w:w="1211" w:type="dxa"/>
            <w:vAlign w:val="center"/>
          </w:tcPr>
          <w:p w14:paraId="42C4CA58">
            <w:pPr>
              <w:spacing w:line="360" w:lineRule="auto"/>
              <w:jc w:val="center"/>
              <w:rPr>
                <w:rFonts w:hint="eastAsia" w:ascii="宋体" w:hAnsi="宋体" w:eastAsia="宋体" w:cs="宋体"/>
                <w:color w:val="auto"/>
                <w:sz w:val="21"/>
                <w:szCs w:val="21"/>
                <w:highlight w:val="none"/>
              </w:rPr>
            </w:pPr>
          </w:p>
        </w:tc>
        <w:tc>
          <w:tcPr>
            <w:tcW w:w="1626" w:type="dxa"/>
            <w:vAlign w:val="center"/>
          </w:tcPr>
          <w:p w14:paraId="4AADD0BE">
            <w:pPr>
              <w:spacing w:line="360" w:lineRule="auto"/>
              <w:jc w:val="center"/>
              <w:rPr>
                <w:rFonts w:hint="eastAsia" w:ascii="宋体" w:hAnsi="宋体" w:eastAsia="宋体" w:cs="宋体"/>
                <w:color w:val="auto"/>
                <w:sz w:val="21"/>
                <w:szCs w:val="21"/>
                <w:highlight w:val="none"/>
              </w:rPr>
            </w:pPr>
          </w:p>
        </w:tc>
      </w:tr>
      <w:tr w14:paraId="7412B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5125" w:type="dxa"/>
            <w:gridSpan w:val="4"/>
            <w:vAlign w:val="center"/>
          </w:tcPr>
          <w:p w14:paraId="149F3174">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谈判</w:t>
            </w:r>
            <w:r>
              <w:rPr>
                <w:rFonts w:hint="eastAsia" w:ascii="宋体" w:hAnsi="宋体" w:eastAsia="宋体" w:cs="宋体"/>
                <w:b/>
                <w:color w:val="auto"/>
                <w:sz w:val="21"/>
                <w:szCs w:val="21"/>
                <w:highlight w:val="none"/>
              </w:rPr>
              <w:t>报价（小写）</w:t>
            </w:r>
          </w:p>
        </w:tc>
        <w:tc>
          <w:tcPr>
            <w:tcW w:w="4728" w:type="dxa"/>
            <w:gridSpan w:val="4"/>
            <w:vAlign w:val="center"/>
          </w:tcPr>
          <w:p w14:paraId="70194B63">
            <w:pPr>
              <w:spacing w:line="360" w:lineRule="auto"/>
              <w:jc w:val="center"/>
              <w:rPr>
                <w:rFonts w:hint="eastAsia" w:ascii="宋体" w:hAnsi="宋体" w:eastAsia="宋体" w:cs="宋体"/>
                <w:color w:val="auto"/>
                <w:sz w:val="21"/>
                <w:szCs w:val="21"/>
                <w:highlight w:val="none"/>
              </w:rPr>
            </w:pPr>
          </w:p>
        </w:tc>
      </w:tr>
      <w:tr w14:paraId="3087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125" w:type="dxa"/>
            <w:gridSpan w:val="4"/>
            <w:vAlign w:val="center"/>
          </w:tcPr>
          <w:p w14:paraId="5A5FD171">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val="en-US" w:eastAsia="zh-CN"/>
              </w:rPr>
              <w:t>谈判</w:t>
            </w:r>
            <w:r>
              <w:rPr>
                <w:rFonts w:hint="eastAsia" w:ascii="宋体" w:hAnsi="宋体" w:eastAsia="宋体" w:cs="宋体"/>
                <w:b/>
                <w:color w:val="auto"/>
                <w:sz w:val="21"/>
                <w:szCs w:val="21"/>
                <w:highlight w:val="none"/>
              </w:rPr>
              <w:t>报价（大写）</w:t>
            </w:r>
          </w:p>
        </w:tc>
        <w:tc>
          <w:tcPr>
            <w:tcW w:w="4728" w:type="dxa"/>
            <w:gridSpan w:val="4"/>
            <w:vAlign w:val="center"/>
          </w:tcPr>
          <w:p w14:paraId="4B5793AB">
            <w:pPr>
              <w:spacing w:line="360" w:lineRule="auto"/>
              <w:jc w:val="center"/>
              <w:rPr>
                <w:rFonts w:hint="eastAsia" w:ascii="宋体" w:hAnsi="宋体" w:eastAsia="宋体" w:cs="宋体"/>
                <w:color w:val="auto"/>
                <w:sz w:val="21"/>
                <w:szCs w:val="21"/>
                <w:highlight w:val="none"/>
              </w:rPr>
            </w:pPr>
          </w:p>
        </w:tc>
      </w:tr>
    </w:tbl>
    <w:p w14:paraId="0F65FE67">
      <w:pPr>
        <w:snapToGrid w:val="0"/>
        <w:spacing w:line="360" w:lineRule="auto"/>
        <w:ind w:left="480"/>
        <w:rPr>
          <w:rFonts w:hint="eastAsia" w:ascii="宋体" w:hAnsi="宋体" w:eastAsia="宋体" w:cs="宋体"/>
          <w:b/>
          <w:color w:val="auto"/>
          <w:kern w:val="0"/>
          <w:sz w:val="21"/>
          <w:szCs w:val="21"/>
          <w:highlight w:val="none"/>
          <w:lang w:val="zh-CN"/>
        </w:rPr>
      </w:pPr>
      <w:r>
        <w:rPr>
          <w:rFonts w:hint="eastAsia" w:ascii="宋体" w:hAnsi="宋体" w:eastAsia="宋体" w:cs="宋体"/>
          <w:b/>
          <w:color w:val="auto"/>
          <w:kern w:val="0"/>
          <w:sz w:val="21"/>
          <w:szCs w:val="21"/>
          <w:highlight w:val="none"/>
          <w:lang w:val="zh-CN"/>
        </w:rPr>
        <w:t>注：</w:t>
      </w:r>
    </w:p>
    <w:p w14:paraId="793A3098">
      <w:pPr>
        <w:spacing w:line="360" w:lineRule="auto"/>
        <w:ind w:left="-2" w:leftChars="-1" w:firstLine="420" w:firstLineChars="2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1、供应商需按本表格式填写</w:t>
      </w:r>
      <w:r>
        <w:rPr>
          <w:rFonts w:hint="eastAsia" w:ascii="宋体" w:hAnsi="宋体" w:eastAsia="宋体" w:cs="宋体"/>
          <w:b/>
          <w:color w:val="auto"/>
          <w:kern w:val="0"/>
          <w:sz w:val="21"/>
          <w:szCs w:val="21"/>
          <w:highlight w:val="none"/>
          <w:lang w:val="zh-CN"/>
        </w:rPr>
        <w:t>，</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w:t>
      </w:r>
      <w:r>
        <w:rPr>
          <w:rFonts w:hint="eastAsia" w:ascii="宋体" w:hAnsi="宋体" w:cs="宋体"/>
          <w:b/>
          <w:color w:val="auto"/>
          <w:sz w:val="21"/>
          <w:szCs w:val="21"/>
          <w:highlight w:val="none"/>
          <w:lang w:val="en-US" w:eastAsia="zh-CN"/>
        </w:rPr>
        <w:t>响应</w:t>
      </w:r>
      <w:r>
        <w:rPr>
          <w:rFonts w:hint="eastAsia" w:ascii="宋体" w:hAnsi="宋体" w:eastAsia="宋体" w:cs="宋体"/>
          <w:b/>
          <w:color w:val="auto"/>
          <w:sz w:val="21"/>
          <w:szCs w:val="21"/>
          <w:highlight w:val="none"/>
        </w:rPr>
        <w:t>无效</w:t>
      </w:r>
      <w:r>
        <w:rPr>
          <w:rFonts w:hint="eastAsia" w:ascii="宋体" w:hAnsi="宋体" w:eastAsia="宋体" w:cs="宋体"/>
          <w:color w:val="auto"/>
          <w:kern w:val="0"/>
          <w:sz w:val="21"/>
          <w:szCs w:val="21"/>
          <w:highlight w:val="none"/>
          <w:lang w:val="zh-CN"/>
        </w:rPr>
        <w:t>。</w:t>
      </w:r>
    </w:p>
    <w:p w14:paraId="0885BB67">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2、有关本项目实施所涉及的一切费用均计入报价。</w:t>
      </w:r>
      <w:r>
        <w:rPr>
          <w:rFonts w:hint="eastAsia" w:ascii="宋体" w:hAnsi="宋体" w:eastAsia="宋体" w:cs="宋体"/>
          <w:b/>
          <w:color w:val="auto"/>
          <w:kern w:val="0"/>
          <w:sz w:val="21"/>
          <w:szCs w:val="21"/>
          <w:highlight w:val="none"/>
          <w:lang w:val="zh-CN"/>
        </w:rPr>
        <w:t>采购人将以合同形式有偿取得货物或服务，不接受</w:t>
      </w:r>
      <w:r>
        <w:rPr>
          <w:rFonts w:hint="eastAsia" w:ascii="宋体" w:hAnsi="宋体" w:cs="宋体"/>
          <w:b/>
          <w:color w:val="auto"/>
          <w:kern w:val="0"/>
          <w:sz w:val="21"/>
          <w:szCs w:val="21"/>
          <w:highlight w:val="none"/>
          <w:lang w:val="zh-CN"/>
        </w:rPr>
        <w:t>供应商</w:t>
      </w:r>
      <w:r>
        <w:rPr>
          <w:rFonts w:hint="eastAsia" w:ascii="宋体" w:hAnsi="宋体" w:eastAsia="宋体" w:cs="宋体"/>
          <w:b/>
          <w:color w:val="auto"/>
          <w:kern w:val="0"/>
          <w:sz w:val="21"/>
          <w:szCs w:val="21"/>
          <w:highlight w:val="none"/>
          <w:lang w:val="zh-CN"/>
        </w:rPr>
        <w:t>给予的赠品、回扣或者与采购无关的其他商品、服务</w:t>
      </w:r>
      <w:r>
        <w:rPr>
          <w:rFonts w:hint="eastAsia" w:ascii="宋体" w:hAnsi="宋体" w:eastAsia="宋体" w:cs="宋体"/>
          <w:color w:val="auto"/>
          <w:kern w:val="0"/>
          <w:sz w:val="21"/>
          <w:szCs w:val="21"/>
          <w:highlight w:val="none"/>
          <w:lang w:val="zh-CN"/>
        </w:rPr>
        <w:t>，</w:t>
      </w:r>
      <w:r>
        <w:rPr>
          <w:rFonts w:hint="eastAsia" w:ascii="宋体" w:hAnsi="宋体" w:eastAsia="宋体" w:cs="宋体"/>
          <w:b/>
          <w:color w:val="auto"/>
          <w:kern w:val="0"/>
          <w:sz w:val="21"/>
          <w:szCs w:val="21"/>
          <w:highlight w:val="none"/>
          <w:lang w:val="zh-CN"/>
        </w:rPr>
        <w:t>不得出现“0元”“免费赠送”等形式的无偿报价，</w:t>
      </w:r>
      <w:r>
        <w:rPr>
          <w:rFonts w:hint="eastAsia" w:ascii="宋体" w:hAnsi="宋体" w:eastAsia="宋体" w:cs="宋体"/>
          <w:b/>
          <w:color w:val="auto"/>
          <w:kern w:val="0"/>
          <w:sz w:val="21"/>
          <w:szCs w:val="21"/>
          <w:highlight w:val="none"/>
        </w:rPr>
        <w:t>否则视为</w:t>
      </w:r>
      <w:r>
        <w:rPr>
          <w:rFonts w:hint="eastAsia" w:ascii="宋体" w:hAnsi="宋体" w:eastAsia="宋体" w:cs="宋体"/>
          <w:b/>
          <w:color w:val="auto"/>
          <w:sz w:val="21"/>
          <w:szCs w:val="21"/>
          <w:highlight w:val="none"/>
        </w:rPr>
        <w:t>响应文件含有采购人不能接受的附加条件，响应无效</w:t>
      </w:r>
      <w:r>
        <w:rPr>
          <w:rFonts w:hint="eastAsia" w:ascii="宋体" w:hAnsi="宋体" w:eastAsia="宋体" w:cs="宋体"/>
          <w:b/>
          <w:color w:val="auto"/>
          <w:kern w:val="0"/>
          <w:sz w:val="21"/>
          <w:szCs w:val="21"/>
          <w:highlight w:val="none"/>
          <w:lang w:val="zh-CN"/>
        </w:rPr>
        <w:t>；采购内容未包含在《</w:t>
      </w:r>
      <w:r>
        <w:rPr>
          <w:rFonts w:hint="eastAsia" w:ascii="宋体" w:hAnsi="宋体" w:eastAsia="宋体" w:cs="宋体"/>
          <w:b/>
          <w:color w:val="auto"/>
          <w:sz w:val="21"/>
          <w:szCs w:val="21"/>
          <w:highlight w:val="none"/>
          <w:lang w:val="zh-CN"/>
        </w:rPr>
        <w:t>报价一览表</w:t>
      </w:r>
      <w:r>
        <w:rPr>
          <w:rFonts w:hint="eastAsia" w:ascii="宋体" w:hAnsi="宋体" w:eastAsia="宋体" w:cs="宋体"/>
          <w:b/>
          <w:color w:val="auto"/>
          <w:kern w:val="0"/>
          <w:sz w:val="21"/>
          <w:szCs w:val="21"/>
          <w:highlight w:val="none"/>
          <w:lang w:val="zh-CN"/>
        </w:rPr>
        <w:t>》名称栏中，供应商不能作出合理解释的，</w:t>
      </w:r>
      <w:r>
        <w:rPr>
          <w:rFonts w:hint="eastAsia" w:ascii="宋体" w:hAnsi="宋体" w:eastAsia="宋体" w:cs="宋体"/>
          <w:b/>
          <w:color w:val="auto"/>
          <w:kern w:val="0"/>
          <w:sz w:val="21"/>
          <w:szCs w:val="21"/>
          <w:highlight w:val="none"/>
        </w:rPr>
        <w:t>视为</w:t>
      </w:r>
      <w:r>
        <w:rPr>
          <w:rFonts w:hint="eastAsia" w:ascii="宋体" w:hAnsi="宋体" w:eastAsia="宋体" w:cs="宋体"/>
          <w:b/>
          <w:color w:val="auto"/>
          <w:sz w:val="21"/>
          <w:szCs w:val="21"/>
          <w:highlight w:val="none"/>
        </w:rPr>
        <w:t>响应文件含有采购人不能接受的附加条件的，响应无效。</w:t>
      </w:r>
    </w:p>
    <w:p w14:paraId="1217F153">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3、特别提示：采购代理机构将对项目名称和项目编号，成交供应商名称、地址和中标金额，主要中标标的名称、品牌（如果有）、规格型号、数量、单价等予以公示。</w:t>
      </w:r>
    </w:p>
    <w:p w14:paraId="2761720A">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符合谈判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55696701">
      <w:pPr>
        <w:autoSpaceDE w:val="0"/>
        <w:autoSpaceDN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kern w:val="0"/>
          <w:sz w:val="21"/>
          <w:szCs w:val="21"/>
          <w:highlight w:val="none"/>
          <w:lang w:val="zh-CN"/>
        </w:rPr>
        <w:t>谈判供应商名称(公章)</w:t>
      </w:r>
      <w:r>
        <w:rPr>
          <w:rFonts w:hint="eastAsia" w:ascii="宋体" w:hAnsi="宋体" w:eastAsia="宋体" w:cs="宋体"/>
          <w:color w:val="auto"/>
          <w:kern w:val="0"/>
          <w:sz w:val="21"/>
          <w:szCs w:val="21"/>
          <w:highlight w:val="none"/>
        </w:rPr>
        <w:t>：</w:t>
      </w:r>
    </w:p>
    <w:p w14:paraId="11679A39">
      <w:pPr>
        <w:autoSpaceDE w:val="0"/>
        <w:autoSpaceDN w:val="0"/>
        <w:spacing w:line="360" w:lineRule="auto"/>
        <w:ind w:firstLine="4200" w:firstLineChars="20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法定代表人（负责人）或委托代理人(签名)：</w:t>
      </w:r>
    </w:p>
    <w:p w14:paraId="46306BCF">
      <w:pPr>
        <w:autoSpaceDE w:val="0"/>
        <w:autoSpaceDN w:val="0"/>
        <w:spacing w:line="360" w:lineRule="auto"/>
        <w:ind w:firstLine="6090" w:firstLineChars="29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zh-CN"/>
        </w:rPr>
        <w:t xml:space="preserve">   年   月   日</w:t>
      </w:r>
    </w:p>
    <w:p w14:paraId="130581A6">
      <w:pPr>
        <w:pStyle w:val="22"/>
        <w:spacing w:before="91" w:line="221" w:lineRule="auto"/>
        <w:rPr>
          <w:rFonts w:hint="default"/>
          <w:b/>
          <w:bCs/>
          <w:color w:val="auto"/>
          <w:sz w:val="21"/>
          <w:szCs w:val="21"/>
          <w:highlight w:val="none"/>
          <w:lang w:val="en-US"/>
        </w:rPr>
      </w:pPr>
      <w:r>
        <w:rPr>
          <w:rFonts w:hint="eastAsia"/>
          <w:b/>
          <w:bCs/>
          <w:color w:val="auto"/>
          <w:spacing w:val="-1"/>
          <w:sz w:val="21"/>
          <w:szCs w:val="21"/>
          <w:highlight w:val="none"/>
          <w:lang w:val="en-US" w:eastAsia="zh-CN"/>
        </w:rPr>
        <w:t>三</w:t>
      </w:r>
      <w:r>
        <w:rPr>
          <w:b/>
          <w:bCs/>
          <w:color w:val="auto"/>
          <w:spacing w:val="-1"/>
          <w:sz w:val="21"/>
          <w:szCs w:val="21"/>
          <w:highlight w:val="none"/>
        </w:rPr>
        <w:t>、</w:t>
      </w:r>
      <w:r>
        <w:rPr>
          <w:rFonts w:hint="eastAsia"/>
          <w:b/>
          <w:bCs/>
          <w:color w:val="auto"/>
          <w:spacing w:val="-1"/>
          <w:sz w:val="21"/>
          <w:szCs w:val="21"/>
          <w:highlight w:val="none"/>
          <w:lang w:val="en-US" w:eastAsia="zh-CN"/>
        </w:rPr>
        <w:t>商务技术文件格式</w:t>
      </w:r>
    </w:p>
    <w:p w14:paraId="70DCD09F">
      <w:pPr>
        <w:spacing w:line="354" w:lineRule="auto"/>
        <w:rPr>
          <w:rFonts w:ascii="Arial"/>
          <w:b/>
          <w:bCs/>
          <w:color w:val="auto"/>
          <w:sz w:val="21"/>
          <w:highlight w:val="none"/>
        </w:rPr>
      </w:pPr>
    </w:p>
    <w:p w14:paraId="077B3446">
      <w:pPr>
        <w:pStyle w:val="31"/>
        <w:spacing w:line="360" w:lineRule="auto"/>
        <w:rPr>
          <w:rFonts w:hint="eastAsia" w:cs="宋体" w:asciiTheme="minorEastAsia" w:hAnsiTheme="minorEastAsia" w:eastAsiaTheme="minorEastAsia"/>
          <w:b/>
          <w:bCs/>
          <w:color w:val="auto"/>
          <w:sz w:val="21"/>
          <w:szCs w:val="21"/>
          <w:highlight w:val="none"/>
          <w:lang w:val="en-US" w:eastAsia="zh-CN"/>
        </w:rPr>
      </w:pPr>
      <w:r>
        <w:rPr>
          <w:rFonts w:hint="eastAsia" w:cs="宋体" w:asciiTheme="minorEastAsia" w:hAnsiTheme="minorEastAsia" w:eastAsiaTheme="minorEastAsia"/>
          <w:b/>
          <w:bCs/>
          <w:color w:val="auto"/>
          <w:sz w:val="21"/>
          <w:szCs w:val="21"/>
          <w:highlight w:val="none"/>
          <w:lang w:val="en-US" w:eastAsia="zh-CN"/>
        </w:rPr>
        <w:t>1、响应函</w:t>
      </w:r>
    </w:p>
    <w:p w14:paraId="2F80B427">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color w:val="auto"/>
          <w:kern w:val="0"/>
          <w:sz w:val="32"/>
          <w:szCs w:val="32"/>
          <w:highlight w:val="none"/>
        </w:rPr>
        <w:t>响应</w:t>
      </w:r>
      <w:r>
        <w:rPr>
          <w:rFonts w:hint="eastAsia" w:cs="仿宋_GB2312" w:asciiTheme="minorEastAsia" w:hAnsiTheme="minorEastAsia" w:eastAsiaTheme="minorEastAsia"/>
          <w:b/>
          <w:color w:val="auto"/>
          <w:sz w:val="32"/>
          <w:szCs w:val="32"/>
          <w:highlight w:val="none"/>
        </w:rPr>
        <w:t>函</w:t>
      </w:r>
    </w:p>
    <w:p w14:paraId="45F29B6C">
      <w:pPr>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（采购人）、（采购代理机构）：</w:t>
      </w:r>
    </w:p>
    <w:p w14:paraId="463D73D9">
      <w:pPr>
        <w:spacing w:line="360" w:lineRule="auto"/>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u w:val="single"/>
          <w:lang w:val="zh-CN"/>
        </w:rPr>
        <w:t xml:space="preserve">                          </w:t>
      </w:r>
      <w:r>
        <w:rPr>
          <w:rFonts w:hint="eastAsia" w:cs="仿宋_GB2312" w:asciiTheme="minorEastAsia" w:hAnsiTheme="minorEastAsia" w:eastAsiaTheme="minorEastAsia"/>
          <w:color w:val="auto"/>
          <w:sz w:val="21"/>
          <w:szCs w:val="21"/>
          <w:highlight w:val="none"/>
        </w:rPr>
        <w:t>(供应商全称)授权</w:t>
      </w:r>
      <w:r>
        <w:rPr>
          <w:rFonts w:hint="eastAsia" w:cs="仿宋_GB2312" w:asciiTheme="minorEastAsia" w:hAnsiTheme="minorEastAsia" w:eastAsiaTheme="minorEastAsia"/>
          <w:color w:val="auto"/>
          <w:kern w:val="0"/>
          <w:sz w:val="21"/>
          <w:szCs w:val="21"/>
          <w:highlight w:val="none"/>
          <w:u w:val="single"/>
          <w:lang w:val="zh-CN"/>
        </w:rPr>
        <w:t xml:space="preserve">                      </w:t>
      </w:r>
      <w:r>
        <w:rPr>
          <w:rFonts w:hint="eastAsia" w:cs="仿宋_GB2312" w:asciiTheme="minorEastAsia" w:hAnsiTheme="minorEastAsia" w:eastAsiaTheme="minorEastAsia"/>
          <w:color w:val="auto"/>
          <w:sz w:val="21"/>
          <w:szCs w:val="21"/>
          <w:highlight w:val="none"/>
        </w:rPr>
        <w:t>(全权代表姓名)</w:t>
      </w:r>
      <w:r>
        <w:rPr>
          <w:rFonts w:hint="eastAsia" w:cs="仿宋_GB2312" w:asciiTheme="minorEastAsia" w:hAnsiTheme="minorEastAsia" w:eastAsiaTheme="minorEastAsia"/>
          <w:color w:val="auto"/>
          <w:kern w:val="0"/>
          <w:sz w:val="21"/>
          <w:szCs w:val="21"/>
          <w:highlight w:val="none"/>
          <w:u w:val="single"/>
          <w:lang w:val="zh-CN"/>
        </w:rPr>
        <w:t xml:space="preserve">          </w:t>
      </w:r>
      <w:r>
        <w:rPr>
          <w:rFonts w:hint="eastAsia" w:cs="仿宋_GB2312" w:asciiTheme="minorEastAsia" w:hAnsiTheme="minorEastAsia" w:eastAsiaTheme="minorEastAsia"/>
          <w:color w:val="auto"/>
          <w:sz w:val="21"/>
          <w:szCs w:val="21"/>
          <w:highlight w:val="none"/>
        </w:rPr>
        <w:t>(职务、职称)为全权代表，参加贵方组织的（项目名称）【项目编号：</w:t>
      </w:r>
    </w:p>
    <w:p w14:paraId="7C1A7BE2">
      <w:pPr>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lang w:eastAsia="zh-CN"/>
        </w:rPr>
        <w:t>BHZC2026-J1-990270-BBWH</w:t>
      </w:r>
      <w:r>
        <w:rPr>
          <w:rFonts w:hint="eastAsia" w:cs="仿宋_GB2312" w:asciiTheme="minorEastAsia" w:hAnsiTheme="minorEastAsia" w:eastAsiaTheme="minorEastAsia"/>
          <w:color w:val="auto"/>
          <w:sz w:val="21"/>
          <w:szCs w:val="21"/>
          <w:highlight w:val="none"/>
        </w:rPr>
        <w:t>】的有关活动，并对此项目进行响应。为此：</w:t>
      </w:r>
    </w:p>
    <w:p w14:paraId="5DD77115">
      <w:pPr>
        <w:pStyle w:val="104"/>
        <w:numPr>
          <w:ilvl w:val="0"/>
          <w:numId w:val="14"/>
        </w:numPr>
        <w:snapToGrid w:val="0"/>
        <w:ind w:firstLineChars="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我方承诺响应有效期从提交响应文件的截止之日起</w:t>
      </w:r>
      <w:r>
        <w:rPr>
          <w:rFonts w:hint="eastAsia" w:cs="仿宋_GB2312" w:asciiTheme="minorEastAsia" w:hAnsiTheme="minorEastAsia" w:eastAsiaTheme="minorEastAsia"/>
          <w:color w:val="auto"/>
          <w:sz w:val="21"/>
          <w:szCs w:val="21"/>
          <w:highlight w:val="none"/>
          <w:u w:val="single"/>
        </w:rPr>
        <w:t xml:space="preserve">     </w:t>
      </w:r>
      <w:r>
        <w:rPr>
          <w:rFonts w:hint="eastAsia" w:cs="仿宋_GB2312" w:asciiTheme="minorEastAsia" w:hAnsiTheme="minorEastAsia" w:eastAsiaTheme="minorEastAsia"/>
          <w:color w:val="auto"/>
          <w:sz w:val="21"/>
          <w:szCs w:val="21"/>
          <w:highlight w:val="none"/>
        </w:rPr>
        <w:t>天，</w:t>
      </w:r>
      <w:r>
        <w:rPr>
          <w:rFonts w:hint="eastAsia" w:cs="宋体" w:asciiTheme="minorEastAsia" w:hAnsiTheme="minorEastAsia" w:eastAsiaTheme="minorEastAsia"/>
          <w:color w:val="auto"/>
          <w:sz w:val="21"/>
          <w:szCs w:val="21"/>
          <w:highlight w:val="none"/>
        </w:rPr>
        <w:t>（不少于60天），</w:t>
      </w:r>
      <w:r>
        <w:rPr>
          <w:rFonts w:hint="eastAsia" w:cs="仿宋_GB2312" w:asciiTheme="minorEastAsia" w:hAnsiTheme="minorEastAsia" w:eastAsiaTheme="minorEastAsia"/>
          <w:color w:val="auto"/>
          <w:sz w:val="21"/>
          <w:szCs w:val="21"/>
          <w:highlight w:val="none"/>
        </w:rPr>
        <w:t>本响应文件在响应有效期满之前均具有约束力。</w:t>
      </w:r>
    </w:p>
    <w:p w14:paraId="033F660E">
      <w:pPr>
        <w:numPr>
          <w:ilvl w:val="0"/>
          <w:numId w:val="14"/>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提供</w:t>
      </w:r>
      <w:r>
        <w:rPr>
          <w:rFonts w:hint="eastAsia" w:cs="仿宋_GB2312" w:asciiTheme="minorEastAsia" w:hAnsiTheme="minorEastAsia" w:eastAsiaTheme="minorEastAsia"/>
          <w:bCs/>
          <w:color w:val="auto"/>
          <w:kern w:val="44"/>
          <w:sz w:val="21"/>
          <w:szCs w:val="21"/>
          <w:highlight w:val="none"/>
        </w:rPr>
        <w:t>谈判文件中</w:t>
      </w:r>
      <w:r>
        <w:rPr>
          <w:rFonts w:hint="eastAsia" w:cs="仿宋_GB2312" w:asciiTheme="minorEastAsia" w:hAnsiTheme="minorEastAsia" w:eastAsiaTheme="minorEastAsia"/>
          <w:color w:val="auto"/>
          <w:sz w:val="21"/>
          <w:szCs w:val="21"/>
          <w:highlight w:val="none"/>
        </w:rPr>
        <w:t>规定的全部响应文件。</w:t>
      </w:r>
    </w:p>
    <w:p w14:paraId="05516C0C">
      <w:pPr>
        <w:numPr>
          <w:ilvl w:val="0"/>
          <w:numId w:val="14"/>
        </w:numPr>
        <w:adjustRightInd/>
        <w:spacing w:line="360" w:lineRule="auto"/>
        <w:rPr>
          <w:rFonts w:cs="仿宋_GB2312"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我方承诺除响应文件列出的偏离外，我方响应谈判文件的全部要求。</w:t>
      </w:r>
    </w:p>
    <w:p w14:paraId="0D11BB52">
      <w:pPr>
        <w:numPr>
          <w:ilvl w:val="0"/>
          <w:numId w:val="14"/>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保证遵守谈判文件中的其他有关规定。</w:t>
      </w:r>
    </w:p>
    <w:p w14:paraId="359653C0">
      <w:pPr>
        <w:numPr>
          <w:ilvl w:val="0"/>
          <w:numId w:val="14"/>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我方愿意向贵方提供任何与该项目响应有关的数据、情况和技术资料。若贵方需要，我方愿意提供我方作出的一切承诺的证明材料。</w:t>
      </w:r>
    </w:p>
    <w:p w14:paraId="6D74D734">
      <w:pPr>
        <w:numPr>
          <w:ilvl w:val="0"/>
          <w:numId w:val="14"/>
        </w:numPr>
        <w:adjustRightInd/>
        <w:spacing w:line="360" w:lineRule="auto"/>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我方已详细阅读全部谈判文件，包括谈判文件“更正（延期）公告”（如果有）、参考资料及有关附件，确认无误。</w:t>
      </w:r>
    </w:p>
    <w:p w14:paraId="0559D630">
      <w:pPr>
        <w:numPr>
          <w:ilvl w:val="0"/>
          <w:numId w:val="14"/>
        </w:numPr>
        <w:adjustRightInd/>
        <w:spacing w:line="360" w:lineRule="auto"/>
        <w:rPr>
          <w:rFonts w:cs="仿宋_GB2312"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如我方成交，我方承诺：</w:t>
      </w:r>
    </w:p>
    <w:p w14:paraId="73D120A6">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7.1在收到成交通知书后，在成交通知书规定的期限内与你方签订合同； </w:t>
      </w:r>
    </w:p>
    <w:p w14:paraId="0C40A19F">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7.2在签订合同时不向你方提出附加条件； </w:t>
      </w:r>
    </w:p>
    <w:p w14:paraId="241AF462">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7.3按照谈判文件要求提交履约保证金； </w:t>
      </w:r>
    </w:p>
    <w:p w14:paraId="27ACD583">
      <w:pPr>
        <w:snapToGrid w:val="0"/>
        <w:spacing w:line="360" w:lineRule="auto"/>
        <w:ind w:left="210" w:leftChars="100" w:firstLine="420"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 xml:space="preserve">7.4在合同约定的期限内完成合同规定的全部义务。 </w:t>
      </w:r>
    </w:p>
    <w:p w14:paraId="7A85A61F">
      <w:pPr>
        <w:numPr>
          <w:ilvl w:val="0"/>
          <w:numId w:val="14"/>
        </w:numPr>
        <w:adjustRightInd/>
        <w:spacing w:line="360" w:lineRule="auto"/>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其他补充说明:                                        。</w:t>
      </w:r>
    </w:p>
    <w:p w14:paraId="1FC49BFD">
      <w:pPr>
        <w:autoSpaceDE w:val="0"/>
        <w:autoSpaceDN w:val="0"/>
        <w:spacing w:line="360" w:lineRule="auto"/>
        <w:ind w:firstLine="3465" w:firstLineChars="1650"/>
        <w:rPr>
          <w:rFonts w:cs="仿宋_GB2312" w:asciiTheme="minorEastAsia" w:hAnsiTheme="minorEastAsia" w:eastAsiaTheme="minorEastAsia"/>
          <w:color w:val="auto"/>
          <w:kern w:val="0"/>
          <w:sz w:val="21"/>
          <w:szCs w:val="21"/>
          <w:highlight w:val="none"/>
          <w:lang w:val="zh-CN"/>
        </w:rPr>
      </w:pPr>
    </w:p>
    <w:p w14:paraId="6D6943B9">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谈判供应商名称（公章）：</w:t>
      </w:r>
    </w:p>
    <w:p w14:paraId="0F14D826">
      <w:pPr>
        <w:spacing w:line="360" w:lineRule="auto"/>
        <w:ind w:firstLine="3150" w:firstLineChars="1500"/>
        <w:rPr>
          <w:rFonts w:ascii="宋体" w:hAnsi="宋体" w:cs="宋体"/>
          <w:color w:val="auto"/>
          <w:sz w:val="21"/>
          <w:szCs w:val="21"/>
          <w:highlight w:val="none"/>
        </w:rPr>
      </w:pPr>
      <w:r>
        <w:rPr>
          <w:rFonts w:hint="eastAsia" w:ascii="宋体" w:hAnsi="宋体" w:cs="宋体"/>
          <w:color w:val="auto"/>
          <w:sz w:val="21"/>
          <w:szCs w:val="21"/>
          <w:highlight w:val="none"/>
        </w:rPr>
        <w:t xml:space="preserve">法定代表人（负责人）或委托代理人(签名)：                          </w:t>
      </w:r>
    </w:p>
    <w:p w14:paraId="52B57328">
      <w:pPr>
        <w:spacing w:line="360" w:lineRule="auto"/>
        <w:jc w:val="center"/>
        <w:rPr>
          <w:rFonts w:ascii="宋体" w:hAnsi="宋体" w:cs="宋体"/>
          <w:color w:val="auto"/>
          <w:sz w:val="21"/>
          <w:szCs w:val="21"/>
          <w:highlight w:val="none"/>
        </w:rPr>
      </w:pPr>
      <w:r>
        <w:rPr>
          <w:rFonts w:hint="eastAsia" w:ascii="宋体" w:hAnsi="宋体" w:cs="宋体"/>
          <w:color w:val="auto"/>
          <w:sz w:val="21"/>
          <w:szCs w:val="21"/>
          <w:highlight w:val="none"/>
        </w:rPr>
        <w:t xml:space="preserve">     日期：  年   月   日</w:t>
      </w:r>
    </w:p>
    <w:p w14:paraId="0E4468F1">
      <w:pPr>
        <w:spacing w:line="360" w:lineRule="auto"/>
        <w:ind w:right="42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注：按本格式和要求提供。</w:t>
      </w:r>
    </w:p>
    <w:p w14:paraId="23BC1BF6">
      <w:pPr>
        <w:pStyle w:val="31"/>
        <w:spacing w:line="360" w:lineRule="auto"/>
        <w:ind w:firstLine="480" w:firstLineChars="200"/>
        <w:rPr>
          <w:rFonts w:hint="eastAsia" w:cs="宋体" w:asciiTheme="minorEastAsia" w:hAnsiTheme="minorEastAsia" w:eastAsiaTheme="minorEastAsia"/>
          <w:color w:val="auto"/>
          <w:sz w:val="24"/>
          <w:highlight w:val="none"/>
        </w:rPr>
      </w:pPr>
    </w:p>
    <w:p w14:paraId="4BCD9623">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34C976B8">
      <w:pPr>
        <w:pStyle w:val="31"/>
        <w:spacing w:line="360" w:lineRule="auto"/>
        <w:rPr>
          <w:rFonts w:hint="eastAsia" w:cs="宋体" w:asciiTheme="minorEastAsia" w:hAnsiTheme="minorEastAsia" w:eastAsiaTheme="minorEastAsia"/>
          <w:b/>
          <w:bCs/>
          <w:color w:val="auto"/>
          <w:sz w:val="21"/>
          <w:szCs w:val="21"/>
          <w:highlight w:val="none"/>
          <w:lang w:val="en-US" w:eastAsia="zh-CN"/>
        </w:rPr>
      </w:pPr>
      <w:r>
        <w:rPr>
          <w:rFonts w:hint="eastAsia" w:asciiTheme="minorEastAsia" w:hAnsiTheme="minorEastAsia" w:eastAsiaTheme="minorEastAsia"/>
          <w:b/>
          <w:bCs/>
          <w:color w:val="auto"/>
          <w:sz w:val="21"/>
          <w:szCs w:val="21"/>
          <w:highlight w:val="none"/>
          <w:lang w:val="en-US" w:eastAsia="zh-CN"/>
        </w:rPr>
        <w:t>2、</w:t>
      </w:r>
      <w:r>
        <w:rPr>
          <w:rFonts w:hint="eastAsia" w:asciiTheme="minorEastAsia" w:hAnsiTheme="minorEastAsia" w:eastAsiaTheme="minorEastAsia"/>
          <w:b/>
          <w:bCs/>
          <w:color w:val="auto"/>
          <w:sz w:val="21"/>
          <w:szCs w:val="21"/>
          <w:highlight w:val="none"/>
        </w:rPr>
        <w:t>承诺函</w:t>
      </w:r>
    </w:p>
    <w:p w14:paraId="38CF8FAE">
      <w:pPr>
        <w:jc w:val="center"/>
        <w:rPr>
          <w:rFonts w:ascii="宋体" w:hAnsi="宋体" w:cs="宋体"/>
          <w:b/>
          <w:color w:val="auto"/>
          <w:kern w:val="0"/>
          <w:sz w:val="32"/>
          <w:szCs w:val="21"/>
          <w:highlight w:val="none"/>
        </w:rPr>
      </w:pPr>
      <w:r>
        <w:rPr>
          <w:rFonts w:hint="eastAsia" w:ascii="宋体" w:hAnsi="宋体" w:cs="宋体"/>
          <w:b/>
          <w:color w:val="auto"/>
          <w:kern w:val="0"/>
          <w:sz w:val="32"/>
          <w:szCs w:val="21"/>
          <w:highlight w:val="none"/>
        </w:rPr>
        <w:t>承诺函</w:t>
      </w:r>
    </w:p>
    <w:p w14:paraId="1FC23A75">
      <w:pPr>
        <w:widowControl/>
        <w:adjustRightInd/>
        <w:ind w:firstLine="640" w:firstLineChars="200"/>
        <w:jc w:val="left"/>
        <w:rPr>
          <w:rFonts w:ascii="宋体" w:hAnsi="宋体" w:cs="宋体"/>
          <w:color w:val="auto"/>
          <w:kern w:val="0"/>
          <w:sz w:val="32"/>
          <w:szCs w:val="21"/>
          <w:highlight w:val="none"/>
        </w:rPr>
      </w:pPr>
    </w:p>
    <w:p w14:paraId="72FB1AA0">
      <w:pPr>
        <w:snapToGrid w:val="0"/>
        <w:spacing w:line="360" w:lineRule="auto"/>
        <w:rPr>
          <w:rFonts w:ascii="宋体" w:hAnsi="宋体" w:cs="宋体"/>
          <w:color w:val="auto"/>
          <w:kern w:val="0"/>
          <w:sz w:val="21"/>
          <w:szCs w:val="21"/>
          <w:highlight w:val="none"/>
        </w:rPr>
      </w:pPr>
      <w:r>
        <w:rPr>
          <w:rFonts w:hint="eastAsia" w:ascii="宋体" w:hAnsi="宋体" w:cs="宋体"/>
          <w:color w:val="auto"/>
          <w:sz w:val="21"/>
          <w:szCs w:val="21"/>
          <w:highlight w:val="none"/>
        </w:rPr>
        <w:t>（采购人）、（采购代理机构）</w:t>
      </w:r>
      <w:r>
        <w:rPr>
          <w:rFonts w:hint="eastAsia" w:ascii="宋体" w:hAnsi="宋体" w:cs="宋体"/>
          <w:color w:val="auto"/>
          <w:kern w:val="0"/>
          <w:sz w:val="21"/>
          <w:szCs w:val="21"/>
          <w:highlight w:val="none"/>
          <w:lang w:val="zh-CN"/>
        </w:rPr>
        <w:t>：</w:t>
      </w:r>
    </w:p>
    <w:p w14:paraId="7372ED13">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我方作为本次采购项目的谈判供应商，根据谈判文件要求，现郑重承诺如下：</w:t>
      </w:r>
    </w:p>
    <w:p w14:paraId="3F79206E">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一、我方已认真阅读并接受本项目谈判文件第三部分的全部实质性要求，如对谈判文件有异议，已依法进行维权救济，不存在对谈判文件有异议的同时又参加谈判以求侥幸成交或者为实现其他非法目的的行为。</w:t>
      </w:r>
    </w:p>
    <w:p w14:paraId="36628DED">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二、参加本次谈判采购活动，不存在与单位负责人为同一人或者存在直接控股、管理关系的其他供应商参与同一合同项下的政府采购活动的行为。</w:t>
      </w:r>
    </w:p>
    <w:p w14:paraId="52062714">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三、为采购项目提供整体设计、规范编制或者项目管理、监理、检测等服务的供应商，不得再参加该采购项目的其他采购活动，我方承诺不属于此类禁止参加本项目的供应商。</w:t>
      </w:r>
    </w:p>
    <w:p w14:paraId="14167C80">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四、参加本次谈判采购活动，不存在和其他供应商在同一合同项下的采购项目中，同时委托同一个自然人、同一家庭的人员、同一单位的人员作为代理人的行为。</w:t>
      </w:r>
    </w:p>
    <w:p w14:paraId="5C28124E">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五、响应文件中提供的能够给予我方带来优惠、好处的任何材料资料和技术、服务、商务、响应产品等响应承诺情况都是真实的、有效的、合法的。</w:t>
      </w:r>
    </w:p>
    <w:p w14:paraId="2AC86C3D">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六、如本项目评审过程中需要提供样品，则我方提供的样品即为成交后将要提供的成交产品，我方对提供样品的性能和质量负责，因样品存在缺陷或者不符合谈判文件要求导致未能成交的，我方愿意承担相应不利后果。</w:t>
      </w:r>
    </w:p>
    <w:p w14:paraId="3E9D7A44">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七、国家或行业主管部门对采购产品的技术标准、质量标准和资格资质条件等有强制性规定的，我方承诺符合其要求。</w:t>
      </w:r>
    </w:p>
    <w:p w14:paraId="05500169">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八、参加本次谈判采购活动，我方完全同意谈判文件第三部分关于“谈判费用”、“合同分包”、“合同转包”、“履约保证金”的实质性要求，并承诺严格按照谈判文件要求履行。</w:t>
      </w:r>
    </w:p>
    <w:p w14:paraId="3CC078AC">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响应报价中已包括合法获取该知识产权的相关费用。</w:t>
      </w:r>
    </w:p>
    <w:p w14:paraId="4DD1B974">
      <w:pPr>
        <w:widowControl/>
        <w:adjustRightInd/>
        <w:spacing w:line="360" w:lineRule="auto"/>
        <w:ind w:firstLine="420" w:firstLineChars="200"/>
        <w:jc w:val="left"/>
        <w:rPr>
          <w:rFonts w:ascii="宋体" w:hAnsi="宋体" w:cs="宋体"/>
          <w:color w:val="auto"/>
          <w:kern w:val="0"/>
          <w:sz w:val="21"/>
          <w:szCs w:val="21"/>
          <w:highlight w:val="none"/>
        </w:rPr>
      </w:pPr>
      <w:r>
        <w:rPr>
          <w:rFonts w:hint="eastAsia" w:ascii="宋体" w:hAnsi="宋体" w:cs="宋体"/>
          <w:color w:val="auto"/>
          <w:kern w:val="0"/>
          <w:sz w:val="21"/>
          <w:szCs w:val="21"/>
          <w:highlight w:val="none"/>
        </w:rPr>
        <w:t>我方对上述承诺的内容事项真实性负责。如经查实上述承诺的内容事项存在虚假，我方愿意接受以提供虚假材料谋取中标追究法律责任。</w:t>
      </w:r>
    </w:p>
    <w:p w14:paraId="0BC7368C">
      <w:pPr>
        <w:widowControl/>
        <w:adjustRightInd/>
        <w:spacing w:line="360" w:lineRule="auto"/>
        <w:ind w:firstLine="420" w:firstLineChars="200"/>
        <w:jc w:val="left"/>
        <w:rPr>
          <w:rFonts w:ascii="宋体" w:hAnsi="宋体" w:cs="宋体"/>
          <w:color w:val="auto"/>
          <w:kern w:val="0"/>
          <w:sz w:val="21"/>
          <w:szCs w:val="21"/>
          <w:highlight w:val="none"/>
        </w:rPr>
      </w:pPr>
    </w:p>
    <w:p w14:paraId="51E14B2E">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p>
    <w:p w14:paraId="063EAD4E">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法定代表人（负责人）或委托代理人(签名)：                   </w:t>
      </w:r>
    </w:p>
    <w:p w14:paraId="7E42C95B">
      <w:pPr>
        <w:spacing w:line="360" w:lineRule="auto"/>
        <w:ind w:left="4620" w:leftChars="2200"/>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lang w:val="zh-CN"/>
        </w:rPr>
        <w:t>日期</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kern w:val="0"/>
          <w:sz w:val="21"/>
          <w:szCs w:val="21"/>
          <w:highlight w:val="none"/>
          <w:lang w:val="zh-CN"/>
        </w:rPr>
        <w:t xml:space="preserve">   年   月   日</w:t>
      </w:r>
    </w:p>
    <w:p w14:paraId="4C0AAEAC">
      <w:pPr>
        <w:spacing w:line="360" w:lineRule="auto"/>
        <w:ind w:right="420"/>
        <w:rPr>
          <w:rFonts w:ascii="宋体" w:hAnsi="宋体" w:cs="宋体"/>
          <w:color w:val="auto"/>
          <w:sz w:val="21"/>
          <w:szCs w:val="21"/>
          <w:highlight w:val="none"/>
        </w:rPr>
      </w:pPr>
      <w:r>
        <w:rPr>
          <w:rFonts w:hint="eastAsia" w:ascii="宋体" w:hAnsi="宋体" w:cs="宋体"/>
          <w:color w:val="auto"/>
          <w:sz w:val="21"/>
          <w:szCs w:val="21"/>
          <w:highlight w:val="none"/>
        </w:rPr>
        <w:t>注：按本格式和要求提供。</w:t>
      </w:r>
    </w:p>
    <w:p w14:paraId="3AB843E4">
      <w:pPr>
        <w:rPr>
          <w:rFonts w:hint="eastAsia" w:asciiTheme="minorEastAsia" w:hAnsiTheme="minorEastAsia" w:eastAsiaTheme="minorEastAsia"/>
          <w:b/>
          <w:bCs/>
          <w:color w:val="auto"/>
          <w:sz w:val="21"/>
          <w:szCs w:val="21"/>
          <w:highlight w:val="none"/>
          <w:lang w:val="en-US" w:eastAsia="zh-CN"/>
        </w:rPr>
      </w:pPr>
      <w:r>
        <w:rPr>
          <w:rFonts w:hint="eastAsia" w:asciiTheme="minorEastAsia" w:hAnsiTheme="minorEastAsia" w:eastAsiaTheme="minorEastAsia"/>
          <w:b/>
          <w:bCs/>
          <w:color w:val="auto"/>
          <w:sz w:val="21"/>
          <w:szCs w:val="21"/>
          <w:highlight w:val="none"/>
          <w:lang w:val="en-US" w:eastAsia="zh-CN"/>
        </w:rPr>
        <w:br w:type="page"/>
      </w:r>
    </w:p>
    <w:p w14:paraId="3D4F58C1">
      <w:pPr>
        <w:pStyle w:val="31"/>
        <w:spacing w:line="360" w:lineRule="auto"/>
        <w:rPr>
          <w:rFonts w:hint="eastAsia" w:cs="Times New Roman" w:asciiTheme="minorEastAsia" w:hAnsiTheme="minorEastAsia" w:eastAsiaTheme="minorEastAsia"/>
          <w:b/>
          <w:bCs/>
          <w:color w:val="auto"/>
          <w:sz w:val="21"/>
          <w:szCs w:val="21"/>
          <w:highlight w:val="none"/>
        </w:rPr>
      </w:pPr>
      <w:r>
        <w:rPr>
          <w:rFonts w:hint="eastAsia" w:asciiTheme="minorEastAsia" w:hAnsiTheme="minorEastAsia" w:eastAsiaTheme="minorEastAsia"/>
          <w:b/>
          <w:bCs/>
          <w:color w:val="auto"/>
          <w:sz w:val="21"/>
          <w:szCs w:val="21"/>
          <w:highlight w:val="none"/>
          <w:lang w:val="en-US" w:eastAsia="zh-CN"/>
        </w:rPr>
        <w:t>3、</w:t>
      </w:r>
      <w:r>
        <w:rPr>
          <w:rFonts w:hint="eastAsia" w:cs="Times New Roman" w:asciiTheme="minorEastAsia" w:hAnsiTheme="minorEastAsia" w:eastAsiaTheme="minorEastAsia"/>
          <w:b/>
          <w:bCs/>
          <w:color w:val="auto"/>
          <w:sz w:val="21"/>
          <w:szCs w:val="21"/>
          <w:highlight w:val="none"/>
          <w:lang w:val="zh-CN"/>
        </w:rPr>
        <w:t>政府采购供应商廉洁自律承诺书</w:t>
      </w:r>
    </w:p>
    <w:p w14:paraId="4BE2AC49">
      <w:pPr>
        <w:tabs>
          <w:tab w:val="left" w:pos="0"/>
        </w:tabs>
        <w:autoSpaceDE w:val="0"/>
        <w:autoSpaceDN w:val="0"/>
        <w:spacing w:line="360" w:lineRule="auto"/>
        <w:jc w:val="center"/>
        <w:rPr>
          <w:rFonts w:hint="eastAsia" w:cs="宋体" w:asciiTheme="minorEastAsia" w:hAnsiTheme="minorEastAsia" w:eastAsiaTheme="minorEastAsia"/>
          <w:b/>
          <w:color w:val="auto"/>
          <w:kern w:val="0"/>
          <w:sz w:val="32"/>
          <w:szCs w:val="32"/>
          <w:highlight w:val="none"/>
          <w:lang w:val="zh-CN"/>
        </w:rPr>
      </w:pPr>
    </w:p>
    <w:p w14:paraId="2660C0F3">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highlight w:val="none"/>
        </w:rPr>
      </w:pPr>
      <w:r>
        <w:rPr>
          <w:rFonts w:hint="eastAsia" w:cs="宋体" w:asciiTheme="minorEastAsia" w:hAnsiTheme="minorEastAsia" w:eastAsiaTheme="minorEastAsia"/>
          <w:b/>
          <w:color w:val="auto"/>
          <w:kern w:val="0"/>
          <w:sz w:val="32"/>
          <w:szCs w:val="32"/>
          <w:highlight w:val="none"/>
          <w:lang w:val="zh-CN"/>
        </w:rPr>
        <w:t>政府采购供应商廉洁自律承诺书</w:t>
      </w:r>
    </w:p>
    <w:p w14:paraId="55AF1D9C">
      <w:pPr>
        <w:autoSpaceDE w:val="0"/>
        <w:autoSpaceDN w:val="0"/>
        <w:spacing w:line="360" w:lineRule="auto"/>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sz w:val="21"/>
          <w:szCs w:val="21"/>
          <w:highlight w:val="none"/>
        </w:rPr>
        <w:t>（采购人）</w:t>
      </w:r>
      <w:r>
        <w:rPr>
          <w:rFonts w:hint="eastAsia" w:cs="仿宋_GB2312" w:asciiTheme="minorEastAsia" w:hAnsiTheme="minorEastAsia" w:eastAsiaTheme="minorEastAsia"/>
          <w:color w:val="auto"/>
          <w:kern w:val="0"/>
          <w:sz w:val="21"/>
          <w:szCs w:val="21"/>
          <w:highlight w:val="none"/>
          <w:lang w:val="zh-CN"/>
        </w:rPr>
        <w:t xml:space="preserve">：    </w:t>
      </w:r>
    </w:p>
    <w:p w14:paraId="1620EF3B">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我单位响应你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项目采购要求参加响应。在这次响应过程中和成交后，我们将严格遵守国家法律法规要求，并郑重承诺：</w:t>
      </w:r>
    </w:p>
    <w:p w14:paraId="6F0ECD72">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一、不向项目有关人员及部门赠送礼金礼物、有价证券、回扣以及中介费、介绍费、咨询费等好处费； </w:t>
      </w:r>
    </w:p>
    <w:p w14:paraId="3778EAA4">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二、不为项目有关人员及部门报销应由你方单位或个人支付的费用； </w:t>
      </w:r>
    </w:p>
    <w:p w14:paraId="0D05F457">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三、不向项目有关人员及部门提供有可能影响公正的宴请和健身娱乐等活动； </w:t>
      </w:r>
    </w:p>
    <w:p w14:paraId="739F69AA">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四、不为项目有关人员及部门出国（境）、旅游等提供方便；</w:t>
      </w:r>
    </w:p>
    <w:p w14:paraId="023A2C09">
      <w:pPr>
        <w:autoSpaceDE w:val="0"/>
        <w:autoSpaceDN w:val="0"/>
        <w:spacing w:line="360" w:lineRule="auto"/>
        <w:ind w:left="481" w:leftChars="229"/>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五、不为项目有关人员个人装修住房、婚丧嫁娶、配偶子女工作安排等提供</w:t>
      </w:r>
    </w:p>
    <w:p w14:paraId="5017160B">
      <w:pPr>
        <w:autoSpaceDE w:val="0"/>
        <w:autoSpaceDN w:val="0"/>
        <w:spacing w:line="360" w:lineRule="auto"/>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好处；</w:t>
      </w:r>
    </w:p>
    <w:p w14:paraId="1403A15D">
      <w:pPr>
        <w:autoSpaceDE w:val="0"/>
        <w:autoSpaceDN w:val="0"/>
        <w:spacing w:line="360" w:lineRule="auto"/>
        <w:ind w:left="2" w:leftChars="1"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六、严格遵守《中华人民共和国政府采购法》《中华人民共和国招标投标法》《中华人民共和国民法典》等法律法规，诚实守信，合法经营，坚决抵制各种违法违纪行为。 </w:t>
      </w:r>
    </w:p>
    <w:p w14:paraId="7BF2A046">
      <w:pPr>
        <w:autoSpaceDE w:val="0"/>
        <w:autoSpaceDN w:val="0"/>
        <w:spacing w:line="360" w:lineRule="auto"/>
        <w:ind w:firstLine="420" w:firstLineChars="2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如违反上述承诺，你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1"/>
          <w:szCs w:val="21"/>
          <w:highlight w:val="none"/>
        </w:rPr>
        <w:t>单位</w:t>
      </w:r>
      <w:r>
        <w:rPr>
          <w:rFonts w:hint="eastAsia" w:cs="仿宋_GB2312" w:asciiTheme="minorEastAsia" w:hAnsiTheme="minorEastAsia" w:eastAsiaTheme="minorEastAsia"/>
          <w:color w:val="auto"/>
          <w:kern w:val="0"/>
          <w:sz w:val="21"/>
          <w:szCs w:val="21"/>
          <w:highlight w:val="none"/>
          <w:lang w:val="zh-CN"/>
        </w:rPr>
        <w:t>进行项目建设或其他经营活动，并通报市财政局。由此引起的相应损失均由我单位承担。</w:t>
      </w:r>
    </w:p>
    <w:p w14:paraId="396B93A1">
      <w:pPr>
        <w:autoSpaceDE w:val="0"/>
        <w:autoSpaceDN w:val="0"/>
        <w:spacing w:line="360" w:lineRule="auto"/>
        <w:ind w:left="2"/>
        <w:jc w:val="left"/>
        <w:rPr>
          <w:rFonts w:cs="仿宋_GB2312" w:asciiTheme="minorEastAsia" w:hAnsiTheme="minorEastAsia" w:eastAsiaTheme="minorEastAsia"/>
          <w:color w:val="auto"/>
          <w:kern w:val="0"/>
          <w:sz w:val="21"/>
          <w:szCs w:val="21"/>
          <w:highlight w:val="none"/>
          <w:lang w:val="zh-CN"/>
        </w:rPr>
      </w:pPr>
    </w:p>
    <w:p w14:paraId="7176EC79">
      <w:pPr>
        <w:autoSpaceDE w:val="0"/>
        <w:autoSpaceDN w:val="0"/>
        <w:spacing w:line="360" w:lineRule="auto"/>
        <w:ind w:left="2"/>
        <w:jc w:val="left"/>
        <w:rPr>
          <w:rFonts w:cs="仿宋_GB2312" w:asciiTheme="minorEastAsia" w:hAnsiTheme="minorEastAsia" w:eastAsiaTheme="minorEastAsia"/>
          <w:color w:val="auto"/>
          <w:kern w:val="0"/>
          <w:sz w:val="21"/>
          <w:szCs w:val="21"/>
          <w:highlight w:val="none"/>
          <w:lang w:val="zh-CN"/>
        </w:rPr>
      </w:pPr>
    </w:p>
    <w:p w14:paraId="03A2993C">
      <w:pPr>
        <w:autoSpaceDE w:val="0"/>
        <w:autoSpaceDN w:val="0"/>
        <w:spacing w:line="360" w:lineRule="auto"/>
        <w:ind w:left="2"/>
        <w:jc w:val="left"/>
        <w:rPr>
          <w:rFonts w:cs="仿宋_GB2312" w:asciiTheme="minorEastAsia" w:hAnsiTheme="minorEastAsia" w:eastAsiaTheme="minorEastAsia"/>
          <w:color w:val="auto"/>
          <w:kern w:val="0"/>
          <w:sz w:val="21"/>
          <w:szCs w:val="21"/>
          <w:highlight w:val="none"/>
          <w:lang w:val="zh-CN"/>
        </w:rPr>
      </w:pPr>
    </w:p>
    <w:p w14:paraId="5CCDF479">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rPr>
      </w:pP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p>
    <w:p w14:paraId="5E2402A1">
      <w:pPr>
        <w:autoSpaceDE w:val="0"/>
        <w:autoSpaceDN w:val="0"/>
        <w:spacing w:line="360" w:lineRule="auto"/>
        <w:ind w:left="2" w:leftChars="1" w:firstLine="3990" w:firstLineChars="1900"/>
        <w:jc w:val="left"/>
        <w:rPr>
          <w:rFonts w:cs="仿宋_GB2312" w:asciiTheme="minorEastAsia" w:hAnsiTheme="minorEastAsia" w:eastAsiaTheme="minorEastAsia"/>
          <w:color w:val="auto"/>
          <w:kern w:val="0"/>
          <w:sz w:val="21"/>
          <w:szCs w:val="21"/>
          <w:highlight w:val="none"/>
          <w:lang w:val="zh-CN"/>
        </w:rPr>
      </w:pPr>
      <w:r>
        <w:rPr>
          <w:rFonts w:hint="eastAsia" w:cs="仿宋_GB2312" w:asciiTheme="minorEastAsia" w:hAnsiTheme="minorEastAsia" w:eastAsiaTheme="minorEastAsia"/>
          <w:color w:val="auto"/>
          <w:kern w:val="0"/>
          <w:sz w:val="21"/>
          <w:szCs w:val="21"/>
          <w:highlight w:val="none"/>
          <w:lang w:val="zh-CN"/>
        </w:rPr>
        <w:t xml:space="preserve">法定代表人（负责人）或委托代理人(签名)：                   </w:t>
      </w:r>
    </w:p>
    <w:p w14:paraId="4199F30C">
      <w:pPr>
        <w:spacing w:line="360" w:lineRule="auto"/>
        <w:ind w:left="4620" w:leftChars="2200"/>
        <w:rPr>
          <w:rFonts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kern w:val="0"/>
          <w:sz w:val="21"/>
          <w:szCs w:val="21"/>
          <w:highlight w:val="none"/>
          <w:lang w:val="zh-CN"/>
        </w:rPr>
        <w:t>日期</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kern w:val="0"/>
          <w:sz w:val="21"/>
          <w:szCs w:val="21"/>
          <w:highlight w:val="none"/>
          <w:lang w:val="zh-CN"/>
        </w:rPr>
        <w:t xml:space="preserve">   年   月   日</w:t>
      </w:r>
    </w:p>
    <w:p w14:paraId="094FE8FA">
      <w:pPr>
        <w:pStyle w:val="31"/>
        <w:spacing w:line="360" w:lineRule="auto"/>
        <w:ind w:firstLine="420" w:firstLineChars="200"/>
        <w:rPr>
          <w:rFonts w:hint="eastAsia" w:cs="宋体" w:asciiTheme="minorEastAsia" w:hAnsiTheme="minorEastAsia" w:eastAsiaTheme="minorEastAsia"/>
          <w:color w:val="auto"/>
          <w:sz w:val="21"/>
          <w:szCs w:val="21"/>
          <w:highlight w:val="none"/>
        </w:rPr>
      </w:pPr>
    </w:p>
    <w:p w14:paraId="24068F87">
      <w:pPr>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r>
    </w:p>
    <w:p w14:paraId="77441E00">
      <w:pPr>
        <w:pStyle w:val="31"/>
        <w:spacing w:line="360" w:lineRule="auto"/>
        <w:rPr>
          <w:rFonts w:hint="eastAsia" w:hAnsi="宋体" w:cs="宋体"/>
          <w:color w:val="auto"/>
          <w:sz w:val="24"/>
          <w:highlight w:val="none"/>
        </w:rPr>
      </w:pPr>
      <w:r>
        <w:rPr>
          <w:rFonts w:hint="eastAsia" w:asciiTheme="minorEastAsia" w:hAnsiTheme="minorEastAsia" w:eastAsiaTheme="minorEastAsia"/>
          <w:b/>
          <w:bCs/>
          <w:color w:val="auto"/>
          <w:sz w:val="21"/>
          <w:szCs w:val="21"/>
          <w:highlight w:val="none"/>
          <w:lang w:val="en-US" w:eastAsia="zh-CN"/>
        </w:rPr>
        <w:t>4、</w:t>
      </w:r>
      <w:r>
        <w:rPr>
          <w:rFonts w:hint="eastAsia" w:hAnsi="宋体" w:cs="宋体"/>
          <w:b/>
          <w:bCs/>
          <w:color w:val="auto"/>
          <w:sz w:val="21"/>
          <w:szCs w:val="21"/>
          <w:highlight w:val="none"/>
        </w:rPr>
        <w:t>授权委托书或法定代表人（单位负责人、自然人本人）身份证明</w:t>
      </w:r>
    </w:p>
    <w:p w14:paraId="33DB8F65">
      <w:pPr>
        <w:widowControl/>
        <w:spacing w:line="360" w:lineRule="auto"/>
        <w:jc w:val="center"/>
        <w:rPr>
          <w:rFonts w:hint="eastAsia" w:ascii="宋体" w:hAnsi="宋体" w:eastAsia="宋体" w:cs="宋体"/>
          <w:b/>
          <w:color w:val="auto"/>
          <w:kern w:val="0"/>
          <w:sz w:val="32"/>
          <w:szCs w:val="32"/>
          <w:highlight w:val="none"/>
          <w:lang w:val="zh-CN"/>
        </w:rPr>
      </w:pPr>
    </w:p>
    <w:p w14:paraId="4851FBF3">
      <w:pPr>
        <w:widowControl/>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法人授权书</w:t>
      </w:r>
    </w:p>
    <w:p w14:paraId="36D53789">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（采购人）、（采购代理机构）</w:t>
      </w:r>
      <w:r>
        <w:rPr>
          <w:rFonts w:hint="eastAsia" w:ascii="宋体" w:hAnsi="宋体" w:eastAsia="宋体" w:cs="宋体"/>
          <w:color w:val="auto"/>
          <w:kern w:val="0"/>
          <w:sz w:val="21"/>
          <w:szCs w:val="21"/>
          <w:highlight w:val="none"/>
          <w:lang w:val="zh-CN"/>
        </w:rPr>
        <w:t>：</w:t>
      </w:r>
    </w:p>
    <w:p w14:paraId="3E2CDF2F">
      <w:pPr>
        <w:snapToGrid w:val="0"/>
        <w:spacing w:line="360" w:lineRule="auto"/>
        <w:ind w:firstLine="576"/>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兹委派我公司</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先生/女士(其在本公司的职务是：</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 xml:space="preserve"> ，联系电话：</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手机：</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传真：</w:t>
      </w:r>
      <w:r>
        <w:rPr>
          <w:rFonts w:hint="eastAsia" w:ascii="宋体" w:hAnsi="宋体" w:eastAsia="宋体" w:cs="宋体"/>
          <w:color w:val="auto"/>
          <w:kern w:val="0"/>
          <w:sz w:val="21"/>
          <w:szCs w:val="21"/>
          <w:highlight w:val="none"/>
          <w:u w:val="single"/>
          <w:lang w:val="zh-CN"/>
        </w:rPr>
        <w:t xml:space="preserve">           </w:t>
      </w:r>
      <w:r>
        <w:rPr>
          <w:rFonts w:hint="eastAsia" w:ascii="宋体" w:hAnsi="宋体" w:eastAsia="宋体" w:cs="宋体"/>
          <w:color w:val="auto"/>
          <w:kern w:val="0"/>
          <w:sz w:val="21"/>
          <w:szCs w:val="21"/>
          <w:highlight w:val="none"/>
          <w:lang w:val="zh-CN"/>
        </w:rPr>
        <w:t>)，代表我公司全权处理</w:t>
      </w:r>
      <w:r>
        <w:rPr>
          <w:rFonts w:hint="eastAsia" w:ascii="宋体" w:hAnsi="宋体" w:eastAsia="宋体" w:cs="宋体"/>
          <w:color w:val="auto"/>
          <w:sz w:val="21"/>
          <w:szCs w:val="21"/>
          <w:highlight w:val="none"/>
        </w:rPr>
        <w:t>（项目名称）【项目编号：</w:t>
      </w:r>
    </w:p>
    <w:p w14:paraId="17570523">
      <w:pPr>
        <w:snapToGrid w:val="0"/>
        <w:spacing w:line="360" w:lineRule="auto"/>
        <w:ind w:firstLine="576"/>
        <w:rPr>
          <w:rFonts w:hint="eastAsia" w:ascii="宋体" w:hAnsi="宋体" w:eastAsia="宋体" w:cs="宋体"/>
          <w:color w:val="auto"/>
          <w:kern w:val="0"/>
          <w:sz w:val="21"/>
          <w:szCs w:val="21"/>
          <w:highlight w:val="none"/>
        </w:rPr>
      </w:pPr>
      <w:r>
        <w:rPr>
          <w:rFonts w:hint="eastAsia" w:ascii="宋体" w:hAnsi="宋体" w:cs="宋体"/>
          <w:color w:val="auto"/>
          <w:sz w:val="21"/>
          <w:szCs w:val="21"/>
          <w:highlight w:val="none"/>
          <w:lang w:eastAsia="zh-CN"/>
        </w:rPr>
        <w:t>BHZC2026-J1-990270-BBWH</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lang w:val="zh-CN"/>
        </w:rPr>
        <w:t>政府采购响应的一切事项，若成交则全权代表本公司签订相关合同，并负责处理合同履行等事宜。</w:t>
      </w:r>
    </w:p>
    <w:p w14:paraId="7D470BBE">
      <w:pPr>
        <w:snapToGrid w:val="0"/>
        <w:spacing w:line="360" w:lineRule="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本委托书有效期：自    年 月  日起至    年  月  日止。</w:t>
      </w:r>
    </w:p>
    <w:p w14:paraId="0DA2827E">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 xml:space="preserve">    特此告知。</w:t>
      </w:r>
    </w:p>
    <w:p w14:paraId="09332E35">
      <w:pPr>
        <w:spacing w:line="360" w:lineRule="auto"/>
        <w:ind w:left="4649" w:leftChars="2214" w:firstLine="3150" w:firstLineChars="15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 xml:space="preserve">                                                </w:t>
      </w:r>
      <w:r>
        <w:rPr>
          <w:rFonts w:hint="eastAsia" w:ascii="宋体" w:hAnsi="宋体" w:eastAsia="宋体" w:cs="宋体"/>
          <w:color w:val="auto"/>
          <w:sz w:val="21"/>
          <w:szCs w:val="21"/>
          <w:highlight w:val="none"/>
        </w:rPr>
        <w:t>谈判供应商名称（公章）：</w:t>
      </w:r>
    </w:p>
    <w:p w14:paraId="175C94CF">
      <w:pPr>
        <w:snapToGrid w:val="0"/>
        <w:spacing w:line="360" w:lineRule="auto"/>
        <w:ind w:left="4649" w:leftChars="2214"/>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法定代表人（负责人） (签名)：</w:t>
      </w:r>
    </w:p>
    <w:p w14:paraId="6FAFDBCF">
      <w:pPr>
        <w:snapToGrid w:val="0"/>
        <w:spacing w:line="360" w:lineRule="auto"/>
        <w:jc w:val="righ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签发日期：  年  月   日</w:t>
      </w:r>
    </w:p>
    <w:p w14:paraId="196132E9">
      <w:pPr>
        <w:snapToGrid w:val="0"/>
        <w:spacing w:line="360" w:lineRule="auto"/>
        <w:rPr>
          <w:rFonts w:hint="eastAsia" w:ascii="宋体" w:hAnsi="宋体" w:eastAsia="宋体" w:cs="宋体"/>
          <w:color w:val="auto"/>
          <w:kern w:val="0"/>
          <w:sz w:val="21"/>
          <w:szCs w:val="21"/>
          <w:highlight w:val="none"/>
          <w:lang w:val="zh-CN"/>
        </w:rPr>
      </w:pPr>
    </w:p>
    <w:p w14:paraId="7145DA22">
      <w:pPr>
        <w:widowControl/>
        <w:adjustRightInd/>
        <w:jc w:val="left"/>
        <w:rPr>
          <w:rFonts w:hint="eastAsia" w:ascii="宋体" w:hAnsi="宋体" w:eastAsia="宋体" w:cs="宋体"/>
          <w:b/>
          <w:color w:val="auto"/>
          <w:kern w:val="0"/>
          <w:sz w:val="32"/>
          <w:szCs w:val="32"/>
          <w:highlight w:val="none"/>
          <w:lang w:val="zh-CN"/>
        </w:rPr>
      </w:pPr>
    </w:p>
    <w:p w14:paraId="067F6B81">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b/>
          <w:color w:val="auto"/>
          <w:sz w:val="30"/>
          <w:szCs w:val="30"/>
          <w:highlight w:val="none"/>
        </w:rPr>
        <w:t>授权代表的身份证（复印件）</w:t>
      </w:r>
    </w:p>
    <w:p w14:paraId="6AAF5CCF">
      <w:pPr>
        <w:pStyle w:val="618"/>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授权代表身份证件扫描件：</w:t>
      </w:r>
    </w:p>
    <w:tbl>
      <w:tblPr>
        <w:tblStyle w:val="60"/>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2A9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shd w:val="clear" w:color="auto" w:fill="auto"/>
          </w:tcPr>
          <w:p w14:paraId="63315D06">
            <w:pPr>
              <w:pStyle w:val="618"/>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正面：                                 反面：</w:t>
            </w:r>
          </w:p>
          <w:p w14:paraId="5FD0659C">
            <w:pPr>
              <w:pStyle w:val="618"/>
              <w:spacing w:line="360" w:lineRule="auto"/>
              <w:rPr>
                <w:rFonts w:hint="eastAsia" w:ascii="宋体" w:hAnsi="宋体" w:eastAsia="宋体" w:cs="宋体"/>
                <w:bCs/>
                <w:color w:val="auto"/>
                <w:sz w:val="21"/>
                <w:szCs w:val="21"/>
                <w:highlight w:val="none"/>
              </w:rPr>
            </w:pPr>
          </w:p>
        </w:tc>
      </w:tr>
    </w:tbl>
    <w:p w14:paraId="06DD5E52">
      <w:pPr>
        <w:snapToGrid w:val="0"/>
        <w:spacing w:line="360" w:lineRule="auto"/>
        <w:ind w:firstLine="576"/>
        <w:jc w:val="right"/>
        <w:rPr>
          <w:rFonts w:hint="eastAsia" w:ascii="宋体" w:hAnsi="宋体" w:eastAsia="宋体" w:cs="宋体"/>
          <w:color w:val="auto"/>
          <w:kern w:val="0"/>
          <w:sz w:val="21"/>
          <w:szCs w:val="21"/>
          <w:highlight w:val="none"/>
          <w:lang w:val="zh-CN"/>
        </w:rPr>
      </w:pPr>
    </w:p>
    <w:p w14:paraId="0F0F6C87">
      <w:pPr>
        <w:snapToGrid w:val="0"/>
        <w:spacing w:line="360" w:lineRule="auto"/>
        <w:ind w:firstLine="576"/>
        <w:jc w:val="center"/>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谈判供应商名称(公章)：                              </w:t>
      </w:r>
    </w:p>
    <w:p w14:paraId="2318DB52">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color w:val="auto"/>
          <w:kern w:val="0"/>
          <w:sz w:val="21"/>
          <w:szCs w:val="21"/>
          <w:highlight w:val="none"/>
          <w:lang w:val="zh-CN"/>
        </w:rPr>
        <w:t xml:space="preserve">                  日期：  年  月  日</w:t>
      </w:r>
      <w:r>
        <w:rPr>
          <w:rFonts w:hint="eastAsia" w:ascii="宋体" w:hAnsi="宋体" w:eastAsia="宋体" w:cs="宋体"/>
          <w:b/>
          <w:color w:val="auto"/>
          <w:kern w:val="0"/>
          <w:sz w:val="32"/>
          <w:szCs w:val="32"/>
          <w:highlight w:val="none"/>
          <w:lang w:val="zh-CN"/>
        </w:rPr>
        <w:br w:type="page"/>
      </w:r>
    </w:p>
    <w:p w14:paraId="73D7B183">
      <w:pPr>
        <w:widowControl/>
        <w:adjustRightInd/>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t>法定代表人证明书</w:t>
      </w:r>
    </w:p>
    <w:p w14:paraId="7CE28ED5">
      <w:pPr>
        <w:spacing w:line="360" w:lineRule="auto"/>
        <w:ind w:left="540"/>
        <w:contextualSpacing/>
        <w:rPr>
          <w:rFonts w:hint="eastAsia" w:ascii="宋体" w:hAnsi="宋体" w:eastAsia="宋体" w:cs="宋体"/>
          <w:color w:val="auto"/>
          <w:sz w:val="32"/>
          <w:szCs w:val="32"/>
          <w:highlight w:val="none"/>
        </w:rPr>
      </w:pPr>
    </w:p>
    <w:p w14:paraId="28FFF74D">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w:t>
      </w:r>
      <w:r>
        <w:rPr>
          <w:rFonts w:hint="eastAsia" w:ascii="宋体" w:hAnsi="宋体" w:eastAsia="宋体" w:cs="宋体"/>
          <w:color w:val="auto"/>
          <w:sz w:val="21"/>
          <w:szCs w:val="21"/>
          <w:highlight w:val="none"/>
          <w:u w:val="single"/>
        </w:rPr>
        <w:t xml:space="preserve">                                         </w:t>
      </w:r>
    </w:p>
    <w:p w14:paraId="62A3A54C">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025C3E49">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性     别：</w:t>
      </w:r>
      <w:r>
        <w:rPr>
          <w:rFonts w:hint="eastAsia" w:ascii="宋体" w:hAnsi="宋体" w:eastAsia="宋体" w:cs="宋体"/>
          <w:color w:val="auto"/>
          <w:sz w:val="21"/>
          <w:szCs w:val="21"/>
          <w:highlight w:val="none"/>
          <w:u w:val="single"/>
        </w:rPr>
        <w:t xml:space="preserve">                </w:t>
      </w:r>
    </w:p>
    <w:p w14:paraId="7D61EACB">
      <w:pPr>
        <w:spacing w:line="360" w:lineRule="auto"/>
        <w:ind w:left="540"/>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年    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w:t>
      </w:r>
    </w:p>
    <w:p w14:paraId="789680AC">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p>
    <w:p w14:paraId="4B1213F0">
      <w:pPr>
        <w:spacing w:line="36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（供应商名称）</w:t>
      </w:r>
      <w:r>
        <w:rPr>
          <w:rFonts w:hint="eastAsia" w:ascii="宋体" w:hAnsi="宋体" w:eastAsia="宋体" w:cs="宋体"/>
          <w:color w:val="auto"/>
          <w:sz w:val="21"/>
          <w:szCs w:val="21"/>
          <w:highlight w:val="none"/>
        </w:rPr>
        <w:t>的法定代表人。</w:t>
      </w:r>
    </w:p>
    <w:p w14:paraId="715FC888">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17D4A499">
      <w:pPr>
        <w:spacing w:line="360" w:lineRule="auto"/>
        <w:ind w:left="540"/>
        <w:contextualSpacing/>
        <w:rPr>
          <w:rFonts w:hint="eastAsia" w:ascii="宋体" w:hAnsi="宋体" w:eastAsia="宋体" w:cs="宋体"/>
          <w:color w:val="auto"/>
          <w:sz w:val="21"/>
          <w:szCs w:val="21"/>
          <w:highlight w:val="none"/>
        </w:rPr>
      </w:pPr>
    </w:p>
    <w:p w14:paraId="74F70552">
      <w:pPr>
        <w:spacing w:line="360" w:lineRule="auto"/>
        <w:ind w:left="540"/>
        <w:contextualSpacing/>
        <w:rPr>
          <w:rFonts w:hint="eastAsia" w:ascii="宋体" w:hAnsi="宋体" w:eastAsia="宋体" w:cs="宋体"/>
          <w:color w:val="auto"/>
          <w:sz w:val="21"/>
          <w:szCs w:val="21"/>
          <w:highlight w:val="none"/>
        </w:rPr>
      </w:pPr>
    </w:p>
    <w:p w14:paraId="2C928E25">
      <w:pPr>
        <w:spacing w:line="360" w:lineRule="auto"/>
        <w:ind w:left="540"/>
        <w:contextualSpacing/>
        <w:rPr>
          <w:rFonts w:hint="eastAsia" w:ascii="宋体" w:hAnsi="宋体" w:eastAsia="宋体" w:cs="宋体"/>
          <w:color w:val="auto"/>
          <w:sz w:val="21"/>
          <w:szCs w:val="21"/>
          <w:highlight w:val="none"/>
        </w:rPr>
      </w:pPr>
    </w:p>
    <w:p w14:paraId="48E9924F">
      <w:pPr>
        <w:spacing w:line="360" w:lineRule="auto"/>
        <w:ind w:left="54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附件：法定代表人有效身份证正反面复印件</w:t>
      </w:r>
    </w:p>
    <w:p w14:paraId="4713E105">
      <w:pPr>
        <w:spacing w:line="360" w:lineRule="auto"/>
        <w:ind w:left="540"/>
        <w:contextualSpacing/>
        <w:rPr>
          <w:rFonts w:hint="eastAsia" w:ascii="宋体" w:hAnsi="宋体" w:eastAsia="宋体" w:cs="宋体"/>
          <w:color w:val="auto"/>
          <w:sz w:val="21"/>
          <w:szCs w:val="21"/>
          <w:highlight w:val="none"/>
        </w:rPr>
      </w:pPr>
    </w:p>
    <w:p w14:paraId="7DCF7971">
      <w:pPr>
        <w:spacing w:line="360" w:lineRule="auto"/>
        <w:ind w:left="54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谈判供应商名称（公章）：</w:t>
      </w:r>
      <w:r>
        <w:rPr>
          <w:rFonts w:hint="eastAsia" w:ascii="宋体" w:hAnsi="宋体" w:eastAsia="宋体" w:cs="宋体"/>
          <w:color w:val="auto"/>
          <w:sz w:val="21"/>
          <w:szCs w:val="21"/>
          <w:highlight w:val="none"/>
          <w:u w:val="single"/>
        </w:rPr>
        <w:t xml:space="preserve">               </w:t>
      </w:r>
    </w:p>
    <w:p w14:paraId="1F003BAF">
      <w:pPr>
        <w:spacing w:line="360" w:lineRule="auto"/>
        <w:ind w:firstLine="3570" w:firstLineChars="1700"/>
        <w:contextualSpacing/>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zh-CN"/>
        </w:rPr>
        <w:t>日期：  年  月  日</w:t>
      </w:r>
    </w:p>
    <w:p w14:paraId="1DE48A5E">
      <w:pPr>
        <w:rPr>
          <w:rFonts w:hint="eastAsia" w:hAnsi="宋体" w:cs="宋体"/>
          <w:color w:val="auto"/>
          <w:sz w:val="21"/>
          <w:szCs w:val="21"/>
          <w:highlight w:val="none"/>
          <w:lang w:val="zh-CN"/>
        </w:rPr>
      </w:pPr>
      <w:r>
        <w:rPr>
          <w:rFonts w:hint="eastAsia" w:hAnsi="宋体" w:cs="宋体"/>
          <w:color w:val="auto"/>
          <w:sz w:val="21"/>
          <w:szCs w:val="21"/>
          <w:highlight w:val="none"/>
          <w:lang w:val="zh-CN"/>
        </w:rPr>
        <w:br w:type="page"/>
      </w:r>
    </w:p>
    <w:p w14:paraId="5B50AB85">
      <w:pPr>
        <w:pStyle w:val="31"/>
        <w:numPr>
          <w:ilvl w:val="0"/>
          <w:numId w:val="0"/>
        </w:numPr>
        <w:spacing w:line="360" w:lineRule="auto"/>
        <w:rPr>
          <w:rFonts w:hint="eastAsia" w:hAnsi="宋体" w:cs="宋体"/>
          <w:b/>
          <w:bCs/>
          <w:color w:val="auto"/>
          <w:sz w:val="21"/>
          <w:szCs w:val="21"/>
          <w:highlight w:val="none"/>
          <w:lang w:val="zh-CN"/>
        </w:rPr>
      </w:pPr>
      <w:r>
        <w:rPr>
          <w:rFonts w:hint="eastAsia" w:hAnsi="宋体" w:cs="宋体"/>
          <w:b/>
          <w:bCs/>
          <w:color w:val="auto"/>
          <w:sz w:val="21"/>
          <w:szCs w:val="21"/>
          <w:highlight w:val="none"/>
          <w:lang w:val="en-US" w:eastAsia="zh-CN"/>
        </w:rPr>
        <w:t>5、</w:t>
      </w:r>
      <w:r>
        <w:rPr>
          <w:rFonts w:hint="eastAsia" w:ascii="宋体" w:hAnsi="宋体" w:eastAsia="宋体" w:cs="宋体"/>
          <w:b/>
          <w:bCs/>
          <w:color w:val="auto"/>
          <w:sz w:val="21"/>
          <w:szCs w:val="21"/>
          <w:highlight w:val="none"/>
        </w:rPr>
        <w:t>商务条款偏离表</w:t>
      </w:r>
    </w:p>
    <w:p w14:paraId="1FA39343">
      <w:pPr>
        <w:spacing w:line="360" w:lineRule="auto"/>
        <w:jc w:val="center"/>
        <w:rPr>
          <w:rFonts w:hint="eastAsia" w:ascii="宋体" w:hAnsi="宋体" w:eastAsia="宋体" w:cs="宋体"/>
          <w:b/>
          <w:bCs/>
          <w:color w:val="auto"/>
          <w:sz w:val="32"/>
          <w:szCs w:val="32"/>
          <w:highlight w:val="none"/>
        </w:rPr>
      </w:pPr>
    </w:p>
    <w:p w14:paraId="3EBB8450">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商务条款偏离表</w:t>
      </w:r>
    </w:p>
    <w:p w14:paraId="5831F948">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(注：按采购需求具体条款修改)</w:t>
      </w:r>
    </w:p>
    <w:p w14:paraId="5A0FDD28">
      <w:pPr>
        <w:snapToGrid w:val="0"/>
        <w:spacing w:before="50"/>
        <w:jc w:val="left"/>
        <w:rPr>
          <w:rFonts w:hint="eastAsia" w:ascii="宋体" w:hAnsi="宋体"/>
          <w:color w:val="auto"/>
          <w:sz w:val="24"/>
          <w:highlight w:val="none"/>
        </w:rPr>
      </w:pPr>
    </w:p>
    <w:p w14:paraId="48A838ED">
      <w:pPr>
        <w:pStyle w:val="31"/>
        <w:spacing w:line="360" w:lineRule="auto"/>
        <w:rPr>
          <w:rFonts w:hint="eastAsia" w:hAnsi="宋体" w:cs="仿宋_GB2312"/>
          <w:color w:val="auto"/>
          <w:sz w:val="21"/>
          <w:szCs w:val="21"/>
          <w:highlight w:val="none"/>
        </w:rPr>
      </w:pPr>
      <w:r>
        <w:rPr>
          <w:rFonts w:hint="eastAsia" w:hAnsi="宋体" w:cs="仿宋_GB2312"/>
          <w:color w:val="auto"/>
          <w:sz w:val="21"/>
          <w:szCs w:val="21"/>
          <w:highlight w:val="none"/>
        </w:rPr>
        <w:t>所竞分标：</w:t>
      </w:r>
      <w:r>
        <w:rPr>
          <w:rFonts w:hint="eastAsia" w:hAnsi="宋体" w:cs="仿宋_GB2312"/>
          <w:color w:val="auto"/>
          <w:sz w:val="21"/>
          <w:szCs w:val="21"/>
          <w:highlight w:val="none"/>
          <w:u w:val="single"/>
        </w:rPr>
        <w:t xml:space="preserve">              </w:t>
      </w:r>
    </w:p>
    <w:tbl>
      <w:tblPr>
        <w:tblStyle w:val="60"/>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4A61AB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69AD3974">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71E02A2E">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竞争性谈判文件商务条款要求</w:t>
            </w: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0AFAFD5">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供应商的响应</w:t>
            </w:r>
          </w:p>
        </w:tc>
        <w:tc>
          <w:tcPr>
            <w:tcW w:w="1829" w:type="dxa"/>
            <w:tcBorders>
              <w:top w:val="single" w:color="auto" w:sz="4" w:space="0"/>
              <w:left w:val="single" w:color="auto" w:sz="4" w:space="0"/>
              <w:bottom w:val="single" w:color="auto" w:sz="4" w:space="0"/>
              <w:right w:val="single" w:color="auto" w:sz="4" w:space="0"/>
            </w:tcBorders>
            <w:noWrap w:val="0"/>
            <w:vAlign w:val="center"/>
          </w:tcPr>
          <w:p w14:paraId="6A14FBDB">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偏离说明</w:t>
            </w:r>
          </w:p>
        </w:tc>
      </w:tr>
      <w:tr w14:paraId="420D1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A8D947E">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6F90064">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863A02B">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52C58EA0">
            <w:pPr>
              <w:snapToGrid w:val="0"/>
              <w:spacing w:before="120" w:beforeLines="50" w:line="360" w:lineRule="auto"/>
              <w:jc w:val="center"/>
              <w:rPr>
                <w:rFonts w:hint="eastAsia" w:ascii="宋体" w:hAnsi="宋体" w:cs="仿宋_GB2312"/>
                <w:color w:val="auto"/>
                <w:sz w:val="21"/>
                <w:szCs w:val="21"/>
                <w:highlight w:val="none"/>
              </w:rPr>
            </w:pPr>
          </w:p>
        </w:tc>
      </w:tr>
      <w:tr w14:paraId="416E93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81ACE7D">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098593FF">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6D49F5A4">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0A468FF9">
            <w:pPr>
              <w:snapToGrid w:val="0"/>
              <w:spacing w:before="120" w:beforeLines="50" w:line="360" w:lineRule="auto"/>
              <w:jc w:val="center"/>
              <w:rPr>
                <w:rFonts w:hint="eastAsia" w:ascii="宋体" w:hAnsi="宋体" w:cs="仿宋_GB2312"/>
                <w:color w:val="auto"/>
                <w:sz w:val="21"/>
                <w:szCs w:val="21"/>
                <w:highlight w:val="none"/>
              </w:rPr>
            </w:pPr>
          </w:p>
        </w:tc>
      </w:tr>
      <w:tr w14:paraId="34A79F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A493E6D">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5DC00126">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2CA407EB">
            <w:pPr>
              <w:snapToGrid w:val="0"/>
              <w:spacing w:before="120" w:beforeLines="50" w:line="360" w:lineRule="auto"/>
              <w:ind w:left="43"/>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8728474">
            <w:pPr>
              <w:snapToGrid w:val="0"/>
              <w:spacing w:before="120" w:beforeLines="50" w:line="360" w:lineRule="auto"/>
              <w:ind w:left="43"/>
              <w:jc w:val="center"/>
              <w:rPr>
                <w:rFonts w:hint="eastAsia" w:ascii="宋体" w:hAnsi="宋体" w:cs="仿宋_GB2312"/>
                <w:color w:val="auto"/>
                <w:sz w:val="21"/>
                <w:szCs w:val="21"/>
                <w:highlight w:val="none"/>
              </w:rPr>
            </w:pPr>
          </w:p>
        </w:tc>
      </w:tr>
      <w:tr w14:paraId="2F9BF3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2D5325AC">
            <w:pPr>
              <w:spacing w:line="360" w:lineRule="auto"/>
              <w:jc w:val="center"/>
              <w:rPr>
                <w:rFonts w:hint="eastAsia" w:ascii="宋体" w:hAnsi="宋体" w:cs="仿宋_GB2312"/>
                <w:color w:val="auto"/>
                <w:sz w:val="21"/>
                <w:szCs w:val="21"/>
                <w:highlight w:val="none"/>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33D8ED2">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33538CF9">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35BE763B">
            <w:pPr>
              <w:snapToGrid w:val="0"/>
              <w:spacing w:before="120" w:beforeLines="50" w:line="360" w:lineRule="auto"/>
              <w:jc w:val="center"/>
              <w:rPr>
                <w:rFonts w:hint="eastAsia" w:ascii="宋体" w:hAnsi="宋体" w:cs="仿宋_GB2312"/>
                <w:color w:val="auto"/>
                <w:sz w:val="21"/>
                <w:szCs w:val="21"/>
                <w:highlight w:val="none"/>
              </w:rPr>
            </w:pPr>
          </w:p>
        </w:tc>
      </w:tr>
      <w:tr w14:paraId="57C9A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0A3B5467">
            <w:pPr>
              <w:snapToGrid w:val="0"/>
              <w:spacing w:before="120" w:beforeLines="50" w:line="360" w:lineRule="auto"/>
              <w:jc w:val="center"/>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22A8A21E">
            <w:pPr>
              <w:snapToGrid w:val="0"/>
              <w:spacing w:before="120" w:beforeLines="50" w:line="360" w:lineRule="auto"/>
              <w:jc w:val="center"/>
              <w:rPr>
                <w:rFonts w:hint="eastAsia" w:ascii="宋体" w:hAnsi="宋体" w:cs="仿宋_GB2312"/>
                <w:color w:val="auto"/>
                <w:sz w:val="21"/>
                <w:szCs w:val="21"/>
                <w:highlight w:val="none"/>
              </w:rPr>
            </w:pPr>
          </w:p>
        </w:tc>
        <w:tc>
          <w:tcPr>
            <w:tcW w:w="2633" w:type="dxa"/>
            <w:tcBorders>
              <w:top w:val="single" w:color="auto" w:sz="4" w:space="0"/>
              <w:left w:val="single" w:color="auto" w:sz="4" w:space="0"/>
              <w:bottom w:val="single" w:color="auto" w:sz="4" w:space="0"/>
              <w:right w:val="single" w:color="auto" w:sz="4" w:space="0"/>
            </w:tcBorders>
            <w:noWrap w:val="0"/>
            <w:vAlign w:val="center"/>
          </w:tcPr>
          <w:p w14:paraId="524A0630">
            <w:pPr>
              <w:snapToGrid w:val="0"/>
              <w:spacing w:before="120" w:beforeLines="50" w:line="360" w:lineRule="auto"/>
              <w:jc w:val="center"/>
              <w:rPr>
                <w:rFonts w:hint="eastAsia" w:ascii="宋体" w:hAnsi="宋体" w:cs="仿宋_GB2312"/>
                <w:color w:val="auto"/>
                <w:sz w:val="21"/>
                <w:szCs w:val="21"/>
                <w:highlight w:val="none"/>
              </w:rPr>
            </w:pPr>
          </w:p>
        </w:tc>
        <w:tc>
          <w:tcPr>
            <w:tcW w:w="1829" w:type="dxa"/>
            <w:tcBorders>
              <w:top w:val="single" w:color="auto" w:sz="4" w:space="0"/>
              <w:left w:val="single" w:color="auto" w:sz="4" w:space="0"/>
              <w:bottom w:val="single" w:color="auto" w:sz="4" w:space="0"/>
              <w:right w:val="single" w:color="auto" w:sz="4" w:space="0"/>
            </w:tcBorders>
            <w:noWrap w:val="0"/>
            <w:vAlign w:val="center"/>
          </w:tcPr>
          <w:p w14:paraId="1C6C5832">
            <w:pPr>
              <w:snapToGrid w:val="0"/>
              <w:spacing w:before="120" w:beforeLines="50" w:line="360" w:lineRule="auto"/>
              <w:jc w:val="center"/>
              <w:rPr>
                <w:rFonts w:hint="eastAsia" w:ascii="宋体" w:hAnsi="宋体" w:cs="仿宋_GB2312"/>
                <w:color w:val="auto"/>
                <w:sz w:val="21"/>
                <w:szCs w:val="21"/>
                <w:highlight w:val="none"/>
              </w:rPr>
            </w:pPr>
          </w:p>
        </w:tc>
      </w:tr>
    </w:tbl>
    <w:p w14:paraId="4CA9E9B7">
      <w:pPr>
        <w:pStyle w:val="21"/>
        <w:spacing w:after="0" w:line="360" w:lineRule="auto"/>
        <w:contextualSpacing/>
        <w:jc w:val="both"/>
        <w:rPr>
          <w:rFonts w:hint="eastAsia" w:ascii="宋体" w:hAnsi="宋体"/>
          <w:color w:val="auto"/>
          <w:kern w:val="0"/>
          <w:sz w:val="21"/>
          <w:szCs w:val="21"/>
          <w:highlight w:val="none"/>
        </w:rPr>
      </w:pPr>
      <w:r>
        <w:rPr>
          <w:rFonts w:hint="eastAsia" w:ascii="宋体" w:hAnsi="宋体"/>
          <w:color w:val="auto"/>
          <w:kern w:val="0"/>
          <w:sz w:val="21"/>
          <w:szCs w:val="21"/>
          <w:highlight w:val="none"/>
        </w:rPr>
        <w:t>注：</w:t>
      </w:r>
    </w:p>
    <w:p w14:paraId="26924746">
      <w:pPr>
        <w:pStyle w:val="21"/>
        <w:spacing w:after="0" w:line="360" w:lineRule="auto"/>
        <w:contextualSpacing/>
        <w:jc w:val="both"/>
        <w:rPr>
          <w:rFonts w:ascii="宋体" w:hAnsi="宋体"/>
          <w:color w:val="auto"/>
          <w:kern w:val="0"/>
          <w:sz w:val="21"/>
          <w:szCs w:val="21"/>
          <w:highlight w:val="none"/>
        </w:rPr>
      </w:pPr>
      <w:r>
        <w:rPr>
          <w:rFonts w:hint="eastAsia" w:ascii="宋体" w:hAnsi="宋体"/>
          <w:color w:val="auto"/>
          <w:kern w:val="0"/>
          <w:sz w:val="21"/>
          <w:szCs w:val="21"/>
          <w:highlight w:val="none"/>
        </w:rPr>
        <w:t>1. 说明：应对照谈判文件“</w:t>
      </w:r>
      <w:r>
        <w:rPr>
          <w:rFonts w:hint="eastAsia" w:ascii="宋体" w:hAnsi="宋体"/>
          <w:color w:val="auto"/>
          <w:kern w:val="0"/>
          <w:sz w:val="21"/>
          <w:szCs w:val="21"/>
          <w:highlight w:val="none"/>
          <w:lang w:val="en-US" w:eastAsia="zh-CN"/>
        </w:rPr>
        <w:t>第四部分</w:t>
      </w:r>
      <w:r>
        <w:rPr>
          <w:rFonts w:hint="eastAsia" w:ascii="宋体" w:hAnsi="宋体"/>
          <w:color w:val="auto"/>
          <w:kern w:val="0"/>
          <w:sz w:val="21"/>
          <w:szCs w:val="21"/>
          <w:highlight w:val="none"/>
        </w:rPr>
        <w:t xml:space="preserve"> 采购需求”中的商务条款逐条明确响应，并作出偏离说明。</w:t>
      </w:r>
    </w:p>
    <w:p w14:paraId="2CFA82AB">
      <w:pPr>
        <w:pStyle w:val="21"/>
        <w:spacing w:after="0" w:line="360" w:lineRule="auto"/>
        <w:contextualSpacing/>
        <w:jc w:val="left"/>
        <w:rPr>
          <w:rFonts w:hint="eastAsia" w:ascii="宋体" w:hAnsi="宋体"/>
          <w:color w:val="auto"/>
          <w:kern w:val="0"/>
          <w:sz w:val="21"/>
          <w:szCs w:val="21"/>
          <w:highlight w:val="none"/>
        </w:rPr>
      </w:pPr>
      <w:r>
        <w:rPr>
          <w:rFonts w:hint="eastAsia" w:ascii="宋体" w:hAnsi="宋体"/>
          <w:color w:val="auto"/>
          <w:kern w:val="0"/>
          <w:sz w:val="21"/>
          <w:szCs w:val="21"/>
          <w:highlight w:val="none"/>
        </w:rPr>
        <w:t>2.供应商应根据自身的承诺，对照谈判文件要求在“偏离说明”中注明“正偏离”、“负偏离”或者“无偏离”。既不属于“正偏离”也不属于“负偏离”即为“无偏离”。</w:t>
      </w:r>
    </w:p>
    <w:p w14:paraId="30AB47E6">
      <w:pPr>
        <w:spacing w:line="360" w:lineRule="auto"/>
        <w:contextualSpacing/>
        <w:jc w:val="left"/>
        <w:rPr>
          <w:rFonts w:hint="eastAsia" w:ascii="宋体" w:hAnsi="宋体" w:cs="仿宋_GB2312"/>
          <w:color w:val="auto"/>
          <w:sz w:val="21"/>
          <w:szCs w:val="21"/>
          <w:highlight w:val="none"/>
          <w:u w:val="single"/>
        </w:rPr>
      </w:pPr>
    </w:p>
    <w:p w14:paraId="3A5CDF3C">
      <w:pPr>
        <w:spacing w:line="360" w:lineRule="auto"/>
        <w:contextualSpacing/>
        <w:jc w:val="left"/>
        <w:rPr>
          <w:rFonts w:hint="eastAsia" w:ascii="宋体" w:hAnsi="宋体" w:cs="仿宋_GB2312"/>
          <w:color w:val="auto"/>
          <w:sz w:val="21"/>
          <w:szCs w:val="21"/>
          <w:highlight w:val="none"/>
          <w:u w:val="single"/>
        </w:rPr>
      </w:pPr>
    </w:p>
    <w:p w14:paraId="09A58E11">
      <w:pPr>
        <w:spacing w:line="360" w:lineRule="auto"/>
        <w:ind w:right="-817" w:rightChars="-389"/>
        <w:contextualSpacing/>
        <w:rPr>
          <w:rFonts w:hint="eastAsia" w:ascii="宋体" w:hAnsi="宋体" w:cs="仿宋_GB2312"/>
          <w:color w:val="auto"/>
          <w:sz w:val="21"/>
          <w:szCs w:val="21"/>
          <w:highlight w:val="none"/>
        </w:rPr>
      </w:pPr>
    </w:p>
    <w:p w14:paraId="7469E1D2">
      <w:pPr>
        <w:spacing w:line="360" w:lineRule="auto"/>
        <w:ind w:right="-817" w:rightChars="-389"/>
        <w:contextualSpacing/>
        <w:jc w:val="center"/>
        <w:rPr>
          <w:rFonts w:hint="eastAsia" w:ascii="宋体" w:hAnsi="宋体" w:cs="仿宋_GB2312"/>
          <w:color w:val="auto"/>
          <w:sz w:val="21"/>
          <w:szCs w:val="21"/>
          <w:highlight w:val="none"/>
        </w:rPr>
      </w:pPr>
      <w:r>
        <w:rPr>
          <w:rFonts w:hint="eastAsia" w:ascii="宋体" w:hAnsi="宋体" w:eastAsia="宋体" w:cs="宋体"/>
          <w:color w:val="auto"/>
          <w:kern w:val="0"/>
          <w:sz w:val="21"/>
          <w:szCs w:val="21"/>
          <w:highlight w:val="none"/>
          <w:lang w:val="zh-CN"/>
        </w:rPr>
        <w:t>法定代表人（负责人）或委托代理人(签名)</w:t>
      </w:r>
      <w:r>
        <w:rPr>
          <w:rFonts w:hint="eastAsia" w:ascii="宋体" w:hAnsi="宋体" w:cs="仿宋_GB2312"/>
          <w:color w:val="auto"/>
          <w:sz w:val="21"/>
          <w:szCs w:val="21"/>
          <w:highlight w:val="none"/>
        </w:rPr>
        <w:t>：</w:t>
      </w:r>
    </w:p>
    <w:p w14:paraId="6C12CFFF">
      <w:pPr>
        <w:spacing w:line="360" w:lineRule="auto"/>
        <w:ind w:right="-817" w:rightChars="-389" w:firstLine="3150" w:firstLineChars="1500"/>
        <w:contextualSpacing/>
        <w:rPr>
          <w:rFonts w:ascii="宋体" w:hAnsi="宋体" w:cs="仿宋_GB2312"/>
          <w:color w:val="auto"/>
          <w:sz w:val="21"/>
          <w:szCs w:val="21"/>
          <w:highlight w:val="none"/>
        </w:rPr>
      </w:pPr>
      <w:r>
        <w:rPr>
          <w:rFonts w:hint="eastAsia" w:ascii="宋体" w:hAnsi="宋体" w:cs="仿宋_GB2312"/>
          <w:color w:val="auto"/>
          <w:sz w:val="21"/>
          <w:szCs w:val="21"/>
          <w:highlight w:val="none"/>
        </w:rPr>
        <w:t xml:space="preserve">谈判供应商名称（公章）：      </w:t>
      </w:r>
    </w:p>
    <w:p w14:paraId="3D2D1EE8">
      <w:pPr>
        <w:spacing w:line="360" w:lineRule="auto"/>
        <w:ind w:right="-817" w:rightChars="-389" w:firstLine="3150" w:firstLineChars="15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日期：   年   月   日</w:t>
      </w:r>
    </w:p>
    <w:p w14:paraId="3F6AE2DA">
      <w:pPr>
        <w:rPr>
          <w:rFonts w:hint="eastAsia" w:hAnsi="宋体" w:cs="宋体"/>
          <w:color w:val="auto"/>
          <w:sz w:val="24"/>
          <w:highlight w:val="none"/>
          <w:lang w:val="zh-CN"/>
        </w:rPr>
      </w:pPr>
      <w:r>
        <w:rPr>
          <w:rFonts w:hint="eastAsia" w:hAnsi="宋体" w:cs="宋体"/>
          <w:color w:val="auto"/>
          <w:sz w:val="24"/>
          <w:highlight w:val="none"/>
          <w:lang w:val="zh-CN"/>
        </w:rPr>
        <w:br w:type="page"/>
      </w:r>
    </w:p>
    <w:p w14:paraId="488E3AB0">
      <w:pPr>
        <w:pStyle w:val="31"/>
        <w:numPr>
          <w:ilvl w:val="0"/>
          <w:numId w:val="0"/>
        </w:numPr>
        <w:spacing w:line="360" w:lineRule="auto"/>
        <w:rPr>
          <w:rFonts w:hint="eastAsia" w:hAnsi="宋体" w:cs="宋体"/>
          <w:b/>
          <w:bCs/>
          <w:color w:val="auto"/>
          <w:sz w:val="21"/>
          <w:szCs w:val="21"/>
          <w:highlight w:val="none"/>
          <w:lang w:val="zh-CN"/>
        </w:rPr>
      </w:pPr>
      <w:r>
        <w:rPr>
          <w:rFonts w:hint="eastAsia"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lang w:val="en-US" w:eastAsia="zh-CN"/>
        </w:rPr>
        <w:t>技术需求偏离表</w:t>
      </w:r>
    </w:p>
    <w:p w14:paraId="69E60734">
      <w:pPr>
        <w:spacing w:line="360" w:lineRule="auto"/>
        <w:jc w:val="center"/>
        <w:rPr>
          <w:rFonts w:hint="eastAsia" w:ascii="宋体" w:hAnsi="宋体" w:eastAsia="宋体" w:cs="宋体"/>
          <w:b/>
          <w:bCs/>
          <w:color w:val="auto"/>
          <w:sz w:val="32"/>
          <w:szCs w:val="32"/>
          <w:highlight w:val="none"/>
        </w:rPr>
      </w:pPr>
    </w:p>
    <w:p w14:paraId="68FC0A47">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技术需求偏离表</w:t>
      </w:r>
    </w:p>
    <w:p w14:paraId="1837FC1B">
      <w:pPr>
        <w:spacing w:line="520" w:lineRule="exact"/>
        <w:rPr>
          <w:rFonts w:hint="eastAsia" w:ascii="仿宋_GB2312" w:hAnsi="仿宋_GB2312" w:eastAsia="仿宋_GB2312" w:cs="仿宋_GB2312"/>
          <w:color w:val="auto"/>
          <w:sz w:val="32"/>
          <w:szCs w:val="32"/>
          <w:highlight w:val="none"/>
        </w:rPr>
      </w:pPr>
    </w:p>
    <w:p w14:paraId="48569B72">
      <w:pPr>
        <w:spacing w:line="360" w:lineRule="auto"/>
        <w:rPr>
          <w:rFonts w:hint="eastAsia" w:ascii="宋体" w:hAnsi="宋体" w:cs="仿宋_GB2312"/>
          <w:color w:val="auto"/>
          <w:sz w:val="21"/>
          <w:szCs w:val="21"/>
          <w:highlight w:val="none"/>
          <w:u w:val="single"/>
        </w:rPr>
      </w:pPr>
      <w:r>
        <w:rPr>
          <w:rFonts w:hint="eastAsia" w:ascii="宋体" w:hAnsi="宋体" w:cs="仿宋_GB2312"/>
          <w:color w:val="auto"/>
          <w:sz w:val="21"/>
          <w:szCs w:val="21"/>
          <w:highlight w:val="none"/>
        </w:rPr>
        <w:t>采购项目编号：</w:t>
      </w:r>
      <w:r>
        <w:rPr>
          <w:rFonts w:hint="eastAsia" w:ascii="宋体" w:hAnsi="宋体" w:cs="仿宋_GB2312"/>
          <w:color w:val="auto"/>
          <w:sz w:val="21"/>
          <w:szCs w:val="21"/>
          <w:highlight w:val="none"/>
          <w:u w:val="single"/>
        </w:rPr>
        <w:t xml:space="preserve">                 </w:t>
      </w:r>
    </w:p>
    <w:p w14:paraId="5CD74879">
      <w:pPr>
        <w:spacing w:line="360" w:lineRule="auto"/>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采购项目名称：</w:t>
      </w:r>
      <w:r>
        <w:rPr>
          <w:rFonts w:hint="eastAsia" w:ascii="宋体" w:hAnsi="宋体" w:cs="仿宋_GB2312"/>
          <w:color w:val="auto"/>
          <w:sz w:val="21"/>
          <w:szCs w:val="21"/>
          <w:highlight w:val="none"/>
          <w:u w:val="single"/>
        </w:rPr>
        <w:t xml:space="preserve">                 </w:t>
      </w:r>
    </w:p>
    <w:p w14:paraId="513A0EA3">
      <w:pPr>
        <w:spacing w:line="360" w:lineRule="auto"/>
        <w:rPr>
          <w:rFonts w:hint="eastAsia" w:ascii="宋体" w:hAnsi="宋体" w:cs="仿宋_GB2312"/>
          <w:color w:val="auto"/>
          <w:sz w:val="21"/>
          <w:szCs w:val="21"/>
          <w:highlight w:val="none"/>
          <w:u w:val="single"/>
        </w:rPr>
      </w:pPr>
      <w:r>
        <w:rPr>
          <w:rFonts w:hint="eastAsia" w:ascii="宋体" w:hAnsi="宋体" w:cs="仿宋_GB2312"/>
          <w:color w:val="auto"/>
          <w:sz w:val="21"/>
          <w:szCs w:val="21"/>
          <w:highlight w:val="none"/>
        </w:rPr>
        <w:t>分标号：</w:t>
      </w:r>
      <w:r>
        <w:rPr>
          <w:rFonts w:hint="eastAsia" w:ascii="宋体" w:hAnsi="宋体" w:cs="仿宋_GB2312"/>
          <w:color w:val="auto"/>
          <w:sz w:val="21"/>
          <w:szCs w:val="21"/>
          <w:highlight w:val="none"/>
          <w:u w:val="single"/>
        </w:rPr>
        <w:t xml:space="preserve">                       </w:t>
      </w:r>
    </w:p>
    <w:tbl>
      <w:tblPr>
        <w:tblStyle w:val="60"/>
        <w:tblW w:w="8946"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14:paraId="2AE2D5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600F63CA">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序号</w:t>
            </w:r>
          </w:p>
        </w:tc>
        <w:tc>
          <w:tcPr>
            <w:tcW w:w="900" w:type="dxa"/>
            <w:tcBorders>
              <w:right w:val="single" w:color="auto" w:sz="4" w:space="0"/>
            </w:tcBorders>
            <w:noWrap w:val="0"/>
            <w:vAlign w:val="center"/>
          </w:tcPr>
          <w:p w14:paraId="0FEC70C4">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名称</w:t>
            </w:r>
          </w:p>
        </w:tc>
        <w:tc>
          <w:tcPr>
            <w:tcW w:w="2989" w:type="dxa"/>
            <w:tcBorders>
              <w:left w:val="single" w:color="auto" w:sz="4" w:space="0"/>
            </w:tcBorders>
            <w:noWrap w:val="0"/>
            <w:vAlign w:val="center"/>
          </w:tcPr>
          <w:p w14:paraId="6591D8DA">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竞争性谈判文件要求</w:t>
            </w:r>
          </w:p>
        </w:tc>
        <w:tc>
          <w:tcPr>
            <w:tcW w:w="2690" w:type="dxa"/>
            <w:noWrap w:val="0"/>
            <w:vAlign w:val="center"/>
          </w:tcPr>
          <w:p w14:paraId="05BFFB9C">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竞标响应</w:t>
            </w:r>
          </w:p>
        </w:tc>
        <w:tc>
          <w:tcPr>
            <w:tcW w:w="1467" w:type="dxa"/>
            <w:noWrap w:val="0"/>
            <w:vAlign w:val="center"/>
          </w:tcPr>
          <w:p w14:paraId="28314326">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偏离说明</w:t>
            </w:r>
          </w:p>
        </w:tc>
      </w:tr>
      <w:tr w14:paraId="5720EB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33C5912E">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1</w:t>
            </w:r>
          </w:p>
        </w:tc>
        <w:tc>
          <w:tcPr>
            <w:tcW w:w="900" w:type="dxa"/>
            <w:tcBorders>
              <w:right w:val="single" w:color="auto" w:sz="4" w:space="0"/>
            </w:tcBorders>
            <w:noWrap w:val="0"/>
            <w:vAlign w:val="center"/>
          </w:tcPr>
          <w:p w14:paraId="67C8E580">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566385C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2A00AA80">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5169E7F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60025D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220A226E">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2</w:t>
            </w:r>
          </w:p>
        </w:tc>
        <w:tc>
          <w:tcPr>
            <w:tcW w:w="900" w:type="dxa"/>
            <w:tcBorders>
              <w:right w:val="single" w:color="auto" w:sz="4" w:space="0"/>
            </w:tcBorders>
            <w:noWrap w:val="0"/>
            <w:vAlign w:val="center"/>
          </w:tcPr>
          <w:p w14:paraId="15F57458">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34781394">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4E497D1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65C2B418">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1F3664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5C05CF1A">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3</w:t>
            </w:r>
          </w:p>
        </w:tc>
        <w:tc>
          <w:tcPr>
            <w:tcW w:w="900" w:type="dxa"/>
            <w:tcBorders>
              <w:right w:val="single" w:color="auto" w:sz="4" w:space="0"/>
            </w:tcBorders>
            <w:noWrap w:val="0"/>
            <w:vAlign w:val="center"/>
          </w:tcPr>
          <w:p w14:paraId="5B74B6E5">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369AD20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458DCE8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5198FD54">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17D425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3FFFE7E4">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4</w:t>
            </w:r>
          </w:p>
        </w:tc>
        <w:tc>
          <w:tcPr>
            <w:tcW w:w="900" w:type="dxa"/>
            <w:tcBorders>
              <w:right w:val="single" w:color="auto" w:sz="4" w:space="0"/>
            </w:tcBorders>
            <w:noWrap w:val="0"/>
            <w:vAlign w:val="center"/>
          </w:tcPr>
          <w:p w14:paraId="03C32016">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7D16314D">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495CF6E6">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57BABB3D">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483CE5B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noWrap w:val="0"/>
            <w:vAlign w:val="center"/>
          </w:tcPr>
          <w:p w14:paraId="7F4C85E1">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5</w:t>
            </w:r>
          </w:p>
        </w:tc>
        <w:tc>
          <w:tcPr>
            <w:tcW w:w="900" w:type="dxa"/>
            <w:tcBorders>
              <w:right w:val="single" w:color="auto" w:sz="4" w:space="0"/>
            </w:tcBorders>
            <w:noWrap w:val="0"/>
            <w:vAlign w:val="center"/>
          </w:tcPr>
          <w:p w14:paraId="06A5C1D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72AC924A">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06A09CF3">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noWrap w:val="0"/>
            <w:vAlign w:val="center"/>
          </w:tcPr>
          <w:p w14:paraId="75773389">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r w14:paraId="795CEA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noWrap w:val="0"/>
            <w:vAlign w:val="center"/>
          </w:tcPr>
          <w:p w14:paraId="14D3A99C">
            <w:pPr>
              <w:pStyle w:val="23"/>
              <w:spacing w:line="360" w:lineRule="auto"/>
              <w:ind w:firstLine="0" w:firstLineChars="0"/>
              <w:jc w:val="center"/>
              <w:rPr>
                <w:rFonts w:hint="eastAsia" w:ascii="宋体" w:hAnsi="宋体" w:eastAsia="宋体" w:cs="仿宋_GB2312"/>
                <w:color w:val="auto"/>
                <w:kern w:val="2"/>
                <w:sz w:val="21"/>
                <w:szCs w:val="21"/>
                <w:highlight w:val="none"/>
              </w:rPr>
            </w:pPr>
            <w:r>
              <w:rPr>
                <w:rFonts w:hint="eastAsia" w:ascii="宋体" w:hAnsi="宋体" w:eastAsia="宋体" w:cs="仿宋_GB2312"/>
                <w:color w:val="auto"/>
                <w:kern w:val="2"/>
                <w:sz w:val="21"/>
                <w:szCs w:val="21"/>
                <w:highlight w:val="none"/>
              </w:rPr>
              <w:t>…</w:t>
            </w:r>
          </w:p>
        </w:tc>
        <w:tc>
          <w:tcPr>
            <w:tcW w:w="900" w:type="dxa"/>
            <w:tcBorders>
              <w:right w:val="single" w:color="auto" w:sz="4" w:space="0"/>
            </w:tcBorders>
            <w:noWrap w:val="0"/>
            <w:vAlign w:val="center"/>
          </w:tcPr>
          <w:p w14:paraId="25CC52C5">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989" w:type="dxa"/>
            <w:tcBorders>
              <w:left w:val="single" w:color="auto" w:sz="4" w:space="0"/>
            </w:tcBorders>
            <w:noWrap w:val="0"/>
            <w:vAlign w:val="center"/>
          </w:tcPr>
          <w:p w14:paraId="19A8AEC1">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2690" w:type="dxa"/>
            <w:noWrap w:val="0"/>
            <w:vAlign w:val="center"/>
          </w:tcPr>
          <w:p w14:paraId="760D8137">
            <w:pPr>
              <w:pStyle w:val="23"/>
              <w:spacing w:line="360" w:lineRule="auto"/>
              <w:ind w:firstLine="0" w:firstLineChars="0"/>
              <w:jc w:val="center"/>
              <w:rPr>
                <w:rFonts w:hint="eastAsia" w:ascii="宋体" w:hAnsi="宋体" w:eastAsia="宋体" w:cs="仿宋_GB2312"/>
                <w:color w:val="auto"/>
                <w:kern w:val="2"/>
                <w:sz w:val="21"/>
                <w:szCs w:val="21"/>
                <w:highlight w:val="none"/>
              </w:rPr>
            </w:pPr>
          </w:p>
        </w:tc>
        <w:tc>
          <w:tcPr>
            <w:tcW w:w="1467" w:type="dxa"/>
            <w:tcBorders>
              <w:right w:val="single" w:color="auto" w:sz="4" w:space="0"/>
            </w:tcBorders>
            <w:noWrap w:val="0"/>
            <w:vAlign w:val="center"/>
          </w:tcPr>
          <w:p w14:paraId="73830B4A">
            <w:pPr>
              <w:pStyle w:val="23"/>
              <w:spacing w:line="360" w:lineRule="auto"/>
              <w:ind w:firstLine="0" w:firstLineChars="0"/>
              <w:jc w:val="center"/>
              <w:rPr>
                <w:rFonts w:hint="eastAsia" w:ascii="宋体" w:hAnsi="宋体" w:eastAsia="宋体" w:cs="仿宋_GB2312"/>
                <w:color w:val="auto"/>
                <w:kern w:val="2"/>
                <w:sz w:val="21"/>
                <w:szCs w:val="21"/>
                <w:highlight w:val="none"/>
              </w:rPr>
            </w:pPr>
          </w:p>
        </w:tc>
      </w:tr>
    </w:tbl>
    <w:p w14:paraId="07C55D87">
      <w:pPr>
        <w:pStyle w:val="23"/>
        <w:spacing w:line="360" w:lineRule="auto"/>
        <w:ind w:firstLine="0" w:firstLineChars="0"/>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注：</w:t>
      </w:r>
    </w:p>
    <w:p w14:paraId="23CD2754">
      <w:pPr>
        <w:pStyle w:val="23"/>
        <w:spacing w:line="360" w:lineRule="auto"/>
        <w:ind w:firstLine="0" w:firstLineChars="0"/>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1. 说明：应对照谈判文件“</w:t>
      </w:r>
      <w:r>
        <w:rPr>
          <w:rFonts w:hint="eastAsia" w:ascii="宋体" w:hAnsi="宋体"/>
          <w:color w:val="auto"/>
          <w:kern w:val="0"/>
          <w:sz w:val="21"/>
          <w:szCs w:val="21"/>
          <w:highlight w:val="none"/>
          <w:lang w:val="en-US" w:eastAsia="zh-CN"/>
        </w:rPr>
        <w:t>第四部分</w:t>
      </w:r>
      <w:r>
        <w:rPr>
          <w:rFonts w:hint="eastAsia" w:ascii="宋体" w:hAnsi="宋体" w:eastAsia="宋体" w:cs="仿宋_GB2312"/>
          <w:color w:val="auto"/>
          <w:sz w:val="21"/>
          <w:szCs w:val="21"/>
          <w:highlight w:val="none"/>
        </w:rPr>
        <w:t xml:space="preserve"> 采购需求”中的技术需求逐条实质性响应，并作出偏离说明。</w:t>
      </w:r>
    </w:p>
    <w:p w14:paraId="0ECAA849">
      <w:pPr>
        <w:pStyle w:val="23"/>
        <w:spacing w:line="360" w:lineRule="auto"/>
        <w:ind w:firstLine="0" w:firstLineChars="0"/>
        <w:contextualSpacing/>
        <w:rPr>
          <w:rFonts w:hint="eastAsia" w:ascii="宋体" w:hAnsi="宋体" w:eastAsia="宋体" w:cs="仿宋_GB2312"/>
          <w:color w:val="auto"/>
          <w:sz w:val="21"/>
          <w:szCs w:val="21"/>
          <w:highlight w:val="none"/>
        </w:rPr>
      </w:pPr>
      <w:r>
        <w:rPr>
          <w:rFonts w:hint="eastAsia" w:ascii="宋体" w:hAnsi="宋体" w:eastAsia="宋体" w:cs="仿宋_GB2312"/>
          <w:color w:val="auto"/>
          <w:sz w:val="21"/>
          <w:szCs w:val="21"/>
          <w:highlight w:val="none"/>
        </w:rPr>
        <w:t>2.供应商应根据竞标设备的性能指标，对照谈判文件要求，在“偏离说明”中注明“正偏离”、“负偏离”或者“无偏离”。既不属于“正偏离”也不属于“负偏离”即为“无偏离”。</w:t>
      </w:r>
    </w:p>
    <w:p w14:paraId="412D5426">
      <w:pPr>
        <w:pStyle w:val="23"/>
        <w:spacing w:line="360" w:lineRule="auto"/>
        <w:ind w:firstLine="0" w:firstLineChars="0"/>
        <w:contextualSpacing/>
        <w:rPr>
          <w:rFonts w:ascii="宋体" w:hAnsi="宋体" w:eastAsia="宋体"/>
          <w:color w:val="auto"/>
          <w:sz w:val="21"/>
          <w:szCs w:val="21"/>
          <w:highlight w:val="none"/>
        </w:rPr>
      </w:pPr>
      <w:r>
        <w:rPr>
          <w:rFonts w:hint="eastAsia" w:ascii="宋体" w:hAnsi="宋体" w:eastAsia="宋体"/>
          <w:color w:val="auto"/>
          <w:sz w:val="21"/>
          <w:szCs w:val="21"/>
          <w:highlight w:val="none"/>
        </w:rPr>
        <w:t>3.供应商认为其竞标响应有正偏离的，请在技术偏离表中列明，且在响应文件中提供竞标产品的彩页或第三方检测报告复印件或技术参数说明证明作为佐证，以上佐证材料均需加盖</w:t>
      </w:r>
      <w:r>
        <w:rPr>
          <w:rFonts w:hint="eastAsia"/>
          <w:color w:val="auto"/>
          <w:sz w:val="21"/>
          <w:szCs w:val="21"/>
          <w:highlight w:val="none"/>
          <w:lang w:val="en-US" w:eastAsia="zh-CN"/>
        </w:rPr>
        <w:t>供应商</w:t>
      </w:r>
      <w:r>
        <w:rPr>
          <w:rFonts w:hint="eastAsia" w:ascii="宋体" w:hAnsi="宋体" w:eastAsia="宋体"/>
          <w:color w:val="auto"/>
          <w:sz w:val="21"/>
          <w:szCs w:val="21"/>
          <w:highlight w:val="none"/>
        </w:rPr>
        <w:t>公章。</w:t>
      </w:r>
    </w:p>
    <w:p w14:paraId="4BE3CFA4">
      <w:pPr>
        <w:pStyle w:val="23"/>
        <w:spacing w:line="360" w:lineRule="auto"/>
        <w:ind w:firstLine="0" w:firstLineChars="0"/>
        <w:contextualSpacing/>
        <w:rPr>
          <w:rFonts w:hint="eastAsia" w:ascii="宋体" w:hAnsi="宋体" w:eastAsia="宋体"/>
          <w:color w:val="auto"/>
          <w:sz w:val="21"/>
          <w:szCs w:val="21"/>
          <w:highlight w:val="none"/>
        </w:rPr>
      </w:pPr>
      <w:r>
        <w:rPr>
          <w:rFonts w:hint="eastAsia" w:ascii="宋体" w:hAnsi="宋体" w:eastAsia="宋体"/>
          <w:color w:val="auto"/>
          <w:sz w:val="21"/>
          <w:szCs w:val="21"/>
          <w:highlight w:val="none"/>
        </w:rPr>
        <w:t>4</w:t>
      </w:r>
      <w:r>
        <w:rPr>
          <w:rFonts w:ascii="宋体" w:hAnsi="宋体" w:eastAsia="宋体"/>
          <w:color w:val="auto"/>
          <w:sz w:val="21"/>
          <w:szCs w:val="21"/>
          <w:highlight w:val="none"/>
        </w:rPr>
        <w:t>.</w:t>
      </w:r>
      <w:r>
        <w:rPr>
          <w:rFonts w:hint="eastAsia" w:ascii="宋体" w:hAnsi="宋体" w:eastAsia="宋体"/>
          <w:color w:val="auto"/>
          <w:sz w:val="21"/>
          <w:szCs w:val="21"/>
          <w:highlight w:val="none"/>
        </w:rPr>
        <w:t xml:space="preserve"> 如技术偏离表中的竞标响应与佐证材料不一致的，以佐证材料为准。</w:t>
      </w:r>
    </w:p>
    <w:p w14:paraId="2C851DC2">
      <w:pPr>
        <w:spacing w:line="360" w:lineRule="auto"/>
        <w:ind w:right="-817" w:rightChars="-389"/>
        <w:contextualSpacing/>
        <w:rPr>
          <w:rFonts w:hint="eastAsia" w:ascii="宋体" w:hAnsi="宋体" w:cs="仿宋_GB2312"/>
          <w:color w:val="auto"/>
          <w:sz w:val="21"/>
          <w:szCs w:val="21"/>
          <w:highlight w:val="none"/>
        </w:rPr>
      </w:pPr>
    </w:p>
    <w:p w14:paraId="5813E156">
      <w:pPr>
        <w:spacing w:line="360" w:lineRule="auto"/>
        <w:ind w:right="-817" w:rightChars="-389"/>
        <w:contextualSpacing/>
        <w:jc w:val="center"/>
        <w:rPr>
          <w:rFonts w:hint="eastAsia" w:ascii="宋体" w:hAnsi="宋体" w:cs="仿宋_GB2312"/>
          <w:color w:val="auto"/>
          <w:sz w:val="21"/>
          <w:szCs w:val="21"/>
          <w:highlight w:val="none"/>
        </w:rPr>
      </w:pPr>
      <w:r>
        <w:rPr>
          <w:rFonts w:hint="eastAsia" w:ascii="宋体" w:hAnsi="宋体" w:eastAsia="宋体" w:cs="宋体"/>
          <w:color w:val="auto"/>
          <w:kern w:val="0"/>
          <w:sz w:val="21"/>
          <w:szCs w:val="21"/>
          <w:highlight w:val="none"/>
          <w:lang w:val="zh-CN"/>
        </w:rPr>
        <w:t>法定代表人（负责人）或委托代理人(签名)</w:t>
      </w:r>
      <w:r>
        <w:rPr>
          <w:rFonts w:hint="eastAsia" w:ascii="宋体" w:hAnsi="宋体" w:cs="仿宋_GB2312"/>
          <w:color w:val="auto"/>
          <w:sz w:val="21"/>
          <w:szCs w:val="21"/>
          <w:highlight w:val="none"/>
        </w:rPr>
        <w:t>：</w:t>
      </w:r>
    </w:p>
    <w:p w14:paraId="6357E71E">
      <w:pPr>
        <w:spacing w:line="360" w:lineRule="auto"/>
        <w:ind w:right="-817" w:rightChars="-389" w:firstLine="3150" w:firstLineChars="15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 xml:space="preserve">供应商（盖公章）：      </w:t>
      </w:r>
    </w:p>
    <w:p w14:paraId="6F8A9D94">
      <w:pPr>
        <w:spacing w:line="360" w:lineRule="auto"/>
        <w:ind w:right="-817" w:rightChars="-389" w:firstLine="3150" w:firstLineChars="1500"/>
        <w:contextualSpacing/>
        <w:rPr>
          <w:rFonts w:ascii="仿宋_GB2312" w:hAnsi="仿宋_GB2312" w:eastAsia="仿宋_GB2312" w:cs="仿宋_GB2312"/>
          <w:color w:val="auto"/>
          <w:sz w:val="21"/>
          <w:szCs w:val="21"/>
          <w:highlight w:val="none"/>
        </w:rPr>
      </w:pPr>
      <w:r>
        <w:rPr>
          <w:rFonts w:hint="eastAsia" w:ascii="宋体" w:hAnsi="宋体" w:cs="仿宋_GB2312"/>
          <w:color w:val="auto"/>
          <w:sz w:val="21"/>
          <w:szCs w:val="21"/>
          <w:highlight w:val="none"/>
        </w:rPr>
        <w:t>日期：   年   月   日</w:t>
      </w:r>
    </w:p>
    <w:p w14:paraId="42387580">
      <w:pPr>
        <w:pStyle w:val="31"/>
        <w:numPr>
          <w:ilvl w:val="0"/>
          <w:numId w:val="0"/>
        </w:numPr>
        <w:spacing w:line="360" w:lineRule="auto"/>
        <w:ind w:firstLine="420" w:firstLineChars="200"/>
        <w:rPr>
          <w:rFonts w:hint="eastAsia" w:hAnsi="宋体" w:cs="宋体"/>
          <w:color w:val="auto"/>
          <w:sz w:val="21"/>
          <w:szCs w:val="21"/>
          <w:highlight w:val="none"/>
        </w:rPr>
      </w:pPr>
    </w:p>
    <w:p w14:paraId="31E70E1D">
      <w:pPr>
        <w:pStyle w:val="31"/>
        <w:numPr>
          <w:ilvl w:val="0"/>
          <w:numId w:val="0"/>
        </w:numPr>
        <w:spacing w:line="360" w:lineRule="auto"/>
        <w:ind w:firstLine="420" w:firstLineChars="200"/>
        <w:rPr>
          <w:rFonts w:hint="eastAsia" w:hAnsi="宋体" w:cs="宋体"/>
          <w:color w:val="auto"/>
          <w:sz w:val="21"/>
          <w:szCs w:val="21"/>
          <w:highlight w:val="none"/>
        </w:rPr>
      </w:pPr>
    </w:p>
    <w:p w14:paraId="4F6F114A">
      <w:pPr>
        <w:pStyle w:val="31"/>
        <w:numPr>
          <w:ilvl w:val="0"/>
          <w:numId w:val="0"/>
        </w:numPr>
        <w:spacing w:line="360" w:lineRule="auto"/>
        <w:ind w:firstLine="420" w:firstLineChars="200"/>
        <w:rPr>
          <w:rFonts w:hint="eastAsia" w:hAnsi="宋体" w:cs="宋体"/>
          <w:color w:val="auto"/>
          <w:sz w:val="21"/>
          <w:szCs w:val="21"/>
          <w:highlight w:val="none"/>
        </w:rPr>
      </w:pPr>
    </w:p>
    <w:p w14:paraId="56ABA142">
      <w:pPr>
        <w:pStyle w:val="31"/>
        <w:numPr>
          <w:ilvl w:val="0"/>
          <w:numId w:val="0"/>
        </w:numPr>
        <w:spacing w:line="360" w:lineRule="auto"/>
        <w:ind w:firstLine="420" w:firstLineChars="200"/>
        <w:rPr>
          <w:rFonts w:hint="eastAsia" w:hAnsi="宋体" w:cs="宋体"/>
          <w:color w:val="auto"/>
          <w:sz w:val="21"/>
          <w:szCs w:val="21"/>
          <w:highlight w:val="none"/>
        </w:rPr>
      </w:pPr>
    </w:p>
    <w:p w14:paraId="4E29E2B2">
      <w:pPr>
        <w:pStyle w:val="31"/>
        <w:numPr>
          <w:ilvl w:val="0"/>
          <w:numId w:val="0"/>
        </w:numPr>
        <w:spacing w:line="360" w:lineRule="auto"/>
        <w:ind w:firstLine="420" w:firstLineChars="200"/>
        <w:rPr>
          <w:rFonts w:hint="eastAsia" w:hAnsi="宋体" w:cs="宋体"/>
          <w:color w:val="auto"/>
          <w:sz w:val="21"/>
          <w:szCs w:val="21"/>
          <w:highlight w:val="none"/>
        </w:rPr>
      </w:pPr>
    </w:p>
    <w:p w14:paraId="0B130E6A">
      <w:pPr>
        <w:pStyle w:val="31"/>
        <w:numPr>
          <w:ilvl w:val="0"/>
          <w:numId w:val="0"/>
        </w:numPr>
        <w:spacing w:line="360" w:lineRule="auto"/>
        <w:ind w:firstLine="420" w:firstLineChars="200"/>
        <w:rPr>
          <w:rFonts w:hint="eastAsia" w:hAnsi="宋体" w:cs="宋体"/>
          <w:color w:val="auto"/>
          <w:sz w:val="21"/>
          <w:szCs w:val="21"/>
          <w:highlight w:val="none"/>
        </w:rPr>
      </w:pPr>
    </w:p>
    <w:p w14:paraId="08DD06EC">
      <w:pPr>
        <w:pStyle w:val="31"/>
        <w:numPr>
          <w:ilvl w:val="0"/>
          <w:numId w:val="0"/>
        </w:numPr>
        <w:spacing w:line="360" w:lineRule="auto"/>
        <w:ind w:firstLine="420" w:firstLineChars="200"/>
        <w:rPr>
          <w:rFonts w:hint="eastAsia" w:hAnsi="宋体" w:cs="宋体"/>
          <w:color w:val="auto"/>
          <w:sz w:val="21"/>
          <w:szCs w:val="21"/>
          <w:highlight w:val="none"/>
        </w:rPr>
      </w:pPr>
    </w:p>
    <w:p w14:paraId="7815CF33">
      <w:pPr>
        <w:snapToGrid w:val="0"/>
        <w:spacing w:line="360" w:lineRule="auto"/>
        <w:jc w:val="both"/>
        <w:rPr>
          <w:rFonts w:hint="eastAsia" w:cs="仿宋_GB2312" w:asciiTheme="minorEastAsia" w:hAnsiTheme="minorEastAsia" w:eastAsiaTheme="minorEastAsia"/>
          <w:b/>
          <w:color w:val="auto"/>
          <w:sz w:val="21"/>
          <w:szCs w:val="21"/>
          <w:highlight w:val="none"/>
          <w:lang w:val="en-US" w:eastAsia="zh-CN"/>
        </w:rPr>
      </w:pPr>
      <w:r>
        <w:rPr>
          <w:rFonts w:hint="eastAsia" w:cs="仿宋_GB2312" w:asciiTheme="minorEastAsia" w:hAnsiTheme="minorEastAsia" w:eastAsiaTheme="minorEastAsia"/>
          <w:b/>
          <w:color w:val="auto"/>
          <w:sz w:val="21"/>
          <w:szCs w:val="21"/>
          <w:highlight w:val="none"/>
          <w:lang w:val="en-US" w:eastAsia="zh-CN"/>
        </w:rPr>
        <w:t>7、</w:t>
      </w:r>
      <w:r>
        <w:rPr>
          <w:rFonts w:hint="eastAsia" w:cs="仿宋_GB2312" w:asciiTheme="minorEastAsia" w:hAnsiTheme="minorEastAsia" w:eastAsiaTheme="minorEastAsia"/>
          <w:b/>
          <w:color w:val="auto"/>
          <w:sz w:val="21"/>
          <w:szCs w:val="21"/>
          <w:highlight w:val="none"/>
        </w:rPr>
        <w:t>响应产品规格配置清单</w:t>
      </w:r>
    </w:p>
    <w:p w14:paraId="051FDE95">
      <w:pPr>
        <w:snapToGrid w:val="0"/>
        <w:spacing w:line="360" w:lineRule="auto"/>
        <w:jc w:val="center"/>
        <w:rPr>
          <w:rFonts w:cs="仿宋_GB2312" w:asciiTheme="minorEastAsia" w:hAnsiTheme="minorEastAsia" w:eastAsiaTheme="minorEastAsia"/>
          <w:b/>
          <w:color w:val="auto"/>
          <w:sz w:val="32"/>
          <w:szCs w:val="32"/>
          <w:highlight w:val="none"/>
        </w:rPr>
      </w:pPr>
      <w:r>
        <w:rPr>
          <w:rFonts w:hint="eastAsia" w:cs="仿宋_GB2312" w:asciiTheme="minorEastAsia" w:hAnsiTheme="minorEastAsia" w:eastAsiaTheme="minorEastAsia"/>
          <w:b/>
          <w:color w:val="auto"/>
          <w:sz w:val="32"/>
          <w:szCs w:val="32"/>
          <w:highlight w:val="none"/>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1547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724D90C4">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序号</w:t>
            </w:r>
          </w:p>
        </w:tc>
        <w:tc>
          <w:tcPr>
            <w:tcW w:w="1531" w:type="dxa"/>
            <w:vAlign w:val="center"/>
          </w:tcPr>
          <w:p w14:paraId="3C060E56">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设备名称</w:t>
            </w:r>
          </w:p>
        </w:tc>
        <w:tc>
          <w:tcPr>
            <w:tcW w:w="2160" w:type="dxa"/>
            <w:vAlign w:val="center"/>
          </w:tcPr>
          <w:p w14:paraId="2726B036">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响应品牌及型号</w:t>
            </w:r>
          </w:p>
        </w:tc>
        <w:tc>
          <w:tcPr>
            <w:tcW w:w="2340" w:type="dxa"/>
            <w:vAlign w:val="center"/>
          </w:tcPr>
          <w:p w14:paraId="58DFB3F8">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规格配置详细说明</w:t>
            </w:r>
          </w:p>
        </w:tc>
        <w:tc>
          <w:tcPr>
            <w:tcW w:w="1080" w:type="dxa"/>
            <w:vAlign w:val="center"/>
          </w:tcPr>
          <w:p w14:paraId="637BB521">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数量</w:t>
            </w:r>
          </w:p>
        </w:tc>
        <w:tc>
          <w:tcPr>
            <w:tcW w:w="1332" w:type="dxa"/>
            <w:vAlign w:val="center"/>
          </w:tcPr>
          <w:p w14:paraId="1F2E2D3A">
            <w:pPr>
              <w:spacing w:line="360" w:lineRule="auto"/>
              <w:jc w:val="center"/>
              <w:rPr>
                <w:rFonts w:cs="仿宋_GB2312" w:asciiTheme="minorEastAsia" w:hAnsiTheme="minorEastAsia" w:eastAsiaTheme="minorEastAsia"/>
                <w:b/>
                <w:color w:val="auto"/>
                <w:sz w:val="24"/>
                <w:highlight w:val="none"/>
              </w:rPr>
            </w:pPr>
            <w:r>
              <w:rPr>
                <w:rFonts w:hint="eastAsia" w:cs="仿宋_GB2312" w:asciiTheme="minorEastAsia" w:hAnsiTheme="minorEastAsia" w:eastAsiaTheme="minorEastAsia"/>
                <w:b/>
                <w:color w:val="auto"/>
                <w:sz w:val="24"/>
                <w:highlight w:val="none"/>
              </w:rPr>
              <w:t>备注</w:t>
            </w:r>
          </w:p>
        </w:tc>
      </w:tr>
      <w:tr w14:paraId="2734B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51162EB5">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1</w:t>
            </w:r>
          </w:p>
        </w:tc>
        <w:tc>
          <w:tcPr>
            <w:tcW w:w="1531" w:type="dxa"/>
            <w:vAlign w:val="center"/>
          </w:tcPr>
          <w:p w14:paraId="633495FB">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1DFD2D13">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05AAA064">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09FC8312">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62C55D61">
            <w:pPr>
              <w:spacing w:line="360" w:lineRule="auto"/>
              <w:jc w:val="center"/>
              <w:rPr>
                <w:rFonts w:cs="仿宋_GB2312" w:asciiTheme="minorEastAsia" w:hAnsiTheme="minorEastAsia" w:eastAsiaTheme="minorEastAsia"/>
                <w:color w:val="auto"/>
                <w:sz w:val="24"/>
                <w:highlight w:val="none"/>
              </w:rPr>
            </w:pPr>
          </w:p>
        </w:tc>
      </w:tr>
      <w:tr w14:paraId="3E8B9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C7F533E">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2</w:t>
            </w:r>
          </w:p>
        </w:tc>
        <w:tc>
          <w:tcPr>
            <w:tcW w:w="1531" w:type="dxa"/>
            <w:vAlign w:val="center"/>
          </w:tcPr>
          <w:p w14:paraId="7C934F2E">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17A1347A">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13B3FAB2">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23E35D76">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7BCCBBCA">
            <w:pPr>
              <w:spacing w:line="360" w:lineRule="auto"/>
              <w:jc w:val="center"/>
              <w:rPr>
                <w:rFonts w:cs="仿宋_GB2312" w:asciiTheme="minorEastAsia" w:hAnsiTheme="minorEastAsia" w:eastAsiaTheme="minorEastAsia"/>
                <w:color w:val="auto"/>
                <w:sz w:val="24"/>
                <w:highlight w:val="none"/>
              </w:rPr>
            </w:pPr>
          </w:p>
        </w:tc>
      </w:tr>
      <w:tr w14:paraId="5C81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2EC0E62">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3</w:t>
            </w:r>
          </w:p>
        </w:tc>
        <w:tc>
          <w:tcPr>
            <w:tcW w:w="1531" w:type="dxa"/>
            <w:vAlign w:val="center"/>
          </w:tcPr>
          <w:p w14:paraId="1756D9AB">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604A29FA">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431BCC01">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3126A7DD">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3094DEC2">
            <w:pPr>
              <w:spacing w:line="360" w:lineRule="auto"/>
              <w:jc w:val="center"/>
              <w:rPr>
                <w:rFonts w:cs="仿宋_GB2312" w:asciiTheme="minorEastAsia" w:hAnsiTheme="minorEastAsia" w:eastAsiaTheme="minorEastAsia"/>
                <w:color w:val="auto"/>
                <w:sz w:val="24"/>
                <w:highlight w:val="none"/>
              </w:rPr>
            </w:pPr>
          </w:p>
        </w:tc>
      </w:tr>
      <w:tr w14:paraId="25BC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CA6E90D">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4</w:t>
            </w:r>
          </w:p>
        </w:tc>
        <w:tc>
          <w:tcPr>
            <w:tcW w:w="1531" w:type="dxa"/>
            <w:vAlign w:val="center"/>
          </w:tcPr>
          <w:p w14:paraId="5DBF9AA5">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20D1960A">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77320E4F">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54DE901E">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0978C37A">
            <w:pPr>
              <w:spacing w:line="360" w:lineRule="auto"/>
              <w:jc w:val="center"/>
              <w:rPr>
                <w:rFonts w:cs="仿宋_GB2312" w:asciiTheme="minorEastAsia" w:hAnsiTheme="minorEastAsia" w:eastAsiaTheme="minorEastAsia"/>
                <w:color w:val="auto"/>
                <w:sz w:val="24"/>
                <w:highlight w:val="none"/>
              </w:rPr>
            </w:pPr>
          </w:p>
        </w:tc>
      </w:tr>
      <w:tr w14:paraId="1C72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A3FA5CC">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5</w:t>
            </w:r>
          </w:p>
        </w:tc>
        <w:tc>
          <w:tcPr>
            <w:tcW w:w="1531" w:type="dxa"/>
            <w:vAlign w:val="center"/>
          </w:tcPr>
          <w:p w14:paraId="1478C1BE">
            <w:pPr>
              <w:snapToGrid w:val="0"/>
              <w:spacing w:line="360" w:lineRule="auto"/>
              <w:jc w:val="center"/>
              <w:rPr>
                <w:rFonts w:cs="仿宋_GB2312" w:asciiTheme="minorEastAsia" w:hAnsiTheme="minorEastAsia" w:eastAsiaTheme="minorEastAsia"/>
                <w:color w:val="auto"/>
                <w:sz w:val="24"/>
                <w:highlight w:val="none"/>
              </w:rPr>
            </w:pPr>
          </w:p>
        </w:tc>
        <w:tc>
          <w:tcPr>
            <w:tcW w:w="2160" w:type="dxa"/>
            <w:vAlign w:val="center"/>
          </w:tcPr>
          <w:p w14:paraId="5A446F8C">
            <w:pPr>
              <w:snapToGrid w:val="0"/>
              <w:spacing w:line="360" w:lineRule="auto"/>
              <w:jc w:val="center"/>
              <w:rPr>
                <w:rFonts w:cs="仿宋_GB2312" w:asciiTheme="minorEastAsia" w:hAnsiTheme="minorEastAsia" w:eastAsiaTheme="minorEastAsia"/>
                <w:color w:val="auto"/>
                <w:sz w:val="24"/>
                <w:highlight w:val="none"/>
              </w:rPr>
            </w:pPr>
          </w:p>
        </w:tc>
        <w:tc>
          <w:tcPr>
            <w:tcW w:w="2340" w:type="dxa"/>
            <w:vAlign w:val="center"/>
          </w:tcPr>
          <w:p w14:paraId="2F9E696B">
            <w:pPr>
              <w:spacing w:line="360" w:lineRule="auto"/>
              <w:jc w:val="center"/>
              <w:rPr>
                <w:rFonts w:cs="仿宋_GB2312" w:asciiTheme="minorEastAsia" w:hAnsiTheme="minorEastAsia" w:eastAsiaTheme="minorEastAsia"/>
                <w:color w:val="auto"/>
                <w:sz w:val="24"/>
                <w:highlight w:val="none"/>
              </w:rPr>
            </w:pPr>
          </w:p>
        </w:tc>
        <w:tc>
          <w:tcPr>
            <w:tcW w:w="1080" w:type="dxa"/>
            <w:vAlign w:val="center"/>
          </w:tcPr>
          <w:p w14:paraId="3DD77A1D">
            <w:pPr>
              <w:spacing w:line="360" w:lineRule="auto"/>
              <w:jc w:val="center"/>
              <w:rPr>
                <w:rFonts w:cs="仿宋_GB2312" w:asciiTheme="minorEastAsia" w:hAnsiTheme="minorEastAsia" w:eastAsiaTheme="minorEastAsia"/>
                <w:color w:val="auto"/>
                <w:sz w:val="24"/>
                <w:highlight w:val="none"/>
              </w:rPr>
            </w:pPr>
          </w:p>
        </w:tc>
        <w:tc>
          <w:tcPr>
            <w:tcW w:w="1332" w:type="dxa"/>
            <w:vAlign w:val="center"/>
          </w:tcPr>
          <w:p w14:paraId="3A4EB39C">
            <w:pPr>
              <w:spacing w:line="360" w:lineRule="auto"/>
              <w:jc w:val="center"/>
              <w:rPr>
                <w:rFonts w:cs="仿宋_GB2312" w:asciiTheme="minorEastAsia" w:hAnsiTheme="minorEastAsia" w:eastAsiaTheme="minorEastAsia"/>
                <w:color w:val="auto"/>
                <w:sz w:val="24"/>
                <w:highlight w:val="none"/>
              </w:rPr>
            </w:pPr>
          </w:p>
        </w:tc>
      </w:tr>
    </w:tbl>
    <w:p w14:paraId="07D299AA">
      <w:pPr>
        <w:autoSpaceDE w:val="0"/>
        <w:autoSpaceDN w:val="0"/>
        <w:spacing w:line="360" w:lineRule="auto"/>
        <w:rPr>
          <w:rFonts w:cs="仿宋_GB2312" w:asciiTheme="minorEastAsia" w:hAnsiTheme="minorEastAsia" w:eastAsiaTheme="minorEastAsia"/>
          <w:b/>
          <w:color w:val="auto"/>
          <w:kern w:val="0"/>
          <w:sz w:val="28"/>
          <w:szCs w:val="28"/>
          <w:highlight w:val="none"/>
        </w:rPr>
      </w:pPr>
    </w:p>
    <w:p w14:paraId="34D44E39">
      <w:pPr>
        <w:rPr>
          <w:rFonts w:hint="eastAsia" w:cs="仿宋_GB2312" w:asciiTheme="minorEastAsia" w:hAnsiTheme="minorEastAsia" w:eastAsiaTheme="minorEastAsia"/>
          <w:b/>
          <w:color w:val="auto"/>
          <w:kern w:val="0"/>
          <w:sz w:val="32"/>
          <w:szCs w:val="32"/>
          <w:highlight w:val="none"/>
        </w:rPr>
        <w:sectPr>
          <w:footerReference r:id="rId4" w:type="default"/>
          <w:pgSz w:w="11906" w:h="16838"/>
          <w:pgMar w:top="1417" w:right="1417" w:bottom="1417" w:left="1417" w:header="748" w:footer="720" w:gutter="0"/>
          <w:pgBorders>
            <w:top w:val="none" w:sz="0" w:space="0"/>
            <w:left w:val="none" w:sz="0" w:space="0"/>
            <w:bottom w:val="none" w:sz="0" w:space="0"/>
            <w:right w:val="none" w:sz="0" w:space="0"/>
          </w:pgBorders>
          <w:pgNumType w:fmt="decimal" w:start="1"/>
          <w:cols w:space="0" w:num="1"/>
          <w:rtlGutter w:val="0"/>
          <w:docGrid w:linePitch="312" w:charSpace="0"/>
        </w:sectPr>
      </w:pPr>
      <w:r>
        <w:rPr>
          <w:rFonts w:hint="eastAsia" w:cs="仿宋_GB2312" w:asciiTheme="minorEastAsia" w:hAnsiTheme="minorEastAsia" w:eastAsiaTheme="minorEastAsia"/>
          <w:b/>
          <w:color w:val="auto"/>
          <w:kern w:val="0"/>
          <w:sz w:val="32"/>
          <w:szCs w:val="32"/>
          <w:highlight w:val="none"/>
        </w:rPr>
        <w:br w:type="page"/>
      </w:r>
    </w:p>
    <w:p w14:paraId="30657B1C">
      <w:pPr>
        <w:pStyle w:val="392"/>
        <w:ind w:firstLine="0" w:firstLineChars="0"/>
        <w:jc w:val="center"/>
        <w:outlineLvl w:val="0"/>
        <w:rPr>
          <w:rFonts w:cs="仿宋_GB2312" w:asciiTheme="minorEastAsia" w:hAnsiTheme="minorEastAsia" w:eastAsiaTheme="minorEastAsia"/>
          <w:b/>
          <w:color w:val="auto"/>
          <w:sz w:val="36"/>
          <w:szCs w:val="36"/>
          <w:highlight w:val="none"/>
        </w:rPr>
      </w:pPr>
      <w:bookmarkStart w:id="81" w:name="_Toc23419"/>
      <w:bookmarkStart w:id="82" w:name="_Toc26731"/>
      <w:r>
        <w:rPr>
          <w:rFonts w:hint="eastAsia" w:cs="仿宋_GB2312" w:asciiTheme="minorEastAsia" w:hAnsiTheme="minorEastAsia" w:eastAsiaTheme="minorEastAsia"/>
          <w:b/>
          <w:color w:val="auto"/>
          <w:sz w:val="36"/>
          <w:szCs w:val="36"/>
          <w:highlight w:val="none"/>
        </w:rPr>
        <w:t>第八部分  最后报价格式</w:t>
      </w:r>
      <w:bookmarkEnd w:id="81"/>
      <w:bookmarkEnd w:id="82"/>
    </w:p>
    <w:p w14:paraId="21B07D57">
      <w:pPr>
        <w:pStyle w:val="631"/>
        <w:jc w:val="center"/>
        <w:rPr>
          <w:rFonts w:cs="仿宋_GB2312" w:asciiTheme="minorEastAsia" w:hAnsiTheme="minorEastAsia" w:eastAsiaTheme="minorEastAsia"/>
          <w:color w:val="auto"/>
          <w:kern w:val="0"/>
          <w:sz w:val="24"/>
          <w:highlight w:val="none"/>
          <w:lang w:val="zh-CN"/>
        </w:rPr>
      </w:pPr>
      <w:r>
        <w:rPr>
          <w:rFonts w:hint="eastAsia"/>
          <w:b/>
          <w:color w:val="auto"/>
          <w:sz w:val="32"/>
          <w:szCs w:val="32"/>
          <w:highlight w:val="none"/>
        </w:rPr>
        <w:t>（一）最后报价一览表（货物类）</w:t>
      </w:r>
    </w:p>
    <w:p w14:paraId="762CC1C4">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090E2005">
      <w:pPr>
        <w:snapToGrid w:val="0"/>
        <w:spacing w:line="360" w:lineRule="auto"/>
        <w:ind w:firstLine="482"/>
        <w:rPr>
          <w:rFonts w:hint="eastAsia" w:ascii="宋体" w:hAnsi="宋体" w:cs="宋体"/>
          <w:b w:val="0"/>
          <w:bCs w:val="0"/>
          <w:color w:val="auto"/>
          <w:kern w:val="0"/>
          <w:sz w:val="24"/>
          <w:highlight w:val="none"/>
          <w:lang w:val="zh-CN"/>
        </w:rPr>
      </w:pPr>
      <w:r>
        <w:rPr>
          <w:rFonts w:hint="eastAsia" w:ascii="宋体" w:hAnsi="宋体" w:cs="宋体"/>
          <w:color w:val="auto"/>
          <w:kern w:val="0"/>
          <w:sz w:val="24"/>
          <w:highlight w:val="none"/>
          <w:lang w:val="zh-CN"/>
        </w:rPr>
        <w:t>按你方</w:t>
      </w:r>
      <w:r>
        <w:rPr>
          <w:rFonts w:hint="eastAsia" w:ascii="宋体" w:hAnsi="宋体" w:cs="宋体"/>
          <w:color w:val="auto"/>
          <w:kern w:val="0"/>
          <w:sz w:val="24"/>
          <w:highlight w:val="none"/>
          <w:lang w:val="en-US" w:eastAsia="zh-CN"/>
        </w:rPr>
        <w:t>采购</w:t>
      </w:r>
      <w:r>
        <w:rPr>
          <w:rFonts w:hint="eastAsia" w:ascii="宋体" w:hAnsi="宋体" w:cs="宋体"/>
          <w:color w:val="auto"/>
          <w:kern w:val="0"/>
          <w:sz w:val="24"/>
          <w:highlight w:val="none"/>
          <w:lang w:val="zh-CN"/>
        </w:rPr>
        <w:t>文件要求，我们，本</w:t>
      </w:r>
      <w:r>
        <w:rPr>
          <w:rFonts w:hint="eastAsia" w:ascii="宋体" w:hAnsi="宋体" w:cs="宋体"/>
          <w:color w:val="auto"/>
          <w:kern w:val="0"/>
          <w:sz w:val="24"/>
          <w:highlight w:val="none"/>
          <w:lang w:val="en-US" w:eastAsia="zh-CN"/>
        </w:rPr>
        <w:t>响应文件</w:t>
      </w:r>
      <w:r>
        <w:rPr>
          <w:rFonts w:hint="eastAsia" w:ascii="宋体" w:hAnsi="宋体" w:cs="宋体"/>
          <w:color w:val="auto"/>
          <w:kern w:val="0"/>
          <w:sz w:val="24"/>
          <w:highlight w:val="none"/>
          <w:lang w:val="zh-CN"/>
        </w:rPr>
        <w:t>签字方，谨此向你方发出要约如下：如你方接受本</w:t>
      </w:r>
      <w:r>
        <w:rPr>
          <w:rFonts w:hint="eastAsia" w:ascii="宋体" w:hAnsi="宋体" w:cs="宋体"/>
          <w:color w:val="auto"/>
          <w:kern w:val="0"/>
          <w:sz w:val="24"/>
          <w:highlight w:val="none"/>
          <w:lang w:val="en-US" w:eastAsia="zh-CN"/>
        </w:rPr>
        <w:t>报价</w:t>
      </w:r>
      <w:r>
        <w:rPr>
          <w:rFonts w:hint="eastAsia" w:ascii="宋体" w:hAnsi="宋体" w:cs="宋体"/>
          <w:color w:val="auto"/>
          <w:kern w:val="0"/>
          <w:sz w:val="24"/>
          <w:highlight w:val="none"/>
          <w:lang w:val="zh-CN"/>
        </w:rPr>
        <w:t>，我方承诺按照如下开标一览表（报价表）的价格完成</w:t>
      </w:r>
      <w:r>
        <w:rPr>
          <w:rFonts w:hint="eastAsia" w:ascii="宋体" w:hAnsi="宋体" w:cs="宋体"/>
          <w:b w:val="0"/>
          <w:bCs w:val="0"/>
          <w:color w:val="auto"/>
          <w:kern w:val="0"/>
          <w:sz w:val="24"/>
          <w:highlight w:val="none"/>
          <w:lang w:val="zh-CN" w:eastAsia="zh-CN"/>
        </w:rPr>
        <w:t>广西壮族自治区第十六届运动会(武术套路、武术散打、围棋)设施设备采购（项目</w:t>
      </w:r>
      <w:r>
        <w:rPr>
          <w:rFonts w:hint="eastAsia" w:ascii="宋体" w:hAnsi="宋体" w:cs="宋体"/>
          <w:b w:val="0"/>
          <w:bCs w:val="0"/>
          <w:color w:val="auto"/>
          <w:kern w:val="0"/>
          <w:sz w:val="24"/>
          <w:highlight w:val="none"/>
          <w:lang w:val="zh-CN"/>
        </w:rPr>
        <w:t>编号：</w:t>
      </w:r>
    </w:p>
    <w:p w14:paraId="14B6A835">
      <w:pPr>
        <w:snapToGrid w:val="0"/>
        <w:spacing w:line="360" w:lineRule="auto"/>
        <w:ind w:firstLine="482"/>
        <w:rPr>
          <w:rFonts w:ascii="宋体" w:hAnsi="宋体" w:cs="宋体"/>
          <w:color w:val="auto"/>
          <w:kern w:val="0"/>
          <w:sz w:val="24"/>
          <w:highlight w:val="none"/>
          <w:lang w:val="zh-CN"/>
        </w:rPr>
      </w:pPr>
      <w:r>
        <w:rPr>
          <w:rFonts w:hint="eastAsia" w:ascii="宋体" w:hAnsi="宋体" w:cs="宋体"/>
          <w:b w:val="0"/>
          <w:bCs w:val="0"/>
          <w:color w:val="auto"/>
          <w:kern w:val="0"/>
          <w:sz w:val="24"/>
          <w:highlight w:val="none"/>
          <w:lang w:val="zh-CN" w:eastAsia="zh-CN"/>
        </w:rPr>
        <w:t>BHZC2026-J1-990270-BBWH）</w:t>
      </w:r>
      <w:r>
        <w:rPr>
          <w:rFonts w:hint="eastAsia" w:ascii="宋体" w:hAnsi="宋体" w:cs="宋体"/>
          <w:color w:val="auto"/>
          <w:sz w:val="24"/>
          <w:highlight w:val="none"/>
        </w:rPr>
        <w:t>的实施</w:t>
      </w:r>
      <w:r>
        <w:rPr>
          <w:rFonts w:hint="eastAsia" w:ascii="宋体" w:hAnsi="宋体" w:cs="宋体"/>
          <w:color w:val="auto"/>
          <w:kern w:val="0"/>
          <w:sz w:val="24"/>
          <w:highlight w:val="none"/>
          <w:lang w:val="zh-CN"/>
        </w:rPr>
        <w:t>。</w:t>
      </w:r>
    </w:p>
    <w:p w14:paraId="5ABB5987">
      <w:pPr>
        <w:pStyle w:val="631"/>
        <w:jc w:val="center"/>
        <w:rPr>
          <w:b/>
          <w:color w:val="auto"/>
          <w:sz w:val="32"/>
          <w:szCs w:val="32"/>
          <w:highlight w:val="none"/>
        </w:rPr>
      </w:pPr>
      <w:r>
        <w:rPr>
          <w:rFonts w:hint="eastAsia" w:cs="仿宋_GB2312" w:asciiTheme="minorEastAsia" w:hAnsiTheme="minorEastAsia" w:eastAsiaTheme="minorEastAsia"/>
          <w:b/>
          <w:color w:val="auto"/>
          <w:highlight w:val="none"/>
          <w:lang w:val="zh-CN"/>
        </w:rPr>
        <w:t>最后报价一览表(单位均为人民币元)</w:t>
      </w:r>
    </w:p>
    <w:tbl>
      <w:tblPr>
        <w:tblStyle w:val="60"/>
        <w:tblW w:w="14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5AFD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jc w:val="center"/>
        </w:trPr>
        <w:tc>
          <w:tcPr>
            <w:tcW w:w="534" w:type="dxa"/>
            <w:vAlign w:val="center"/>
          </w:tcPr>
          <w:p w14:paraId="6D65031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417" w:type="dxa"/>
            <w:vAlign w:val="center"/>
          </w:tcPr>
          <w:p w14:paraId="4B65C285">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843" w:type="dxa"/>
            <w:vAlign w:val="center"/>
          </w:tcPr>
          <w:p w14:paraId="0F61E36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生产厂家、</w:t>
            </w:r>
          </w:p>
          <w:p w14:paraId="293FCBB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品牌（如果有）</w:t>
            </w:r>
          </w:p>
        </w:tc>
        <w:tc>
          <w:tcPr>
            <w:tcW w:w="3118" w:type="dxa"/>
            <w:vAlign w:val="center"/>
          </w:tcPr>
          <w:p w14:paraId="6C8BE9A8">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规格型号</w:t>
            </w:r>
          </w:p>
        </w:tc>
        <w:tc>
          <w:tcPr>
            <w:tcW w:w="993" w:type="dxa"/>
            <w:vAlign w:val="center"/>
          </w:tcPr>
          <w:p w14:paraId="6853CE9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数量</w:t>
            </w:r>
          </w:p>
        </w:tc>
        <w:tc>
          <w:tcPr>
            <w:tcW w:w="1559" w:type="dxa"/>
            <w:vAlign w:val="center"/>
          </w:tcPr>
          <w:p w14:paraId="6E28C58E">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单价</w:t>
            </w:r>
          </w:p>
        </w:tc>
        <w:tc>
          <w:tcPr>
            <w:tcW w:w="1984" w:type="dxa"/>
            <w:vAlign w:val="center"/>
          </w:tcPr>
          <w:p w14:paraId="15320A5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合计</w:t>
            </w:r>
          </w:p>
        </w:tc>
        <w:tc>
          <w:tcPr>
            <w:tcW w:w="3119" w:type="dxa"/>
            <w:vAlign w:val="center"/>
          </w:tcPr>
          <w:p w14:paraId="751E95A9">
            <w:pPr>
              <w:spacing w:line="360" w:lineRule="auto"/>
              <w:jc w:val="center"/>
              <w:rPr>
                <w:rFonts w:ascii="宋体" w:hAnsi="宋体" w:cs="宋体"/>
                <w:b/>
                <w:color w:val="auto"/>
                <w:sz w:val="24"/>
                <w:highlight w:val="none"/>
              </w:rPr>
            </w:pPr>
          </w:p>
          <w:p w14:paraId="26DA85E4">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14:paraId="002431FB">
            <w:pPr>
              <w:spacing w:line="360" w:lineRule="auto"/>
              <w:jc w:val="center"/>
              <w:rPr>
                <w:rFonts w:ascii="宋体" w:hAnsi="宋体" w:cs="宋体"/>
                <w:b/>
                <w:color w:val="auto"/>
                <w:sz w:val="24"/>
                <w:highlight w:val="none"/>
              </w:rPr>
            </w:pPr>
          </w:p>
        </w:tc>
      </w:tr>
      <w:tr w14:paraId="48DA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534" w:type="dxa"/>
            <w:vAlign w:val="center"/>
          </w:tcPr>
          <w:p w14:paraId="6F3A44E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417" w:type="dxa"/>
            <w:vAlign w:val="center"/>
          </w:tcPr>
          <w:p w14:paraId="4D78334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3B89E942">
            <w:pPr>
              <w:snapToGrid w:val="0"/>
              <w:spacing w:line="360" w:lineRule="auto"/>
              <w:jc w:val="center"/>
              <w:rPr>
                <w:rFonts w:ascii="宋体" w:hAnsi="宋体" w:cs="宋体"/>
                <w:color w:val="auto"/>
                <w:sz w:val="24"/>
                <w:highlight w:val="none"/>
              </w:rPr>
            </w:pPr>
          </w:p>
        </w:tc>
        <w:tc>
          <w:tcPr>
            <w:tcW w:w="3118" w:type="dxa"/>
            <w:vAlign w:val="center"/>
          </w:tcPr>
          <w:p w14:paraId="494EE218">
            <w:pPr>
              <w:snapToGrid w:val="0"/>
              <w:spacing w:line="360" w:lineRule="auto"/>
              <w:jc w:val="center"/>
              <w:rPr>
                <w:rFonts w:ascii="宋体" w:hAnsi="宋体" w:cs="宋体"/>
                <w:color w:val="auto"/>
                <w:sz w:val="24"/>
                <w:highlight w:val="none"/>
              </w:rPr>
            </w:pPr>
          </w:p>
        </w:tc>
        <w:tc>
          <w:tcPr>
            <w:tcW w:w="993" w:type="dxa"/>
            <w:vAlign w:val="center"/>
          </w:tcPr>
          <w:p w14:paraId="74A9037A">
            <w:pPr>
              <w:snapToGrid w:val="0"/>
              <w:spacing w:line="360" w:lineRule="auto"/>
              <w:jc w:val="center"/>
              <w:rPr>
                <w:rFonts w:ascii="宋体" w:hAnsi="宋体" w:cs="宋体"/>
                <w:color w:val="auto"/>
                <w:sz w:val="24"/>
                <w:highlight w:val="none"/>
              </w:rPr>
            </w:pPr>
          </w:p>
        </w:tc>
        <w:tc>
          <w:tcPr>
            <w:tcW w:w="1559" w:type="dxa"/>
            <w:vAlign w:val="center"/>
          </w:tcPr>
          <w:p w14:paraId="7FAF830B">
            <w:pPr>
              <w:spacing w:line="360" w:lineRule="auto"/>
              <w:jc w:val="center"/>
              <w:rPr>
                <w:rFonts w:ascii="宋体" w:hAnsi="宋体" w:cs="宋体"/>
                <w:color w:val="auto"/>
                <w:sz w:val="24"/>
                <w:highlight w:val="none"/>
              </w:rPr>
            </w:pPr>
          </w:p>
        </w:tc>
        <w:tc>
          <w:tcPr>
            <w:tcW w:w="1984" w:type="dxa"/>
            <w:vAlign w:val="center"/>
          </w:tcPr>
          <w:p w14:paraId="5DADA444">
            <w:pPr>
              <w:spacing w:line="360" w:lineRule="auto"/>
              <w:jc w:val="center"/>
              <w:rPr>
                <w:rFonts w:ascii="宋体" w:hAnsi="宋体" w:cs="宋体"/>
                <w:color w:val="auto"/>
                <w:sz w:val="24"/>
                <w:highlight w:val="none"/>
              </w:rPr>
            </w:pPr>
          </w:p>
        </w:tc>
        <w:tc>
          <w:tcPr>
            <w:tcW w:w="3119" w:type="dxa"/>
            <w:vAlign w:val="center"/>
          </w:tcPr>
          <w:p w14:paraId="5331C878">
            <w:pPr>
              <w:spacing w:line="360" w:lineRule="auto"/>
              <w:jc w:val="center"/>
              <w:rPr>
                <w:rFonts w:ascii="宋体" w:hAnsi="宋体" w:cs="宋体"/>
                <w:color w:val="auto"/>
                <w:sz w:val="24"/>
                <w:highlight w:val="none"/>
              </w:rPr>
            </w:pPr>
          </w:p>
        </w:tc>
      </w:tr>
      <w:tr w14:paraId="19A4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4F23E57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417" w:type="dxa"/>
            <w:vAlign w:val="center"/>
          </w:tcPr>
          <w:p w14:paraId="5AB3227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1843" w:type="dxa"/>
            <w:vAlign w:val="center"/>
          </w:tcPr>
          <w:p w14:paraId="07D2BC86">
            <w:pPr>
              <w:snapToGrid w:val="0"/>
              <w:spacing w:line="360" w:lineRule="auto"/>
              <w:jc w:val="center"/>
              <w:rPr>
                <w:rFonts w:ascii="宋体" w:hAnsi="宋体" w:cs="宋体"/>
                <w:color w:val="auto"/>
                <w:sz w:val="24"/>
                <w:highlight w:val="none"/>
              </w:rPr>
            </w:pPr>
          </w:p>
        </w:tc>
        <w:tc>
          <w:tcPr>
            <w:tcW w:w="3118" w:type="dxa"/>
            <w:vAlign w:val="center"/>
          </w:tcPr>
          <w:p w14:paraId="158FE099">
            <w:pPr>
              <w:snapToGrid w:val="0"/>
              <w:spacing w:line="360" w:lineRule="auto"/>
              <w:jc w:val="center"/>
              <w:rPr>
                <w:rFonts w:ascii="宋体" w:hAnsi="宋体" w:cs="宋体"/>
                <w:color w:val="auto"/>
                <w:sz w:val="24"/>
                <w:highlight w:val="none"/>
              </w:rPr>
            </w:pPr>
          </w:p>
        </w:tc>
        <w:tc>
          <w:tcPr>
            <w:tcW w:w="993" w:type="dxa"/>
            <w:vAlign w:val="center"/>
          </w:tcPr>
          <w:p w14:paraId="6EC2A734">
            <w:pPr>
              <w:snapToGrid w:val="0"/>
              <w:spacing w:line="360" w:lineRule="auto"/>
              <w:jc w:val="center"/>
              <w:rPr>
                <w:rFonts w:ascii="宋体" w:hAnsi="宋体" w:cs="宋体"/>
                <w:color w:val="auto"/>
                <w:sz w:val="24"/>
                <w:highlight w:val="none"/>
              </w:rPr>
            </w:pPr>
          </w:p>
        </w:tc>
        <w:tc>
          <w:tcPr>
            <w:tcW w:w="1559" w:type="dxa"/>
            <w:vAlign w:val="center"/>
          </w:tcPr>
          <w:p w14:paraId="7203F23F">
            <w:pPr>
              <w:spacing w:line="360" w:lineRule="auto"/>
              <w:jc w:val="center"/>
              <w:rPr>
                <w:rFonts w:ascii="宋体" w:hAnsi="宋体" w:cs="宋体"/>
                <w:color w:val="auto"/>
                <w:sz w:val="24"/>
                <w:highlight w:val="none"/>
              </w:rPr>
            </w:pPr>
          </w:p>
        </w:tc>
        <w:tc>
          <w:tcPr>
            <w:tcW w:w="1984" w:type="dxa"/>
            <w:vAlign w:val="center"/>
          </w:tcPr>
          <w:p w14:paraId="379924F7">
            <w:pPr>
              <w:spacing w:line="360" w:lineRule="auto"/>
              <w:jc w:val="center"/>
              <w:rPr>
                <w:rFonts w:ascii="宋体" w:hAnsi="宋体" w:cs="宋体"/>
                <w:color w:val="auto"/>
                <w:sz w:val="24"/>
                <w:highlight w:val="none"/>
              </w:rPr>
            </w:pPr>
          </w:p>
        </w:tc>
        <w:tc>
          <w:tcPr>
            <w:tcW w:w="3119" w:type="dxa"/>
            <w:vAlign w:val="center"/>
          </w:tcPr>
          <w:p w14:paraId="41DB268A">
            <w:pPr>
              <w:spacing w:line="360" w:lineRule="auto"/>
              <w:jc w:val="center"/>
              <w:rPr>
                <w:rFonts w:ascii="宋体" w:hAnsi="宋体" w:cs="宋体"/>
                <w:color w:val="auto"/>
                <w:sz w:val="24"/>
                <w:highlight w:val="none"/>
              </w:rPr>
            </w:pPr>
          </w:p>
        </w:tc>
      </w:tr>
      <w:tr w14:paraId="43F0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3926A39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417" w:type="dxa"/>
            <w:vAlign w:val="center"/>
          </w:tcPr>
          <w:p w14:paraId="0EF8553F">
            <w:pPr>
              <w:snapToGrid w:val="0"/>
              <w:spacing w:line="360" w:lineRule="auto"/>
              <w:jc w:val="center"/>
              <w:rPr>
                <w:rFonts w:ascii="宋体" w:hAnsi="宋体" w:cs="宋体"/>
                <w:color w:val="auto"/>
                <w:sz w:val="24"/>
                <w:highlight w:val="none"/>
              </w:rPr>
            </w:pPr>
          </w:p>
        </w:tc>
        <w:tc>
          <w:tcPr>
            <w:tcW w:w="1843" w:type="dxa"/>
            <w:vAlign w:val="center"/>
          </w:tcPr>
          <w:p w14:paraId="7B4059CB">
            <w:pPr>
              <w:snapToGrid w:val="0"/>
              <w:spacing w:line="360" w:lineRule="auto"/>
              <w:jc w:val="center"/>
              <w:rPr>
                <w:rFonts w:ascii="宋体" w:hAnsi="宋体" w:cs="宋体"/>
                <w:color w:val="auto"/>
                <w:sz w:val="24"/>
                <w:highlight w:val="none"/>
              </w:rPr>
            </w:pPr>
          </w:p>
        </w:tc>
        <w:tc>
          <w:tcPr>
            <w:tcW w:w="3118" w:type="dxa"/>
            <w:vAlign w:val="center"/>
          </w:tcPr>
          <w:p w14:paraId="180899B0">
            <w:pPr>
              <w:snapToGrid w:val="0"/>
              <w:spacing w:line="360" w:lineRule="auto"/>
              <w:jc w:val="center"/>
              <w:rPr>
                <w:rFonts w:ascii="宋体" w:hAnsi="宋体" w:cs="宋体"/>
                <w:color w:val="auto"/>
                <w:sz w:val="24"/>
                <w:highlight w:val="none"/>
              </w:rPr>
            </w:pPr>
          </w:p>
        </w:tc>
        <w:tc>
          <w:tcPr>
            <w:tcW w:w="993" w:type="dxa"/>
            <w:vAlign w:val="center"/>
          </w:tcPr>
          <w:p w14:paraId="56AEA081">
            <w:pPr>
              <w:snapToGrid w:val="0"/>
              <w:spacing w:line="360" w:lineRule="auto"/>
              <w:jc w:val="center"/>
              <w:rPr>
                <w:rFonts w:ascii="宋体" w:hAnsi="宋体" w:cs="宋体"/>
                <w:color w:val="auto"/>
                <w:sz w:val="24"/>
                <w:highlight w:val="none"/>
              </w:rPr>
            </w:pPr>
          </w:p>
        </w:tc>
        <w:tc>
          <w:tcPr>
            <w:tcW w:w="1559" w:type="dxa"/>
            <w:vAlign w:val="center"/>
          </w:tcPr>
          <w:p w14:paraId="3AB4E294">
            <w:pPr>
              <w:spacing w:line="360" w:lineRule="auto"/>
              <w:jc w:val="center"/>
              <w:rPr>
                <w:rFonts w:ascii="宋体" w:hAnsi="宋体" w:cs="宋体"/>
                <w:color w:val="auto"/>
                <w:sz w:val="24"/>
                <w:highlight w:val="none"/>
              </w:rPr>
            </w:pPr>
          </w:p>
        </w:tc>
        <w:tc>
          <w:tcPr>
            <w:tcW w:w="1984" w:type="dxa"/>
            <w:vAlign w:val="center"/>
          </w:tcPr>
          <w:p w14:paraId="4719FFE7">
            <w:pPr>
              <w:spacing w:line="360" w:lineRule="auto"/>
              <w:jc w:val="center"/>
              <w:rPr>
                <w:rFonts w:ascii="宋体" w:hAnsi="宋体" w:cs="宋体"/>
                <w:color w:val="auto"/>
                <w:sz w:val="24"/>
                <w:highlight w:val="none"/>
              </w:rPr>
            </w:pPr>
          </w:p>
        </w:tc>
        <w:tc>
          <w:tcPr>
            <w:tcW w:w="3119" w:type="dxa"/>
            <w:vAlign w:val="center"/>
          </w:tcPr>
          <w:p w14:paraId="12DEFDBB">
            <w:pPr>
              <w:spacing w:line="360" w:lineRule="auto"/>
              <w:jc w:val="center"/>
              <w:rPr>
                <w:rFonts w:ascii="宋体" w:hAnsi="宋体" w:cs="宋体"/>
                <w:color w:val="auto"/>
                <w:sz w:val="24"/>
                <w:highlight w:val="none"/>
              </w:rPr>
            </w:pPr>
          </w:p>
        </w:tc>
      </w:tr>
      <w:tr w14:paraId="61DD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25DFCD55">
            <w:pPr>
              <w:spacing w:line="360" w:lineRule="auto"/>
              <w:jc w:val="center"/>
              <w:rPr>
                <w:rFonts w:ascii="宋体" w:hAnsi="宋体" w:cs="宋体"/>
                <w:color w:val="auto"/>
                <w:sz w:val="24"/>
                <w:highlight w:val="none"/>
              </w:rPr>
            </w:pPr>
          </w:p>
        </w:tc>
        <w:tc>
          <w:tcPr>
            <w:tcW w:w="1417" w:type="dxa"/>
            <w:vAlign w:val="center"/>
          </w:tcPr>
          <w:p w14:paraId="4283B8F4">
            <w:pPr>
              <w:snapToGrid w:val="0"/>
              <w:spacing w:line="360" w:lineRule="auto"/>
              <w:jc w:val="center"/>
              <w:rPr>
                <w:rFonts w:ascii="宋体" w:hAnsi="宋体" w:cs="宋体"/>
                <w:color w:val="auto"/>
                <w:sz w:val="24"/>
                <w:highlight w:val="none"/>
              </w:rPr>
            </w:pPr>
          </w:p>
        </w:tc>
        <w:tc>
          <w:tcPr>
            <w:tcW w:w="1843" w:type="dxa"/>
            <w:vAlign w:val="center"/>
          </w:tcPr>
          <w:p w14:paraId="2DFA9D0A">
            <w:pPr>
              <w:snapToGrid w:val="0"/>
              <w:spacing w:line="360" w:lineRule="auto"/>
              <w:jc w:val="center"/>
              <w:rPr>
                <w:rFonts w:ascii="宋体" w:hAnsi="宋体" w:cs="宋体"/>
                <w:color w:val="auto"/>
                <w:sz w:val="24"/>
                <w:highlight w:val="none"/>
              </w:rPr>
            </w:pPr>
          </w:p>
        </w:tc>
        <w:tc>
          <w:tcPr>
            <w:tcW w:w="3118" w:type="dxa"/>
            <w:vAlign w:val="center"/>
          </w:tcPr>
          <w:p w14:paraId="27DF0510">
            <w:pPr>
              <w:snapToGrid w:val="0"/>
              <w:spacing w:line="360" w:lineRule="auto"/>
              <w:jc w:val="center"/>
              <w:rPr>
                <w:rFonts w:ascii="宋体" w:hAnsi="宋体" w:cs="宋体"/>
                <w:color w:val="auto"/>
                <w:sz w:val="24"/>
                <w:highlight w:val="none"/>
              </w:rPr>
            </w:pPr>
          </w:p>
        </w:tc>
        <w:tc>
          <w:tcPr>
            <w:tcW w:w="993" w:type="dxa"/>
            <w:vAlign w:val="center"/>
          </w:tcPr>
          <w:p w14:paraId="054EEC02">
            <w:pPr>
              <w:snapToGrid w:val="0"/>
              <w:spacing w:line="360" w:lineRule="auto"/>
              <w:jc w:val="center"/>
              <w:rPr>
                <w:rFonts w:ascii="宋体" w:hAnsi="宋体" w:cs="宋体"/>
                <w:color w:val="auto"/>
                <w:sz w:val="24"/>
                <w:highlight w:val="none"/>
              </w:rPr>
            </w:pPr>
          </w:p>
        </w:tc>
        <w:tc>
          <w:tcPr>
            <w:tcW w:w="1559" w:type="dxa"/>
            <w:vAlign w:val="center"/>
          </w:tcPr>
          <w:p w14:paraId="36BED91A">
            <w:pPr>
              <w:spacing w:line="360" w:lineRule="auto"/>
              <w:jc w:val="center"/>
              <w:rPr>
                <w:rFonts w:ascii="宋体" w:hAnsi="宋体" w:cs="宋体"/>
                <w:color w:val="auto"/>
                <w:sz w:val="24"/>
                <w:highlight w:val="none"/>
              </w:rPr>
            </w:pPr>
          </w:p>
        </w:tc>
        <w:tc>
          <w:tcPr>
            <w:tcW w:w="1984" w:type="dxa"/>
            <w:vAlign w:val="center"/>
          </w:tcPr>
          <w:p w14:paraId="55794431">
            <w:pPr>
              <w:spacing w:line="360" w:lineRule="auto"/>
              <w:jc w:val="center"/>
              <w:rPr>
                <w:rFonts w:ascii="宋体" w:hAnsi="宋体" w:cs="宋体"/>
                <w:color w:val="auto"/>
                <w:sz w:val="24"/>
                <w:highlight w:val="none"/>
              </w:rPr>
            </w:pPr>
          </w:p>
        </w:tc>
        <w:tc>
          <w:tcPr>
            <w:tcW w:w="3119" w:type="dxa"/>
            <w:vAlign w:val="center"/>
          </w:tcPr>
          <w:p w14:paraId="7B8D1919">
            <w:pPr>
              <w:spacing w:line="360" w:lineRule="auto"/>
              <w:jc w:val="center"/>
              <w:rPr>
                <w:rFonts w:ascii="宋体" w:hAnsi="宋体" w:cs="宋体"/>
                <w:color w:val="auto"/>
                <w:sz w:val="24"/>
                <w:highlight w:val="none"/>
              </w:rPr>
            </w:pPr>
          </w:p>
        </w:tc>
      </w:tr>
      <w:tr w14:paraId="23D4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534" w:type="dxa"/>
            <w:vAlign w:val="center"/>
          </w:tcPr>
          <w:p w14:paraId="0CC253F9">
            <w:pPr>
              <w:spacing w:line="360" w:lineRule="auto"/>
              <w:jc w:val="center"/>
              <w:rPr>
                <w:rFonts w:ascii="宋体" w:hAnsi="宋体" w:cs="宋体"/>
                <w:color w:val="auto"/>
                <w:sz w:val="24"/>
                <w:highlight w:val="none"/>
              </w:rPr>
            </w:pPr>
          </w:p>
        </w:tc>
        <w:tc>
          <w:tcPr>
            <w:tcW w:w="1417" w:type="dxa"/>
            <w:vAlign w:val="center"/>
          </w:tcPr>
          <w:p w14:paraId="1160EE96">
            <w:pPr>
              <w:snapToGrid w:val="0"/>
              <w:spacing w:line="360" w:lineRule="auto"/>
              <w:jc w:val="center"/>
              <w:rPr>
                <w:rFonts w:ascii="宋体" w:hAnsi="宋体" w:cs="宋体"/>
                <w:color w:val="auto"/>
                <w:sz w:val="24"/>
                <w:highlight w:val="none"/>
              </w:rPr>
            </w:pPr>
          </w:p>
        </w:tc>
        <w:tc>
          <w:tcPr>
            <w:tcW w:w="1843" w:type="dxa"/>
            <w:vAlign w:val="center"/>
          </w:tcPr>
          <w:p w14:paraId="433C6A51">
            <w:pPr>
              <w:snapToGrid w:val="0"/>
              <w:spacing w:line="360" w:lineRule="auto"/>
              <w:jc w:val="center"/>
              <w:rPr>
                <w:rFonts w:ascii="宋体" w:hAnsi="宋体" w:cs="宋体"/>
                <w:color w:val="auto"/>
                <w:sz w:val="24"/>
                <w:highlight w:val="none"/>
              </w:rPr>
            </w:pPr>
          </w:p>
        </w:tc>
        <w:tc>
          <w:tcPr>
            <w:tcW w:w="3118" w:type="dxa"/>
            <w:vAlign w:val="center"/>
          </w:tcPr>
          <w:p w14:paraId="1B756CCD">
            <w:pPr>
              <w:snapToGrid w:val="0"/>
              <w:spacing w:line="360" w:lineRule="auto"/>
              <w:jc w:val="center"/>
              <w:rPr>
                <w:rFonts w:ascii="宋体" w:hAnsi="宋体" w:cs="宋体"/>
                <w:color w:val="auto"/>
                <w:sz w:val="24"/>
                <w:highlight w:val="none"/>
              </w:rPr>
            </w:pPr>
          </w:p>
        </w:tc>
        <w:tc>
          <w:tcPr>
            <w:tcW w:w="993" w:type="dxa"/>
            <w:vAlign w:val="center"/>
          </w:tcPr>
          <w:p w14:paraId="59BE2F59">
            <w:pPr>
              <w:snapToGrid w:val="0"/>
              <w:spacing w:line="360" w:lineRule="auto"/>
              <w:jc w:val="center"/>
              <w:rPr>
                <w:rFonts w:ascii="宋体" w:hAnsi="宋体" w:cs="宋体"/>
                <w:color w:val="auto"/>
                <w:sz w:val="24"/>
                <w:highlight w:val="none"/>
              </w:rPr>
            </w:pPr>
          </w:p>
        </w:tc>
        <w:tc>
          <w:tcPr>
            <w:tcW w:w="1559" w:type="dxa"/>
            <w:vAlign w:val="center"/>
          </w:tcPr>
          <w:p w14:paraId="4B97E883">
            <w:pPr>
              <w:spacing w:line="360" w:lineRule="auto"/>
              <w:jc w:val="center"/>
              <w:rPr>
                <w:rFonts w:ascii="宋体" w:hAnsi="宋体" w:cs="宋体"/>
                <w:color w:val="auto"/>
                <w:sz w:val="24"/>
                <w:highlight w:val="none"/>
              </w:rPr>
            </w:pPr>
          </w:p>
        </w:tc>
        <w:tc>
          <w:tcPr>
            <w:tcW w:w="1984" w:type="dxa"/>
            <w:vAlign w:val="center"/>
          </w:tcPr>
          <w:p w14:paraId="10C2A021">
            <w:pPr>
              <w:spacing w:line="360" w:lineRule="auto"/>
              <w:jc w:val="center"/>
              <w:rPr>
                <w:rFonts w:ascii="宋体" w:hAnsi="宋体" w:cs="宋体"/>
                <w:color w:val="auto"/>
                <w:sz w:val="24"/>
                <w:highlight w:val="none"/>
              </w:rPr>
            </w:pPr>
          </w:p>
        </w:tc>
        <w:tc>
          <w:tcPr>
            <w:tcW w:w="3119" w:type="dxa"/>
            <w:vAlign w:val="center"/>
          </w:tcPr>
          <w:p w14:paraId="49A9A8C8">
            <w:pPr>
              <w:spacing w:line="360" w:lineRule="auto"/>
              <w:jc w:val="center"/>
              <w:rPr>
                <w:rFonts w:ascii="宋体" w:hAnsi="宋体" w:cs="宋体"/>
                <w:color w:val="auto"/>
                <w:sz w:val="24"/>
                <w:highlight w:val="none"/>
              </w:rPr>
            </w:pPr>
          </w:p>
        </w:tc>
      </w:tr>
      <w:tr w14:paraId="143C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6912" w:type="dxa"/>
            <w:gridSpan w:val="4"/>
            <w:vAlign w:val="center"/>
          </w:tcPr>
          <w:p w14:paraId="3115435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lang w:val="en-US" w:eastAsia="zh-CN"/>
              </w:rPr>
              <w:t>谈判</w:t>
            </w:r>
            <w:r>
              <w:rPr>
                <w:rFonts w:hint="eastAsia" w:ascii="宋体" w:hAnsi="宋体" w:cs="宋体"/>
                <w:b/>
                <w:color w:val="auto"/>
                <w:sz w:val="24"/>
                <w:highlight w:val="none"/>
              </w:rPr>
              <w:t>报价（小写）</w:t>
            </w:r>
          </w:p>
        </w:tc>
        <w:tc>
          <w:tcPr>
            <w:tcW w:w="7655" w:type="dxa"/>
            <w:gridSpan w:val="4"/>
            <w:vAlign w:val="center"/>
          </w:tcPr>
          <w:p w14:paraId="1D264284">
            <w:pPr>
              <w:spacing w:line="360" w:lineRule="auto"/>
              <w:jc w:val="center"/>
              <w:rPr>
                <w:rFonts w:ascii="宋体" w:hAnsi="宋体" w:cs="宋体"/>
                <w:color w:val="auto"/>
                <w:sz w:val="24"/>
                <w:highlight w:val="none"/>
              </w:rPr>
            </w:pPr>
          </w:p>
        </w:tc>
      </w:tr>
      <w:tr w14:paraId="2F98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6912" w:type="dxa"/>
            <w:gridSpan w:val="4"/>
            <w:vAlign w:val="center"/>
          </w:tcPr>
          <w:p w14:paraId="1700AE4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lang w:val="en-US" w:eastAsia="zh-CN"/>
              </w:rPr>
              <w:t>谈判</w:t>
            </w:r>
            <w:r>
              <w:rPr>
                <w:rFonts w:hint="eastAsia" w:ascii="宋体" w:hAnsi="宋体" w:cs="宋体"/>
                <w:b/>
                <w:color w:val="auto"/>
                <w:sz w:val="24"/>
                <w:highlight w:val="none"/>
              </w:rPr>
              <w:t>报价（大写）</w:t>
            </w:r>
          </w:p>
        </w:tc>
        <w:tc>
          <w:tcPr>
            <w:tcW w:w="7655" w:type="dxa"/>
            <w:gridSpan w:val="4"/>
            <w:vAlign w:val="center"/>
          </w:tcPr>
          <w:p w14:paraId="0F734BA1">
            <w:pPr>
              <w:spacing w:line="360" w:lineRule="auto"/>
              <w:jc w:val="center"/>
              <w:rPr>
                <w:rFonts w:ascii="宋体" w:hAnsi="宋体" w:cs="宋体"/>
                <w:color w:val="auto"/>
                <w:sz w:val="24"/>
                <w:highlight w:val="none"/>
              </w:rPr>
            </w:pPr>
          </w:p>
        </w:tc>
      </w:tr>
    </w:tbl>
    <w:p w14:paraId="0F6DE5F2">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6A13EB34">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w:t>
      </w:r>
      <w:r>
        <w:rPr>
          <w:rFonts w:hint="eastAsia" w:cs="宋体" w:asciiTheme="minorEastAsia" w:hAnsiTheme="minorEastAsia" w:eastAsiaTheme="minorEastAsia"/>
          <w:color w:val="auto"/>
          <w:kern w:val="0"/>
          <w:sz w:val="24"/>
          <w:highlight w:val="none"/>
          <w:lang w:val="zh-CN"/>
        </w:rPr>
        <w:t>供应商</w:t>
      </w:r>
      <w:r>
        <w:rPr>
          <w:rFonts w:hint="eastAsia" w:ascii="宋体" w:hAnsi="宋体" w:cs="宋体"/>
          <w:color w:val="auto"/>
          <w:kern w:val="0"/>
          <w:sz w:val="24"/>
          <w:highlight w:val="none"/>
          <w:lang w:val="zh-CN"/>
        </w:rPr>
        <w:t>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w:t>
      </w:r>
      <w:r>
        <w:rPr>
          <w:rFonts w:hint="eastAsia" w:ascii="宋体" w:hAnsi="宋体" w:cs="宋体"/>
          <w:b/>
          <w:color w:val="auto"/>
          <w:sz w:val="24"/>
          <w:highlight w:val="none"/>
          <w:lang w:val="en-US" w:eastAsia="zh-CN"/>
        </w:rPr>
        <w:t>报价</w:t>
      </w:r>
      <w:r>
        <w:rPr>
          <w:rFonts w:hint="eastAsia" w:ascii="宋体" w:hAnsi="宋体" w:cs="宋体"/>
          <w:b/>
          <w:color w:val="auto"/>
          <w:sz w:val="24"/>
          <w:highlight w:val="none"/>
        </w:rPr>
        <w:t>无效</w:t>
      </w:r>
      <w:r>
        <w:rPr>
          <w:rFonts w:hint="eastAsia" w:ascii="宋体" w:hAnsi="宋体" w:cs="宋体"/>
          <w:color w:val="auto"/>
          <w:kern w:val="0"/>
          <w:sz w:val="24"/>
          <w:highlight w:val="none"/>
          <w:lang w:val="zh-CN"/>
        </w:rPr>
        <w:t>。</w:t>
      </w:r>
    </w:p>
    <w:p w14:paraId="3F2EE51E">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b/>
          <w:color w:val="auto"/>
          <w:kern w:val="0"/>
          <w:sz w:val="24"/>
          <w:highlight w:val="none"/>
          <w:lang w:val="zh-CN"/>
        </w:rPr>
        <w:t>；采购内容未包含在《</w:t>
      </w:r>
      <w:r>
        <w:rPr>
          <w:rFonts w:hint="eastAsia" w:cs="宋体" w:asciiTheme="minorEastAsia" w:hAnsiTheme="minorEastAsia" w:eastAsiaTheme="minorEastAsia"/>
          <w:b/>
          <w:color w:val="auto"/>
          <w:kern w:val="0"/>
          <w:sz w:val="24"/>
          <w:highlight w:val="none"/>
          <w:lang w:val="zh-CN"/>
        </w:rPr>
        <w:t>最后报价一览表</w:t>
      </w:r>
      <w:r>
        <w:rPr>
          <w:rFonts w:hint="eastAsia" w:ascii="宋体" w:hAnsi="宋体" w:cs="宋体"/>
          <w:b/>
          <w:color w:val="auto"/>
          <w:kern w:val="0"/>
          <w:sz w:val="24"/>
          <w:highlight w:val="none"/>
          <w:lang w:val="zh-CN"/>
        </w:rPr>
        <w:t>》名称栏中，</w:t>
      </w:r>
      <w:r>
        <w:rPr>
          <w:rFonts w:hint="eastAsia" w:cs="宋体" w:asciiTheme="minorEastAsia" w:hAnsiTheme="minorEastAsia" w:eastAsiaTheme="minorEastAsia"/>
          <w:b/>
          <w:color w:val="auto"/>
          <w:kern w:val="0"/>
          <w:sz w:val="24"/>
          <w:highlight w:val="none"/>
          <w:lang w:val="zh-CN"/>
        </w:rPr>
        <w:t>供应商</w:t>
      </w:r>
      <w:r>
        <w:rPr>
          <w:rFonts w:hint="eastAsia" w:ascii="宋体" w:hAnsi="宋体" w:cs="宋体"/>
          <w:b/>
          <w:color w:val="auto"/>
          <w:kern w:val="0"/>
          <w:sz w:val="24"/>
          <w:highlight w:val="none"/>
          <w:lang w:val="zh-CN"/>
        </w:rPr>
        <w:t>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响应文件含有采购人不能接受的附加条件的，响应无效。</w:t>
      </w:r>
    </w:p>
    <w:p w14:paraId="3C43F88A">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3、特别提示：采购代理机构将对项目名称和项目编号，成交供应商名称、地址和中标金额，主要中标标的名称、品牌（如果有）、规格型号、数量、单价等予以公示。</w:t>
      </w:r>
    </w:p>
    <w:p w14:paraId="29CFC619">
      <w:pPr>
        <w:snapToGrid w:val="0"/>
        <w:spacing w:line="360" w:lineRule="auto"/>
        <w:ind w:firstLine="480" w:firstLineChars="200"/>
        <w:jc w:val="left"/>
        <w:rPr>
          <w:rFonts w:ascii="宋体" w:hAnsi="宋体" w:cs="宋体"/>
          <w:color w:val="auto"/>
          <w:kern w:val="0"/>
          <w:sz w:val="24"/>
          <w:highlight w:val="none"/>
          <w:lang w:val="zh-CN"/>
        </w:rPr>
      </w:pPr>
      <w:r>
        <w:rPr>
          <w:rFonts w:ascii="宋体" w:hAnsi="宋体" w:cs="宋体"/>
          <w:color w:val="auto"/>
          <w:kern w:val="0"/>
          <w:sz w:val="24"/>
          <w:szCs w:val="22"/>
          <w:highlight w:val="none"/>
          <w:lang w:val="zh-CN"/>
        </w:rPr>
        <w:t>4</w:t>
      </w:r>
      <w:r>
        <w:rPr>
          <w:rFonts w:hint="eastAsia" w:ascii="宋体" w:hAnsi="宋体" w:cs="宋体"/>
          <w:color w:val="auto"/>
          <w:kern w:val="0"/>
          <w:sz w:val="24"/>
          <w:szCs w:val="22"/>
          <w:highlight w:val="none"/>
          <w:lang w:val="zh-CN"/>
        </w:rPr>
        <w:t>、</w:t>
      </w:r>
      <w:r>
        <w:rPr>
          <w:rFonts w:hint="eastAsia" w:cs="仿宋_GB2312" w:asciiTheme="minorEastAsia" w:hAnsiTheme="minorEastAsia" w:eastAsiaTheme="minorEastAsia"/>
          <w:color w:val="auto"/>
          <w:kern w:val="0"/>
          <w:sz w:val="24"/>
          <w:highlight w:val="none"/>
          <w:lang w:val="zh-CN"/>
        </w:rPr>
        <w:t>符合谈判文件中列明的可享受中小企业扶持政策的供应商，请填写中小企业声明函。注：供应商</w:t>
      </w:r>
      <w:r>
        <w:rPr>
          <w:rFonts w:cs="仿宋_GB2312" w:asciiTheme="minorEastAsia" w:hAnsiTheme="minorEastAsia" w:eastAsiaTheme="minorEastAsia"/>
          <w:color w:val="auto"/>
          <w:kern w:val="0"/>
          <w:sz w:val="24"/>
          <w:highlight w:val="none"/>
          <w:lang w:val="zh-CN"/>
        </w:rPr>
        <w:t>提供</w:t>
      </w:r>
      <w:r>
        <w:rPr>
          <w:rFonts w:hint="eastAsia" w:cs="仿宋_GB2312" w:asciiTheme="minorEastAsia" w:hAnsiTheme="minorEastAsia" w:eastAsiaTheme="minorEastAsia"/>
          <w:color w:val="auto"/>
          <w:kern w:val="0"/>
          <w:sz w:val="24"/>
          <w:highlight w:val="none"/>
          <w:lang w:val="zh-CN"/>
        </w:rPr>
        <w:t>的中小企业</w:t>
      </w:r>
      <w:r>
        <w:rPr>
          <w:rFonts w:cs="仿宋_GB2312" w:asciiTheme="minorEastAsia" w:hAnsiTheme="minorEastAsia" w:eastAsiaTheme="minorEastAsia"/>
          <w:color w:val="auto"/>
          <w:kern w:val="0"/>
          <w:sz w:val="24"/>
          <w:highlight w:val="none"/>
          <w:lang w:val="zh-CN"/>
        </w:rPr>
        <w:t>声明函内容不实的，属于提供虚假材料谋取中标、成交，依照《中华人民共和国政府采购法》等国家有关规定追究相应责任。</w:t>
      </w:r>
    </w:p>
    <w:p w14:paraId="720E0734">
      <w:pPr>
        <w:autoSpaceDE w:val="0"/>
        <w:autoSpaceDN w:val="0"/>
        <w:spacing w:line="360" w:lineRule="auto"/>
        <w:ind w:left="2"/>
        <w:jc w:val="left"/>
        <w:rPr>
          <w:rFonts w:ascii="宋体" w:hAnsi="宋体" w:cs="宋体"/>
          <w:color w:val="auto"/>
          <w:kern w:val="0"/>
          <w:sz w:val="24"/>
          <w:highlight w:val="none"/>
          <w:lang w:val="zh-CN"/>
        </w:rPr>
      </w:pPr>
    </w:p>
    <w:p w14:paraId="24509EF8">
      <w:pPr>
        <w:autoSpaceDE w:val="0"/>
        <w:autoSpaceDN w:val="0"/>
        <w:spacing w:line="360" w:lineRule="auto"/>
        <w:ind w:left="2" w:leftChars="1" w:firstLine="9360" w:firstLineChars="3900"/>
        <w:jc w:val="left"/>
        <w:rPr>
          <w:rFonts w:cs="仿宋_GB2312" w:asciiTheme="minorEastAsia" w:hAnsiTheme="minorEastAsia" w:eastAsiaTheme="minorEastAsia"/>
          <w:color w:val="auto"/>
          <w:kern w:val="0"/>
          <w:sz w:val="24"/>
          <w:highlight w:val="none"/>
        </w:rPr>
      </w:pPr>
      <w:r>
        <w:rPr>
          <w:rFonts w:hint="eastAsia" w:cs="仿宋_GB2312" w:asciiTheme="minorEastAsia" w:hAnsiTheme="minorEastAsia" w:eastAsiaTheme="minorEastAsia"/>
          <w:color w:val="auto"/>
          <w:sz w:val="24"/>
          <w:highlight w:val="none"/>
        </w:rPr>
        <w:t xml:space="preserve">   </w:t>
      </w:r>
      <w:r>
        <w:rPr>
          <w:rFonts w:hint="eastAsia" w:cs="宋体" w:asciiTheme="minorEastAsia" w:hAnsiTheme="minorEastAsia" w:eastAsiaTheme="minorEastAsia"/>
          <w:color w:val="auto"/>
          <w:kern w:val="0"/>
          <w:sz w:val="24"/>
          <w:highlight w:val="none"/>
          <w:lang w:val="zh-CN"/>
        </w:rPr>
        <w:t>谈判供应商名称(公章)</w:t>
      </w:r>
      <w:r>
        <w:rPr>
          <w:rFonts w:hint="eastAsia" w:cs="仿宋_GB2312" w:asciiTheme="minorEastAsia" w:hAnsiTheme="minorEastAsia" w:eastAsiaTheme="minorEastAsia"/>
          <w:color w:val="auto"/>
          <w:kern w:val="0"/>
          <w:sz w:val="24"/>
          <w:highlight w:val="none"/>
        </w:rPr>
        <w:t>：</w:t>
      </w:r>
    </w:p>
    <w:p w14:paraId="287B4B20">
      <w:pPr>
        <w:autoSpaceDE w:val="0"/>
        <w:autoSpaceDN w:val="0"/>
        <w:spacing w:line="360" w:lineRule="auto"/>
        <w:ind w:left="2" w:leftChars="1" w:firstLine="9720" w:firstLineChars="4050"/>
        <w:jc w:val="left"/>
        <w:rPr>
          <w:rFonts w:cs="仿宋_GB2312" w:asciiTheme="minorEastAsia" w:hAnsiTheme="minorEastAsia" w:eastAsiaTheme="minorEastAsia"/>
          <w:color w:val="auto"/>
          <w:kern w:val="0"/>
          <w:sz w:val="24"/>
          <w:highlight w:val="none"/>
          <w:lang w:val="zh-CN"/>
        </w:rPr>
      </w:pPr>
      <w:r>
        <w:rPr>
          <w:rFonts w:hint="eastAsia" w:cs="仿宋_GB2312" w:asciiTheme="minorEastAsia" w:hAnsiTheme="minorEastAsia" w:eastAsiaTheme="minorEastAsia"/>
          <w:color w:val="auto"/>
          <w:kern w:val="0"/>
          <w:sz w:val="24"/>
          <w:highlight w:val="none"/>
          <w:lang w:val="zh-CN"/>
        </w:rPr>
        <w:t xml:space="preserve">法定代表人（负责人）或委托代理人(签名)：                   </w:t>
      </w:r>
    </w:p>
    <w:p w14:paraId="01C62348">
      <w:pPr>
        <w:spacing w:line="360" w:lineRule="auto"/>
        <w:ind w:left="4620" w:leftChars="2200" w:firstLine="5160" w:firstLineChars="2150"/>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0"/>
          <w:sz w:val="24"/>
          <w:highlight w:val="none"/>
          <w:lang w:val="zh-CN"/>
        </w:rPr>
        <w:t>日期</w:t>
      </w:r>
      <w:r>
        <w:rPr>
          <w:rFonts w:hint="eastAsia" w:cs="仿宋_GB2312" w:asciiTheme="minorEastAsia" w:hAnsiTheme="minorEastAsia" w:eastAsiaTheme="minorEastAsia"/>
          <w:color w:val="auto"/>
          <w:kern w:val="0"/>
          <w:sz w:val="24"/>
          <w:highlight w:val="none"/>
        </w:rPr>
        <w:t>：</w:t>
      </w:r>
      <w:r>
        <w:rPr>
          <w:rFonts w:hint="eastAsia" w:cs="仿宋_GB2312" w:asciiTheme="minorEastAsia" w:hAnsiTheme="minorEastAsia" w:eastAsiaTheme="minorEastAsia"/>
          <w:color w:val="auto"/>
          <w:kern w:val="0"/>
          <w:sz w:val="24"/>
          <w:highlight w:val="none"/>
          <w:lang w:val="zh-CN"/>
        </w:rPr>
        <w:t xml:space="preserve">   年   月   日</w:t>
      </w:r>
    </w:p>
    <w:p w14:paraId="2695D877">
      <w:pPr>
        <w:spacing w:line="360" w:lineRule="auto"/>
        <w:ind w:firstLine="482" w:firstLineChars="200"/>
        <w:rPr>
          <w:rFonts w:ascii="宋体" w:hAnsi="宋体" w:cs="宋体"/>
          <w:b/>
          <w:color w:val="auto"/>
          <w:kern w:val="0"/>
          <w:sz w:val="24"/>
          <w:highlight w:val="none"/>
        </w:rPr>
      </w:pPr>
    </w:p>
    <w:p w14:paraId="3C54CDAD">
      <w:pPr>
        <w:pStyle w:val="3"/>
        <w:rPr>
          <w:color w:val="auto"/>
          <w:highlight w:val="none"/>
        </w:rPr>
        <w:sectPr>
          <w:pgSz w:w="16838" w:h="11906" w:orient="landscape"/>
          <w:pgMar w:top="1417" w:right="1417" w:bottom="1417" w:left="1417" w:header="748" w:footer="720" w:gutter="0"/>
          <w:pgBorders>
            <w:top w:val="none" w:sz="0" w:space="0"/>
            <w:left w:val="none" w:sz="0" w:space="0"/>
            <w:bottom w:val="none" w:sz="0" w:space="0"/>
            <w:right w:val="none" w:sz="0" w:space="0"/>
          </w:pgBorders>
          <w:pgNumType w:fmt="decimal"/>
          <w:cols w:space="0" w:num="1"/>
          <w:rtlGutter w:val="0"/>
          <w:docGrid w:linePitch="312" w:charSpace="0"/>
        </w:sectPr>
      </w:pPr>
    </w:p>
    <w:p w14:paraId="012A4EE4">
      <w:pPr>
        <w:widowControl/>
        <w:adjustRightInd/>
        <w:jc w:val="center"/>
        <w:rPr>
          <w:rFonts w:asciiTheme="minorEastAsia" w:hAnsiTheme="minorEastAsia" w:eastAsiaTheme="minorEastAsia"/>
          <w:b/>
          <w:color w:val="auto"/>
          <w:sz w:val="32"/>
          <w:szCs w:val="32"/>
          <w:highlight w:val="none"/>
        </w:rPr>
      </w:pPr>
      <w:r>
        <w:rPr>
          <w:rFonts w:hint="eastAsia" w:asciiTheme="minorEastAsia" w:hAnsiTheme="minorEastAsia" w:eastAsiaTheme="minorEastAsia"/>
          <w:b/>
          <w:color w:val="auto"/>
          <w:sz w:val="32"/>
          <w:szCs w:val="32"/>
          <w:highlight w:val="none"/>
        </w:rPr>
        <w:t>（</w:t>
      </w:r>
      <w:r>
        <w:rPr>
          <w:rFonts w:hint="eastAsia" w:asciiTheme="minorEastAsia" w:hAnsiTheme="minorEastAsia" w:eastAsiaTheme="minorEastAsia"/>
          <w:b/>
          <w:color w:val="auto"/>
          <w:sz w:val="32"/>
          <w:szCs w:val="32"/>
          <w:highlight w:val="none"/>
          <w:lang w:val="en-US" w:eastAsia="zh-CN"/>
        </w:rPr>
        <w:t>二</w:t>
      </w:r>
      <w:r>
        <w:rPr>
          <w:rFonts w:hint="eastAsia" w:asciiTheme="minorEastAsia" w:hAnsiTheme="minorEastAsia" w:eastAsiaTheme="minorEastAsia"/>
          <w:b/>
          <w:color w:val="auto"/>
          <w:sz w:val="32"/>
          <w:szCs w:val="32"/>
          <w:highlight w:val="none"/>
        </w:rPr>
        <w:t>）中小企业声明函</w:t>
      </w:r>
    </w:p>
    <w:p w14:paraId="4BB613A8">
      <w:pPr>
        <w:widowControl/>
        <w:spacing w:line="360" w:lineRule="auto"/>
        <w:ind w:firstLine="120" w:firstLineChars="50"/>
        <w:jc w:val="left"/>
        <w:rPr>
          <w:rFonts w:cs="宋体" w:asciiTheme="minorEastAsia" w:hAnsiTheme="minorEastAsia" w:eastAsiaTheme="minorEastAsia"/>
          <w:b/>
          <w:color w:val="auto"/>
          <w:sz w:val="24"/>
          <w:highlight w:val="none"/>
        </w:rPr>
      </w:pPr>
    </w:p>
    <w:p w14:paraId="647C380B">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中小企业声明函（货物）</w:t>
      </w:r>
    </w:p>
    <w:p w14:paraId="3D34B2F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1"/>
          <w:szCs w:val="21"/>
          <w:highlight w:val="none"/>
          <w:u w:val="single"/>
        </w:rPr>
        <w:t xml:space="preserve">（采购人） </w:t>
      </w:r>
      <w:r>
        <w:rPr>
          <w:rFonts w:hint="eastAsia" w:ascii="宋体" w:hAnsi="宋体" w:eastAsia="宋体" w:cs="宋体"/>
          <w:color w:val="auto"/>
          <w:sz w:val="21"/>
          <w:szCs w:val="21"/>
          <w:highlight w:val="none"/>
        </w:rPr>
        <w:t xml:space="preserve">的 </w:t>
      </w:r>
      <w:r>
        <w:rPr>
          <w:rFonts w:hint="eastAsia" w:ascii="宋体" w:hAnsi="宋体" w:eastAsia="宋体" w:cs="宋体"/>
          <w:color w:val="auto"/>
          <w:sz w:val="21"/>
          <w:szCs w:val="21"/>
          <w:highlight w:val="none"/>
          <w:u w:val="single"/>
        </w:rPr>
        <w:t>（项目名称）</w:t>
      </w:r>
      <w:r>
        <w:rPr>
          <w:rFonts w:hint="eastAsia" w:ascii="宋体" w:hAnsi="宋体" w:eastAsia="宋体" w:cs="宋体"/>
          <w:color w:val="auto"/>
          <w:sz w:val="21"/>
          <w:szCs w:val="21"/>
          <w:highlight w:val="none"/>
        </w:rPr>
        <w:t xml:space="preserve"> 采购活动，提供的货物全部由符合政策要求的中小企业制造。相关企业（含联合体中的中小企业、签订分包意向协议的中小企业）的具体情况如下：</w:t>
      </w:r>
    </w:p>
    <w:p w14:paraId="2B2D5DD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48B4860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u w:val="single"/>
        </w:rPr>
        <w:t>（标的名称）</w:t>
      </w:r>
      <w:r>
        <w:rPr>
          <w:rFonts w:hint="eastAsia" w:ascii="宋体" w:hAnsi="宋体" w:eastAsia="宋体" w:cs="宋体"/>
          <w:color w:val="auto"/>
          <w:sz w:val="21"/>
          <w:szCs w:val="21"/>
          <w:highlight w:val="none"/>
        </w:rPr>
        <w:t xml:space="preserve"> ，属于 </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 ；制造商为</w:t>
      </w:r>
      <w:r>
        <w:rPr>
          <w:rFonts w:hint="eastAsia" w:ascii="宋体" w:hAnsi="宋体" w:eastAsia="宋体" w:cs="宋体"/>
          <w:color w:val="auto"/>
          <w:sz w:val="21"/>
          <w:szCs w:val="21"/>
          <w:highlight w:val="none"/>
          <w:u w:val="single"/>
        </w:rPr>
        <w:t xml:space="preserve"> （企业名称）</w:t>
      </w:r>
      <w:r>
        <w:rPr>
          <w:rFonts w:hint="eastAsia" w:ascii="宋体" w:hAnsi="宋体" w:eastAsia="宋体" w:cs="宋体"/>
          <w:color w:val="auto"/>
          <w:sz w:val="21"/>
          <w:szCs w:val="21"/>
          <w:highlight w:val="none"/>
        </w:rPr>
        <w:t xml:space="preserve"> ，从业人员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 xml:space="preserve"> （中型企业、小型企业、微型企业）</w:t>
      </w:r>
      <w:r>
        <w:rPr>
          <w:rFonts w:hint="eastAsia" w:ascii="宋体" w:hAnsi="宋体" w:eastAsia="宋体" w:cs="宋体"/>
          <w:color w:val="auto"/>
          <w:sz w:val="21"/>
          <w:szCs w:val="21"/>
          <w:highlight w:val="none"/>
        </w:rPr>
        <w:t xml:space="preserve"> ；</w:t>
      </w:r>
    </w:p>
    <w:p w14:paraId="25E80BE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343C4A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350A8F54">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5F05CA80">
      <w:pPr>
        <w:snapToGrid w:val="0"/>
        <w:spacing w:line="360" w:lineRule="auto"/>
        <w:ind w:firstLine="4515" w:firstLineChars="215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谈判供应商名称(公章)</w:t>
      </w:r>
      <w:r>
        <w:rPr>
          <w:rFonts w:hint="eastAsia" w:ascii="宋体" w:hAnsi="宋体" w:eastAsia="宋体" w:cs="宋体"/>
          <w:color w:val="auto"/>
          <w:kern w:val="0"/>
          <w:sz w:val="21"/>
          <w:szCs w:val="21"/>
          <w:highlight w:val="none"/>
        </w:rPr>
        <w:t>：</w:t>
      </w:r>
    </w:p>
    <w:p w14:paraId="5326EFCA">
      <w:pPr>
        <w:snapToGrid w:val="0"/>
        <w:spacing w:line="360" w:lineRule="auto"/>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                                           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14:paraId="6F2E35D2">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6710CC3C">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填写要求：①“标的名称”、“采购文件中明确的所属行业”依据谈判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2D65B746">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24C15F3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3E33195A">
      <w:pPr>
        <w:widowControl/>
        <w:adjustRightInd/>
        <w:jc w:val="center"/>
        <w:rPr>
          <w:rFonts w:hint="eastAsia" w:cs="Times New Roman" w:asciiTheme="minorEastAsia" w:hAnsiTheme="minorEastAsia" w:eastAsiaTheme="minorEastAsia"/>
          <w:b/>
          <w:color w:val="auto"/>
          <w:sz w:val="32"/>
          <w:szCs w:val="32"/>
          <w:highlight w:val="none"/>
        </w:rPr>
      </w:pPr>
      <w:r>
        <w:rPr>
          <w:rFonts w:hint="eastAsia" w:cs="Times New Roman" w:asciiTheme="minorEastAsia" w:hAnsiTheme="minorEastAsia" w:eastAsiaTheme="minorEastAsia"/>
          <w:b/>
          <w:color w:val="auto"/>
          <w:sz w:val="32"/>
          <w:szCs w:val="32"/>
          <w:highlight w:val="none"/>
          <w:lang w:eastAsia="zh-CN"/>
        </w:rPr>
        <w:t>（</w:t>
      </w:r>
      <w:r>
        <w:rPr>
          <w:rFonts w:hint="eastAsia" w:cs="Times New Roman" w:asciiTheme="minorEastAsia" w:hAnsiTheme="minorEastAsia" w:eastAsiaTheme="minorEastAsia"/>
          <w:b/>
          <w:color w:val="auto"/>
          <w:sz w:val="32"/>
          <w:szCs w:val="32"/>
          <w:highlight w:val="none"/>
          <w:lang w:val="en-US" w:eastAsia="zh-CN"/>
        </w:rPr>
        <w:t>三）</w:t>
      </w:r>
      <w:r>
        <w:rPr>
          <w:rFonts w:hint="eastAsia" w:cs="Times New Roman" w:asciiTheme="minorEastAsia" w:hAnsiTheme="minorEastAsia" w:eastAsiaTheme="minorEastAsia"/>
          <w:b/>
          <w:color w:val="auto"/>
          <w:sz w:val="32"/>
          <w:szCs w:val="32"/>
          <w:highlight w:val="none"/>
        </w:rPr>
        <w:t>残疾人福利性单位声明函</w:t>
      </w:r>
    </w:p>
    <w:p w14:paraId="03530F2F">
      <w:pPr>
        <w:rPr>
          <w:rFonts w:hint="default" w:ascii="宋体" w:hAnsi="宋体" w:eastAsia="宋体" w:cs="宋体"/>
          <w:color w:val="auto"/>
          <w:sz w:val="21"/>
          <w:szCs w:val="21"/>
          <w:highlight w:val="none"/>
          <w:lang w:val="en-US" w:eastAsia="zh-CN"/>
        </w:rPr>
      </w:pPr>
    </w:p>
    <w:p w14:paraId="1E47E4D3">
      <w:pPr>
        <w:spacing w:line="360" w:lineRule="auto"/>
        <w:jc w:val="center"/>
        <w:rPr>
          <w:rFonts w:hint="eastAsia" w:asciiTheme="minorEastAsia" w:hAnsiTheme="minorEastAsia" w:eastAsiaTheme="minorEastAsia"/>
          <w:b/>
          <w:color w:val="auto"/>
          <w:spacing w:val="6"/>
          <w:sz w:val="32"/>
          <w:szCs w:val="32"/>
          <w:highlight w:val="none"/>
        </w:rPr>
      </w:pPr>
    </w:p>
    <w:p w14:paraId="1DB21C27">
      <w:pPr>
        <w:spacing w:line="360" w:lineRule="auto"/>
        <w:jc w:val="center"/>
        <w:rPr>
          <w:rFonts w:asciiTheme="minorEastAsia" w:hAnsiTheme="minorEastAsia" w:eastAsiaTheme="minorEastAsia"/>
          <w:b/>
          <w:color w:val="auto"/>
          <w:spacing w:val="6"/>
          <w:sz w:val="32"/>
          <w:szCs w:val="32"/>
          <w:highlight w:val="none"/>
        </w:rPr>
      </w:pPr>
      <w:r>
        <w:rPr>
          <w:rFonts w:hint="eastAsia" w:asciiTheme="minorEastAsia" w:hAnsiTheme="minorEastAsia" w:eastAsiaTheme="minorEastAsia"/>
          <w:b/>
          <w:color w:val="auto"/>
          <w:spacing w:val="6"/>
          <w:sz w:val="32"/>
          <w:szCs w:val="32"/>
          <w:highlight w:val="none"/>
        </w:rPr>
        <w:t>残疾人福利性单位声明函</w:t>
      </w:r>
    </w:p>
    <w:p w14:paraId="5449B741">
      <w:pPr>
        <w:spacing w:line="360" w:lineRule="auto"/>
        <w:rPr>
          <w:rFonts w:asciiTheme="minorEastAsia" w:hAnsiTheme="minorEastAsia" w:eastAsiaTheme="minorEastAsia"/>
          <w:b/>
          <w:color w:val="auto"/>
          <w:spacing w:val="6"/>
          <w:sz w:val="30"/>
          <w:szCs w:val="30"/>
          <w:highlight w:val="none"/>
        </w:rPr>
      </w:pPr>
    </w:p>
    <w:p w14:paraId="74BFD9B9">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1"/>
          <w:szCs w:val="21"/>
          <w:highlight w:val="none"/>
          <w:u w:val="single"/>
        </w:rPr>
        <w:t xml:space="preserve">   （采购人）    </w:t>
      </w:r>
      <w:r>
        <w:rPr>
          <w:rFonts w:hint="eastAsia" w:cs="仿宋_GB2312" w:asciiTheme="minorEastAsia" w:hAnsiTheme="minorEastAsia" w:eastAsiaTheme="minorEastAsia"/>
          <w:color w:val="auto"/>
          <w:sz w:val="21"/>
          <w:szCs w:val="21"/>
          <w:highlight w:val="none"/>
        </w:rPr>
        <w:t>单位的</w:t>
      </w:r>
      <w:r>
        <w:rPr>
          <w:rFonts w:hint="eastAsia" w:cs="仿宋_GB2312" w:asciiTheme="minorEastAsia" w:hAnsiTheme="minorEastAsia" w:eastAsiaTheme="minorEastAsia"/>
          <w:color w:val="auto"/>
          <w:sz w:val="21"/>
          <w:szCs w:val="21"/>
          <w:highlight w:val="none"/>
          <w:u w:val="single"/>
        </w:rPr>
        <w:t xml:space="preserve">     （项目名称）    </w:t>
      </w:r>
      <w:r>
        <w:rPr>
          <w:rFonts w:hint="eastAsia" w:cs="仿宋_GB2312" w:asciiTheme="minorEastAsia" w:hAnsiTheme="minorEastAsia" w:eastAsiaTheme="minorEastAsia"/>
          <w:color w:val="auto"/>
          <w:sz w:val="21"/>
          <w:szCs w:val="21"/>
          <w:highlight w:val="none"/>
        </w:rPr>
        <w:t>项目采购活动提供本单位制造的货物（由本单位承担工程/提供服务），或者提供其他残疾人福利性单位制造的货物（不包括使用非残疾人福利性单位注册商标的货物）。</w:t>
      </w:r>
    </w:p>
    <w:p w14:paraId="2E05D648">
      <w:pPr>
        <w:spacing w:line="360" w:lineRule="auto"/>
        <w:ind w:firstLine="420" w:firstLineChars="200"/>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本单位对上述声明的真实性负责。如有虚假，将依法承担相应责任。</w:t>
      </w:r>
    </w:p>
    <w:p w14:paraId="5F6CFD59">
      <w:pPr>
        <w:spacing w:line="360" w:lineRule="auto"/>
        <w:ind w:firstLine="420" w:firstLineChars="200"/>
        <w:rPr>
          <w:rFonts w:cs="仿宋_GB2312" w:asciiTheme="minorEastAsia" w:hAnsiTheme="minorEastAsia" w:eastAsiaTheme="minorEastAsia"/>
          <w:color w:val="auto"/>
          <w:sz w:val="21"/>
          <w:szCs w:val="21"/>
          <w:highlight w:val="none"/>
        </w:rPr>
      </w:pPr>
    </w:p>
    <w:p w14:paraId="2D10EA58">
      <w:pPr>
        <w:spacing w:line="360" w:lineRule="auto"/>
        <w:ind w:firstLine="420" w:firstLineChars="200"/>
        <w:rPr>
          <w:rFonts w:cs="仿宋_GB2312" w:asciiTheme="minorEastAsia" w:hAnsiTheme="minorEastAsia" w:eastAsiaTheme="minorEastAsia"/>
          <w:color w:val="auto"/>
          <w:sz w:val="21"/>
          <w:szCs w:val="21"/>
          <w:highlight w:val="none"/>
        </w:rPr>
      </w:pPr>
    </w:p>
    <w:p w14:paraId="7043515E">
      <w:pPr>
        <w:tabs>
          <w:tab w:val="left" w:pos="4860"/>
        </w:tabs>
        <w:spacing w:line="360" w:lineRule="auto"/>
        <w:ind w:right="1560" w:firstLine="420" w:firstLineChars="200"/>
        <w:jc w:val="center"/>
        <w:rPr>
          <w:rFonts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w:t>
      </w:r>
      <w:r>
        <w:rPr>
          <w:rFonts w:hint="eastAsia" w:cs="宋体" w:asciiTheme="minorEastAsia" w:hAnsiTheme="minorEastAsia" w:eastAsiaTheme="minorEastAsia"/>
          <w:color w:val="auto"/>
          <w:kern w:val="0"/>
          <w:sz w:val="21"/>
          <w:szCs w:val="21"/>
          <w:highlight w:val="none"/>
          <w:lang w:val="zh-CN"/>
        </w:rPr>
        <w:t>谈判供应商名称(公章)</w:t>
      </w:r>
      <w:r>
        <w:rPr>
          <w:rFonts w:hint="eastAsia" w:cs="仿宋_GB2312" w:asciiTheme="minorEastAsia" w:hAnsiTheme="minorEastAsia" w:eastAsiaTheme="minorEastAsia"/>
          <w:color w:val="auto"/>
          <w:kern w:val="0"/>
          <w:sz w:val="21"/>
          <w:szCs w:val="21"/>
          <w:highlight w:val="none"/>
        </w:rPr>
        <w:t>：</w:t>
      </w:r>
      <w:r>
        <w:rPr>
          <w:rFonts w:hint="eastAsia" w:cs="仿宋_GB2312" w:asciiTheme="minorEastAsia" w:hAnsiTheme="minorEastAsia" w:eastAsiaTheme="minorEastAsia"/>
          <w:color w:val="auto"/>
          <w:sz w:val="21"/>
          <w:szCs w:val="21"/>
          <w:highlight w:val="none"/>
        </w:rPr>
        <w:t>：</w:t>
      </w:r>
    </w:p>
    <w:p w14:paraId="4531BB62">
      <w:pPr>
        <w:tabs>
          <w:tab w:val="left" w:pos="4860"/>
        </w:tabs>
        <w:spacing w:line="360" w:lineRule="auto"/>
        <w:ind w:right="1560" w:firstLine="420" w:firstLineChars="200"/>
        <w:jc w:val="center"/>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t xml:space="preserve">       日  期：</w:t>
      </w:r>
    </w:p>
    <w:p w14:paraId="0F116DFF">
      <w:pPr>
        <w:rPr>
          <w:rFonts w:hint="eastAsia" w:cs="仿宋_GB2312" w:asciiTheme="minorEastAsia" w:hAnsiTheme="minorEastAsia" w:eastAsiaTheme="minorEastAsia"/>
          <w:color w:val="auto"/>
          <w:sz w:val="21"/>
          <w:szCs w:val="21"/>
          <w:highlight w:val="none"/>
        </w:rPr>
      </w:pPr>
      <w:r>
        <w:rPr>
          <w:rFonts w:hint="eastAsia" w:cs="仿宋_GB2312" w:asciiTheme="minorEastAsia" w:hAnsiTheme="minorEastAsia" w:eastAsiaTheme="minorEastAsia"/>
          <w:color w:val="auto"/>
          <w:sz w:val="21"/>
          <w:szCs w:val="21"/>
          <w:highlight w:val="none"/>
        </w:rPr>
        <w:br w:type="page"/>
      </w:r>
    </w:p>
    <w:p w14:paraId="3EC6D5AD">
      <w:pPr>
        <w:widowControl/>
        <w:adjustRightInd/>
        <w:jc w:val="center"/>
        <w:rPr>
          <w:rFonts w:hint="eastAsia" w:cs="Times New Roman" w:asciiTheme="minorEastAsia" w:hAnsiTheme="minorEastAsia" w:eastAsiaTheme="minorEastAsia"/>
          <w:b/>
          <w:color w:val="auto"/>
          <w:sz w:val="32"/>
          <w:szCs w:val="32"/>
          <w:highlight w:val="none"/>
          <w:lang w:val="en-US" w:eastAsia="zh-CN"/>
        </w:rPr>
      </w:pPr>
      <w:r>
        <w:rPr>
          <w:rFonts w:hint="eastAsia" w:cs="Times New Roman" w:asciiTheme="minorEastAsia" w:hAnsiTheme="minorEastAsia" w:eastAsiaTheme="minorEastAsia"/>
          <w:b/>
          <w:color w:val="auto"/>
          <w:sz w:val="32"/>
          <w:szCs w:val="32"/>
          <w:highlight w:val="none"/>
          <w:lang w:val="en-US" w:eastAsia="zh-CN"/>
        </w:rPr>
        <w:t>（四）关于符合本国产品标准的声明函</w:t>
      </w:r>
    </w:p>
    <w:p w14:paraId="562AB0F6">
      <w:pPr>
        <w:pageBreakBefore w:val="0"/>
        <w:widowControl/>
        <w:numPr>
          <w:ilvl w:val="0"/>
          <w:numId w:val="0"/>
        </w:numPr>
        <w:kinsoku/>
        <w:wordWrap/>
        <w:overflowPunct/>
        <w:topLinePunct w:val="0"/>
        <w:bidi w:val="0"/>
        <w:adjustRightInd/>
        <w:spacing w:line="360" w:lineRule="auto"/>
        <w:jc w:val="left"/>
        <w:rPr>
          <w:rFonts w:hint="eastAsia" w:ascii="宋体" w:hAnsi="宋体" w:eastAsia="宋体" w:cs="宋体"/>
          <w:b/>
          <w:bCs/>
          <w:color w:val="auto"/>
          <w:sz w:val="32"/>
          <w:szCs w:val="32"/>
          <w:highlight w:val="none"/>
        </w:rPr>
      </w:pPr>
    </w:p>
    <w:p w14:paraId="6412FBFE">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关于符合本国产品标准的声明函</w:t>
      </w:r>
    </w:p>
    <w:p w14:paraId="39F4F5E6">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hint="eastAsia" w:ascii="宋体" w:hAnsi="宋体" w:eastAsia="宋体" w:cs="宋体"/>
          <w:b/>
          <w:bCs/>
          <w:color w:val="auto"/>
          <w:sz w:val="24"/>
          <w:szCs w:val="24"/>
          <w:highlight w:val="none"/>
        </w:rPr>
      </w:pPr>
    </w:p>
    <w:p w14:paraId="7B515539">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7C94672">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1</w:t>
      </w:r>
      <w:r>
        <w:rPr>
          <w:rFonts w:hint="eastAsia" w:ascii="宋体" w:hAnsi="宋体" w:eastAsia="宋体" w:cs="宋体"/>
          <w:i w:val="0"/>
          <w:iCs w:val="0"/>
          <w:caps w:val="0"/>
          <w:color w:val="auto"/>
          <w:spacing w:val="0"/>
          <w:sz w:val="21"/>
          <w:szCs w:val="21"/>
          <w:highlight w:val="none"/>
          <w:shd w:val="clear" w:color="auto" w:fill="FFFFFF"/>
        </w:rPr>
        <w:t>，生产厂为</w:t>
      </w:r>
      <w:r>
        <w:rPr>
          <w:rStyle w:val="66"/>
          <w:rFonts w:hint="eastAsia" w:ascii="宋体" w:hAnsi="宋体" w:eastAsia="宋体" w:cs="宋体"/>
          <w:i w:val="0"/>
          <w:iCs w:val="0"/>
          <w:caps w:val="0"/>
          <w:color w:val="auto"/>
          <w:spacing w:val="0"/>
          <w:sz w:val="21"/>
          <w:szCs w:val="21"/>
          <w:highlight w:val="none"/>
          <w:shd w:val="clear" w:color="auto" w:fill="FFFFFF"/>
        </w:rPr>
        <w:t>（厂名）</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2</w:t>
      </w:r>
      <w:r>
        <w:rPr>
          <w:rFonts w:hint="eastAsia" w:ascii="宋体" w:hAnsi="宋体" w:eastAsia="宋体" w:cs="宋体"/>
          <w:i w:val="0"/>
          <w:iCs w:val="0"/>
          <w:caps w:val="0"/>
          <w:color w:val="auto"/>
          <w:spacing w:val="0"/>
          <w:sz w:val="21"/>
          <w:szCs w:val="21"/>
          <w:highlight w:val="none"/>
          <w:shd w:val="clear" w:color="auto" w:fill="FFFFFF"/>
        </w:rPr>
        <w:t>，厂址为</w:t>
      </w:r>
      <w:r>
        <w:rPr>
          <w:rStyle w:val="66"/>
          <w:rFonts w:hint="eastAsia" w:ascii="宋体" w:hAnsi="宋体" w:eastAsia="宋体" w:cs="宋体"/>
          <w:i w:val="0"/>
          <w:iCs w:val="0"/>
          <w:caps w:val="0"/>
          <w:color w:val="auto"/>
          <w:spacing w:val="0"/>
          <w:sz w:val="21"/>
          <w:szCs w:val="21"/>
          <w:highlight w:val="non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66"/>
          <w:rFonts w:hint="eastAsia" w:ascii="宋体" w:hAnsi="宋体" w:eastAsia="宋体" w:cs="宋体"/>
          <w:i w:val="0"/>
          <w:iCs w:val="0"/>
          <w:caps w:val="0"/>
          <w:color w:val="auto"/>
          <w:spacing w:val="0"/>
          <w:sz w:val="21"/>
          <w:szCs w:val="21"/>
          <w:highlight w:val="none"/>
          <w:shd w:val="clear" w:color="auto" w:fill="FFFFFF"/>
        </w:rPr>
        <w:t>（规定比例）</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3</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（关键组件）</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4</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66"/>
          <w:rFonts w:hint="eastAsia" w:ascii="宋体" w:hAnsi="宋体" w:eastAsia="宋体" w:cs="宋体"/>
          <w:i w:val="0"/>
          <w:iCs w:val="0"/>
          <w:caps w:val="0"/>
          <w:color w:val="auto"/>
          <w:spacing w:val="0"/>
          <w:sz w:val="21"/>
          <w:szCs w:val="21"/>
          <w:highlight w:val="none"/>
          <w:shd w:val="clear" w:color="auto" w:fill="FFFFFF"/>
        </w:rPr>
        <w:t>（产品名称1）</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（关键工序）</w:t>
      </w:r>
      <w:r>
        <w:rPr>
          <w:rStyle w:val="66"/>
          <w:rFonts w:hint="eastAsia" w:ascii="宋体" w:hAnsi="宋体" w:eastAsia="宋体" w:cs="宋体"/>
          <w:i w:val="0"/>
          <w:iCs w:val="0"/>
          <w:caps w:val="0"/>
          <w:color w:val="auto"/>
          <w:spacing w:val="0"/>
          <w:sz w:val="21"/>
          <w:szCs w:val="21"/>
          <w:highlight w:val="none"/>
          <w:shd w:val="clear" w:color="auto" w:fill="FFFFFF"/>
          <w:vertAlign w:val="superscript"/>
        </w:rPr>
        <w:t>5</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22D3969E">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，生产厂为</w:t>
      </w:r>
      <w:r>
        <w:rPr>
          <w:rStyle w:val="66"/>
          <w:rFonts w:hint="eastAsia" w:ascii="宋体" w:hAnsi="宋体" w:eastAsia="宋体" w:cs="宋体"/>
          <w:i w:val="0"/>
          <w:iCs w:val="0"/>
          <w:caps w:val="0"/>
          <w:color w:val="auto"/>
          <w:spacing w:val="0"/>
          <w:sz w:val="21"/>
          <w:szCs w:val="21"/>
          <w:highlight w:val="none"/>
          <w:shd w:val="clear" w:color="auto" w:fill="FFFFFF"/>
        </w:rPr>
        <w:t>（厂名）</w:t>
      </w:r>
      <w:r>
        <w:rPr>
          <w:rFonts w:hint="eastAsia" w:ascii="宋体" w:hAnsi="宋体" w:eastAsia="宋体" w:cs="宋体"/>
          <w:i w:val="0"/>
          <w:iCs w:val="0"/>
          <w:caps w:val="0"/>
          <w:color w:val="auto"/>
          <w:spacing w:val="0"/>
          <w:sz w:val="21"/>
          <w:szCs w:val="21"/>
          <w:highlight w:val="none"/>
          <w:shd w:val="clear" w:color="auto" w:fill="FFFFFF"/>
        </w:rPr>
        <w:t>，厂址为</w:t>
      </w:r>
      <w:r>
        <w:rPr>
          <w:rStyle w:val="66"/>
          <w:rFonts w:hint="eastAsia" w:ascii="宋体" w:hAnsi="宋体" w:eastAsia="宋体" w:cs="宋体"/>
          <w:i w:val="0"/>
          <w:iCs w:val="0"/>
          <w:caps w:val="0"/>
          <w:color w:val="auto"/>
          <w:spacing w:val="0"/>
          <w:sz w:val="21"/>
          <w:szCs w:val="21"/>
          <w:highlight w:val="none"/>
          <w:shd w:val="clear" w:color="auto" w:fill="FFFFFF"/>
        </w:rPr>
        <w:t>（生产厂址）</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的中国境内生产的组件成本占比≥</w:t>
      </w:r>
      <w:r>
        <w:rPr>
          <w:rStyle w:val="66"/>
          <w:rFonts w:hint="eastAsia" w:ascii="宋体" w:hAnsi="宋体" w:eastAsia="宋体" w:cs="宋体"/>
          <w:i w:val="0"/>
          <w:iCs w:val="0"/>
          <w:caps w:val="0"/>
          <w:color w:val="auto"/>
          <w:spacing w:val="0"/>
          <w:sz w:val="21"/>
          <w:szCs w:val="21"/>
          <w:highlight w:val="none"/>
          <w:shd w:val="clear" w:color="auto" w:fill="FFFFFF"/>
        </w:rPr>
        <w:t>（规定比例）</w:t>
      </w:r>
      <w:r>
        <w:rPr>
          <w:rFonts w:hint="eastAsia" w:ascii="宋体" w:hAnsi="宋体" w:eastAsia="宋体" w:cs="宋体"/>
          <w:i w:val="0"/>
          <w:iCs w:val="0"/>
          <w:caps w:val="0"/>
          <w:color w:val="auto"/>
          <w:spacing w:val="0"/>
          <w:sz w:val="21"/>
          <w:szCs w:val="21"/>
          <w:highlight w:val="none"/>
          <w:shd w:val="clear" w:color="auto" w:fill="FFFFFF"/>
        </w:rPr>
        <w:t>。</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（关键组件）</w:t>
      </w:r>
      <w:r>
        <w:rPr>
          <w:rFonts w:hint="eastAsia" w:ascii="宋体" w:hAnsi="宋体" w:eastAsia="宋体" w:cs="宋体"/>
          <w:i w:val="0"/>
          <w:iCs w:val="0"/>
          <w:caps w:val="0"/>
          <w:color w:val="auto"/>
          <w:spacing w:val="0"/>
          <w:sz w:val="21"/>
          <w:szCs w:val="21"/>
          <w:highlight w:val="none"/>
          <w:shd w:val="clear" w:color="auto" w:fill="FFFFFF"/>
        </w:rPr>
        <w:t>在中国境内生产。</w:t>
      </w:r>
      <w:r>
        <w:rPr>
          <w:rStyle w:val="66"/>
          <w:rFonts w:hint="eastAsia" w:ascii="宋体" w:hAnsi="宋体" w:eastAsia="宋体" w:cs="宋体"/>
          <w:i w:val="0"/>
          <w:iCs w:val="0"/>
          <w:caps w:val="0"/>
          <w:color w:val="auto"/>
          <w:spacing w:val="0"/>
          <w:sz w:val="21"/>
          <w:szCs w:val="21"/>
          <w:highlight w:val="none"/>
          <w:shd w:val="clear" w:color="auto" w:fill="FFFFFF"/>
        </w:rPr>
        <w:t>（产品名称2）</w:t>
      </w:r>
      <w:r>
        <w:rPr>
          <w:rFonts w:hint="eastAsia" w:ascii="宋体" w:hAnsi="宋体" w:eastAsia="宋体" w:cs="宋体"/>
          <w:i w:val="0"/>
          <w:iCs w:val="0"/>
          <w:caps w:val="0"/>
          <w:color w:val="auto"/>
          <w:spacing w:val="0"/>
          <w:sz w:val="21"/>
          <w:szCs w:val="21"/>
          <w:highlight w:val="none"/>
          <w:shd w:val="clear" w:color="auto" w:fill="FFFFFF"/>
        </w:rPr>
        <w:t>的</w:t>
      </w:r>
      <w:r>
        <w:rPr>
          <w:rStyle w:val="66"/>
          <w:rFonts w:hint="eastAsia" w:ascii="宋体" w:hAnsi="宋体" w:eastAsia="宋体" w:cs="宋体"/>
          <w:i w:val="0"/>
          <w:iCs w:val="0"/>
          <w:caps w:val="0"/>
          <w:color w:val="auto"/>
          <w:spacing w:val="0"/>
          <w:sz w:val="21"/>
          <w:szCs w:val="21"/>
          <w:highlight w:val="none"/>
          <w:shd w:val="clear" w:color="auto" w:fill="FFFFFF"/>
        </w:rPr>
        <w:t>（关键工序）</w:t>
      </w:r>
      <w:r>
        <w:rPr>
          <w:rFonts w:hint="eastAsia" w:ascii="宋体" w:hAnsi="宋体" w:eastAsia="宋体" w:cs="宋体"/>
          <w:i w:val="0"/>
          <w:iCs w:val="0"/>
          <w:caps w:val="0"/>
          <w:color w:val="auto"/>
          <w:spacing w:val="0"/>
          <w:sz w:val="21"/>
          <w:szCs w:val="21"/>
          <w:highlight w:val="none"/>
          <w:shd w:val="clear" w:color="auto" w:fill="FFFFFF"/>
        </w:rPr>
        <w:t>在中国境内完成。</w:t>
      </w:r>
    </w:p>
    <w:p w14:paraId="55B72F74">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w:t>
      </w:r>
    </w:p>
    <w:p w14:paraId="601C7623">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本公司（单位）对上述声明内容的真实性负责。如有虚假，愿承担相应法律责任。</w:t>
      </w:r>
    </w:p>
    <w:p w14:paraId="3F6EC1D9">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shd w:val="clear" w:color="auto" w:fill="FFFFFF"/>
        </w:rPr>
      </w:pPr>
    </w:p>
    <w:p w14:paraId="566CABBC">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0CA282AE">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20" w:firstLineChars="2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日期：　　　年　　月　日    </w:t>
      </w:r>
    </w:p>
    <w:p w14:paraId="5D59C66A">
      <w:pPr>
        <w:keepNext w:val="0"/>
        <w:keepLines w:val="0"/>
        <w:pageBreakBefore w:val="0"/>
        <w:numPr>
          <w:ilvl w:val="0"/>
          <w:numId w:val="0"/>
        </w:numPr>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rPr>
      </w:pPr>
    </w:p>
    <w:p w14:paraId="11A59DB3">
      <w:pPr>
        <w:keepNext w:val="0"/>
        <w:keepLines w:val="0"/>
        <w:pageBreakBefore w:val="0"/>
        <w:numPr>
          <w:ilvl w:val="0"/>
          <w:numId w:val="0"/>
        </w:numPr>
        <w:kinsoku/>
        <w:wordWrap/>
        <w:overflowPunct/>
        <w:topLinePunct w:val="0"/>
        <w:autoSpaceDE/>
        <w:autoSpaceDN/>
        <w:bidi w:val="0"/>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rPr>
      </w:pPr>
    </w:p>
    <w:p w14:paraId="74FCBEBA">
      <w:pPr>
        <w:keepNext w:val="0"/>
        <w:keepLines w:val="0"/>
        <w:pageBreakBefore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关于符合本国产品标准的声明函说明： </w:t>
      </w:r>
    </w:p>
    <w:p w14:paraId="21EBA030">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1.产品如有型号，请在“产品名称”栏一并填写。</w:t>
      </w:r>
    </w:p>
    <w:p w14:paraId="22728757">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2.生产厂名与厂址应与生产厂营业执照载明的相关信息保持一致。</w:t>
      </w:r>
    </w:p>
    <w:p w14:paraId="680590F3">
      <w:pPr>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br w:type="page"/>
      </w:r>
    </w:p>
    <w:p w14:paraId="77FC3A44">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ascii="宋体" w:hAnsi="宋体" w:eastAsia="宋体" w:cs="宋体"/>
          <w:b/>
          <w:bCs/>
          <w:color w:val="auto"/>
          <w:sz w:val="32"/>
          <w:szCs w:val="32"/>
          <w:highlight w:val="none"/>
        </w:rPr>
      </w:pPr>
    </w:p>
    <w:p w14:paraId="6AD6A473">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center"/>
        <w:textAlignment w:val="auto"/>
        <w:rPr>
          <w:rFonts w:ascii="宋体" w:hAnsi="宋体" w:eastAsia="宋体" w:cs="宋体"/>
          <w:b/>
          <w:bCs/>
          <w:color w:val="auto"/>
          <w:sz w:val="32"/>
          <w:szCs w:val="32"/>
          <w:highlight w:val="none"/>
        </w:rPr>
      </w:pPr>
      <w:r>
        <w:rPr>
          <w:rFonts w:ascii="宋体" w:hAnsi="宋体" w:eastAsia="宋体" w:cs="宋体"/>
          <w:b/>
          <w:bCs/>
          <w:color w:val="auto"/>
          <w:sz w:val="32"/>
          <w:szCs w:val="32"/>
          <w:highlight w:val="none"/>
        </w:rPr>
        <w:t>关于本国产品比例的承诺函</w:t>
      </w:r>
    </w:p>
    <w:p w14:paraId="7660E87A">
      <w:pPr>
        <w:keepNext w:val="0"/>
        <w:keepLines w:val="0"/>
        <w:pageBreakBefore w:val="0"/>
        <w:numPr>
          <w:ilvl w:val="0"/>
          <w:numId w:val="0"/>
        </w:numPr>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rPr>
      </w:pPr>
    </w:p>
    <w:p w14:paraId="5FD9C08E">
      <w:pPr>
        <w:keepNext w:val="0"/>
        <w:keepLines w:val="0"/>
        <w:pageBreakBefore w:val="0"/>
        <w:numPr>
          <w:ilvl w:val="0"/>
          <w:numId w:val="0"/>
        </w:numPr>
        <w:kinsoku/>
        <w:wordWrap/>
        <w:overflowPunct/>
        <w:topLinePunct w:val="0"/>
        <w:autoSpaceDE/>
        <w:autoSpaceDN/>
        <w:bidi w:val="0"/>
        <w:adjustRightInd w:val="0"/>
        <w:snapToGrid/>
        <w:spacing w:line="360" w:lineRule="auto"/>
        <w:ind w:firstLine="420" w:firstLineChars="200"/>
        <w:jc w:val="left"/>
        <w:textAlignment w:val="auto"/>
        <w:rPr>
          <w:rFonts w:hint="eastAsia" w:ascii="宋体" w:hAnsi="宋体" w:eastAsia="宋体" w:cs="宋体"/>
          <w:color w:val="auto"/>
          <w:kern w:val="0"/>
          <w:sz w:val="21"/>
          <w:szCs w:val="21"/>
          <w:highlight w:val="none"/>
          <w:shd w:val="clear" w:color="auto" w:fill="FFFFFF"/>
        </w:rPr>
      </w:pPr>
      <w:r>
        <w:rPr>
          <w:rFonts w:hint="eastAsia" w:ascii="宋体" w:hAnsi="宋体" w:eastAsia="宋体" w:cs="宋体"/>
          <w:color w:val="auto"/>
          <w:kern w:val="0"/>
          <w:sz w:val="21"/>
          <w:szCs w:val="21"/>
          <w:highlight w:val="none"/>
          <w:shd w:val="clear" w:color="auto" w:fill="FFFFFF"/>
        </w:rPr>
        <w:t>本公司(单位)郑重声明，根据《国务院办公厅关于在政府采购中实施本国产品标准及相关政策的通知》(国办发(2025)34号)的规定，本公司(单位)提供的符合本国产品标准的产品成本之和占提供的全部产品成本之和的比例达到</w:t>
      </w:r>
      <w:r>
        <w:rPr>
          <w:rFonts w:hint="eastAsia" w:ascii="宋体" w:hAnsi="宋体" w:cs="宋体"/>
          <w:color w:val="auto"/>
          <w:kern w:val="0"/>
          <w:sz w:val="21"/>
          <w:szCs w:val="21"/>
          <w:highlight w:val="none"/>
          <w:shd w:val="clear" w:color="auto" w:fill="FFFFFF"/>
          <w:lang w:val="en-US" w:eastAsia="zh-CN"/>
        </w:rPr>
        <w:t xml:space="preserve">    </w:t>
      </w:r>
      <w:r>
        <w:rPr>
          <w:rFonts w:hint="eastAsia" w:ascii="宋体" w:hAnsi="宋体" w:eastAsia="宋体" w:cs="宋体"/>
          <w:color w:val="auto"/>
          <w:kern w:val="0"/>
          <w:sz w:val="21"/>
          <w:szCs w:val="21"/>
          <w:highlight w:val="none"/>
          <w:shd w:val="clear" w:color="auto" w:fill="FFFFFF"/>
        </w:rPr>
        <w:t>以上。</w:t>
      </w:r>
    </w:p>
    <w:p w14:paraId="2A154F39">
      <w:pPr>
        <w:keepNext w:val="0"/>
        <w:keepLines w:val="0"/>
        <w:pageBreakBefore w:val="0"/>
        <w:numPr>
          <w:ilvl w:val="0"/>
          <w:numId w:val="0"/>
        </w:numPr>
        <w:kinsoku/>
        <w:wordWrap/>
        <w:overflowPunct/>
        <w:topLinePunct w:val="0"/>
        <w:autoSpaceDE/>
        <w:autoSpaceDN/>
        <w:bidi w:val="0"/>
        <w:adjustRightInd w:val="0"/>
        <w:snapToGrid/>
        <w:spacing w:line="360" w:lineRule="auto"/>
        <w:ind w:firstLine="420" w:firstLineChars="200"/>
        <w:jc w:val="left"/>
        <w:textAlignment w:val="auto"/>
        <w:rPr>
          <w:rFonts w:hint="eastAsia" w:ascii="宋体" w:hAnsi="宋体" w:eastAsia="宋体" w:cs="宋体"/>
          <w:b w:val="0"/>
          <w:bCs w:val="0"/>
          <w:color w:val="auto"/>
          <w:kern w:val="0"/>
          <w:sz w:val="21"/>
          <w:szCs w:val="21"/>
          <w:highlight w:val="none"/>
          <w:shd w:val="clear" w:color="auto" w:fill="FFFFFF"/>
          <w:lang w:val="en-US" w:eastAsia="zh-CN"/>
        </w:rPr>
      </w:pPr>
      <w:r>
        <w:rPr>
          <w:rFonts w:hint="eastAsia" w:ascii="宋体" w:hAnsi="宋体" w:eastAsia="宋体" w:cs="宋体"/>
          <w:b w:val="0"/>
          <w:bCs w:val="0"/>
          <w:color w:val="auto"/>
          <w:kern w:val="0"/>
          <w:sz w:val="21"/>
          <w:szCs w:val="21"/>
          <w:highlight w:val="none"/>
          <w:shd w:val="clear" w:color="auto" w:fill="FFFFFF"/>
        </w:rPr>
        <w:t>本公司(单位)对上述承诺内容的真实性负责。如有虚假，愿承担相应法律</w:t>
      </w:r>
      <w:r>
        <w:rPr>
          <w:rFonts w:hint="eastAsia" w:ascii="宋体" w:hAnsi="宋体" w:eastAsia="宋体" w:cs="宋体"/>
          <w:b w:val="0"/>
          <w:bCs w:val="0"/>
          <w:color w:val="auto"/>
          <w:kern w:val="0"/>
          <w:sz w:val="21"/>
          <w:szCs w:val="21"/>
          <w:highlight w:val="none"/>
          <w:shd w:val="clear" w:color="auto" w:fill="FFFFFF"/>
          <w:lang w:val="en-US" w:eastAsia="zh-CN"/>
        </w:rPr>
        <w:t>责任。</w:t>
      </w:r>
    </w:p>
    <w:p w14:paraId="791E5283">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0" w:beforeAutospacing="0" w:after="0" w:afterAutospacing="0" w:line="360" w:lineRule="auto"/>
        <w:ind w:left="0" w:right="0" w:firstLine="0" w:firstLineChars="0"/>
        <w:jc w:val="left"/>
        <w:textAlignment w:val="auto"/>
        <w:rPr>
          <w:rFonts w:hint="eastAsia" w:ascii="宋体" w:hAnsi="宋体" w:eastAsia="宋体" w:cs="宋体"/>
          <w:i w:val="0"/>
          <w:iCs w:val="0"/>
          <w:caps w:val="0"/>
          <w:color w:val="auto"/>
          <w:spacing w:val="0"/>
          <w:sz w:val="21"/>
          <w:szCs w:val="21"/>
          <w:highlight w:val="none"/>
          <w:shd w:val="clear" w:color="auto" w:fill="FFFFFF"/>
        </w:rPr>
      </w:pPr>
    </w:p>
    <w:p w14:paraId="24C8B39B">
      <w:pPr>
        <w:pStyle w:val="5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0" w:beforeAutospacing="0" w:after="0" w:afterAutospacing="0" w:line="360" w:lineRule="auto"/>
        <w:ind w:left="0" w:right="0" w:firstLine="210" w:firstLineChars="10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color="auto" w:fill="FFFFFF"/>
        </w:rPr>
        <w:t>公司（单位）名称（盖章）：      </w:t>
      </w:r>
    </w:p>
    <w:p w14:paraId="4F9ED1B3">
      <w:pPr>
        <w:keepNext w:val="0"/>
        <w:keepLines w:val="0"/>
        <w:pageBreakBefore w:val="0"/>
        <w:numPr>
          <w:ilvl w:val="0"/>
          <w:numId w:val="0"/>
        </w:numPr>
        <w:kinsoku/>
        <w:wordWrap/>
        <w:overflowPunct/>
        <w:topLinePunct w:val="0"/>
        <w:autoSpaceDE/>
        <w:autoSpaceDN/>
        <w:bidi w:val="0"/>
        <w:adjustRightInd w:val="0"/>
        <w:snapToGrid/>
        <w:spacing w:line="360" w:lineRule="auto"/>
        <w:ind w:firstLine="210" w:firstLineChars="100"/>
        <w:jc w:val="both"/>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i w:val="0"/>
          <w:iCs w:val="0"/>
          <w:caps w:val="0"/>
          <w:color w:val="auto"/>
          <w:spacing w:val="0"/>
          <w:sz w:val="21"/>
          <w:szCs w:val="21"/>
          <w:highlight w:val="none"/>
          <w:shd w:val="clear" w:color="auto" w:fill="FFFFFF"/>
        </w:rPr>
        <w:t>日期：　　　年　　</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月</w:t>
      </w:r>
      <w:r>
        <w:rPr>
          <w:rFonts w:hint="eastAsia" w:ascii="宋体" w:hAnsi="宋体" w:eastAsia="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　日   </w:t>
      </w:r>
    </w:p>
    <w:p w14:paraId="385CD8C6">
      <w:pPr>
        <w:keepNext w:val="0"/>
        <w:keepLines w:val="0"/>
        <w:pageBreakBefore w:val="0"/>
        <w:kinsoku/>
        <w:wordWrap/>
        <w:overflowPunct/>
        <w:topLinePunct w:val="0"/>
        <w:autoSpaceDE/>
        <w:autoSpaceDN/>
        <w:bidi w:val="0"/>
        <w:adjustRightInd w:val="0"/>
        <w:snapToGrid/>
        <w:spacing w:line="360" w:lineRule="auto"/>
        <w:textAlignment w:val="auto"/>
        <w:rPr>
          <w:rFonts w:hint="eastAsia" w:ascii="宋体" w:hAnsi="宋体" w:eastAsia="宋体" w:cs="宋体"/>
          <w:b w:val="0"/>
          <w:bCs w:val="0"/>
          <w:color w:val="auto"/>
          <w:kern w:val="0"/>
          <w:sz w:val="21"/>
          <w:szCs w:val="21"/>
          <w:highlight w:val="none"/>
          <w:shd w:val="clear" w:color="auto" w:fill="FFFFFF"/>
        </w:rPr>
      </w:pPr>
    </w:p>
    <w:p w14:paraId="76C1E79E">
      <w:pPr>
        <w:keepNext w:val="0"/>
        <w:keepLines w:val="0"/>
        <w:pageBreakBefore w:val="0"/>
        <w:kinsoku/>
        <w:wordWrap/>
        <w:overflowPunct/>
        <w:topLinePunct w:val="0"/>
        <w:autoSpaceDE/>
        <w:autoSpaceDN/>
        <w:bidi w:val="0"/>
        <w:adjustRightInd w:val="0"/>
        <w:snapToGrid/>
        <w:spacing w:line="360" w:lineRule="auto"/>
        <w:textAlignment w:val="auto"/>
        <w:rPr>
          <w:rFonts w:hint="eastAsia" w:ascii="宋体" w:hAnsi="宋体" w:eastAsia="宋体" w:cs="宋体"/>
          <w:color w:val="auto"/>
          <w:kern w:val="0"/>
          <w:sz w:val="21"/>
          <w:szCs w:val="21"/>
          <w:highlight w:val="none"/>
          <w:lang w:val="zh-CN"/>
        </w:rPr>
      </w:pPr>
      <w:r>
        <w:rPr>
          <w:rFonts w:hint="eastAsia" w:ascii="宋体" w:hAnsi="宋体" w:eastAsia="宋体" w:cs="宋体"/>
          <w:b w:val="0"/>
          <w:bCs w:val="0"/>
          <w:color w:val="auto"/>
          <w:kern w:val="0"/>
          <w:sz w:val="21"/>
          <w:szCs w:val="21"/>
          <w:highlight w:val="none"/>
          <w:shd w:val="clear" w:color="auto" w:fill="FFFFFF"/>
        </w:rPr>
        <w:t>注：当采购项目或采购包中含有多种产品，符合有关政策的，供应商还应当提供本承诺函。</w:t>
      </w:r>
    </w:p>
    <w:p w14:paraId="033E1AAD">
      <w:pPr>
        <w:tabs>
          <w:tab w:val="left" w:pos="4860"/>
        </w:tabs>
        <w:spacing w:line="360" w:lineRule="auto"/>
        <w:ind w:right="1560" w:firstLine="420" w:firstLineChars="200"/>
        <w:jc w:val="both"/>
        <w:rPr>
          <w:rFonts w:hint="eastAsia" w:cs="仿宋_GB2312" w:asciiTheme="minorEastAsia" w:hAnsiTheme="minorEastAsia" w:eastAsiaTheme="minorEastAsia"/>
          <w:color w:val="auto"/>
          <w:sz w:val="21"/>
          <w:szCs w:val="21"/>
          <w:highlight w:val="none"/>
        </w:rPr>
      </w:pPr>
    </w:p>
    <w:sectPr>
      <w:headerReference r:id="rId6" w:type="first"/>
      <w:footerReference r:id="rId8" w:type="first"/>
      <w:headerReference r:id="rId5"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72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Lucida Sans">
    <w:panose1 w:val="020B0602030504020204"/>
    <w:charset w:val="00"/>
    <w:family w:val="swiss"/>
    <w:pitch w:val="default"/>
    <w:sig w:usb0="00000003" w:usb1="00000000" w:usb2="00000000" w:usb3="00000000" w:csb0="2000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幼圆">
    <w:panose1 w:val="02010509060101010101"/>
    <w:charset w:val="86"/>
    <w:family w:val="modern"/>
    <w:pitch w:val="default"/>
    <w:sig w:usb0="00000001" w:usb1="080E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panose1 w:val="020B0502020202020204"/>
    <w:charset w:val="00"/>
    <w:family w:val="swiss"/>
    <w:pitch w:val="default"/>
    <w:sig w:usb0="00000287"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97F01">
    <w:pPr>
      <w:pStyle w:val="3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0B2B2">
                          <w:pPr>
                            <w:pStyle w:val="3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F50B2B2">
                    <w:pPr>
                      <w:pStyle w:val="3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87A71">
    <w:pPr>
      <w:pStyle w:val="37"/>
      <w:rPr>
        <w:rFonts w:ascii="仿宋_GB2312" w:eastAsia="仿宋_GB2312"/>
        <w:szCs w:val="24"/>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F7704A">
                          <w:pPr>
                            <w:pStyle w:val="37"/>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BF7704A">
                    <w:pPr>
                      <w:pStyle w:val="37"/>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5A15F">
    <w:pPr>
      <w:pStyle w:val="37"/>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3F90D">
                          <w:pPr>
                            <w:pStyle w:val="37"/>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1B3F90D">
                    <w:pPr>
                      <w:pStyle w:val="37"/>
                    </w:pPr>
                    <w:r>
                      <w:fldChar w:fldCharType="begin"/>
                    </w:r>
                    <w:r>
                      <w:instrText xml:space="preserve"> PAGE  \* MERGEFORMAT </w:instrText>
                    </w:r>
                    <w:r>
                      <w:fldChar w:fldCharType="separate"/>
                    </w:r>
                    <w:r>
                      <w:t>81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F4DC2">
    <w:pPr>
      <w:pStyle w:val="38"/>
      <w:pBdr>
        <w:bottom w:val="none" w:color="auto" w:sz="0" w:space="1"/>
      </w:pBdr>
      <w:jc w:val="right"/>
      <w:rPr>
        <w:rFonts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497915">
    <w:pPr>
      <w:pStyle w:val="3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53B23">
    <w:pPr>
      <w:pStyle w:val="3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B93886"/>
    <w:multiLevelType w:val="singleLevel"/>
    <w:tmpl w:val="82B93886"/>
    <w:lvl w:ilvl="0" w:tentative="0">
      <w:start w:val="1"/>
      <w:numFmt w:val="decimal"/>
      <w:lvlText w:val="%1."/>
      <w:lvlJc w:val="left"/>
      <w:pPr>
        <w:tabs>
          <w:tab w:val="left" w:pos="312"/>
        </w:tabs>
      </w:pPr>
    </w:lvl>
  </w:abstractNum>
  <w:abstractNum w:abstractNumId="1">
    <w:nsid w:val="942F8636"/>
    <w:multiLevelType w:val="singleLevel"/>
    <w:tmpl w:val="942F8636"/>
    <w:lvl w:ilvl="0" w:tentative="0">
      <w:start w:val="1"/>
      <w:numFmt w:val="decimal"/>
      <w:lvlText w:val="%1."/>
      <w:lvlJc w:val="left"/>
      <w:pPr>
        <w:tabs>
          <w:tab w:val="left" w:pos="312"/>
        </w:tabs>
      </w:pPr>
    </w:lvl>
  </w:abstractNum>
  <w:abstractNum w:abstractNumId="2">
    <w:nsid w:val="A57AF8A9"/>
    <w:multiLevelType w:val="singleLevel"/>
    <w:tmpl w:val="A57AF8A9"/>
    <w:lvl w:ilvl="0" w:tentative="0">
      <w:start w:val="1"/>
      <w:numFmt w:val="chineseCounting"/>
      <w:suff w:val="nothing"/>
      <w:lvlText w:val="%1、"/>
      <w:lvlJc w:val="left"/>
      <w:rPr>
        <w:rFonts w:hint="eastAsia"/>
      </w:rPr>
    </w:lvl>
  </w:abstractNum>
  <w:abstractNum w:abstractNumId="3">
    <w:nsid w:val="CB002942"/>
    <w:multiLevelType w:val="singleLevel"/>
    <w:tmpl w:val="CB002942"/>
    <w:lvl w:ilvl="0" w:tentative="0">
      <w:start w:val="1"/>
      <w:numFmt w:val="decimal"/>
      <w:suff w:val="nothing"/>
      <w:lvlText w:val="%1、"/>
      <w:lvlJc w:val="left"/>
    </w:lvl>
  </w:abstractNum>
  <w:abstractNum w:abstractNumId="4">
    <w:nsid w:val="E940E7CF"/>
    <w:multiLevelType w:val="singleLevel"/>
    <w:tmpl w:val="E940E7CF"/>
    <w:lvl w:ilvl="0" w:tentative="0">
      <w:start w:val="2"/>
      <w:numFmt w:val="decimal"/>
      <w:suff w:val="space"/>
      <w:lvlText w:val="%1."/>
      <w:lvlJc w:val="left"/>
    </w:lvl>
  </w:abstractNum>
  <w:abstractNum w:abstractNumId="5">
    <w:nsid w:val="FFFFFF81"/>
    <w:multiLevelType w:val="singleLevel"/>
    <w:tmpl w:val="FFFFFF81"/>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6">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7">
    <w:nsid w:val="0000000A"/>
    <w:multiLevelType w:val="multilevel"/>
    <w:tmpl w:val="0000000A"/>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8">
    <w:nsid w:val="0350FEAB"/>
    <w:multiLevelType w:val="singleLevel"/>
    <w:tmpl w:val="0350FEAB"/>
    <w:lvl w:ilvl="0" w:tentative="0">
      <w:start w:val="1"/>
      <w:numFmt w:val="chineseCounting"/>
      <w:suff w:val="nothing"/>
      <w:lvlText w:val="%1、"/>
      <w:lvlJc w:val="left"/>
      <w:rPr>
        <w:rFonts w:hint="eastAsia"/>
      </w:rPr>
    </w:lvl>
  </w:abstractNum>
  <w:abstractNum w:abstractNumId="9">
    <w:nsid w:val="11744E57"/>
    <w:multiLevelType w:val="multilevel"/>
    <w:tmpl w:val="11744E57"/>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10">
    <w:nsid w:val="3B2111D8"/>
    <w:multiLevelType w:val="singleLevel"/>
    <w:tmpl w:val="3B2111D8"/>
    <w:lvl w:ilvl="0" w:tentative="0">
      <w:start w:val="1"/>
      <w:numFmt w:val="chineseCounting"/>
      <w:suff w:val="nothing"/>
      <w:lvlText w:val="%1、"/>
      <w:lvlJc w:val="left"/>
      <w:rPr>
        <w:rFonts w:hint="eastAsia"/>
      </w:rPr>
    </w:lvl>
  </w:abstractNum>
  <w:abstractNum w:abstractNumId="11">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12">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3">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9"/>
  </w:num>
  <w:num w:numId="2">
    <w:abstractNumId w:val="7"/>
  </w:num>
  <w:num w:numId="3">
    <w:abstractNumId w:val="5"/>
  </w:num>
  <w:num w:numId="4">
    <w:abstractNumId w:val="6"/>
  </w:num>
  <w:num w:numId="5">
    <w:abstractNumId w:val="12"/>
  </w:num>
  <w:num w:numId="6">
    <w:abstractNumId w:val="13"/>
  </w:num>
  <w:num w:numId="7">
    <w:abstractNumId w:val="3"/>
  </w:num>
  <w:num w:numId="8">
    <w:abstractNumId w:val="10"/>
  </w:num>
  <w:num w:numId="9">
    <w:abstractNumId w:val="4"/>
  </w:num>
  <w:num w:numId="10">
    <w:abstractNumId w:val="2"/>
  </w:num>
  <w:num w:numId="11">
    <w:abstractNumId w:val="0"/>
  </w:num>
  <w:num w:numId="12">
    <w:abstractNumId w:val="1"/>
  </w:num>
  <w:num w:numId="13">
    <w:abstractNumId w:val="8"/>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0" w:hash="x+WZ0nHSEIyd9AFuVbcf7J9CDF8=" w:salt="lkcEiExgP6ijCIfnwAQwfA=="/>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464"/>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47F35"/>
    <w:rsid w:val="00050656"/>
    <w:rsid w:val="00051B54"/>
    <w:rsid w:val="00054D39"/>
    <w:rsid w:val="0005501B"/>
    <w:rsid w:val="000554C7"/>
    <w:rsid w:val="00055A61"/>
    <w:rsid w:val="00056118"/>
    <w:rsid w:val="000578A3"/>
    <w:rsid w:val="00057FC8"/>
    <w:rsid w:val="000600BA"/>
    <w:rsid w:val="00061A3C"/>
    <w:rsid w:val="000620B0"/>
    <w:rsid w:val="000624E3"/>
    <w:rsid w:val="000646CA"/>
    <w:rsid w:val="00064A21"/>
    <w:rsid w:val="00064D05"/>
    <w:rsid w:val="00065868"/>
    <w:rsid w:val="000665C4"/>
    <w:rsid w:val="00067821"/>
    <w:rsid w:val="0006785E"/>
    <w:rsid w:val="00067E1A"/>
    <w:rsid w:val="00070825"/>
    <w:rsid w:val="00071BF2"/>
    <w:rsid w:val="00072AED"/>
    <w:rsid w:val="00072C95"/>
    <w:rsid w:val="00072D2B"/>
    <w:rsid w:val="000730B1"/>
    <w:rsid w:val="00073860"/>
    <w:rsid w:val="00074528"/>
    <w:rsid w:val="00074B1F"/>
    <w:rsid w:val="00075D0E"/>
    <w:rsid w:val="00075F6A"/>
    <w:rsid w:val="000763F3"/>
    <w:rsid w:val="000768B4"/>
    <w:rsid w:val="00077607"/>
    <w:rsid w:val="00077756"/>
    <w:rsid w:val="000802C0"/>
    <w:rsid w:val="00080970"/>
    <w:rsid w:val="000839FB"/>
    <w:rsid w:val="00083DDA"/>
    <w:rsid w:val="0008580E"/>
    <w:rsid w:val="00085A0E"/>
    <w:rsid w:val="00086F8A"/>
    <w:rsid w:val="000904F6"/>
    <w:rsid w:val="00090D4C"/>
    <w:rsid w:val="00090ED8"/>
    <w:rsid w:val="0009145F"/>
    <w:rsid w:val="00091B4E"/>
    <w:rsid w:val="00091D89"/>
    <w:rsid w:val="00092FE9"/>
    <w:rsid w:val="00094342"/>
    <w:rsid w:val="000960BA"/>
    <w:rsid w:val="0009662A"/>
    <w:rsid w:val="000A1A52"/>
    <w:rsid w:val="000A1F98"/>
    <w:rsid w:val="000A23CE"/>
    <w:rsid w:val="000A49BB"/>
    <w:rsid w:val="000A4C67"/>
    <w:rsid w:val="000A5674"/>
    <w:rsid w:val="000A5A46"/>
    <w:rsid w:val="000A76EA"/>
    <w:rsid w:val="000B0E04"/>
    <w:rsid w:val="000B4B56"/>
    <w:rsid w:val="000B53F1"/>
    <w:rsid w:val="000B54C1"/>
    <w:rsid w:val="000B62AC"/>
    <w:rsid w:val="000B6BDF"/>
    <w:rsid w:val="000C053E"/>
    <w:rsid w:val="000C0A43"/>
    <w:rsid w:val="000C1ADE"/>
    <w:rsid w:val="000C1C38"/>
    <w:rsid w:val="000C222C"/>
    <w:rsid w:val="000C2264"/>
    <w:rsid w:val="000C33C8"/>
    <w:rsid w:val="000C4727"/>
    <w:rsid w:val="000C47AE"/>
    <w:rsid w:val="000C4F43"/>
    <w:rsid w:val="000C51AD"/>
    <w:rsid w:val="000C5374"/>
    <w:rsid w:val="000C5EC0"/>
    <w:rsid w:val="000C6688"/>
    <w:rsid w:val="000C7BEB"/>
    <w:rsid w:val="000C7F90"/>
    <w:rsid w:val="000D11E5"/>
    <w:rsid w:val="000D1957"/>
    <w:rsid w:val="000D1D28"/>
    <w:rsid w:val="000D2A10"/>
    <w:rsid w:val="000D34C8"/>
    <w:rsid w:val="000D34FD"/>
    <w:rsid w:val="000D3BB6"/>
    <w:rsid w:val="000D3BE5"/>
    <w:rsid w:val="000D3C37"/>
    <w:rsid w:val="000D5EA6"/>
    <w:rsid w:val="000D6C9F"/>
    <w:rsid w:val="000D6E3B"/>
    <w:rsid w:val="000D7560"/>
    <w:rsid w:val="000D7902"/>
    <w:rsid w:val="000D7CE0"/>
    <w:rsid w:val="000E1AEC"/>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E09"/>
    <w:rsid w:val="0010118C"/>
    <w:rsid w:val="0010125E"/>
    <w:rsid w:val="00101967"/>
    <w:rsid w:val="00104CAD"/>
    <w:rsid w:val="00104E5B"/>
    <w:rsid w:val="00104EEC"/>
    <w:rsid w:val="001050DC"/>
    <w:rsid w:val="001052A9"/>
    <w:rsid w:val="00105482"/>
    <w:rsid w:val="001055F5"/>
    <w:rsid w:val="00105BA9"/>
    <w:rsid w:val="00106658"/>
    <w:rsid w:val="00106C42"/>
    <w:rsid w:val="00107BBD"/>
    <w:rsid w:val="00107E1B"/>
    <w:rsid w:val="00111C7D"/>
    <w:rsid w:val="00112038"/>
    <w:rsid w:val="00112467"/>
    <w:rsid w:val="001127FF"/>
    <w:rsid w:val="00112B0B"/>
    <w:rsid w:val="00112B42"/>
    <w:rsid w:val="00114847"/>
    <w:rsid w:val="0011585B"/>
    <w:rsid w:val="00115B1A"/>
    <w:rsid w:val="001168F8"/>
    <w:rsid w:val="00117FA8"/>
    <w:rsid w:val="001228C8"/>
    <w:rsid w:val="0012419E"/>
    <w:rsid w:val="001243E9"/>
    <w:rsid w:val="001248EF"/>
    <w:rsid w:val="00124F76"/>
    <w:rsid w:val="00124FC4"/>
    <w:rsid w:val="001259B8"/>
    <w:rsid w:val="00127DAB"/>
    <w:rsid w:val="00131C2D"/>
    <w:rsid w:val="00132ED7"/>
    <w:rsid w:val="0013430A"/>
    <w:rsid w:val="001350F7"/>
    <w:rsid w:val="00135141"/>
    <w:rsid w:val="00135769"/>
    <w:rsid w:val="00135BE9"/>
    <w:rsid w:val="001374DC"/>
    <w:rsid w:val="0013773D"/>
    <w:rsid w:val="00140D7A"/>
    <w:rsid w:val="001430C3"/>
    <w:rsid w:val="00143E9B"/>
    <w:rsid w:val="00144649"/>
    <w:rsid w:val="001451BB"/>
    <w:rsid w:val="00145662"/>
    <w:rsid w:val="00145C6D"/>
    <w:rsid w:val="00146151"/>
    <w:rsid w:val="00147EA7"/>
    <w:rsid w:val="00151B2F"/>
    <w:rsid w:val="001524DC"/>
    <w:rsid w:val="001525E5"/>
    <w:rsid w:val="00153859"/>
    <w:rsid w:val="00153ED0"/>
    <w:rsid w:val="00155A91"/>
    <w:rsid w:val="00157432"/>
    <w:rsid w:val="00160051"/>
    <w:rsid w:val="00161053"/>
    <w:rsid w:val="00161185"/>
    <w:rsid w:val="00161853"/>
    <w:rsid w:val="00161C7D"/>
    <w:rsid w:val="00162E0E"/>
    <w:rsid w:val="00167594"/>
    <w:rsid w:val="001702BE"/>
    <w:rsid w:val="001706E4"/>
    <w:rsid w:val="0017105C"/>
    <w:rsid w:val="0017125C"/>
    <w:rsid w:val="00171622"/>
    <w:rsid w:val="00172077"/>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57B3"/>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9608A"/>
    <w:rsid w:val="001A07F8"/>
    <w:rsid w:val="001A1D48"/>
    <w:rsid w:val="001A1F0E"/>
    <w:rsid w:val="001A1F2D"/>
    <w:rsid w:val="001A468D"/>
    <w:rsid w:val="001A473A"/>
    <w:rsid w:val="001A4996"/>
    <w:rsid w:val="001A5785"/>
    <w:rsid w:val="001A66A6"/>
    <w:rsid w:val="001A6BBB"/>
    <w:rsid w:val="001A79A2"/>
    <w:rsid w:val="001B13BF"/>
    <w:rsid w:val="001B16F5"/>
    <w:rsid w:val="001B1992"/>
    <w:rsid w:val="001B1BD9"/>
    <w:rsid w:val="001B1C1F"/>
    <w:rsid w:val="001B219B"/>
    <w:rsid w:val="001B2703"/>
    <w:rsid w:val="001B2ABD"/>
    <w:rsid w:val="001B4272"/>
    <w:rsid w:val="001B46B2"/>
    <w:rsid w:val="001B4CA8"/>
    <w:rsid w:val="001B572D"/>
    <w:rsid w:val="001B6D33"/>
    <w:rsid w:val="001B738E"/>
    <w:rsid w:val="001B7645"/>
    <w:rsid w:val="001B7B69"/>
    <w:rsid w:val="001C0616"/>
    <w:rsid w:val="001C0DD2"/>
    <w:rsid w:val="001C10BD"/>
    <w:rsid w:val="001C1B4A"/>
    <w:rsid w:val="001C1F01"/>
    <w:rsid w:val="001C232F"/>
    <w:rsid w:val="001C31F5"/>
    <w:rsid w:val="001C44BC"/>
    <w:rsid w:val="001C5885"/>
    <w:rsid w:val="001C6698"/>
    <w:rsid w:val="001D0AAC"/>
    <w:rsid w:val="001D1D55"/>
    <w:rsid w:val="001D21EF"/>
    <w:rsid w:val="001D330D"/>
    <w:rsid w:val="001D4AD3"/>
    <w:rsid w:val="001D5A94"/>
    <w:rsid w:val="001E07DA"/>
    <w:rsid w:val="001E1ABC"/>
    <w:rsid w:val="001E43FB"/>
    <w:rsid w:val="001E59FB"/>
    <w:rsid w:val="001E63F8"/>
    <w:rsid w:val="001E787E"/>
    <w:rsid w:val="001E78CC"/>
    <w:rsid w:val="001F087C"/>
    <w:rsid w:val="001F0DA4"/>
    <w:rsid w:val="001F0FD1"/>
    <w:rsid w:val="001F1F18"/>
    <w:rsid w:val="001F2F92"/>
    <w:rsid w:val="001F3396"/>
    <w:rsid w:val="001F6095"/>
    <w:rsid w:val="00200E37"/>
    <w:rsid w:val="00201EE3"/>
    <w:rsid w:val="00202D33"/>
    <w:rsid w:val="00202F99"/>
    <w:rsid w:val="00203C85"/>
    <w:rsid w:val="00205298"/>
    <w:rsid w:val="002054F4"/>
    <w:rsid w:val="00210B9C"/>
    <w:rsid w:val="00212CFB"/>
    <w:rsid w:val="00212E87"/>
    <w:rsid w:val="00213FC4"/>
    <w:rsid w:val="00214028"/>
    <w:rsid w:val="002141C3"/>
    <w:rsid w:val="002141DC"/>
    <w:rsid w:val="00214479"/>
    <w:rsid w:val="002144F3"/>
    <w:rsid w:val="00215918"/>
    <w:rsid w:val="00215A2A"/>
    <w:rsid w:val="00216387"/>
    <w:rsid w:val="00217427"/>
    <w:rsid w:val="00217DE5"/>
    <w:rsid w:val="002204BC"/>
    <w:rsid w:val="0022187F"/>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755"/>
    <w:rsid w:val="00237A7C"/>
    <w:rsid w:val="00237FA2"/>
    <w:rsid w:val="00240121"/>
    <w:rsid w:val="00240F67"/>
    <w:rsid w:val="00241144"/>
    <w:rsid w:val="00242009"/>
    <w:rsid w:val="00242510"/>
    <w:rsid w:val="00243F5D"/>
    <w:rsid w:val="0024415B"/>
    <w:rsid w:val="00245269"/>
    <w:rsid w:val="00247422"/>
    <w:rsid w:val="00247B53"/>
    <w:rsid w:val="00247BA2"/>
    <w:rsid w:val="00251CB4"/>
    <w:rsid w:val="00252862"/>
    <w:rsid w:val="002531BD"/>
    <w:rsid w:val="002533FE"/>
    <w:rsid w:val="002537FC"/>
    <w:rsid w:val="002543EF"/>
    <w:rsid w:val="00255146"/>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67F38"/>
    <w:rsid w:val="00273C5F"/>
    <w:rsid w:val="00274C6D"/>
    <w:rsid w:val="002751CA"/>
    <w:rsid w:val="0027544D"/>
    <w:rsid w:val="00275C7D"/>
    <w:rsid w:val="002778AB"/>
    <w:rsid w:val="002802A5"/>
    <w:rsid w:val="0028166B"/>
    <w:rsid w:val="00281BCB"/>
    <w:rsid w:val="00282CA4"/>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1C6"/>
    <w:rsid w:val="002A02D6"/>
    <w:rsid w:val="002A07C4"/>
    <w:rsid w:val="002A0921"/>
    <w:rsid w:val="002A108E"/>
    <w:rsid w:val="002A123D"/>
    <w:rsid w:val="002A2001"/>
    <w:rsid w:val="002A30AD"/>
    <w:rsid w:val="002A4A80"/>
    <w:rsid w:val="002A4EB3"/>
    <w:rsid w:val="002A51D9"/>
    <w:rsid w:val="002A5275"/>
    <w:rsid w:val="002B2906"/>
    <w:rsid w:val="002B35C5"/>
    <w:rsid w:val="002B3870"/>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E87"/>
    <w:rsid w:val="002E1EC1"/>
    <w:rsid w:val="002E201C"/>
    <w:rsid w:val="002E26CE"/>
    <w:rsid w:val="002E28A0"/>
    <w:rsid w:val="002E2E79"/>
    <w:rsid w:val="002E349A"/>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2DD"/>
    <w:rsid w:val="00300AFA"/>
    <w:rsid w:val="00301A22"/>
    <w:rsid w:val="00303959"/>
    <w:rsid w:val="00303AB6"/>
    <w:rsid w:val="00304455"/>
    <w:rsid w:val="00304640"/>
    <w:rsid w:val="00304AC1"/>
    <w:rsid w:val="00305007"/>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531A"/>
    <w:rsid w:val="00315394"/>
    <w:rsid w:val="00315A0E"/>
    <w:rsid w:val="00315D77"/>
    <w:rsid w:val="00316CDE"/>
    <w:rsid w:val="00317012"/>
    <w:rsid w:val="00320AAB"/>
    <w:rsid w:val="0032226B"/>
    <w:rsid w:val="00324B2F"/>
    <w:rsid w:val="00326106"/>
    <w:rsid w:val="003262E4"/>
    <w:rsid w:val="003269B7"/>
    <w:rsid w:val="003272E4"/>
    <w:rsid w:val="003301D9"/>
    <w:rsid w:val="00330FE8"/>
    <w:rsid w:val="00331461"/>
    <w:rsid w:val="003316A8"/>
    <w:rsid w:val="00331CC9"/>
    <w:rsid w:val="00331FE5"/>
    <w:rsid w:val="003320D7"/>
    <w:rsid w:val="00332D52"/>
    <w:rsid w:val="00333337"/>
    <w:rsid w:val="00333A28"/>
    <w:rsid w:val="00335868"/>
    <w:rsid w:val="0033631D"/>
    <w:rsid w:val="003365CB"/>
    <w:rsid w:val="0033701B"/>
    <w:rsid w:val="00341225"/>
    <w:rsid w:val="00341CEB"/>
    <w:rsid w:val="0034396F"/>
    <w:rsid w:val="0034458E"/>
    <w:rsid w:val="003448CA"/>
    <w:rsid w:val="00344BBF"/>
    <w:rsid w:val="00344F3C"/>
    <w:rsid w:val="00345644"/>
    <w:rsid w:val="00345D7A"/>
    <w:rsid w:val="00346B6D"/>
    <w:rsid w:val="00346BA3"/>
    <w:rsid w:val="00347356"/>
    <w:rsid w:val="00350896"/>
    <w:rsid w:val="00350C31"/>
    <w:rsid w:val="003519CD"/>
    <w:rsid w:val="00351A3A"/>
    <w:rsid w:val="00352A88"/>
    <w:rsid w:val="003536BF"/>
    <w:rsid w:val="0035455F"/>
    <w:rsid w:val="00355D8F"/>
    <w:rsid w:val="00357437"/>
    <w:rsid w:val="003577EF"/>
    <w:rsid w:val="00357F65"/>
    <w:rsid w:val="00360304"/>
    <w:rsid w:val="00361DB9"/>
    <w:rsid w:val="00362415"/>
    <w:rsid w:val="00365427"/>
    <w:rsid w:val="00365888"/>
    <w:rsid w:val="003669C8"/>
    <w:rsid w:val="00366CEB"/>
    <w:rsid w:val="00366D8A"/>
    <w:rsid w:val="003679D3"/>
    <w:rsid w:val="00367A87"/>
    <w:rsid w:val="00367F2C"/>
    <w:rsid w:val="003703CE"/>
    <w:rsid w:val="00371C6D"/>
    <w:rsid w:val="00372C89"/>
    <w:rsid w:val="00372E9A"/>
    <w:rsid w:val="00374677"/>
    <w:rsid w:val="0037632F"/>
    <w:rsid w:val="00377B26"/>
    <w:rsid w:val="003800B2"/>
    <w:rsid w:val="00381014"/>
    <w:rsid w:val="00381F60"/>
    <w:rsid w:val="00382F6C"/>
    <w:rsid w:val="00383AB0"/>
    <w:rsid w:val="00384814"/>
    <w:rsid w:val="00384C0A"/>
    <w:rsid w:val="00385B16"/>
    <w:rsid w:val="00385B65"/>
    <w:rsid w:val="0038637D"/>
    <w:rsid w:val="00386C07"/>
    <w:rsid w:val="00386F58"/>
    <w:rsid w:val="0038700D"/>
    <w:rsid w:val="0038701B"/>
    <w:rsid w:val="003871A7"/>
    <w:rsid w:val="00390C0D"/>
    <w:rsid w:val="00391447"/>
    <w:rsid w:val="003922DE"/>
    <w:rsid w:val="00393B84"/>
    <w:rsid w:val="00393C6A"/>
    <w:rsid w:val="003944EA"/>
    <w:rsid w:val="00394639"/>
    <w:rsid w:val="003962E6"/>
    <w:rsid w:val="00396831"/>
    <w:rsid w:val="00397EE1"/>
    <w:rsid w:val="003A03EF"/>
    <w:rsid w:val="003A12B6"/>
    <w:rsid w:val="003A20D5"/>
    <w:rsid w:val="003A24CC"/>
    <w:rsid w:val="003A2EE8"/>
    <w:rsid w:val="003A373C"/>
    <w:rsid w:val="003A3E10"/>
    <w:rsid w:val="003A3FD6"/>
    <w:rsid w:val="003A5378"/>
    <w:rsid w:val="003A5567"/>
    <w:rsid w:val="003A7E2B"/>
    <w:rsid w:val="003A7E40"/>
    <w:rsid w:val="003B0336"/>
    <w:rsid w:val="003B0A3A"/>
    <w:rsid w:val="003B452B"/>
    <w:rsid w:val="003B4810"/>
    <w:rsid w:val="003B514E"/>
    <w:rsid w:val="003B5581"/>
    <w:rsid w:val="003B5E0A"/>
    <w:rsid w:val="003B613B"/>
    <w:rsid w:val="003B636A"/>
    <w:rsid w:val="003B6AF1"/>
    <w:rsid w:val="003B7D14"/>
    <w:rsid w:val="003C011C"/>
    <w:rsid w:val="003C2400"/>
    <w:rsid w:val="003C435B"/>
    <w:rsid w:val="003C4EBE"/>
    <w:rsid w:val="003C685A"/>
    <w:rsid w:val="003C6B25"/>
    <w:rsid w:val="003C6E9C"/>
    <w:rsid w:val="003C7F12"/>
    <w:rsid w:val="003D03D6"/>
    <w:rsid w:val="003D04C3"/>
    <w:rsid w:val="003D14C8"/>
    <w:rsid w:val="003D1517"/>
    <w:rsid w:val="003D2DA0"/>
    <w:rsid w:val="003D34C3"/>
    <w:rsid w:val="003D5681"/>
    <w:rsid w:val="003D5ADB"/>
    <w:rsid w:val="003D62A2"/>
    <w:rsid w:val="003D663E"/>
    <w:rsid w:val="003D6793"/>
    <w:rsid w:val="003D6B03"/>
    <w:rsid w:val="003D75D8"/>
    <w:rsid w:val="003E0746"/>
    <w:rsid w:val="003E0E7C"/>
    <w:rsid w:val="003E2E25"/>
    <w:rsid w:val="003E336A"/>
    <w:rsid w:val="003E35A8"/>
    <w:rsid w:val="003E3FB8"/>
    <w:rsid w:val="003E60DA"/>
    <w:rsid w:val="003E61F6"/>
    <w:rsid w:val="003E6439"/>
    <w:rsid w:val="003E6E00"/>
    <w:rsid w:val="003E725A"/>
    <w:rsid w:val="003E7940"/>
    <w:rsid w:val="003F01BD"/>
    <w:rsid w:val="003F048E"/>
    <w:rsid w:val="003F0AFF"/>
    <w:rsid w:val="003F2C48"/>
    <w:rsid w:val="003F3D90"/>
    <w:rsid w:val="003F53BB"/>
    <w:rsid w:val="003F56B8"/>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17FB3"/>
    <w:rsid w:val="004210C0"/>
    <w:rsid w:val="004211DD"/>
    <w:rsid w:val="00421442"/>
    <w:rsid w:val="00421762"/>
    <w:rsid w:val="00421D4B"/>
    <w:rsid w:val="00421D9F"/>
    <w:rsid w:val="00421ED8"/>
    <w:rsid w:val="004233AD"/>
    <w:rsid w:val="00423ABD"/>
    <w:rsid w:val="004246BC"/>
    <w:rsid w:val="00424F1A"/>
    <w:rsid w:val="00425724"/>
    <w:rsid w:val="00426B2C"/>
    <w:rsid w:val="00427FA8"/>
    <w:rsid w:val="004306D4"/>
    <w:rsid w:val="00431C44"/>
    <w:rsid w:val="00432827"/>
    <w:rsid w:val="00432ECA"/>
    <w:rsid w:val="00435515"/>
    <w:rsid w:val="004357B1"/>
    <w:rsid w:val="00436CCE"/>
    <w:rsid w:val="004379BB"/>
    <w:rsid w:val="00440262"/>
    <w:rsid w:val="00440814"/>
    <w:rsid w:val="00440844"/>
    <w:rsid w:val="004439F0"/>
    <w:rsid w:val="00443EDE"/>
    <w:rsid w:val="0044739A"/>
    <w:rsid w:val="004475F7"/>
    <w:rsid w:val="00447DFB"/>
    <w:rsid w:val="00450B22"/>
    <w:rsid w:val="00452AB8"/>
    <w:rsid w:val="004533CE"/>
    <w:rsid w:val="004543AB"/>
    <w:rsid w:val="00455F71"/>
    <w:rsid w:val="00456272"/>
    <w:rsid w:val="00457CF7"/>
    <w:rsid w:val="00457D37"/>
    <w:rsid w:val="00457ED4"/>
    <w:rsid w:val="00460E68"/>
    <w:rsid w:val="00461F80"/>
    <w:rsid w:val="0046240D"/>
    <w:rsid w:val="00463576"/>
    <w:rsid w:val="0046399D"/>
    <w:rsid w:val="00465264"/>
    <w:rsid w:val="00465781"/>
    <w:rsid w:val="00465A21"/>
    <w:rsid w:val="00466ABA"/>
    <w:rsid w:val="0046775D"/>
    <w:rsid w:val="00471387"/>
    <w:rsid w:val="00471963"/>
    <w:rsid w:val="00473308"/>
    <w:rsid w:val="004749DA"/>
    <w:rsid w:val="004749DC"/>
    <w:rsid w:val="00474DEF"/>
    <w:rsid w:val="004750B9"/>
    <w:rsid w:val="004754AC"/>
    <w:rsid w:val="004758E7"/>
    <w:rsid w:val="00475F67"/>
    <w:rsid w:val="004764C6"/>
    <w:rsid w:val="00477247"/>
    <w:rsid w:val="00477529"/>
    <w:rsid w:val="004776BB"/>
    <w:rsid w:val="00477C40"/>
    <w:rsid w:val="00480DC5"/>
    <w:rsid w:val="0048144A"/>
    <w:rsid w:val="00481886"/>
    <w:rsid w:val="00482288"/>
    <w:rsid w:val="00483984"/>
    <w:rsid w:val="00483BC7"/>
    <w:rsid w:val="00483CF0"/>
    <w:rsid w:val="00484D4D"/>
    <w:rsid w:val="004855D9"/>
    <w:rsid w:val="0048664F"/>
    <w:rsid w:val="004868AD"/>
    <w:rsid w:val="00486D00"/>
    <w:rsid w:val="00487FE1"/>
    <w:rsid w:val="00490707"/>
    <w:rsid w:val="00490815"/>
    <w:rsid w:val="004914E8"/>
    <w:rsid w:val="00492B76"/>
    <w:rsid w:val="0049333E"/>
    <w:rsid w:val="0049418F"/>
    <w:rsid w:val="00495DC6"/>
    <w:rsid w:val="00497AAD"/>
    <w:rsid w:val="00497D1A"/>
    <w:rsid w:val="00497EE7"/>
    <w:rsid w:val="004A03DA"/>
    <w:rsid w:val="004A1DBC"/>
    <w:rsid w:val="004A1EA7"/>
    <w:rsid w:val="004A2C96"/>
    <w:rsid w:val="004A4125"/>
    <w:rsid w:val="004A5D1E"/>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1840"/>
    <w:rsid w:val="004C27CF"/>
    <w:rsid w:val="004C2CA7"/>
    <w:rsid w:val="004C38E3"/>
    <w:rsid w:val="004C45C8"/>
    <w:rsid w:val="004C612E"/>
    <w:rsid w:val="004C6C0A"/>
    <w:rsid w:val="004C7180"/>
    <w:rsid w:val="004C77FF"/>
    <w:rsid w:val="004D0223"/>
    <w:rsid w:val="004D12E8"/>
    <w:rsid w:val="004D138A"/>
    <w:rsid w:val="004D16A3"/>
    <w:rsid w:val="004D1E41"/>
    <w:rsid w:val="004D3B25"/>
    <w:rsid w:val="004D557D"/>
    <w:rsid w:val="004D6F29"/>
    <w:rsid w:val="004D7974"/>
    <w:rsid w:val="004D7F9C"/>
    <w:rsid w:val="004D7FF2"/>
    <w:rsid w:val="004E1D6F"/>
    <w:rsid w:val="004E1F19"/>
    <w:rsid w:val="004E3A2A"/>
    <w:rsid w:val="004E3AB1"/>
    <w:rsid w:val="004E4003"/>
    <w:rsid w:val="004E6746"/>
    <w:rsid w:val="004E75C1"/>
    <w:rsid w:val="004F045E"/>
    <w:rsid w:val="004F07F2"/>
    <w:rsid w:val="004F0E82"/>
    <w:rsid w:val="004F1847"/>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10F8"/>
    <w:rsid w:val="005020F1"/>
    <w:rsid w:val="005039B8"/>
    <w:rsid w:val="00504CCC"/>
    <w:rsid w:val="0050537D"/>
    <w:rsid w:val="005079F5"/>
    <w:rsid w:val="0051037C"/>
    <w:rsid w:val="0051050F"/>
    <w:rsid w:val="00510DDC"/>
    <w:rsid w:val="00511427"/>
    <w:rsid w:val="005131A2"/>
    <w:rsid w:val="00513D8B"/>
    <w:rsid w:val="0051440E"/>
    <w:rsid w:val="00514F0B"/>
    <w:rsid w:val="005160EA"/>
    <w:rsid w:val="005173F3"/>
    <w:rsid w:val="00517AC8"/>
    <w:rsid w:val="00517C3E"/>
    <w:rsid w:val="005212F4"/>
    <w:rsid w:val="00521305"/>
    <w:rsid w:val="0052178F"/>
    <w:rsid w:val="00521908"/>
    <w:rsid w:val="00523606"/>
    <w:rsid w:val="005251BE"/>
    <w:rsid w:val="005256D6"/>
    <w:rsid w:val="00525AD8"/>
    <w:rsid w:val="00525C01"/>
    <w:rsid w:val="00526429"/>
    <w:rsid w:val="005266C1"/>
    <w:rsid w:val="005267F4"/>
    <w:rsid w:val="00527317"/>
    <w:rsid w:val="00527ED6"/>
    <w:rsid w:val="00531064"/>
    <w:rsid w:val="005335A2"/>
    <w:rsid w:val="00533DEC"/>
    <w:rsid w:val="005363D3"/>
    <w:rsid w:val="00536B03"/>
    <w:rsid w:val="00537917"/>
    <w:rsid w:val="00537E83"/>
    <w:rsid w:val="005405B2"/>
    <w:rsid w:val="00540EE7"/>
    <w:rsid w:val="00541A22"/>
    <w:rsid w:val="005426B2"/>
    <w:rsid w:val="00542CD7"/>
    <w:rsid w:val="00543640"/>
    <w:rsid w:val="005444C6"/>
    <w:rsid w:val="005449D1"/>
    <w:rsid w:val="00544F05"/>
    <w:rsid w:val="005454B8"/>
    <w:rsid w:val="0054552C"/>
    <w:rsid w:val="00545B56"/>
    <w:rsid w:val="00545DB9"/>
    <w:rsid w:val="00546035"/>
    <w:rsid w:val="00546BF8"/>
    <w:rsid w:val="00550B7E"/>
    <w:rsid w:val="00551B96"/>
    <w:rsid w:val="00551EE7"/>
    <w:rsid w:val="005524ED"/>
    <w:rsid w:val="00554C03"/>
    <w:rsid w:val="005550F9"/>
    <w:rsid w:val="0055525C"/>
    <w:rsid w:val="00556386"/>
    <w:rsid w:val="00556441"/>
    <w:rsid w:val="0055693D"/>
    <w:rsid w:val="00561903"/>
    <w:rsid w:val="00561A9B"/>
    <w:rsid w:val="00562FB1"/>
    <w:rsid w:val="00563068"/>
    <w:rsid w:val="00564DA7"/>
    <w:rsid w:val="00564EFA"/>
    <w:rsid w:val="00565204"/>
    <w:rsid w:val="00565473"/>
    <w:rsid w:val="00565DAC"/>
    <w:rsid w:val="00565F0D"/>
    <w:rsid w:val="005662DC"/>
    <w:rsid w:val="00566329"/>
    <w:rsid w:val="005701C2"/>
    <w:rsid w:val="0057117C"/>
    <w:rsid w:val="00573560"/>
    <w:rsid w:val="0057438C"/>
    <w:rsid w:val="005744C1"/>
    <w:rsid w:val="00574E7B"/>
    <w:rsid w:val="005756E7"/>
    <w:rsid w:val="00576B5C"/>
    <w:rsid w:val="00580DFC"/>
    <w:rsid w:val="00581133"/>
    <w:rsid w:val="00581EC5"/>
    <w:rsid w:val="00581F85"/>
    <w:rsid w:val="00583D43"/>
    <w:rsid w:val="005846C3"/>
    <w:rsid w:val="00584F04"/>
    <w:rsid w:val="0058577D"/>
    <w:rsid w:val="005857F7"/>
    <w:rsid w:val="0058589A"/>
    <w:rsid w:val="005871F6"/>
    <w:rsid w:val="0058767F"/>
    <w:rsid w:val="00587D7B"/>
    <w:rsid w:val="005901B7"/>
    <w:rsid w:val="005904DB"/>
    <w:rsid w:val="00592825"/>
    <w:rsid w:val="005931BD"/>
    <w:rsid w:val="00593806"/>
    <w:rsid w:val="00594437"/>
    <w:rsid w:val="005955EB"/>
    <w:rsid w:val="0059683E"/>
    <w:rsid w:val="00596CFA"/>
    <w:rsid w:val="005975CE"/>
    <w:rsid w:val="005A1A31"/>
    <w:rsid w:val="005A36C2"/>
    <w:rsid w:val="005A3719"/>
    <w:rsid w:val="005A399E"/>
    <w:rsid w:val="005A3A4F"/>
    <w:rsid w:val="005A3DD7"/>
    <w:rsid w:val="005A418C"/>
    <w:rsid w:val="005A48B5"/>
    <w:rsid w:val="005A4F48"/>
    <w:rsid w:val="005A5036"/>
    <w:rsid w:val="005A56BB"/>
    <w:rsid w:val="005A733D"/>
    <w:rsid w:val="005A7A32"/>
    <w:rsid w:val="005A7F85"/>
    <w:rsid w:val="005B102C"/>
    <w:rsid w:val="005B1AAB"/>
    <w:rsid w:val="005B2313"/>
    <w:rsid w:val="005B2930"/>
    <w:rsid w:val="005B2B87"/>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12DE"/>
    <w:rsid w:val="005C2294"/>
    <w:rsid w:val="005C3344"/>
    <w:rsid w:val="005C4C71"/>
    <w:rsid w:val="005C4E4D"/>
    <w:rsid w:val="005C5A97"/>
    <w:rsid w:val="005C679D"/>
    <w:rsid w:val="005C6D5D"/>
    <w:rsid w:val="005D01C3"/>
    <w:rsid w:val="005D1D15"/>
    <w:rsid w:val="005D2578"/>
    <w:rsid w:val="005D266D"/>
    <w:rsid w:val="005D3327"/>
    <w:rsid w:val="005D5BCF"/>
    <w:rsid w:val="005D6D84"/>
    <w:rsid w:val="005D70A1"/>
    <w:rsid w:val="005D79F2"/>
    <w:rsid w:val="005E0988"/>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5CAF"/>
    <w:rsid w:val="006062A0"/>
    <w:rsid w:val="00610260"/>
    <w:rsid w:val="0061098D"/>
    <w:rsid w:val="00611367"/>
    <w:rsid w:val="00611AC8"/>
    <w:rsid w:val="00611B59"/>
    <w:rsid w:val="00611FBA"/>
    <w:rsid w:val="0061272A"/>
    <w:rsid w:val="00613AA2"/>
    <w:rsid w:val="00613EDA"/>
    <w:rsid w:val="006155F1"/>
    <w:rsid w:val="00615FAB"/>
    <w:rsid w:val="006161D6"/>
    <w:rsid w:val="0061703E"/>
    <w:rsid w:val="00620055"/>
    <w:rsid w:val="006212D3"/>
    <w:rsid w:val="006217EF"/>
    <w:rsid w:val="0062213A"/>
    <w:rsid w:val="00623A5E"/>
    <w:rsid w:val="00625008"/>
    <w:rsid w:val="00625EAC"/>
    <w:rsid w:val="00626930"/>
    <w:rsid w:val="00626BAC"/>
    <w:rsid w:val="00626F04"/>
    <w:rsid w:val="006271C3"/>
    <w:rsid w:val="0063001E"/>
    <w:rsid w:val="00630527"/>
    <w:rsid w:val="00630D58"/>
    <w:rsid w:val="00631005"/>
    <w:rsid w:val="00632727"/>
    <w:rsid w:val="00633EF3"/>
    <w:rsid w:val="00635B73"/>
    <w:rsid w:val="006368A8"/>
    <w:rsid w:val="00636CC7"/>
    <w:rsid w:val="00637016"/>
    <w:rsid w:val="00637F27"/>
    <w:rsid w:val="00643F89"/>
    <w:rsid w:val="00644BED"/>
    <w:rsid w:val="00644E2E"/>
    <w:rsid w:val="00645CB4"/>
    <w:rsid w:val="00646BDC"/>
    <w:rsid w:val="00647DE9"/>
    <w:rsid w:val="00651F59"/>
    <w:rsid w:val="00652CF5"/>
    <w:rsid w:val="0065343E"/>
    <w:rsid w:val="00653C7C"/>
    <w:rsid w:val="006540B1"/>
    <w:rsid w:val="006558CD"/>
    <w:rsid w:val="00656CD4"/>
    <w:rsid w:val="00656D49"/>
    <w:rsid w:val="00656E4D"/>
    <w:rsid w:val="006576BA"/>
    <w:rsid w:val="0066057F"/>
    <w:rsid w:val="0066099B"/>
    <w:rsid w:val="00662401"/>
    <w:rsid w:val="00662D3D"/>
    <w:rsid w:val="00662F1F"/>
    <w:rsid w:val="0066408F"/>
    <w:rsid w:val="00664DB5"/>
    <w:rsid w:val="006673B9"/>
    <w:rsid w:val="0066790C"/>
    <w:rsid w:val="006700F1"/>
    <w:rsid w:val="006720BC"/>
    <w:rsid w:val="00672D0F"/>
    <w:rsid w:val="00673989"/>
    <w:rsid w:val="00673B64"/>
    <w:rsid w:val="00673FC1"/>
    <w:rsid w:val="00675430"/>
    <w:rsid w:val="00675749"/>
    <w:rsid w:val="0067601F"/>
    <w:rsid w:val="00676F15"/>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6584"/>
    <w:rsid w:val="00697062"/>
    <w:rsid w:val="006971F8"/>
    <w:rsid w:val="00697D5F"/>
    <w:rsid w:val="006A060C"/>
    <w:rsid w:val="006A150D"/>
    <w:rsid w:val="006A1526"/>
    <w:rsid w:val="006A3207"/>
    <w:rsid w:val="006A39D0"/>
    <w:rsid w:val="006A4321"/>
    <w:rsid w:val="006A60F0"/>
    <w:rsid w:val="006A61EE"/>
    <w:rsid w:val="006B0580"/>
    <w:rsid w:val="006B05DA"/>
    <w:rsid w:val="006B0F30"/>
    <w:rsid w:val="006B1D06"/>
    <w:rsid w:val="006B2823"/>
    <w:rsid w:val="006B33DB"/>
    <w:rsid w:val="006B4CF8"/>
    <w:rsid w:val="006B5FBC"/>
    <w:rsid w:val="006B6ED2"/>
    <w:rsid w:val="006C0230"/>
    <w:rsid w:val="006C09CC"/>
    <w:rsid w:val="006C09F4"/>
    <w:rsid w:val="006C1706"/>
    <w:rsid w:val="006C3EFE"/>
    <w:rsid w:val="006C4618"/>
    <w:rsid w:val="006C5D5D"/>
    <w:rsid w:val="006C6303"/>
    <w:rsid w:val="006C6D6B"/>
    <w:rsid w:val="006C6EBD"/>
    <w:rsid w:val="006D0681"/>
    <w:rsid w:val="006D0906"/>
    <w:rsid w:val="006D0A80"/>
    <w:rsid w:val="006D2874"/>
    <w:rsid w:val="006D312B"/>
    <w:rsid w:val="006D43C1"/>
    <w:rsid w:val="006D5442"/>
    <w:rsid w:val="006D6E4E"/>
    <w:rsid w:val="006E00E3"/>
    <w:rsid w:val="006E045C"/>
    <w:rsid w:val="006E065E"/>
    <w:rsid w:val="006E189B"/>
    <w:rsid w:val="006E2902"/>
    <w:rsid w:val="006E2F9D"/>
    <w:rsid w:val="006E37C6"/>
    <w:rsid w:val="006E41ED"/>
    <w:rsid w:val="006E448E"/>
    <w:rsid w:val="006E4667"/>
    <w:rsid w:val="006E5112"/>
    <w:rsid w:val="006E603B"/>
    <w:rsid w:val="006F1AE0"/>
    <w:rsid w:val="006F2046"/>
    <w:rsid w:val="006F30C9"/>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9AE"/>
    <w:rsid w:val="00706C89"/>
    <w:rsid w:val="00707967"/>
    <w:rsid w:val="00710257"/>
    <w:rsid w:val="007109E6"/>
    <w:rsid w:val="007119DC"/>
    <w:rsid w:val="00711CC7"/>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D3F"/>
    <w:rsid w:val="00721FC3"/>
    <w:rsid w:val="00722A86"/>
    <w:rsid w:val="00722C69"/>
    <w:rsid w:val="0072388C"/>
    <w:rsid w:val="00726665"/>
    <w:rsid w:val="007266B9"/>
    <w:rsid w:val="00726921"/>
    <w:rsid w:val="00726B00"/>
    <w:rsid w:val="007278FE"/>
    <w:rsid w:val="00727AC5"/>
    <w:rsid w:val="00727C65"/>
    <w:rsid w:val="00731872"/>
    <w:rsid w:val="00731EA1"/>
    <w:rsid w:val="00733D6A"/>
    <w:rsid w:val="00734932"/>
    <w:rsid w:val="007364A3"/>
    <w:rsid w:val="007378FD"/>
    <w:rsid w:val="007413EB"/>
    <w:rsid w:val="00742D32"/>
    <w:rsid w:val="00742E9B"/>
    <w:rsid w:val="007444E6"/>
    <w:rsid w:val="0074592C"/>
    <w:rsid w:val="00745F41"/>
    <w:rsid w:val="00747578"/>
    <w:rsid w:val="00751073"/>
    <w:rsid w:val="00752188"/>
    <w:rsid w:val="0075281E"/>
    <w:rsid w:val="00752CC6"/>
    <w:rsid w:val="00754580"/>
    <w:rsid w:val="00754A29"/>
    <w:rsid w:val="00755BCF"/>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230F"/>
    <w:rsid w:val="007739A3"/>
    <w:rsid w:val="00773BD9"/>
    <w:rsid w:val="00773CB0"/>
    <w:rsid w:val="00773D71"/>
    <w:rsid w:val="007752EB"/>
    <w:rsid w:val="00775526"/>
    <w:rsid w:val="007773A6"/>
    <w:rsid w:val="0077765A"/>
    <w:rsid w:val="00780032"/>
    <w:rsid w:val="00780E86"/>
    <w:rsid w:val="00781727"/>
    <w:rsid w:val="00781F96"/>
    <w:rsid w:val="007823F9"/>
    <w:rsid w:val="00782D32"/>
    <w:rsid w:val="007830E9"/>
    <w:rsid w:val="00783959"/>
    <w:rsid w:val="0078585F"/>
    <w:rsid w:val="00786CBB"/>
    <w:rsid w:val="0079038E"/>
    <w:rsid w:val="00792909"/>
    <w:rsid w:val="00792A00"/>
    <w:rsid w:val="00792C3F"/>
    <w:rsid w:val="00792EE2"/>
    <w:rsid w:val="00793105"/>
    <w:rsid w:val="007931E8"/>
    <w:rsid w:val="00793333"/>
    <w:rsid w:val="00793E20"/>
    <w:rsid w:val="00794E46"/>
    <w:rsid w:val="00794FB6"/>
    <w:rsid w:val="007952DE"/>
    <w:rsid w:val="00795479"/>
    <w:rsid w:val="00796292"/>
    <w:rsid w:val="007972D5"/>
    <w:rsid w:val="007978E8"/>
    <w:rsid w:val="007A0789"/>
    <w:rsid w:val="007A130E"/>
    <w:rsid w:val="007A18B1"/>
    <w:rsid w:val="007A1BBD"/>
    <w:rsid w:val="007A1F08"/>
    <w:rsid w:val="007A25FA"/>
    <w:rsid w:val="007A28B3"/>
    <w:rsid w:val="007A3520"/>
    <w:rsid w:val="007A3878"/>
    <w:rsid w:val="007A3D85"/>
    <w:rsid w:val="007A54F6"/>
    <w:rsid w:val="007A5950"/>
    <w:rsid w:val="007A6D91"/>
    <w:rsid w:val="007A73CF"/>
    <w:rsid w:val="007B0306"/>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351"/>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5CA"/>
    <w:rsid w:val="007D5BA2"/>
    <w:rsid w:val="007D5ED3"/>
    <w:rsid w:val="007D6FB9"/>
    <w:rsid w:val="007D7656"/>
    <w:rsid w:val="007E0A63"/>
    <w:rsid w:val="007E0C63"/>
    <w:rsid w:val="007E1DF8"/>
    <w:rsid w:val="007E404E"/>
    <w:rsid w:val="007E4EB3"/>
    <w:rsid w:val="007E50B4"/>
    <w:rsid w:val="007E54B8"/>
    <w:rsid w:val="007E54DB"/>
    <w:rsid w:val="007E6B25"/>
    <w:rsid w:val="007E6F55"/>
    <w:rsid w:val="007E7BF9"/>
    <w:rsid w:val="007E7DEA"/>
    <w:rsid w:val="007F0A65"/>
    <w:rsid w:val="007F2B4B"/>
    <w:rsid w:val="007F2C38"/>
    <w:rsid w:val="007F30C6"/>
    <w:rsid w:val="007F3240"/>
    <w:rsid w:val="007F3651"/>
    <w:rsid w:val="007F3752"/>
    <w:rsid w:val="007F4318"/>
    <w:rsid w:val="007F47DA"/>
    <w:rsid w:val="007F4E52"/>
    <w:rsid w:val="007F4F84"/>
    <w:rsid w:val="007F55A4"/>
    <w:rsid w:val="007F661E"/>
    <w:rsid w:val="007F6D6B"/>
    <w:rsid w:val="007F74DA"/>
    <w:rsid w:val="007F75BB"/>
    <w:rsid w:val="00800766"/>
    <w:rsid w:val="00800871"/>
    <w:rsid w:val="00801D90"/>
    <w:rsid w:val="0080348B"/>
    <w:rsid w:val="00803EB0"/>
    <w:rsid w:val="008052CE"/>
    <w:rsid w:val="008052DB"/>
    <w:rsid w:val="0080705B"/>
    <w:rsid w:val="0081000F"/>
    <w:rsid w:val="0081264E"/>
    <w:rsid w:val="00812A1A"/>
    <w:rsid w:val="00812DFF"/>
    <w:rsid w:val="0081383A"/>
    <w:rsid w:val="00814DE6"/>
    <w:rsid w:val="00814FC7"/>
    <w:rsid w:val="00816CB4"/>
    <w:rsid w:val="00816FE0"/>
    <w:rsid w:val="00817416"/>
    <w:rsid w:val="00817583"/>
    <w:rsid w:val="00817FAD"/>
    <w:rsid w:val="00821306"/>
    <w:rsid w:val="0082138B"/>
    <w:rsid w:val="00821D85"/>
    <w:rsid w:val="0082207E"/>
    <w:rsid w:val="00823FFD"/>
    <w:rsid w:val="008241F0"/>
    <w:rsid w:val="0082427D"/>
    <w:rsid w:val="0082646C"/>
    <w:rsid w:val="00827E2A"/>
    <w:rsid w:val="00830052"/>
    <w:rsid w:val="008300D0"/>
    <w:rsid w:val="00830B9E"/>
    <w:rsid w:val="0083257C"/>
    <w:rsid w:val="00832DB6"/>
    <w:rsid w:val="00833307"/>
    <w:rsid w:val="00833583"/>
    <w:rsid w:val="00833B5B"/>
    <w:rsid w:val="00833E9A"/>
    <w:rsid w:val="00834FEF"/>
    <w:rsid w:val="00836323"/>
    <w:rsid w:val="00836492"/>
    <w:rsid w:val="008366FE"/>
    <w:rsid w:val="008404AA"/>
    <w:rsid w:val="00841F29"/>
    <w:rsid w:val="00842A0D"/>
    <w:rsid w:val="008460D2"/>
    <w:rsid w:val="00850013"/>
    <w:rsid w:val="008500DD"/>
    <w:rsid w:val="00852426"/>
    <w:rsid w:val="00852FA5"/>
    <w:rsid w:val="0085476F"/>
    <w:rsid w:val="0085562D"/>
    <w:rsid w:val="00856154"/>
    <w:rsid w:val="00856286"/>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C24"/>
    <w:rsid w:val="00875E14"/>
    <w:rsid w:val="0087677E"/>
    <w:rsid w:val="0087712C"/>
    <w:rsid w:val="00877C5D"/>
    <w:rsid w:val="00877CB6"/>
    <w:rsid w:val="0088093C"/>
    <w:rsid w:val="00882474"/>
    <w:rsid w:val="008824DF"/>
    <w:rsid w:val="008830EA"/>
    <w:rsid w:val="00884371"/>
    <w:rsid w:val="00884D47"/>
    <w:rsid w:val="00887392"/>
    <w:rsid w:val="00890C40"/>
    <w:rsid w:val="008911F7"/>
    <w:rsid w:val="00893385"/>
    <w:rsid w:val="00893F41"/>
    <w:rsid w:val="00894BBD"/>
    <w:rsid w:val="00894C79"/>
    <w:rsid w:val="0089558A"/>
    <w:rsid w:val="008972B6"/>
    <w:rsid w:val="008977E1"/>
    <w:rsid w:val="008A0115"/>
    <w:rsid w:val="008A2F5A"/>
    <w:rsid w:val="008A47CE"/>
    <w:rsid w:val="008A5CBF"/>
    <w:rsid w:val="008A6BAE"/>
    <w:rsid w:val="008A7350"/>
    <w:rsid w:val="008B00ED"/>
    <w:rsid w:val="008B16E6"/>
    <w:rsid w:val="008B2042"/>
    <w:rsid w:val="008B25F1"/>
    <w:rsid w:val="008B3737"/>
    <w:rsid w:val="008B3F4B"/>
    <w:rsid w:val="008B69B8"/>
    <w:rsid w:val="008B7912"/>
    <w:rsid w:val="008C0335"/>
    <w:rsid w:val="008C094A"/>
    <w:rsid w:val="008C1077"/>
    <w:rsid w:val="008C1570"/>
    <w:rsid w:val="008C2059"/>
    <w:rsid w:val="008C2FA6"/>
    <w:rsid w:val="008C4C92"/>
    <w:rsid w:val="008C58E7"/>
    <w:rsid w:val="008C65F4"/>
    <w:rsid w:val="008C7368"/>
    <w:rsid w:val="008C7C81"/>
    <w:rsid w:val="008D0E65"/>
    <w:rsid w:val="008D18D0"/>
    <w:rsid w:val="008D1FAF"/>
    <w:rsid w:val="008D2259"/>
    <w:rsid w:val="008D33FE"/>
    <w:rsid w:val="008D3B9F"/>
    <w:rsid w:val="008D3D02"/>
    <w:rsid w:val="008D54C0"/>
    <w:rsid w:val="008D5760"/>
    <w:rsid w:val="008D577E"/>
    <w:rsid w:val="008D5ED9"/>
    <w:rsid w:val="008D7567"/>
    <w:rsid w:val="008E1C24"/>
    <w:rsid w:val="008E2626"/>
    <w:rsid w:val="008E27A9"/>
    <w:rsid w:val="008E323C"/>
    <w:rsid w:val="008E35A6"/>
    <w:rsid w:val="008E3A5C"/>
    <w:rsid w:val="008E3A9A"/>
    <w:rsid w:val="008E429E"/>
    <w:rsid w:val="008E5452"/>
    <w:rsid w:val="008E757F"/>
    <w:rsid w:val="008E7EAE"/>
    <w:rsid w:val="008F2F11"/>
    <w:rsid w:val="008F33A6"/>
    <w:rsid w:val="008F35EC"/>
    <w:rsid w:val="008F4377"/>
    <w:rsid w:val="008F4FE8"/>
    <w:rsid w:val="008F4FED"/>
    <w:rsid w:val="008F6200"/>
    <w:rsid w:val="008F62F8"/>
    <w:rsid w:val="008F7292"/>
    <w:rsid w:val="008F7BE1"/>
    <w:rsid w:val="009000F2"/>
    <w:rsid w:val="0090079D"/>
    <w:rsid w:val="00900D2C"/>
    <w:rsid w:val="00901F0E"/>
    <w:rsid w:val="009028E5"/>
    <w:rsid w:val="0090408F"/>
    <w:rsid w:val="0090446A"/>
    <w:rsid w:val="00904DC3"/>
    <w:rsid w:val="00905469"/>
    <w:rsid w:val="0090629C"/>
    <w:rsid w:val="009065C6"/>
    <w:rsid w:val="00906EA2"/>
    <w:rsid w:val="00907278"/>
    <w:rsid w:val="009128B8"/>
    <w:rsid w:val="0091328F"/>
    <w:rsid w:val="00915679"/>
    <w:rsid w:val="009159C2"/>
    <w:rsid w:val="009175AF"/>
    <w:rsid w:val="00920A06"/>
    <w:rsid w:val="009221CB"/>
    <w:rsid w:val="00922320"/>
    <w:rsid w:val="00923643"/>
    <w:rsid w:val="0092517B"/>
    <w:rsid w:val="009258E9"/>
    <w:rsid w:val="009261DB"/>
    <w:rsid w:val="0092623E"/>
    <w:rsid w:val="00927388"/>
    <w:rsid w:val="00931C63"/>
    <w:rsid w:val="00931D10"/>
    <w:rsid w:val="00933680"/>
    <w:rsid w:val="0093386D"/>
    <w:rsid w:val="00935194"/>
    <w:rsid w:val="00935FF2"/>
    <w:rsid w:val="0094015D"/>
    <w:rsid w:val="00941828"/>
    <w:rsid w:val="009441DB"/>
    <w:rsid w:val="0094424D"/>
    <w:rsid w:val="0094568E"/>
    <w:rsid w:val="0094633F"/>
    <w:rsid w:val="009468C5"/>
    <w:rsid w:val="00947BA5"/>
    <w:rsid w:val="009504B5"/>
    <w:rsid w:val="00950805"/>
    <w:rsid w:val="009518D4"/>
    <w:rsid w:val="009520BC"/>
    <w:rsid w:val="00953573"/>
    <w:rsid w:val="009560DD"/>
    <w:rsid w:val="00957499"/>
    <w:rsid w:val="00957ED2"/>
    <w:rsid w:val="0096049C"/>
    <w:rsid w:val="00960DE4"/>
    <w:rsid w:val="00961A4F"/>
    <w:rsid w:val="00962639"/>
    <w:rsid w:val="00962C9E"/>
    <w:rsid w:val="009638E8"/>
    <w:rsid w:val="00963F03"/>
    <w:rsid w:val="00963F27"/>
    <w:rsid w:val="00964007"/>
    <w:rsid w:val="00964077"/>
    <w:rsid w:val="009643F4"/>
    <w:rsid w:val="00964F5A"/>
    <w:rsid w:val="00966AD2"/>
    <w:rsid w:val="009675F5"/>
    <w:rsid w:val="00967FC5"/>
    <w:rsid w:val="009716D8"/>
    <w:rsid w:val="00971F54"/>
    <w:rsid w:val="00972057"/>
    <w:rsid w:val="0097227B"/>
    <w:rsid w:val="0097262E"/>
    <w:rsid w:val="00974022"/>
    <w:rsid w:val="00974FD1"/>
    <w:rsid w:val="0097564A"/>
    <w:rsid w:val="009772F2"/>
    <w:rsid w:val="009778CF"/>
    <w:rsid w:val="00977B97"/>
    <w:rsid w:val="009810BE"/>
    <w:rsid w:val="009819A7"/>
    <w:rsid w:val="009851F5"/>
    <w:rsid w:val="0098534B"/>
    <w:rsid w:val="0098764E"/>
    <w:rsid w:val="00987BE7"/>
    <w:rsid w:val="00987D58"/>
    <w:rsid w:val="009906D4"/>
    <w:rsid w:val="00990EB7"/>
    <w:rsid w:val="00990F5F"/>
    <w:rsid w:val="00991E03"/>
    <w:rsid w:val="00993135"/>
    <w:rsid w:val="00993AC7"/>
    <w:rsid w:val="00997044"/>
    <w:rsid w:val="009973CC"/>
    <w:rsid w:val="0099792B"/>
    <w:rsid w:val="009A106B"/>
    <w:rsid w:val="009A2B9F"/>
    <w:rsid w:val="009A2BF3"/>
    <w:rsid w:val="009A3C3E"/>
    <w:rsid w:val="009A45D1"/>
    <w:rsid w:val="009A7E7C"/>
    <w:rsid w:val="009B2BF1"/>
    <w:rsid w:val="009B3564"/>
    <w:rsid w:val="009B3796"/>
    <w:rsid w:val="009B3D38"/>
    <w:rsid w:val="009B7505"/>
    <w:rsid w:val="009B7D45"/>
    <w:rsid w:val="009C0020"/>
    <w:rsid w:val="009C04DC"/>
    <w:rsid w:val="009C19FC"/>
    <w:rsid w:val="009C27F7"/>
    <w:rsid w:val="009C3BC4"/>
    <w:rsid w:val="009C424E"/>
    <w:rsid w:val="009C4708"/>
    <w:rsid w:val="009C47A3"/>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4BC4"/>
    <w:rsid w:val="009F56C0"/>
    <w:rsid w:val="009F5C76"/>
    <w:rsid w:val="00A00E00"/>
    <w:rsid w:val="00A01221"/>
    <w:rsid w:val="00A012A8"/>
    <w:rsid w:val="00A016FF"/>
    <w:rsid w:val="00A0207F"/>
    <w:rsid w:val="00A04337"/>
    <w:rsid w:val="00A044AA"/>
    <w:rsid w:val="00A04D99"/>
    <w:rsid w:val="00A078F6"/>
    <w:rsid w:val="00A102F8"/>
    <w:rsid w:val="00A107F7"/>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177AC"/>
    <w:rsid w:val="00A22C3E"/>
    <w:rsid w:val="00A22C4D"/>
    <w:rsid w:val="00A24B05"/>
    <w:rsid w:val="00A25463"/>
    <w:rsid w:val="00A254AB"/>
    <w:rsid w:val="00A266CC"/>
    <w:rsid w:val="00A26DB4"/>
    <w:rsid w:val="00A3023E"/>
    <w:rsid w:val="00A305C5"/>
    <w:rsid w:val="00A30919"/>
    <w:rsid w:val="00A31FD2"/>
    <w:rsid w:val="00A32E53"/>
    <w:rsid w:val="00A3323E"/>
    <w:rsid w:val="00A33A02"/>
    <w:rsid w:val="00A33BDB"/>
    <w:rsid w:val="00A341AB"/>
    <w:rsid w:val="00A355F9"/>
    <w:rsid w:val="00A35AA9"/>
    <w:rsid w:val="00A364BC"/>
    <w:rsid w:val="00A3786A"/>
    <w:rsid w:val="00A402ED"/>
    <w:rsid w:val="00A40685"/>
    <w:rsid w:val="00A41123"/>
    <w:rsid w:val="00A41819"/>
    <w:rsid w:val="00A41C9A"/>
    <w:rsid w:val="00A41FF8"/>
    <w:rsid w:val="00A42F49"/>
    <w:rsid w:val="00A433DA"/>
    <w:rsid w:val="00A433E8"/>
    <w:rsid w:val="00A4424E"/>
    <w:rsid w:val="00A446F6"/>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335"/>
    <w:rsid w:val="00A63685"/>
    <w:rsid w:val="00A63DDD"/>
    <w:rsid w:val="00A66473"/>
    <w:rsid w:val="00A669E6"/>
    <w:rsid w:val="00A66E28"/>
    <w:rsid w:val="00A66F66"/>
    <w:rsid w:val="00A70590"/>
    <w:rsid w:val="00A70DC6"/>
    <w:rsid w:val="00A71542"/>
    <w:rsid w:val="00A71FA0"/>
    <w:rsid w:val="00A72C1A"/>
    <w:rsid w:val="00A731E1"/>
    <w:rsid w:val="00A74021"/>
    <w:rsid w:val="00A7463E"/>
    <w:rsid w:val="00A762DA"/>
    <w:rsid w:val="00A765B1"/>
    <w:rsid w:val="00A76B41"/>
    <w:rsid w:val="00A772F2"/>
    <w:rsid w:val="00A77828"/>
    <w:rsid w:val="00A77ECD"/>
    <w:rsid w:val="00A8073D"/>
    <w:rsid w:val="00A807A2"/>
    <w:rsid w:val="00A80D02"/>
    <w:rsid w:val="00A812A8"/>
    <w:rsid w:val="00A829B3"/>
    <w:rsid w:val="00A82D32"/>
    <w:rsid w:val="00A82EAE"/>
    <w:rsid w:val="00A84F27"/>
    <w:rsid w:val="00A8519C"/>
    <w:rsid w:val="00A8733A"/>
    <w:rsid w:val="00A8783F"/>
    <w:rsid w:val="00A90A83"/>
    <w:rsid w:val="00A90B66"/>
    <w:rsid w:val="00A91D4B"/>
    <w:rsid w:val="00A920B2"/>
    <w:rsid w:val="00A92A96"/>
    <w:rsid w:val="00A92AF0"/>
    <w:rsid w:val="00A930F2"/>
    <w:rsid w:val="00A93510"/>
    <w:rsid w:val="00A937D5"/>
    <w:rsid w:val="00A93C70"/>
    <w:rsid w:val="00A94700"/>
    <w:rsid w:val="00A96126"/>
    <w:rsid w:val="00A970CE"/>
    <w:rsid w:val="00A974A9"/>
    <w:rsid w:val="00A974ED"/>
    <w:rsid w:val="00A97718"/>
    <w:rsid w:val="00AA08F3"/>
    <w:rsid w:val="00AA0F23"/>
    <w:rsid w:val="00AA1DA8"/>
    <w:rsid w:val="00AA238E"/>
    <w:rsid w:val="00AA2EB9"/>
    <w:rsid w:val="00AA3243"/>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4854"/>
    <w:rsid w:val="00AB5030"/>
    <w:rsid w:val="00AB759A"/>
    <w:rsid w:val="00AB7B06"/>
    <w:rsid w:val="00AB7EAA"/>
    <w:rsid w:val="00AC0432"/>
    <w:rsid w:val="00AC2E6E"/>
    <w:rsid w:val="00AC4094"/>
    <w:rsid w:val="00AC42B6"/>
    <w:rsid w:val="00AC4AB7"/>
    <w:rsid w:val="00AC60EC"/>
    <w:rsid w:val="00AC6CD9"/>
    <w:rsid w:val="00AD2679"/>
    <w:rsid w:val="00AD3F3C"/>
    <w:rsid w:val="00AD4973"/>
    <w:rsid w:val="00AD5F0A"/>
    <w:rsid w:val="00AD6741"/>
    <w:rsid w:val="00AD6B4F"/>
    <w:rsid w:val="00AD7CFA"/>
    <w:rsid w:val="00AE11C1"/>
    <w:rsid w:val="00AE163D"/>
    <w:rsid w:val="00AE1C5C"/>
    <w:rsid w:val="00AE25D1"/>
    <w:rsid w:val="00AE2913"/>
    <w:rsid w:val="00AE2918"/>
    <w:rsid w:val="00AE315E"/>
    <w:rsid w:val="00AE31D9"/>
    <w:rsid w:val="00AE3CF0"/>
    <w:rsid w:val="00AE4337"/>
    <w:rsid w:val="00AE71EE"/>
    <w:rsid w:val="00AF03CF"/>
    <w:rsid w:val="00AF06B6"/>
    <w:rsid w:val="00AF0A0A"/>
    <w:rsid w:val="00AF1ED2"/>
    <w:rsid w:val="00AF1F4E"/>
    <w:rsid w:val="00AF3557"/>
    <w:rsid w:val="00AF35F0"/>
    <w:rsid w:val="00AF3D3C"/>
    <w:rsid w:val="00AF4CEE"/>
    <w:rsid w:val="00AF5D84"/>
    <w:rsid w:val="00AF672C"/>
    <w:rsid w:val="00AF6D69"/>
    <w:rsid w:val="00AF6F5E"/>
    <w:rsid w:val="00B00378"/>
    <w:rsid w:val="00B00E41"/>
    <w:rsid w:val="00B018BD"/>
    <w:rsid w:val="00B04678"/>
    <w:rsid w:val="00B04A04"/>
    <w:rsid w:val="00B04F00"/>
    <w:rsid w:val="00B05202"/>
    <w:rsid w:val="00B05203"/>
    <w:rsid w:val="00B05A66"/>
    <w:rsid w:val="00B05EFD"/>
    <w:rsid w:val="00B066FE"/>
    <w:rsid w:val="00B06912"/>
    <w:rsid w:val="00B06AF4"/>
    <w:rsid w:val="00B06D58"/>
    <w:rsid w:val="00B10B04"/>
    <w:rsid w:val="00B10CC6"/>
    <w:rsid w:val="00B12082"/>
    <w:rsid w:val="00B13389"/>
    <w:rsid w:val="00B1364C"/>
    <w:rsid w:val="00B141A5"/>
    <w:rsid w:val="00B15286"/>
    <w:rsid w:val="00B1550D"/>
    <w:rsid w:val="00B1631F"/>
    <w:rsid w:val="00B163E8"/>
    <w:rsid w:val="00B1767E"/>
    <w:rsid w:val="00B203B6"/>
    <w:rsid w:val="00B203CE"/>
    <w:rsid w:val="00B21676"/>
    <w:rsid w:val="00B241D5"/>
    <w:rsid w:val="00B26147"/>
    <w:rsid w:val="00B26677"/>
    <w:rsid w:val="00B26C57"/>
    <w:rsid w:val="00B274E3"/>
    <w:rsid w:val="00B27B92"/>
    <w:rsid w:val="00B30563"/>
    <w:rsid w:val="00B30A76"/>
    <w:rsid w:val="00B3113A"/>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514BB"/>
    <w:rsid w:val="00B51520"/>
    <w:rsid w:val="00B5169E"/>
    <w:rsid w:val="00B517C2"/>
    <w:rsid w:val="00B518CE"/>
    <w:rsid w:val="00B52234"/>
    <w:rsid w:val="00B53623"/>
    <w:rsid w:val="00B536F5"/>
    <w:rsid w:val="00B53E98"/>
    <w:rsid w:val="00B547A9"/>
    <w:rsid w:val="00B5634D"/>
    <w:rsid w:val="00B56ECA"/>
    <w:rsid w:val="00B57093"/>
    <w:rsid w:val="00B60613"/>
    <w:rsid w:val="00B616E6"/>
    <w:rsid w:val="00B630F2"/>
    <w:rsid w:val="00B63E7A"/>
    <w:rsid w:val="00B65582"/>
    <w:rsid w:val="00B66054"/>
    <w:rsid w:val="00B66B48"/>
    <w:rsid w:val="00B672EA"/>
    <w:rsid w:val="00B6747B"/>
    <w:rsid w:val="00B70200"/>
    <w:rsid w:val="00B71CF6"/>
    <w:rsid w:val="00B72CF0"/>
    <w:rsid w:val="00B740F6"/>
    <w:rsid w:val="00B74615"/>
    <w:rsid w:val="00B75035"/>
    <w:rsid w:val="00B75389"/>
    <w:rsid w:val="00B755B6"/>
    <w:rsid w:val="00B76B55"/>
    <w:rsid w:val="00B804F8"/>
    <w:rsid w:val="00B815D3"/>
    <w:rsid w:val="00B81780"/>
    <w:rsid w:val="00B83E76"/>
    <w:rsid w:val="00B8506D"/>
    <w:rsid w:val="00B86289"/>
    <w:rsid w:val="00B87F1C"/>
    <w:rsid w:val="00B91B61"/>
    <w:rsid w:val="00B93849"/>
    <w:rsid w:val="00B944E9"/>
    <w:rsid w:val="00B94896"/>
    <w:rsid w:val="00B949D8"/>
    <w:rsid w:val="00B94CDD"/>
    <w:rsid w:val="00B95B70"/>
    <w:rsid w:val="00B965F4"/>
    <w:rsid w:val="00B96F52"/>
    <w:rsid w:val="00B972DA"/>
    <w:rsid w:val="00B97660"/>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069A"/>
    <w:rsid w:val="00BB2E4E"/>
    <w:rsid w:val="00BB2E62"/>
    <w:rsid w:val="00BB36C9"/>
    <w:rsid w:val="00BB5886"/>
    <w:rsid w:val="00BB684B"/>
    <w:rsid w:val="00BB7D2E"/>
    <w:rsid w:val="00BB7EC0"/>
    <w:rsid w:val="00BC0A5A"/>
    <w:rsid w:val="00BC0B2F"/>
    <w:rsid w:val="00BC0E64"/>
    <w:rsid w:val="00BC0F07"/>
    <w:rsid w:val="00BC25D1"/>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B0E"/>
    <w:rsid w:val="00BD7941"/>
    <w:rsid w:val="00BD7DD4"/>
    <w:rsid w:val="00BD7E5F"/>
    <w:rsid w:val="00BE0C55"/>
    <w:rsid w:val="00BE11A2"/>
    <w:rsid w:val="00BE246C"/>
    <w:rsid w:val="00BE2657"/>
    <w:rsid w:val="00BE2CA1"/>
    <w:rsid w:val="00BE37AE"/>
    <w:rsid w:val="00BE73C3"/>
    <w:rsid w:val="00BE7B29"/>
    <w:rsid w:val="00BF03C0"/>
    <w:rsid w:val="00BF21D4"/>
    <w:rsid w:val="00BF2E46"/>
    <w:rsid w:val="00BF4A15"/>
    <w:rsid w:val="00BF4E27"/>
    <w:rsid w:val="00BF6D77"/>
    <w:rsid w:val="00C01444"/>
    <w:rsid w:val="00C01EF2"/>
    <w:rsid w:val="00C0378E"/>
    <w:rsid w:val="00C04258"/>
    <w:rsid w:val="00C05AFD"/>
    <w:rsid w:val="00C0724C"/>
    <w:rsid w:val="00C07AEF"/>
    <w:rsid w:val="00C07C11"/>
    <w:rsid w:val="00C07CC1"/>
    <w:rsid w:val="00C10015"/>
    <w:rsid w:val="00C122BA"/>
    <w:rsid w:val="00C12770"/>
    <w:rsid w:val="00C12D43"/>
    <w:rsid w:val="00C12ECB"/>
    <w:rsid w:val="00C14ABD"/>
    <w:rsid w:val="00C151E0"/>
    <w:rsid w:val="00C1677E"/>
    <w:rsid w:val="00C20051"/>
    <w:rsid w:val="00C20B86"/>
    <w:rsid w:val="00C21145"/>
    <w:rsid w:val="00C21E2A"/>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37411"/>
    <w:rsid w:val="00C3774E"/>
    <w:rsid w:val="00C405C8"/>
    <w:rsid w:val="00C41E09"/>
    <w:rsid w:val="00C42DBE"/>
    <w:rsid w:val="00C4360C"/>
    <w:rsid w:val="00C4414C"/>
    <w:rsid w:val="00C446AF"/>
    <w:rsid w:val="00C452DC"/>
    <w:rsid w:val="00C46564"/>
    <w:rsid w:val="00C50A02"/>
    <w:rsid w:val="00C512D1"/>
    <w:rsid w:val="00C51856"/>
    <w:rsid w:val="00C51B5E"/>
    <w:rsid w:val="00C531F6"/>
    <w:rsid w:val="00C54467"/>
    <w:rsid w:val="00C5518B"/>
    <w:rsid w:val="00C5531B"/>
    <w:rsid w:val="00C55375"/>
    <w:rsid w:val="00C57120"/>
    <w:rsid w:val="00C575D4"/>
    <w:rsid w:val="00C57873"/>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00"/>
    <w:rsid w:val="00C73DE0"/>
    <w:rsid w:val="00C74609"/>
    <w:rsid w:val="00C749AB"/>
    <w:rsid w:val="00C75A8F"/>
    <w:rsid w:val="00C81716"/>
    <w:rsid w:val="00C82795"/>
    <w:rsid w:val="00C82AAA"/>
    <w:rsid w:val="00C832CB"/>
    <w:rsid w:val="00C84085"/>
    <w:rsid w:val="00C865B3"/>
    <w:rsid w:val="00C86964"/>
    <w:rsid w:val="00C8779E"/>
    <w:rsid w:val="00C87850"/>
    <w:rsid w:val="00C87BD0"/>
    <w:rsid w:val="00C90B95"/>
    <w:rsid w:val="00C90CA9"/>
    <w:rsid w:val="00C9354F"/>
    <w:rsid w:val="00C93B40"/>
    <w:rsid w:val="00C93D48"/>
    <w:rsid w:val="00C93DB5"/>
    <w:rsid w:val="00C95C6C"/>
    <w:rsid w:val="00C97DD7"/>
    <w:rsid w:val="00C97EF9"/>
    <w:rsid w:val="00CA0492"/>
    <w:rsid w:val="00CA0A04"/>
    <w:rsid w:val="00CA3CAB"/>
    <w:rsid w:val="00CA6A2E"/>
    <w:rsid w:val="00CA7C19"/>
    <w:rsid w:val="00CB01DF"/>
    <w:rsid w:val="00CB52A4"/>
    <w:rsid w:val="00CB537C"/>
    <w:rsid w:val="00CB5778"/>
    <w:rsid w:val="00CB6156"/>
    <w:rsid w:val="00CB6675"/>
    <w:rsid w:val="00CC03A0"/>
    <w:rsid w:val="00CC0915"/>
    <w:rsid w:val="00CC0CFC"/>
    <w:rsid w:val="00CC1AF5"/>
    <w:rsid w:val="00CC1B74"/>
    <w:rsid w:val="00CC2EB0"/>
    <w:rsid w:val="00CC2F38"/>
    <w:rsid w:val="00CC44F5"/>
    <w:rsid w:val="00CC5F95"/>
    <w:rsid w:val="00CC6A19"/>
    <w:rsid w:val="00CD1255"/>
    <w:rsid w:val="00CD1484"/>
    <w:rsid w:val="00CD1892"/>
    <w:rsid w:val="00CD1D00"/>
    <w:rsid w:val="00CD26B8"/>
    <w:rsid w:val="00CD2A82"/>
    <w:rsid w:val="00CD32C2"/>
    <w:rsid w:val="00CD347C"/>
    <w:rsid w:val="00CD3CAB"/>
    <w:rsid w:val="00CD3FF0"/>
    <w:rsid w:val="00CD4E50"/>
    <w:rsid w:val="00CD64E1"/>
    <w:rsid w:val="00CD699D"/>
    <w:rsid w:val="00CD701B"/>
    <w:rsid w:val="00CD70DB"/>
    <w:rsid w:val="00CD7466"/>
    <w:rsid w:val="00CD7C49"/>
    <w:rsid w:val="00CE1624"/>
    <w:rsid w:val="00CE2E2E"/>
    <w:rsid w:val="00CE3A51"/>
    <w:rsid w:val="00CE4FBA"/>
    <w:rsid w:val="00CE59F6"/>
    <w:rsid w:val="00CE71C3"/>
    <w:rsid w:val="00CE7684"/>
    <w:rsid w:val="00CE7ECB"/>
    <w:rsid w:val="00CF0AF0"/>
    <w:rsid w:val="00CF0E98"/>
    <w:rsid w:val="00CF1834"/>
    <w:rsid w:val="00CF2ACF"/>
    <w:rsid w:val="00CF345B"/>
    <w:rsid w:val="00CF475F"/>
    <w:rsid w:val="00CF5069"/>
    <w:rsid w:val="00CF5230"/>
    <w:rsid w:val="00CF7082"/>
    <w:rsid w:val="00D01590"/>
    <w:rsid w:val="00D0336E"/>
    <w:rsid w:val="00D0447A"/>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0C01"/>
    <w:rsid w:val="00D237E0"/>
    <w:rsid w:val="00D24EF4"/>
    <w:rsid w:val="00D25676"/>
    <w:rsid w:val="00D25F78"/>
    <w:rsid w:val="00D27129"/>
    <w:rsid w:val="00D2738C"/>
    <w:rsid w:val="00D279E7"/>
    <w:rsid w:val="00D3046D"/>
    <w:rsid w:val="00D31B07"/>
    <w:rsid w:val="00D32FA0"/>
    <w:rsid w:val="00D33039"/>
    <w:rsid w:val="00D33112"/>
    <w:rsid w:val="00D331CB"/>
    <w:rsid w:val="00D3426E"/>
    <w:rsid w:val="00D3634E"/>
    <w:rsid w:val="00D3746F"/>
    <w:rsid w:val="00D40217"/>
    <w:rsid w:val="00D40385"/>
    <w:rsid w:val="00D404CE"/>
    <w:rsid w:val="00D417C6"/>
    <w:rsid w:val="00D43406"/>
    <w:rsid w:val="00D43FAE"/>
    <w:rsid w:val="00D44259"/>
    <w:rsid w:val="00D44895"/>
    <w:rsid w:val="00D454D2"/>
    <w:rsid w:val="00D5064C"/>
    <w:rsid w:val="00D5098E"/>
    <w:rsid w:val="00D51B02"/>
    <w:rsid w:val="00D539DA"/>
    <w:rsid w:val="00D55C81"/>
    <w:rsid w:val="00D56B56"/>
    <w:rsid w:val="00D56BF5"/>
    <w:rsid w:val="00D56F99"/>
    <w:rsid w:val="00D5743F"/>
    <w:rsid w:val="00D605C2"/>
    <w:rsid w:val="00D60733"/>
    <w:rsid w:val="00D61E1D"/>
    <w:rsid w:val="00D62BDF"/>
    <w:rsid w:val="00D64F1C"/>
    <w:rsid w:val="00D6570C"/>
    <w:rsid w:val="00D675B0"/>
    <w:rsid w:val="00D70552"/>
    <w:rsid w:val="00D70D42"/>
    <w:rsid w:val="00D71285"/>
    <w:rsid w:val="00D71ABC"/>
    <w:rsid w:val="00D72175"/>
    <w:rsid w:val="00D72454"/>
    <w:rsid w:val="00D72A5B"/>
    <w:rsid w:val="00D73F06"/>
    <w:rsid w:val="00D74160"/>
    <w:rsid w:val="00D74247"/>
    <w:rsid w:val="00D749EA"/>
    <w:rsid w:val="00D753A9"/>
    <w:rsid w:val="00D75E10"/>
    <w:rsid w:val="00D76045"/>
    <w:rsid w:val="00D7682B"/>
    <w:rsid w:val="00D804C5"/>
    <w:rsid w:val="00D81146"/>
    <w:rsid w:val="00D81A28"/>
    <w:rsid w:val="00D82AB8"/>
    <w:rsid w:val="00D82B00"/>
    <w:rsid w:val="00D82BE4"/>
    <w:rsid w:val="00D82E05"/>
    <w:rsid w:val="00D82F67"/>
    <w:rsid w:val="00D83A05"/>
    <w:rsid w:val="00D83C0D"/>
    <w:rsid w:val="00D8650D"/>
    <w:rsid w:val="00D869C1"/>
    <w:rsid w:val="00D86EC6"/>
    <w:rsid w:val="00D87418"/>
    <w:rsid w:val="00D87460"/>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0E81"/>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1D4"/>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D"/>
    <w:rsid w:val="00DC761E"/>
    <w:rsid w:val="00DC7CFC"/>
    <w:rsid w:val="00DD0090"/>
    <w:rsid w:val="00DD1FC0"/>
    <w:rsid w:val="00DD2C42"/>
    <w:rsid w:val="00DD2D14"/>
    <w:rsid w:val="00DD3A99"/>
    <w:rsid w:val="00DD4344"/>
    <w:rsid w:val="00DD5B8C"/>
    <w:rsid w:val="00DD5DFA"/>
    <w:rsid w:val="00DD67EC"/>
    <w:rsid w:val="00DD6B56"/>
    <w:rsid w:val="00DD6F7F"/>
    <w:rsid w:val="00DE1A9D"/>
    <w:rsid w:val="00DE1CB1"/>
    <w:rsid w:val="00DE2073"/>
    <w:rsid w:val="00DE30AC"/>
    <w:rsid w:val="00DE368A"/>
    <w:rsid w:val="00DE3CF3"/>
    <w:rsid w:val="00DE4106"/>
    <w:rsid w:val="00DE5563"/>
    <w:rsid w:val="00DE6E4D"/>
    <w:rsid w:val="00DF043E"/>
    <w:rsid w:val="00DF05A0"/>
    <w:rsid w:val="00DF0E8F"/>
    <w:rsid w:val="00DF1BA8"/>
    <w:rsid w:val="00DF1F63"/>
    <w:rsid w:val="00DF25FE"/>
    <w:rsid w:val="00DF28F2"/>
    <w:rsid w:val="00DF2BFF"/>
    <w:rsid w:val="00DF48D9"/>
    <w:rsid w:val="00DF4FF1"/>
    <w:rsid w:val="00DF6628"/>
    <w:rsid w:val="00DF6FD2"/>
    <w:rsid w:val="00DF7724"/>
    <w:rsid w:val="00DF7C43"/>
    <w:rsid w:val="00E000B2"/>
    <w:rsid w:val="00E00C1E"/>
    <w:rsid w:val="00E00F5F"/>
    <w:rsid w:val="00E014E7"/>
    <w:rsid w:val="00E026A9"/>
    <w:rsid w:val="00E02C24"/>
    <w:rsid w:val="00E0356F"/>
    <w:rsid w:val="00E03B42"/>
    <w:rsid w:val="00E041AA"/>
    <w:rsid w:val="00E0479F"/>
    <w:rsid w:val="00E04D6A"/>
    <w:rsid w:val="00E06100"/>
    <w:rsid w:val="00E06E97"/>
    <w:rsid w:val="00E07767"/>
    <w:rsid w:val="00E10DD1"/>
    <w:rsid w:val="00E11502"/>
    <w:rsid w:val="00E1254C"/>
    <w:rsid w:val="00E12BDF"/>
    <w:rsid w:val="00E13326"/>
    <w:rsid w:val="00E14961"/>
    <w:rsid w:val="00E14D76"/>
    <w:rsid w:val="00E1768C"/>
    <w:rsid w:val="00E20CE7"/>
    <w:rsid w:val="00E217B1"/>
    <w:rsid w:val="00E222FA"/>
    <w:rsid w:val="00E24A62"/>
    <w:rsid w:val="00E24F52"/>
    <w:rsid w:val="00E279B2"/>
    <w:rsid w:val="00E30BD5"/>
    <w:rsid w:val="00E31143"/>
    <w:rsid w:val="00E31812"/>
    <w:rsid w:val="00E33954"/>
    <w:rsid w:val="00E3533E"/>
    <w:rsid w:val="00E35A45"/>
    <w:rsid w:val="00E36719"/>
    <w:rsid w:val="00E37C85"/>
    <w:rsid w:val="00E43006"/>
    <w:rsid w:val="00E43551"/>
    <w:rsid w:val="00E50809"/>
    <w:rsid w:val="00E50F0A"/>
    <w:rsid w:val="00E510CF"/>
    <w:rsid w:val="00E52AAB"/>
    <w:rsid w:val="00E533B0"/>
    <w:rsid w:val="00E5448E"/>
    <w:rsid w:val="00E54E0D"/>
    <w:rsid w:val="00E56795"/>
    <w:rsid w:val="00E57096"/>
    <w:rsid w:val="00E57932"/>
    <w:rsid w:val="00E57DA3"/>
    <w:rsid w:val="00E60811"/>
    <w:rsid w:val="00E61AA9"/>
    <w:rsid w:val="00E64050"/>
    <w:rsid w:val="00E6514D"/>
    <w:rsid w:val="00E65161"/>
    <w:rsid w:val="00E652C9"/>
    <w:rsid w:val="00E65700"/>
    <w:rsid w:val="00E6593B"/>
    <w:rsid w:val="00E66A4A"/>
    <w:rsid w:val="00E672C6"/>
    <w:rsid w:val="00E675EE"/>
    <w:rsid w:val="00E7139A"/>
    <w:rsid w:val="00E71809"/>
    <w:rsid w:val="00E71D1E"/>
    <w:rsid w:val="00E71D98"/>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86749"/>
    <w:rsid w:val="00E9036E"/>
    <w:rsid w:val="00E917B6"/>
    <w:rsid w:val="00E92292"/>
    <w:rsid w:val="00E92D0B"/>
    <w:rsid w:val="00E93195"/>
    <w:rsid w:val="00E93F21"/>
    <w:rsid w:val="00E9411C"/>
    <w:rsid w:val="00E9522C"/>
    <w:rsid w:val="00E95C2A"/>
    <w:rsid w:val="00E963BC"/>
    <w:rsid w:val="00E96D65"/>
    <w:rsid w:val="00E96FD1"/>
    <w:rsid w:val="00E97F7A"/>
    <w:rsid w:val="00EA0143"/>
    <w:rsid w:val="00EA089B"/>
    <w:rsid w:val="00EA2638"/>
    <w:rsid w:val="00EA2E21"/>
    <w:rsid w:val="00EA2F95"/>
    <w:rsid w:val="00EA380C"/>
    <w:rsid w:val="00EA47B5"/>
    <w:rsid w:val="00EA7308"/>
    <w:rsid w:val="00EB089C"/>
    <w:rsid w:val="00EB0BB0"/>
    <w:rsid w:val="00EB0C65"/>
    <w:rsid w:val="00EB169F"/>
    <w:rsid w:val="00EB1C6B"/>
    <w:rsid w:val="00EB2961"/>
    <w:rsid w:val="00EB2AE0"/>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6E90"/>
    <w:rsid w:val="00EC7B48"/>
    <w:rsid w:val="00ED0257"/>
    <w:rsid w:val="00ED1339"/>
    <w:rsid w:val="00ED24C7"/>
    <w:rsid w:val="00ED3E65"/>
    <w:rsid w:val="00ED4448"/>
    <w:rsid w:val="00ED4EDF"/>
    <w:rsid w:val="00ED5981"/>
    <w:rsid w:val="00ED66B2"/>
    <w:rsid w:val="00ED71BA"/>
    <w:rsid w:val="00ED73A1"/>
    <w:rsid w:val="00ED78C5"/>
    <w:rsid w:val="00ED7CA2"/>
    <w:rsid w:val="00EE13DA"/>
    <w:rsid w:val="00EE3060"/>
    <w:rsid w:val="00EE332A"/>
    <w:rsid w:val="00EE5324"/>
    <w:rsid w:val="00EE55FA"/>
    <w:rsid w:val="00EE56E2"/>
    <w:rsid w:val="00EE5DB5"/>
    <w:rsid w:val="00EE6D45"/>
    <w:rsid w:val="00EE6E89"/>
    <w:rsid w:val="00EF0FE6"/>
    <w:rsid w:val="00EF11AA"/>
    <w:rsid w:val="00EF1C44"/>
    <w:rsid w:val="00EF1F4C"/>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B81"/>
    <w:rsid w:val="00F11353"/>
    <w:rsid w:val="00F129F4"/>
    <w:rsid w:val="00F14CD1"/>
    <w:rsid w:val="00F15115"/>
    <w:rsid w:val="00F15D8C"/>
    <w:rsid w:val="00F16AD9"/>
    <w:rsid w:val="00F16E1A"/>
    <w:rsid w:val="00F20197"/>
    <w:rsid w:val="00F20607"/>
    <w:rsid w:val="00F208BB"/>
    <w:rsid w:val="00F20D7A"/>
    <w:rsid w:val="00F210BE"/>
    <w:rsid w:val="00F21357"/>
    <w:rsid w:val="00F21A5D"/>
    <w:rsid w:val="00F21C13"/>
    <w:rsid w:val="00F21DEA"/>
    <w:rsid w:val="00F22796"/>
    <w:rsid w:val="00F238F7"/>
    <w:rsid w:val="00F23BA0"/>
    <w:rsid w:val="00F25641"/>
    <w:rsid w:val="00F25FE1"/>
    <w:rsid w:val="00F26065"/>
    <w:rsid w:val="00F30313"/>
    <w:rsid w:val="00F303BC"/>
    <w:rsid w:val="00F3059C"/>
    <w:rsid w:val="00F318A1"/>
    <w:rsid w:val="00F3265C"/>
    <w:rsid w:val="00F343EE"/>
    <w:rsid w:val="00F3547E"/>
    <w:rsid w:val="00F35494"/>
    <w:rsid w:val="00F3619D"/>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47622"/>
    <w:rsid w:val="00F5052D"/>
    <w:rsid w:val="00F50BF0"/>
    <w:rsid w:val="00F51A82"/>
    <w:rsid w:val="00F5254B"/>
    <w:rsid w:val="00F53A44"/>
    <w:rsid w:val="00F54431"/>
    <w:rsid w:val="00F54466"/>
    <w:rsid w:val="00F54B29"/>
    <w:rsid w:val="00F551DB"/>
    <w:rsid w:val="00F559BE"/>
    <w:rsid w:val="00F55E46"/>
    <w:rsid w:val="00F56417"/>
    <w:rsid w:val="00F56EE7"/>
    <w:rsid w:val="00F56FEF"/>
    <w:rsid w:val="00F57521"/>
    <w:rsid w:val="00F57AC4"/>
    <w:rsid w:val="00F60938"/>
    <w:rsid w:val="00F61262"/>
    <w:rsid w:val="00F61606"/>
    <w:rsid w:val="00F62BD1"/>
    <w:rsid w:val="00F62CA8"/>
    <w:rsid w:val="00F63BF4"/>
    <w:rsid w:val="00F63C60"/>
    <w:rsid w:val="00F64991"/>
    <w:rsid w:val="00F65BA9"/>
    <w:rsid w:val="00F6630F"/>
    <w:rsid w:val="00F67E81"/>
    <w:rsid w:val="00F7062D"/>
    <w:rsid w:val="00F719B2"/>
    <w:rsid w:val="00F71C68"/>
    <w:rsid w:val="00F724E2"/>
    <w:rsid w:val="00F72A89"/>
    <w:rsid w:val="00F72B32"/>
    <w:rsid w:val="00F73E5D"/>
    <w:rsid w:val="00F74103"/>
    <w:rsid w:val="00F7425F"/>
    <w:rsid w:val="00F75BB5"/>
    <w:rsid w:val="00F7604C"/>
    <w:rsid w:val="00F81623"/>
    <w:rsid w:val="00F81D25"/>
    <w:rsid w:val="00F83045"/>
    <w:rsid w:val="00F83615"/>
    <w:rsid w:val="00F851B0"/>
    <w:rsid w:val="00F85329"/>
    <w:rsid w:val="00F878CD"/>
    <w:rsid w:val="00F8794A"/>
    <w:rsid w:val="00F87CEF"/>
    <w:rsid w:val="00F87E6B"/>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A7B61"/>
    <w:rsid w:val="00FB11FA"/>
    <w:rsid w:val="00FB18F8"/>
    <w:rsid w:val="00FB2F8E"/>
    <w:rsid w:val="00FB33F8"/>
    <w:rsid w:val="00FB39B0"/>
    <w:rsid w:val="00FB5183"/>
    <w:rsid w:val="00FB5A71"/>
    <w:rsid w:val="00FB6DF2"/>
    <w:rsid w:val="00FB7823"/>
    <w:rsid w:val="00FC08B3"/>
    <w:rsid w:val="00FC09D7"/>
    <w:rsid w:val="00FC1998"/>
    <w:rsid w:val="00FC3638"/>
    <w:rsid w:val="00FC391E"/>
    <w:rsid w:val="00FC3AB7"/>
    <w:rsid w:val="00FC4108"/>
    <w:rsid w:val="00FC448A"/>
    <w:rsid w:val="00FC453D"/>
    <w:rsid w:val="00FC4651"/>
    <w:rsid w:val="00FC4A89"/>
    <w:rsid w:val="00FC665F"/>
    <w:rsid w:val="00FC6D59"/>
    <w:rsid w:val="00FC78F5"/>
    <w:rsid w:val="00FD10B3"/>
    <w:rsid w:val="00FD11C3"/>
    <w:rsid w:val="00FD154E"/>
    <w:rsid w:val="00FD3742"/>
    <w:rsid w:val="00FD3A41"/>
    <w:rsid w:val="00FD3AE2"/>
    <w:rsid w:val="00FD5975"/>
    <w:rsid w:val="00FD5AE4"/>
    <w:rsid w:val="00FD5F25"/>
    <w:rsid w:val="00FD5FCE"/>
    <w:rsid w:val="00FD60BE"/>
    <w:rsid w:val="00FD6894"/>
    <w:rsid w:val="00FD6980"/>
    <w:rsid w:val="00FD6AF0"/>
    <w:rsid w:val="00FD7955"/>
    <w:rsid w:val="00FD79B8"/>
    <w:rsid w:val="00FD7FF9"/>
    <w:rsid w:val="00FE0AD1"/>
    <w:rsid w:val="00FE0BBF"/>
    <w:rsid w:val="00FE0C6C"/>
    <w:rsid w:val="00FE33DB"/>
    <w:rsid w:val="00FE37DD"/>
    <w:rsid w:val="00FE3C31"/>
    <w:rsid w:val="00FE4015"/>
    <w:rsid w:val="00FE44F5"/>
    <w:rsid w:val="00FE480D"/>
    <w:rsid w:val="00FE6227"/>
    <w:rsid w:val="00FE6A50"/>
    <w:rsid w:val="00FE705C"/>
    <w:rsid w:val="00FE70B2"/>
    <w:rsid w:val="00FF0B4F"/>
    <w:rsid w:val="00FF1AD3"/>
    <w:rsid w:val="00FF1F9A"/>
    <w:rsid w:val="00FF49F4"/>
    <w:rsid w:val="00FF651D"/>
    <w:rsid w:val="00FF68CA"/>
    <w:rsid w:val="010651D9"/>
    <w:rsid w:val="02DA0C0E"/>
    <w:rsid w:val="03DD35E4"/>
    <w:rsid w:val="065A6178"/>
    <w:rsid w:val="075562B7"/>
    <w:rsid w:val="07F6164B"/>
    <w:rsid w:val="087A1B7A"/>
    <w:rsid w:val="096B2097"/>
    <w:rsid w:val="09F2225F"/>
    <w:rsid w:val="0A5B7E63"/>
    <w:rsid w:val="0C87121B"/>
    <w:rsid w:val="0D181FDD"/>
    <w:rsid w:val="0DF702FE"/>
    <w:rsid w:val="0E3F698B"/>
    <w:rsid w:val="0EB85D7A"/>
    <w:rsid w:val="0F21508F"/>
    <w:rsid w:val="0F786D63"/>
    <w:rsid w:val="0F816ACD"/>
    <w:rsid w:val="0FB94501"/>
    <w:rsid w:val="10B047CF"/>
    <w:rsid w:val="10FC16EA"/>
    <w:rsid w:val="118963A1"/>
    <w:rsid w:val="127723A9"/>
    <w:rsid w:val="13072A44"/>
    <w:rsid w:val="145044FA"/>
    <w:rsid w:val="163D4862"/>
    <w:rsid w:val="17B9045B"/>
    <w:rsid w:val="186742B0"/>
    <w:rsid w:val="190F2854"/>
    <w:rsid w:val="19A31CEF"/>
    <w:rsid w:val="1B2A271F"/>
    <w:rsid w:val="1B890139"/>
    <w:rsid w:val="1D266CE1"/>
    <w:rsid w:val="1D3963AF"/>
    <w:rsid w:val="1E714A66"/>
    <w:rsid w:val="1FE868A9"/>
    <w:rsid w:val="20232235"/>
    <w:rsid w:val="2070200F"/>
    <w:rsid w:val="211E26D6"/>
    <w:rsid w:val="21283D08"/>
    <w:rsid w:val="225C30FD"/>
    <w:rsid w:val="23DF5A1D"/>
    <w:rsid w:val="24173588"/>
    <w:rsid w:val="25B440B3"/>
    <w:rsid w:val="29094350"/>
    <w:rsid w:val="2AA1365A"/>
    <w:rsid w:val="2C15484E"/>
    <w:rsid w:val="2D227891"/>
    <w:rsid w:val="2DD15014"/>
    <w:rsid w:val="2F401A95"/>
    <w:rsid w:val="2FD25781"/>
    <w:rsid w:val="319C6071"/>
    <w:rsid w:val="32DB72BE"/>
    <w:rsid w:val="3368780F"/>
    <w:rsid w:val="342E63AB"/>
    <w:rsid w:val="345D260B"/>
    <w:rsid w:val="34D71099"/>
    <w:rsid w:val="365302AE"/>
    <w:rsid w:val="37F142D2"/>
    <w:rsid w:val="39A13F14"/>
    <w:rsid w:val="39C1344E"/>
    <w:rsid w:val="3C5F759A"/>
    <w:rsid w:val="3D5C78D4"/>
    <w:rsid w:val="3FFF72A6"/>
    <w:rsid w:val="4073679A"/>
    <w:rsid w:val="42D832DF"/>
    <w:rsid w:val="42E1381E"/>
    <w:rsid w:val="43FB717C"/>
    <w:rsid w:val="451E447A"/>
    <w:rsid w:val="45345B76"/>
    <w:rsid w:val="46D1677D"/>
    <w:rsid w:val="47307808"/>
    <w:rsid w:val="486F747C"/>
    <w:rsid w:val="4B1D6435"/>
    <w:rsid w:val="4D861CF6"/>
    <w:rsid w:val="50414E5C"/>
    <w:rsid w:val="51A0432A"/>
    <w:rsid w:val="527140E5"/>
    <w:rsid w:val="5292508F"/>
    <w:rsid w:val="52A96B6F"/>
    <w:rsid w:val="548E7B09"/>
    <w:rsid w:val="550764A4"/>
    <w:rsid w:val="551926E0"/>
    <w:rsid w:val="55290AA9"/>
    <w:rsid w:val="561279B9"/>
    <w:rsid w:val="56515F3B"/>
    <w:rsid w:val="572B71CA"/>
    <w:rsid w:val="57E958DA"/>
    <w:rsid w:val="58AE4F0C"/>
    <w:rsid w:val="58EF6A7E"/>
    <w:rsid w:val="5A2A7C7B"/>
    <w:rsid w:val="5C80234E"/>
    <w:rsid w:val="5E261785"/>
    <w:rsid w:val="5EC4514E"/>
    <w:rsid w:val="5FCC5339"/>
    <w:rsid w:val="5FE70807"/>
    <w:rsid w:val="60E53485"/>
    <w:rsid w:val="61054A27"/>
    <w:rsid w:val="611D2366"/>
    <w:rsid w:val="61A43DEB"/>
    <w:rsid w:val="62885958"/>
    <w:rsid w:val="64CE2EAA"/>
    <w:rsid w:val="662E75B1"/>
    <w:rsid w:val="66342C2E"/>
    <w:rsid w:val="663E784C"/>
    <w:rsid w:val="66A01E6F"/>
    <w:rsid w:val="685867EC"/>
    <w:rsid w:val="6D964261"/>
    <w:rsid w:val="6E8E12EF"/>
    <w:rsid w:val="71D43752"/>
    <w:rsid w:val="71F260FE"/>
    <w:rsid w:val="722A0564"/>
    <w:rsid w:val="73DD6243"/>
    <w:rsid w:val="749C4185"/>
    <w:rsid w:val="75DA2C18"/>
    <w:rsid w:val="76835EFD"/>
    <w:rsid w:val="775319EF"/>
    <w:rsid w:val="790F1C77"/>
    <w:rsid w:val="7A67303B"/>
    <w:rsid w:val="7AAB1D04"/>
    <w:rsid w:val="7ABA4368"/>
    <w:rsid w:val="7B257FFD"/>
    <w:rsid w:val="7B443580"/>
    <w:rsid w:val="7C2B1DA5"/>
    <w:rsid w:val="7DF4317E"/>
    <w:rsid w:val="7E6430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7"/>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annotation text"/>
    <w:basedOn w:val="1"/>
    <w:link w:val="612"/>
    <w:qFormat/>
    <w:uiPriority w:val="99"/>
    <w:pPr>
      <w:jc w:val="left"/>
    </w:pPr>
  </w:style>
  <w:style w:type="paragraph" w:styleId="20">
    <w:name w:val="Salutation"/>
    <w:basedOn w:val="1"/>
    <w:next w:val="1"/>
    <w:link w:val="480"/>
    <w:qFormat/>
    <w:uiPriority w:val="0"/>
    <w:rPr>
      <w:rFonts w:ascii="仿宋_GB2312" w:eastAsia="仿宋_GB2312"/>
      <w:sz w:val="28"/>
      <w:szCs w:val="20"/>
    </w:rPr>
  </w:style>
  <w:style w:type="paragraph" w:styleId="21">
    <w:name w:val="Body Text 3"/>
    <w:basedOn w:val="1"/>
    <w:link w:val="579"/>
    <w:qFormat/>
    <w:uiPriority w:val="0"/>
    <w:pPr>
      <w:jc w:val="center"/>
    </w:pPr>
    <w:rPr>
      <w:szCs w:val="20"/>
    </w:rPr>
  </w:style>
  <w:style w:type="paragraph" w:styleId="22">
    <w:name w:val="Body Text"/>
    <w:basedOn w:val="1"/>
    <w:link w:val="510"/>
    <w:qFormat/>
    <w:uiPriority w:val="0"/>
    <w:pPr>
      <w:autoSpaceDE w:val="0"/>
      <w:autoSpaceDN w:val="0"/>
      <w:spacing w:line="360" w:lineRule="auto"/>
    </w:pPr>
    <w:rPr>
      <w:rFonts w:ascii="宋体"/>
      <w:sz w:val="24"/>
      <w:szCs w:val="21"/>
      <w:lang w:val="zh-CN"/>
    </w:rPr>
  </w:style>
  <w:style w:type="paragraph" w:styleId="23">
    <w:name w:val="Body Text Indent"/>
    <w:basedOn w:val="1"/>
    <w:link w:val="473"/>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link w:val="487"/>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6"/>
    <w:qFormat/>
    <w:uiPriority w:val="0"/>
    <w:pPr>
      <w:ind w:left="100" w:leftChars="2500"/>
    </w:pPr>
    <w:rPr>
      <w:rFonts w:ascii="宋体"/>
      <w:sz w:val="24"/>
      <w:szCs w:val="21"/>
      <w:lang w:val="zh-CN"/>
    </w:rPr>
  </w:style>
  <w:style w:type="paragraph" w:styleId="35">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6">
    <w:name w:val="Balloon Text"/>
    <w:basedOn w:val="1"/>
    <w:link w:val="613"/>
    <w:semiHidden/>
    <w:qFormat/>
    <w:uiPriority w:val="0"/>
    <w:rPr>
      <w:sz w:val="18"/>
      <w:szCs w:val="18"/>
    </w:rPr>
  </w:style>
  <w:style w:type="paragraph" w:styleId="37">
    <w:name w:val="footer"/>
    <w:basedOn w:val="1"/>
    <w:link w:val="634"/>
    <w:qFormat/>
    <w:uiPriority w:val="99"/>
    <w:pPr>
      <w:tabs>
        <w:tab w:val="center" w:pos="4153"/>
        <w:tab w:val="right" w:pos="8306"/>
      </w:tabs>
      <w:snapToGrid w:val="0"/>
      <w:jc w:val="left"/>
    </w:pPr>
    <w:rPr>
      <w:sz w:val="18"/>
      <w:szCs w:val="18"/>
    </w:rPr>
  </w:style>
  <w:style w:type="paragraph" w:styleId="38">
    <w:name w:val="header"/>
    <w:basedOn w:val="1"/>
    <w:link w:val="635"/>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semiHidden/>
    <w:qFormat/>
    <w:uiPriority w:val="0"/>
    <w:rPr>
      <w:b/>
      <w:bCs/>
    </w:rPr>
  </w:style>
  <w:style w:type="paragraph" w:styleId="58">
    <w:name w:val="Body Text First Indent"/>
    <w:basedOn w:val="22"/>
    <w:link w:val="543"/>
    <w:qFormat/>
    <w:uiPriority w:val="0"/>
    <w:pPr>
      <w:ind w:firstLine="420"/>
    </w:pPr>
    <w:rPr>
      <w:szCs w:val="20"/>
    </w:rPr>
  </w:style>
  <w:style w:type="paragraph" w:styleId="59">
    <w:name w:val="Body Text First Indent 2"/>
    <w:basedOn w:val="23"/>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3"/>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FHLHE E+ Futura Bk" w:eastAsia="FHLHE E+ Futura Bk"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3">
    <w:name w:val="标书标题4"/>
    <w:basedOn w:val="5"/>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Sans"/>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5"/>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Futura Bk" w:hAnsi="Futura Bk"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5"/>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4"/>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5"/>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4"/>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5"/>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7"/>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2"/>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2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3"/>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5"/>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3"/>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Sans"/>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4"/>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3"/>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5"/>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4"/>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5"/>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8"/>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3"/>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6"/>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6"/>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4"/>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2"/>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4"/>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2"/>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39"/>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9"/>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Char"/>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3"/>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8"/>
    <w:qFormat/>
    <w:uiPriority w:val="0"/>
    <w:rPr>
      <w:b/>
      <w:bCs/>
      <w:kern w:val="2"/>
      <w:sz w:val="24"/>
      <w:szCs w:val="24"/>
    </w:rPr>
  </w:style>
  <w:style w:type="character" w:customStyle="1" w:styleId="480">
    <w:name w:val="称呼 Char"/>
    <w:link w:val="20"/>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4"/>
    <w:qFormat/>
    <w:uiPriority w:val="0"/>
    <w:rPr>
      <w:rFonts w:ascii="Arial" w:hAnsi="Arial" w:eastAsia="隶书"/>
      <w:b/>
      <w:bCs/>
      <w:kern w:val="28"/>
      <w:sz w:val="44"/>
      <w:szCs w:val="32"/>
      <w:lang w:val="en-US" w:eastAsia="zh-CN" w:bidi="ar-SA"/>
    </w:rPr>
  </w:style>
  <w:style w:type="character" w:customStyle="1" w:styleId="487">
    <w:name w:val="纯文本 Char"/>
    <w:link w:val="31"/>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5"/>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Char1"/>
    <w:link w:val="22"/>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0"/>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2"/>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8"/>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6"/>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1"/>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4"/>
    <w:qFormat/>
    <w:uiPriority w:val="0"/>
    <w:rPr>
      <w:rFonts w:ascii="宋体"/>
      <w:kern w:val="2"/>
      <w:sz w:val="24"/>
      <w:szCs w:val="21"/>
      <w:lang w:val="zh-CN"/>
    </w:rPr>
  </w:style>
  <w:style w:type="character" w:customStyle="1" w:styleId="597">
    <w:name w:val="标题 4 Char"/>
    <w:link w:val="5"/>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7"/>
    <w:qFormat/>
    <w:uiPriority w:val="0"/>
    <w:rPr>
      <w:rFonts w:ascii="Arial" w:hAnsi="Arial" w:eastAsia="黑体"/>
      <w:b/>
      <w:bCs/>
      <w:kern w:val="2"/>
      <w:sz w:val="24"/>
      <w:szCs w:val="24"/>
    </w:rPr>
  </w:style>
  <w:style w:type="character" w:customStyle="1" w:styleId="611">
    <w:name w:val="正文缩进 Char2"/>
    <w:link w:val="15"/>
    <w:qFormat/>
    <w:uiPriority w:val="0"/>
    <w:rPr>
      <w:rFonts w:ascii="宋体" w:eastAsia="宋体"/>
      <w:snapToGrid w:val="0"/>
      <w:color w:val="000000"/>
      <w:kern w:val="28"/>
      <w:sz w:val="28"/>
      <w:lang w:val="en-US" w:eastAsia="zh-CN" w:bidi="ar-SA"/>
    </w:rPr>
  </w:style>
  <w:style w:type="character" w:customStyle="1" w:styleId="612">
    <w:name w:val="批注文字 Char1"/>
    <w:link w:val="19"/>
    <w:qFormat/>
    <w:uiPriority w:val="99"/>
    <w:rPr>
      <w:kern w:val="2"/>
      <w:sz w:val="21"/>
      <w:szCs w:val="24"/>
    </w:rPr>
  </w:style>
  <w:style w:type="character" w:customStyle="1" w:styleId="613">
    <w:name w:val="批注框文本 Char"/>
    <w:link w:val="36"/>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34">
    <w:name w:val="页脚 Char2"/>
    <w:link w:val="37"/>
    <w:qFormat/>
    <w:locked/>
    <w:uiPriority w:val="99"/>
    <w:rPr>
      <w:kern w:val="2"/>
      <w:sz w:val="18"/>
      <w:szCs w:val="18"/>
    </w:rPr>
  </w:style>
  <w:style w:type="character" w:customStyle="1" w:styleId="635">
    <w:name w:val="页眉 Char2"/>
    <w:link w:val="38"/>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F92836-358B-4D24-B9DA-AA20ABAAFD83}">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84</Pages>
  <Words>22762</Words>
  <Characters>24614</Characters>
  <Lines>413</Lines>
  <Paragraphs>116</Paragraphs>
  <TotalTime>26</TotalTime>
  <ScaleCrop>false</ScaleCrop>
  <LinksUpToDate>false</LinksUpToDate>
  <CharactersWithSpaces>25117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雪儿</cp:lastModifiedBy>
  <cp:lastPrinted>2024-09-18T03:11:00Z</cp:lastPrinted>
  <dcterms:modified xsi:type="dcterms:W3CDTF">2026-08-31T13:23:09Z</dcterms:modified>
  <dc:title>北海市政府采购中心</dc:title>
  <cp:revision>1151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F3E77FD33D6F4A629D00C76EF0D81455_13</vt:lpwstr>
  </property>
  <property fmtid="{D5CDD505-2E9C-101B-9397-08002B2CF9AE}" pid="4" name="KSOTemplateDocerSaveRecord">
    <vt:lpwstr>eyJoZGlkIjoiZjc0NmU1MGRiNWY4NTg2ZmFlNGE3ODI4YzU0YWQyNzQiLCJ1c2VySWQiOiI0MTc4NDQzNjAifQ==</vt:lpwstr>
  </property>
</Properties>
</file>