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F95088">
      <w:pPr>
        <w:spacing w:line="360" w:lineRule="auto"/>
        <w:jc w:val="center"/>
        <w:rPr>
          <w:rFonts w:cs="仿宋_GB2312" w:asciiTheme="minorEastAsia" w:hAnsiTheme="minorEastAsia" w:eastAsiaTheme="minorEastAsia"/>
          <w:b/>
          <w:color w:val="auto"/>
          <w:sz w:val="24"/>
          <w:highlight w:val="none"/>
        </w:rPr>
      </w:pPr>
    </w:p>
    <w:p w14:paraId="146DD858">
      <w:pPr>
        <w:adjustRightInd/>
        <w:spacing w:line="360" w:lineRule="auto"/>
        <w:jc w:val="center"/>
        <w:rPr>
          <w:rFonts w:hint="eastAsia" w:cs="仿宋_GB2312" w:asciiTheme="minorEastAsia" w:hAnsiTheme="minorEastAsia" w:eastAsiaTheme="minorEastAsia"/>
          <w:b/>
          <w:bCs/>
          <w:color w:val="auto"/>
          <w:w w:val="95"/>
          <w:sz w:val="72"/>
          <w:szCs w:val="72"/>
          <w:highlight w:val="none"/>
          <w:lang w:val="zh-CN"/>
        </w:rPr>
      </w:pPr>
      <w:r>
        <w:rPr>
          <w:rFonts w:hint="eastAsia" w:cs="仿宋_GB2312" w:asciiTheme="minorEastAsia" w:hAnsiTheme="minorEastAsia" w:eastAsiaTheme="minorEastAsia"/>
          <w:b/>
          <w:bCs/>
          <w:color w:val="auto"/>
          <w:w w:val="95"/>
          <w:sz w:val="44"/>
          <w:szCs w:val="44"/>
          <w:highlight w:val="none"/>
          <w:lang w:val="zh-CN" w:eastAsia="zh-CN"/>
        </w:rPr>
        <w:t>广西壮族自治区第十六届运动会(柔道、跆拳道、摔跤、拳击)设施设备采购项目</w:t>
      </w:r>
    </w:p>
    <w:p w14:paraId="191B54FE">
      <w:pPr>
        <w:adjustRightInd/>
        <w:spacing w:line="360" w:lineRule="auto"/>
        <w:jc w:val="center"/>
        <w:rPr>
          <w:rFonts w:hint="eastAsia" w:cs="仿宋_GB2312" w:asciiTheme="minorEastAsia" w:hAnsiTheme="minorEastAsia" w:eastAsiaTheme="minorEastAsia"/>
          <w:b/>
          <w:bCs/>
          <w:color w:val="auto"/>
          <w:w w:val="95"/>
          <w:sz w:val="72"/>
          <w:szCs w:val="72"/>
          <w:highlight w:val="none"/>
          <w:lang w:val="zh-CN"/>
        </w:rPr>
      </w:pPr>
    </w:p>
    <w:p w14:paraId="4B96340C">
      <w:pPr>
        <w:adjustRightInd/>
        <w:spacing w:line="360" w:lineRule="auto"/>
        <w:jc w:val="center"/>
        <w:rPr>
          <w:rFonts w:cs="仿宋_GB2312" w:asciiTheme="minorEastAsia" w:hAnsiTheme="minorEastAsia" w:eastAsiaTheme="minorEastAsia"/>
          <w:b/>
          <w:color w:val="auto"/>
          <w:sz w:val="72"/>
          <w:szCs w:val="72"/>
          <w:highlight w:val="none"/>
        </w:rPr>
      </w:pPr>
      <w:r>
        <w:rPr>
          <w:rFonts w:hint="eastAsia" w:cs="仿宋_GB2312" w:asciiTheme="minorEastAsia" w:hAnsiTheme="minorEastAsia" w:eastAsiaTheme="minorEastAsia"/>
          <w:b/>
          <w:bCs/>
          <w:color w:val="auto"/>
          <w:w w:val="95"/>
          <w:sz w:val="72"/>
          <w:szCs w:val="72"/>
          <w:highlight w:val="none"/>
          <w:lang w:val="zh-CN"/>
        </w:rPr>
        <w:t>竞争性谈判</w:t>
      </w:r>
      <w:r>
        <w:rPr>
          <w:rFonts w:hint="eastAsia" w:cs="仿宋_GB2312" w:asciiTheme="minorEastAsia" w:hAnsiTheme="minorEastAsia" w:eastAsiaTheme="minorEastAsia"/>
          <w:b/>
          <w:color w:val="auto"/>
          <w:sz w:val="72"/>
          <w:szCs w:val="72"/>
          <w:highlight w:val="none"/>
        </w:rPr>
        <w:t>文件</w:t>
      </w:r>
    </w:p>
    <w:p w14:paraId="00F9FAB7">
      <w:pPr>
        <w:adjustRightInd/>
        <w:spacing w:line="360" w:lineRule="auto"/>
        <w:jc w:val="center"/>
        <w:rPr>
          <w:rFonts w:cs="仿宋_GB2312" w:asciiTheme="minorEastAsia" w:hAnsiTheme="minorEastAsia" w:eastAsiaTheme="minorEastAsia"/>
          <w:b/>
          <w:color w:val="auto"/>
          <w:sz w:val="44"/>
          <w:szCs w:val="44"/>
          <w:highlight w:val="none"/>
        </w:rPr>
      </w:pPr>
      <w:r>
        <w:rPr>
          <w:rFonts w:hint="eastAsia" w:cs="仿宋_GB2312" w:asciiTheme="minorEastAsia" w:hAnsiTheme="minorEastAsia" w:eastAsiaTheme="minorEastAsia"/>
          <w:b/>
          <w:color w:val="auto"/>
          <w:sz w:val="44"/>
          <w:szCs w:val="44"/>
          <w:highlight w:val="none"/>
        </w:rPr>
        <w:t>（电子交易）</w:t>
      </w:r>
    </w:p>
    <w:p w14:paraId="444A03A7">
      <w:pPr>
        <w:snapToGrid w:val="0"/>
        <w:spacing w:line="360" w:lineRule="auto"/>
        <w:jc w:val="center"/>
        <w:rPr>
          <w:rFonts w:hint="eastAsia" w:cs="仿宋_GB2312" w:asciiTheme="minorEastAsia" w:hAnsiTheme="minorEastAsia" w:eastAsiaTheme="minorEastAsia"/>
          <w:color w:val="auto"/>
          <w:sz w:val="30"/>
          <w:szCs w:val="30"/>
          <w:highlight w:val="none"/>
          <w:lang w:eastAsia="zh-CN"/>
        </w:rPr>
      </w:pPr>
      <w:r>
        <w:rPr>
          <w:rFonts w:hint="eastAsia" w:cs="仿宋_GB2312" w:asciiTheme="minorEastAsia" w:hAnsiTheme="minorEastAsia" w:eastAsiaTheme="minorEastAsia"/>
          <w:color w:val="auto"/>
          <w:sz w:val="30"/>
          <w:szCs w:val="30"/>
          <w:highlight w:val="none"/>
        </w:rPr>
        <w:t>项目编号:</w:t>
      </w:r>
      <w:r>
        <w:rPr>
          <w:rFonts w:hint="eastAsia" w:cs="仿宋_GB2312" w:asciiTheme="minorEastAsia" w:hAnsiTheme="minorEastAsia" w:eastAsiaTheme="minorEastAsia"/>
          <w:color w:val="auto"/>
          <w:sz w:val="30"/>
          <w:szCs w:val="30"/>
          <w:highlight w:val="none"/>
          <w:lang w:eastAsia="zh-CN"/>
        </w:rPr>
        <w:t>BHZC2026-J1-990266-BBWH</w:t>
      </w:r>
    </w:p>
    <w:p w14:paraId="35940DF7">
      <w:pPr>
        <w:adjustRightInd/>
        <w:spacing w:line="360" w:lineRule="auto"/>
        <w:rPr>
          <w:rFonts w:cs="仿宋_GB2312" w:asciiTheme="minorEastAsia" w:hAnsiTheme="minorEastAsia" w:eastAsiaTheme="minorEastAsia"/>
          <w:color w:val="auto"/>
          <w:sz w:val="28"/>
          <w:szCs w:val="20"/>
          <w:highlight w:val="none"/>
        </w:rPr>
      </w:pPr>
    </w:p>
    <w:p w14:paraId="2C62D7B8">
      <w:pPr>
        <w:spacing w:line="360" w:lineRule="auto"/>
        <w:jc w:val="center"/>
        <w:rPr>
          <w:rFonts w:cs="仿宋_GB2312" w:asciiTheme="minorEastAsia" w:hAnsiTheme="minorEastAsia" w:eastAsiaTheme="minorEastAsia"/>
          <w:color w:val="auto"/>
          <w:sz w:val="24"/>
          <w:highlight w:val="none"/>
        </w:rPr>
      </w:pPr>
      <w:r>
        <w:rPr>
          <w:rFonts w:hint="eastAsia" w:ascii="宋体" w:hAnsi="宋体" w:eastAsia="宋体" w:cs="宋体"/>
          <w:color w:val="auto"/>
          <w:sz w:val="28"/>
          <w:highlight w:val="none"/>
        </w:rPr>
        <w:drawing>
          <wp:inline distT="0" distB="0" distL="114300" distR="114300">
            <wp:extent cx="2514600" cy="1597660"/>
            <wp:effectExtent l="0" t="0" r="0" b="0"/>
            <wp:docPr id="8" name="图片 1" descr="宏亚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descr="宏亚logo"/>
                    <pic:cNvPicPr>
                      <a:picLocks noChangeAspect="1"/>
                    </pic:cNvPicPr>
                  </pic:nvPicPr>
                  <pic:blipFill>
                    <a:blip r:embed="rId10"/>
                    <a:srcRect t="15124" b="14537"/>
                    <a:stretch>
                      <a:fillRect/>
                    </a:stretch>
                  </pic:blipFill>
                  <pic:spPr>
                    <a:xfrm>
                      <a:off x="0" y="0"/>
                      <a:ext cx="2514600" cy="1597660"/>
                    </a:xfrm>
                    <a:prstGeom prst="rect">
                      <a:avLst/>
                    </a:prstGeom>
                    <a:noFill/>
                    <a:ln>
                      <a:noFill/>
                    </a:ln>
                  </pic:spPr>
                </pic:pic>
              </a:graphicData>
            </a:graphic>
          </wp:inline>
        </w:drawing>
      </w:r>
    </w:p>
    <w:p w14:paraId="5722CDC1">
      <w:pPr>
        <w:pStyle w:val="182"/>
        <w:widowControl w:val="0"/>
        <w:spacing w:before="0" w:beforeAutospacing="0" w:after="0" w:afterAutospacing="0" w:line="360" w:lineRule="auto"/>
        <w:textAlignment w:val="auto"/>
        <w:rPr>
          <w:rFonts w:hint="default" w:cs="仿宋_GB2312" w:asciiTheme="minorEastAsia" w:hAnsiTheme="minorEastAsia" w:eastAsiaTheme="minorEastAsia"/>
          <w:color w:val="auto"/>
          <w:kern w:val="2"/>
          <w:highlight w:val="none"/>
        </w:rPr>
      </w:pPr>
    </w:p>
    <w:p w14:paraId="18918A9D">
      <w:pPr>
        <w:spacing w:line="360" w:lineRule="auto"/>
        <w:rPr>
          <w:rFonts w:cs="仿宋_GB2312" w:asciiTheme="minorEastAsia" w:hAnsiTheme="minorEastAsia" w:eastAsiaTheme="minorEastAsia"/>
          <w:b/>
          <w:color w:val="auto"/>
          <w:sz w:val="24"/>
          <w:highlight w:val="none"/>
        </w:rPr>
      </w:pPr>
      <w:r>
        <w:rPr>
          <w:rFonts w:hint="eastAsia" w:cs="仿宋_GB2312" w:asciiTheme="minorEastAsia" w:hAnsiTheme="minorEastAsia" w:eastAsiaTheme="minorEastAsia"/>
          <w:color w:val="auto"/>
          <w:sz w:val="24"/>
          <w:highlight w:val="none"/>
        </w:rPr>
        <w:t xml:space="preserve">                                      </w:t>
      </w:r>
    </w:p>
    <w:p w14:paraId="61EBE3E5">
      <w:pPr>
        <w:snapToGrid w:val="0"/>
        <w:spacing w:line="360" w:lineRule="auto"/>
        <w:jc w:val="center"/>
        <w:rPr>
          <w:rFonts w:cs="仿宋_GB2312" w:asciiTheme="minorEastAsia" w:hAnsiTheme="minorEastAsia" w:eastAsiaTheme="minorEastAsia"/>
          <w:color w:val="auto"/>
          <w:sz w:val="32"/>
          <w:szCs w:val="32"/>
          <w:highlight w:val="none"/>
        </w:rPr>
      </w:pPr>
    </w:p>
    <w:p w14:paraId="25017BCC">
      <w:pPr>
        <w:snapToGrid w:val="0"/>
        <w:spacing w:line="360" w:lineRule="auto"/>
        <w:jc w:val="center"/>
        <w:rPr>
          <w:rFonts w:cs="仿宋_GB2312" w:asciiTheme="minorEastAsia" w:hAnsiTheme="minorEastAsia" w:eastAsiaTheme="minorEastAsia"/>
          <w:color w:val="auto"/>
          <w:sz w:val="32"/>
          <w:szCs w:val="32"/>
          <w:highlight w:val="none"/>
        </w:rPr>
      </w:pPr>
    </w:p>
    <w:p w14:paraId="2454CF87">
      <w:pPr>
        <w:snapToGrid w:val="0"/>
        <w:spacing w:line="360" w:lineRule="auto"/>
        <w:jc w:val="center"/>
        <w:rPr>
          <w:rFonts w:cs="仿宋_GB2312" w:asciiTheme="minorEastAsia" w:hAnsiTheme="minorEastAsia" w:eastAsiaTheme="minorEastAsia"/>
          <w:color w:val="auto"/>
          <w:sz w:val="32"/>
          <w:szCs w:val="32"/>
          <w:highlight w:val="none"/>
        </w:rPr>
      </w:pPr>
      <w:r>
        <w:rPr>
          <w:rFonts w:hint="eastAsia" w:ascii="宋体" w:hAnsi="宋体" w:cs="宋体"/>
          <w:color w:val="auto"/>
          <w:sz w:val="32"/>
          <w:szCs w:val="32"/>
          <w:highlight w:val="none"/>
        </w:rPr>
        <w:t>采购人</w:t>
      </w:r>
      <w:r>
        <w:rPr>
          <w:rFonts w:hint="eastAsia" w:ascii="宋体" w:hAnsi="宋体" w:cs="宋体"/>
          <w:color w:val="auto"/>
          <w:sz w:val="32"/>
          <w:szCs w:val="32"/>
          <w:highlight w:val="none"/>
          <w:lang w:eastAsia="zh-CN"/>
        </w:rPr>
        <w:t>：</w:t>
      </w:r>
      <w:r>
        <w:rPr>
          <w:rFonts w:hint="eastAsia" w:ascii="宋体" w:hAnsi="宋体" w:cs="宋体"/>
          <w:color w:val="auto"/>
          <w:sz w:val="32"/>
          <w:szCs w:val="32"/>
          <w:highlight w:val="none"/>
          <w:lang w:val="en-US" w:eastAsia="zh-CN"/>
        </w:rPr>
        <w:t>北海市旅游文体局</w:t>
      </w:r>
    </w:p>
    <w:p w14:paraId="7BA5928E">
      <w:pPr>
        <w:spacing w:line="360" w:lineRule="auto"/>
        <w:jc w:val="center"/>
        <w:rPr>
          <w:rFonts w:hint="default" w:cs="仿宋_GB2312" w:asciiTheme="minorEastAsia" w:hAnsiTheme="minorEastAsia" w:eastAsiaTheme="minorEastAsia"/>
          <w:bCs/>
          <w:color w:val="auto"/>
          <w:sz w:val="32"/>
          <w:szCs w:val="32"/>
          <w:highlight w:val="none"/>
          <w:lang w:val="en-US"/>
        </w:rPr>
      </w:pPr>
      <w:r>
        <w:rPr>
          <w:rFonts w:hint="eastAsia" w:ascii="宋体" w:hAnsi="宋体" w:cs="宋体"/>
          <w:bCs/>
          <w:color w:val="auto"/>
          <w:sz w:val="32"/>
          <w:szCs w:val="32"/>
          <w:highlight w:val="none"/>
        </w:rPr>
        <w:t>采购代理机构</w:t>
      </w:r>
      <w:r>
        <w:rPr>
          <w:rFonts w:hint="eastAsia" w:ascii="宋体" w:hAnsi="宋体" w:cs="宋体"/>
          <w:bCs/>
          <w:color w:val="auto"/>
          <w:sz w:val="32"/>
          <w:szCs w:val="32"/>
          <w:highlight w:val="none"/>
          <w:lang w:eastAsia="zh-CN"/>
        </w:rPr>
        <w:t>：</w:t>
      </w:r>
      <w:r>
        <w:rPr>
          <w:rFonts w:hint="eastAsia" w:ascii="宋体" w:hAnsi="宋体" w:cs="宋体"/>
          <w:bCs/>
          <w:color w:val="auto"/>
          <w:sz w:val="32"/>
          <w:szCs w:val="32"/>
          <w:highlight w:val="none"/>
          <w:lang w:val="en-US" w:eastAsia="zh-CN"/>
        </w:rPr>
        <w:t>广西北部湾宏亚建设管理有限公司</w:t>
      </w:r>
    </w:p>
    <w:p w14:paraId="560CCD74">
      <w:pPr>
        <w:snapToGrid w:val="0"/>
        <w:spacing w:line="360" w:lineRule="auto"/>
        <w:jc w:val="center"/>
        <w:rPr>
          <w:rFonts w:hint="default" w:cs="仿宋_GB2312" w:asciiTheme="minorEastAsia" w:hAnsiTheme="minorEastAsia" w:eastAsiaTheme="minorEastAsia"/>
          <w:bCs/>
          <w:color w:val="auto"/>
          <w:sz w:val="32"/>
          <w:szCs w:val="32"/>
          <w:highlight w:val="none"/>
          <w:lang w:val="en-US"/>
        </w:rPr>
      </w:pPr>
      <w:r>
        <w:rPr>
          <w:rFonts w:hint="eastAsia" w:cs="仿宋_GB2312" w:asciiTheme="minorEastAsia" w:hAnsiTheme="minorEastAsia" w:eastAsiaTheme="minorEastAsia"/>
          <w:bCs/>
          <w:color w:val="auto"/>
          <w:sz w:val="32"/>
          <w:szCs w:val="32"/>
          <w:highlight w:val="none"/>
        </w:rPr>
        <w:t>二</w:t>
      </w:r>
      <w:r>
        <w:rPr>
          <w:rFonts w:hint="eastAsia" w:cs="宋体" w:asciiTheme="minorEastAsia" w:hAnsiTheme="minorEastAsia" w:eastAsiaTheme="minorEastAsia"/>
          <w:bCs/>
          <w:color w:val="auto"/>
          <w:sz w:val="32"/>
          <w:szCs w:val="32"/>
          <w:highlight w:val="none"/>
        </w:rPr>
        <w:t>〇</w:t>
      </w:r>
      <w:r>
        <w:rPr>
          <w:rFonts w:hint="eastAsia" w:cs="仿宋_GB2312" w:asciiTheme="minorEastAsia" w:hAnsiTheme="minorEastAsia" w:eastAsiaTheme="minorEastAsia"/>
          <w:bCs/>
          <w:color w:val="auto"/>
          <w:sz w:val="32"/>
          <w:szCs w:val="32"/>
          <w:highlight w:val="none"/>
        </w:rPr>
        <w:t>二</w:t>
      </w:r>
      <w:r>
        <w:rPr>
          <w:rFonts w:hint="eastAsia" w:cs="仿宋_GB2312" w:asciiTheme="minorEastAsia" w:hAnsiTheme="minorEastAsia" w:eastAsiaTheme="minorEastAsia"/>
          <w:bCs/>
          <w:color w:val="auto"/>
          <w:sz w:val="32"/>
          <w:szCs w:val="32"/>
          <w:highlight w:val="none"/>
          <w:lang w:val="en-US" w:eastAsia="zh-CN"/>
        </w:rPr>
        <w:t>六</w:t>
      </w:r>
      <w:r>
        <w:rPr>
          <w:rFonts w:hint="eastAsia" w:cs="仿宋_GB2312" w:asciiTheme="minorEastAsia" w:hAnsiTheme="minorEastAsia" w:eastAsiaTheme="minorEastAsia"/>
          <w:bCs/>
          <w:color w:val="auto"/>
          <w:sz w:val="32"/>
          <w:szCs w:val="32"/>
          <w:highlight w:val="none"/>
        </w:rPr>
        <w:t>年</w:t>
      </w:r>
      <w:r>
        <w:rPr>
          <w:rFonts w:hint="eastAsia" w:cs="仿宋_GB2312" w:asciiTheme="minorEastAsia" w:hAnsiTheme="minorEastAsia" w:eastAsiaTheme="minorEastAsia"/>
          <w:bCs/>
          <w:color w:val="auto"/>
          <w:sz w:val="32"/>
          <w:szCs w:val="32"/>
          <w:highlight w:val="none"/>
          <w:lang w:val="en-US" w:eastAsia="zh-CN"/>
        </w:rPr>
        <w:t>八</w:t>
      </w:r>
      <w:r>
        <w:rPr>
          <w:rFonts w:hint="eastAsia" w:cs="仿宋_GB2312" w:asciiTheme="minorEastAsia" w:hAnsiTheme="minorEastAsia" w:eastAsiaTheme="minorEastAsia"/>
          <w:bCs/>
          <w:color w:val="auto"/>
          <w:sz w:val="32"/>
          <w:szCs w:val="32"/>
          <w:highlight w:val="none"/>
        </w:rPr>
        <w:t>月</w:t>
      </w:r>
    </w:p>
    <w:p w14:paraId="01F29BAB">
      <w:pPr>
        <w:tabs>
          <w:tab w:val="left" w:pos="2268"/>
        </w:tabs>
        <w:spacing w:line="360" w:lineRule="auto"/>
        <w:jc w:val="center"/>
        <w:rPr>
          <w:rFonts w:cs="仿宋_GB2312" w:asciiTheme="minorEastAsia" w:hAnsiTheme="minorEastAsia" w:eastAsiaTheme="minorEastAsia"/>
          <w:color w:val="auto"/>
          <w:sz w:val="24"/>
          <w:highlight w:val="none"/>
        </w:rPr>
        <w:sectPr>
          <w:headerReference r:id="rId3" w:type="default"/>
          <w:pgSz w:w="11906" w:h="16838"/>
          <w:pgMar w:top="1417" w:right="1417" w:bottom="1417" w:left="1417" w:header="748" w:footer="720" w:gutter="0"/>
          <w:pgBorders>
            <w:top w:val="none" w:sz="0" w:space="0"/>
            <w:left w:val="none" w:sz="0" w:space="0"/>
            <w:bottom w:val="none" w:sz="0" w:space="0"/>
            <w:right w:val="none" w:sz="0" w:space="0"/>
          </w:pgBorders>
          <w:pgNumType w:fmt="decimal"/>
          <w:cols w:space="0" w:num="1"/>
          <w:rtlGutter w:val="0"/>
          <w:docGrid w:linePitch="312" w:charSpace="0"/>
        </w:sectPr>
      </w:pPr>
    </w:p>
    <w:p w14:paraId="23F756EF">
      <w:pPr>
        <w:tabs>
          <w:tab w:val="left" w:pos="2268"/>
        </w:tabs>
        <w:spacing w:line="360" w:lineRule="auto"/>
        <w:jc w:val="center"/>
        <w:rPr>
          <w:rFonts w:cs="仿宋_GB2312" w:asciiTheme="minorEastAsia" w:hAnsiTheme="minorEastAsia" w:eastAsiaTheme="minorEastAsia"/>
          <w:color w:val="auto"/>
          <w:sz w:val="24"/>
          <w:highlight w:val="none"/>
        </w:rPr>
      </w:pPr>
    </w:p>
    <w:p w14:paraId="2795DC1A">
      <w:pPr>
        <w:spacing w:line="360" w:lineRule="auto"/>
        <w:jc w:val="center"/>
        <w:rPr>
          <w:rFonts w:cs="仿宋_GB2312" w:asciiTheme="minorEastAsia" w:hAnsiTheme="minorEastAsia" w:eastAsiaTheme="minorEastAsia"/>
          <w:b/>
          <w:color w:val="auto"/>
          <w:sz w:val="48"/>
          <w:szCs w:val="48"/>
          <w:highlight w:val="none"/>
        </w:rPr>
      </w:pPr>
      <w:r>
        <w:rPr>
          <w:rFonts w:hint="eastAsia" w:cs="仿宋_GB2312" w:asciiTheme="minorEastAsia" w:hAnsiTheme="minorEastAsia" w:eastAsiaTheme="minorEastAsia"/>
          <w:b/>
          <w:color w:val="auto"/>
          <w:sz w:val="48"/>
          <w:szCs w:val="48"/>
          <w:highlight w:val="none"/>
        </w:rPr>
        <w:t>目  录</w:t>
      </w:r>
    </w:p>
    <w:p w14:paraId="13E278E2">
      <w:pPr>
        <w:spacing w:line="360" w:lineRule="auto"/>
        <w:rPr>
          <w:rFonts w:cs="仿宋_GB2312" w:asciiTheme="minorEastAsia" w:hAnsiTheme="minorEastAsia" w:eastAsiaTheme="minorEastAsia"/>
          <w:color w:val="auto"/>
          <w:sz w:val="32"/>
          <w:szCs w:val="32"/>
          <w:highlight w:val="none"/>
        </w:rPr>
      </w:pPr>
    </w:p>
    <w:p w14:paraId="6F8C8530">
      <w:pPr>
        <w:pStyle w:val="40"/>
        <w:tabs>
          <w:tab w:val="right" w:leader="dot" w:pos="9072"/>
        </w:tabs>
        <w:spacing w:line="360" w:lineRule="auto"/>
        <w:rPr>
          <w:color w:val="auto"/>
          <w:sz w:val="28"/>
          <w:szCs w:val="28"/>
          <w:highlight w:val="none"/>
        </w:rPr>
      </w:pPr>
      <w:bookmarkStart w:id="0" w:name="_Hlt91233176"/>
      <w:bookmarkEnd w:id="0"/>
      <w:bookmarkStart w:id="1" w:name="_Toc91899869"/>
      <w:r>
        <w:rPr>
          <w:rFonts w:cs="仿宋_GB2312" w:asciiTheme="minorEastAsia" w:hAnsiTheme="minorEastAsia" w:eastAsiaTheme="minorEastAsia"/>
          <w:color w:val="auto"/>
          <w:sz w:val="32"/>
          <w:szCs w:val="32"/>
          <w:highlight w:val="none"/>
        </w:rPr>
        <w:fldChar w:fldCharType="begin"/>
      </w:r>
      <w:r>
        <w:rPr>
          <w:rFonts w:cs="仿宋_GB2312" w:asciiTheme="minorEastAsia" w:hAnsiTheme="minorEastAsia" w:eastAsiaTheme="minorEastAsia"/>
          <w:color w:val="auto"/>
          <w:sz w:val="32"/>
          <w:szCs w:val="32"/>
          <w:highlight w:val="none"/>
        </w:rPr>
        <w:instrText xml:space="preserve"> TOC \o "1-1" \h \z \u </w:instrText>
      </w:r>
      <w:r>
        <w:rPr>
          <w:rFonts w:cs="仿宋_GB2312" w:asciiTheme="minorEastAsia" w:hAnsiTheme="minorEastAsia" w:eastAsiaTheme="minorEastAsia"/>
          <w:color w:val="auto"/>
          <w:sz w:val="32"/>
          <w:szCs w:val="32"/>
          <w:highlight w:val="none"/>
        </w:rPr>
        <w:fldChar w:fldCharType="separate"/>
      </w:r>
      <w:r>
        <w:rPr>
          <w:rFonts w:cs="仿宋_GB2312" w:asciiTheme="minorEastAsia" w:hAnsiTheme="minorEastAsia" w:eastAsiaTheme="minorEastAsia"/>
          <w:color w:val="auto"/>
          <w:sz w:val="28"/>
          <w:szCs w:val="28"/>
          <w:highlight w:val="none"/>
        </w:rPr>
        <w:fldChar w:fldCharType="begin"/>
      </w:r>
      <w:r>
        <w:rPr>
          <w:rFonts w:cs="仿宋_GB2312" w:asciiTheme="minorEastAsia" w:hAnsiTheme="minorEastAsia" w:eastAsiaTheme="minorEastAsia"/>
          <w:color w:val="auto"/>
          <w:sz w:val="28"/>
          <w:szCs w:val="28"/>
          <w:highlight w:val="none"/>
        </w:rPr>
        <w:instrText xml:space="preserve"> HYPERLINK \l _Toc31156 </w:instrText>
      </w:r>
      <w:r>
        <w:rPr>
          <w:rFonts w:cs="仿宋_GB2312" w:asciiTheme="minorEastAsia" w:hAnsiTheme="minorEastAsia" w:eastAsiaTheme="minorEastAsia"/>
          <w:color w:val="auto"/>
          <w:sz w:val="28"/>
          <w:szCs w:val="28"/>
          <w:highlight w:val="none"/>
        </w:rPr>
        <w:fldChar w:fldCharType="separate"/>
      </w:r>
      <w:r>
        <w:rPr>
          <w:rFonts w:hint="eastAsia"/>
          <w:color w:val="auto"/>
          <w:sz w:val="28"/>
          <w:szCs w:val="28"/>
          <w:highlight w:val="none"/>
        </w:rPr>
        <w:t>第一部分  邀请供应商</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_Toc31156 \h </w:instrText>
      </w:r>
      <w:r>
        <w:rPr>
          <w:color w:val="auto"/>
          <w:sz w:val="28"/>
          <w:szCs w:val="28"/>
          <w:highlight w:val="none"/>
        </w:rPr>
        <w:fldChar w:fldCharType="separate"/>
      </w:r>
      <w:r>
        <w:rPr>
          <w:color w:val="auto"/>
          <w:sz w:val="28"/>
          <w:szCs w:val="28"/>
          <w:highlight w:val="none"/>
        </w:rPr>
        <w:t>2</w:t>
      </w:r>
      <w:r>
        <w:rPr>
          <w:color w:val="auto"/>
          <w:sz w:val="28"/>
          <w:szCs w:val="28"/>
          <w:highlight w:val="none"/>
        </w:rPr>
        <w:fldChar w:fldCharType="end"/>
      </w:r>
      <w:r>
        <w:rPr>
          <w:rFonts w:cs="仿宋_GB2312" w:asciiTheme="minorEastAsia" w:hAnsiTheme="minorEastAsia" w:eastAsiaTheme="minorEastAsia"/>
          <w:color w:val="auto"/>
          <w:sz w:val="28"/>
          <w:szCs w:val="28"/>
          <w:highlight w:val="none"/>
        </w:rPr>
        <w:fldChar w:fldCharType="end"/>
      </w:r>
    </w:p>
    <w:p w14:paraId="6A5D2E9A">
      <w:pPr>
        <w:pStyle w:val="40"/>
        <w:tabs>
          <w:tab w:val="right" w:leader="dot" w:pos="9072"/>
        </w:tabs>
        <w:spacing w:line="360" w:lineRule="auto"/>
        <w:rPr>
          <w:color w:val="auto"/>
          <w:sz w:val="28"/>
          <w:szCs w:val="28"/>
          <w:highlight w:val="none"/>
        </w:rPr>
      </w:pPr>
      <w:r>
        <w:rPr>
          <w:rFonts w:cs="仿宋_GB2312" w:asciiTheme="minorEastAsia" w:hAnsiTheme="minorEastAsia" w:eastAsiaTheme="minorEastAsia"/>
          <w:color w:val="auto"/>
          <w:sz w:val="28"/>
          <w:szCs w:val="28"/>
          <w:highlight w:val="none"/>
        </w:rPr>
        <w:fldChar w:fldCharType="begin"/>
      </w:r>
      <w:r>
        <w:rPr>
          <w:rFonts w:cs="仿宋_GB2312" w:asciiTheme="minorEastAsia" w:hAnsiTheme="minorEastAsia" w:eastAsiaTheme="minorEastAsia"/>
          <w:color w:val="auto"/>
          <w:sz w:val="28"/>
          <w:szCs w:val="28"/>
          <w:highlight w:val="none"/>
        </w:rPr>
        <w:instrText xml:space="preserve"> HYPERLINK \l _Toc6420 </w:instrText>
      </w:r>
      <w:r>
        <w:rPr>
          <w:rFonts w:cs="仿宋_GB2312" w:asciiTheme="minorEastAsia" w:hAnsiTheme="minorEastAsia" w:eastAsiaTheme="minorEastAsia"/>
          <w:color w:val="auto"/>
          <w:sz w:val="28"/>
          <w:szCs w:val="28"/>
          <w:highlight w:val="none"/>
        </w:rPr>
        <w:fldChar w:fldCharType="separate"/>
      </w:r>
      <w:r>
        <w:rPr>
          <w:rFonts w:hint="eastAsia"/>
          <w:color w:val="auto"/>
          <w:sz w:val="28"/>
          <w:szCs w:val="28"/>
          <w:highlight w:val="none"/>
        </w:rPr>
        <w:t>第二部分  竞争性谈判流程</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_Toc6420 \h </w:instrText>
      </w:r>
      <w:r>
        <w:rPr>
          <w:color w:val="auto"/>
          <w:sz w:val="28"/>
          <w:szCs w:val="28"/>
          <w:highlight w:val="none"/>
        </w:rPr>
        <w:fldChar w:fldCharType="separate"/>
      </w:r>
      <w:r>
        <w:rPr>
          <w:color w:val="auto"/>
          <w:sz w:val="28"/>
          <w:szCs w:val="28"/>
          <w:highlight w:val="none"/>
        </w:rPr>
        <w:t>5</w:t>
      </w:r>
      <w:r>
        <w:rPr>
          <w:color w:val="auto"/>
          <w:sz w:val="28"/>
          <w:szCs w:val="28"/>
          <w:highlight w:val="none"/>
        </w:rPr>
        <w:fldChar w:fldCharType="end"/>
      </w:r>
      <w:r>
        <w:rPr>
          <w:rFonts w:cs="仿宋_GB2312" w:asciiTheme="minorEastAsia" w:hAnsiTheme="minorEastAsia" w:eastAsiaTheme="minorEastAsia"/>
          <w:color w:val="auto"/>
          <w:sz w:val="28"/>
          <w:szCs w:val="28"/>
          <w:highlight w:val="none"/>
        </w:rPr>
        <w:fldChar w:fldCharType="end"/>
      </w:r>
    </w:p>
    <w:p w14:paraId="78442AF7">
      <w:pPr>
        <w:pStyle w:val="40"/>
        <w:tabs>
          <w:tab w:val="right" w:leader="dot" w:pos="9072"/>
        </w:tabs>
        <w:spacing w:line="360" w:lineRule="auto"/>
        <w:rPr>
          <w:color w:val="auto"/>
          <w:sz w:val="28"/>
          <w:szCs w:val="28"/>
          <w:highlight w:val="none"/>
        </w:rPr>
      </w:pPr>
      <w:r>
        <w:rPr>
          <w:rFonts w:cs="仿宋_GB2312" w:asciiTheme="minorEastAsia" w:hAnsiTheme="minorEastAsia" w:eastAsiaTheme="minorEastAsia"/>
          <w:color w:val="auto"/>
          <w:sz w:val="28"/>
          <w:szCs w:val="28"/>
          <w:highlight w:val="none"/>
        </w:rPr>
        <w:fldChar w:fldCharType="begin"/>
      </w:r>
      <w:r>
        <w:rPr>
          <w:rFonts w:cs="仿宋_GB2312" w:asciiTheme="minorEastAsia" w:hAnsiTheme="minorEastAsia" w:eastAsiaTheme="minorEastAsia"/>
          <w:color w:val="auto"/>
          <w:sz w:val="28"/>
          <w:szCs w:val="28"/>
          <w:highlight w:val="none"/>
        </w:rPr>
        <w:instrText xml:space="preserve"> HYPERLINK \l _Toc14924 </w:instrText>
      </w:r>
      <w:r>
        <w:rPr>
          <w:rFonts w:cs="仿宋_GB2312" w:asciiTheme="minorEastAsia" w:hAnsiTheme="minorEastAsia" w:eastAsiaTheme="minorEastAsia"/>
          <w:color w:val="auto"/>
          <w:sz w:val="28"/>
          <w:szCs w:val="28"/>
          <w:highlight w:val="none"/>
        </w:rPr>
        <w:fldChar w:fldCharType="separate"/>
      </w:r>
      <w:r>
        <w:rPr>
          <w:rFonts w:hint="eastAsia"/>
          <w:color w:val="auto"/>
          <w:sz w:val="28"/>
          <w:szCs w:val="28"/>
          <w:highlight w:val="none"/>
        </w:rPr>
        <w:t>第三部分  供应商须知</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_Toc14924 \h </w:instrText>
      </w:r>
      <w:r>
        <w:rPr>
          <w:color w:val="auto"/>
          <w:sz w:val="28"/>
          <w:szCs w:val="28"/>
          <w:highlight w:val="none"/>
        </w:rPr>
        <w:fldChar w:fldCharType="separate"/>
      </w:r>
      <w:r>
        <w:rPr>
          <w:color w:val="auto"/>
          <w:sz w:val="28"/>
          <w:szCs w:val="28"/>
          <w:highlight w:val="none"/>
        </w:rPr>
        <w:t>9</w:t>
      </w:r>
      <w:r>
        <w:rPr>
          <w:color w:val="auto"/>
          <w:sz w:val="28"/>
          <w:szCs w:val="28"/>
          <w:highlight w:val="none"/>
        </w:rPr>
        <w:fldChar w:fldCharType="end"/>
      </w:r>
      <w:r>
        <w:rPr>
          <w:rFonts w:cs="仿宋_GB2312" w:asciiTheme="minorEastAsia" w:hAnsiTheme="minorEastAsia" w:eastAsiaTheme="minorEastAsia"/>
          <w:color w:val="auto"/>
          <w:sz w:val="28"/>
          <w:szCs w:val="28"/>
          <w:highlight w:val="none"/>
        </w:rPr>
        <w:fldChar w:fldCharType="end"/>
      </w:r>
    </w:p>
    <w:p w14:paraId="2DEE4424">
      <w:pPr>
        <w:pStyle w:val="40"/>
        <w:tabs>
          <w:tab w:val="right" w:leader="dot" w:pos="9072"/>
        </w:tabs>
        <w:spacing w:line="360" w:lineRule="auto"/>
        <w:rPr>
          <w:color w:val="auto"/>
          <w:sz w:val="28"/>
          <w:szCs w:val="28"/>
          <w:highlight w:val="none"/>
        </w:rPr>
      </w:pPr>
      <w:r>
        <w:rPr>
          <w:rFonts w:cs="仿宋_GB2312" w:asciiTheme="minorEastAsia" w:hAnsiTheme="minorEastAsia" w:eastAsiaTheme="minorEastAsia"/>
          <w:color w:val="auto"/>
          <w:sz w:val="28"/>
          <w:szCs w:val="28"/>
          <w:highlight w:val="none"/>
        </w:rPr>
        <w:fldChar w:fldCharType="begin"/>
      </w:r>
      <w:r>
        <w:rPr>
          <w:rFonts w:cs="仿宋_GB2312" w:asciiTheme="minorEastAsia" w:hAnsiTheme="minorEastAsia" w:eastAsiaTheme="minorEastAsia"/>
          <w:color w:val="auto"/>
          <w:sz w:val="28"/>
          <w:szCs w:val="28"/>
          <w:highlight w:val="none"/>
        </w:rPr>
        <w:instrText xml:space="preserve"> HYPERLINK \l _Toc7817 </w:instrText>
      </w:r>
      <w:r>
        <w:rPr>
          <w:rFonts w:cs="仿宋_GB2312" w:asciiTheme="minorEastAsia" w:hAnsiTheme="minorEastAsia" w:eastAsiaTheme="minorEastAsia"/>
          <w:color w:val="auto"/>
          <w:sz w:val="28"/>
          <w:szCs w:val="28"/>
          <w:highlight w:val="none"/>
        </w:rPr>
        <w:fldChar w:fldCharType="separate"/>
      </w:r>
      <w:r>
        <w:rPr>
          <w:rFonts w:hint="eastAsia" w:cs="仿宋_GB2312" w:asciiTheme="minorEastAsia" w:hAnsiTheme="minorEastAsia" w:eastAsiaTheme="minorEastAsia"/>
          <w:color w:val="auto"/>
          <w:sz w:val="28"/>
          <w:szCs w:val="28"/>
          <w:highlight w:val="none"/>
        </w:rPr>
        <w:t>第四部分  采购需求</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_Toc7817 \h </w:instrText>
      </w:r>
      <w:r>
        <w:rPr>
          <w:color w:val="auto"/>
          <w:sz w:val="28"/>
          <w:szCs w:val="28"/>
          <w:highlight w:val="none"/>
        </w:rPr>
        <w:fldChar w:fldCharType="separate"/>
      </w:r>
      <w:r>
        <w:rPr>
          <w:color w:val="auto"/>
          <w:sz w:val="28"/>
          <w:szCs w:val="28"/>
          <w:highlight w:val="none"/>
        </w:rPr>
        <w:t>28</w:t>
      </w:r>
      <w:r>
        <w:rPr>
          <w:color w:val="auto"/>
          <w:sz w:val="28"/>
          <w:szCs w:val="28"/>
          <w:highlight w:val="none"/>
        </w:rPr>
        <w:fldChar w:fldCharType="end"/>
      </w:r>
      <w:r>
        <w:rPr>
          <w:rFonts w:cs="仿宋_GB2312" w:asciiTheme="minorEastAsia" w:hAnsiTheme="minorEastAsia" w:eastAsiaTheme="minorEastAsia"/>
          <w:color w:val="auto"/>
          <w:sz w:val="28"/>
          <w:szCs w:val="28"/>
          <w:highlight w:val="none"/>
        </w:rPr>
        <w:fldChar w:fldCharType="end"/>
      </w:r>
    </w:p>
    <w:p w14:paraId="543A2596">
      <w:pPr>
        <w:pStyle w:val="40"/>
        <w:tabs>
          <w:tab w:val="right" w:leader="dot" w:pos="9072"/>
        </w:tabs>
        <w:spacing w:line="360" w:lineRule="auto"/>
        <w:rPr>
          <w:color w:val="auto"/>
          <w:sz w:val="28"/>
          <w:szCs w:val="28"/>
          <w:highlight w:val="none"/>
        </w:rPr>
      </w:pPr>
      <w:r>
        <w:rPr>
          <w:rFonts w:cs="仿宋_GB2312" w:asciiTheme="minorEastAsia" w:hAnsiTheme="minorEastAsia" w:eastAsiaTheme="minorEastAsia"/>
          <w:color w:val="auto"/>
          <w:sz w:val="28"/>
          <w:szCs w:val="28"/>
          <w:highlight w:val="none"/>
        </w:rPr>
        <w:fldChar w:fldCharType="begin"/>
      </w:r>
      <w:r>
        <w:rPr>
          <w:rFonts w:cs="仿宋_GB2312" w:asciiTheme="minorEastAsia" w:hAnsiTheme="minorEastAsia" w:eastAsiaTheme="minorEastAsia"/>
          <w:color w:val="auto"/>
          <w:sz w:val="28"/>
          <w:szCs w:val="28"/>
          <w:highlight w:val="none"/>
        </w:rPr>
        <w:instrText xml:space="preserve"> HYPERLINK \l _Toc2129 </w:instrText>
      </w:r>
      <w:r>
        <w:rPr>
          <w:rFonts w:cs="仿宋_GB2312" w:asciiTheme="minorEastAsia" w:hAnsiTheme="minorEastAsia" w:eastAsiaTheme="minorEastAsia"/>
          <w:color w:val="auto"/>
          <w:sz w:val="28"/>
          <w:szCs w:val="28"/>
          <w:highlight w:val="none"/>
        </w:rPr>
        <w:fldChar w:fldCharType="separate"/>
      </w:r>
      <w:r>
        <w:rPr>
          <w:rFonts w:hint="eastAsia" w:cs="仿宋_GB2312" w:asciiTheme="minorEastAsia" w:hAnsiTheme="minorEastAsia" w:eastAsiaTheme="minorEastAsia"/>
          <w:color w:val="auto"/>
          <w:sz w:val="28"/>
          <w:szCs w:val="28"/>
          <w:highlight w:val="none"/>
        </w:rPr>
        <w:t>第五部分  评定标准</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_Toc2129 \h </w:instrText>
      </w:r>
      <w:r>
        <w:rPr>
          <w:color w:val="auto"/>
          <w:sz w:val="28"/>
          <w:szCs w:val="28"/>
          <w:highlight w:val="none"/>
        </w:rPr>
        <w:fldChar w:fldCharType="separate"/>
      </w:r>
      <w:r>
        <w:rPr>
          <w:color w:val="auto"/>
          <w:sz w:val="28"/>
          <w:szCs w:val="28"/>
          <w:highlight w:val="none"/>
        </w:rPr>
        <w:t>43</w:t>
      </w:r>
      <w:r>
        <w:rPr>
          <w:color w:val="auto"/>
          <w:sz w:val="28"/>
          <w:szCs w:val="28"/>
          <w:highlight w:val="none"/>
        </w:rPr>
        <w:fldChar w:fldCharType="end"/>
      </w:r>
      <w:r>
        <w:rPr>
          <w:rFonts w:cs="仿宋_GB2312" w:asciiTheme="minorEastAsia" w:hAnsiTheme="minorEastAsia" w:eastAsiaTheme="minorEastAsia"/>
          <w:color w:val="auto"/>
          <w:sz w:val="28"/>
          <w:szCs w:val="28"/>
          <w:highlight w:val="none"/>
        </w:rPr>
        <w:fldChar w:fldCharType="end"/>
      </w:r>
    </w:p>
    <w:p w14:paraId="4271B632">
      <w:pPr>
        <w:pStyle w:val="40"/>
        <w:tabs>
          <w:tab w:val="right" w:leader="dot" w:pos="9072"/>
        </w:tabs>
        <w:spacing w:line="360" w:lineRule="auto"/>
        <w:rPr>
          <w:color w:val="auto"/>
          <w:sz w:val="28"/>
          <w:szCs w:val="28"/>
          <w:highlight w:val="none"/>
        </w:rPr>
      </w:pPr>
      <w:r>
        <w:rPr>
          <w:rFonts w:cs="仿宋_GB2312" w:asciiTheme="minorEastAsia" w:hAnsiTheme="minorEastAsia" w:eastAsiaTheme="minorEastAsia"/>
          <w:color w:val="auto"/>
          <w:sz w:val="28"/>
          <w:szCs w:val="28"/>
          <w:highlight w:val="none"/>
        </w:rPr>
        <w:fldChar w:fldCharType="begin"/>
      </w:r>
      <w:r>
        <w:rPr>
          <w:rFonts w:cs="仿宋_GB2312" w:asciiTheme="minorEastAsia" w:hAnsiTheme="minorEastAsia" w:eastAsiaTheme="minorEastAsia"/>
          <w:color w:val="auto"/>
          <w:sz w:val="28"/>
          <w:szCs w:val="28"/>
          <w:highlight w:val="none"/>
        </w:rPr>
        <w:instrText xml:space="preserve"> HYPERLINK \l _Toc31982 </w:instrText>
      </w:r>
      <w:r>
        <w:rPr>
          <w:rFonts w:cs="仿宋_GB2312" w:asciiTheme="minorEastAsia" w:hAnsiTheme="minorEastAsia" w:eastAsiaTheme="minorEastAsia"/>
          <w:color w:val="auto"/>
          <w:sz w:val="28"/>
          <w:szCs w:val="28"/>
          <w:highlight w:val="none"/>
        </w:rPr>
        <w:fldChar w:fldCharType="separate"/>
      </w:r>
      <w:r>
        <w:rPr>
          <w:rFonts w:hint="eastAsia" w:cs="仿宋_GB2312" w:asciiTheme="minorEastAsia" w:hAnsiTheme="minorEastAsia" w:eastAsiaTheme="minorEastAsia"/>
          <w:color w:val="auto"/>
          <w:sz w:val="28"/>
          <w:szCs w:val="28"/>
          <w:highlight w:val="none"/>
        </w:rPr>
        <w:t>第六部分  拟签订的合同文本</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_Toc31982 \h </w:instrText>
      </w:r>
      <w:r>
        <w:rPr>
          <w:color w:val="auto"/>
          <w:sz w:val="28"/>
          <w:szCs w:val="28"/>
          <w:highlight w:val="none"/>
        </w:rPr>
        <w:fldChar w:fldCharType="separate"/>
      </w:r>
      <w:r>
        <w:rPr>
          <w:color w:val="auto"/>
          <w:sz w:val="28"/>
          <w:szCs w:val="28"/>
          <w:highlight w:val="none"/>
        </w:rPr>
        <w:t>49</w:t>
      </w:r>
      <w:r>
        <w:rPr>
          <w:color w:val="auto"/>
          <w:sz w:val="28"/>
          <w:szCs w:val="28"/>
          <w:highlight w:val="none"/>
        </w:rPr>
        <w:fldChar w:fldCharType="end"/>
      </w:r>
      <w:r>
        <w:rPr>
          <w:rFonts w:cs="仿宋_GB2312" w:asciiTheme="minorEastAsia" w:hAnsiTheme="minorEastAsia" w:eastAsiaTheme="minorEastAsia"/>
          <w:color w:val="auto"/>
          <w:sz w:val="28"/>
          <w:szCs w:val="28"/>
          <w:highlight w:val="none"/>
        </w:rPr>
        <w:fldChar w:fldCharType="end"/>
      </w:r>
    </w:p>
    <w:p w14:paraId="0B7050E5">
      <w:pPr>
        <w:pStyle w:val="40"/>
        <w:tabs>
          <w:tab w:val="right" w:leader="dot" w:pos="9072"/>
        </w:tabs>
        <w:spacing w:line="360" w:lineRule="auto"/>
        <w:rPr>
          <w:color w:val="auto"/>
          <w:sz w:val="28"/>
          <w:szCs w:val="28"/>
          <w:highlight w:val="none"/>
        </w:rPr>
      </w:pPr>
      <w:r>
        <w:rPr>
          <w:rFonts w:cs="仿宋_GB2312" w:asciiTheme="minorEastAsia" w:hAnsiTheme="minorEastAsia" w:eastAsiaTheme="minorEastAsia"/>
          <w:color w:val="auto"/>
          <w:sz w:val="28"/>
          <w:szCs w:val="28"/>
          <w:highlight w:val="none"/>
        </w:rPr>
        <w:fldChar w:fldCharType="begin"/>
      </w:r>
      <w:r>
        <w:rPr>
          <w:rFonts w:cs="仿宋_GB2312" w:asciiTheme="minorEastAsia" w:hAnsiTheme="minorEastAsia" w:eastAsiaTheme="minorEastAsia"/>
          <w:color w:val="auto"/>
          <w:sz w:val="28"/>
          <w:szCs w:val="28"/>
          <w:highlight w:val="none"/>
        </w:rPr>
        <w:instrText xml:space="preserve"> HYPERLINK \l _Toc26858 </w:instrText>
      </w:r>
      <w:r>
        <w:rPr>
          <w:rFonts w:cs="仿宋_GB2312" w:asciiTheme="minorEastAsia" w:hAnsiTheme="minorEastAsia" w:eastAsiaTheme="minorEastAsia"/>
          <w:color w:val="auto"/>
          <w:sz w:val="28"/>
          <w:szCs w:val="28"/>
          <w:highlight w:val="none"/>
        </w:rPr>
        <w:fldChar w:fldCharType="separate"/>
      </w:r>
      <w:r>
        <w:rPr>
          <w:rFonts w:hint="eastAsia" w:cs="仿宋_GB2312" w:asciiTheme="minorEastAsia" w:hAnsiTheme="minorEastAsia" w:eastAsiaTheme="minorEastAsia"/>
          <w:color w:val="auto"/>
          <w:sz w:val="28"/>
          <w:szCs w:val="28"/>
          <w:highlight w:val="none"/>
        </w:rPr>
        <w:t>第七部分  应提交的有关格式范例</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_Toc26858 \h </w:instrText>
      </w:r>
      <w:r>
        <w:rPr>
          <w:color w:val="auto"/>
          <w:sz w:val="28"/>
          <w:szCs w:val="28"/>
          <w:highlight w:val="none"/>
        </w:rPr>
        <w:fldChar w:fldCharType="separate"/>
      </w:r>
      <w:r>
        <w:rPr>
          <w:color w:val="auto"/>
          <w:sz w:val="28"/>
          <w:szCs w:val="28"/>
          <w:highlight w:val="none"/>
        </w:rPr>
        <w:t>67</w:t>
      </w:r>
      <w:r>
        <w:rPr>
          <w:color w:val="auto"/>
          <w:sz w:val="28"/>
          <w:szCs w:val="28"/>
          <w:highlight w:val="none"/>
        </w:rPr>
        <w:fldChar w:fldCharType="end"/>
      </w:r>
      <w:r>
        <w:rPr>
          <w:rFonts w:cs="仿宋_GB2312" w:asciiTheme="minorEastAsia" w:hAnsiTheme="minorEastAsia" w:eastAsiaTheme="minorEastAsia"/>
          <w:color w:val="auto"/>
          <w:sz w:val="28"/>
          <w:szCs w:val="28"/>
          <w:highlight w:val="none"/>
        </w:rPr>
        <w:fldChar w:fldCharType="end"/>
      </w:r>
    </w:p>
    <w:p w14:paraId="0EBE6BE7">
      <w:pPr>
        <w:pStyle w:val="40"/>
        <w:tabs>
          <w:tab w:val="right" w:leader="dot" w:pos="9072"/>
        </w:tabs>
        <w:spacing w:line="360" w:lineRule="auto"/>
        <w:rPr>
          <w:color w:val="auto"/>
          <w:highlight w:val="none"/>
        </w:rPr>
      </w:pPr>
      <w:r>
        <w:rPr>
          <w:rFonts w:cs="仿宋_GB2312" w:asciiTheme="minorEastAsia" w:hAnsiTheme="minorEastAsia" w:eastAsiaTheme="minorEastAsia"/>
          <w:color w:val="auto"/>
          <w:sz w:val="28"/>
          <w:szCs w:val="28"/>
          <w:highlight w:val="none"/>
        </w:rPr>
        <w:fldChar w:fldCharType="begin"/>
      </w:r>
      <w:r>
        <w:rPr>
          <w:rFonts w:cs="仿宋_GB2312" w:asciiTheme="minorEastAsia" w:hAnsiTheme="minorEastAsia" w:eastAsiaTheme="minorEastAsia"/>
          <w:color w:val="auto"/>
          <w:sz w:val="28"/>
          <w:szCs w:val="28"/>
          <w:highlight w:val="none"/>
        </w:rPr>
        <w:instrText xml:space="preserve"> HYPERLINK \l _Toc26731 </w:instrText>
      </w:r>
      <w:r>
        <w:rPr>
          <w:rFonts w:cs="仿宋_GB2312" w:asciiTheme="minorEastAsia" w:hAnsiTheme="minorEastAsia" w:eastAsiaTheme="minorEastAsia"/>
          <w:color w:val="auto"/>
          <w:sz w:val="28"/>
          <w:szCs w:val="28"/>
          <w:highlight w:val="none"/>
        </w:rPr>
        <w:fldChar w:fldCharType="separate"/>
      </w:r>
      <w:r>
        <w:rPr>
          <w:rFonts w:hint="eastAsia" w:cs="仿宋_GB2312" w:asciiTheme="minorEastAsia" w:hAnsiTheme="minorEastAsia" w:eastAsiaTheme="minorEastAsia"/>
          <w:color w:val="auto"/>
          <w:sz w:val="28"/>
          <w:szCs w:val="28"/>
          <w:highlight w:val="none"/>
        </w:rPr>
        <w:t>第八部分  最后报价格式</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_Toc26731 \h </w:instrText>
      </w:r>
      <w:r>
        <w:rPr>
          <w:color w:val="auto"/>
          <w:sz w:val="28"/>
          <w:szCs w:val="28"/>
          <w:highlight w:val="none"/>
        </w:rPr>
        <w:fldChar w:fldCharType="separate"/>
      </w:r>
      <w:r>
        <w:rPr>
          <w:color w:val="auto"/>
          <w:sz w:val="28"/>
          <w:szCs w:val="28"/>
          <w:highlight w:val="none"/>
        </w:rPr>
        <w:t>83</w:t>
      </w:r>
      <w:r>
        <w:rPr>
          <w:color w:val="auto"/>
          <w:sz w:val="28"/>
          <w:szCs w:val="28"/>
          <w:highlight w:val="none"/>
        </w:rPr>
        <w:fldChar w:fldCharType="end"/>
      </w:r>
      <w:r>
        <w:rPr>
          <w:rFonts w:cs="仿宋_GB2312" w:asciiTheme="minorEastAsia" w:hAnsiTheme="minorEastAsia" w:eastAsiaTheme="minorEastAsia"/>
          <w:color w:val="auto"/>
          <w:sz w:val="28"/>
          <w:szCs w:val="28"/>
          <w:highlight w:val="none"/>
        </w:rPr>
        <w:fldChar w:fldCharType="end"/>
      </w:r>
    </w:p>
    <w:p w14:paraId="6ABF6353">
      <w:pPr>
        <w:spacing w:line="360" w:lineRule="auto"/>
        <w:ind w:firstLine="480" w:firstLineChars="229"/>
        <w:rPr>
          <w:rFonts w:cs="仿宋_GB2312" w:asciiTheme="minorEastAsia" w:hAnsiTheme="minorEastAsia" w:eastAsiaTheme="minorEastAsia"/>
          <w:color w:val="auto"/>
          <w:sz w:val="24"/>
          <w:highlight w:val="none"/>
        </w:rPr>
      </w:pPr>
      <w:r>
        <w:rPr>
          <w:rFonts w:cs="仿宋_GB2312" w:asciiTheme="minorEastAsia" w:hAnsiTheme="minorEastAsia" w:eastAsiaTheme="minorEastAsia"/>
          <w:color w:val="auto"/>
          <w:szCs w:val="32"/>
          <w:highlight w:val="none"/>
        </w:rPr>
        <w:fldChar w:fldCharType="end"/>
      </w:r>
    </w:p>
    <w:p w14:paraId="46340D02">
      <w:pPr>
        <w:spacing w:line="360" w:lineRule="auto"/>
        <w:ind w:firstLine="549" w:firstLineChars="229"/>
        <w:rPr>
          <w:rFonts w:cs="仿宋_GB2312" w:asciiTheme="minorEastAsia" w:hAnsiTheme="minorEastAsia" w:eastAsiaTheme="minorEastAsia"/>
          <w:color w:val="auto"/>
          <w:sz w:val="24"/>
          <w:highlight w:val="none"/>
        </w:rPr>
      </w:pPr>
    </w:p>
    <w:p w14:paraId="70F1606C">
      <w:pPr>
        <w:spacing w:line="360" w:lineRule="auto"/>
        <w:ind w:firstLine="549" w:firstLineChars="229"/>
        <w:rPr>
          <w:rFonts w:cs="仿宋_GB2312" w:asciiTheme="minorEastAsia" w:hAnsiTheme="minorEastAsia" w:eastAsiaTheme="minorEastAsia"/>
          <w:color w:val="auto"/>
          <w:sz w:val="24"/>
          <w:highlight w:val="none"/>
        </w:rPr>
      </w:pPr>
    </w:p>
    <w:p w14:paraId="1681961E">
      <w:pPr>
        <w:spacing w:line="360" w:lineRule="auto"/>
        <w:ind w:firstLine="549" w:firstLineChars="229"/>
        <w:rPr>
          <w:rFonts w:cs="仿宋_GB2312" w:asciiTheme="minorEastAsia" w:hAnsiTheme="minorEastAsia" w:eastAsiaTheme="minorEastAsia"/>
          <w:color w:val="auto"/>
          <w:sz w:val="24"/>
          <w:highlight w:val="none"/>
        </w:rPr>
      </w:pPr>
    </w:p>
    <w:p w14:paraId="3F769194">
      <w:pPr>
        <w:spacing w:line="360" w:lineRule="auto"/>
        <w:ind w:firstLine="549" w:firstLineChars="229"/>
        <w:rPr>
          <w:rFonts w:cs="仿宋_GB2312" w:asciiTheme="minorEastAsia" w:hAnsiTheme="minorEastAsia" w:eastAsiaTheme="minorEastAsia"/>
          <w:color w:val="auto"/>
          <w:sz w:val="24"/>
          <w:highlight w:val="none"/>
        </w:rPr>
      </w:pPr>
    </w:p>
    <w:p w14:paraId="40402EE4">
      <w:pPr>
        <w:spacing w:line="360" w:lineRule="auto"/>
        <w:ind w:firstLine="549" w:firstLineChars="229"/>
        <w:rPr>
          <w:rFonts w:cs="仿宋_GB2312" w:asciiTheme="minorEastAsia" w:hAnsiTheme="minorEastAsia" w:eastAsiaTheme="minorEastAsia"/>
          <w:color w:val="auto"/>
          <w:sz w:val="24"/>
          <w:highlight w:val="none"/>
        </w:rPr>
      </w:pPr>
    </w:p>
    <w:p w14:paraId="7FFEBC85">
      <w:pPr>
        <w:spacing w:line="360" w:lineRule="auto"/>
        <w:ind w:firstLine="549" w:firstLineChars="229"/>
        <w:rPr>
          <w:rFonts w:cs="仿宋_GB2312" w:asciiTheme="minorEastAsia" w:hAnsiTheme="minorEastAsia" w:eastAsiaTheme="minorEastAsia"/>
          <w:color w:val="auto"/>
          <w:sz w:val="24"/>
          <w:highlight w:val="none"/>
        </w:rPr>
      </w:pPr>
    </w:p>
    <w:p w14:paraId="5CF9B1AB">
      <w:pPr>
        <w:spacing w:line="360" w:lineRule="auto"/>
        <w:ind w:firstLine="549" w:firstLineChars="229"/>
        <w:rPr>
          <w:rFonts w:cs="仿宋_GB2312" w:asciiTheme="minorEastAsia" w:hAnsiTheme="minorEastAsia" w:eastAsiaTheme="minorEastAsia"/>
          <w:color w:val="auto"/>
          <w:sz w:val="24"/>
          <w:highlight w:val="none"/>
        </w:rPr>
      </w:pPr>
    </w:p>
    <w:p w14:paraId="7466A9A9">
      <w:pPr>
        <w:spacing w:line="360" w:lineRule="auto"/>
        <w:ind w:firstLine="549" w:firstLineChars="229"/>
        <w:rPr>
          <w:rFonts w:cs="仿宋_GB2312" w:asciiTheme="minorEastAsia" w:hAnsiTheme="minorEastAsia" w:eastAsiaTheme="minorEastAsia"/>
          <w:color w:val="auto"/>
          <w:sz w:val="24"/>
          <w:highlight w:val="none"/>
        </w:rPr>
      </w:pPr>
    </w:p>
    <w:p w14:paraId="52C1A15F">
      <w:pPr>
        <w:spacing w:line="360" w:lineRule="auto"/>
        <w:ind w:firstLine="549" w:firstLineChars="229"/>
        <w:rPr>
          <w:rFonts w:cs="仿宋_GB2312" w:asciiTheme="minorEastAsia" w:hAnsiTheme="minorEastAsia" w:eastAsiaTheme="minorEastAsia"/>
          <w:color w:val="auto"/>
          <w:sz w:val="24"/>
          <w:highlight w:val="none"/>
        </w:rPr>
      </w:pPr>
    </w:p>
    <w:p w14:paraId="461713F9">
      <w:pPr>
        <w:spacing w:line="360" w:lineRule="auto"/>
        <w:ind w:firstLine="549" w:firstLineChars="229"/>
        <w:rPr>
          <w:rFonts w:cs="仿宋_GB2312" w:asciiTheme="minorEastAsia" w:hAnsiTheme="minorEastAsia" w:eastAsiaTheme="minorEastAsia"/>
          <w:color w:val="auto"/>
          <w:sz w:val="24"/>
          <w:highlight w:val="none"/>
        </w:rPr>
      </w:pPr>
    </w:p>
    <w:p w14:paraId="61CF2ACA">
      <w:pPr>
        <w:spacing w:line="360" w:lineRule="auto"/>
        <w:ind w:firstLine="549" w:firstLineChars="229"/>
        <w:rPr>
          <w:rFonts w:cs="仿宋_GB2312" w:asciiTheme="minorEastAsia" w:hAnsiTheme="minorEastAsia" w:eastAsiaTheme="minorEastAsia"/>
          <w:color w:val="auto"/>
          <w:sz w:val="24"/>
          <w:highlight w:val="none"/>
        </w:rPr>
      </w:pPr>
    </w:p>
    <w:p w14:paraId="1224A052">
      <w:pPr>
        <w:spacing w:line="360" w:lineRule="auto"/>
        <w:ind w:firstLine="549" w:firstLineChars="229"/>
        <w:rPr>
          <w:rFonts w:cs="仿宋_GB2312" w:asciiTheme="minorEastAsia" w:hAnsiTheme="minorEastAsia" w:eastAsiaTheme="minorEastAsia"/>
          <w:color w:val="auto"/>
          <w:sz w:val="24"/>
          <w:highlight w:val="none"/>
        </w:rPr>
      </w:pPr>
    </w:p>
    <w:p w14:paraId="11096D89">
      <w:pPr>
        <w:pStyle w:val="2"/>
        <w:numPr>
          <w:ilvl w:val="0"/>
          <w:numId w:val="0"/>
        </w:numPr>
        <w:bidi w:val="0"/>
        <w:ind w:leftChars="0"/>
        <w:jc w:val="center"/>
        <w:rPr>
          <w:rFonts w:cs="仿宋_GB2312" w:asciiTheme="minorEastAsia" w:hAnsiTheme="minorEastAsia" w:eastAsiaTheme="minorEastAsia"/>
          <w:b/>
          <w:color w:val="auto"/>
          <w:szCs w:val="20"/>
          <w:highlight w:val="none"/>
        </w:rPr>
      </w:pPr>
      <w:bookmarkStart w:id="2" w:name="第一部分"/>
      <w:r>
        <w:rPr>
          <w:rFonts w:hint="eastAsia" w:cs="仿宋_GB2312" w:asciiTheme="minorEastAsia" w:hAnsiTheme="minorEastAsia" w:eastAsiaTheme="minorEastAsia"/>
          <w:b/>
          <w:color w:val="auto"/>
          <w:szCs w:val="36"/>
          <w:highlight w:val="none"/>
        </w:rPr>
        <w:br w:type="page"/>
      </w:r>
      <w:bookmarkEnd w:id="1"/>
      <w:bookmarkEnd w:id="2"/>
      <w:bookmarkStart w:id="3" w:name="_Hlt74707423"/>
      <w:bookmarkEnd w:id="3"/>
      <w:bookmarkStart w:id="4" w:name="_Hlt74649545"/>
      <w:bookmarkEnd w:id="4"/>
      <w:bookmarkStart w:id="5" w:name="_Hlt74728647"/>
      <w:bookmarkEnd w:id="5"/>
      <w:bookmarkStart w:id="6" w:name="_Hlt74729822"/>
      <w:bookmarkEnd w:id="6"/>
      <w:bookmarkStart w:id="7" w:name="_Toc31156"/>
      <w:bookmarkStart w:id="8" w:name="第二部分"/>
      <w:bookmarkStart w:id="9" w:name="_Toc91899870"/>
      <w:bookmarkStart w:id="10" w:name="_Toc91899871"/>
      <w:r>
        <w:rPr>
          <w:rFonts w:hint="eastAsia"/>
          <w:color w:val="auto"/>
          <w:sz w:val="36"/>
          <w:szCs w:val="36"/>
          <w:highlight w:val="none"/>
        </w:rPr>
        <w:t>第一部分  邀请供应商</w:t>
      </w:r>
      <w:bookmarkEnd w:id="7"/>
    </w:p>
    <w:p w14:paraId="181C540A">
      <w:pPr>
        <w:bidi w:val="0"/>
        <w:spacing w:line="360" w:lineRule="auto"/>
        <w:jc w:val="center"/>
        <w:rPr>
          <w:b/>
          <w:bCs/>
          <w:color w:val="auto"/>
          <w:sz w:val="32"/>
          <w:szCs w:val="32"/>
          <w:highlight w:val="none"/>
        </w:rPr>
      </w:pPr>
      <w:r>
        <w:rPr>
          <w:rFonts w:hint="eastAsia"/>
          <w:b/>
          <w:bCs/>
          <w:color w:val="auto"/>
          <w:sz w:val="32"/>
          <w:szCs w:val="32"/>
          <w:highlight w:val="none"/>
          <w:lang w:val="en-US" w:eastAsia="zh-CN"/>
        </w:rPr>
        <w:t>广西壮族自治区第十六届运动会(柔道、跆拳道、摔跤、拳击)设施设备采购项目的</w:t>
      </w:r>
      <w:r>
        <w:rPr>
          <w:rFonts w:hint="eastAsia"/>
          <w:b/>
          <w:bCs/>
          <w:color w:val="auto"/>
          <w:sz w:val="32"/>
          <w:szCs w:val="32"/>
          <w:highlight w:val="none"/>
        </w:rPr>
        <w:t>竞争性谈判公告</w:t>
      </w:r>
    </w:p>
    <w:p w14:paraId="0BA53AEA">
      <w:pPr>
        <w:pageBreakBefore w:val="0"/>
        <w:kinsoku/>
        <w:wordWrap/>
        <w:overflowPunct/>
        <w:topLinePunct w:val="0"/>
        <w:bidi w:val="0"/>
        <w:spacing w:line="360" w:lineRule="auto"/>
        <w:rPr>
          <w:rFonts w:hint="eastAsia" w:ascii="宋体" w:hAnsi="宋体" w:eastAsia="宋体" w:cs="宋体"/>
          <w:color w:val="auto"/>
          <w:sz w:val="21"/>
          <w:szCs w:val="21"/>
          <w:highlight w:val="none"/>
        </w:rPr>
      </w:pPr>
    </w:p>
    <w:p w14:paraId="45F8EAF9">
      <w:pPr>
        <w:pageBreakBefore w:val="0"/>
        <w:pBdr>
          <w:top w:val="single" w:color="auto" w:sz="4" w:space="1"/>
          <w:left w:val="single" w:color="auto" w:sz="4" w:space="4"/>
          <w:bottom w:val="single" w:color="auto" w:sz="4" w:space="1"/>
          <w:right w:val="single" w:color="auto" w:sz="4" w:space="4"/>
        </w:pBdr>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项目概况</w:t>
      </w:r>
    </w:p>
    <w:p w14:paraId="403DE38A">
      <w:pPr>
        <w:pageBreakBefore w:val="0"/>
        <w:pBdr>
          <w:top w:val="single" w:color="auto" w:sz="4" w:space="1"/>
          <w:left w:val="single" w:color="auto" w:sz="4" w:space="4"/>
          <w:bottom w:val="single" w:color="auto" w:sz="4" w:space="1"/>
          <w:right w:val="single" w:color="auto" w:sz="4" w:space="4"/>
        </w:pBdr>
        <w:kinsoku/>
        <w:wordWrap/>
        <w:overflowPunct/>
        <w:topLinePunct w:val="0"/>
        <w:bidi w:val="0"/>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cs="宋体"/>
          <w:color w:val="auto"/>
          <w:sz w:val="21"/>
          <w:szCs w:val="21"/>
          <w:highlight w:val="none"/>
          <w:lang w:val="en-US" w:eastAsia="zh-CN"/>
        </w:rPr>
        <w:t>广西壮族自治区第十六届运动会(柔道、跆拳道、摔跤、拳击)设施设备采购项目</w:t>
      </w:r>
      <w:r>
        <w:rPr>
          <w:rFonts w:hint="eastAsia" w:ascii="宋体" w:hAnsi="宋体" w:eastAsia="宋体" w:cs="宋体"/>
          <w:color w:val="auto"/>
          <w:sz w:val="21"/>
          <w:szCs w:val="21"/>
          <w:highlight w:val="none"/>
        </w:rPr>
        <w:t>的潜在供应商应在广西政府采购云平台（https://www.gcy.zfcg.gxzf.gov.cn/）获取采购文件，并于</w:t>
      </w:r>
      <w:r>
        <w:rPr>
          <w:rFonts w:hint="eastAsia" w:ascii="宋体" w:hAnsi="宋体" w:eastAsia="宋体" w:cs="宋体"/>
          <w:color w:val="auto"/>
          <w:sz w:val="21"/>
          <w:szCs w:val="21"/>
          <w:highlight w:val="none"/>
          <w:u w:val="single"/>
        </w:rPr>
        <w:t>202</w:t>
      </w:r>
      <w:r>
        <w:rPr>
          <w:rFonts w:hint="eastAsia" w:ascii="宋体" w:hAnsi="宋体" w:eastAsia="宋体" w:cs="宋体"/>
          <w:color w:val="auto"/>
          <w:sz w:val="21"/>
          <w:szCs w:val="21"/>
          <w:highlight w:val="none"/>
          <w:u w:val="single"/>
          <w:lang w:val="en-US" w:eastAsia="zh-CN"/>
        </w:rPr>
        <w:t>6</w:t>
      </w:r>
      <w:r>
        <w:rPr>
          <w:rFonts w:hint="eastAsia" w:ascii="宋体" w:hAnsi="宋体" w:eastAsia="宋体" w:cs="宋体"/>
          <w:bCs/>
          <w:color w:val="auto"/>
          <w:sz w:val="21"/>
          <w:szCs w:val="21"/>
          <w:highlight w:val="none"/>
          <w:u w:val="single"/>
        </w:rPr>
        <w:t>年</w:t>
      </w:r>
      <w:r>
        <w:rPr>
          <w:rFonts w:hint="eastAsia" w:ascii="宋体" w:hAnsi="宋体" w:cs="宋体"/>
          <w:bCs/>
          <w:color w:val="auto"/>
          <w:sz w:val="21"/>
          <w:szCs w:val="21"/>
          <w:highlight w:val="none"/>
          <w:u w:val="single"/>
          <w:lang w:val="en-US" w:eastAsia="zh-CN"/>
        </w:rPr>
        <w:t>9</w:t>
      </w:r>
      <w:r>
        <w:rPr>
          <w:rFonts w:hint="eastAsia" w:ascii="宋体" w:hAnsi="宋体" w:eastAsia="宋体" w:cs="宋体"/>
          <w:bCs/>
          <w:color w:val="auto"/>
          <w:sz w:val="21"/>
          <w:szCs w:val="21"/>
          <w:highlight w:val="none"/>
          <w:u w:val="single"/>
        </w:rPr>
        <w:t>月</w:t>
      </w:r>
      <w:r>
        <w:rPr>
          <w:rFonts w:hint="eastAsia" w:ascii="宋体" w:hAnsi="宋体" w:cs="宋体"/>
          <w:bCs/>
          <w:color w:val="auto"/>
          <w:sz w:val="21"/>
          <w:szCs w:val="21"/>
          <w:highlight w:val="none"/>
          <w:u w:val="single"/>
          <w:lang w:val="en-US" w:eastAsia="zh-CN"/>
        </w:rPr>
        <w:t>05</w:t>
      </w:r>
      <w:r>
        <w:rPr>
          <w:rFonts w:hint="eastAsia" w:ascii="宋体" w:hAnsi="宋体" w:eastAsia="宋体" w:cs="宋体"/>
          <w:bCs/>
          <w:color w:val="auto"/>
          <w:sz w:val="21"/>
          <w:szCs w:val="21"/>
          <w:highlight w:val="none"/>
          <w:u w:val="single"/>
        </w:rPr>
        <w:t>日</w:t>
      </w:r>
      <w:r>
        <w:rPr>
          <w:rFonts w:hint="eastAsia" w:ascii="宋体" w:hAnsi="宋体" w:cs="宋体"/>
          <w:bCs/>
          <w:color w:val="auto"/>
          <w:sz w:val="21"/>
          <w:szCs w:val="21"/>
          <w:highlight w:val="none"/>
          <w:u w:val="single"/>
          <w:lang w:val="en-US" w:eastAsia="zh-CN"/>
        </w:rPr>
        <w:t>13</w:t>
      </w:r>
      <w:r>
        <w:rPr>
          <w:rFonts w:hint="eastAsia" w:ascii="宋体" w:hAnsi="宋体" w:eastAsia="宋体" w:cs="宋体"/>
          <w:bCs/>
          <w:color w:val="auto"/>
          <w:sz w:val="21"/>
          <w:szCs w:val="21"/>
          <w:highlight w:val="none"/>
          <w:u w:val="single"/>
          <w:lang w:val="en-US" w:eastAsia="zh-CN"/>
        </w:rPr>
        <w:t>时</w:t>
      </w:r>
      <w:r>
        <w:rPr>
          <w:rFonts w:hint="eastAsia" w:ascii="宋体" w:hAnsi="宋体" w:cs="宋体"/>
          <w:bCs/>
          <w:color w:val="auto"/>
          <w:sz w:val="21"/>
          <w:szCs w:val="21"/>
          <w:highlight w:val="none"/>
          <w:u w:val="single"/>
          <w:lang w:val="en-US" w:eastAsia="zh-CN"/>
        </w:rPr>
        <w:t>00</w:t>
      </w:r>
      <w:r>
        <w:rPr>
          <w:rFonts w:hint="eastAsia" w:ascii="宋体" w:hAnsi="宋体" w:eastAsia="宋体" w:cs="宋体"/>
          <w:bCs/>
          <w:color w:val="auto"/>
          <w:sz w:val="21"/>
          <w:szCs w:val="21"/>
          <w:highlight w:val="none"/>
          <w:u w:val="single"/>
        </w:rPr>
        <w:t>分</w:t>
      </w:r>
      <w:r>
        <w:rPr>
          <w:rFonts w:hint="eastAsia" w:ascii="宋体" w:hAnsi="宋体" w:eastAsia="宋体" w:cs="宋体"/>
          <w:bCs/>
          <w:color w:val="auto"/>
          <w:sz w:val="21"/>
          <w:szCs w:val="21"/>
          <w:highlight w:val="none"/>
        </w:rPr>
        <w:t>（北京时间）前提交响应文件</w:t>
      </w:r>
      <w:r>
        <w:rPr>
          <w:rFonts w:hint="eastAsia" w:ascii="宋体" w:hAnsi="宋体" w:eastAsia="宋体" w:cs="宋体"/>
          <w:color w:val="auto"/>
          <w:sz w:val="21"/>
          <w:szCs w:val="21"/>
          <w:highlight w:val="none"/>
        </w:rPr>
        <w:t>。</w:t>
      </w:r>
    </w:p>
    <w:p w14:paraId="0B78D3D1">
      <w:pPr>
        <w:pageBreakBefore w:val="0"/>
        <w:kinsoku/>
        <w:wordWrap/>
        <w:overflowPunct/>
        <w:topLinePunct w:val="0"/>
        <w:bidi w:val="0"/>
        <w:spacing w:line="360" w:lineRule="auto"/>
        <w:rPr>
          <w:rFonts w:hint="eastAsia" w:ascii="宋体" w:hAnsi="宋体" w:eastAsia="宋体" w:cs="宋体"/>
          <w:color w:val="auto"/>
          <w:sz w:val="21"/>
          <w:szCs w:val="21"/>
          <w:highlight w:val="none"/>
        </w:rPr>
      </w:pPr>
    </w:p>
    <w:p w14:paraId="192B646B">
      <w:pPr>
        <w:pStyle w:val="631"/>
        <w:pageBreakBefore w:val="0"/>
        <w:kinsoku/>
        <w:wordWrap/>
        <w:overflowPunct/>
        <w:topLinePunct w:val="0"/>
        <w:bidi w:val="0"/>
        <w:spacing w:line="360" w:lineRule="auto"/>
        <w:ind w:firstLine="0"/>
        <w:rPr>
          <w:rFonts w:hint="eastAsia" w:ascii="宋体" w:hAnsi="宋体" w:eastAsia="宋体" w:cs="宋体"/>
          <w:b/>
          <w:color w:val="auto"/>
          <w:sz w:val="21"/>
          <w:szCs w:val="21"/>
          <w:highlight w:val="none"/>
        </w:rPr>
      </w:pPr>
      <w:bookmarkStart w:id="11" w:name="_Toc35393629"/>
      <w:bookmarkStart w:id="12" w:name="_Toc28359012"/>
      <w:bookmarkStart w:id="13" w:name="_Toc35393798"/>
      <w:bookmarkStart w:id="14" w:name="_Toc28359089"/>
      <w:r>
        <w:rPr>
          <w:rFonts w:hint="eastAsia" w:ascii="宋体" w:hAnsi="宋体" w:eastAsia="宋体" w:cs="宋体"/>
          <w:b/>
          <w:color w:val="auto"/>
          <w:sz w:val="21"/>
          <w:szCs w:val="21"/>
          <w:highlight w:val="none"/>
        </w:rPr>
        <w:t>一、项目基本情况</w:t>
      </w:r>
      <w:bookmarkEnd w:id="11"/>
      <w:bookmarkEnd w:id="12"/>
      <w:bookmarkEnd w:id="13"/>
      <w:bookmarkEnd w:id="14"/>
    </w:p>
    <w:p w14:paraId="3A9F72A1">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项目编号：</w:t>
      </w:r>
      <w:r>
        <w:rPr>
          <w:rFonts w:hint="eastAsia" w:ascii="宋体" w:hAnsi="宋体" w:cs="宋体"/>
          <w:color w:val="auto"/>
          <w:sz w:val="21"/>
          <w:szCs w:val="21"/>
          <w:highlight w:val="none"/>
          <w:lang w:eastAsia="zh-CN"/>
        </w:rPr>
        <w:t>BHZC2026-J1-990266-BBWH</w:t>
      </w:r>
    </w:p>
    <w:p w14:paraId="4E39D9AA">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项目名称：</w:t>
      </w:r>
      <w:r>
        <w:rPr>
          <w:rFonts w:hint="eastAsia" w:ascii="宋体" w:hAnsi="宋体" w:cs="宋体"/>
          <w:color w:val="auto"/>
          <w:sz w:val="21"/>
          <w:szCs w:val="21"/>
          <w:highlight w:val="none"/>
          <w:lang w:val="en-US" w:eastAsia="zh-CN"/>
        </w:rPr>
        <w:t>广西壮族自治区第十六届运动会(柔道、跆拳道、摔跤、拳击)设施设备采购项目</w:t>
      </w:r>
    </w:p>
    <w:p w14:paraId="6F2AD9C9">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采购方式：竞争性谈判</w:t>
      </w:r>
    </w:p>
    <w:p w14:paraId="23304F71">
      <w:pPr>
        <w:pageBreakBefore w:val="0"/>
        <w:kinsoku/>
        <w:wordWrap/>
        <w:overflowPunct/>
        <w:topLinePunct w:val="0"/>
        <w:bidi w:val="0"/>
        <w:spacing w:line="360" w:lineRule="auto"/>
        <w:ind w:firstLine="420" w:firstLineChars="20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预算金额（元）：</w:t>
      </w:r>
      <w:r>
        <w:rPr>
          <w:rFonts w:hint="eastAsia" w:ascii="宋体" w:hAnsi="宋体" w:cs="宋体"/>
          <w:color w:val="auto"/>
          <w:sz w:val="21"/>
          <w:szCs w:val="21"/>
          <w:highlight w:val="none"/>
          <w:lang w:val="en-US" w:eastAsia="zh-CN"/>
        </w:rPr>
        <w:t>2769271.00</w:t>
      </w:r>
    </w:p>
    <w:p w14:paraId="73514232">
      <w:pPr>
        <w:pageBreakBefore w:val="0"/>
        <w:kinsoku/>
        <w:wordWrap/>
        <w:overflowPunct/>
        <w:topLinePunct w:val="0"/>
        <w:bidi w:val="0"/>
        <w:spacing w:line="360" w:lineRule="auto"/>
        <w:ind w:firstLine="420" w:firstLineChars="20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最高限价（元）：</w:t>
      </w:r>
      <w:r>
        <w:rPr>
          <w:rFonts w:hint="eastAsia" w:ascii="宋体" w:hAnsi="宋体" w:cs="宋体"/>
          <w:color w:val="auto"/>
          <w:sz w:val="21"/>
          <w:szCs w:val="21"/>
          <w:highlight w:val="none"/>
          <w:lang w:val="en-US" w:eastAsia="zh-CN"/>
        </w:rPr>
        <w:t>2769271.00</w:t>
      </w:r>
    </w:p>
    <w:p w14:paraId="66CC99DB">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采购需求：</w:t>
      </w:r>
      <w:r>
        <w:rPr>
          <w:rFonts w:hint="eastAsia" w:ascii="宋体" w:hAnsi="宋体" w:cs="宋体"/>
          <w:color w:val="auto"/>
          <w:sz w:val="21"/>
          <w:szCs w:val="21"/>
          <w:highlight w:val="none"/>
          <w:lang w:val="en-US" w:eastAsia="zh-CN"/>
        </w:rPr>
        <w:t>广西壮族自治区第十六届运动会(柔道、跆拳道、摔跤、拳击)设施设备采购项目</w:t>
      </w:r>
      <w:r>
        <w:rPr>
          <w:rFonts w:hint="eastAsia" w:ascii="宋体" w:hAnsi="宋体" w:eastAsia="宋体" w:cs="宋体"/>
          <w:color w:val="auto"/>
          <w:sz w:val="21"/>
          <w:szCs w:val="21"/>
          <w:highlight w:val="none"/>
          <w:lang w:val="en-US" w:eastAsia="zh-CN"/>
        </w:rPr>
        <w:t>，为广西壮族自治区第十六届运动会柔道、跆拳道、摔跤、拳击</w:t>
      </w:r>
      <w:r>
        <w:rPr>
          <w:rFonts w:hint="eastAsia" w:ascii="宋体" w:hAnsi="宋体" w:cs="宋体"/>
          <w:color w:val="auto"/>
          <w:sz w:val="21"/>
          <w:szCs w:val="21"/>
          <w:highlight w:val="none"/>
          <w:lang w:val="en-US" w:eastAsia="zh-CN"/>
        </w:rPr>
        <w:t>四项赛事提供设施设备保障工作，</w:t>
      </w:r>
      <w:r>
        <w:rPr>
          <w:rFonts w:hint="eastAsia" w:ascii="宋体" w:hAnsi="宋体" w:eastAsia="宋体" w:cs="宋体"/>
          <w:color w:val="auto"/>
          <w:sz w:val="21"/>
          <w:szCs w:val="21"/>
          <w:highlight w:val="none"/>
          <w:lang w:val="en-US" w:eastAsia="zh-CN"/>
        </w:rPr>
        <w:t>具体内容</w:t>
      </w:r>
      <w:r>
        <w:rPr>
          <w:rFonts w:hint="eastAsia" w:ascii="宋体" w:hAnsi="宋体" w:eastAsia="宋体" w:cs="宋体"/>
          <w:color w:val="auto"/>
          <w:sz w:val="21"/>
          <w:szCs w:val="21"/>
          <w:highlight w:val="none"/>
        </w:rPr>
        <w:t>详见谈判文件。</w:t>
      </w:r>
    </w:p>
    <w:p w14:paraId="70C87FAF">
      <w:pPr>
        <w:pageBreakBefore w:val="0"/>
        <w:kinsoku/>
        <w:wordWrap/>
        <w:overflowPunct/>
        <w:topLinePunct w:val="0"/>
        <w:bidi w:val="0"/>
        <w:spacing w:line="360" w:lineRule="auto"/>
        <w:ind w:firstLine="420" w:firstLineChars="200"/>
        <w:rPr>
          <w:rFonts w:hint="default" w:ascii="宋体" w:hAnsi="宋体" w:eastAsia="宋体" w:cs="宋体"/>
          <w:color w:val="auto"/>
          <w:sz w:val="21"/>
          <w:szCs w:val="21"/>
          <w:highlight w:val="none"/>
          <w:u w:val="single"/>
          <w:lang w:val="en-US" w:eastAsia="zh-CN"/>
        </w:rPr>
      </w:pPr>
      <w:r>
        <w:rPr>
          <w:rFonts w:hint="eastAsia" w:ascii="宋体" w:hAnsi="宋体" w:eastAsia="宋体" w:cs="宋体"/>
          <w:color w:val="auto"/>
          <w:sz w:val="21"/>
          <w:szCs w:val="21"/>
          <w:highlight w:val="none"/>
        </w:rPr>
        <w:t>合同履行期限：</w:t>
      </w:r>
      <w:r>
        <w:rPr>
          <w:rFonts w:hint="eastAsia" w:ascii="宋体" w:hAnsi="宋体" w:cs="宋体"/>
          <w:color w:val="auto"/>
          <w:sz w:val="21"/>
          <w:szCs w:val="21"/>
          <w:highlight w:val="none"/>
          <w:lang w:val="en-US" w:eastAsia="zh-CN"/>
        </w:rPr>
        <w:t>详见采购需求。</w:t>
      </w:r>
    </w:p>
    <w:p w14:paraId="37E07894">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本项目是否接受联合体投标：</w:t>
      </w:r>
      <w:sdt>
        <w:sdtPr>
          <w:rPr>
            <w:rFonts w:hint="eastAsia" w:ascii="宋体" w:hAnsi="宋体" w:eastAsia="宋体" w:cs="宋体"/>
            <w:color w:val="auto"/>
            <w:sz w:val="21"/>
            <w:szCs w:val="21"/>
            <w:highlight w:val="none"/>
          </w:rPr>
          <w:id w:val="2035453831"/>
          <w14:checkbox>
            <w14:checked w14:val="0"/>
            <w14:checkedState w14:val="00FE" w14:font="Wingdings"/>
            <w14:uncheckedState w14:val="2610" w14:font="MS Gothic"/>
          </w14:checkbox>
        </w:sdtPr>
        <w:sdtEndPr>
          <w:rPr>
            <w:rFonts w:hint="eastAsia" w:ascii="宋体" w:hAnsi="宋体" w:eastAsia="宋体" w:cs="宋体"/>
            <w:color w:val="auto"/>
            <w:sz w:val="21"/>
            <w:szCs w:val="21"/>
            <w:highlight w:val="none"/>
          </w:rPr>
        </w:sdtEndPr>
        <w:sdtContent>
          <w:r>
            <w:rPr>
              <w:rFonts w:hint="eastAsia" w:ascii="宋体" w:hAnsi="宋体" w:eastAsia="宋体" w:cs="宋体"/>
              <w:color w:val="auto"/>
              <w:sz w:val="21"/>
              <w:szCs w:val="21"/>
              <w:highlight w:val="none"/>
            </w:rPr>
            <w:t>☐</w:t>
          </w:r>
        </w:sdtContent>
      </w:sdt>
      <w:r>
        <w:rPr>
          <w:rFonts w:hint="eastAsia" w:ascii="宋体" w:hAnsi="宋体" w:eastAsia="宋体" w:cs="宋体"/>
          <w:color w:val="auto"/>
          <w:sz w:val="21"/>
          <w:szCs w:val="21"/>
          <w:highlight w:val="none"/>
        </w:rPr>
        <w:t>是，</w:t>
      </w:r>
      <w:sdt>
        <w:sdtPr>
          <w:rPr>
            <w:rFonts w:hint="eastAsia" w:ascii="宋体" w:hAnsi="宋体" w:eastAsia="宋体" w:cs="宋体"/>
            <w:color w:val="auto"/>
            <w:sz w:val="21"/>
            <w:szCs w:val="21"/>
            <w:highlight w:val="none"/>
          </w:rPr>
          <w:id w:val="-1765526721"/>
          <w14:checkbox>
            <w14:checked w14:val="1"/>
            <w14:checkedState w14:val="00FE" w14:font="Wingdings"/>
            <w14:uncheckedState w14:val="2610" w14:font="MS Gothic"/>
          </w14:checkbox>
        </w:sdtPr>
        <w:sdtEndPr>
          <w:rPr>
            <w:rFonts w:hint="eastAsia" w:ascii="宋体" w:hAnsi="宋体" w:eastAsia="宋体" w:cs="宋体"/>
            <w:color w:val="auto"/>
            <w:sz w:val="21"/>
            <w:szCs w:val="21"/>
            <w:highlight w:val="none"/>
          </w:rPr>
        </w:sdtEndPr>
        <w:sdtContent>
          <w:r>
            <w:rPr>
              <w:rFonts w:hint="eastAsia" w:ascii="宋体" w:hAnsi="宋体" w:eastAsia="宋体" w:cs="宋体"/>
              <w:color w:val="auto"/>
              <w:sz w:val="21"/>
              <w:szCs w:val="21"/>
              <w:highlight w:val="none"/>
            </w:rPr>
            <w:sym w:font="Wingdings" w:char="F0FE"/>
          </w:r>
        </w:sdtContent>
      </w:sdt>
      <w:r>
        <w:rPr>
          <w:rFonts w:hint="eastAsia" w:ascii="宋体" w:hAnsi="宋体" w:eastAsia="宋体" w:cs="宋体"/>
          <w:color w:val="auto"/>
          <w:sz w:val="21"/>
          <w:szCs w:val="21"/>
          <w:highlight w:val="none"/>
        </w:rPr>
        <w:t>否。</w:t>
      </w:r>
    </w:p>
    <w:p w14:paraId="21F5B888">
      <w:pPr>
        <w:pStyle w:val="631"/>
        <w:pageBreakBefore w:val="0"/>
        <w:kinsoku/>
        <w:wordWrap/>
        <w:overflowPunct/>
        <w:topLinePunct w:val="0"/>
        <w:bidi w:val="0"/>
        <w:spacing w:line="360" w:lineRule="auto"/>
        <w:ind w:firstLine="0"/>
        <w:rPr>
          <w:rFonts w:hint="eastAsia" w:ascii="宋体" w:hAnsi="宋体" w:eastAsia="宋体" w:cs="宋体"/>
          <w:b/>
          <w:color w:val="auto"/>
          <w:sz w:val="21"/>
          <w:szCs w:val="21"/>
          <w:highlight w:val="none"/>
        </w:rPr>
      </w:pPr>
      <w:bookmarkStart w:id="15" w:name="_Toc28359013"/>
      <w:bookmarkStart w:id="16" w:name="_Toc28359090"/>
      <w:bookmarkStart w:id="17" w:name="_Toc35393799"/>
      <w:bookmarkStart w:id="18" w:name="_Toc35393630"/>
      <w:r>
        <w:rPr>
          <w:rFonts w:hint="eastAsia" w:ascii="宋体" w:hAnsi="宋体" w:eastAsia="宋体" w:cs="宋体"/>
          <w:b/>
          <w:color w:val="auto"/>
          <w:sz w:val="21"/>
          <w:szCs w:val="21"/>
          <w:highlight w:val="none"/>
        </w:rPr>
        <w:t>二、申请人的资格要求：</w:t>
      </w:r>
      <w:bookmarkEnd w:id="15"/>
      <w:bookmarkEnd w:id="16"/>
      <w:bookmarkEnd w:id="17"/>
      <w:bookmarkEnd w:id="18"/>
    </w:p>
    <w:p w14:paraId="51B7A212">
      <w:pPr>
        <w:pageBreakBefore w:val="0"/>
        <w:kinsoku/>
        <w:wordWrap/>
        <w:overflowPunct/>
        <w:topLinePunct w:val="0"/>
        <w:bidi w:val="0"/>
        <w:spacing w:line="360" w:lineRule="auto"/>
        <w:ind w:firstLine="480"/>
        <w:rPr>
          <w:rFonts w:hint="eastAsia" w:ascii="宋体" w:hAnsi="宋体" w:eastAsia="宋体" w:cs="宋体"/>
          <w:snapToGrid w:val="0"/>
          <w:color w:val="auto"/>
          <w:kern w:val="28"/>
          <w:sz w:val="21"/>
          <w:szCs w:val="21"/>
          <w:highlight w:val="none"/>
        </w:rPr>
      </w:pPr>
      <w:r>
        <w:rPr>
          <w:rFonts w:hint="eastAsia" w:ascii="宋体" w:hAnsi="宋体" w:eastAsia="宋体" w:cs="宋体"/>
          <w:snapToGrid w:val="0"/>
          <w:color w:val="auto"/>
          <w:kern w:val="28"/>
          <w:sz w:val="21"/>
          <w:szCs w:val="21"/>
          <w:highlight w:val="none"/>
        </w:rPr>
        <w:t xml:space="preserve">1.满足《中华人民共和国政府采购法》第二十二条规定； </w:t>
      </w:r>
    </w:p>
    <w:p w14:paraId="2256BA7F">
      <w:pPr>
        <w:pageBreakBefore w:val="0"/>
        <w:kinsoku/>
        <w:wordWrap/>
        <w:overflowPunct/>
        <w:topLinePunct w:val="0"/>
        <w:bidi w:val="0"/>
        <w:spacing w:line="360" w:lineRule="auto"/>
        <w:ind w:firstLine="420" w:firstLineChars="200"/>
        <w:rPr>
          <w:rFonts w:hint="eastAsia" w:ascii="宋体" w:hAnsi="宋体" w:cs="宋体"/>
          <w:snapToGrid w:val="0"/>
          <w:color w:val="auto"/>
          <w:kern w:val="28"/>
          <w:sz w:val="21"/>
          <w:szCs w:val="21"/>
          <w:highlight w:val="none"/>
          <w:lang w:val="en-US" w:eastAsia="zh-CN"/>
        </w:rPr>
      </w:pPr>
      <w:r>
        <w:rPr>
          <w:rFonts w:hint="eastAsia" w:ascii="宋体" w:hAnsi="宋体" w:eastAsia="宋体" w:cs="宋体"/>
          <w:snapToGrid w:val="0"/>
          <w:color w:val="auto"/>
          <w:kern w:val="28"/>
          <w:sz w:val="21"/>
          <w:szCs w:val="21"/>
          <w:highlight w:val="none"/>
        </w:rPr>
        <w:t>2.落实政府采购政策需满足的资格要求：</w:t>
      </w:r>
      <w:r>
        <w:rPr>
          <w:rFonts w:hint="eastAsia" w:ascii="宋体" w:hAnsi="宋体" w:cs="宋体"/>
          <w:snapToGrid w:val="0"/>
          <w:color w:val="auto"/>
          <w:kern w:val="28"/>
          <w:sz w:val="21"/>
          <w:szCs w:val="21"/>
          <w:highlight w:val="none"/>
          <w:lang w:val="en-US" w:eastAsia="zh-CN"/>
        </w:rPr>
        <w:t>无</w:t>
      </w:r>
    </w:p>
    <w:p w14:paraId="3FAAD888">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3.本项目的特定资格要求：</w:t>
      </w:r>
      <w:r>
        <w:rPr>
          <w:rFonts w:hint="eastAsia" w:ascii="宋体" w:hAnsi="宋体" w:eastAsia="宋体" w:cs="宋体"/>
          <w:color w:val="auto"/>
          <w:sz w:val="21"/>
          <w:szCs w:val="21"/>
          <w:highlight w:val="none"/>
          <w:lang w:val="en-US" w:eastAsia="zh-CN"/>
        </w:rPr>
        <w:t>无</w:t>
      </w:r>
      <w:r>
        <w:rPr>
          <w:rFonts w:hint="eastAsia" w:ascii="宋体" w:hAnsi="宋体" w:eastAsia="宋体" w:cs="宋体"/>
          <w:color w:val="auto"/>
          <w:sz w:val="21"/>
          <w:szCs w:val="21"/>
          <w:highlight w:val="none"/>
        </w:rPr>
        <w:t>。</w:t>
      </w:r>
    </w:p>
    <w:p w14:paraId="7CFC2EA3">
      <w:pPr>
        <w:pStyle w:val="631"/>
        <w:pageBreakBefore w:val="0"/>
        <w:kinsoku/>
        <w:wordWrap/>
        <w:overflowPunct/>
        <w:topLinePunct w:val="0"/>
        <w:bidi w:val="0"/>
        <w:spacing w:line="360" w:lineRule="auto"/>
        <w:ind w:firstLine="0"/>
        <w:rPr>
          <w:rFonts w:hint="eastAsia" w:ascii="宋体" w:hAnsi="宋体" w:eastAsia="宋体" w:cs="宋体"/>
          <w:b/>
          <w:color w:val="auto"/>
          <w:sz w:val="21"/>
          <w:szCs w:val="21"/>
          <w:highlight w:val="none"/>
        </w:rPr>
      </w:pPr>
      <w:bookmarkStart w:id="19" w:name="_Toc35393631"/>
      <w:bookmarkStart w:id="20" w:name="_Toc28359091"/>
      <w:bookmarkStart w:id="21" w:name="_Toc35393800"/>
      <w:bookmarkStart w:id="22" w:name="_Toc28359014"/>
      <w:r>
        <w:rPr>
          <w:rFonts w:hint="eastAsia" w:ascii="宋体" w:hAnsi="宋体" w:eastAsia="宋体" w:cs="宋体"/>
          <w:b/>
          <w:color w:val="auto"/>
          <w:sz w:val="21"/>
          <w:szCs w:val="21"/>
          <w:highlight w:val="none"/>
        </w:rPr>
        <w:t>三、获取采购文件</w:t>
      </w:r>
      <w:bookmarkEnd w:id="19"/>
      <w:bookmarkEnd w:id="20"/>
      <w:bookmarkEnd w:id="21"/>
      <w:bookmarkEnd w:id="22"/>
    </w:p>
    <w:p w14:paraId="3869BBEF">
      <w:pPr>
        <w:pageBreakBefore w:val="0"/>
        <w:kinsoku/>
        <w:wordWrap/>
        <w:overflowPunct/>
        <w:topLinePunct w:val="0"/>
        <w:bidi w:val="0"/>
        <w:spacing w:line="360" w:lineRule="auto"/>
        <w:ind w:firstLine="540"/>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时间：</w:t>
      </w:r>
      <w:r>
        <w:rPr>
          <w:rFonts w:hint="eastAsia" w:ascii="宋体" w:hAnsi="宋体" w:eastAsia="宋体" w:cs="宋体"/>
          <w:color w:val="auto"/>
          <w:sz w:val="21"/>
          <w:szCs w:val="21"/>
          <w:highlight w:val="none"/>
        </w:rPr>
        <w:t>202</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年</w:t>
      </w: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rPr>
        <w:t>月</w:t>
      </w:r>
      <w:r>
        <w:rPr>
          <w:rFonts w:hint="eastAsia" w:ascii="宋体" w:hAnsi="宋体" w:cs="宋体"/>
          <w:color w:val="auto"/>
          <w:sz w:val="21"/>
          <w:szCs w:val="21"/>
          <w:highlight w:val="none"/>
          <w:lang w:val="en-US" w:eastAsia="zh-CN"/>
        </w:rPr>
        <w:t>31</w:t>
      </w:r>
      <w:r>
        <w:rPr>
          <w:rFonts w:hint="eastAsia" w:ascii="宋体" w:hAnsi="宋体" w:eastAsia="宋体" w:cs="宋体"/>
          <w:color w:val="auto"/>
          <w:sz w:val="21"/>
          <w:szCs w:val="21"/>
          <w:highlight w:val="none"/>
        </w:rPr>
        <w:t>日至202</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年</w:t>
      </w:r>
      <w:r>
        <w:rPr>
          <w:rFonts w:hint="eastAsia" w:ascii="宋体" w:hAnsi="宋体" w:cs="宋体"/>
          <w:color w:val="auto"/>
          <w:sz w:val="21"/>
          <w:szCs w:val="21"/>
          <w:highlight w:val="none"/>
          <w:lang w:val="en-US" w:eastAsia="zh-CN"/>
        </w:rPr>
        <w:t>9</w:t>
      </w:r>
      <w:r>
        <w:rPr>
          <w:rFonts w:hint="eastAsia" w:ascii="宋体" w:hAnsi="宋体" w:eastAsia="宋体" w:cs="宋体"/>
          <w:color w:val="auto"/>
          <w:sz w:val="21"/>
          <w:szCs w:val="21"/>
          <w:highlight w:val="none"/>
        </w:rPr>
        <w:t>月</w:t>
      </w:r>
      <w:r>
        <w:rPr>
          <w:rFonts w:hint="eastAsia" w:ascii="宋体" w:hAnsi="宋体" w:cs="宋体"/>
          <w:color w:val="auto"/>
          <w:sz w:val="21"/>
          <w:szCs w:val="21"/>
          <w:highlight w:val="none"/>
          <w:lang w:val="en-US" w:eastAsia="zh-CN"/>
        </w:rPr>
        <w:t>03</w:t>
      </w:r>
      <w:r>
        <w:rPr>
          <w:rFonts w:hint="eastAsia" w:ascii="宋体" w:hAnsi="宋体" w:eastAsia="宋体" w:cs="宋体"/>
          <w:color w:val="auto"/>
          <w:sz w:val="21"/>
          <w:szCs w:val="21"/>
          <w:highlight w:val="none"/>
        </w:rPr>
        <w:t>日，每天上午00:00至12:00 ，下午12:00至23:59（北京时间，法定节假日除外）；</w:t>
      </w:r>
    </w:p>
    <w:p w14:paraId="7A736428">
      <w:pPr>
        <w:pageBreakBefore w:val="0"/>
        <w:kinsoku/>
        <w:wordWrap/>
        <w:overflowPunct/>
        <w:topLinePunct w:val="0"/>
        <w:bidi w:val="0"/>
        <w:spacing w:line="360" w:lineRule="auto"/>
        <w:ind w:firstLine="540"/>
        <w:rPr>
          <w:rFonts w:hint="eastAsia" w:ascii="宋体" w:hAnsi="宋体" w:eastAsia="宋体" w:cs="宋体"/>
          <w:color w:val="auto"/>
          <w:sz w:val="21"/>
          <w:szCs w:val="21"/>
          <w:highlight w:val="none"/>
          <w:u w:val="single"/>
        </w:rPr>
      </w:pPr>
      <w:r>
        <w:rPr>
          <w:rFonts w:hint="eastAsia" w:ascii="宋体" w:hAnsi="宋体" w:eastAsia="宋体" w:cs="宋体"/>
          <w:b/>
          <w:color w:val="auto"/>
          <w:sz w:val="21"/>
          <w:szCs w:val="21"/>
          <w:highlight w:val="none"/>
        </w:rPr>
        <w:t>地点（网址）：</w:t>
      </w:r>
      <w:r>
        <w:rPr>
          <w:rFonts w:hint="eastAsia" w:ascii="宋体" w:hAnsi="宋体" w:eastAsia="宋体" w:cs="宋体"/>
          <w:color w:val="auto"/>
          <w:sz w:val="21"/>
          <w:szCs w:val="21"/>
          <w:highlight w:val="none"/>
        </w:rPr>
        <w:t>广西政府采购云平台（https://www.gcy.zfcg.gxzf.gov.cn/）</w:t>
      </w:r>
    </w:p>
    <w:p w14:paraId="70EEE00C">
      <w:pPr>
        <w:pageBreakBefore w:val="0"/>
        <w:kinsoku/>
        <w:wordWrap/>
        <w:overflowPunct/>
        <w:topLinePunct w:val="0"/>
        <w:bidi w:val="0"/>
        <w:spacing w:line="360" w:lineRule="auto"/>
        <w:ind w:firstLine="540"/>
        <w:rPr>
          <w:rFonts w:hint="eastAsia" w:ascii="宋体" w:hAnsi="宋体" w:eastAsia="宋体" w:cs="宋体"/>
          <w:color w:val="auto"/>
          <w:sz w:val="21"/>
          <w:szCs w:val="21"/>
          <w:highlight w:val="none"/>
          <w:u w:val="single"/>
        </w:rPr>
      </w:pPr>
      <w:r>
        <w:rPr>
          <w:rFonts w:hint="eastAsia" w:ascii="宋体" w:hAnsi="宋体" w:eastAsia="宋体" w:cs="宋体"/>
          <w:b/>
          <w:color w:val="auto"/>
          <w:sz w:val="21"/>
          <w:szCs w:val="21"/>
          <w:highlight w:val="none"/>
        </w:rPr>
        <w:t>方式：</w:t>
      </w:r>
      <w:r>
        <w:rPr>
          <w:rFonts w:hint="eastAsia" w:ascii="宋体" w:hAnsi="宋体" w:eastAsia="宋体" w:cs="宋体"/>
          <w:color w:val="auto"/>
          <w:sz w:val="21"/>
          <w:szCs w:val="21"/>
          <w:highlight w:val="none"/>
        </w:rPr>
        <w:t>供应商登录广西政府采购云平台（https://www.gcy.zfcg.gxzf.gov.cn/）在线申请获取采购文件（进入“项目采购”应用，在获取采购文件菜单中选择项目，申请获取采购文件）。</w:t>
      </w:r>
    </w:p>
    <w:p w14:paraId="789DEB2D">
      <w:pPr>
        <w:pageBreakBefore w:val="0"/>
        <w:kinsoku/>
        <w:wordWrap/>
        <w:overflowPunct/>
        <w:topLinePunct w:val="0"/>
        <w:bidi w:val="0"/>
        <w:spacing w:line="360" w:lineRule="auto"/>
        <w:ind w:firstLine="540"/>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售价：</w:t>
      </w:r>
      <w:r>
        <w:rPr>
          <w:rFonts w:hint="eastAsia" w:ascii="宋体" w:hAnsi="宋体" w:eastAsia="宋体" w:cs="宋体"/>
          <w:color w:val="auto"/>
          <w:sz w:val="21"/>
          <w:szCs w:val="21"/>
          <w:highlight w:val="none"/>
        </w:rPr>
        <w:t>0。</w:t>
      </w:r>
    </w:p>
    <w:p w14:paraId="6FD4AC23">
      <w:pPr>
        <w:pStyle w:val="631"/>
        <w:pageBreakBefore w:val="0"/>
        <w:kinsoku/>
        <w:wordWrap/>
        <w:overflowPunct/>
        <w:topLinePunct w:val="0"/>
        <w:bidi w:val="0"/>
        <w:spacing w:line="360" w:lineRule="auto"/>
        <w:ind w:firstLine="0"/>
        <w:rPr>
          <w:rFonts w:hint="eastAsia" w:ascii="宋体" w:hAnsi="宋体" w:eastAsia="宋体" w:cs="宋体"/>
          <w:b/>
          <w:color w:val="auto"/>
          <w:sz w:val="21"/>
          <w:szCs w:val="21"/>
          <w:highlight w:val="none"/>
        </w:rPr>
      </w:pPr>
      <w:bookmarkStart w:id="23" w:name="_Toc35393801"/>
      <w:bookmarkStart w:id="24" w:name="_Toc35393632"/>
      <w:bookmarkStart w:id="25" w:name="_Toc28359092"/>
      <w:bookmarkStart w:id="26" w:name="_Toc28359015"/>
      <w:r>
        <w:rPr>
          <w:rFonts w:hint="eastAsia" w:ascii="宋体" w:hAnsi="宋体" w:eastAsia="宋体" w:cs="宋体"/>
          <w:b/>
          <w:color w:val="auto"/>
          <w:sz w:val="21"/>
          <w:szCs w:val="21"/>
          <w:highlight w:val="none"/>
        </w:rPr>
        <w:t>四、响应文件提交</w:t>
      </w:r>
      <w:bookmarkEnd w:id="23"/>
      <w:bookmarkEnd w:id="24"/>
      <w:bookmarkEnd w:id="25"/>
      <w:bookmarkEnd w:id="26"/>
    </w:p>
    <w:p w14:paraId="4C18891D">
      <w:pPr>
        <w:pageBreakBefore w:val="0"/>
        <w:kinsoku/>
        <w:wordWrap/>
        <w:overflowPunct/>
        <w:topLinePunct w:val="0"/>
        <w:bidi w:val="0"/>
        <w:spacing w:line="360" w:lineRule="auto"/>
        <w:ind w:firstLine="420" w:firstLineChars="200"/>
        <w:rPr>
          <w:rFonts w:hint="eastAsia" w:ascii="宋体" w:hAnsi="宋体" w:eastAsia="宋体" w:cs="宋体"/>
          <w:bCs/>
          <w:color w:val="auto"/>
          <w:sz w:val="21"/>
          <w:szCs w:val="21"/>
          <w:highlight w:val="none"/>
          <w:u w:val="single"/>
        </w:rPr>
      </w:pPr>
      <w:r>
        <w:rPr>
          <w:rFonts w:hint="eastAsia" w:ascii="宋体" w:hAnsi="宋体" w:eastAsia="宋体" w:cs="宋体"/>
          <w:color w:val="auto"/>
          <w:sz w:val="21"/>
          <w:szCs w:val="21"/>
          <w:highlight w:val="none"/>
        </w:rPr>
        <w:t>截止时间：</w:t>
      </w:r>
      <w:r>
        <w:rPr>
          <w:rFonts w:hint="eastAsia" w:ascii="宋体" w:hAnsi="宋体" w:eastAsia="宋体" w:cs="宋体"/>
          <w:color w:val="auto"/>
          <w:sz w:val="21"/>
          <w:szCs w:val="21"/>
          <w:highlight w:val="none"/>
          <w:u w:val="single"/>
        </w:rPr>
        <w:t>202</w:t>
      </w:r>
      <w:r>
        <w:rPr>
          <w:rFonts w:hint="eastAsia" w:ascii="宋体" w:hAnsi="宋体" w:eastAsia="宋体" w:cs="宋体"/>
          <w:color w:val="auto"/>
          <w:sz w:val="21"/>
          <w:szCs w:val="21"/>
          <w:highlight w:val="none"/>
          <w:u w:val="single"/>
          <w:lang w:val="en-US" w:eastAsia="zh-CN"/>
        </w:rPr>
        <w:t>6</w:t>
      </w:r>
      <w:r>
        <w:rPr>
          <w:rFonts w:hint="eastAsia" w:ascii="宋体" w:hAnsi="宋体" w:eastAsia="宋体" w:cs="宋体"/>
          <w:bCs/>
          <w:color w:val="auto"/>
          <w:sz w:val="21"/>
          <w:szCs w:val="21"/>
          <w:highlight w:val="none"/>
          <w:u w:val="single"/>
        </w:rPr>
        <w:t>年</w:t>
      </w:r>
      <w:r>
        <w:rPr>
          <w:rFonts w:hint="eastAsia" w:ascii="宋体" w:hAnsi="宋体" w:cs="宋体"/>
          <w:bCs/>
          <w:color w:val="auto"/>
          <w:sz w:val="21"/>
          <w:szCs w:val="21"/>
          <w:highlight w:val="none"/>
          <w:u w:val="single"/>
          <w:lang w:val="en-US" w:eastAsia="zh-CN"/>
        </w:rPr>
        <w:t>9</w:t>
      </w:r>
      <w:r>
        <w:rPr>
          <w:rFonts w:hint="eastAsia" w:ascii="宋体" w:hAnsi="宋体" w:eastAsia="宋体" w:cs="宋体"/>
          <w:bCs/>
          <w:color w:val="auto"/>
          <w:sz w:val="21"/>
          <w:szCs w:val="21"/>
          <w:highlight w:val="none"/>
          <w:u w:val="single"/>
        </w:rPr>
        <w:t>月</w:t>
      </w:r>
      <w:r>
        <w:rPr>
          <w:rFonts w:hint="eastAsia" w:ascii="宋体" w:hAnsi="宋体" w:cs="宋体"/>
          <w:bCs/>
          <w:color w:val="auto"/>
          <w:sz w:val="21"/>
          <w:szCs w:val="21"/>
          <w:highlight w:val="none"/>
          <w:u w:val="single"/>
          <w:lang w:val="en-US" w:eastAsia="zh-CN"/>
        </w:rPr>
        <w:t xml:space="preserve">05 </w:t>
      </w:r>
      <w:r>
        <w:rPr>
          <w:rFonts w:hint="eastAsia" w:ascii="宋体" w:hAnsi="宋体" w:eastAsia="宋体" w:cs="宋体"/>
          <w:bCs/>
          <w:color w:val="auto"/>
          <w:sz w:val="21"/>
          <w:szCs w:val="21"/>
          <w:highlight w:val="none"/>
          <w:u w:val="single"/>
        </w:rPr>
        <w:t>日</w:t>
      </w:r>
      <w:r>
        <w:rPr>
          <w:rFonts w:hint="eastAsia" w:ascii="宋体" w:hAnsi="宋体" w:cs="宋体"/>
          <w:bCs/>
          <w:color w:val="auto"/>
          <w:sz w:val="21"/>
          <w:szCs w:val="21"/>
          <w:highlight w:val="none"/>
          <w:u w:val="single"/>
          <w:lang w:val="en-US" w:eastAsia="zh-CN"/>
        </w:rPr>
        <w:t>13</w:t>
      </w:r>
      <w:r>
        <w:rPr>
          <w:rFonts w:hint="eastAsia" w:ascii="宋体" w:hAnsi="宋体" w:eastAsia="宋体" w:cs="宋体"/>
          <w:bCs/>
          <w:color w:val="auto"/>
          <w:sz w:val="21"/>
          <w:szCs w:val="21"/>
          <w:highlight w:val="none"/>
          <w:u w:val="single"/>
          <w:lang w:val="en-US" w:eastAsia="zh-CN"/>
        </w:rPr>
        <w:t>时</w:t>
      </w:r>
      <w:r>
        <w:rPr>
          <w:rFonts w:hint="eastAsia" w:ascii="宋体" w:hAnsi="宋体" w:cs="宋体"/>
          <w:bCs/>
          <w:color w:val="auto"/>
          <w:sz w:val="21"/>
          <w:szCs w:val="21"/>
          <w:highlight w:val="none"/>
          <w:u w:val="single"/>
          <w:lang w:val="en-US" w:eastAsia="zh-CN"/>
        </w:rPr>
        <w:t>00</w:t>
      </w:r>
      <w:r>
        <w:rPr>
          <w:rFonts w:hint="eastAsia" w:ascii="宋体" w:hAnsi="宋体" w:eastAsia="宋体" w:cs="宋体"/>
          <w:bCs/>
          <w:color w:val="auto"/>
          <w:sz w:val="21"/>
          <w:szCs w:val="21"/>
          <w:highlight w:val="none"/>
          <w:u w:val="single"/>
        </w:rPr>
        <w:t>分</w:t>
      </w:r>
      <w:r>
        <w:rPr>
          <w:rFonts w:hint="eastAsia" w:ascii="宋体" w:hAnsi="宋体" w:eastAsia="宋体" w:cs="宋体"/>
          <w:bCs/>
          <w:color w:val="auto"/>
          <w:sz w:val="21"/>
          <w:szCs w:val="21"/>
          <w:highlight w:val="none"/>
        </w:rPr>
        <w:t>（北京时间）</w:t>
      </w:r>
    </w:p>
    <w:p w14:paraId="250DAB95">
      <w:pPr>
        <w:pageBreakBefore w:val="0"/>
        <w:kinsoku/>
        <w:wordWrap/>
        <w:overflowPunct/>
        <w:topLinePunct w:val="0"/>
        <w:bidi w:val="0"/>
        <w:spacing w:line="360" w:lineRule="auto"/>
        <w:ind w:firstLine="420" w:firstLineChars="200"/>
        <w:rPr>
          <w:rFonts w:hint="eastAsia" w:ascii="宋体" w:hAnsi="宋体" w:eastAsia="宋体" w:cs="宋体"/>
          <w:bCs/>
          <w:color w:val="auto"/>
          <w:sz w:val="21"/>
          <w:szCs w:val="21"/>
          <w:highlight w:val="none"/>
          <w:u w:val="single"/>
        </w:rPr>
      </w:pPr>
      <w:r>
        <w:rPr>
          <w:rFonts w:hint="eastAsia" w:ascii="宋体" w:hAnsi="宋体" w:eastAsia="宋体" w:cs="宋体"/>
          <w:color w:val="auto"/>
          <w:sz w:val="21"/>
          <w:szCs w:val="21"/>
          <w:highlight w:val="none"/>
        </w:rPr>
        <w:t>地点：广西政府采购云平台（https://www.gcy.zfcg.gxzf.gov.cn/）</w:t>
      </w:r>
      <w:r>
        <w:rPr>
          <w:rFonts w:hint="eastAsia" w:ascii="宋体" w:hAnsi="宋体" w:eastAsia="宋体" w:cs="宋体"/>
          <w:b/>
          <w:color w:val="auto"/>
          <w:sz w:val="21"/>
          <w:szCs w:val="21"/>
          <w:highlight w:val="none"/>
        </w:rPr>
        <w:t>。</w:t>
      </w:r>
    </w:p>
    <w:p w14:paraId="2E79B20D">
      <w:pPr>
        <w:pStyle w:val="631"/>
        <w:pageBreakBefore w:val="0"/>
        <w:kinsoku/>
        <w:wordWrap/>
        <w:overflowPunct/>
        <w:topLinePunct w:val="0"/>
        <w:bidi w:val="0"/>
        <w:spacing w:line="360" w:lineRule="auto"/>
        <w:ind w:firstLine="0"/>
        <w:rPr>
          <w:rFonts w:hint="eastAsia" w:ascii="宋体" w:hAnsi="宋体" w:eastAsia="宋体" w:cs="宋体"/>
          <w:b/>
          <w:color w:val="auto"/>
          <w:sz w:val="21"/>
          <w:szCs w:val="21"/>
          <w:highlight w:val="none"/>
        </w:rPr>
      </w:pPr>
      <w:bookmarkStart w:id="27" w:name="_Toc28359093"/>
      <w:bookmarkStart w:id="28" w:name="_Toc35393802"/>
      <w:bookmarkStart w:id="29" w:name="_Toc35393633"/>
      <w:bookmarkStart w:id="30" w:name="_Toc28359016"/>
      <w:r>
        <w:rPr>
          <w:rFonts w:hint="eastAsia" w:ascii="宋体" w:hAnsi="宋体" w:eastAsia="宋体" w:cs="宋体"/>
          <w:b/>
          <w:color w:val="auto"/>
          <w:sz w:val="21"/>
          <w:szCs w:val="21"/>
          <w:highlight w:val="none"/>
        </w:rPr>
        <w:t>五、响应文件开启</w:t>
      </w:r>
      <w:bookmarkEnd w:id="27"/>
      <w:bookmarkEnd w:id="28"/>
      <w:bookmarkEnd w:id="29"/>
      <w:bookmarkEnd w:id="30"/>
    </w:p>
    <w:p w14:paraId="7C0D7961">
      <w:pPr>
        <w:pageBreakBefore w:val="0"/>
        <w:kinsoku/>
        <w:wordWrap/>
        <w:overflowPunct/>
        <w:topLinePunct w:val="0"/>
        <w:bidi w:val="0"/>
        <w:spacing w:line="360" w:lineRule="auto"/>
        <w:ind w:firstLine="420" w:firstLineChars="200"/>
        <w:rPr>
          <w:rFonts w:hint="eastAsia" w:ascii="宋体" w:hAnsi="宋体" w:eastAsia="宋体" w:cs="宋体"/>
          <w:bCs/>
          <w:color w:val="auto"/>
          <w:sz w:val="21"/>
          <w:szCs w:val="21"/>
          <w:highlight w:val="none"/>
          <w:u w:val="single"/>
        </w:rPr>
      </w:pPr>
      <w:r>
        <w:rPr>
          <w:rFonts w:hint="eastAsia" w:ascii="宋体" w:hAnsi="宋体" w:eastAsia="宋体" w:cs="宋体"/>
          <w:color w:val="auto"/>
          <w:sz w:val="21"/>
          <w:szCs w:val="21"/>
          <w:highlight w:val="none"/>
        </w:rPr>
        <w:t>时间：</w:t>
      </w:r>
      <w:r>
        <w:rPr>
          <w:rFonts w:hint="eastAsia" w:ascii="宋体" w:hAnsi="宋体" w:eastAsia="宋体" w:cs="宋体"/>
          <w:color w:val="auto"/>
          <w:sz w:val="21"/>
          <w:szCs w:val="21"/>
          <w:highlight w:val="none"/>
          <w:u w:val="single"/>
        </w:rPr>
        <w:t>202</w:t>
      </w:r>
      <w:r>
        <w:rPr>
          <w:rFonts w:hint="eastAsia" w:ascii="宋体" w:hAnsi="宋体" w:eastAsia="宋体" w:cs="宋体"/>
          <w:color w:val="auto"/>
          <w:sz w:val="21"/>
          <w:szCs w:val="21"/>
          <w:highlight w:val="none"/>
          <w:u w:val="single"/>
          <w:lang w:val="en-US" w:eastAsia="zh-CN"/>
        </w:rPr>
        <w:t>6</w:t>
      </w:r>
      <w:r>
        <w:rPr>
          <w:rFonts w:hint="eastAsia" w:ascii="宋体" w:hAnsi="宋体" w:eastAsia="宋体" w:cs="宋体"/>
          <w:bCs/>
          <w:color w:val="auto"/>
          <w:sz w:val="21"/>
          <w:szCs w:val="21"/>
          <w:highlight w:val="none"/>
          <w:u w:val="single"/>
        </w:rPr>
        <w:t>年</w:t>
      </w:r>
      <w:r>
        <w:rPr>
          <w:rFonts w:hint="eastAsia" w:ascii="宋体" w:hAnsi="宋体" w:cs="宋体"/>
          <w:bCs/>
          <w:color w:val="auto"/>
          <w:sz w:val="21"/>
          <w:szCs w:val="21"/>
          <w:highlight w:val="none"/>
          <w:u w:val="single"/>
          <w:lang w:val="en-US" w:eastAsia="zh-CN"/>
        </w:rPr>
        <w:t>9</w:t>
      </w:r>
      <w:r>
        <w:rPr>
          <w:rFonts w:hint="eastAsia" w:ascii="宋体" w:hAnsi="宋体" w:eastAsia="宋体" w:cs="宋体"/>
          <w:bCs/>
          <w:color w:val="auto"/>
          <w:sz w:val="21"/>
          <w:szCs w:val="21"/>
          <w:highlight w:val="none"/>
          <w:u w:val="single"/>
        </w:rPr>
        <w:t>月</w:t>
      </w:r>
      <w:r>
        <w:rPr>
          <w:rFonts w:hint="eastAsia" w:ascii="宋体" w:hAnsi="宋体" w:cs="宋体"/>
          <w:bCs/>
          <w:color w:val="auto"/>
          <w:sz w:val="21"/>
          <w:szCs w:val="21"/>
          <w:highlight w:val="none"/>
          <w:u w:val="single"/>
          <w:lang w:val="en-US" w:eastAsia="zh-CN"/>
        </w:rPr>
        <w:t>05</w:t>
      </w:r>
      <w:r>
        <w:rPr>
          <w:rFonts w:hint="eastAsia" w:ascii="宋体" w:hAnsi="宋体" w:eastAsia="宋体" w:cs="宋体"/>
          <w:bCs/>
          <w:color w:val="auto"/>
          <w:sz w:val="21"/>
          <w:szCs w:val="21"/>
          <w:highlight w:val="none"/>
          <w:u w:val="single"/>
        </w:rPr>
        <w:t>日</w:t>
      </w:r>
      <w:r>
        <w:rPr>
          <w:rFonts w:hint="eastAsia" w:ascii="宋体" w:hAnsi="宋体" w:cs="宋体"/>
          <w:bCs/>
          <w:color w:val="auto"/>
          <w:sz w:val="21"/>
          <w:szCs w:val="21"/>
          <w:highlight w:val="none"/>
          <w:u w:val="single"/>
          <w:lang w:val="en-US" w:eastAsia="zh-CN"/>
        </w:rPr>
        <w:t>13</w:t>
      </w:r>
      <w:r>
        <w:rPr>
          <w:rFonts w:hint="eastAsia" w:ascii="宋体" w:hAnsi="宋体" w:eastAsia="宋体" w:cs="宋体"/>
          <w:bCs/>
          <w:color w:val="auto"/>
          <w:sz w:val="21"/>
          <w:szCs w:val="21"/>
          <w:highlight w:val="none"/>
          <w:u w:val="single"/>
          <w:lang w:val="en-US" w:eastAsia="zh-CN"/>
        </w:rPr>
        <w:t>时</w:t>
      </w:r>
      <w:r>
        <w:rPr>
          <w:rFonts w:hint="eastAsia" w:ascii="宋体" w:hAnsi="宋体" w:cs="宋体"/>
          <w:bCs/>
          <w:color w:val="auto"/>
          <w:sz w:val="21"/>
          <w:szCs w:val="21"/>
          <w:highlight w:val="none"/>
          <w:u w:val="single"/>
          <w:lang w:val="en-US" w:eastAsia="zh-CN"/>
        </w:rPr>
        <w:t>00</w:t>
      </w:r>
      <w:r>
        <w:rPr>
          <w:rFonts w:hint="eastAsia" w:ascii="宋体" w:hAnsi="宋体" w:eastAsia="宋体" w:cs="宋体"/>
          <w:bCs/>
          <w:color w:val="auto"/>
          <w:sz w:val="21"/>
          <w:szCs w:val="21"/>
          <w:highlight w:val="none"/>
          <w:u w:val="single"/>
        </w:rPr>
        <w:t>分</w:t>
      </w:r>
      <w:r>
        <w:rPr>
          <w:rFonts w:hint="eastAsia" w:ascii="宋体" w:hAnsi="宋体" w:eastAsia="宋体" w:cs="宋体"/>
          <w:bCs/>
          <w:color w:val="auto"/>
          <w:sz w:val="21"/>
          <w:szCs w:val="21"/>
          <w:highlight w:val="none"/>
        </w:rPr>
        <w:t>（北京时间）</w:t>
      </w:r>
    </w:p>
    <w:p w14:paraId="2BA4EA1B">
      <w:pPr>
        <w:pageBreakBefore w:val="0"/>
        <w:kinsoku/>
        <w:wordWrap/>
        <w:overflowPunct/>
        <w:topLinePunct w:val="0"/>
        <w:bidi w:val="0"/>
        <w:spacing w:line="360" w:lineRule="auto"/>
        <w:ind w:firstLine="420" w:firstLineChars="200"/>
        <w:rPr>
          <w:rFonts w:hint="eastAsia" w:ascii="宋体" w:hAnsi="宋体" w:eastAsia="宋体" w:cs="宋体"/>
          <w:bCs/>
          <w:color w:val="auto"/>
          <w:sz w:val="21"/>
          <w:szCs w:val="21"/>
          <w:highlight w:val="none"/>
          <w:u w:val="single"/>
        </w:rPr>
      </w:pPr>
      <w:r>
        <w:rPr>
          <w:rFonts w:hint="eastAsia" w:ascii="宋体" w:hAnsi="宋体" w:eastAsia="宋体" w:cs="宋体"/>
          <w:color w:val="auto"/>
          <w:sz w:val="21"/>
          <w:szCs w:val="21"/>
          <w:highlight w:val="none"/>
        </w:rPr>
        <w:t>地点：广西政府采购云平台（https://www.gcy.zfcg.gxzf.gov.cn/）。</w:t>
      </w:r>
    </w:p>
    <w:p w14:paraId="46C23829">
      <w:pPr>
        <w:pStyle w:val="631"/>
        <w:pageBreakBefore w:val="0"/>
        <w:kinsoku/>
        <w:wordWrap/>
        <w:overflowPunct/>
        <w:topLinePunct w:val="0"/>
        <w:bidi w:val="0"/>
        <w:spacing w:line="360" w:lineRule="auto"/>
        <w:ind w:firstLine="0"/>
        <w:rPr>
          <w:rFonts w:hint="eastAsia" w:ascii="宋体" w:hAnsi="宋体" w:eastAsia="宋体" w:cs="宋体"/>
          <w:b/>
          <w:color w:val="auto"/>
          <w:sz w:val="21"/>
          <w:szCs w:val="21"/>
          <w:highlight w:val="none"/>
        </w:rPr>
      </w:pPr>
      <w:bookmarkStart w:id="31" w:name="_Toc35393634"/>
      <w:bookmarkStart w:id="32" w:name="_Toc35393803"/>
      <w:bookmarkStart w:id="33" w:name="_Toc28359094"/>
      <w:bookmarkStart w:id="34" w:name="_Toc28359017"/>
      <w:r>
        <w:rPr>
          <w:rFonts w:hint="eastAsia" w:ascii="宋体" w:hAnsi="宋体" w:eastAsia="宋体" w:cs="宋体"/>
          <w:b/>
          <w:color w:val="auto"/>
          <w:sz w:val="21"/>
          <w:szCs w:val="21"/>
          <w:highlight w:val="none"/>
        </w:rPr>
        <w:t>六、公告期限</w:t>
      </w:r>
      <w:bookmarkEnd w:id="31"/>
      <w:bookmarkEnd w:id="32"/>
      <w:bookmarkEnd w:id="33"/>
      <w:bookmarkEnd w:id="34"/>
    </w:p>
    <w:p w14:paraId="02369463">
      <w:pPr>
        <w:pageBreakBefore w:val="0"/>
        <w:kinsoku/>
        <w:wordWrap/>
        <w:overflowPunct/>
        <w:topLinePunct w:val="0"/>
        <w:bidi w:val="0"/>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自本公告发布之日起3个工作日。</w:t>
      </w:r>
    </w:p>
    <w:p w14:paraId="231D53E1">
      <w:pPr>
        <w:pStyle w:val="631"/>
        <w:pageBreakBefore w:val="0"/>
        <w:kinsoku/>
        <w:wordWrap/>
        <w:overflowPunct/>
        <w:topLinePunct w:val="0"/>
        <w:bidi w:val="0"/>
        <w:spacing w:line="360" w:lineRule="auto"/>
        <w:ind w:firstLine="0"/>
        <w:rPr>
          <w:rFonts w:hint="eastAsia" w:ascii="宋体" w:hAnsi="宋体" w:eastAsia="宋体" w:cs="宋体"/>
          <w:b/>
          <w:color w:val="auto"/>
          <w:sz w:val="21"/>
          <w:szCs w:val="21"/>
          <w:highlight w:val="none"/>
        </w:rPr>
      </w:pPr>
      <w:bookmarkStart w:id="35" w:name="_Toc35393635"/>
      <w:bookmarkStart w:id="36" w:name="_Toc35393804"/>
      <w:r>
        <w:rPr>
          <w:rFonts w:hint="eastAsia" w:ascii="宋体" w:hAnsi="宋体" w:eastAsia="宋体" w:cs="宋体"/>
          <w:b/>
          <w:color w:val="auto"/>
          <w:sz w:val="21"/>
          <w:szCs w:val="21"/>
          <w:highlight w:val="none"/>
        </w:rPr>
        <w:t>七、其他补充事宜</w:t>
      </w:r>
      <w:bookmarkEnd w:id="35"/>
      <w:bookmarkEnd w:id="36"/>
    </w:p>
    <w:p w14:paraId="5FD53D23">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1.谈判保证金：</w:t>
      </w:r>
      <w:r>
        <w:rPr>
          <w:rFonts w:hint="eastAsia" w:ascii="宋体" w:hAnsi="宋体" w:eastAsia="宋体" w:cs="宋体"/>
          <w:color w:val="auto"/>
          <w:sz w:val="21"/>
          <w:szCs w:val="21"/>
          <w:highlight w:val="none"/>
          <w:lang w:val="en-US" w:eastAsia="zh-CN"/>
        </w:rPr>
        <w:t>本项目不要求缴纳谈判保证金。</w:t>
      </w:r>
    </w:p>
    <w:p w14:paraId="12DC10F5">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本项目需要落实的政府采购政策：（1）支持采用本国产品：政府采购应当采购本国产品，确需采购进口产品的，实行审核管理。优先采购向我国企业转让技术、与我国企业签订消化吸收再创新方案的供应商的进口产品。（2）支持绿色发展：落实强制采购节能产品、鼓励节能政策；鼓励环保政策；推广使用绿色包装；采购绿色建材等。（3）支持中小企业发展：采购限额标准以上，200 万元以下的货物和服务采购项目、400万元以下的工程采购项目，适宜由中小企业提供的，采购人应当专门面向中小企业采购。超过 200万元的货物和服务采购项目、超过400 万元的工程采购项目中适宜由中小企业提供的，预留该部分采购项目预算总额的 30%以上专门面向中小企业采购，其中预留给小微企业的比例不低于60%。对于未预留份额专门面向中小企业采购的政府采购项目，以及预留份额政府采购项目中的非预留部分标项，对小型和微型企业的响应报价给予20%的扣除，用扣除后的价格参与评审。（4）支持监狱企业、残疾人福利性单位发展：监狱企业、残疾人福利性单位视同小型和微型企业。（5）支持创新发展：优先采购被认定为首台</w:t>
      </w:r>
      <w:r>
        <w:rPr>
          <w:rFonts w:hint="eastAsia" w:ascii="宋体" w:hAnsi="宋体" w:eastAsia="宋体" w:cs="宋体"/>
          <w:color w:val="auto"/>
          <w:sz w:val="21"/>
          <w:szCs w:val="21"/>
          <w:highlight w:val="none"/>
          <w:lang w:val="en-US" w:eastAsia="zh-CN"/>
        </w:rPr>
        <w:t>首</w:t>
      </w:r>
      <w:r>
        <w:rPr>
          <w:rFonts w:hint="eastAsia" w:ascii="宋体" w:hAnsi="宋体" w:eastAsia="宋体" w:cs="宋体"/>
          <w:color w:val="auto"/>
          <w:sz w:val="21"/>
          <w:szCs w:val="21"/>
          <w:highlight w:val="none"/>
        </w:rPr>
        <w:t>套产品和“制造精品”的自主创新产品。（6）平等对待内外资企业和符合条件的破产重整企业。</w:t>
      </w:r>
    </w:p>
    <w:p w14:paraId="2C65DC33">
      <w:pPr>
        <w:pageBreakBefore w:val="0"/>
        <w:kinsoku/>
        <w:wordWrap/>
        <w:overflowPunct/>
        <w:topLinePunct w:val="0"/>
        <w:bidi w:val="0"/>
        <w:spacing w:line="360" w:lineRule="auto"/>
        <w:ind w:firstLine="420" w:firstLineChars="200"/>
        <w:rPr>
          <w:rFonts w:hint="eastAsia" w:ascii="宋体" w:hAnsi="宋体" w:eastAsia="宋体" w:cs="宋体"/>
          <w:snapToGrid w:val="0"/>
          <w:color w:val="auto"/>
          <w:kern w:val="28"/>
          <w:sz w:val="21"/>
          <w:szCs w:val="21"/>
          <w:highlight w:val="none"/>
        </w:rPr>
      </w:pPr>
      <w:r>
        <w:rPr>
          <w:rFonts w:hint="eastAsia" w:ascii="宋体" w:hAnsi="宋体" w:eastAsia="宋体" w:cs="宋体"/>
          <w:snapToGrid w:val="0"/>
          <w:color w:val="auto"/>
          <w:kern w:val="28"/>
          <w:sz w:val="21"/>
          <w:szCs w:val="21"/>
          <w:highlight w:val="none"/>
        </w:rPr>
        <w:t>3.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供应商成交后也可在“广西政府采购云”平台申请政采贷：操作路径：登录广西政府采购云平台-金融服务中心-【融资服务】，可在热门申请中选择产品直接申请。</w:t>
      </w:r>
    </w:p>
    <w:p w14:paraId="3F808AC0">
      <w:pPr>
        <w:pageBreakBefore w:val="0"/>
        <w:kinsoku/>
        <w:wordWrap/>
        <w:overflowPunct/>
        <w:topLinePunct w:val="0"/>
        <w:bidi w:val="0"/>
        <w:spacing w:line="360" w:lineRule="auto"/>
        <w:ind w:firstLine="420" w:firstLineChars="200"/>
        <w:rPr>
          <w:rFonts w:hint="eastAsia" w:ascii="宋体" w:hAnsi="宋体" w:eastAsia="宋体" w:cs="宋体"/>
          <w:snapToGrid w:val="0"/>
          <w:color w:val="auto"/>
          <w:kern w:val="28"/>
          <w:sz w:val="21"/>
          <w:szCs w:val="21"/>
          <w:highlight w:val="none"/>
          <w:lang w:val="en-US" w:eastAsia="zh-CN"/>
        </w:rPr>
      </w:pPr>
      <w:r>
        <w:rPr>
          <w:rFonts w:hint="eastAsia" w:ascii="宋体" w:hAnsi="宋体" w:eastAsia="宋体" w:cs="宋体"/>
          <w:snapToGrid w:val="0"/>
          <w:color w:val="auto"/>
          <w:kern w:val="28"/>
          <w:sz w:val="21"/>
          <w:szCs w:val="21"/>
          <w:highlight w:val="none"/>
          <w:lang w:val="en-US" w:eastAsia="zh-CN"/>
        </w:rPr>
        <w:t>4.其他要求：（1）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14:paraId="70AF20A2">
      <w:pPr>
        <w:pageBreakBefore w:val="0"/>
        <w:kinsoku/>
        <w:wordWrap/>
        <w:overflowPunct/>
        <w:topLinePunct w:val="0"/>
        <w:bidi w:val="0"/>
        <w:spacing w:line="360" w:lineRule="auto"/>
        <w:ind w:firstLine="420" w:firstLineChars="200"/>
        <w:rPr>
          <w:rFonts w:hint="eastAsia" w:ascii="宋体" w:hAnsi="宋体" w:eastAsia="宋体" w:cs="宋体"/>
          <w:snapToGrid w:val="0"/>
          <w:color w:val="auto"/>
          <w:kern w:val="28"/>
          <w:sz w:val="21"/>
          <w:szCs w:val="21"/>
          <w:highlight w:val="none"/>
          <w:lang w:val="en-US" w:eastAsia="zh-CN"/>
        </w:rPr>
      </w:pPr>
      <w:r>
        <w:rPr>
          <w:rFonts w:hint="eastAsia" w:ascii="宋体" w:hAnsi="宋体" w:eastAsia="宋体" w:cs="宋体"/>
          <w:snapToGrid w:val="0"/>
          <w:color w:val="auto"/>
          <w:kern w:val="28"/>
          <w:sz w:val="21"/>
          <w:szCs w:val="21"/>
          <w:highlight w:val="none"/>
          <w:lang w:val="en-US" w:eastAsia="zh-CN"/>
        </w:rPr>
        <w:t>（2）供应商未被“信用中国”（www.creditchina.gov.cn)、中国政府采购网（www.ccgp.gov.cn）列入失信被执行人、重大税收违法案件当事人名单、政府采购严重违法失信行为记录名单。</w:t>
      </w:r>
    </w:p>
    <w:p w14:paraId="34453CD9">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.网上公告媒体查询：</w:t>
      </w:r>
      <w:r>
        <w:rPr>
          <w:rFonts w:hint="eastAsia" w:ascii="宋体" w:hAnsi="宋体" w:eastAsia="宋体" w:cs="宋体"/>
          <w:color w:val="auto"/>
          <w:sz w:val="21"/>
          <w:szCs w:val="21"/>
          <w:highlight w:val="none"/>
          <w:lang w:val="en-US" w:eastAsia="zh-CN"/>
        </w:rPr>
        <w:t>中国政府采购网（http://www.ccgp.gov.cn/）、广西壮族自治区政府采购网（http://www.ccgp-guangxi.gov.cn/）</w:t>
      </w:r>
      <w:r>
        <w:rPr>
          <w:rFonts w:hint="eastAsia" w:ascii="宋体" w:hAnsi="宋体" w:eastAsia="宋体" w:cs="宋体"/>
          <w:color w:val="auto"/>
          <w:sz w:val="21"/>
          <w:szCs w:val="21"/>
          <w:highlight w:val="none"/>
        </w:rPr>
        <w:t>。</w:t>
      </w:r>
    </w:p>
    <w:p w14:paraId="6A62EE38">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本项目通过广西政府采购云平台实行在线投标响应（电子投标），为确保网上操作合法、有效和安全，谈判供应商应当在谈判截止时间前完成在“广西政府采购云平台”的身份认证，确保在电子投标过程中能够对相关数据电文进行加密和使用电子签章。使用“广西政府采购云平台电子交易客户端”需要提前申领CA数字证书，CA证书申请操作指南下载地址（网上申请方式见网址：http://www.ccgp-guangxi.gov.cn/luban/detail?parentId=66479&amp;articleId=pSO9fZ16UrkQX4GkrKyqiA==&amp;utm=luban.luban-PC-38919.1085-pc-wsg-guangxi-secondPage-front.1.2e18f760d69611ed8f2cc9701088ccbf）（广西政府采购网）或（现场办理：https://www.gxca.com.cn/detail/detail?articleId=1546808615271264258&amp;classifyId=1546335737551556610&amp;pid=1546335679795990530（广西壮族自治区数字证书认证中心）。</w:t>
      </w:r>
    </w:p>
    <w:p w14:paraId="2CB2FB73">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各供应商通过广西政府采购云平台参与政府采购项目投标需下载使用新版客户端，新版客户端下载路径：广西政府采购网（http://zfcg.gxzf.gov.cn/）—办事服务—下载专区—广西政府采购云平台新版客户端。电子响应文件制作与投送教程请登录广西政府采购云平台“服务中心-帮助文档-项目采购-操作流程-电子招投标-政府采购项目电子交易管理操作指南-供应商”。</w:t>
      </w:r>
    </w:p>
    <w:p w14:paraId="6B882ED4">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.本项目采用远程异地评标。</w:t>
      </w:r>
    </w:p>
    <w:p w14:paraId="2E6EC292">
      <w:pPr>
        <w:pStyle w:val="631"/>
        <w:pageBreakBefore w:val="0"/>
        <w:kinsoku/>
        <w:wordWrap/>
        <w:overflowPunct/>
        <w:topLinePunct w:val="0"/>
        <w:bidi w:val="0"/>
        <w:spacing w:line="360" w:lineRule="auto"/>
        <w:ind w:firstLine="0"/>
        <w:rPr>
          <w:rFonts w:hint="eastAsia" w:ascii="宋体" w:hAnsi="宋体" w:eastAsia="宋体" w:cs="宋体"/>
          <w:b/>
          <w:color w:val="auto"/>
          <w:sz w:val="21"/>
          <w:szCs w:val="21"/>
          <w:highlight w:val="none"/>
        </w:rPr>
      </w:pPr>
      <w:bookmarkStart w:id="37" w:name="_Toc28359018"/>
      <w:bookmarkStart w:id="38" w:name="_Toc35393636"/>
      <w:bookmarkStart w:id="39" w:name="_Toc28359095"/>
      <w:bookmarkStart w:id="40" w:name="_Toc35393805"/>
      <w:r>
        <w:rPr>
          <w:rFonts w:hint="eastAsia" w:ascii="宋体" w:hAnsi="宋体" w:eastAsia="宋体" w:cs="宋体"/>
          <w:b/>
          <w:color w:val="auto"/>
          <w:sz w:val="21"/>
          <w:szCs w:val="21"/>
          <w:highlight w:val="none"/>
        </w:rPr>
        <w:t>八、凡对本次采购提出询问、质疑、投诉，请按以下方式联系</w:t>
      </w:r>
      <w:bookmarkEnd w:id="37"/>
      <w:bookmarkEnd w:id="38"/>
      <w:bookmarkEnd w:id="39"/>
      <w:bookmarkEnd w:id="40"/>
    </w:p>
    <w:p w14:paraId="65ECB6B1">
      <w:pPr>
        <w:pStyle w:val="631"/>
        <w:pageBreakBefore w:val="0"/>
        <w:kinsoku/>
        <w:wordWrap/>
        <w:overflowPunct/>
        <w:topLinePunct w:val="0"/>
        <w:bidi w:val="0"/>
        <w:spacing w:line="360" w:lineRule="auto"/>
        <w:ind w:firstLine="0"/>
        <w:rPr>
          <w:rFonts w:hint="eastAsia" w:ascii="宋体" w:hAnsi="宋体" w:eastAsia="宋体" w:cs="宋体"/>
          <w:b/>
          <w:color w:val="auto"/>
          <w:sz w:val="21"/>
          <w:szCs w:val="21"/>
          <w:highlight w:val="none"/>
        </w:rPr>
      </w:pPr>
      <w:bookmarkStart w:id="41" w:name="_Toc35393637"/>
      <w:bookmarkStart w:id="42" w:name="_Toc28359096"/>
      <w:bookmarkStart w:id="43" w:name="_Toc35393806"/>
      <w:bookmarkStart w:id="44" w:name="_Toc28359019"/>
      <w:r>
        <w:rPr>
          <w:rFonts w:hint="eastAsia" w:ascii="宋体" w:hAnsi="宋体" w:eastAsia="宋体" w:cs="宋体"/>
          <w:b/>
          <w:color w:val="auto"/>
          <w:sz w:val="21"/>
          <w:szCs w:val="21"/>
          <w:highlight w:val="none"/>
        </w:rPr>
        <w:t>1.采购人信息</w:t>
      </w:r>
      <w:bookmarkEnd w:id="41"/>
      <w:bookmarkEnd w:id="42"/>
      <w:bookmarkEnd w:id="43"/>
      <w:bookmarkEnd w:id="44"/>
    </w:p>
    <w:p w14:paraId="64F8167F">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名    称：</w:t>
      </w:r>
      <w:r>
        <w:rPr>
          <w:rFonts w:hint="eastAsia" w:ascii="宋体" w:hAnsi="宋体" w:eastAsia="宋体" w:cs="宋体"/>
          <w:color w:val="auto"/>
          <w:sz w:val="21"/>
          <w:szCs w:val="21"/>
          <w:highlight w:val="none"/>
          <w:lang w:val="en-US" w:eastAsia="zh-CN"/>
        </w:rPr>
        <w:t>北海市旅游文体局</w:t>
      </w:r>
    </w:p>
    <w:p w14:paraId="2AD54ED6">
      <w:pPr>
        <w:pageBreakBefore w:val="0"/>
        <w:kinsoku/>
        <w:wordWrap/>
        <w:overflowPunct/>
        <w:topLinePunct w:val="0"/>
        <w:bidi w:val="0"/>
        <w:spacing w:line="360" w:lineRule="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 xml:space="preserve">    地    址：</w:t>
      </w:r>
      <w:r>
        <w:rPr>
          <w:rFonts w:hint="eastAsia" w:ascii="宋体" w:hAnsi="宋体" w:cs="宋体"/>
          <w:color w:val="auto"/>
          <w:sz w:val="21"/>
          <w:szCs w:val="21"/>
          <w:highlight w:val="none"/>
          <w:lang w:eastAsia="zh-CN"/>
        </w:rPr>
        <w:t>北海市海城区贵州路</w:t>
      </w:r>
      <w:r>
        <w:rPr>
          <w:rFonts w:hint="eastAsia" w:ascii="宋体" w:hAnsi="宋体" w:cs="宋体"/>
          <w:color w:val="auto"/>
          <w:sz w:val="21"/>
          <w:szCs w:val="21"/>
          <w:highlight w:val="none"/>
          <w:lang w:val="en-US" w:eastAsia="zh-CN"/>
        </w:rPr>
        <w:t>35号</w:t>
      </w:r>
    </w:p>
    <w:p w14:paraId="04704C0C">
      <w:pPr>
        <w:pageBreakBefore w:val="0"/>
        <w:kinsoku/>
        <w:wordWrap/>
        <w:overflowPunct/>
        <w:topLinePunct w:val="0"/>
        <w:bidi w:val="0"/>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 xml:space="preserve">    项目联系人：</w:t>
      </w:r>
      <w:r>
        <w:rPr>
          <w:rFonts w:hint="eastAsia" w:ascii="宋体" w:hAnsi="宋体" w:cs="宋体"/>
          <w:color w:val="auto"/>
          <w:sz w:val="21"/>
          <w:szCs w:val="21"/>
          <w:highlight w:val="none"/>
          <w:lang w:eastAsia="zh-CN"/>
        </w:rPr>
        <w:t>刘鹏</w:t>
      </w:r>
    </w:p>
    <w:p w14:paraId="03678A75">
      <w:pPr>
        <w:pageBreakBefore w:val="0"/>
        <w:kinsoku/>
        <w:wordWrap/>
        <w:overflowPunct/>
        <w:topLinePunct w:val="0"/>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项目联系方式：</w:t>
      </w:r>
      <w:r>
        <w:rPr>
          <w:rFonts w:hint="eastAsia" w:ascii="宋体" w:hAnsi="宋体" w:cs="宋体"/>
          <w:color w:val="auto"/>
          <w:sz w:val="21"/>
          <w:szCs w:val="21"/>
          <w:highlight w:val="none"/>
          <w:lang w:val="en-US" w:eastAsia="zh-CN"/>
        </w:rPr>
        <w:t>0779-2029045</w:t>
      </w:r>
      <w:r>
        <w:rPr>
          <w:rFonts w:hint="eastAsia" w:ascii="宋体" w:hAnsi="宋体" w:eastAsia="宋体" w:cs="宋体"/>
          <w:color w:val="auto"/>
          <w:sz w:val="21"/>
          <w:szCs w:val="21"/>
          <w:highlight w:val="none"/>
        </w:rPr>
        <w:t xml:space="preserve">  </w:t>
      </w:r>
    </w:p>
    <w:p w14:paraId="4E16EB58">
      <w:pPr>
        <w:pStyle w:val="631"/>
        <w:pageBreakBefore w:val="0"/>
        <w:kinsoku/>
        <w:wordWrap/>
        <w:overflowPunct/>
        <w:topLinePunct w:val="0"/>
        <w:bidi w:val="0"/>
        <w:spacing w:line="360" w:lineRule="auto"/>
        <w:ind w:firstLine="0"/>
        <w:rPr>
          <w:rFonts w:hint="eastAsia" w:ascii="宋体" w:hAnsi="宋体" w:eastAsia="宋体" w:cs="宋体"/>
          <w:b/>
          <w:color w:val="auto"/>
          <w:sz w:val="21"/>
          <w:szCs w:val="21"/>
          <w:highlight w:val="none"/>
        </w:rPr>
      </w:pPr>
      <w:bookmarkStart w:id="45" w:name="_Toc35393638"/>
      <w:bookmarkStart w:id="46" w:name="_Toc35393807"/>
      <w:bookmarkStart w:id="47" w:name="_Toc28359020"/>
      <w:bookmarkStart w:id="48" w:name="_Toc28359097"/>
      <w:r>
        <w:rPr>
          <w:rFonts w:hint="eastAsia" w:ascii="宋体" w:hAnsi="宋体" w:eastAsia="宋体" w:cs="宋体"/>
          <w:b/>
          <w:color w:val="auto"/>
          <w:sz w:val="21"/>
          <w:szCs w:val="21"/>
          <w:highlight w:val="none"/>
        </w:rPr>
        <w:t>2.采购代理机构信息</w:t>
      </w:r>
      <w:bookmarkEnd w:id="45"/>
      <w:bookmarkEnd w:id="46"/>
      <w:bookmarkEnd w:id="47"/>
      <w:bookmarkEnd w:id="48"/>
    </w:p>
    <w:p w14:paraId="19EFE0C3">
      <w:pPr>
        <w:pStyle w:val="631"/>
        <w:pageBreakBefore w:val="0"/>
        <w:kinsoku/>
        <w:wordWrap/>
        <w:overflowPunct/>
        <w:topLinePunct w:val="0"/>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名称：</w:t>
      </w:r>
      <w:r>
        <w:rPr>
          <w:rFonts w:hint="eastAsia" w:ascii="宋体" w:hAnsi="宋体" w:eastAsia="宋体" w:cs="宋体"/>
          <w:color w:val="auto"/>
          <w:sz w:val="21"/>
          <w:szCs w:val="21"/>
          <w:highlight w:val="none"/>
          <w:lang w:val="en-US" w:eastAsia="zh-CN"/>
        </w:rPr>
        <w:t>广西北部湾宏亚建设管理有限公司</w:t>
      </w:r>
      <w:r>
        <w:rPr>
          <w:rFonts w:hint="eastAsia" w:ascii="宋体" w:hAnsi="宋体" w:eastAsia="宋体" w:cs="宋体"/>
          <w:color w:val="auto"/>
          <w:sz w:val="21"/>
          <w:szCs w:val="21"/>
          <w:highlight w:val="none"/>
        </w:rPr>
        <w:t xml:space="preserve">             </w:t>
      </w:r>
    </w:p>
    <w:p w14:paraId="65199B29">
      <w:pPr>
        <w:pStyle w:val="631"/>
        <w:pageBreakBefore w:val="0"/>
        <w:kinsoku/>
        <w:wordWrap/>
        <w:overflowPunct/>
        <w:topLinePunct w:val="0"/>
        <w:bidi w:val="0"/>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地址：</w:t>
      </w:r>
      <w:r>
        <w:rPr>
          <w:rFonts w:hint="eastAsia" w:ascii="宋体" w:hAnsi="宋体" w:eastAsia="宋体" w:cs="宋体"/>
          <w:color w:val="auto"/>
          <w:sz w:val="21"/>
          <w:szCs w:val="21"/>
          <w:highlight w:val="none"/>
          <w:lang w:eastAsia="zh-CN"/>
        </w:rPr>
        <w:t>北海市海城区银河城市科技产业城2幢0101号</w:t>
      </w:r>
      <w:r>
        <w:rPr>
          <w:rFonts w:hint="eastAsia" w:ascii="宋体" w:hAnsi="宋体" w:eastAsia="宋体" w:cs="宋体"/>
          <w:color w:val="auto"/>
          <w:sz w:val="21"/>
          <w:szCs w:val="21"/>
          <w:highlight w:val="none"/>
        </w:rPr>
        <w:t xml:space="preserve"> </w:t>
      </w:r>
    </w:p>
    <w:p w14:paraId="4DAC96BE">
      <w:pPr>
        <w:pStyle w:val="631"/>
        <w:pageBreakBefore w:val="0"/>
        <w:kinsoku/>
        <w:wordWrap/>
        <w:overflowPunct/>
        <w:topLinePunct w:val="0"/>
        <w:bidi w:val="0"/>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项目联系人（询问):韦丽丹</w:t>
      </w:r>
    </w:p>
    <w:p w14:paraId="7DF2C4FF">
      <w:pPr>
        <w:pStyle w:val="631"/>
        <w:pageBreakBefore w:val="0"/>
        <w:kinsoku/>
        <w:wordWrap/>
        <w:overflowPunct/>
        <w:topLinePunct w:val="0"/>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项目联系方式</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询问）</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0779-3928925</w:t>
      </w:r>
      <w:r>
        <w:rPr>
          <w:rFonts w:hint="eastAsia" w:ascii="宋体" w:hAnsi="宋体" w:eastAsia="宋体" w:cs="宋体"/>
          <w:color w:val="auto"/>
          <w:sz w:val="21"/>
          <w:szCs w:val="21"/>
          <w:highlight w:val="none"/>
        </w:rPr>
        <w:t xml:space="preserve"> </w:t>
      </w:r>
    </w:p>
    <w:p w14:paraId="3D6F9BC2">
      <w:pPr>
        <w:pStyle w:val="631"/>
        <w:pageBreakBefore w:val="0"/>
        <w:kinsoku/>
        <w:wordWrap/>
        <w:overflowPunct/>
        <w:topLinePunct w:val="0"/>
        <w:bidi w:val="0"/>
        <w:spacing w:line="360" w:lineRule="auto"/>
        <w:rPr>
          <w:rFonts w:hint="eastAsia" w:ascii="宋体" w:hAnsi="宋体" w:eastAsia="宋体" w:cs="宋体"/>
          <w:color w:val="auto"/>
          <w:sz w:val="21"/>
          <w:szCs w:val="21"/>
          <w:highlight w:val="none"/>
        </w:rPr>
      </w:pPr>
    </w:p>
    <w:p w14:paraId="26F4DAF5">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若对项目采购电子交易系统操作有疑问，可登录广西政府采购云平台（https://www.zcygov.cn/），点击右侧咨询小采，获取采小蜜智能服务管家帮助，或拨打广西政府采购云平台服务热线95763获取热线服务帮助。</w:t>
      </w:r>
    </w:p>
    <w:p w14:paraId="4D9BA303">
      <w:pPr>
        <w:pageBreakBefore w:val="0"/>
        <w:kinsoku/>
        <w:wordWrap/>
        <w:overflowPunct/>
        <w:topLinePunct w:val="0"/>
        <w:bidi w:val="0"/>
        <w:spacing w:line="360" w:lineRule="auto"/>
        <w:rPr>
          <w:rFonts w:hint="eastAsia" w:ascii="宋体" w:hAnsi="宋体" w:eastAsia="宋体" w:cs="宋体"/>
          <w:color w:val="auto"/>
          <w:sz w:val="21"/>
          <w:szCs w:val="21"/>
          <w:highlight w:val="none"/>
        </w:rPr>
      </w:pPr>
    </w:p>
    <w:p w14:paraId="6D6EBF0F">
      <w:pPr>
        <w:pStyle w:val="2"/>
        <w:numPr>
          <w:ilvl w:val="0"/>
          <w:numId w:val="0"/>
        </w:numPr>
        <w:bidi w:val="0"/>
        <w:ind w:leftChars="0"/>
        <w:jc w:val="center"/>
        <w:rPr>
          <w:rFonts w:hint="eastAsia"/>
          <w:color w:val="auto"/>
          <w:sz w:val="36"/>
          <w:szCs w:val="36"/>
          <w:highlight w:val="none"/>
        </w:rPr>
      </w:pPr>
      <w:bookmarkStart w:id="49" w:name="_Toc6420"/>
      <w:r>
        <w:rPr>
          <w:rFonts w:hint="eastAsia"/>
          <w:color w:val="auto"/>
          <w:sz w:val="36"/>
          <w:szCs w:val="36"/>
          <w:highlight w:val="none"/>
        </w:rPr>
        <w:t>第二部分  竞争性谈判流程</w:t>
      </w:r>
      <w:bookmarkEnd w:id="49"/>
    </w:p>
    <w:p w14:paraId="61F5A9DC">
      <w:pPr>
        <w:pStyle w:val="392"/>
        <w:pageBreakBefore w:val="0"/>
        <w:kinsoku/>
        <w:wordWrap/>
        <w:overflowPunct/>
        <w:topLinePunct w:val="0"/>
        <w:bidi w:val="0"/>
        <w:spacing w:before="0" w:line="360" w:lineRule="auto"/>
        <w:ind w:firstLine="0" w:firstLineChars="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1.征集供应商</w:t>
      </w:r>
    </w:p>
    <w:p w14:paraId="6ACEE316">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1.1邀请供应商。</w:t>
      </w:r>
    </w:p>
    <w:p w14:paraId="2B19B4E8">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sym w:font="Wingdings" w:char="F0FE"/>
      </w:r>
      <w:r>
        <w:rPr>
          <w:rFonts w:hint="eastAsia" w:ascii="宋体" w:hAnsi="宋体" w:eastAsia="宋体" w:cs="宋体"/>
          <w:b/>
          <w:color w:val="auto"/>
          <w:sz w:val="21"/>
          <w:szCs w:val="21"/>
          <w:highlight w:val="none"/>
        </w:rPr>
        <w:t>采用公告方式邀请供应商的，</w:t>
      </w:r>
      <w:r>
        <w:rPr>
          <w:rFonts w:hint="eastAsia" w:ascii="宋体" w:hAnsi="宋体" w:eastAsia="宋体" w:cs="宋体"/>
          <w:color w:val="auto"/>
          <w:sz w:val="21"/>
          <w:szCs w:val="21"/>
          <w:highlight w:val="none"/>
        </w:rPr>
        <w:t>由采购人、采购代理机构在省级以上人民政府财政部门指定的政府采购信息发布媒体上发布谈判公告，邀请符合相应资格条件的供应商参与竞争性谈判采购活动。</w:t>
      </w:r>
    </w:p>
    <w:p w14:paraId="21AC81DB">
      <w:pPr>
        <w:pStyle w:val="392"/>
        <w:pageBreakBefore w:val="0"/>
        <w:kinsoku/>
        <w:wordWrap/>
        <w:overflowPunct/>
        <w:topLinePunct w:val="0"/>
        <w:bidi w:val="0"/>
        <w:spacing w:before="0" w:line="360" w:lineRule="auto"/>
        <w:ind w:firstLine="482"/>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□采用随机抽取方式邀请供应商的，</w:t>
      </w:r>
      <w:r>
        <w:rPr>
          <w:rFonts w:hint="eastAsia" w:ascii="宋体" w:hAnsi="宋体" w:eastAsia="宋体" w:cs="宋体"/>
          <w:color w:val="auto"/>
          <w:sz w:val="21"/>
          <w:szCs w:val="21"/>
          <w:highlight w:val="none"/>
        </w:rPr>
        <w:t>由采购人、采购代理机构从省级以上财政部门建立的供应商库中随机抽取不少于3家符合相应资格条件的供应商参与竞争性谈判采购活动。</w:t>
      </w:r>
    </w:p>
    <w:p w14:paraId="59655ACE">
      <w:pPr>
        <w:pStyle w:val="392"/>
        <w:pageBreakBefore w:val="0"/>
        <w:kinsoku/>
        <w:wordWrap/>
        <w:overflowPunct/>
        <w:topLinePunct w:val="0"/>
        <w:bidi w:val="0"/>
        <w:spacing w:before="0" w:line="360" w:lineRule="auto"/>
        <w:ind w:firstLine="482"/>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□采用书面推荐方式邀请供应商的，</w:t>
      </w:r>
      <w:r>
        <w:rPr>
          <w:rFonts w:hint="eastAsia" w:ascii="宋体" w:hAnsi="宋体" w:eastAsia="宋体" w:cs="宋体"/>
          <w:color w:val="auto"/>
          <w:sz w:val="21"/>
          <w:szCs w:val="21"/>
          <w:highlight w:val="none"/>
        </w:rPr>
        <w:t>由采购人和评审专家分别书面推荐不少于3家符合相应资格条件的供应商参与竞争性谈判采购活动。采取采购人和评审专家书面推荐方式选择供应商的，采购人和评审专家应当各自出具书面推荐意见。采购人推荐供应商的比例不得高于推荐供应商总数的50%。</w:t>
      </w:r>
    </w:p>
    <w:p w14:paraId="07193130">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1.2供应商获取谈判文件。</w:t>
      </w:r>
    </w:p>
    <w:p w14:paraId="5C2F9D79">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1.3组织现场考察或召开答疑会（如果有）。</w:t>
      </w:r>
    </w:p>
    <w:p w14:paraId="295E1ECF">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1.4发布更正（延期）公告，澄清或修改谈判文件（如果有）。</w:t>
      </w:r>
    </w:p>
    <w:p w14:paraId="04C3131A">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1.5供应商按谈判文件要求编制响应文件。</w:t>
      </w:r>
    </w:p>
    <w:p w14:paraId="5B1937BC">
      <w:pPr>
        <w:pStyle w:val="392"/>
        <w:pageBreakBefore w:val="0"/>
        <w:kinsoku/>
        <w:wordWrap/>
        <w:overflowPunct/>
        <w:topLinePunct w:val="0"/>
        <w:bidi w:val="0"/>
        <w:spacing w:before="0" w:line="360" w:lineRule="auto"/>
        <w:ind w:firstLine="0" w:firstLineChars="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2.响应文件开启与信用信息查询</w:t>
      </w:r>
    </w:p>
    <w:p w14:paraId="4B7BAE80">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2.1供应商依据“提交响应文件的截止时间与地点”通过广西政府采购云平台在线提交响应文件。供应商在提交响应文件的截止时间前，可以补充、修改或撤回响应文件。</w:t>
      </w:r>
    </w:p>
    <w:p w14:paraId="3824FC26">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w:t>
      </w:r>
      <w:r>
        <w:rPr>
          <w:rFonts w:hint="eastAsia" w:ascii="宋体" w:hAnsi="宋体" w:eastAsia="宋体" w:cs="宋体"/>
          <w:color w:val="auto"/>
          <w:kern w:val="0"/>
          <w:sz w:val="21"/>
          <w:szCs w:val="21"/>
          <w:highlight w:val="none"/>
        </w:rPr>
        <w:t>采购人或者采购代理机构将通过“信用中国”网站(</w:t>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"http://www.creditchina.gov.cn" </w:instrText>
      </w:r>
      <w:r>
        <w:rPr>
          <w:rFonts w:hint="eastAsia" w:ascii="宋体" w:hAnsi="宋体" w:eastAsia="宋体" w:cs="宋体"/>
          <w:color w:val="auto"/>
          <w:sz w:val="21"/>
          <w:szCs w:val="21"/>
          <w:highlight w:val="none"/>
        </w:rPr>
        <w:fldChar w:fldCharType="separate"/>
      </w:r>
      <w:r>
        <w:rPr>
          <w:rStyle w:val="68"/>
          <w:rFonts w:hint="eastAsia" w:ascii="宋体" w:hAnsi="宋体" w:eastAsia="宋体" w:cs="宋体"/>
          <w:snapToGrid/>
          <w:color w:val="auto"/>
          <w:sz w:val="21"/>
          <w:szCs w:val="21"/>
          <w:highlight w:val="none"/>
        </w:rPr>
        <w:t>www.creditchina.gov.cn</w:t>
      </w:r>
      <w:r>
        <w:rPr>
          <w:rStyle w:val="68"/>
          <w:rFonts w:hint="eastAsia" w:ascii="宋体" w:hAnsi="宋体" w:eastAsia="宋体" w:cs="宋体"/>
          <w:snapToGrid/>
          <w:color w:val="auto"/>
          <w:sz w:val="21"/>
          <w:szCs w:val="21"/>
          <w:highlight w:val="none"/>
        </w:rPr>
        <w:fldChar w:fldCharType="end"/>
      </w:r>
      <w:r>
        <w:rPr>
          <w:rFonts w:hint="eastAsia" w:ascii="宋体" w:hAnsi="宋体" w:eastAsia="宋体" w:cs="宋体"/>
          <w:color w:val="auto"/>
          <w:kern w:val="0"/>
          <w:sz w:val="21"/>
          <w:szCs w:val="21"/>
          <w:highlight w:val="none"/>
        </w:rPr>
        <w:t>)和中国政府采购网(www.ccgp.gov.cn)渠道查询供应商响应截止时间当日的信用记录。</w:t>
      </w:r>
    </w:p>
    <w:p w14:paraId="185787B5">
      <w:pPr>
        <w:pStyle w:val="392"/>
        <w:pageBreakBefore w:val="0"/>
        <w:kinsoku/>
        <w:wordWrap/>
        <w:overflowPunct/>
        <w:topLinePunct w:val="0"/>
        <w:bidi w:val="0"/>
        <w:spacing w:before="0" w:line="360" w:lineRule="auto"/>
        <w:ind w:firstLine="0" w:firstLineChars="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3.谈判与评审</w:t>
      </w:r>
    </w:p>
    <w:p w14:paraId="175BCE51">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3.1谈判小组签到。</w:t>
      </w:r>
    </w:p>
    <w:p w14:paraId="4919DBEA">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3.2采购代理机构宣布有关纪律以及谈判、评审工作程序。</w:t>
      </w:r>
    </w:p>
    <w:p w14:paraId="6CF46E4D">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3.3谈判小组审查确认谈判文件。谈判文件内容违反国家有关强制性规定的，谈判小组应当停止评审并向采购代理机构说明情况。</w:t>
      </w:r>
    </w:p>
    <w:p w14:paraId="45F54490">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3.4谈判小组对供应商的资格进行审查。</w:t>
      </w:r>
    </w:p>
    <w:p w14:paraId="2AF6A917">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3.5谈判小组审查响应文件。</w:t>
      </w:r>
    </w:p>
    <w:p w14:paraId="4921874A">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3.6对于未实质性响应谈判文件的响应文件由谈判小组认定响应无效，并告知该供应商。</w:t>
      </w:r>
    </w:p>
    <w:p w14:paraId="383F57B3">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3.7供应商根据谈判小组要求对响应文件中含义不明确、同类问题表述不一致或者有明显文字和计算错误的内容等作出必要的澄清、说明或者更正。谈判小组和供应商通过电子交易平台交换数据电文，供应商提交使用电子签名的相关数据电文或通过平台上传加盖公章的扫描件。给予供应商提交澄清、说明或补正的时间不得少于半小时，供应商已经明确表示澄清说明或补正完毕的除外。供应商的澄清、说明或者更正不得超出响应文件的范围或者改变响应文件的实质性内容。</w:t>
      </w:r>
    </w:p>
    <w:p w14:paraId="4B581DD9">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3.8谈判小组与符合要求的供应商进行谈判。谈判小组所有成员按照响应文件解密次序集中与单一供应商分别进行谈判，并给予所有参加谈判的供应商平等的谈判机会。谈判过程中，谈判小组可以根据谈判情况调整轮次。谈判时由采购代理机构或谈判小组利用广西政府采购云平台发起谈判邀请，供应商通过广西政府采购云平台“在线评审室”进行远程视频谈判。供应商使用CA数字证书登录广西政府采购云平台——收到视频评审邀请——点击“视频评审”进入“视频评审系统”——开始远程谈判活动。</w:t>
      </w:r>
    </w:p>
    <w:p w14:paraId="049ACE20">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3.9经谈判确定谈判文件的变动情况。在谈判过程中，谈判小组可以根据谈判文件和谈判情况实质性变动采购需求中的技术、服务要求以及合同草案条款，但不得变动谈判文件中的其他内容。实质性变动的内容，须经采购人代表确认。对谈判文件作出的实质性变动是谈判文件的有效组成部分，谈判小组应当及时以书面形式同时通知所有参加谈判的供应商。</w:t>
      </w:r>
    </w:p>
    <w:p w14:paraId="05C68C33">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3.10供应商应当按照谈判文件的变动情况和谈判小组的要求重新提交响应文件，并由其法定代表人或授权代表签字或者加盖公章。由授权代表签字的，应当附法定代表人授权书。供应商为自然人的，应当由本人签字并附身份证明。签字或者加盖公章可以使用电子签名（如果有）。已提交响应文件的供应商，在提交最后报价之前，可以根据谈判情况退出谈判。如供应商未按谈判小组的要求在规定的时间内提交最后报价的，视为退出谈判。</w:t>
      </w:r>
    </w:p>
    <w:p w14:paraId="713AD23A">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3.11谈判小组按照下列方式确定提交最后报价的供应商，有特殊规定的从其规定：</w:t>
      </w:r>
    </w:p>
    <w:p w14:paraId="0539256D">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谈判文件能够详细列明采购标的的技术、服务要求的，谈判结束后，谈判小组应当要求所有继续参加谈判的供应商在规定时间内提交最后报价，提交最后报价的供应商不得少于3家。符合《政府采购非招标采购方式管理办法》（财政部令第74号）第二十七条第二款规定情形的，提交最后报价的供应商可以为2家。</w:t>
      </w:r>
    </w:p>
    <w:p w14:paraId="0262AFC7">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谈判文件不能详细列明采购标的的技术、服务要求，需经谈判由供应商提供最终设计方案或解决方案的，谈判结束后，谈判小组应当按照少数服从多数的原则投票推荐3家以上供应商的设计方案或者解决方案，并要求其在规定时间内提交最后报价。</w:t>
      </w:r>
    </w:p>
    <w:p w14:paraId="62A7E681">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3.12确定进入最后报价的供应商在规定时间内提交最后报价。</w:t>
      </w:r>
    </w:p>
    <w:p w14:paraId="73B42A16">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3.13谈判小组应当从质量和服务均能满足采购文件实质性响应要求的供应商中，按照最后报价由低到高的顺序提出3名以上成交候选人，并编写评审报告。多家供应商提供相同品牌产品（单一产品采购项目中的该产品或者非单一产品采购项目的核心产品）且通过资格审查、符合性审查的不同供应商参加同一合同项下谈判的，按一家供应商计算，评审后报价最低的同品牌供应商获得成交人推荐资格；报价相同的，由采购人或者采购人委托谈判小组按照谈判文件规定的方式确定一个供应商获得成交人推荐资格，谈判文件未规定的采取随机抽取方式确定，其他同品牌供应商不作为成交候选人。</w:t>
      </w:r>
    </w:p>
    <w:p w14:paraId="2B451AD9">
      <w:pPr>
        <w:pStyle w:val="392"/>
        <w:pageBreakBefore w:val="0"/>
        <w:kinsoku/>
        <w:wordWrap/>
        <w:overflowPunct/>
        <w:topLinePunct w:val="0"/>
        <w:bidi w:val="0"/>
        <w:spacing w:before="0" w:line="360" w:lineRule="auto"/>
        <w:ind w:firstLine="0" w:firstLineChars="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4. 成交</w:t>
      </w:r>
    </w:p>
    <w:p w14:paraId="4DB38D4B">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4.1政府采购项目实行全流程电子化，评审报告送交、采购结果确定和结果公告均在线完成。采购代理机构应当依法及时将评审报告送采购人确认。采购人应当在收到评审报告后2个工作日内，从评审报告提出的成交候选人中，根据质量和服务均能满足采购文件实质性响应要求且最后报价最低的原则确定成交供应商，也可以书面授权谈判小组直接确定成交供应商。采购人逾期未确定成交供应商且不提出异议的，视为确定评审报告提出的最后报价最低的供应商为成交供应商。</w:t>
      </w:r>
    </w:p>
    <w:p w14:paraId="53FF87B6">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4.2采购代理机构在收到采购人对评审报告的确认意见和对成交供应商的确定结果后，应当在2个工作日内，在中国政府采购网、广西政府采购网上公告成交结果，同时向成交供应商发出成交通知书，并将谈判文件随成交结果同时公告。</w:t>
      </w:r>
    </w:p>
    <w:p w14:paraId="266A7B9B">
      <w:pPr>
        <w:pStyle w:val="392"/>
        <w:pageBreakBefore w:val="0"/>
        <w:kinsoku/>
        <w:wordWrap/>
        <w:overflowPunct/>
        <w:topLinePunct w:val="0"/>
        <w:bidi w:val="0"/>
        <w:spacing w:before="0" w:line="360" w:lineRule="auto"/>
        <w:ind w:firstLine="0" w:firstLineChars="0"/>
        <w:rPr>
          <w:rFonts w:hint="eastAsia" w:ascii="宋体" w:hAnsi="宋体" w:eastAsia="宋体" w:cs="宋体"/>
          <w:color w:val="auto"/>
          <w:kern w:val="0"/>
          <w:sz w:val="21"/>
          <w:szCs w:val="21"/>
          <w:highlight w:val="none"/>
        </w:rPr>
      </w:pPr>
      <w:r>
        <w:rPr>
          <w:rFonts w:hint="eastAsia" w:ascii="宋体" w:hAnsi="宋体" w:eastAsia="宋体" w:cs="宋体"/>
          <w:b/>
          <w:color w:val="auto"/>
          <w:sz w:val="21"/>
          <w:szCs w:val="21"/>
          <w:highlight w:val="none"/>
        </w:rPr>
        <w:t>5.合同及履约验收</w:t>
      </w:r>
    </w:p>
    <w:p w14:paraId="05ECE3F9">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采购人与成交供应商应当自成交通知书发出之日起25日内，按照采购文件确定的事项签订政府采购电子合同，具备条件的项目应缩短合同签订时间至8个工作日内。采购人因不可抗力原因延迟签订电子合同的，应当自不可抗力事由消除之日起5个工作日内完成合同签订事宜。鼓励采购人通过完善内部流程进一步缩短电子合同签订期限。</w:t>
      </w:r>
    </w:p>
    <w:p w14:paraId="73E77D6A">
      <w:pPr>
        <w:pageBreakBefore w:val="0"/>
        <w:tabs>
          <w:tab w:val="left" w:pos="0"/>
        </w:tabs>
        <w:kinsoku/>
        <w:wordWrap/>
        <w:overflowPunct/>
        <w:topLinePunct w:val="0"/>
        <w:bidi w:val="0"/>
        <w:spacing w:line="360" w:lineRule="auto"/>
        <w:ind w:firstLine="48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5.2成交供应商按照政策要求及合同约定缴纳履约保证金（如有）。</w:t>
      </w:r>
    </w:p>
    <w:p w14:paraId="6BC33BE5">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5.3合同履约。</w:t>
      </w:r>
    </w:p>
    <w:p w14:paraId="7A148D6C">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5.4采购人组织验收。</w:t>
      </w:r>
    </w:p>
    <w:p w14:paraId="5DE2291B">
      <w:pPr>
        <w:pageBreakBefore w:val="0"/>
        <w:widowControl/>
        <w:kinsoku/>
        <w:wordWrap/>
        <w:overflowPunct/>
        <w:topLinePunct w:val="0"/>
        <w:bidi w:val="0"/>
        <w:adjustRightInd/>
        <w:spacing w:line="360" w:lineRule="auto"/>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br w:type="page"/>
      </w:r>
    </w:p>
    <w:p w14:paraId="7B877E07">
      <w:pPr>
        <w:pStyle w:val="392"/>
        <w:pageBreakBefore w:val="0"/>
        <w:kinsoku/>
        <w:wordWrap/>
        <w:overflowPunct/>
        <w:topLinePunct w:val="0"/>
        <w:bidi w:val="0"/>
        <w:spacing w:before="0" w:line="360" w:lineRule="auto"/>
        <w:ind w:firstLine="0" w:firstLineChars="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6.竞争性谈判流程图</w:t>
      </w:r>
    </w:p>
    <w:p w14:paraId="23A09AEE">
      <w:pPr>
        <w:pStyle w:val="392"/>
        <w:pageBreakBefore w:val="0"/>
        <w:kinsoku/>
        <w:wordWrap/>
        <w:overflowPunct/>
        <w:topLinePunct w:val="0"/>
        <w:bidi w:val="0"/>
        <w:spacing w:before="0" w:line="360" w:lineRule="auto"/>
        <w:ind w:firstLine="0" w:firstLineChars="0"/>
        <w:rPr>
          <w:rFonts w:hint="eastAsia" w:ascii="宋体" w:hAnsi="宋体" w:eastAsia="宋体" w:cs="宋体"/>
          <w:b/>
          <w:color w:val="auto"/>
          <w:sz w:val="21"/>
          <w:szCs w:val="21"/>
          <w:highlight w:val="none"/>
        </w:rPr>
      </w:pPr>
    </w:p>
    <w:p w14:paraId="33AAC18F">
      <w:pPr>
        <w:pageBreakBefore w:val="0"/>
        <w:widowControl/>
        <w:kinsoku/>
        <w:wordWrap/>
        <w:overflowPunct/>
        <w:topLinePunct w:val="0"/>
        <w:bidi w:val="0"/>
        <w:adjustRightInd/>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p w14:paraId="065B22C4">
      <w:pPr>
        <w:pageBreakBefore w:val="0"/>
        <w:widowControl/>
        <w:kinsoku/>
        <w:wordWrap/>
        <w:overflowPunct/>
        <w:topLinePunct w:val="0"/>
        <w:bidi w:val="0"/>
        <w:adjustRightInd/>
        <w:spacing w:line="360" w:lineRule="auto"/>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mc:AlternateContent>
          <mc:Choice Requires="wps">
            <w:drawing>
              <wp:anchor distT="0" distB="0" distL="114300" distR="114300" simplePos="0" relativeHeight="251663360" behindDoc="0" locked="0" layoutInCell="1" allowOverlap="1">
                <wp:simplePos x="0" y="0"/>
                <wp:positionH relativeFrom="column">
                  <wp:posOffset>1665605</wp:posOffset>
                </wp:positionH>
                <wp:positionV relativeFrom="paragraph">
                  <wp:posOffset>5859145</wp:posOffset>
                </wp:positionV>
                <wp:extent cx="492125" cy="261620"/>
                <wp:effectExtent l="0" t="0" r="22225" b="24130"/>
                <wp:wrapNone/>
                <wp:docPr id="2" name="文本框 2"/>
                <wp:cNvGraphicFramePr/>
                <a:graphic xmlns:a="http://schemas.openxmlformats.org/drawingml/2006/main">
                  <a:graphicData uri="http://schemas.microsoft.com/office/word/2010/wordprocessingShape">
                    <wps:wsp>
                      <wps:cNvSpPr txBox="1"/>
                      <wps:spPr>
                        <a:xfrm>
                          <a:off x="0" y="0"/>
                          <a:ext cx="49212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11F1373">
                            <w:pPr>
                              <w:rPr>
                                <w:rFonts w:asciiTheme="minorEastAsia" w:hAnsiTheme="minorEastAsia" w:eastAsiaTheme="minorEastAsia"/>
                              </w:rPr>
                            </w:pPr>
                            <w:r>
                              <w:rPr>
                                <w:rFonts w:hint="eastAsia" w:asciiTheme="minorEastAsia" w:hAnsiTheme="minorEastAsia" w:eastAsiaTheme="minorEastAsia"/>
                              </w:rPr>
                              <w:t>验收</w:t>
                            </w:r>
                          </w:p>
                          <w:p w14:paraId="32609193">
                            <w:pPr>
                              <w:rPr>
                                <w:rFonts w:ascii="仿宋_GB2312" w:eastAsia="仿宋_GB2312"/>
                              </w:rPr>
                            </w:pPr>
                            <w:r>
                              <w:rPr>
                                <w:rFonts w:hint="eastAsia" w:ascii="仿宋_GB2312" w:eastAsia="仿宋_GB2312"/>
                              </w:rPr>
                              <w:t>立项</w:t>
                            </w:r>
                          </w:p>
                          <w:p w14:paraId="17A2494E">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1.15pt;margin-top:461.35pt;height:20.6pt;width:38.75pt;z-index:251663360;mso-width-relative:page;mso-height-relative:page;" fillcolor="#DBEEF4 [664]" filled="t" stroked="t" coordsize="21600,21600" o:gfxdata="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I4xobDZAAAACwEAAA8AAAAAAAAAAQAg&#10;AAAAIgAAAGRycy9kb3ducmV2LnhtbFBLAQIUABQAAAAIAIdO4kAWe3M4fwIAAP0EAAAOAAAAAAAA&#10;AAEAIAAAACgBAABkcnMvZTJvRG9jLnhtbFBLBQYAAAAABgAGAFkBAAAZBgAAAAA=&#10;">
                <v:fill on="t" focussize="0,0"/>
                <v:stroke weight="0.5pt" color="#000000 [3204]" joinstyle="round"/>
                <v:imagedata o:title=""/>
                <o:lock v:ext="edit" aspectratio="f"/>
                <v:textbox>
                  <w:txbxContent>
                    <w:p w14:paraId="711F1373">
                      <w:pPr>
                        <w:rPr>
                          <w:rFonts w:asciiTheme="minorEastAsia" w:hAnsiTheme="minorEastAsia" w:eastAsiaTheme="minorEastAsia"/>
                        </w:rPr>
                      </w:pPr>
                      <w:r>
                        <w:rPr>
                          <w:rFonts w:hint="eastAsia" w:asciiTheme="minorEastAsia" w:hAnsiTheme="minorEastAsia" w:eastAsiaTheme="minorEastAsia"/>
                        </w:rPr>
                        <w:t>验收</w:t>
                      </w:r>
                    </w:p>
                    <w:p w14:paraId="32609193">
                      <w:pPr>
                        <w:rPr>
                          <w:rFonts w:ascii="仿宋_GB2312" w:eastAsia="仿宋_GB2312"/>
                        </w:rPr>
                      </w:pPr>
                      <w:r>
                        <w:rPr>
                          <w:rFonts w:hint="eastAsia" w:ascii="仿宋_GB2312" w:eastAsia="仿宋_GB2312"/>
                        </w:rPr>
                        <w:t>立项</w:t>
                      </w:r>
                    </w:p>
                    <w:p w14:paraId="17A2494E">
                      <w:pPr>
                        <w:rPr>
                          <w:rFonts w:ascii="仿宋_GB2312" w:eastAsia="仿宋_GB2312"/>
                        </w:rPr>
                      </w:pPr>
                    </w:p>
                  </w:txbxContent>
                </v:textbox>
              </v:shape>
            </w:pict>
          </mc:Fallback>
        </mc:AlternateContent>
      </w:r>
      <w:r>
        <w:rPr>
          <w:rFonts w:hint="eastAsia" w:ascii="宋体" w:hAnsi="宋体" w:eastAsia="宋体" w:cs="宋体"/>
          <w:b/>
          <w:color w:val="auto"/>
          <w:sz w:val="21"/>
          <w:szCs w:val="21"/>
          <w:highlight w:val="none"/>
        </w:rPr>
        <mc:AlternateContent>
          <mc:Choice Requires="wps">
            <w:drawing>
              <wp:anchor distT="0" distB="0" distL="114300" distR="114300" simplePos="0" relativeHeight="251683840" behindDoc="0" locked="0" layoutInCell="1" allowOverlap="1">
                <wp:simplePos x="0" y="0"/>
                <wp:positionH relativeFrom="column">
                  <wp:posOffset>1898650</wp:posOffset>
                </wp:positionH>
                <wp:positionV relativeFrom="paragraph">
                  <wp:posOffset>5595620</wp:posOffset>
                </wp:positionV>
                <wp:extent cx="0" cy="262255"/>
                <wp:effectExtent l="95250" t="0" r="57150" b="61595"/>
                <wp:wrapNone/>
                <wp:docPr id="3" name="直接箭头连接符 3"/>
                <wp:cNvGraphicFramePr/>
                <a:graphic xmlns:a="http://schemas.openxmlformats.org/drawingml/2006/main">
                  <a:graphicData uri="http://schemas.microsoft.com/office/word/2010/wordprocessingShape">
                    <wps:wsp>
                      <wps:cNvCnPr/>
                      <wps:spPr>
                        <a:xfrm>
                          <a:off x="0" y="0"/>
                          <a:ext cx="0" cy="26225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49.5pt;margin-top:440.6pt;height:20.65pt;width:0pt;z-index:251683840;mso-width-relative:page;mso-height-relative:page;" filled="f" stroked="t" coordsize="21600,21600" o:gfxdata="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lpzJv2gAAAAsBAAAPAAAA&#10;AAAAAAEAIAAAACIAAABkcnMvZG93bnJldi54bWxQSwECFAAUAAAACACHTuJAKkv3thMCAAD/AwAA&#10;DgAAAAAAAAABACAAAAApAQAAZHJzL2Uyb0RvYy54bWxQSwUGAAAAAAYABgBZAQAArgUAAAAA&#10;">
                <v:fill on="f" focussize="0,0"/>
                <v:stroke color="#4A7EBB [3204]" joinstyle="round" endarrow="open"/>
                <v:imagedata o:title=""/>
                <o:lock v:ext="edit" aspectratio="f"/>
              </v:shape>
            </w:pict>
          </mc:Fallback>
        </mc:AlternateContent>
      </w:r>
      <w:r>
        <w:rPr>
          <w:rFonts w:hint="eastAsia" w:ascii="宋体" w:hAnsi="宋体" w:eastAsia="宋体" w:cs="宋体"/>
          <w:b/>
          <w:color w:val="auto"/>
          <w:sz w:val="21"/>
          <w:szCs w:val="21"/>
          <w:highlight w:val="none"/>
        </w:rPr>
        <mc:AlternateContent>
          <mc:Choice Requires="wps">
            <w:drawing>
              <wp:anchor distT="0" distB="0" distL="114300" distR="114300" simplePos="0" relativeHeight="251664384" behindDoc="0" locked="0" layoutInCell="1" allowOverlap="1">
                <wp:simplePos x="0" y="0"/>
                <wp:positionH relativeFrom="column">
                  <wp:posOffset>1663700</wp:posOffset>
                </wp:positionH>
                <wp:positionV relativeFrom="paragraph">
                  <wp:posOffset>5332095</wp:posOffset>
                </wp:positionV>
                <wp:extent cx="492125" cy="261620"/>
                <wp:effectExtent l="0" t="0" r="22225" b="24130"/>
                <wp:wrapNone/>
                <wp:docPr id="9" name="文本框 9"/>
                <wp:cNvGraphicFramePr/>
                <a:graphic xmlns:a="http://schemas.openxmlformats.org/drawingml/2006/main">
                  <a:graphicData uri="http://schemas.microsoft.com/office/word/2010/wordprocessingShape">
                    <wps:wsp>
                      <wps:cNvSpPr txBox="1"/>
                      <wps:spPr>
                        <a:xfrm>
                          <a:off x="0" y="0"/>
                          <a:ext cx="49212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F139DFC">
                            <w:pPr>
                              <w:rPr>
                                <w:rFonts w:asciiTheme="minorEastAsia" w:hAnsiTheme="minorEastAsia" w:eastAsiaTheme="minorEastAsia"/>
                              </w:rPr>
                            </w:pPr>
                            <w:r>
                              <w:rPr>
                                <w:rFonts w:hint="eastAsia" w:asciiTheme="minorEastAsia" w:hAnsiTheme="minorEastAsia" w:eastAsiaTheme="minorEastAsia"/>
                              </w:rPr>
                              <w:t>履约</w:t>
                            </w:r>
                          </w:p>
                          <w:p w14:paraId="714E45D1">
                            <w:pPr>
                              <w:rPr>
                                <w:rFonts w:ascii="仿宋_GB2312" w:eastAsia="仿宋_GB2312"/>
                              </w:rPr>
                            </w:pPr>
                            <w:r>
                              <w:rPr>
                                <w:rFonts w:hint="eastAsia" w:ascii="仿宋_GB2312" w:eastAsia="仿宋_GB2312"/>
                              </w:rPr>
                              <w:t>立项</w:t>
                            </w:r>
                          </w:p>
                          <w:p w14:paraId="32016121">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1pt;margin-top:419.85pt;height:20.6pt;width:38.75pt;z-index:251664384;mso-width-relative:page;mso-height-relative:page;" fillcolor="#DBEEF4 [664]" filled="t" stroked="t" coordsize="21600,21600" o:gfxdata="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Hzo8StsAAAALAQAADwAAAAAAAAAB&#10;ACAAAAAiAAAAZHJzL2Rvd25yZXYueG1sUEsBAhQAFAAAAAgAh07iQNGfTY9/AgAA/QQAAA4AAAAA&#10;AAAAAQAgAAAAKgEAAGRycy9lMm9Eb2MueG1sUEsFBgAAAAAGAAYAWQEAABsGAAAAAA==&#10;">
                <v:fill on="t" focussize="0,0"/>
                <v:stroke weight="0.5pt" color="#000000 [3204]" joinstyle="round"/>
                <v:imagedata o:title=""/>
                <o:lock v:ext="edit" aspectratio="f"/>
                <v:textbox>
                  <w:txbxContent>
                    <w:p w14:paraId="7F139DFC">
                      <w:pPr>
                        <w:rPr>
                          <w:rFonts w:asciiTheme="minorEastAsia" w:hAnsiTheme="minorEastAsia" w:eastAsiaTheme="minorEastAsia"/>
                        </w:rPr>
                      </w:pPr>
                      <w:r>
                        <w:rPr>
                          <w:rFonts w:hint="eastAsia" w:asciiTheme="minorEastAsia" w:hAnsiTheme="minorEastAsia" w:eastAsiaTheme="minorEastAsia"/>
                        </w:rPr>
                        <w:t>履约</w:t>
                      </w:r>
                    </w:p>
                    <w:p w14:paraId="714E45D1">
                      <w:pPr>
                        <w:rPr>
                          <w:rFonts w:ascii="仿宋_GB2312" w:eastAsia="仿宋_GB2312"/>
                        </w:rPr>
                      </w:pPr>
                      <w:r>
                        <w:rPr>
                          <w:rFonts w:hint="eastAsia" w:ascii="仿宋_GB2312" w:eastAsia="仿宋_GB2312"/>
                        </w:rPr>
                        <w:t>立项</w:t>
                      </w:r>
                    </w:p>
                    <w:p w14:paraId="32016121">
                      <w:pPr>
                        <w:rPr>
                          <w:rFonts w:ascii="仿宋_GB2312" w:eastAsia="仿宋_GB2312"/>
                        </w:rPr>
                      </w:pPr>
                    </w:p>
                  </w:txbxContent>
                </v:textbox>
              </v:shape>
            </w:pict>
          </mc:Fallback>
        </mc:AlternateContent>
      </w:r>
      <w:r>
        <w:rPr>
          <w:rFonts w:hint="eastAsia" w:ascii="宋体" w:hAnsi="宋体" w:eastAsia="宋体" w:cs="宋体"/>
          <w:b/>
          <w:color w:val="auto"/>
          <w:sz w:val="21"/>
          <w:szCs w:val="21"/>
          <w:highlight w:val="none"/>
        </w:rPr>
        <mc:AlternateContent>
          <mc:Choice Requires="wps">
            <w:drawing>
              <wp:anchor distT="0" distB="0" distL="114300" distR="114300" simplePos="0" relativeHeight="251680768" behindDoc="0" locked="0" layoutInCell="1" allowOverlap="1">
                <wp:simplePos x="0" y="0"/>
                <wp:positionH relativeFrom="column">
                  <wp:posOffset>1380490</wp:posOffset>
                </wp:positionH>
                <wp:positionV relativeFrom="paragraph">
                  <wp:posOffset>4802505</wp:posOffset>
                </wp:positionV>
                <wp:extent cx="1072515" cy="262255"/>
                <wp:effectExtent l="0" t="0" r="13335" b="23495"/>
                <wp:wrapNone/>
                <wp:docPr id="10" name="文本框 10"/>
                <wp:cNvGraphicFramePr/>
                <a:graphic xmlns:a="http://schemas.openxmlformats.org/drawingml/2006/main">
                  <a:graphicData uri="http://schemas.microsoft.com/office/word/2010/wordprocessingShape">
                    <wps:wsp>
                      <wps:cNvSpPr txBox="1"/>
                      <wps:spPr>
                        <a:xfrm>
                          <a:off x="0" y="0"/>
                          <a:ext cx="1072515"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7E043C5">
                            <w:pPr>
                              <w:jc w:val="center"/>
                              <w:rPr>
                                <w:rFonts w:asciiTheme="minorEastAsia" w:hAnsiTheme="minorEastAsia" w:eastAsiaTheme="minorEastAsia"/>
                              </w:rPr>
                            </w:pPr>
                            <w:r>
                              <w:rPr>
                                <w:rFonts w:hint="eastAsia" w:asciiTheme="minorEastAsia" w:hAnsiTheme="minorEastAsia" w:eastAsiaTheme="minorEastAsia"/>
                              </w:rPr>
                              <w:t>签订合同</w:t>
                            </w:r>
                          </w:p>
                          <w:p w14:paraId="29840AB1">
                            <w:pPr>
                              <w:rPr>
                                <w:rFonts w:ascii="仿宋_GB2312" w:eastAsia="仿宋_GB2312"/>
                              </w:rPr>
                            </w:pPr>
                            <w:r>
                              <w:rPr>
                                <w:rFonts w:hint="eastAsia" w:ascii="仿宋_GB2312" w:eastAsia="仿宋_GB2312"/>
                              </w:rPr>
                              <w:t>立项</w:t>
                            </w:r>
                          </w:p>
                          <w:p w14:paraId="46A7E3F1">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7pt;margin-top:378.15pt;height:20.65pt;width:84.45pt;z-index:251680768;mso-width-relative:page;mso-height-relative:page;" fillcolor="#DBEEF4 [664]" filled="t" stroked="t" coordsize="21600,21600" o:gfxdata="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Bnurs+2QAAAAsBAAAPAAAAAAAAAAEAIAAA&#10;ACIAAABkcnMvZG93bnJldi54bWxQSwECFAAUAAAACACHTuJAH18gOn0CAAAABQAADgAAAAAAAAAB&#10;ACAAAAAoAQAAZHJzL2Uyb0RvYy54bWxQSwUGAAAAAAYABgBZAQAAFwYAAAAA&#10;">
                <v:fill on="t" focussize="0,0"/>
                <v:stroke weight="0.5pt" color="#000000 [3204]" joinstyle="round"/>
                <v:imagedata o:title=""/>
                <o:lock v:ext="edit" aspectratio="f"/>
                <v:textbox>
                  <w:txbxContent>
                    <w:p w14:paraId="17E043C5">
                      <w:pPr>
                        <w:jc w:val="center"/>
                        <w:rPr>
                          <w:rFonts w:asciiTheme="minorEastAsia" w:hAnsiTheme="minorEastAsia" w:eastAsiaTheme="minorEastAsia"/>
                        </w:rPr>
                      </w:pPr>
                      <w:r>
                        <w:rPr>
                          <w:rFonts w:hint="eastAsia" w:asciiTheme="minorEastAsia" w:hAnsiTheme="minorEastAsia" w:eastAsiaTheme="minorEastAsia"/>
                        </w:rPr>
                        <w:t>签订合同</w:t>
                      </w:r>
                    </w:p>
                    <w:p w14:paraId="29840AB1">
                      <w:pPr>
                        <w:rPr>
                          <w:rFonts w:ascii="仿宋_GB2312" w:eastAsia="仿宋_GB2312"/>
                        </w:rPr>
                      </w:pPr>
                      <w:r>
                        <w:rPr>
                          <w:rFonts w:hint="eastAsia" w:ascii="仿宋_GB2312" w:eastAsia="仿宋_GB2312"/>
                        </w:rPr>
                        <w:t>立项</w:t>
                      </w:r>
                    </w:p>
                    <w:p w14:paraId="46A7E3F1">
                      <w:pPr>
                        <w:rPr>
                          <w:rFonts w:ascii="仿宋_GB2312" w:eastAsia="仿宋_GB2312"/>
                        </w:rPr>
                      </w:pPr>
                    </w:p>
                  </w:txbxContent>
                </v:textbox>
              </v:shape>
            </w:pict>
          </mc:Fallback>
        </mc:AlternateContent>
      </w:r>
      <w:r>
        <w:rPr>
          <w:rFonts w:hint="eastAsia" w:ascii="宋体" w:hAnsi="宋体" w:eastAsia="宋体" w:cs="宋体"/>
          <w:b/>
          <w:color w:val="auto"/>
          <w:sz w:val="21"/>
          <w:szCs w:val="21"/>
          <w:highlight w:val="none"/>
        </w:rPr>
        <mc:AlternateContent>
          <mc:Choice Requires="wps">
            <w:drawing>
              <wp:anchor distT="0" distB="0" distL="114300" distR="114300" simplePos="0" relativeHeight="251677696" behindDoc="0" locked="0" layoutInCell="1" allowOverlap="1">
                <wp:simplePos x="0" y="0"/>
                <wp:positionH relativeFrom="column">
                  <wp:posOffset>1159510</wp:posOffset>
                </wp:positionH>
                <wp:positionV relativeFrom="paragraph">
                  <wp:posOffset>4292600</wp:posOffset>
                </wp:positionV>
                <wp:extent cx="1581785" cy="261620"/>
                <wp:effectExtent l="0" t="0" r="18415" b="24130"/>
                <wp:wrapNone/>
                <wp:docPr id="11" name="文本框 11"/>
                <wp:cNvGraphicFramePr/>
                <a:graphic xmlns:a="http://schemas.openxmlformats.org/drawingml/2006/main">
                  <a:graphicData uri="http://schemas.microsoft.com/office/word/2010/wordprocessingShape">
                    <wps:wsp>
                      <wps:cNvSpPr txBox="1"/>
                      <wps:spPr>
                        <a:xfrm>
                          <a:off x="0" y="0"/>
                          <a:ext cx="158178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4FF5F49">
                            <w:pPr>
                              <w:rPr>
                                <w:rFonts w:asciiTheme="minorEastAsia" w:hAnsiTheme="minorEastAsia" w:eastAsiaTheme="minorEastAsia"/>
                              </w:rPr>
                            </w:pPr>
                            <w:r>
                              <w:rPr>
                                <w:rFonts w:hint="eastAsia" w:asciiTheme="minorEastAsia" w:hAnsiTheme="minorEastAsia" w:eastAsiaTheme="minorEastAsia"/>
                              </w:rPr>
                              <w:t>成交公告；成交通知书</w:t>
                            </w:r>
                          </w:p>
                          <w:p w14:paraId="72E4FCE0">
                            <w:pPr>
                              <w:rPr>
                                <w:rFonts w:ascii="仿宋_GB2312" w:eastAsia="仿宋_GB2312"/>
                              </w:rPr>
                            </w:pPr>
                            <w:r>
                              <w:rPr>
                                <w:rFonts w:hint="eastAsia" w:ascii="仿宋_GB2312" w:eastAsia="仿宋_GB2312"/>
                              </w:rPr>
                              <w:t>立项</w:t>
                            </w:r>
                          </w:p>
                          <w:p w14:paraId="4EDD9F03">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1.3pt;margin-top:338pt;height:20.6pt;width:124.55pt;z-index:251677696;mso-width-relative:page;mso-height-relative:page;" fillcolor="#DBEEF4 [664]" filled="t" stroked="t" coordsize="21600,21600" o:gfxdata="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D+tG6T2AAAAAsBAAAPAAAAAAAAAAEAIAAA&#10;ACIAAABkcnMvZG93bnJldi54bWxQSwECFAAUAAAACACHTuJAHcvk534CAAAABQAADgAAAAAAAAAB&#10;ACAAAAAnAQAAZHJzL2Uyb0RvYy54bWxQSwUGAAAAAAYABgBZAQAAFwYAAAAA&#10;">
                <v:fill on="t" focussize="0,0"/>
                <v:stroke weight="0.5pt" color="#000000 [3204]" joinstyle="round"/>
                <v:imagedata o:title=""/>
                <o:lock v:ext="edit" aspectratio="f"/>
                <v:textbox>
                  <w:txbxContent>
                    <w:p w14:paraId="64FF5F49">
                      <w:pPr>
                        <w:rPr>
                          <w:rFonts w:asciiTheme="minorEastAsia" w:hAnsiTheme="minorEastAsia" w:eastAsiaTheme="minorEastAsia"/>
                        </w:rPr>
                      </w:pPr>
                      <w:r>
                        <w:rPr>
                          <w:rFonts w:hint="eastAsia" w:asciiTheme="minorEastAsia" w:hAnsiTheme="minorEastAsia" w:eastAsiaTheme="minorEastAsia"/>
                        </w:rPr>
                        <w:t>成交公告；成交通知书</w:t>
                      </w:r>
                    </w:p>
                    <w:p w14:paraId="72E4FCE0">
                      <w:pPr>
                        <w:rPr>
                          <w:rFonts w:ascii="仿宋_GB2312" w:eastAsia="仿宋_GB2312"/>
                        </w:rPr>
                      </w:pPr>
                      <w:r>
                        <w:rPr>
                          <w:rFonts w:hint="eastAsia" w:ascii="仿宋_GB2312" w:eastAsia="仿宋_GB2312"/>
                        </w:rPr>
                        <w:t>立项</w:t>
                      </w:r>
                    </w:p>
                    <w:p w14:paraId="4EDD9F03">
                      <w:pPr>
                        <w:rPr>
                          <w:rFonts w:ascii="仿宋_GB2312" w:eastAsia="仿宋_GB2312"/>
                        </w:rPr>
                      </w:pPr>
                    </w:p>
                  </w:txbxContent>
                </v:textbox>
              </v:shape>
            </w:pict>
          </mc:Fallback>
        </mc:AlternateContent>
      </w:r>
      <w:r>
        <w:rPr>
          <w:rFonts w:hint="eastAsia" w:ascii="宋体" w:hAnsi="宋体" w:eastAsia="宋体" w:cs="宋体"/>
          <w:b/>
          <w:color w:val="auto"/>
          <w:sz w:val="21"/>
          <w:szCs w:val="21"/>
          <w:highlight w:val="none"/>
        </w:rPr>
        <mc:AlternateContent>
          <mc:Choice Requires="wps">
            <w:drawing>
              <wp:anchor distT="0" distB="0" distL="114300" distR="114300" simplePos="0" relativeHeight="251678720" behindDoc="0" locked="0" layoutInCell="1" allowOverlap="1">
                <wp:simplePos x="0" y="0"/>
                <wp:positionH relativeFrom="column">
                  <wp:posOffset>1383665</wp:posOffset>
                </wp:positionH>
                <wp:positionV relativeFrom="paragraph">
                  <wp:posOffset>3750310</wp:posOffset>
                </wp:positionV>
                <wp:extent cx="1072515" cy="262255"/>
                <wp:effectExtent l="0" t="0" r="13335" b="23495"/>
                <wp:wrapNone/>
                <wp:docPr id="12" name="文本框 12"/>
                <wp:cNvGraphicFramePr/>
                <a:graphic xmlns:a="http://schemas.openxmlformats.org/drawingml/2006/main">
                  <a:graphicData uri="http://schemas.microsoft.com/office/word/2010/wordprocessingShape">
                    <wps:wsp>
                      <wps:cNvSpPr txBox="1"/>
                      <wps:spPr>
                        <a:xfrm>
                          <a:off x="0" y="0"/>
                          <a:ext cx="1072515"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DDCC357">
                            <w:pPr>
                              <w:ind w:firstLine="105" w:firstLineChars="50"/>
                              <w:rPr>
                                <w:rFonts w:asciiTheme="minorEastAsia" w:hAnsiTheme="minorEastAsia" w:eastAsiaTheme="minorEastAsia"/>
                              </w:rPr>
                            </w:pPr>
                            <w:r>
                              <w:rPr>
                                <w:rFonts w:hint="eastAsia" w:asciiTheme="minorEastAsia" w:hAnsiTheme="minorEastAsia" w:eastAsiaTheme="minorEastAsia"/>
                              </w:rPr>
                              <w:t>编写评审报告</w:t>
                            </w:r>
                          </w:p>
                          <w:p w14:paraId="3D28915B">
                            <w:pPr>
                              <w:rPr>
                                <w:rFonts w:ascii="仿宋_GB2312" w:eastAsia="仿宋_GB2312"/>
                              </w:rPr>
                            </w:pPr>
                            <w:r>
                              <w:rPr>
                                <w:rFonts w:hint="eastAsia" w:ascii="仿宋_GB2312" w:eastAsia="仿宋_GB2312"/>
                              </w:rPr>
                              <w:t>立项</w:t>
                            </w:r>
                          </w:p>
                          <w:p w14:paraId="2934227A">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95pt;margin-top:295.3pt;height:20.65pt;width:84.45pt;z-index:251678720;mso-width-relative:page;mso-height-relative:page;" fillcolor="#DBEEF4 [664]" filled="t" stroked="t" coordsize="21600,21600" o:gfxdata="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DMNXTvaAAAACwEAAA8AAAAAAAAAAQAg&#10;AAAAIgAAAGRycy9kb3ducmV2LnhtbFBLAQIUABQAAAAIAIdO4kB1NyxVfgIAAAAFAAAOAAAAAAAA&#10;AAEAIAAAACkBAABkcnMvZTJvRG9jLnhtbFBLBQYAAAAABgAGAFkBAAAZBgAAAAA=&#10;">
                <v:fill on="t" focussize="0,0"/>
                <v:stroke weight="0.5pt" color="#000000 [3204]" joinstyle="round"/>
                <v:imagedata o:title=""/>
                <o:lock v:ext="edit" aspectratio="f"/>
                <v:textbox>
                  <w:txbxContent>
                    <w:p w14:paraId="7DDCC357">
                      <w:pPr>
                        <w:ind w:firstLine="105" w:firstLineChars="50"/>
                        <w:rPr>
                          <w:rFonts w:asciiTheme="minorEastAsia" w:hAnsiTheme="minorEastAsia" w:eastAsiaTheme="minorEastAsia"/>
                        </w:rPr>
                      </w:pPr>
                      <w:r>
                        <w:rPr>
                          <w:rFonts w:hint="eastAsia" w:asciiTheme="minorEastAsia" w:hAnsiTheme="minorEastAsia" w:eastAsiaTheme="minorEastAsia"/>
                        </w:rPr>
                        <w:t>编写评审报告</w:t>
                      </w:r>
                    </w:p>
                    <w:p w14:paraId="3D28915B">
                      <w:pPr>
                        <w:rPr>
                          <w:rFonts w:ascii="仿宋_GB2312" w:eastAsia="仿宋_GB2312"/>
                        </w:rPr>
                      </w:pPr>
                      <w:r>
                        <w:rPr>
                          <w:rFonts w:hint="eastAsia" w:ascii="仿宋_GB2312" w:eastAsia="仿宋_GB2312"/>
                        </w:rPr>
                        <w:t>立项</w:t>
                      </w:r>
                    </w:p>
                    <w:p w14:paraId="2934227A">
                      <w:pPr>
                        <w:rPr>
                          <w:rFonts w:ascii="仿宋_GB2312" w:eastAsia="仿宋_GB2312"/>
                        </w:rPr>
                      </w:pPr>
                    </w:p>
                  </w:txbxContent>
                </v:textbox>
              </v:shape>
            </w:pict>
          </mc:Fallback>
        </mc:AlternateContent>
      </w:r>
      <w:r>
        <w:rPr>
          <w:rFonts w:hint="eastAsia" w:ascii="宋体" w:hAnsi="宋体" w:eastAsia="宋体" w:cs="宋体"/>
          <w:b/>
          <w:color w:val="auto"/>
          <w:sz w:val="21"/>
          <w:szCs w:val="21"/>
          <w:highlight w:val="none"/>
        </w:rPr>
        <mc:AlternateContent>
          <mc:Choice Requires="wps">
            <w:drawing>
              <wp:anchor distT="0" distB="0" distL="114300" distR="114300" simplePos="0" relativeHeight="251665408" behindDoc="0" locked="0" layoutInCell="1" allowOverlap="1">
                <wp:simplePos x="0" y="0"/>
                <wp:positionH relativeFrom="column">
                  <wp:posOffset>1398905</wp:posOffset>
                </wp:positionH>
                <wp:positionV relativeFrom="paragraph">
                  <wp:posOffset>3225800</wp:posOffset>
                </wp:positionV>
                <wp:extent cx="1073150" cy="262255"/>
                <wp:effectExtent l="0" t="0" r="12700" b="23495"/>
                <wp:wrapNone/>
                <wp:docPr id="13" name="文本框 13"/>
                <wp:cNvGraphicFramePr/>
                <a:graphic xmlns:a="http://schemas.openxmlformats.org/drawingml/2006/main">
                  <a:graphicData uri="http://schemas.microsoft.com/office/word/2010/wordprocessingShape">
                    <wps:wsp>
                      <wps:cNvSpPr txBox="1"/>
                      <wps:spPr>
                        <a:xfrm>
                          <a:off x="0" y="0"/>
                          <a:ext cx="1073150"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91986FC">
                            <w:pPr>
                              <w:jc w:val="center"/>
                              <w:rPr>
                                <w:rFonts w:asciiTheme="minorEastAsia" w:hAnsiTheme="minorEastAsia" w:eastAsiaTheme="minorEastAsia"/>
                              </w:rPr>
                            </w:pPr>
                            <w:r>
                              <w:rPr>
                                <w:rFonts w:hint="eastAsia" w:asciiTheme="minorEastAsia" w:hAnsiTheme="minorEastAsia" w:eastAsiaTheme="minorEastAsia"/>
                              </w:rPr>
                              <w:t>最后报价评审</w:t>
                            </w:r>
                          </w:p>
                          <w:p w14:paraId="44DA9BBD">
                            <w:pPr>
                              <w:rPr>
                                <w:rFonts w:ascii="仿宋_GB2312" w:eastAsia="仿宋_GB2312"/>
                              </w:rPr>
                            </w:pPr>
                            <w:r>
                              <w:rPr>
                                <w:rFonts w:hint="eastAsia" w:ascii="仿宋_GB2312" w:eastAsia="仿宋_GB2312"/>
                              </w:rPr>
                              <w:t>立项</w:t>
                            </w:r>
                          </w:p>
                          <w:p w14:paraId="48D5B0B0">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0.15pt;margin-top:254pt;height:20.65pt;width:84.5pt;z-index:251665408;mso-width-relative:page;mso-height-relative:page;" fillcolor="#DBEEF4 [664]" filled="t" stroked="t" coordsize="21600,21600" o:gfxdata="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a/THuNkAAAALAQAADwAAAAAAAAABACAAAAAi&#10;AAAAZHJzL2Rvd25yZXYueG1sUEsBAhQAFAAAAAgAh07iQERa8L57AgAAAAUAAA4AAAAAAAAAAQAg&#10;AAAAKAEAAGRycy9lMm9Eb2MueG1sUEsFBgAAAAAGAAYAWQEAABUGAAAAAA==&#10;">
                <v:fill on="t" focussize="0,0"/>
                <v:stroke weight="0.5pt" color="#000000 [3204]" joinstyle="round"/>
                <v:imagedata o:title=""/>
                <o:lock v:ext="edit" aspectratio="f"/>
                <v:textbox>
                  <w:txbxContent>
                    <w:p w14:paraId="691986FC">
                      <w:pPr>
                        <w:jc w:val="center"/>
                        <w:rPr>
                          <w:rFonts w:asciiTheme="minorEastAsia" w:hAnsiTheme="minorEastAsia" w:eastAsiaTheme="minorEastAsia"/>
                        </w:rPr>
                      </w:pPr>
                      <w:r>
                        <w:rPr>
                          <w:rFonts w:hint="eastAsia" w:asciiTheme="minorEastAsia" w:hAnsiTheme="minorEastAsia" w:eastAsiaTheme="minorEastAsia"/>
                        </w:rPr>
                        <w:t>最后报价评审</w:t>
                      </w:r>
                    </w:p>
                    <w:p w14:paraId="44DA9BBD">
                      <w:pPr>
                        <w:rPr>
                          <w:rFonts w:ascii="仿宋_GB2312" w:eastAsia="仿宋_GB2312"/>
                        </w:rPr>
                      </w:pPr>
                      <w:r>
                        <w:rPr>
                          <w:rFonts w:hint="eastAsia" w:ascii="仿宋_GB2312" w:eastAsia="仿宋_GB2312"/>
                        </w:rPr>
                        <w:t>立项</w:t>
                      </w:r>
                    </w:p>
                    <w:p w14:paraId="48D5B0B0">
                      <w:pPr>
                        <w:rPr>
                          <w:rFonts w:ascii="仿宋_GB2312" w:eastAsia="仿宋_GB2312"/>
                        </w:rPr>
                      </w:pPr>
                    </w:p>
                  </w:txbxContent>
                </v:textbox>
              </v:shape>
            </w:pict>
          </mc:Fallback>
        </mc:AlternateContent>
      </w:r>
      <w:r>
        <w:rPr>
          <w:rFonts w:hint="eastAsia" w:ascii="宋体" w:hAnsi="宋体" w:eastAsia="宋体" w:cs="宋体"/>
          <w:b/>
          <w:color w:val="auto"/>
          <w:sz w:val="21"/>
          <w:szCs w:val="21"/>
          <w:highlight w:val="none"/>
        </w:rPr>
        <mc:AlternateContent>
          <mc:Choice Requires="wps">
            <w:drawing>
              <wp:anchor distT="0" distB="0" distL="114300" distR="114300" simplePos="0" relativeHeight="251674624" behindDoc="0" locked="0" layoutInCell="1" allowOverlap="1">
                <wp:simplePos x="0" y="0"/>
                <wp:positionH relativeFrom="column">
                  <wp:posOffset>1247140</wp:posOffset>
                </wp:positionH>
                <wp:positionV relativeFrom="paragraph">
                  <wp:posOffset>2703830</wp:posOffset>
                </wp:positionV>
                <wp:extent cx="1453515" cy="261620"/>
                <wp:effectExtent l="0" t="0" r="13335" b="24130"/>
                <wp:wrapNone/>
                <wp:docPr id="14" name="文本框 14"/>
                <wp:cNvGraphicFramePr/>
                <a:graphic xmlns:a="http://schemas.openxmlformats.org/drawingml/2006/main">
                  <a:graphicData uri="http://schemas.microsoft.com/office/word/2010/wordprocessingShape">
                    <wps:wsp>
                      <wps:cNvSpPr txBox="1"/>
                      <wps:spPr>
                        <a:xfrm>
                          <a:off x="0" y="0"/>
                          <a:ext cx="145351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D07D21D">
                            <w:pPr>
                              <w:jc w:val="center"/>
                              <w:rPr>
                                <w:rFonts w:asciiTheme="minorEastAsia" w:hAnsiTheme="minorEastAsia" w:eastAsiaTheme="minorEastAsia"/>
                              </w:rPr>
                            </w:pPr>
                            <w:r>
                              <w:rPr>
                                <w:rFonts w:hint="eastAsia" w:asciiTheme="minorEastAsia" w:hAnsiTheme="minorEastAsia" w:eastAsiaTheme="minorEastAsia"/>
                              </w:rPr>
                              <w:t>供应商提交最后报价</w:t>
                            </w:r>
                          </w:p>
                          <w:p w14:paraId="5D6AB50D">
                            <w:pPr>
                              <w:rPr>
                                <w:rFonts w:ascii="仿宋_GB2312" w:eastAsia="仿宋_GB2312"/>
                              </w:rPr>
                            </w:pPr>
                            <w:r>
                              <w:rPr>
                                <w:rFonts w:hint="eastAsia" w:ascii="仿宋_GB2312" w:eastAsia="仿宋_GB2312"/>
                              </w:rPr>
                              <w:t>立项</w:t>
                            </w:r>
                          </w:p>
                          <w:p w14:paraId="77858F75">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8.2pt;margin-top:212.9pt;height:20.6pt;width:114.45pt;z-index:251674624;mso-width-relative:page;mso-height-relative:page;" fillcolor="#DBEEF4 [664]" filled="t" stroked="t" coordsize="21600,21600" o:gfxdata="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D7BB3dgAAAALAQAADwAAAAAAAAABACAA&#10;AAAiAAAAZHJzL2Rvd25yZXYueG1sUEsBAhQAFAAAAAgAh07iQNnk1bJ/AgAAAAUAAA4AAAAAAAAA&#10;AQAgAAAAJwEAAGRycy9lMm9Eb2MueG1sUEsFBgAAAAAGAAYAWQEAABgGAAAAAA==&#10;">
                <v:fill on="t" focussize="0,0"/>
                <v:stroke weight="0.5pt" color="#000000 [3204]" joinstyle="round"/>
                <v:imagedata o:title=""/>
                <o:lock v:ext="edit" aspectratio="f"/>
                <v:textbox>
                  <w:txbxContent>
                    <w:p w14:paraId="4D07D21D">
                      <w:pPr>
                        <w:jc w:val="center"/>
                        <w:rPr>
                          <w:rFonts w:asciiTheme="minorEastAsia" w:hAnsiTheme="minorEastAsia" w:eastAsiaTheme="minorEastAsia"/>
                        </w:rPr>
                      </w:pPr>
                      <w:r>
                        <w:rPr>
                          <w:rFonts w:hint="eastAsia" w:asciiTheme="minorEastAsia" w:hAnsiTheme="minorEastAsia" w:eastAsiaTheme="minorEastAsia"/>
                        </w:rPr>
                        <w:t>供应商提交最后报价</w:t>
                      </w:r>
                    </w:p>
                    <w:p w14:paraId="5D6AB50D">
                      <w:pPr>
                        <w:rPr>
                          <w:rFonts w:ascii="仿宋_GB2312" w:eastAsia="仿宋_GB2312"/>
                        </w:rPr>
                      </w:pPr>
                      <w:r>
                        <w:rPr>
                          <w:rFonts w:hint="eastAsia" w:ascii="仿宋_GB2312" w:eastAsia="仿宋_GB2312"/>
                        </w:rPr>
                        <w:t>立项</w:t>
                      </w:r>
                    </w:p>
                    <w:p w14:paraId="77858F75">
                      <w:pPr>
                        <w:rPr>
                          <w:rFonts w:ascii="仿宋_GB2312" w:eastAsia="仿宋_GB2312"/>
                        </w:rPr>
                      </w:pPr>
                    </w:p>
                  </w:txbxContent>
                </v:textbox>
              </v:shape>
            </w:pict>
          </mc:Fallback>
        </mc:AlternateContent>
      </w:r>
      <w:r>
        <w:rPr>
          <w:rFonts w:hint="eastAsia" w:ascii="宋体" w:hAnsi="宋体" w:eastAsia="宋体" w:cs="宋体"/>
          <w:b/>
          <w:color w:val="auto"/>
          <w:sz w:val="21"/>
          <w:szCs w:val="21"/>
          <w:highlight w:val="none"/>
        </w:rPr>
        <mc:AlternateContent>
          <mc:Choice Requires="wps">
            <w:drawing>
              <wp:anchor distT="0" distB="0" distL="114300" distR="114300" simplePos="0" relativeHeight="251673600" behindDoc="0" locked="0" layoutInCell="1" allowOverlap="1">
                <wp:simplePos x="0" y="0"/>
                <wp:positionH relativeFrom="column">
                  <wp:posOffset>1383030</wp:posOffset>
                </wp:positionH>
                <wp:positionV relativeFrom="paragraph">
                  <wp:posOffset>2178685</wp:posOffset>
                </wp:positionV>
                <wp:extent cx="1089025" cy="262255"/>
                <wp:effectExtent l="0" t="0" r="15875" b="23495"/>
                <wp:wrapNone/>
                <wp:docPr id="15" name="文本框 15"/>
                <wp:cNvGraphicFramePr/>
                <a:graphic xmlns:a="http://schemas.openxmlformats.org/drawingml/2006/main">
                  <a:graphicData uri="http://schemas.microsoft.com/office/word/2010/wordprocessingShape">
                    <wps:wsp>
                      <wps:cNvSpPr txBox="1"/>
                      <wps:spPr>
                        <a:xfrm>
                          <a:off x="0" y="0"/>
                          <a:ext cx="1089025"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464FCC1">
                            <w:pPr>
                              <w:jc w:val="center"/>
                              <w:rPr>
                                <w:rFonts w:asciiTheme="minorEastAsia" w:hAnsiTheme="minorEastAsia" w:eastAsiaTheme="minorEastAsia"/>
                              </w:rPr>
                            </w:pPr>
                            <w:r>
                              <w:rPr>
                                <w:rFonts w:hint="eastAsia" w:asciiTheme="minorEastAsia" w:hAnsiTheme="minorEastAsia" w:eastAsiaTheme="minorEastAsia"/>
                              </w:rPr>
                              <w:t>谈判</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9pt;margin-top:171.55pt;height:20.65pt;width:85.75pt;z-index:251673600;mso-width-relative:page;mso-height-relative:page;" fillcolor="#DBEEF4 [664]" filled="t" stroked="t" coordsize="21600,21600" o:gfxdata="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avU/hNkAAAALAQAADwAAAAAAAAABACAA&#10;AAAiAAAAZHJzL2Rvd25yZXYueG1sUEsBAhQAFAAAAAgAh07iQAHru3p+AgAAAAUAAA4AAAAAAAAA&#10;AQAgAAAAKAEAAGRycy9lMm9Eb2MueG1sUEsFBgAAAAAGAAYAWQEAABgGAAAAAA==&#10;">
                <v:fill on="t" focussize="0,0"/>
                <v:stroke weight="0.5pt" color="#000000 [3204]" joinstyle="round"/>
                <v:imagedata o:title=""/>
                <o:lock v:ext="edit" aspectratio="f"/>
                <v:textbox>
                  <w:txbxContent>
                    <w:p w14:paraId="5464FCC1">
                      <w:pPr>
                        <w:jc w:val="center"/>
                        <w:rPr>
                          <w:rFonts w:asciiTheme="minorEastAsia" w:hAnsiTheme="minorEastAsia" w:eastAsiaTheme="minorEastAsia"/>
                        </w:rPr>
                      </w:pPr>
                      <w:r>
                        <w:rPr>
                          <w:rFonts w:hint="eastAsia" w:asciiTheme="minorEastAsia" w:hAnsiTheme="minorEastAsia" w:eastAsiaTheme="minorEastAsia"/>
                        </w:rPr>
                        <w:t>谈判</w:t>
                      </w:r>
                    </w:p>
                  </w:txbxContent>
                </v:textbox>
              </v:shape>
            </w:pict>
          </mc:Fallback>
        </mc:AlternateContent>
      </w:r>
      <w:r>
        <w:rPr>
          <w:rFonts w:hint="eastAsia" w:ascii="宋体" w:hAnsi="宋体" w:eastAsia="宋体" w:cs="宋体"/>
          <w:b/>
          <w:color w:val="auto"/>
          <w:sz w:val="21"/>
          <w:szCs w:val="21"/>
          <w:highlight w:val="none"/>
        </w:rPr>
        <mc:AlternateContent>
          <mc:Choice Requires="wps">
            <w:drawing>
              <wp:anchor distT="0" distB="0" distL="114300" distR="114300" simplePos="0" relativeHeight="251682816" behindDoc="0" locked="0" layoutInCell="1" allowOverlap="1">
                <wp:simplePos x="0" y="0"/>
                <wp:positionH relativeFrom="column">
                  <wp:posOffset>1395095</wp:posOffset>
                </wp:positionH>
                <wp:positionV relativeFrom="paragraph">
                  <wp:posOffset>1667510</wp:posOffset>
                </wp:positionV>
                <wp:extent cx="1088390" cy="262255"/>
                <wp:effectExtent l="0" t="0" r="16510" b="23495"/>
                <wp:wrapNone/>
                <wp:docPr id="16" name="文本框 16"/>
                <wp:cNvGraphicFramePr/>
                <a:graphic xmlns:a="http://schemas.openxmlformats.org/drawingml/2006/main">
                  <a:graphicData uri="http://schemas.microsoft.com/office/word/2010/wordprocessingShape">
                    <wps:wsp>
                      <wps:cNvSpPr txBox="1"/>
                      <wps:spPr>
                        <a:xfrm>
                          <a:off x="0" y="0"/>
                          <a:ext cx="1088390"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1C16D92">
                            <w:pPr>
                              <w:jc w:val="center"/>
                              <w:rPr>
                                <w:rFonts w:asciiTheme="minorEastAsia" w:hAnsiTheme="minorEastAsia" w:eastAsiaTheme="minorEastAsia"/>
                              </w:rPr>
                            </w:pPr>
                            <w:r>
                              <w:rPr>
                                <w:rFonts w:hint="eastAsia" w:asciiTheme="minorEastAsia" w:hAnsiTheme="minorEastAsia" w:eastAsiaTheme="minorEastAsia"/>
                              </w:rPr>
                              <w:t>资格审查</w:t>
                            </w:r>
                          </w:p>
                          <w:p w14:paraId="0A4269E6">
                            <w:pPr>
                              <w:jc w:val="center"/>
                              <w:rPr>
                                <w:rFonts w:ascii="仿宋_GB2312" w:eastAsia="仿宋_GB2312"/>
                              </w:rPr>
                            </w:pPr>
                          </w:p>
                          <w:p w14:paraId="77D538C2">
                            <w:pPr>
                              <w:rPr>
                                <w:rFonts w:ascii="仿宋_GB2312" w:eastAsia="仿宋_GB2312"/>
                              </w:rPr>
                            </w:pPr>
                            <w:r>
                              <w:rPr>
                                <w:rFonts w:hint="eastAsia" w:ascii="仿宋_GB2312" w:eastAsia="仿宋_GB2312"/>
                              </w:rPr>
                              <w:t>立项</w:t>
                            </w:r>
                          </w:p>
                          <w:p w14:paraId="7D2EBC7A">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9.85pt;margin-top:131.3pt;height:20.65pt;width:85.7pt;z-index:251682816;mso-width-relative:page;mso-height-relative:page;" fillcolor="#DBEEF4 [664]" filled="t" stroked="t" coordsize="21600,21600" o:gfxdata="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H3l30NkAAAALAQAADwAAAAAAAAABACAA&#10;AAAiAAAAZHJzL2Rvd25yZXYueG1sUEsBAhQAFAAAAAgAh07iQIa9T/5+AgAAAAUAAA4AAAAAAAAA&#10;AQAgAAAAKAEAAGRycy9lMm9Eb2MueG1sUEsFBgAAAAAGAAYAWQEAABgGAAAAAA==&#10;">
                <v:fill on="t" focussize="0,0"/>
                <v:stroke weight="0.5pt" color="#000000 [3204]" joinstyle="round"/>
                <v:imagedata o:title=""/>
                <o:lock v:ext="edit" aspectratio="f"/>
                <v:textbox>
                  <w:txbxContent>
                    <w:p w14:paraId="61C16D92">
                      <w:pPr>
                        <w:jc w:val="center"/>
                        <w:rPr>
                          <w:rFonts w:asciiTheme="minorEastAsia" w:hAnsiTheme="minorEastAsia" w:eastAsiaTheme="minorEastAsia"/>
                        </w:rPr>
                      </w:pPr>
                      <w:r>
                        <w:rPr>
                          <w:rFonts w:hint="eastAsia" w:asciiTheme="minorEastAsia" w:hAnsiTheme="minorEastAsia" w:eastAsiaTheme="minorEastAsia"/>
                        </w:rPr>
                        <w:t>资格审查</w:t>
                      </w:r>
                    </w:p>
                    <w:p w14:paraId="0A4269E6">
                      <w:pPr>
                        <w:jc w:val="center"/>
                        <w:rPr>
                          <w:rFonts w:ascii="仿宋_GB2312" w:eastAsia="仿宋_GB2312"/>
                        </w:rPr>
                      </w:pPr>
                    </w:p>
                    <w:p w14:paraId="77D538C2">
                      <w:pPr>
                        <w:rPr>
                          <w:rFonts w:ascii="仿宋_GB2312" w:eastAsia="仿宋_GB2312"/>
                        </w:rPr>
                      </w:pPr>
                      <w:r>
                        <w:rPr>
                          <w:rFonts w:hint="eastAsia" w:ascii="仿宋_GB2312" w:eastAsia="仿宋_GB2312"/>
                        </w:rPr>
                        <w:t>立项</w:t>
                      </w:r>
                    </w:p>
                    <w:p w14:paraId="7D2EBC7A">
                      <w:pPr>
                        <w:rPr>
                          <w:rFonts w:ascii="仿宋_GB2312" w:eastAsia="仿宋_GB2312"/>
                        </w:rPr>
                      </w:pPr>
                    </w:p>
                  </w:txbxContent>
                </v:textbox>
              </v:shape>
            </w:pict>
          </mc:Fallback>
        </mc:AlternateContent>
      </w:r>
      <w:r>
        <w:rPr>
          <w:rFonts w:hint="eastAsia" w:ascii="宋体" w:hAnsi="宋体" w:eastAsia="宋体" w:cs="宋体"/>
          <w:color w:val="auto"/>
          <w:sz w:val="21"/>
          <w:szCs w:val="21"/>
          <w:highlight w:val="none"/>
        </w:rPr>
        <mc:AlternateContent>
          <mc:Choice Requires="wps">
            <w:drawing>
              <wp:anchor distT="0" distB="0" distL="114300" distR="114300" simplePos="0" relativeHeight="251681792" behindDoc="0" locked="0" layoutInCell="1" allowOverlap="1">
                <wp:simplePos x="0" y="0"/>
                <wp:positionH relativeFrom="column">
                  <wp:posOffset>1906270</wp:posOffset>
                </wp:positionH>
                <wp:positionV relativeFrom="paragraph">
                  <wp:posOffset>5068570</wp:posOffset>
                </wp:positionV>
                <wp:extent cx="0" cy="261620"/>
                <wp:effectExtent l="95250" t="0" r="57150" b="62230"/>
                <wp:wrapNone/>
                <wp:docPr id="17" name="直接箭头连接符 17"/>
                <wp:cNvGraphicFramePr/>
                <a:graphic xmlns:a="http://schemas.openxmlformats.org/drawingml/2006/main">
                  <a:graphicData uri="http://schemas.microsoft.com/office/word/2010/wordprocessingShape">
                    <wps:wsp>
                      <wps:cNvCnPr/>
                      <wps:spPr>
                        <a:xfrm>
                          <a:off x="0" y="0"/>
                          <a:ext cx="0" cy="26162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399.1pt;height:20.6pt;width:0pt;z-index:251681792;mso-width-relative:page;mso-height-relative:page;" filled="f" stroked="t" coordsize="21600,21600" o:gfxdata="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DNHujd2gAAAAsBAAAP&#10;AAAAAAAAAAEAIAAAACIAAABkcnMvZG93bnJldi54bWxQSwECFAAUAAAACACHTuJAfOofuBYCAAAB&#10;BAAADgAAAAAAAAABACAAAAApAQAAZHJzL2Uyb0RvYy54bWxQSwUGAAAAAAYABgBZAQAAsQUAAAAA&#10;">
                <v:fill on="f" focussize="0,0"/>
                <v:stroke color="#4A7EBB [3204]" joinstyle="round" endarrow="open"/>
                <v:imagedata o:title=""/>
                <o:lock v:ext="edit" aspectratio="f"/>
              </v:shape>
            </w:pict>
          </mc:Fallback>
        </mc:AlternateContent>
      </w:r>
      <w:r>
        <w:rPr>
          <w:rFonts w:hint="eastAsia" w:ascii="宋体" w:hAnsi="宋体" w:eastAsia="宋体" w:cs="宋体"/>
          <w:color w:val="auto"/>
          <w:sz w:val="21"/>
          <w:szCs w:val="21"/>
          <w:highlight w:val="none"/>
        </w:rPr>
        <mc:AlternateContent>
          <mc:Choice Requires="wps">
            <w:drawing>
              <wp:anchor distT="0" distB="0" distL="114300" distR="114300" simplePos="0" relativeHeight="251662336" behindDoc="0" locked="0" layoutInCell="1" allowOverlap="1">
                <wp:simplePos x="0" y="0"/>
                <wp:positionH relativeFrom="column">
                  <wp:posOffset>1905000</wp:posOffset>
                </wp:positionH>
                <wp:positionV relativeFrom="paragraph">
                  <wp:posOffset>4542155</wp:posOffset>
                </wp:positionV>
                <wp:extent cx="0" cy="261620"/>
                <wp:effectExtent l="95250" t="0" r="57150" b="62230"/>
                <wp:wrapNone/>
                <wp:docPr id="19" name="直接箭头连接符 19"/>
                <wp:cNvGraphicFramePr/>
                <a:graphic xmlns:a="http://schemas.openxmlformats.org/drawingml/2006/main">
                  <a:graphicData uri="http://schemas.microsoft.com/office/word/2010/wordprocessingShape">
                    <wps:wsp>
                      <wps:cNvCnPr/>
                      <wps:spPr>
                        <a:xfrm>
                          <a:off x="0" y="0"/>
                          <a:ext cx="0" cy="26162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pt;margin-top:357.65pt;height:20.6pt;width:0pt;z-index:251662336;mso-width-relative:page;mso-height-relative:page;" filled="f" stroked="t" coordsize="21600,21600" o:gfxdata="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IWEuFjZAAAACwEAAA8A&#10;AAAAAAAAAQAgAAAAIgAAAGRycy9kb3ducmV2LnhtbFBLAQIUABQAAAAIAIdO4kCE52acFgIAAAEE&#10;AAAOAAAAAAAAAAEAIAAAACgBAABkcnMvZTJvRG9jLnhtbFBLBQYAAAAABgAGAFkBAACwBQAAAAA=&#10;">
                <v:fill on="f" focussize="0,0"/>
                <v:stroke color="#4A7EBB [3204]" joinstyle="round" endarrow="open"/>
                <v:imagedata o:title=""/>
                <o:lock v:ext="edit" aspectratio="f"/>
              </v:shape>
            </w:pict>
          </mc:Fallback>
        </mc:AlternateContent>
      </w:r>
      <w:r>
        <w:rPr>
          <w:rFonts w:hint="eastAsia" w:ascii="宋体" w:hAnsi="宋体" w:eastAsia="宋体" w:cs="宋体"/>
          <w:b/>
          <w:color w:val="auto"/>
          <w:sz w:val="21"/>
          <w:szCs w:val="21"/>
          <w:highlight w:val="none"/>
        </w:rPr>
        <mc:AlternateContent>
          <mc:Choice Requires="wps">
            <w:drawing>
              <wp:anchor distT="0" distB="0" distL="114300" distR="114300" simplePos="0" relativeHeight="251661312" behindDoc="0" locked="0" layoutInCell="1" allowOverlap="1">
                <wp:simplePos x="0" y="0"/>
                <wp:positionH relativeFrom="column">
                  <wp:posOffset>1405255</wp:posOffset>
                </wp:positionH>
                <wp:positionV relativeFrom="paragraph">
                  <wp:posOffset>84455</wp:posOffset>
                </wp:positionV>
                <wp:extent cx="1089025" cy="262255"/>
                <wp:effectExtent l="0" t="0" r="15875" b="23495"/>
                <wp:wrapNone/>
                <wp:docPr id="21" name="文本框 21"/>
                <wp:cNvGraphicFramePr/>
                <a:graphic xmlns:a="http://schemas.openxmlformats.org/drawingml/2006/main">
                  <a:graphicData uri="http://schemas.microsoft.com/office/word/2010/wordprocessingShape">
                    <wps:wsp>
                      <wps:cNvSpPr txBox="1"/>
                      <wps:spPr>
                        <a:xfrm>
                          <a:off x="0" y="0"/>
                          <a:ext cx="1089271" cy="262249"/>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3B278CF">
                            <w:pPr>
                              <w:jc w:val="center"/>
                              <w:rPr>
                                <w:rFonts w:asciiTheme="minorEastAsia" w:hAnsiTheme="minorEastAsia" w:eastAsiaTheme="minorEastAsia"/>
                              </w:rPr>
                            </w:pPr>
                            <w:r>
                              <w:rPr>
                                <w:rFonts w:hint="eastAsia" w:asciiTheme="minorEastAsia" w:hAnsiTheme="minorEastAsia" w:eastAsiaTheme="minorEastAsia"/>
                              </w:rPr>
                              <w:t>编制谈判文件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0.65pt;margin-top:6.65pt;height:20.65pt;width:85.75pt;z-index:251661312;mso-width-relative:page;mso-height-relative:page;" fillcolor="#DBEEF4 [664]" filled="t" stroked="t" coordsize="21600,21600" o:gfxdata="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AAAAABkcnMvUEsBAhQAFAAAAAgAh07iQGo9qSnXAAAACQEAAA8AAAAAAAAAAQAgAAAA&#10;IgAAAGRycy9kb3ducmV2LnhtbFBLAQIUABQAAAAIAIdO4kASw+0yfgIAAAAFAAAOAAAAAAAAAAEA&#10;IAAAACYBAABkcnMvZTJvRG9jLnhtbFBLBQYAAAAABgAGAFkBAAAWBgAAAAA=&#10;">
                <v:fill on="t" focussize="0,0"/>
                <v:stroke weight="0.5pt" color="#000000 [3204]" joinstyle="round"/>
                <v:imagedata o:title=""/>
                <o:lock v:ext="edit" aspectratio="f"/>
                <v:textbox>
                  <w:txbxContent>
                    <w:p w14:paraId="63B278CF">
                      <w:pPr>
                        <w:jc w:val="center"/>
                        <w:rPr>
                          <w:rFonts w:asciiTheme="minorEastAsia" w:hAnsiTheme="minorEastAsia" w:eastAsiaTheme="minorEastAsia"/>
                        </w:rPr>
                      </w:pPr>
                      <w:r>
                        <w:rPr>
                          <w:rFonts w:hint="eastAsia" w:asciiTheme="minorEastAsia" w:hAnsiTheme="minorEastAsia" w:eastAsiaTheme="minorEastAsia"/>
                        </w:rPr>
                        <w:t>编制谈判文件</w:t>
                      </w:r>
                    </w:p>
                  </w:txbxContent>
                </v:textbox>
              </v:shape>
            </w:pict>
          </mc:Fallback>
        </mc:AlternateContent>
      </w:r>
      <w:r>
        <w:rPr>
          <w:rFonts w:hint="eastAsia" w:ascii="宋体" w:hAnsi="宋体" w:eastAsia="宋体" w:cs="宋体"/>
          <w:b/>
          <w:color w:val="auto"/>
          <w:sz w:val="21"/>
          <w:szCs w:val="21"/>
          <w:highlight w:val="none"/>
        </w:rPr>
        <mc:AlternateContent>
          <mc:Choice Requires="wps">
            <w:drawing>
              <wp:anchor distT="0" distB="0" distL="114300" distR="114300" simplePos="0" relativeHeight="251666432" behindDoc="0" locked="0" layoutInCell="1" allowOverlap="1">
                <wp:simplePos x="0" y="0"/>
                <wp:positionH relativeFrom="column">
                  <wp:posOffset>1405255</wp:posOffset>
                </wp:positionH>
                <wp:positionV relativeFrom="paragraph">
                  <wp:posOffset>1134110</wp:posOffset>
                </wp:positionV>
                <wp:extent cx="1088390" cy="262255"/>
                <wp:effectExtent l="0" t="0" r="16510" b="23495"/>
                <wp:wrapNone/>
                <wp:docPr id="40" name="文本框 40"/>
                <wp:cNvGraphicFramePr/>
                <a:graphic xmlns:a="http://schemas.openxmlformats.org/drawingml/2006/main">
                  <a:graphicData uri="http://schemas.microsoft.com/office/word/2010/wordprocessingShape">
                    <wps:wsp>
                      <wps:cNvSpPr txBox="1"/>
                      <wps:spPr>
                        <a:xfrm>
                          <a:off x="0" y="0"/>
                          <a:ext cx="1088359" cy="262249"/>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7591BBA">
                            <w:pPr>
                              <w:jc w:val="center"/>
                              <w:rPr>
                                <w:rFonts w:asciiTheme="minorEastAsia" w:hAnsiTheme="minorEastAsia" w:eastAsiaTheme="minorEastAsia"/>
                              </w:rPr>
                            </w:pPr>
                            <w:r>
                              <w:rPr>
                                <w:rFonts w:hint="eastAsia" w:asciiTheme="minorEastAsia" w:hAnsiTheme="minorEastAsia" w:eastAsiaTheme="minorEastAsia"/>
                              </w:rPr>
                              <w:t>开启响应文件</w:t>
                            </w:r>
                          </w:p>
                          <w:p w14:paraId="1EDB074B">
                            <w:pPr>
                              <w:rPr>
                                <w:rFonts w:ascii="仿宋_GB2312" w:eastAsia="仿宋_GB2312"/>
                              </w:rPr>
                            </w:pPr>
                            <w:r>
                              <w:rPr>
                                <w:rFonts w:hint="eastAsia" w:ascii="仿宋_GB2312" w:eastAsia="仿宋_GB2312"/>
                              </w:rPr>
                              <w:t>立项</w:t>
                            </w:r>
                          </w:p>
                          <w:p w14:paraId="66029841">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0.65pt;margin-top:89.3pt;height:20.65pt;width:85.7pt;z-index:251666432;mso-width-relative:page;mso-height-relative:page;" fillcolor="#DBEEF4 [664]" filled="t" stroked="t" coordsize="21600,21600" o:gfxdata="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rO2/I9kAAAALAQAADwAAAAAAAAABACAA&#10;AAAiAAAAZHJzL2Rvd25yZXYueG1sUEsBAhQAFAAAAAgAh07iQHxGMX1+AgAAAAUAAA4AAAAAAAAA&#10;AQAgAAAAKAEAAGRycy9lMm9Eb2MueG1sUEsFBgAAAAAGAAYAWQEAABgGAAAAAA==&#10;">
                <v:fill on="t" focussize="0,0"/>
                <v:stroke weight="0.5pt" color="#000000 [3204]" joinstyle="round"/>
                <v:imagedata o:title=""/>
                <o:lock v:ext="edit" aspectratio="f"/>
                <v:textbox>
                  <w:txbxContent>
                    <w:p w14:paraId="27591BBA">
                      <w:pPr>
                        <w:jc w:val="center"/>
                        <w:rPr>
                          <w:rFonts w:asciiTheme="minorEastAsia" w:hAnsiTheme="minorEastAsia" w:eastAsiaTheme="minorEastAsia"/>
                        </w:rPr>
                      </w:pPr>
                      <w:r>
                        <w:rPr>
                          <w:rFonts w:hint="eastAsia" w:asciiTheme="minorEastAsia" w:hAnsiTheme="minorEastAsia" w:eastAsiaTheme="minorEastAsia"/>
                        </w:rPr>
                        <w:t>开启响应文件</w:t>
                      </w:r>
                    </w:p>
                    <w:p w14:paraId="1EDB074B">
                      <w:pPr>
                        <w:rPr>
                          <w:rFonts w:ascii="仿宋_GB2312" w:eastAsia="仿宋_GB2312"/>
                        </w:rPr>
                      </w:pPr>
                      <w:r>
                        <w:rPr>
                          <w:rFonts w:hint="eastAsia" w:ascii="仿宋_GB2312" w:eastAsia="仿宋_GB2312"/>
                        </w:rPr>
                        <w:t>立项</w:t>
                      </w:r>
                    </w:p>
                    <w:p w14:paraId="66029841">
                      <w:pPr>
                        <w:rPr>
                          <w:rFonts w:ascii="仿宋_GB2312" w:eastAsia="仿宋_GB2312"/>
                        </w:rPr>
                      </w:pPr>
                    </w:p>
                  </w:txbxContent>
                </v:textbox>
              </v:shape>
            </w:pict>
          </mc:Fallback>
        </mc:AlternateContent>
      </w:r>
      <w:r>
        <w:rPr>
          <w:rFonts w:hint="eastAsia" w:ascii="宋体" w:hAnsi="宋体" w:eastAsia="宋体" w:cs="宋体"/>
          <w:b/>
          <w:color w:val="auto"/>
          <w:sz w:val="21"/>
          <w:szCs w:val="21"/>
          <w:highlight w:val="none"/>
        </w:rPr>
        <mc:AlternateContent>
          <mc:Choice Requires="wps">
            <w:drawing>
              <wp:anchor distT="0" distB="0" distL="114300" distR="114300" simplePos="0" relativeHeight="251667456" behindDoc="0" locked="0" layoutInCell="1" allowOverlap="1">
                <wp:simplePos x="0" y="0"/>
                <wp:positionH relativeFrom="column">
                  <wp:posOffset>1421130</wp:posOffset>
                </wp:positionH>
                <wp:positionV relativeFrom="paragraph">
                  <wp:posOffset>609600</wp:posOffset>
                </wp:positionV>
                <wp:extent cx="1073150" cy="262255"/>
                <wp:effectExtent l="0" t="0" r="12700" b="23495"/>
                <wp:wrapNone/>
                <wp:docPr id="41" name="文本框 41"/>
                <wp:cNvGraphicFramePr/>
                <a:graphic xmlns:a="http://schemas.openxmlformats.org/drawingml/2006/main">
                  <a:graphicData uri="http://schemas.microsoft.com/office/word/2010/wordprocessingShape">
                    <wps:wsp>
                      <wps:cNvSpPr txBox="1"/>
                      <wps:spPr>
                        <a:xfrm>
                          <a:off x="0" y="0"/>
                          <a:ext cx="1073066" cy="262249"/>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96E6BF4">
                            <w:pPr>
                              <w:jc w:val="center"/>
                              <w:rPr>
                                <w:rFonts w:asciiTheme="minorEastAsia" w:hAnsiTheme="minorEastAsia" w:eastAsiaTheme="minorEastAsia"/>
                              </w:rPr>
                            </w:pPr>
                            <w:r>
                              <w:rPr>
                                <w:rFonts w:hint="eastAsia" w:asciiTheme="minorEastAsia" w:hAnsiTheme="minorEastAsia" w:eastAsiaTheme="minorEastAsia"/>
                              </w:rPr>
                              <w:t>邀请供应商</w:t>
                            </w:r>
                          </w:p>
                          <w:p w14:paraId="600DD93C">
                            <w:pPr>
                              <w:rPr>
                                <w:rFonts w:ascii="仿宋_GB2312" w:eastAsia="仿宋_GB2312"/>
                              </w:rPr>
                            </w:pPr>
                            <w:r>
                              <w:rPr>
                                <w:rFonts w:hint="eastAsia" w:ascii="仿宋_GB2312" w:eastAsia="仿宋_GB2312"/>
                              </w:rPr>
                              <w:t>立项</w:t>
                            </w:r>
                          </w:p>
                          <w:p w14:paraId="04937BA4">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1.9pt;margin-top:48pt;height:20.65pt;width:84.5pt;z-index:251667456;mso-width-relative:page;mso-height-relative:page;" fillcolor="#DBEEF4 [664]" filled="t" stroked="t" coordsize="21600,21600" o:gfxdata="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AYC1oP2AAAAAoBAAAPAAAAAAAAAAEAIAAA&#10;ACIAAABkcnMvZG93bnJldi54bWxQSwECFAAUAAAACACHTuJAXCaksn4CAAAABQAADgAAAAAAAAAB&#10;ACAAAAAnAQAAZHJzL2Uyb0RvYy54bWxQSwUGAAAAAAYABgBZAQAAFwYAAAAA&#10;">
                <v:fill on="t" focussize="0,0"/>
                <v:stroke weight="0.5pt" color="#000000 [3204]" joinstyle="round"/>
                <v:imagedata o:title=""/>
                <o:lock v:ext="edit" aspectratio="f"/>
                <v:textbox>
                  <w:txbxContent>
                    <w:p w14:paraId="696E6BF4">
                      <w:pPr>
                        <w:jc w:val="center"/>
                        <w:rPr>
                          <w:rFonts w:asciiTheme="minorEastAsia" w:hAnsiTheme="minorEastAsia" w:eastAsiaTheme="minorEastAsia"/>
                        </w:rPr>
                      </w:pPr>
                      <w:r>
                        <w:rPr>
                          <w:rFonts w:hint="eastAsia" w:asciiTheme="minorEastAsia" w:hAnsiTheme="minorEastAsia" w:eastAsiaTheme="minorEastAsia"/>
                        </w:rPr>
                        <w:t>邀请供应商</w:t>
                      </w:r>
                    </w:p>
                    <w:p w14:paraId="600DD93C">
                      <w:pPr>
                        <w:rPr>
                          <w:rFonts w:ascii="仿宋_GB2312" w:eastAsia="仿宋_GB2312"/>
                        </w:rPr>
                      </w:pPr>
                      <w:r>
                        <w:rPr>
                          <w:rFonts w:hint="eastAsia" w:ascii="仿宋_GB2312" w:eastAsia="仿宋_GB2312"/>
                        </w:rPr>
                        <w:t>立项</w:t>
                      </w:r>
                    </w:p>
                    <w:p w14:paraId="04937BA4">
                      <w:pPr>
                        <w:rPr>
                          <w:rFonts w:ascii="仿宋_GB2312" w:eastAsia="仿宋_GB2312"/>
                        </w:rPr>
                      </w:pPr>
                    </w:p>
                  </w:txbxContent>
                </v:textbox>
              </v:shape>
            </w:pict>
          </mc:Fallback>
        </mc:AlternateContent>
      </w:r>
      <w:r>
        <w:rPr>
          <w:rFonts w:hint="eastAsia" w:ascii="宋体" w:hAnsi="宋体" w:eastAsia="宋体" w:cs="宋体"/>
          <w:b/>
          <w:color w:val="auto"/>
          <w:sz w:val="21"/>
          <w:szCs w:val="21"/>
          <w:highlight w:val="none"/>
        </w:rPr>
        <mc:AlternateContent>
          <mc:Choice Requires="wps">
            <w:drawing>
              <wp:anchor distT="0" distB="0" distL="114300" distR="114300" simplePos="0" relativeHeight="251668480" behindDoc="0" locked="0" layoutInCell="1" allowOverlap="1">
                <wp:simplePos x="0" y="0"/>
                <wp:positionH relativeFrom="column">
                  <wp:posOffset>1929765</wp:posOffset>
                </wp:positionH>
                <wp:positionV relativeFrom="paragraph">
                  <wp:posOffset>346710</wp:posOffset>
                </wp:positionV>
                <wp:extent cx="0" cy="262255"/>
                <wp:effectExtent l="95250" t="0" r="57150" b="62230"/>
                <wp:wrapNone/>
                <wp:docPr id="42" name="直接箭头连接符 42"/>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1.95pt;margin-top:27.3pt;height:20.65pt;width:0pt;z-index:251668480;mso-width-relative:page;mso-height-relative:page;" filled="f" stroked="t" coordsize="21600,21600" o:gfxdata="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nRbH+2QAAAAkBAAAPAAAA&#10;AAAAAAEAIAAAACIAAABkcnMvZG93bnJldi54bWxQSwECFAAUAAAACACHTuJAme7FIhQCAAABBAAA&#10;DgAAAAAAAAABACAAAAAoAQAAZHJzL2Uyb0RvYy54bWxQSwUGAAAAAAYABgBZAQAArgUAAAAA&#10;">
                <v:fill on="f" focussize="0,0"/>
                <v:stroke color="#4A7EBB [3204]" joinstyle="round" endarrow="open"/>
                <v:imagedata o:title=""/>
                <o:lock v:ext="edit" aspectratio="f"/>
              </v:shape>
            </w:pict>
          </mc:Fallback>
        </mc:AlternateContent>
      </w:r>
      <w:r>
        <w:rPr>
          <w:rFonts w:hint="eastAsia" w:ascii="宋体" w:hAnsi="宋体" w:eastAsia="宋体" w:cs="宋体"/>
          <w:b/>
          <w:color w:val="auto"/>
          <w:sz w:val="21"/>
          <w:szCs w:val="21"/>
          <w:highlight w:val="none"/>
        </w:rPr>
        <mc:AlternateContent>
          <mc:Choice Requires="wps">
            <w:drawing>
              <wp:anchor distT="0" distB="0" distL="114300" distR="114300" simplePos="0" relativeHeight="251669504" behindDoc="0" locked="0" layoutInCell="1" allowOverlap="1">
                <wp:simplePos x="0" y="0"/>
                <wp:positionH relativeFrom="column">
                  <wp:posOffset>1929765</wp:posOffset>
                </wp:positionH>
                <wp:positionV relativeFrom="paragraph">
                  <wp:posOffset>871855</wp:posOffset>
                </wp:positionV>
                <wp:extent cx="0" cy="262255"/>
                <wp:effectExtent l="95250" t="0" r="57150" b="62230"/>
                <wp:wrapNone/>
                <wp:docPr id="43" name="直接箭头连接符 43"/>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1.95pt;margin-top:68.65pt;height:20.65pt;width:0pt;z-index:251669504;mso-width-relative:page;mso-height-relative:page;" filled="f" stroked="t" coordsize="21600,21600" o:gfxdata="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zrHWWdkAAAALAQAADwAA&#10;AAAAAAABACAAAAAiAAAAZHJzL2Rvd25yZXYueG1sUEsBAhQAFAAAAAgAh07iQJDa/OsVAgAAAQQA&#10;AA4AAAAAAAAAAQAgAAAAKAEAAGRycy9lMm9Eb2MueG1sUEsFBgAAAAAGAAYAWQEAAK8FAAAAAA==&#10;">
                <v:fill on="f" focussize="0,0"/>
                <v:stroke color="#4A7EBB [3204]" joinstyle="round" endarrow="open"/>
                <v:imagedata o:title=""/>
                <o:lock v:ext="edit" aspectratio="f"/>
              </v:shape>
            </w:pict>
          </mc:Fallback>
        </mc:AlternateContent>
      </w:r>
      <w:r>
        <w:rPr>
          <w:rFonts w:hint="eastAsia" w:ascii="宋体" w:hAnsi="宋体" w:eastAsia="宋体" w:cs="宋体"/>
          <w:b/>
          <w:color w:val="auto"/>
          <w:sz w:val="21"/>
          <w:szCs w:val="21"/>
          <w:highlight w:val="none"/>
        </w:rPr>
        <mc:AlternateContent>
          <mc:Choice Requires="wps">
            <w:drawing>
              <wp:anchor distT="0" distB="0" distL="114300" distR="114300" simplePos="0" relativeHeight="251670528" behindDoc="0" locked="0" layoutInCell="1" allowOverlap="1">
                <wp:simplePos x="0" y="0"/>
                <wp:positionH relativeFrom="column">
                  <wp:posOffset>1906270</wp:posOffset>
                </wp:positionH>
                <wp:positionV relativeFrom="paragraph">
                  <wp:posOffset>2437765</wp:posOffset>
                </wp:positionV>
                <wp:extent cx="0" cy="262255"/>
                <wp:effectExtent l="95250" t="0" r="57150" b="62230"/>
                <wp:wrapNone/>
                <wp:docPr id="44" name="直接箭头连接符 44"/>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191.95pt;height:20.65pt;width:0pt;z-index:251670528;mso-width-relative:page;mso-height-relative:page;" filled="f" stroked="t" coordsize="21600,21600" o:gfxdata="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yPnwL2QAAAAsBAAAPAAAA&#10;AAAAAAEAIAAAACIAAABkcnMvZG93bnJldi54bWxQSwECFAAUAAAACACHTuJAbFzA+RQCAAABBAAA&#10;DgAAAAAAAAABACAAAAAoAQAAZHJzL2Uyb0RvYy54bWxQSwUGAAAAAAYABgBZAQAArgUAAAAA&#10;">
                <v:fill on="f" focussize="0,0"/>
                <v:stroke color="#4A7EBB [3204]" joinstyle="round" endarrow="open"/>
                <v:imagedata o:title=""/>
                <o:lock v:ext="edit" aspectratio="f"/>
              </v:shape>
            </w:pict>
          </mc:Fallback>
        </mc:AlternateContent>
      </w:r>
      <w:r>
        <w:rPr>
          <w:rFonts w:hint="eastAsia" w:ascii="宋体" w:hAnsi="宋体" w:eastAsia="宋体" w:cs="宋体"/>
          <w:b/>
          <w:color w:val="auto"/>
          <w:sz w:val="21"/>
          <w:szCs w:val="21"/>
          <w:highlight w:val="none"/>
        </w:rPr>
        <mc:AlternateContent>
          <mc:Choice Requires="wps">
            <w:drawing>
              <wp:anchor distT="0" distB="0" distL="114300" distR="114300" simplePos="0" relativeHeight="251671552" behindDoc="0" locked="0" layoutInCell="1" allowOverlap="1">
                <wp:simplePos x="0" y="0"/>
                <wp:positionH relativeFrom="column">
                  <wp:posOffset>1906270</wp:posOffset>
                </wp:positionH>
                <wp:positionV relativeFrom="paragraph">
                  <wp:posOffset>1921510</wp:posOffset>
                </wp:positionV>
                <wp:extent cx="0" cy="262255"/>
                <wp:effectExtent l="95250" t="0" r="57150" b="62230"/>
                <wp:wrapNone/>
                <wp:docPr id="45" name="直接箭头连接符 45"/>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151.3pt;height:20.65pt;width:0pt;z-index:251671552;mso-width-relative:page;mso-height-relative:page;" filled="f" stroked="t" coordsize="21600,21600" o:gfxdata="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IVti8rYAAAACwEAAA8AAAAA&#10;AAAAAQAgAAAAIgAAAGRycy9kb3ducmV2LnhtbFBLAQIUABQAAAAIAIdO4kBlaPkwFAIAAAEEAAAO&#10;AAAAAAAAAAEAIAAAACcBAABkcnMvZTJvRG9jLnhtbFBLBQYAAAAABgAGAFkBAACtBQAAAAA=&#10;">
                <v:fill on="f" focussize="0,0"/>
                <v:stroke color="#4A7EBB [3204]" joinstyle="round" endarrow="open"/>
                <v:imagedata o:title=""/>
                <o:lock v:ext="edit" aspectratio="f"/>
              </v:shape>
            </w:pict>
          </mc:Fallback>
        </mc:AlternateContent>
      </w:r>
      <w:r>
        <w:rPr>
          <w:rFonts w:hint="eastAsia" w:ascii="宋体" w:hAnsi="宋体" w:eastAsia="宋体" w:cs="宋体"/>
          <w:b/>
          <w:color w:val="auto"/>
          <w:sz w:val="21"/>
          <w:szCs w:val="21"/>
          <w:highlight w:val="none"/>
        </w:rPr>
        <mc:AlternateContent>
          <mc:Choice Requires="wps">
            <w:drawing>
              <wp:anchor distT="0" distB="0" distL="114300" distR="114300" simplePos="0" relativeHeight="251672576" behindDoc="0" locked="0" layoutInCell="1" allowOverlap="1">
                <wp:simplePos x="0" y="0"/>
                <wp:positionH relativeFrom="column">
                  <wp:posOffset>1906270</wp:posOffset>
                </wp:positionH>
                <wp:positionV relativeFrom="paragraph">
                  <wp:posOffset>1396365</wp:posOffset>
                </wp:positionV>
                <wp:extent cx="0" cy="262255"/>
                <wp:effectExtent l="95250" t="0" r="57150" b="62230"/>
                <wp:wrapNone/>
                <wp:docPr id="46" name="直接箭头连接符 46"/>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109.95pt;height:20.65pt;width:0pt;z-index:251672576;mso-width-relative:page;mso-height-relative:page;" filled="f" stroked="t" coordsize="21600,21600" o:gfxdata="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CZCjqrYAAAACwEAAA8AAAAA&#10;AAAAAQAgAAAAIgAAAGRycy9kb3ducmV2LnhtbFBLAQIUABQAAAAIAIdO4kA/MsOwFAIAAAEEAAAO&#10;AAAAAAAAAAEAIAAAACcBAABkcnMvZTJvRG9jLnhtbFBLBQYAAAAABgAGAFkBAACtBQAAAAA=&#10;">
                <v:fill on="f" focussize="0,0"/>
                <v:stroke color="#4A7EBB [3204]" joinstyle="round" endarrow="open"/>
                <v:imagedata o:title=""/>
                <o:lock v:ext="edit" aspectratio="f"/>
              </v:shape>
            </w:pict>
          </mc:Fallback>
        </mc:AlternateContent>
      </w:r>
      <w:r>
        <w:rPr>
          <w:rFonts w:hint="eastAsia" w:ascii="宋体" w:hAnsi="宋体" w:eastAsia="宋体" w:cs="宋体"/>
          <w:b/>
          <w:color w:val="auto"/>
          <w:sz w:val="21"/>
          <w:szCs w:val="21"/>
          <w:highlight w:val="none"/>
        </w:rPr>
        <mc:AlternateContent>
          <mc:Choice Requires="wps">
            <w:drawing>
              <wp:anchor distT="0" distB="0" distL="114300" distR="114300" simplePos="0" relativeHeight="251675648" behindDoc="0" locked="0" layoutInCell="1" allowOverlap="1">
                <wp:simplePos x="0" y="0"/>
                <wp:positionH relativeFrom="column">
                  <wp:posOffset>1906270</wp:posOffset>
                </wp:positionH>
                <wp:positionV relativeFrom="paragraph">
                  <wp:posOffset>3487420</wp:posOffset>
                </wp:positionV>
                <wp:extent cx="0" cy="262255"/>
                <wp:effectExtent l="95250" t="0" r="57150" b="62230"/>
                <wp:wrapNone/>
                <wp:docPr id="47" name="直接箭头连接符 47"/>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274.6pt;height:20.65pt;width:0pt;z-index:251675648;mso-width-relative:page;mso-height-relative:page;" filled="f" stroked="t" coordsize="21600,21600" o:gfxdata="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QAE9f9kAAAALAQAADwAA&#10;AAAAAAABACAAAAAiAAAAZHJzL2Rvd25yZXYueG1sUEsBAhQAFAAAAAgAh07iQDYG+nkVAgAAAQQA&#10;AA4AAAAAAAAAAQAgAAAAKAEAAGRycy9lMm9Eb2MueG1sUEsFBgAAAAAGAAYAWQEAAK8FAAAAAA==&#10;">
                <v:fill on="f" focussize="0,0"/>
                <v:stroke color="#4A7EBB [3204]" joinstyle="round" endarrow="open"/>
                <v:imagedata o:title=""/>
                <o:lock v:ext="edit" aspectratio="f"/>
              </v:shape>
            </w:pict>
          </mc:Fallback>
        </mc:AlternateContent>
      </w:r>
      <w:r>
        <w:rPr>
          <w:rFonts w:hint="eastAsia" w:ascii="宋体" w:hAnsi="宋体" w:eastAsia="宋体" w:cs="宋体"/>
          <w:b/>
          <w:color w:val="auto"/>
          <w:sz w:val="21"/>
          <w:szCs w:val="21"/>
          <w:highlight w:val="none"/>
        </w:rPr>
        <mc:AlternateContent>
          <mc:Choice Requires="wps">
            <w:drawing>
              <wp:anchor distT="0" distB="0" distL="114300" distR="114300" simplePos="0" relativeHeight="251676672" behindDoc="0" locked="0" layoutInCell="1" allowOverlap="1">
                <wp:simplePos x="0" y="0"/>
                <wp:positionH relativeFrom="column">
                  <wp:posOffset>1906270</wp:posOffset>
                </wp:positionH>
                <wp:positionV relativeFrom="paragraph">
                  <wp:posOffset>2962910</wp:posOffset>
                </wp:positionV>
                <wp:extent cx="0" cy="262255"/>
                <wp:effectExtent l="95250" t="0" r="57150" b="62230"/>
                <wp:wrapNone/>
                <wp:docPr id="48" name="直接箭头连接符 48"/>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233.3pt;height:20.65pt;width:0pt;z-index:251676672;mso-width-relative:page;mso-height-relative:page;" filled="f" stroked="t" coordsize="21600,21600" o:gfxdata="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M6aQ52QAAAAsBAAAPAAAA&#10;AAAAAAEAIAAAACIAAABkcnMvZG93bnJldi54bWxQSwECFAAUAAAACACHTuJAxz+6lBQCAAABBAAA&#10;DgAAAAAAAAABACAAAAAoAQAAZHJzL2Uyb0RvYy54bWxQSwUGAAAAAAYABgBZAQAArgUAAAAA&#10;">
                <v:fill on="f" focussize="0,0"/>
                <v:stroke color="#4A7EBB [3204]" joinstyle="round" endarrow="open"/>
                <v:imagedata o:title=""/>
                <o:lock v:ext="edit" aspectratio="f"/>
              </v:shape>
            </w:pict>
          </mc:Fallback>
        </mc:AlternateContent>
      </w:r>
      <w:r>
        <w:rPr>
          <w:rFonts w:hint="eastAsia" w:ascii="宋体" w:hAnsi="宋体" w:eastAsia="宋体" w:cs="宋体"/>
          <w:b/>
          <w:color w:val="auto"/>
          <w:sz w:val="21"/>
          <w:szCs w:val="21"/>
          <w:highlight w:val="none"/>
        </w:rPr>
        <mc:AlternateContent>
          <mc:Choice Requires="wps">
            <w:drawing>
              <wp:anchor distT="0" distB="0" distL="114300" distR="114300" simplePos="0" relativeHeight="251679744" behindDoc="0" locked="0" layoutInCell="1" allowOverlap="1">
                <wp:simplePos x="0" y="0"/>
                <wp:positionH relativeFrom="column">
                  <wp:posOffset>1906270</wp:posOffset>
                </wp:positionH>
                <wp:positionV relativeFrom="paragraph">
                  <wp:posOffset>4012565</wp:posOffset>
                </wp:positionV>
                <wp:extent cx="0" cy="262255"/>
                <wp:effectExtent l="95250" t="0" r="57150" b="62230"/>
                <wp:wrapNone/>
                <wp:docPr id="49" name="直接箭头连接符 49"/>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315.95pt;height:20.65pt;width:0pt;z-index:251679744;mso-width-relative:page;mso-height-relative:page;" filled="f" stroked="t" coordsize="21600,21600" o:gfxdata="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L4rJWdkAAAALAQAADwAA&#10;AAAAAAABACAAAAAiAAAAZHJzL2Rvd25yZXYueG1sUEsBAhQAFAAAAAgAh07iQM4Lg10VAgAAAQQA&#10;AA4AAAAAAAAAAQAgAAAAKAEAAGRycy9lMm9Eb2MueG1sUEsFBgAAAAAGAAYAWQEAAK8FAAAAAA==&#10;">
                <v:fill on="f" focussize="0,0"/>
                <v:stroke color="#4A7EBB [3204]" joinstyle="round" endarrow="open"/>
                <v:imagedata o:title=""/>
                <o:lock v:ext="edit" aspectratio="f"/>
              </v:shape>
            </w:pict>
          </mc:Fallback>
        </mc:AlternateContent>
      </w:r>
      <w:r>
        <w:rPr>
          <w:rFonts w:hint="eastAsia" w:ascii="宋体" w:hAnsi="宋体" w:eastAsia="宋体" w:cs="宋体"/>
          <w:b/>
          <w:color w:val="auto"/>
          <w:sz w:val="21"/>
          <w:szCs w:val="21"/>
          <w:highlight w:val="none"/>
        </w:rPr>
        <w:br w:type="page"/>
      </w:r>
    </w:p>
    <w:p w14:paraId="2B52733F">
      <w:pPr>
        <w:pStyle w:val="2"/>
        <w:numPr>
          <w:ilvl w:val="0"/>
          <w:numId w:val="0"/>
        </w:numPr>
        <w:bidi w:val="0"/>
        <w:ind w:leftChars="0"/>
        <w:jc w:val="center"/>
        <w:rPr>
          <w:rFonts w:hint="eastAsia"/>
          <w:color w:val="auto"/>
          <w:sz w:val="36"/>
          <w:szCs w:val="36"/>
          <w:highlight w:val="none"/>
        </w:rPr>
      </w:pPr>
      <w:bookmarkStart w:id="50" w:name="_Toc14924"/>
      <w:r>
        <w:rPr>
          <w:rFonts w:hint="eastAsia"/>
          <w:color w:val="auto"/>
          <w:sz w:val="36"/>
          <w:szCs w:val="36"/>
          <w:highlight w:val="none"/>
        </w:rPr>
        <w:t>第三部分</w:t>
      </w:r>
      <w:bookmarkEnd w:id="8"/>
      <w:r>
        <w:rPr>
          <w:rFonts w:hint="eastAsia"/>
          <w:color w:val="auto"/>
          <w:sz w:val="36"/>
          <w:szCs w:val="36"/>
          <w:highlight w:val="none"/>
        </w:rPr>
        <w:t xml:space="preserve">  供应商须知</w:t>
      </w:r>
      <w:bookmarkEnd w:id="9"/>
      <w:bookmarkEnd w:id="50"/>
    </w:p>
    <w:p w14:paraId="09B78D3F">
      <w:pPr>
        <w:pageBreakBefore w:val="0"/>
        <w:kinsoku/>
        <w:wordWrap/>
        <w:overflowPunct/>
        <w:topLinePunct w:val="0"/>
        <w:bidi w:val="0"/>
        <w:adjustRightInd/>
        <w:spacing w:line="360" w:lineRule="auto"/>
        <w:jc w:val="center"/>
        <w:outlineLvl w:val="1"/>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一、前附表</w:t>
      </w:r>
    </w:p>
    <w:tbl>
      <w:tblPr>
        <w:tblStyle w:val="60"/>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
      <w:tblGrid>
        <w:gridCol w:w="629"/>
        <w:gridCol w:w="1843"/>
        <w:gridCol w:w="6520"/>
      </w:tblGrid>
      <w:tr w14:paraId="0BAC27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629" w:type="dxa"/>
            <w:tcBorders>
              <w:top w:val="single" w:color="auto" w:sz="4" w:space="0"/>
              <w:left w:val="single" w:color="auto" w:sz="4" w:space="0"/>
              <w:bottom w:val="single" w:color="auto" w:sz="4" w:space="0"/>
              <w:right w:val="single" w:color="auto" w:sz="4" w:space="0"/>
            </w:tcBorders>
            <w:vAlign w:val="center"/>
          </w:tcPr>
          <w:p w14:paraId="5E63D752">
            <w:pPr>
              <w:pageBreakBefore w:val="0"/>
              <w:kinsoku/>
              <w:wordWrap/>
              <w:overflowPunct/>
              <w:topLinePunct w:val="0"/>
              <w:bidi w:val="0"/>
              <w:snapToGrid w:val="0"/>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序号</w:t>
            </w:r>
          </w:p>
        </w:tc>
        <w:tc>
          <w:tcPr>
            <w:tcW w:w="1843" w:type="dxa"/>
            <w:tcBorders>
              <w:top w:val="single" w:color="000000" w:sz="8" w:space="0"/>
              <w:left w:val="single" w:color="auto" w:sz="4" w:space="0"/>
              <w:bottom w:val="single" w:color="000000" w:sz="8" w:space="0"/>
              <w:right w:val="single" w:color="000000" w:sz="8" w:space="0"/>
            </w:tcBorders>
            <w:vAlign w:val="center"/>
          </w:tcPr>
          <w:p w14:paraId="72F77B54">
            <w:pPr>
              <w:pageBreakBefore w:val="0"/>
              <w:kinsoku/>
              <w:wordWrap/>
              <w:overflowPunct/>
              <w:topLinePunct w:val="0"/>
              <w:bidi w:val="0"/>
              <w:snapToGrid w:val="0"/>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事项</w:t>
            </w:r>
          </w:p>
        </w:tc>
        <w:tc>
          <w:tcPr>
            <w:tcW w:w="6520" w:type="dxa"/>
            <w:tcBorders>
              <w:top w:val="single" w:color="000000" w:sz="8" w:space="0"/>
              <w:left w:val="single" w:color="000000" w:sz="2" w:space="0"/>
              <w:bottom w:val="single" w:color="000000" w:sz="8" w:space="0"/>
              <w:right w:val="single" w:color="000000" w:sz="8" w:space="0"/>
            </w:tcBorders>
            <w:vAlign w:val="center"/>
          </w:tcPr>
          <w:p w14:paraId="3EADC2AE">
            <w:pPr>
              <w:pageBreakBefore w:val="0"/>
              <w:kinsoku/>
              <w:wordWrap/>
              <w:overflowPunct/>
              <w:topLinePunct w:val="0"/>
              <w:bidi w:val="0"/>
              <w:snapToGrid w:val="0"/>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本项目的特别规定</w:t>
            </w:r>
          </w:p>
        </w:tc>
      </w:tr>
      <w:tr w14:paraId="1594EA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26" w:hRule="atLeast"/>
        </w:trPr>
        <w:tc>
          <w:tcPr>
            <w:tcW w:w="629" w:type="dxa"/>
            <w:tcBorders>
              <w:top w:val="single" w:color="auto" w:sz="4" w:space="0"/>
              <w:left w:val="single" w:color="auto" w:sz="4" w:space="0"/>
              <w:bottom w:val="single" w:color="auto" w:sz="4" w:space="0"/>
              <w:right w:val="single" w:color="auto" w:sz="4" w:space="0"/>
            </w:tcBorders>
            <w:vAlign w:val="center"/>
          </w:tcPr>
          <w:p w14:paraId="712E992A">
            <w:pPr>
              <w:pageBreakBefore w:val="0"/>
              <w:kinsoku/>
              <w:wordWrap/>
              <w:overflowPunct/>
              <w:topLinePunct w:val="0"/>
              <w:bidi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843" w:type="dxa"/>
            <w:tcBorders>
              <w:top w:val="single" w:color="000000" w:sz="8" w:space="0"/>
              <w:left w:val="single" w:color="auto" w:sz="4" w:space="0"/>
              <w:bottom w:val="single" w:color="000000" w:sz="8" w:space="0"/>
              <w:right w:val="single" w:color="000000" w:sz="8" w:space="0"/>
            </w:tcBorders>
            <w:vAlign w:val="center"/>
          </w:tcPr>
          <w:p w14:paraId="0DF5D92B">
            <w:pPr>
              <w:pageBreakBefore w:val="0"/>
              <w:kinsoku/>
              <w:wordWrap/>
              <w:overflowPunct/>
              <w:topLinePunct w:val="0"/>
              <w:bidi w:val="0"/>
              <w:snapToGrid w:val="0"/>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项目属性与核心产品</w:t>
            </w:r>
          </w:p>
        </w:tc>
        <w:tc>
          <w:tcPr>
            <w:tcW w:w="6520" w:type="dxa"/>
            <w:tcBorders>
              <w:top w:val="single" w:color="000000" w:sz="8" w:space="0"/>
              <w:left w:val="single" w:color="000000" w:sz="2" w:space="0"/>
              <w:bottom w:val="single" w:color="000000" w:sz="8" w:space="0"/>
              <w:right w:val="single" w:color="000000" w:sz="8" w:space="0"/>
            </w:tcBorders>
            <w:vAlign w:val="center"/>
          </w:tcPr>
          <w:p w14:paraId="327CBDB7">
            <w:pPr>
              <w:pageBreakBefore w:val="0"/>
              <w:kinsoku/>
              <w:wordWrap/>
              <w:overflowPunct/>
              <w:topLinePunct w:val="0"/>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货物类，</w:t>
            </w:r>
            <w:r>
              <w:rPr>
                <w:rFonts w:hint="eastAsia" w:ascii="宋体" w:hAnsi="宋体" w:eastAsia="宋体" w:cs="宋体"/>
                <w:color w:val="auto"/>
                <w:kern w:val="0"/>
                <w:sz w:val="21"/>
                <w:szCs w:val="21"/>
                <w:highlight w:val="none"/>
              </w:rPr>
              <w:t>核心产品为：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比赛垫子(含保护区）</w:t>
            </w:r>
            <w:r>
              <w:rPr>
                <w:rFonts w:hint="eastAsia" w:ascii="宋体" w:hAnsi="宋体" w:cs="宋体"/>
                <w:color w:val="auto"/>
                <w:sz w:val="21"/>
                <w:szCs w:val="21"/>
                <w:highlight w:val="none"/>
                <w:u w:val="single"/>
                <w:lang w:val="en-US" w:eastAsia="zh-CN"/>
              </w:rPr>
              <w:t>（柔道项目）</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tc>
      </w:tr>
      <w:tr w14:paraId="4DD5F3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trPr>
        <w:tc>
          <w:tcPr>
            <w:tcW w:w="629" w:type="dxa"/>
            <w:tcBorders>
              <w:top w:val="single" w:color="auto" w:sz="4" w:space="0"/>
              <w:left w:val="single" w:color="auto" w:sz="4" w:space="0"/>
              <w:bottom w:val="single" w:color="auto" w:sz="4" w:space="0"/>
              <w:right w:val="single" w:color="auto" w:sz="4" w:space="0"/>
            </w:tcBorders>
            <w:vAlign w:val="center"/>
          </w:tcPr>
          <w:p w14:paraId="6D42CDB8">
            <w:pPr>
              <w:pageBreakBefore w:val="0"/>
              <w:kinsoku/>
              <w:wordWrap/>
              <w:overflowPunct/>
              <w:topLinePunct w:val="0"/>
              <w:bidi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843" w:type="dxa"/>
            <w:tcBorders>
              <w:top w:val="single" w:color="000000" w:sz="8" w:space="0"/>
              <w:left w:val="single" w:color="auto" w:sz="4" w:space="0"/>
              <w:bottom w:val="single" w:color="000000" w:sz="8" w:space="0"/>
              <w:right w:val="single" w:color="000000" w:sz="8" w:space="0"/>
            </w:tcBorders>
            <w:vAlign w:val="center"/>
          </w:tcPr>
          <w:p w14:paraId="6D87B123">
            <w:pPr>
              <w:pageBreakBefore w:val="0"/>
              <w:kinsoku/>
              <w:wordWrap/>
              <w:overflowPunct/>
              <w:topLinePunct w:val="0"/>
              <w:bidi w:val="0"/>
              <w:snapToGrid w:val="0"/>
              <w:spacing w:line="360" w:lineRule="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采购标的及其对应的中小企业划分标准所属行业</w:t>
            </w:r>
          </w:p>
        </w:tc>
        <w:tc>
          <w:tcPr>
            <w:tcW w:w="6520" w:type="dxa"/>
            <w:tcBorders>
              <w:top w:val="single" w:color="000000" w:sz="8" w:space="0"/>
              <w:left w:val="single" w:color="000000" w:sz="2" w:space="0"/>
              <w:bottom w:val="single" w:color="000000" w:sz="8" w:space="0"/>
              <w:right w:val="single" w:color="000000" w:sz="8" w:space="0"/>
            </w:tcBorders>
            <w:vAlign w:val="center"/>
          </w:tcPr>
          <w:p w14:paraId="1D35B422">
            <w:pPr>
              <w:pageBreakBefore w:val="0"/>
              <w:kinsoku/>
              <w:wordWrap/>
              <w:overflowPunct/>
              <w:topLinePunct w:val="0"/>
              <w:bidi w:val="0"/>
              <w:snapToGrid w:val="0"/>
              <w:spacing w:line="360" w:lineRule="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标的：</w:t>
            </w:r>
            <w:r>
              <w:rPr>
                <w:rFonts w:hint="eastAsia" w:ascii="宋体" w:hAnsi="宋体" w:eastAsia="宋体" w:cs="宋体"/>
                <w:color w:val="auto"/>
                <w:kern w:val="0"/>
                <w:sz w:val="21"/>
                <w:szCs w:val="21"/>
                <w:highlight w:val="none"/>
                <w:u w:val="single"/>
              </w:rPr>
              <w:t xml:space="preserve"> </w:t>
            </w:r>
            <w:r>
              <w:rPr>
                <w:rFonts w:hint="eastAsia" w:ascii="宋体" w:hAnsi="宋体" w:cs="宋体"/>
                <w:color w:val="auto"/>
                <w:kern w:val="0"/>
                <w:sz w:val="21"/>
                <w:szCs w:val="21"/>
                <w:highlight w:val="none"/>
                <w:u w:val="single"/>
                <w:lang w:val="en-US" w:eastAsia="zh-CN"/>
              </w:rPr>
              <w:t>采购标的详见采购需求</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，属于</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u w:val="single"/>
                <w:lang w:val="en-US" w:eastAsia="zh-CN"/>
              </w:rPr>
              <w:t>工业</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行业</w:t>
            </w:r>
            <w:r>
              <w:rPr>
                <w:rFonts w:hint="eastAsia" w:ascii="宋体" w:hAnsi="宋体" w:cs="宋体"/>
                <w:color w:val="auto"/>
                <w:kern w:val="0"/>
                <w:sz w:val="21"/>
                <w:szCs w:val="21"/>
                <w:highlight w:val="none"/>
                <w:lang w:eastAsia="zh-CN"/>
              </w:rPr>
              <w:t>。</w:t>
            </w:r>
          </w:p>
        </w:tc>
      </w:tr>
      <w:tr w14:paraId="4E0BE0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000" w:hRule="atLeast"/>
        </w:trPr>
        <w:tc>
          <w:tcPr>
            <w:tcW w:w="629" w:type="dxa"/>
            <w:tcBorders>
              <w:top w:val="single" w:color="auto" w:sz="4" w:space="0"/>
              <w:left w:val="single" w:color="auto" w:sz="4" w:space="0"/>
              <w:bottom w:val="single" w:color="auto" w:sz="4" w:space="0"/>
              <w:right w:val="single" w:color="auto" w:sz="4" w:space="0"/>
            </w:tcBorders>
            <w:vAlign w:val="center"/>
          </w:tcPr>
          <w:p w14:paraId="72B9C356">
            <w:pPr>
              <w:pageBreakBefore w:val="0"/>
              <w:kinsoku/>
              <w:wordWrap/>
              <w:overflowPunct/>
              <w:topLinePunct w:val="0"/>
              <w:bidi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1843" w:type="dxa"/>
            <w:tcBorders>
              <w:top w:val="single" w:color="000000" w:sz="8" w:space="0"/>
              <w:left w:val="single" w:color="auto" w:sz="4" w:space="0"/>
              <w:bottom w:val="single" w:color="000000" w:sz="8" w:space="0"/>
              <w:right w:val="single" w:color="000000" w:sz="8" w:space="0"/>
            </w:tcBorders>
            <w:vAlign w:val="center"/>
          </w:tcPr>
          <w:p w14:paraId="0DDBFA36">
            <w:pPr>
              <w:pageBreakBefore w:val="0"/>
              <w:kinsoku/>
              <w:wordWrap/>
              <w:overflowPunct/>
              <w:topLinePunct w:val="0"/>
              <w:bidi w:val="0"/>
              <w:snapToGrid w:val="0"/>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是否允许采购进口产品</w:t>
            </w:r>
          </w:p>
        </w:tc>
        <w:tc>
          <w:tcPr>
            <w:tcW w:w="6520" w:type="dxa"/>
            <w:tcBorders>
              <w:top w:val="single" w:color="000000" w:sz="8" w:space="0"/>
              <w:left w:val="single" w:color="000000" w:sz="2" w:space="0"/>
              <w:bottom w:val="single" w:color="000000" w:sz="8" w:space="0"/>
              <w:right w:val="single" w:color="000000" w:sz="8" w:space="0"/>
            </w:tcBorders>
            <w:vAlign w:val="center"/>
          </w:tcPr>
          <w:p w14:paraId="31F0096C">
            <w:pPr>
              <w:pageBreakBefore w:val="0"/>
              <w:kinsoku/>
              <w:wordWrap/>
              <w:overflowPunct/>
              <w:topLinePunct w:val="0"/>
              <w:bidi w:val="0"/>
              <w:spacing w:line="360" w:lineRule="auto"/>
              <w:rPr>
                <w:rFonts w:hint="eastAsia" w:ascii="宋体" w:hAnsi="宋体" w:eastAsia="宋体" w:cs="宋体"/>
                <w:color w:val="auto"/>
                <w:sz w:val="21"/>
                <w:szCs w:val="21"/>
                <w:highlight w:val="none"/>
              </w:rPr>
            </w:pPr>
            <w:sdt>
              <w:sdtPr>
                <w:rPr>
                  <w:rFonts w:hint="eastAsia" w:ascii="宋体" w:hAnsi="宋体" w:eastAsia="宋体" w:cs="宋体"/>
                  <w:color w:val="auto"/>
                  <w:kern w:val="0"/>
                  <w:sz w:val="21"/>
                  <w:szCs w:val="21"/>
                  <w:highlight w:val="none"/>
                </w:rPr>
                <w:id w:val="-1513298430"/>
                <w14:checkbox>
                  <w14:checked w14:val="1"/>
                  <w14:checkedState w14:val="00FE" w14:font="Wingdings"/>
                  <w14:uncheckedState w14:val="2610" w14:font="MS Gothic"/>
                </w14:checkbox>
              </w:sdtPr>
              <w:sdtEndPr>
                <w:rPr>
                  <w:rFonts w:hint="eastAsia" w:ascii="宋体" w:hAnsi="宋体" w:eastAsia="宋体" w:cs="宋体"/>
                  <w:color w:val="auto"/>
                  <w:kern w:val="0"/>
                  <w:sz w:val="21"/>
                  <w:szCs w:val="21"/>
                  <w:highlight w:val="none"/>
                </w:rPr>
              </w:sdtEndPr>
              <w:sdtContent>
                <w:bookmarkStart w:id="83" w:name="_GoBack"/>
                <w:r>
                  <w:rPr>
                    <w:rFonts w:hint="eastAsia" w:ascii="宋体" w:hAnsi="宋体" w:eastAsia="宋体" w:cs="宋体"/>
                    <w:color w:val="auto"/>
                    <w:kern w:val="0"/>
                    <w:sz w:val="21"/>
                    <w:szCs w:val="21"/>
                    <w:highlight w:val="none"/>
                  </w:rPr>
                  <w:sym w:font="Wingdings" w:char="F0FE"/>
                </w:r>
                <w:bookmarkEnd w:id="83"/>
              </w:sdtContent>
            </w:sdt>
            <w:r>
              <w:rPr>
                <w:rFonts w:hint="eastAsia" w:ascii="宋体" w:hAnsi="宋体" w:eastAsia="宋体" w:cs="宋体"/>
                <w:color w:val="auto"/>
                <w:kern w:val="0"/>
                <w:sz w:val="21"/>
                <w:szCs w:val="21"/>
                <w:highlight w:val="none"/>
              </w:rPr>
              <w:t>本项目不允许采购进口产品。</w:t>
            </w:r>
          </w:p>
        </w:tc>
      </w:tr>
      <w:tr w14:paraId="4BA55D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17" w:hRule="atLeast"/>
        </w:trPr>
        <w:tc>
          <w:tcPr>
            <w:tcW w:w="629" w:type="dxa"/>
            <w:tcBorders>
              <w:top w:val="single" w:color="auto" w:sz="4" w:space="0"/>
              <w:left w:val="single" w:color="auto" w:sz="4" w:space="0"/>
              <w:bottom w:val="single" w:color="auto" w:sz="4" w:space="0"/>
              <w:right w:val="single" w:color="auto" w:sz="4" w:space="0"/>
            </w:tcBorders>
            <w:vAlign w:val="center"/>
          </w:tcPr>
          <w:p w14:paraId="63A78A14">
            <w:pPr>
              <w:pageBreakBefore w:val="0"/>
              <w:kinsoku/>
              <w:wordWrap/>
              <w:overflowPunct/>
              <w:topLinePunct w:val="0"/>
              <w:bidi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1843" w:type="dxa"/>
            <w:tcBorders>
              <w:top w:val="single" w:color="000000" w:sz="8" w:space="0"/>
              <w:left w:val="single" w:color="auto" w:sz="4" w:space="0"/>
              <w:bottom w:val="single" w:color="000000" w:sz="8" w:space="0"/>
              <w:right w:val="single" w:color="000000" w:sz="8" w:space="0"/>
            </w:tcBorders>
            <w:vAlign w:val="center"/>
          </w:tcPr>
          <w:p w14:paraId="5D0EF44F">
            <w:pPr>
              <w:pageBreakBefore w:val="0"/>
              <w:kinsoku/>
              <w:wordWrap/>
              <w:overflowPunct/>
              <w:topLinePunct w:val="0"/>
              <w:bidi w:val="0"/>
              <w:snapToGrid w:val="0"/>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分包</w:t>
            </w:r>
          </w:p>
        </w:tc>
        <w:tc>
          <w:tcPr>
            <w:tcW w:w="6520" w:type="dxa"/>
            <w:tcBorders>
              <w:top w:val="single" w:color="000000" w:sz="8" w:space="0"/>
              <w:left w:val="single" w:color="000000" w:sz="2" w:space="0"/>
              <w:bottom w:val="single" w:color="000000" w:sz="8" w:space="0"/>
              <w:right w:val="single" w:color="000000" w:sz="8" w:space="0"/>
            </w:tcBorders>
            <w:vAlign w:val="center"/>
          </w:tcPr>
          <w:p w14:paraId="56F98CE4">
            <w:pPr>
              <w:pageBreakBefore w:val="0"/>
              <w:kinsoku/>
              <w:wordWrap/>
              <w:overflowPunct/>
              <w:topLinePunct w:val="0"/>
              <w:bidi w:val="0"/>
              <w:spacing w:line="360" w:lineRule="auto"/>
              <w:rPr>
                <w:rFonts w:hint="eastAsia" w:ascii="宋体" w:hAnsi="宋体" w:eastAsia="宋体" w:cs="宋体"/>
                <w:color w:val="auto"/>
                <w:sz w:val="21"/>
                <w:szCs w:val="21"/>
                <w:highlight w:val="none"/>
              </w:rPr>
            </w:pPr>
            <w:sdt>
              <w:sdtPr>
                <w:rPr>
                  <w:rFonts w:hint="eastAsia" w:ascii="宋体" w:hAnsi="宋体" w:eastAsia="宋体" w:cs="宋体"/>
                  <w:color w:val="auto"/>
                  <w:kern w:val="0"/>
                  <w:sz w:val="21"/>
                  <w:szCs w:val="21"/>
                  <w:highlight w:val="none"/>
                </w:rPr>
                <w:id w:val="-2077805082"/>
                <w14:checkbox>
                  <w14:checked w14:val="1"/>
                  <w14:checkedState w14:val="00FE" w14:font="Wingdings"/>
                  <w14:uncheckedState w14:val="2610" w14:font="MS Gothic"/>
                </w14:checkbox>
              </w:sdtPr>
              <w:sdtEndPr>
                <w:rPr>
                  <w:rFonts w:hint="eastAsia" w:ascii="宋体" w:hAnsi="宋体" w:eastAsia="宋体" w:cs="宋体"/>
                  <w:color w:val="auto"/>
                  <w:kern w:val="0"/>
                  <w:sz w:val="21"/>
                  <w:szCs w:val="21"/>
                  <w:highlight w:val="none"/>
                </w:rPr>
              </w:sdtEndPr>
              <w:sdtContent>
                <w:r>
                  <w:rPr>
                    <w:rFonts w:hint="eastAsia" w:ascii="宋体" w:hAnsi="宋体" w:eastAsia="宋体" w:cs="宋体"/>
                    <w:color w:val="auto"/>
                    <w:kern w:val="0"/>
                    <w:sz w:val="21"/>
                    <w:szCs w:val="21"/>
                    <w:highlight w:val="none"/>
                  </w:rPr>
                  <w:sym w:font="Wingdings" w:char="F0FE"/>
                </w:r>
              </w:sdtContent>
            </w:sdt>
            <w:r>
              <w:rPr>
                <w:rFonts w:hint="eastAsia" w:ascii="宋体" w:hAnsi="宋体" w:eastAsia="宋体" w:cs="宋体"/>
                <w:color w:val="auto"/>
                <w:kern w:val="0"/>
                <w:sz w:val="21"/>
                <w:szCs w:val="21"/>
                <w:highlight w:val="none"/>
              </w:rPr>
              <w:t xml:space="preserve"> </w:t>
            </w:r>
            <w:r>
              <w:rPr>
                <w:rFonts w:hint="eastAsia" w:ascii="宋体" w:hAnsi="宋体" w:eastAsia="宋体" w:cs="宋体"/>
                <w:color w:val="auto"/>
                <w:sz w:val="21"/>
                <w:szCs w:val="21"/>
                <w:highlight w:val="none"/>
              </w:rPr>
              <w:t>不同意分包。</w:t>
            </w:r>
          </w:p>
        </w:tc>
      </w:tr>
      <w:tr w14:paraId="46FC28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110" w:hRule="atLeast"/>
        </w:trPr>
        <w:tc>
          <w:tcPr>
            <w:tcW w:w="629" w:type="dxa"/>
            <w:tcBorders>
              <w:top w:val="single" w:color="auto" w:sz="4" w:space="0"/>
              <w:left w:val="single" w:color="auto" w:sz="4" w:space="0"/>
              <w:bottom w:val="single" w:color="auto" w:sz="4" w:space="0"/>
              <w:right w:val="single" w:color="auto" w:sz="4" w:space="0"/>
            </w:tcBorders>
            <w:vAlign w:val="center"/>
          </w:tcPr>
          <w:p w14:paraId="2409A24B">
            <w:pPr>
              <w:pageBreakBefore w:val="0"/>
              <w:kinsoku/>
              <w:wordWrap/>
              <w:overflowPunct/>
              <w:topLinePunct w:val="0"/>
              <w:bidi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1843" w:type="dxa"/>
            <w:tcBorders>
              <w:top w:val="single" w:color="000000" w:sz="8" w:space="0"/>
              <w:left w:val="single" w:color="auto" w:sz="4" w:space="0"/>
              <w:bottom w:val="single" w:color="000000" w:sz="8" w:space="0"/>
              <w:right w:val="single" w:color="000000" w:sz="8" w:space="0"/>
            </w:tcBorders>
            <w:vAlign w:val="center"/>
          </w:tcPr>
          <w:p w14:paraId="6A06FC45">
            <w:pPr>
              <w:pageBreakBefore w:val="0"/>
              <w:kinsoku/>
              <w:wordWrap/>
              <w:overflowPunct/>
              <w:topLinePunct w:val="0"/>
              <w:bidi w:val="0"/>
              <w:snapToGrid w:val="0"/>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开标前答疑会或现场考察</w:t>
            </w:r>
          </w:p>
        </w:tc>
        <w:tc>
          <w:tcPr>
            <w:tcW w:w="6520" w:type="dxa"/>
            <w:tcBorders>
              <w:top w:val="single" w:color="000000" w:sz="8" w:space="0"/>
              <w:left w:val="single" w:color="000000" w:sz="2" w:space="0"/>
              <w:bottom w:val="single" w:color="000000" w:sz="8" w:space="0"/>
              <w:right w:val="single" w:color="000000" w:sz="8" w:space="0"/>
            </w:tcBorders>
            <w:vAlign w:val="center"/>
          </w:tcPr>
          <w:p w14:paraId="0FF062BE">
            <w:pPr>
              <w:pageBreakBefore w:val="0"/>
              <w:kinsoku/>
              <w:wordWrap/>
              <w:overflowPunct/>
              <w:topLinePunct w:val="0"/>
              <w:bidi w:val="0"/>
              <w:spacing w:line="360" w:lineRule="auto"/>
              <w:rPr>
                <w:rFonts w:hint="eastAsia" w:ascii="宋体" w:hAnsi="宋体" w:eastAsia="宋体" w:cs="宋体"/>
                <w:color w:val="auto"/>
                <w:sz w:val="21"/>
                <w:szCs w:val="21"/>
                <w:highlight w:val="none"/>
              </w:rPr>
            </w:pPr>
            <w:sdt>
              <w:sdtPr>
                <w:rPr>
                  <w:rFonts w:hint="eastAsia" w:ascii="宋体" w:hAnsi="宋体" w:eastAsia="宋体" w:cs="宋体"/>
                  <w:color w:val="auto"/>
                  <w:kern w:val="0"/>
                  <w:sz w:val="21"/>
                  <w:szCs w:val="21"/>
                  <w:highlight w:val="none"/>
                </w:rPr>
                <w:id w:val="71237414"/>
                <w14:checkbox>
                  <w14:checked w14:val="1"/>
                  <w14:checkedState w14:val="00FE" w14:font="Wingdings"/>
                  <w14:uncheckedState w14:val="2610" w14:font="MS Gothic"/>
                </w14:checkbox>
              </w:sdtPr>
              <w:sdtEndPr>
                <w:rPr>
                  <w:rFonts w:hint="eastAsia" w:ascii="宋体" w:hAnsi="宋体" w:eastAsia="宋体" w:cs="宋体"/>
                  <w:color w:val="auto"/>
                  <w:kern w:val="0"/>
                  <w:sz w:val="21"/>
                  <w:szCs w:val="21"/>
                  <w:highlight w:val="none"/>
                </w:rPr>
              </w:sdtEndPr>
              <w:sdtContent>
                <w:r>
                  <w:rPr>
                    <w:rFonts w:hint="eastAsia" w:ascii="宋体" w:hAnsi="宋体" w:eastAsia="宋体" w:cs="宋体"/>
                    <w:color w:val="auto"/>
                    <w:kern w:val="0"/>
                    <w:sz w:val="21"/>
                    <w:szCs w:val="21"/>
                    <w:highlight w:val="none"/>
                  </w:rPr>
                  <w:sym w:font="Wingdings" w:char="F0FE"/>
                </w:r>
              </w:sdtContent>
            </w:sdt>
            <w:r>
              <w:rPr>
                <w:rFonts w:hint="eastAsia" w:ascii="宋体" w:hAnsi="宋体" w:eastAsia="宋体" w:cs="宋体"/>
                <w:color w:val="auto"/>
                <w:kern w:val="0"/>
                <w:sz w:val="21"/>
                <w:szCs w:val="21"/>
                <w:highlight w:val="none"/>
              </w:rPr>
              <w:t>A</w:t>
            </w:r>
            <w:r>
              <w:rPr>
                <w:rFonts w:hint="eastAsia" w:ascii="宋体" w:hAnsi="宋体" w:eastAsia="宋体" w:cs="宋体"/>
                <w:color w:val="auto"/>
                <w:sz w:val="21"/>
                <w:szCs w:val="21"/>
                <w:highlight w:val="none"/>
              </w:rPr>
              <w:t>不组织。</w:t>
            </w:r>
          </w:p>
        </w:tc>
      </w:tr>
      <w:tr w14:paraId="0D055E9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trPr>
        <w:tc>
          <w:tcPr>
            <w:tcW w:w="629" w:type="dxa"/>
            <w:tcBorders>
              <w:top w:val="single" w:color="auto" w:sz="4" w:space="0"/>
              <w:left w:val="single" w:color="auto" w:sz="4" w:space="0"/>
              <w:bottom w:val="single" w:color="auto" w:sz="4" w:space="0"/>
              <w:right w:val="single" w:color="auto" w:sz="4" w:space="0"/>
            </w:tcBorders>
            <w:vAlign w:val="center"/>
          </w:tcPr>
          <w:p w14:paraId="40EA8C48">
            <w:pPr>
              <w:pageBreakBefore w:val="0"/>
              <w:kinsoku/>
              <w:wordWrap/>
              <w:overflowPunct/>
              <w:topLinePunct w:val="0"/>
              <w:bidi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1843" w:type="dxa"/>
            <w:tcBorders>
              <w:top w:val="single" w:color="000000" w:sz="8" w:space="0"/>
              <w:left w:val="single" w:color="auto" w:sz="4" w:space="0"/>
              <w:bottom w:val="single" w:color="000000" w:sz="8" w:space="0"/>
              <w:right w:val="single" w:color="000000" w:sz="8" w:space="0"/>
            </w:tcBorders>
            <w:vAlign w:val="center"/>
          </w:tcPr>
          <w:p w14:paraId="366B7C22">
            <w:pPr>
              <w:pageBreakBefore w:val="0"/>
              <w:kinsoku/>
              <w:wordWrap/>
              <w:overflowPunct/>
              <w:topLinePunct w:val="0"/>
              <w:bidi w:val="0"/>
              <w:snapToGrid w:val="0"/>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样品提供</w:t>
            </w:r>
          </w:p>
        </w:tc>
        <w:tc>
          <w:tcPr>
            <w:tcW w:w="6520" w:type="dxa"/>
            <w:tcBorders>
              <w:top w:val="single" w:color="000000" w:sz="8" w:space="0"/>
              <w:left w:val="single" w:color="000000" w:sz="2" w:space="0"/>
              <w:bottom w:val="single" w:color="000000" w:sz="8" w:space="0"/>
              <w:right w:val="single" w:color="000000" w:sz="8" w:space="0"/>
            </w:tcBorders>
            <w:vAlign w:val="center"/>
          </w:tcPr>
          <w:p w14:paraId="20E4E462">
            <w:pPr>
              <w:pageBreakBefore w:val="0"/>
              <w:kinsoku/>
              <w:wordWrap/>
              <w:overflowPunct/>
              <w:topLinePunct w:val="0"/>
              <w:bidi w:val="0"/>
              <w:spacing w:line="360" w:lineRule="auto"/>
              <w:rPr>
                <w:rFonts w:hint="eastAsia" w:ascii="宋体" w:hAnsi="宋体" w:eastAsia="宋体" w:cs="宋体"/>
                <w:color w:val="auto"/>
                <w:kern w:val="0"/>
                <w:sz w:val="21"/>
                <w:szCs w:val="21"/>
                <w:highlight w:val="none"/>
              </w:rPr>
            </w:pPr>
            <w:r>
              <w:rPr>
                <w:rFonts w:hint="eastAsia" w:ascii="宋体" w:hAnsi="宋体" w:cs="宋体"/>
                <w:color w:val="auto"/>
                <w:kern w:val="0"/>
                <w:sz w:val="21"/>
                <w:szCs w:val="21"/>
                <w:highlight w:val="none"/>
                <w:lang w:val="en-US" w:eastAsia="zh-CN"/>
              </w:rPr>
              <w:t>本项目</w:t>
            </w:r>
            <w:r>
              <w:rPr>
                <w:rFonts w:hint="eastAsia" w:ascii="宋体" w:hAnsi="宋体" w:eastAsia="宋体" w:cs="宋体"/>
                <w:color w:val="auto"/>
                <w:kern w:val="0"/>
                <w:sz w:val="21"/>
                <w:szCs w:val="21"/>
                <w:highlight w:val="none"/>
              </w:rPr>
              <w:t>要求提供</w:t>
            </w:r>
            <w:r>
              <w:rPr>
                <w:rFonts w:hint="eastAsia" w:ascii="宋体" w:hAnsi="宋体" w:cs="宋体"/>
                <w:color w:val="auto"/>
                <w:kern w:val="0"/>
                <w:sz w:val="21"/>
                <w:szCs w:val="21"/>
                <w:highlight w:val="none"/>
                <w:lang w:val="en-US" w:eastAsia="zh-CN"/>
              </w:rPr>
              <w:t>样品。</w:t>
            </w:r>
          </w:p>
          <w:p w14:paraId="4DB94BB6">
            <w:pPr>
              <w:pageBreakBefore w:val="0"/>
              <w:numPr>
                <w:ilvl w:val="0"/>
                <w:numId w:val="0"/>
              </w:numPr>
              <w:kinsoku/>
              <w:wordWrap/>
              <w:overflowPunct/>
              <w:topLinePunct w:val="0"/>
              <w:bidi w:val="0"/>
              <w:spacing w:line="360" w:lineRule="auto"/>
              <w:rPr>
                <w:rFonts w:hint="eastAsia" w:ascii="宋体" w:hAnsi="宋体" w:eastAsia="宋体" w:cs="宋体"/>
                <w:snapToGrid w:val="0"/>
                <w:color w:val="auto"/>
                <w:kern w:val="28"/>
                <w:sz w:val="21"/>
                <w:szCs w:val="21"/>
                <w:highlight w:val="none"/>
                <w:lang w:val="en-US" w:eastAsia="zh-CN"/>
              </w:rPr>
            </w:pPr>
            <w:r>
              <w:rPr>
                <w:rFonts w:hint="eastAsia" w:ascii="宋体" w:hAnsi="宋体" w:eastAsia="宋体" w:cs="宋体"/>
                <w:b/>
                <w:bCs/>
                <w:snapToGrid w:val="0"/>
                <w:color w:val="auto"/>
                <w:kern w:val="28"/>
                <w:sz w:val="21"/>
                <w:szCs w:val="21"/>
                <w:highlight w:val="none"/>
                <w:lang w:val="en-US" w:eastAsia="zh-CN" w:bidi="ar-SA"/>
              </w:rPr>
              <w:t>（1）</w:t>
            </w:r>
            <w:r>
              <w:rPr>
                <w:rFonts w:hint="eastAsia" w:ascii="宋体" w:hAnsi="宋体" w:eastAsia="宋体" w:cs="宋体"/>
                <w:b/>
                <w:bCs/>
                <w:snapToGrid w:val="0"/>
                <w:color w:val="auto"/>
                <w:kern w:val="28"/>
                <w:sz w:val="21"/>
                <w:szCs w:val="21"/>
                <w:highlight w:val="none"/>
              </w:rPr>
              <w:t>样品</w:t>
            </w:r>
            <w:r>
              <w:rPr>
                <w:rFonts w:hint="eastAsia" w:ascii="宋体" w:hAnsi="宋体" w:eastAsia="宋体" w:cs="宋体"/>
                <w:b/>
                <w:bCs/>
                <w:snapToGrid w:val="0"/>
                <w:color w:val="auto"/>
                <w:kern w:val="28"/>
                <w:sz w:val="21"/>
                <w:szCs w:val="21"/>
                <w:highlight w:val="none"/>
                <w:lang w:val="en-US" w:eastAsia="zh-CN"/>
              </w:rPr>
              <w:t>种类及数量</w:t>
            </w:r>
            <w:r>
              <w:rPr>
                <w:rFonts w:hint="eastAsia" w:ascii="宋体" w:hAnsi="宋体" w:eastAsia="宋体" w:cs="宋体"/>
                <w:b/>
                <w:bCs/>
                <w:snapToGrid w:val="0"/>
                <w:color w:val="auto"/>
                <w:kern w:val="28"/>
                <w:sz w:val="21"/>
                <w:szCs w:val="21"/>
                <w:highlight w:val="none"/>
              </w:rPr>
              <w:t>：</w:t>
            </w:r>
            <w:r>
              <w:rPr>
                <w:rFonts w:hint="eastAsia" w:ascii="宋体" w:hAnsi="宋体" w:eastAsia="宋体" w:cs="宋体"/>
                <w:b w:val="0"/>
                <w:bCs w:val="0"/>
                <w:snapToGrid w:val="0"/>
                <w:color w:val="auto"/>
                <w:kern w:val="28"/>
                <w:sz w:val="21"/>
                <w:szCs w:val="21"/>
                <w:highlight w:val="none"/>
              </w:rPr>
              <w:t xml:space="preserve"> </w:t>
            </w:r>
            <w:r>
              <w:rPr>
                <w:rFonts w:hint="eastAsia" w:ascii="宋体" w:hAnsi="宋体" w:cs="宋体"/>
                <w:b w:val="0"/>
                <w:bCs w:val="0"/>
                <w:snapToGrid w:val="0"/>
                <w:color w:val="auto"/>
                <w:kern w:val="28"/>
                <w:sz w:val="21"/>
                <w:szCs w:val="21"/>
                <w:highlight w:val="none"/>
                <w:lang w:val="en-US" w:eastAsia="zh-CN"/>
              </w:rPr>
              <w:t>本次采购项目核心产品为</w:t>
            </w:r>
            <w:r>
              <w:rPr>
                <w:rFonts w:hint="eastAsia" w:ascii="宋体" w:hAnsi="宋体" w:eastAsia="宋体" w:cs="宋体"/>
                <w:b w:val="0"/>
                <w:bCs w:val="0"/>
                <w:snapToGrid w:val="0"/>
                <w:color w:val="auto"/>
                <w:kern w:val="28"/>
                <w:sz w:val="21"/>
                <w:szCs w:val="21"/>
                <w:highlight w:val="none"/>
                <w:lang w:val="en-US" w:eastAsia="zh-CN"/>
              </w:rPr>
              <w:t>比赛垫子(含保护区）（柔道项目）</w:t>
            </w:r>
            <w:r>
              <w:rPr>
                <w:rFonts w:hint="eastAsia" w:ascii="宋体" w:hAnsi="宋体" w:cs="宋体"/>
                <w:b w:val="0"/>
                <w:bCs w:val="0"/>
                <w:snapToGrid w:val="0"/>
                <w:color w:val="auto"/>
                <w:kern w:val="28"/>
                <w:sz w:val="21"/>
                <w:szCs w:val="21"/>
                <w:highlight w:val="none"/>
                <w:lang w:val="en-US" w:eastAsia="zh-CN"/>
              </w:rPr>
              <w:t>，所有参与谈判的供应商必须在响应文件递交截止时间前，提交该核心产品小样。统一规格：</w:t>
            </w:r>
            <w:r>
              <w:rPr>
                <w:rFonts w:hint="eastAsia" w:ascii="宋体" w:hAnsi="宋体" w:eastAsia="宋体" w:cs="宋体"/>
                <w:color w:val="auto"/>
                <w:kern w:val="2"/>
                <w:sz w:val="21"/>
                <w:szCs w:val="21"/>
                <w:highlight w:val="none"/>
                <w:vertAlign w:val="baseline"/>
                <w:lang w:val="en-US" w:eastAsia="zh-CN" w:bidi="ar-SA"/>
              </w:rPr>
              <w:t>规格20cm×20cm，包括柔道布、柔性层及防滑层</w:t>
            </w:r>
            <w:r>
              <w:rPr>
                <w:rFonts w:hint="eastAsia" w:ascii="宋体" w:hAnsi="宋体" w:cs="宋体"/>
                <w:b w:val="0"/>
                <w:bCs w:val="0"/>
                <w:snapToGrid w:val="0"/>
                <w:color w:val="auto"/>
                <w:kern w:val="28"/>
                <w:sz w:val="21"/>
                <w:szCs w:val="21"/>
                <w:highlight w:val="none"/>
                <w:lang w:val="en-US" w:eastAsia="zh-CN"/>
              </w:rPr>
              <w:t>，数量：一式2份，密封，</w:t>
            </w:r>
            <w:r>
              <w:rPr>
                <w:rFonts w:hint="eastAsia" w:ascii="宋体" w:hAnsi="宋体" w:eastAsia="宋体" w:cs="宋体"/>
                <w:snapToGrid w:val="0"/>
                <w:color w:val="auto"/>
                <w:kern w:val="28"/>
                <w:sz w:val="21"/>
                <w:szCs w:val="21"/>
                <w:highlight w:val="none"/>
                <w:lang w:val="en-US" w:eastAsia="zh-CN"/>
              </w:rPr>
              <w:t>以邮寄或现场递交的方式，于响应文件递交截止时间前分别递交至评审主场及评审副场。未按要求提交样品、样品参数不达标、样品缺失或逾期提交的，将被认定为无效</w:t>
            </w:r>
            <w:r>
              <w:rPr>
                <w:rFonts w:hint="eastAsia" w:ascii="宋体" w:hAnsi="宋体" w:cs="宋体"/>
                <w:snapToGrid w:val="0"/>
                <w:color w:val="auto"/>
                <w:kern w:val="28"/>
                <w:sz w:val="21"/>
                <w:szCs w:val="21"/>
                <w:highlight w:val="none"/>
                <w:lang w:val="en-US" w:eastAsia="zh-CN"/>
              </w:rPr>
              <w:t>响应</w:t>
            </w:r>
            <w:r>
              <w:rPr>
                <w:rFonts w:hint="eastAsia" w:ascii="宋体" w:hAnsi="宋体" w:eastAsia="宋体" w:cs="宋体"/>
                <w:snapToGrid w:val="0"/>
                <w:color w:val="auto"/>
                <w:kern w:val="28"/>
                <w:sz w:val="21"/>
                <w:szCs w:val="21"/>
                <w:highlight w:val="none"/>
                <w:lang w:val="en-US" w:eastAsia="zh-CN"/>
              </w:rPr>
              <w:t>。</w:t>
            </w:r>
          </w:p>
          <w:p w14:paraId="743C4E84">
            <w:pPr>
              <w:pageBreakBefore w:val="0"/>
              <w:kinsoku/>
              <w:wordWrap/>
              <w:overflowPunct/>
              <w:topLinePunct w:val="0"/>
              <w:bidi w:val="0"/>
              <w:spacing w:line="360" w:lineRule="auto"/>
              <w:rPr>
                <w:rFonts w:hint="eastAsia" w:ascii="宋体" w:hAnsi="宋体" w:eastAsia="宋体" w:cs="宋体"/>
                <w:b/>
                <w:bCs/>
                <w:snapToGrid w:val="0"/>
                <w:color w:val="auto"/>
                <w:kern w:val="28"/>
                <w:sz w:val="21"/>
                <w:szCs w:val="21"/>
                <w:highlight w:val="none"/>
              </w:rPr>
            </w:pPr>
            <w:r>
              <w:rPr>
                <w:rFonts w:hint="eastAsia" w:ascii="宋体" w:hAnsi="宋体" w:eastAsia="宋体" w:cs="宋体"/>
                <w:b/>
                <w:bCs/>
                <w:color w:val="auto"/>
                <w:kern w:val="0"/>
                <w:sz w:val="21"/>
                <w:szCs w:val="21"/>
                <w:highlight w:val="none"/>
              </w:rPr>
              <w:t>（2）</w:t>
            </w:r>
            <w:r>
              <w:rPr>
                <w:rFonts w:hint="eastAsia" w:ascii="宋体" w:hAnsi="宋体" w:eastAsia="宋体" w:cs="宋体"/>
                <w:b/>
                <w:bCs/>
                <w:snapToGrid w:val="0"/>
                <w:color w:val="auto"/>
                <w:kern w:val="28"/>
                <w:sz w:val="21"/>
                <w:szCs w:val="21"/>
                <w:highlight w:val="none"/>
              </w:rPr>
              <w:t>样品制作的标准和要求：</w:t>
            </w:r>
          </w:p>
          <w:p w14:paraId="247DFF91">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eastAsia" w:ascii="宋体" w:hAnsi="宋体" w:eastAsia="宋体" w:cs="宋体"/>
                <w:snapToGrid w:val="0"/>
                <w:color w:val="auto"/>
                <w:kern w:val="28"/>
                <w:sz w:val="21"/>
                <w:szCs w:val="21"/>
                <w:highlight w:val="none"/>
                <w:lang w:val="en-US" w:eastAsia="zh-CN"/>
              </w:rPr>
            </w:pPr>
            <w:r>
              <w:rPr>
                <w:rFonts w:hint="eastAsia" w:ascii="宋体" w:hAnsi="宋体" w:eastAsia="宋体" w:cs="宋体"/>
                <w:snapToGrid w:val="0"/>
                <w:color w:val="auto"/>
                <w:kern w:val="28"/>
                <w:sz w:val="21"/>
                <w:szCs w:val="21"/>
                <w:highlight w:val="none"/>
                <w:lang w:val="en-US" w:eastAsia="zh-CN"/>
              </w:rPr>
              <w:t>①样品需完整对应成品各层级结构，不得裁剪单一材质层，需完整呈现产品</w:t>
            </w:r>
            <w:r>
              <w:rPr>
                <w:rFonts w:hint="eastAsia" w:ascii="宋体" w:hAnsi="宋体" w:cs="宋体"/>
                <w:snapToGrid w:val="0"/>
                <w:color w:val="auto"/>
                <w:kern w:val="28"/>
                <w:sz w:val="21"/>
                <w:szCs w:val="21"/>
                <w:highlight w:val="none"/>
                <w:lang w:val="en-US" w:eastAsia="zh-CN"/>
              </w:rPr>
              <w:t>上</w:t>
            </w:r>
            <w:r>
              <w:rPr>
                <w:rFonts w:hint="eastAsia" w:ascii="宋体" w:hAnsi="宋体" w:eastAsia="宋体" w:cs="宋体"/>
                <w:snapToGrid w:val="0"/>
                <w:color w:val="auto"/>
                <w:kern w:val="28"/>
                <w:sz w:val="21"/>
                <w:szCs w:val="21"/>
                <w:highlight w:val="none"/>
                <w:lang w:val="en-US" w:eastAsia="zh-CN"/>
              </w:rPr>
              <w:t>表层</w:t>
            </w:r>
            <w:r>
              <w:rPr>
                <w:rFonts w:hint="eastAsia" w:ascii="宋体" w:hAnsi="宋体" w:cs="宋体"/>
                <w:snapToGrid w:val="0"/>
                <w:color w:val="auto"/>
                <w:kern w:val="28"/>
                <w:sz w:val="21"/>
                <w:szCs w:val="21"/>
                <w:highlight w:val="none"/>
                <w:lang w:val="en-US" w:eastAsia="zh-CN"/>
              </w:rPr>
              <w:t>，内胎上层、</w:t>
            </w:r>
            <w:r>
              <w:rPr>
                <w:rFonts w:hint="eastAsia" w:ascii="宋体" w:hAnsi="宋体" w:eastAsia="宋体" w:cs="宋体"/>
                <w:snapToGrid w:val="0"/>
                <w:color w:val="auto"/>
                <w:kern w:val="28"/>
                <w:sz w:val="21"/>
                <w:szCs w:val="21"/>
                <w:highlight w:val="none"/>
                <w:lang w:val="en-US" w:eastAsia="zh-CN"/>
              </w:rPr>
              <w:t>中层</w:t>
            </w:r>
            <w:r>
              <w:rPr>
                <w:rFonts w:hint="eastAsia" w:ascii="宋体" w:hAnsi="宋体" w:cs="宋体"/>
                <w:snapToGrid w:val="0"/>
                <w:color w:val="auto"/>
                <w:kern w:val="28"/>
                <w:sz w:val="21"/>
                <w:szCs w:val="21"/>
                <w:highlight w:val="none"/>
                <w:lang w:val="en-US" w:eastAsia="zh-CN"/>
              </w:rPr>
              <w:t>、下层，以及底部的全部</w:t>
            </w:r>
            <w:r>
              <w:rPr>
                <w:rFonts w:hint="eastAsia" w:ascii="宋体" w:hAnsi="宋体" w:eastAsia="宋体" w:cs="宋体"/>
                <w:snapToGrid w:val="0"/>
                <w:color w:val="auto"/>
                <w:kern w:val="28"/>
                <w:sz w:val="21"/>
                <w:szCs w:val="21"/>
                <w:highlight w:val="none"/>
                <w:lang w:val="en-US" w:eastAsia="zh-CN"/>
              </w:rPr>
              <w:t>结构。</w:t>
            </w:r>
          </w:p>
          <w:p w14:paraId="7CF49B68">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eastAsia" w:ascii="宋体" w:hAnsi="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②样品表面平整、无破损、无翘曲、无污渍、无明显色差，边缘切割整齐，结构分层清晰，无脱层、开裂、变形等质量缺陷，完全模拟成品生产工艺及材质配比。</w:t>
            </w:r>
          </w:p>
          <w:p w14:paraId="0BBAEEE1">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default" w:ascii="宋体" w:hAnsi="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③所有技术参数、材质性能、工艺标准必须完全匹配采购需求中柔道比赛垫子（含保护区）的全部技术指标，具体要求详见采购需求，所有指标需100%达标，无偏差、无降级；</w:t>
            </w:r>
          </w:p>
          <w:p w14:paraId="600AFE71">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cs="宋体"/>
                <w:snapToGrid w:val="0"/>
                <w:color w:val="auto"/>
                <w:kern w:val="28"/>
                <w:sz w:val="21"/>
                <w:szCs w:val="21"/>
                <w:highlight w:val="none"/>
                <w:lang w:val="en-US" w:eastAsia="zh-CN"/>
              </w:rPr>
              <w:t>④随样品</w:t>
            </w:r>
            <w:r>
              <w:rPr>
                <w:rFonts w:hint="eastAsia" w:ascii="宋体" w:hAnsi="宋体" w:cs="宋体"/>
                <w:color w:val="auto"/>
                <w:sz w:val="21"/>
                <w:szCs w:val="21"/>
                <w:highlight w:val="none"/>
                <w:u w:val="none"/>
                <w:vertAlign w:val="baseline"/>
                <w:lang w:val="en-US" w:eastAsia="zh-CN"/>
              </w:rPr>
              <w:t>配备</w:t>
            </w:r>
            <w:r>
              <w:rPr>
                <w:rFonts w:hint="eastAsia" w:ascii="宋体" w:hAnsi="宋体" w:eastAsia="宋体" w:cs="宋体"/>
                <w:color w:val="auto"/>
                <w:sz w:val="21"/>
                <w:szCs w:val="21"/>
                <w:highlight w:val="none"/>
                <w:u w:val="none"/>
                <w:lang w:val="en-US" w:eastAsia="zh-CN"/>
              </w:rPr>
              <w:t>第三方检测机构出具的</w:t>
            </w:r>
            <w:r>
              <w:rPr>
                <w:rFonts w:hint="eastAsia" w:ascii="宋体" w:hAnsi="宋体" w:cs="宋体"/>
                <w:color w:val="auto"/>
                <w:sz w:val="21"/>
                <w:szCs w:val="21"/>
                <w:highlight w:val="none"/>
                <w:u w:val="none"/>
                <w:lang w:val="en-US" w:eastAsia="zh-CN"/>
              </w:rPr>
              <w:t>产品</w:t>
            </w:r>
            <w:r>
              <w:rPr>
                <w:rFonts w:hint="eastAsia" w:ascii="宋体" w:hAnsi="宋体" w:eastAsia="宋体" w:cs="宋体"/>
                <w:color w:val="auto"/>
                <w:sz w:val="21"/>
                <w:szCs w:val="21"/>
                <w:highlight w:val="none"/>
                <w:u w:val="none"/>
                <w:lang w:val="en-US" w:eastAsia="zh-CN"/>
              </w:rPr>
              <w:t>检测报告</w:t>
            </w:r>
            <w:r>
              <w:rPr>
                <w:rFonts w:hint="eastAsia" w:ascii="宋体" w:hAnsi="宋体" w:eastAsia="宋体" w:cs="宋体"/>
                <w:color w:val="auto"/>
                <w:sz w:val="21"/>
                <w:szCs w:val="21"/>
                <w:highlight w:val="none"/>
                <w:u w:val="none"/>
                <w:vertAlign w:val="baseline"/>
                <w:lang w:val="en-US" w:eastAsia="zh-CN"/>
              </w:rPr>
              <w:t>，并加盖供应商公章；</w:t>
            </w:r>
          </w:p>
          <w:p w14:paraId="17B47E07">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⑤</w:t>
            </w:r>
            <w:r>
              <w:rPr>
                <w:rFonts w:hint="eastAsia" w:ascii="宋体" w:hAnsi="宋体" w:eastAsia="宋体" w:cs="宋体"/>
                <w:color w:val="auto"/>
                <w:sz w:val="21"/>
                <w:szCs w:val="21"/>
                <w:highlight w:val="none"/>
                <w:u w:val="none"/>
                <w:vertAlign w:val="baseline"/>
                <w:lang w:val="en-US" w:eastAsia="zh-CN"/>
              </w:rPr>
              <w:t>样品需张贴标签，标注项目名称、供应商名称、样品</w:t>
            </w:r>
            <w:r>
              <w:rPr>
                <w:rFonts w:hint="eastAsia" w:ascii="宋体" w:hAnsi="宋体" w:cs="宋体"/>
                <w:color w:val="auto"/>
                <w:sz w:val="21"/>
                <w:szCs w:val="21"/>
                <w:highlight w:val="none"/>
                <w:u w:val="none"/>
                <w:vertAlign w:val="baseline"/>
                <w:lang w:val="en-US" w:eastAsia="zh-CN"/>
              </w:rPr>
              <w:t>品类等</w:t>
            </w:r>
            <w:r>
              <w:rPr>
                <w:rFonts w:hint="eastAsia" w:ascii="宋体" w:hAnsi="宋体" w:eastAsia="宋体" w:cs="宋体"/>
                <w:color w:val="auto"/>
                <w:sz w:val="21"/>
                <w:szCs w:val="21"/>
                <w:highlight w:val="none"/>
                <w:u w:val="none"/>
                <w:vertAlign w:val="baseline"/>
                <w:lang w:val="en-US" w:eastAsia="zh-CN"/>
              </w:rPr>
              <w:t>说明；</w:t>
            </w:r>
          </w:p>
          <w:p w14:paraId="7E715ADB">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⑥</w:t>
            </w:r>
            <w:r>
              <w:rPr>
                <w:rFonts w:hint="eastAsia" w:ascii="宋体" w:hAnsi="宋体" w:eastAsia="宋体" w:cs="宋体"/>
                <w:color w:val="auto"/>
                <w:sz w:val="21"/>
                <w:szCs w:val="21"/>
                <w:highlight w:val="none"/>
                <w:u w:val="none"/>
                <w:vertAlign w:val="baseline"/>
                <w:lang w:val="en-US" w:eastAsia="zh-CN"/>
              </w:rPr>
              <w:t>所有样品需无偿提交采购人，评审结束后采购人统一留存归档，不予退还。</w:t>
            </w:r>
          </w:p>
          <w:p w14:paraId="668504B4">
            <w:pPr>
              <w:pageBreakBefore w:val="0"/>
              <w:numPr>
                <w:ilvl w:val="0"/>
                <w:numId w:val="0"/>
              </w:numPr>
              <w:kinsoku/>
              <w:wordWrap/>
              <w:overflowPunct/>
              <w:topLinePunct w:val="0"/>
              <w:bidi w:val="0"/>
              <w:spacing w:line="360" w:lineRule="auto"/>
              <w:rPr>
                <w:rFonts w:hint="eastAsia" w:ascii="宋体" w:hAnsi="宋体" w:eastAsia="宋体" w:cs="宋体"/>
                <w:b/>
                <w:bCs/>
                <w:snapToGrid w:val="0"/>
                <w:color w:val="auto"/>
                <w:kern w:val="28"/>
                <w:sz w:val="21"/>
                <w:szCs w:val="21"/>
                <w:highlight w:val="none"/>
              </w:rPr>
            </w:pPr>
            <w:r>
              <w:rPr>
                <w:rFonts w:hint="eastAsia" w:ascii="宋体" w:hAnsi="宋体" w:eastAsia="宋体" w:cs="宋体"/>
                <w:b/>
                <w:bCs/>
                <w:snapToGrid w:val="0"/>
                <w:color w:val="auto"/>
                <w:kern w:val="28"/>
                <w:sz w:val="21"/>
                <w:szCs w:val="21"/>
                <w:highlight w:val="none"/>
                <w:lang w:val="en-US" w:eastAsia="zh-CN" w:bidi="ar-SA"/>
              </w:rPr>
              <w:t>（3）</w:t>
            </w:r>
            <w:r>
              <w:rPr>
                <w:rFonts w:hint="eastAsia" w:ascii="宋体" w:hAnsi="宋体" w:eastAsia="宋体" w:cs="宋体"/>
                <w:b/>
                <w:bCs/>
                <w:color w:val="auto"/>
                <w:kern w:val="0"/>
                <w:sz w:val="21"/>
                <w:szCs w:val="21"/>
                <w:highlight w:val="none"/>
              </w:rPr>
              <w:t>样品的评审方法以及评审标准</w:t>
            </w:r>
            <w:r>
              <w:rPr>
                <w:rFonts w:hint="eastAsia" w:ascii="宋体" w:hAnsi="宋体" w:eastAsia="宋体" w:cs="宋体"/>
                <w:b/>
                <w:bCs/>
                <w:snapToGrid w:val="0"/>
                <w:color w:val="auto"/>
                <w:kern w:val="28"/>
                <w:sz w:val="21"/>
                <w:szCs w:val="21"/>
                <w:highlight w:val="none"/>
              </w:rPr>
              <w:t>：</w:t>
            </w:r>
          </w:p>
          <w:p w14:paraId="4A7E36D9">
            <w:pPr>
              <w:pageBreakBefore w:val="0"/>
              <w:numPr>
                <w:ilvl w:val="0"/>
                <w:numId w:val="0"/>
              </w:numPr>
              <w:kinsoku/>
              <w:wordWrap/>
              <w:overflowPunct/>
              <w:topLinePunct w:val="0"/>
              <w:bidi w:val="0"/>
              <w:spacing w:line="360" w:lineRule="auto"/>
              <w:ind w:firstLine="420" w:firstLineChars="200"/>
              <w:rPr>
                <w:rFonts w:hint="eastAsia" w:ascii="宋体" w:hAnsi="宋体" w:eastAsia="宋体" w:cs="宋体"/>
                <w:snapToGrid w:val="0"/>
                <w:color w:val="auto"/>
                <w:kern w:val="28"/>
                <w:sz w:val="21"/>
                <w:szCs w:val="21"/>
                <w:highlight w:val="none"/>
              </w:rPr>
            </w:pPr>
            <w:r>
              <w:rPr>
                <w:rFonts w:hint="eastAsia" w:ascii="宋体" w:hAnsi="宋体" w:eastAsia="宋体" w:cs="宋体"/>
                <w:snapToGrid w:val="0"/>
                <w:color w:val="auto"/>
                <w:kern w:val="28"/>
                <w:sz w:val="21"/>
                <w:szCs w:val="21"/>
                <w:highlight w:val="none"/>
                <w:lang w:val="en-US" w:eastAsia="zh-CN"/>
              </w:rPr>
              <w:t>①样品规格尺寸精准、结构分层完整、无破损变形、工艺规整</w:t>
            </w:r>
            <w:r>
              <w:rPr>
                <w:rFonts w:hint="eastAsia" w:ascii="宋体" w:hAnsi="宋体" w:eastAsia="宋体" w:cs="宋体"/>
                <w:snapToGrid w:val="0"/>
                <w:color w:val="auto"/>
                <w:kern w:val="28"/>
                <w:sz w:val="21"/>
                <w:szCs w:val="21"/>
                <w:highlight w:val="none"/>
              </w:rPr>
              <w:t>；</w:t>
            </w:r>
          </w:p>
          <w:p w14:paraId="23562E8D">
            <w:pPr>
              <w:pageBreakBefore w:val="0"/>
              <w:kinsoku/>
              <w:wordWrap/>
              <w:overflowPunct/>
              <w:topLinePunct w:val="0"/>
              <w:bidi w:val="0"/>
              <w:spacing w:line="360" w:lineRule="auto"/>
              <w:ind w:firstLine="420" w:firstLineChars="200"/>
              <w:rPr>
                <w:rFonts w:hint="eastAsia" w:ascii="宋体" w:hAnsi="宋体" w:eastAsia="宋体" w:cs="宋体"/>
                <w:snapToGrid w:val="0"/>
                <w:color w:val="auto"/>
                <w:kern w:val="28"/>
                <w:sz w:val="21"/>
                <w:szCs w:val="21"/>
                <w:highlight w:val="none"/>
              </w:rPr>
            </w:pPr>
            <w:r>
              <w:rPr>
                <w:rFonts w:hint="eastAsia" w:ascii="宋体" w:hAnsi="宋体" w:eastAsia="宋体" w:cs="宋体"/>
                <w:snapToGrid w:val="0"/>
                <w:color w:val="auto"/>
                <w:kern w:val="28"/>
                <w:sz w:val="21"/>
                <w:szCs w:val="21"/>
                <w:highlight w:val="none"/>
                <w:lang w:val="en-US" w:eastAsia="zh-CN"/>
              </w:rPr>
              <w:t>②对照采购需求全部技术参数，逐项核验样品材质、密度、拉伸、撕裂、伸长率等核心指标，全部达标</w:t>
            </w:r>
            <w:r>
              <w:rPr>
                <w:rFonts w:hint="eastAsia" w:ascii="宋体" w:hAnsi="宋体" w:eastAsia="宋体" w:cs="宋体"/>
                <w:snapToGrid w:val="0"/>
                <w:color w:val="auto"/>
                <w:kern w:val="28"/>
                <w:sz w:val="21"/>
                <w:szCs w:val="21"/>
                <w:highlight w:val="none"/>
              </w:rPr>
              <w:t>；</w:t>
            </w:r>
          </w:p>
          <w:p w14:paraId="56D1025B">
            <w:pPr>
              <w:pageBreakBefore w:val="0"/>
              <w:kinsoku/>
              <w:wordWrap/>
              <w:overflowPunct/>
              <w:topLinePunct w:val="0"/>
              <w:bidi w:val="0"/>
              <w:spacing w:line="360" w:lineRule="auto"/>
              <w:ind w:firstLine="420" w:firstLineChars="200"/>
              <w:rPr>
                <w:rFonts w:hint="eastAsia" w:ascii="宋体" w:hAnsi="宋体" w:eastAsia="宋体" w:cs="宋体"/>
                <w:snapToGrid w:val="0"/>
                <w:color w:val="auto"/>
                <w:kern w:val="28"/>
                <w:sz w:val="21"/>
                <w:szCs w:val="21"/>
                <w:highlight w:val="none"/>
              </w:rPr>
            </w:pPr>
            <w:r>
              <w:rPr>
                <w:rFonts w:hint="eastAsia" w:ascii="宋体" w:hAnsi="宋体" w:eastAsia="宋体" w:cs="宋体"/>
                <w:snapToGrid w:val="0"/>
                <w:color w:val="auto"/>
                <w:kern w:val="28"/>
                <w:sz w:val="21"/>
                <w:szCs w:val="21"/>
                <w:highlight w:val="none"/>
                <w:lang w:val="en-US" w:eastAsia="zh-CN"/>
              </w:rPr>
              <w:t>③样品减震、回弹、刚度、摩擦系数、耐折度、环保性能等全部符合国标及柔联标准</w:t>
            </w:r>
            <w:r>
              <w:rPr>
                <w:rFonts w:hint="eastAsia" w:ascii="宋体" w:hAnsi="宋体" w:eastAsia="宋体" w:cs="宋体"/>
                <w:snapToGrid w:val="0"/>
                <w:color w:val="auto"/>
                <w:kern w:val="28"/>
                <w:sz w:val="21"/>
                <w:szCs w:val="21"/>
                <w:highlight w:val="none"/>
              </w:rPr>
              <w:t>；</w:t>
            </w:r>
          </w:p>
          <w:p w14:paraId="1FDB1CFA">
            <w:pPr>
              <w:pageBreakBefore w:val="0"/>
              <w:kinsoku/>
              <w:wordWrap/>
              <w:overflowPunct/>
              <w:topLinePunct w:val="0"/>
              <w:bidi w:val="0"/>
              <w:spacing w:line="360" w:lineRule="auto"/>
              <w:ind w:firstLine="420" w:firstLineChars="200"/>
              <w:rPr>
                <w:rFonts w:hint="eastAsia" w:ascii="宋体" w:hAnsi="宋体" w:eastAsia="宋体" w:cs="宋体"/>
                <w:snapToGrid w:val="0"/>
                <w:color w:val="auto"/>
                <w:kern w:val="28"/>
                <w:sz w:val="21"/>
                <w:szCs w:val="21"/>
                <w:highlight w:val="none"/>
              </w:rPr>
            </w:pPr>
            <w:r>
              <w:rPr>
                <w:rFonts w:hint="eastAsia" w:ascii="宋体" w:hAnsi="宋体" w:eastAsia="宋体" w:cs="宋体"/>
                <w:snapToGrid w:val="0"/>
                <w:color w:val="auto"/>
                <w:kern w:val="28"/>
                <w:sz w:val="21"/>
                <w:szCs w:val="21"/>
                <w:highlight w:val="none"/>
                <w:lang w:val="en-US" w:eastAsia="zh-CN"/>
              </w:rPr>
              <w:t>④检测项目完整、参数对应精准</w:t>
            </w:r>
            <w:r>
              <w:rPr>
                <w:rFonts w:hint="eastAsia" w:ascii="宋体" w:hAnsi="宋体" w:cs="宋体"/>
                <w:snapToGrid w:val="0"/>
                <w:color w:val="auto"/>
                <w:kern w:val="28"/>
                <w:sz w:val="21"/>
                <w:szCs w:val="21"/>
                <w:highlight w:val="none"/>
                <w:lang w:val="en-US" w:eastAsia="zh-CN"/>
              </w:rPr>
              <w:t>，没有项目漏项、参数不符。</w:t>
            </w:r>
          </w:p>
          <w:p w14:paraId="16319CDE">
            <w:pPr>
              <w:pageBreakBefore w:val="0"/>
              <w:numPr>
                <w:ilvl w:val="0"/>
                <w:numId w:val="0"/>
              </w:numPr>
              <w:kinsoku/>
              <w:wordWrap/>
              <w:overflowPunct/>
              <w:topLinePunct w:val="0"/>
              <w:bidi w:val="0"/>
              <w:spacing w:line="360" w:lineRule="auto"/>
              <w:ind w:firstLine="422" w:firstLineChars="200"/>
              <w:rPr>
                <w:rFonts w:hint="eastAsia" w:ascii="宋体" w:hAnsi="宋体" w:eastAsia="宋体" w:cs="宋体"/>
                <w:color w:val="auto"/>
                <w:kern w:val="0"/>
                <w:sz w:val="21"/>
                <w:szCs w:val="21"/>
                <w:highlight w:val="none"/>
              </w:rPr>
            </w:pPr>
            <w:r>
              <w:rPr>
                <w:rFonts w:hint="eastAsia" w:ascii="宋体" w:hAnsi="宋体" w:eastAsia="宋体" w:cs="宋体"/>
                <w:b/>
                <w:bCs/>
                <w:color w:val="auto"/>
                <w:kern w:val="0"/>
                <w:sz w:val="21"/>
                <w:szCs w:val="21"/>
                <w:highlight w:val="none"/>
                <w:lang w:val="en-US" w:eastAsia="zh-CN" w:bidi="ar-SA"/>
              </w:rPr>
              <w:t>（4）</w:t>
            </w:r>
            <w:r>
              <w:rPr>
                <w:rFonts w:hint="eastAsia" w:ascii="宋体" w:hAnsi="宋体" w:eastAsia="宋体" w:cs="宋体"/>
                <w:b/>
                <w:bCs/>
                <w:color w:val="auto"/>
                <w:kern w:val="0"/>
                <w:sz w:val="21"/>
                <w:szCs w:val="21"/>
                <w:highlight w:val="none"/>
              </w:rPr>
              <w:t>需要随样品提交检测报告：</w:t>
            </w:r>
            <w:r>
              <w:rPr>
                <w:rFonts w:hint="eastAsia" w:ascii="宋体" w:hAnsi="宋体" w:cs="宋体"/>
                <w:color w:val="auto"/>
                <w:kern w:val="0"/>
                <w:sz w:val="21"/>
                <w:szCs w:val="21"/>
                <w:highlight w:val="none"/>
                <w:lang w:val="en-US" w:eastAsia="zh-CN"/>
              </w:rPr>
              <w:t>由</w:t>
            </w:r>
            <w:r>
              <w:rPr>
                <w:rFonts w:hint="eastAsia" w:ascii="宋体" w:hAnsi="宋体" w:eastAsia="宋体" w:cs="宋体"/>
                <w:color w:val="auto"/>
                <w:sz w:val="21"/>
                <w:szCs w:val="21"/>
                <w:highlight w:val="none"/>
              </w:rPr>
              <w:t>第三方检测机构出具的检测报告，并加盖供应商公章</w:t>
            </w:r>
            <w:r>
              <w:rPr>
                <w:rFonts w:hint="eastAsia" w:ascii="宋体" w:hAnsi="宋体" w:cs="宋体"/>
                <w:color w:val="auto"/>
                <w:sz w:val="21"/>
                <w:szCs w:val="21"/>
                <w:highlight w:val="none"/>
                <w:lang w:eastAsia="zh-CN"/>
              </w:rPr>
              <w:t>。</w:t>
            </w:r>
            <w:r>
              <w:rPr>
                <w:rFonts w:hint="eastAsia" w:ascii="宋体" w:hAnsi="宋体" w:eastAsia="宋体" w:cs="宋体"/>
                <w:color w:val="auto"/>
                <w:kern w:val="0"/>
                <w:sz w:val="21"/>
                <w:szCs w:val="21"/>
                <w:highlight w:val="none"/>
              </w:rPr>
              <w:t>检测内容需覆盖</w:t>
            </w:r>
            <w:r>
              <w:rPr>
                <w:rFonts w:hint="eastAsia" w:ascii="宋体" w:hAnsi="宋体" w:cs="宋体"/>
                <w:color w:val="auto"/>
                <w:kern w:val="0"/>
                <w:sz w:val="21"/>
                <w:szCs w:val="21"/>
                <w:highlight w:val="none"/>
                <w:lang w:val="en-US" w:eastAsia="zh-CN"/>
              </w:rPr>
              <w:t>本项目采购需求所列明</w:t>
            </w:r>
            <w:r>
              <w:rPr>
                <w:rFonts w:hint="eastAsia" w:ascii="宋体" w:hAnsi="宋体" w:eastAsia="宋体" w:cs="宋体"/>
                <w:color w:val="auto"/>
                <w:kern w:val="0"/>
                <w:sz w:val="21"/>
                <w:szCs w:val="21"/>
                <w:highlight w:val="none"/>
              </w:rPr>
              <w:t>的全部</w:t>
            </w:r>
            <w:r>
              <w:rPr>
                <w:rFonts w:hint="eastAsia" w:ascii="宋体" w:hAnsi="宋体" w:cs="宋体"/>
                <w:color w:val="auto"/>
                <w:kern w:val="0"/>
                <w:sz w:val="21"/>
                <w:szCs w:val="21"/>
                <w:highlight w:val="none"/>
                <w:lang w:val="en-US" w:eastAsia="zh-CN"/>
              </w:rPr>
              <w:t>产品</w:t>
            </w:r>
            <w:r>
              <w:rPr>
                <w:rFonts w:hint="eastAsia" w:ascii="宋体" w:hAnsi="宋体" w:eastAsia="宋体" w:cs="宋体"/>
                <w:color w:val="auto"/>
                <w:kern w:val="0"/>
                <w:sz w:val="21"/>
                <w:szCs w:val="21"/>
                <w:highlight w:val="none"/>
              </w:rPr>
              <w:t>技术性能指标，包含材质参数、物理性能、冲击性能、环保性能等，不得缺项、漏项。</w:t>
            </w:r>
            <w:r>
              <w:rPr>
                <w:rFonts w:hint="eastAsia" w:ascii="宋体" w:hAnsi="宋体" w:eastAsia="宋体" w:cs="宋体"/>
                <w:color w:val="auto"/>
                <w:kern w:val="2"/>
                <w:sz w:val="21"/>
                <w:szCs w:val="21"/>
                <w:highlight w:val="none"/>
                <w:vertAlign w:val="baseline"/>
                <w:lang w:val="en-US" w:eastAsia="zh-CN" w:bidi="ar-SA"/>
              </w:rPr>
              <w:t>环保性能指标须达到GB/T 30419、GB/T 36793合格标准</w:t>
            </w:r>
            <w:r>
              <w:rPr>
                <w:rFonts w:hint="eastAsia" w:ascii="宋体" w:hAnsi="宋体" w:cs="宋体"/>
                <w:color w:val="auto"/>
                <w:kern w:val="2"/>
                <w:sz w:val="21"/>
                <w:szCs w:val="21"/>
                <w:highlight w:val="none"/>
                <w:vertAlign w:val="baseline"/>
                <w:lang w:val="en-US" w:eastAsia="zh-CN" w:bidi="ar-SA"/>
              </w:rPr>
              <w:t>。</w:t>
            </w:r>
          </w:p>
          <w:p w14:paraId="258DCD1D">
            <w:pPr>
              <w:pageBreakBefore w:val="0"/>
              <w:numPr>
                <w:ilvl w:val="0"/>
                <w:numId w:val="0"/>
              </w:numPr>
              <w:kinsoku/>
              <w:wordWrap/>
              <w:overflowPunct/>
              <w:topLinePunct w:val="0"/>
              <w:bidi w:val="0"/>
              <w:spacing w:line="360" w:lineRule="auto"/>
              <w:rPr>
                <w:rFonts w:hint="eastAsia" w:ascii="宋体" w:hAnsi="宋体" w:eastAsia="宋体" w:cs="宋体"/>
                <w:color w:val="auto"/>
                <w:kern w:val="0"/>
                <w:sz w:val="21"/>
                <w:szCs w:val="21"/>
                <w:highlight w:val="none"/>
              </w:rPr>
            </w:pPr>
            <w:r>
              <w:rPr>
                <w:rFonts w:hint="eastAsia" w:ascii="宋体" w:hAnsi="宋体" w:cs="宋体"/>
                <w:b/>
                <w:bCs/>
                <w:color w:val="auto"/>
                <w:kern w:val="0"/>
                <w:sz w:val="21"/>
                <w:szCs w:val="21"/>
                <w:highlight w:val="none"/>
                <w:lang w:eastAsia="zh-CN"/>
              </w:rPr>
              <w:t>（</w:t>
            </w:r>
            <w:r>
              <w:rPr>
                <w:rFonts w:hint="eastAsia" w:ascii="宋体" w:hAnsi="宋体" w:cs="宋体"/>
                <w:b/>
                <w:bCs/>
                <w:color w:val="auto"/>
                <w:kern w:val="0"/>
                <w:sz w:val="21"/>
                <w:szCs w:val="21"/>
                <w:highlight w:val="none"/>
                <w:lang w:val="en-US" w:eastAsia="zh-CN"/>
              </w:rPr>
              <w:t>5）后续履约要求：</w:t>
            </w:r>
            <w:r>
              <w:rPr>
                <w:rFonts w:hint="eastAsia" w:ascii="宋体" w:hAnsi="宋体" w:eastAsia="宋体" w:cs="宋体"/>
                <w:color w:val="auto"/>
                <w:kern w:val="0"/>
                <w:sz w:val="21"/>
                <w:szCs w:val="21"/>
                <w:highlight w:val="none"/>
              </w:rPr>
              <w:t>项目履约交货时，供应商需再次提供完整的产品检测报告原件备查，样品检测报告不作为最终交货检测依据，最终产品质量以交货抽检、复检结果为准。</w:t>
            </w:r>
          </w:p>
          <w:p w14:paraId="4EE2C495">
            <w:pPr>
              <w:pageBreakBefore w:val="0"/>
              <w:kinsoku/>
              <w:wordWrap/>
              <w:overflowPunct/>
              <w:topLinePunct w:val="0"/>
              <w:bidi w:val="0"/>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rPr>
              <w:t>（</w:t>
            </w:r>
            <w:r>
              <w:rPr>
                <w:rFonts w:hint="eastAsia" w:ascii="宋体" w:hAnsi="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）提供样品的时间：</w:t>
            </w:r>
            <w:r>
              <w:rPr>
                <w:rFonts w:hint="eastAsia" w:ascii="宋体" w:hAnsi="宋体" w:eastAsia="宋体" w:cs="宋体"/>
                <w:color w:val="auto"/>
                <w:sz w:val="21"/>
                <w:szCs w:val="21"/>
                <w:highlight w:val="none"/>
                <w:lang w:val="en-US" w:eastAsia="zh-CN"/>
              </w:rPr>
              <w:t>于响应文件递交截止时间前分别递交至评审主场及评审副场。</w:t>
            </w:r>
          </w:p>
          <w:p w14:paraId="0570E934">
            <w:pPr>
              <w:pageBreakBefore w:val="0"/>
              <w:kinsoku/>
              <w:wordWrap/>
              <w:overflowPunct/>
              <w:topLinePunct w:val="0"/>
              <w:bidi w:val="0"/>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评审主场：北海市海城区银河城市科技产业城2幢0101号 韦丽丹 0779-3928925</w:t>
            </w:r>
          </w:p>
          <w:p w14:paraId="502F73D7">
            <w:pPr>
              <w:pageBreakBefore w:val="0"/>
              <w:kinsoku/>
              <w:wordWrap/>
              <w:overflowPunct/>
              <w:topLinePunct w:val="0"/>
              <w:bidi w:val="0"/>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评审副场：广西北部湾宏亚建设管理有限公司靖西分公司（靖西市吉祥路古力屯三产用地峰珲体育三楼） 农工 0776-6180899</w:t>
            </w:r>
          </w:p>
          <w:p w14:paraId="4C2482D9">
            <w:pPr>
              <w:pageBreakBefore w:val="0"/>
              <w:kinsoku/>
              <w:wordWrap/>
              <w:overflowPunct/>
              <w:topLinePunct w:val="0"/>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请供应商在上述时间内提供样品</w:t>
            </w:r>
            <w:r>
              <w:rPr>
                <w:rFonts w:hint="eastAsia" w:ascii="宋体" w:hAnsi="宋体" w:eastAsia="宋体" w:cs="宋体"/>
                <w:color w:val="auto"/>
                <w:sz w:val="21"/>
                <w:szCs w:val="21"/>
                <w:highlight w:val="none"/>
                <w:lang w:val="en-US" w:eastAsia="zh-CN"/>
              </w:rPr>
              <w:t>至指定地点</w:t>
            </w:r>
            <w:r>
              <w:rPr>
                <w:rFonts w:hint="eastAsia" w:ascii="宋体" w:hAnsi="宋体" w:eastAsia="宋体" w:cs="宋体"/>
                <w:color w:val="auto"/>
                <w:sz w:val="21"/>
                <w:szCs w:val="21"/>
                <w:highlight w:val="none"/>
              </w:rPr>
              <w:t>。超过截止时间的，采购人或采购代理机构将不予接收。</w:t>
            </w:r>
          </w:p>
          <w:p w14:paraId="7CFF37C0">
            <w:pPr>
              <w:pageBreakBefore w:val="0"/>
              <w:kinsoku/>
              <w:wordWrap/>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bCs/>
                <w:color w:val="auto"/>
                <w:sz w:val="21"/>
                <w:szCs w:val="21"/>
                <w:highlight w:val="none"/>
              </w:rPr>
              <w:t>（7）</w:t>
            </w:r>
            <w:r>
              <w:rPr>
                <w:rFonts w:hint="eastAsia" w:ascii="宋体" w:hAnsi="宋体" w:cs="宋体"/>
                <w:b/>
                <w:bCs/>
                <w:color w:val="auto"/>
                <w:sz w:val="21"/>
                <w:szCs w:val="21"/>
                <w:highlight w:val="none"/>
                <w:lang w:val="en-US" w:eastAsia="zh-CN"/>
              </w:rPr>
              <w:t>样品制作的费用：</w:t>
            </w:r>
            <w:r>
              <w:rPr>
                <w:rFonts w:hint="eastAsia" w:ascii="宋体" w:hAnsi="宋体" w:cs="宋体"/>
                <w:color w:val="auto"/>
                <w:sz w:val="21"/>
                <w:szCs w:val="21"/>
                <w:highlight w:val="none"/>
                <w:lang w:val="en-US" w:eastAsia="zh-CN"/>
              </w:rPr>
              <w:t>样品</w:t>
            </w:r>
            <w:r>
              <w:rPr>
                <w:rFonts w:hint="eastAsia" w:ascii="宋体" w:hAnsi="宋体" w:eastAsia="宋体" w:cs="宋体"/>
                <w:color w:val="auto"/>
                <w:sz w:val="21"/>
                <w:szCs w:val="21"/>
                <w:highlight w:val="none"/>
              </w:rPr>
              <w:t>制作、运输、安装和保管样品所发生的一切费用由供应商自理。</w:t>
            </w:r>
          </w:p>
        </w:tc>
      </w:tr>
      <w:tr w14:paraId="40E6D6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59" w:hRule="atLeast"/>
        </w:trPr>
        <w:tc>
          <w:tcPr>
            <w:tcW w:w="629" w:type="dxa"/>
            <w:tcBorders>
              <w:top w:val="single" w:color="auto" w:sz="4" w:space="0"/>
              <w:left w:val="single" w:color="auto" w:sz="4" w:space="0"/>
              <w:bottom w:val="single" w:color="auto" w:sz="4" w:space="0"/>
              <w:right w:val="single" w:color="auto" w:sz="4" w:space="0"/>
            </w:tcBorders>
            <w:vAlign w:val="center"/>
          </w:tcPr>
          <w:p w14:paraId="6B09089C">
            <w:pPr>
              <w:pageBreakBefore w:val="0"/>
              <w:kinsoku/>
              <w:wordWrap/>
              <w:overflowPunct/>
              <w:topLinePunct w:val="0"/>
              <w:bidi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p>
        </w:tc>
        <w:tc>
          <w:tcPr>
            <w:tcW w:w="1843" w:type="dxa"/>
            <w:tcBorders>
              <w:top w:val="single" w:color="000000" w:sz="8" w:space="0"/>
              <w:left w:val="single" w:color="auto" w:sz="4" w:space="0"/>
              <w:bottom w:val="single" w:color="000000" w:sz="8" w:space="0"/>
              <w:right w:val="single" w:color="000000" w:sz="8" w:space="0"/>
            </w:tcBorders>
            <w:vAlign w:val="center"/>
          </w:tcPr>
          <w:p w14:paraId="1926420C">
            <w:pPr>
              <w:pageBreakBefore w:val="0"/>
              <w:kinsoku/>
              <w:wordWrap/>
              <w:overflowPunct/>
              <w:topLinePunct w:val="0"/>
              <w:bidi w:val="0"/>
              <w:snapToGrid w:val="0"/>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
                <w:color w:val="auto"/>
                <w:sz w:val="21"/>
                <w:szCs w:val="21"/>
                <w:highlight w:val="none"/>
              </w:rPr>
              <w:t>方案讲解演示</w:t>
            </w:r>
          </w:p>
        </w:tc>
        <w:tc>
          <w:tcPr>
            <w:tcW w:w="6520" w:type="dxa"/>
            <w:tcBorders>
              <w:top w:val="single" w:color="000000" w:sz="8" w:space="0"/>
              <w:left w:val="single" w:color="000000" w:sz="2" w:space="0"/>
              <w:bottom w:val="single" w:color="000000" w:sz="8" w:space="0"/>
              <w:right w:val="single" w:color="000000" w:sz="8" w:space="0"/>
            </w:tcBorders>
            <w:vAlign w:val="center"/>
          </w:tcPr>
          <w:p w14:paraId="3E1F5932">
            <w:pPr>
              <w:pageBreakBefore w:val="0"/>
              <w:kinsoku/>
              <w:wordWrap/>
              <w:overflowPunct/>
              <w:topLinePunct w:val="0"/>
              <w:bidi w:val="0"/>
              <w:spacing w:line="360" w:lineRule="auto"/>
              <w:rPr>
                <w:rFonts w:hint="eastAsia" w:ascii="宋体" w:hAnsi="宋体" w:eastAsia="宋体" w:cs="宋体"/>
                <w:b/>
                <w:color w:val="auto"/>
                <w:kern w:val="0"/>
                <w:sz w:val="21"/>
                <w:szCs w:val="21"/>
                <w:highlight w:val="none"/>
                <w:lang w:val="zh-CN"/>
              </w:rPr>
            </w:pPr>
            <w:sdt>
              <w:sdtPr>
                <w:rPr>
                  <w:rFonts w:hint="eastAsia" w:ascii="宋体" w:hAnsi="宋体" w:eastAsia="宋体" w:cs="宋体"/>
                  <w:color w:val="auto"/>
                  <w:kern w:val="0"/>
                  <w:sz w:val="21"/>
                  <w:szCs w:val="21"/>
                  <w:highlight w:val="none"/>
                </w:rPr>
                <w:id w:val="-1820569039"/>
                <w14:checkbox>
                  <w14:checked w14:val="1"/>
                  <w14:checkedState w14:val="00FE" w14:font="Wingdings"/>
                  <w14:uncheckedState w14:val="2610" w14:font="MS Gothic"/>
                </w14:checkbox>
              </w:sdtPr>
              <w:sdtEndPr>
                <w:rPr>
                  <w:rFonts w:hint="eastAsia" w:ascii="宋体" w:hAnsi="宋体" w:eastAsia="宋体" w:cs="宋体"/>
                  <w:color w:val="auto"/>
                  <w:kern w:val="0"/>
                  <w:sz w:val="21"/>
                  <w:szCs w:val="21"/>
                  <w:highlight w:val="none"/>
                </w:rPr>
              </w:sdtEndPr>
              <w:sdtContent>
                <w:r>
                  <w:rPr>
                    <w:rFonts w:hint="eastAsia" w:ascii="宋体" w:hAnsi="宋体" w:eastAsia="宋体" w:cs="宋体"/>
                    <w:color w:val="auto"/>
                    <w:kern w:val="0"/>
                    <w:sz w:val="21"/>
                    <w:szCs w:val="21"/>
                    <w:highlight w:val="none"/>
                  </w:rPr>
                  <w:sym w:font="Wingdings" w:char="F0FE"/>
                </w:r>
              </w:sdtContent>
            </w:sdt>
            <w:r>
              <w:rPr>
                <w:rFonts w:hint="eastAsia" w:ascii="宋体" w:hAnsi="宋体" w:eastAsia="宋体" w:cs="宋体"/>
                <w:color w:val="auto"/>
                <w:kern w:val="0"/>
                <w:sz w:val="21"/>
                <w:szCs w:val="21"/>
                <w:highlight w:val="none"/>
              </w:rPr>
              <w:t>A</w:t>
            </w:r>
            <w:r>
              <w:rPr>
                <w:rFonts w:hint="eastAsia" w:ascii="宋体" w:hAnsi="宋体" w:eastAsia="宋体" w:cs="宋体"/>
                <w:color w:val="auto"/>
                <w:sz w:val="21"/>
                <w:szCs w:val="21"/>
                <w:highlight w:val="none"/>
              </w:rPr>
              <w:t>不组织。</w:t>
            </w:r>
          </w:p>
        </w:tc>
      </w:tr>
      <w:tr w14:paraId="747B4B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461" w:hRule="atLeast"/>
        </w:trPr>
        <w:tc>
          <w:tcPr>
            <w:tcW w:w="629" w:type="dxa"/>
            <w:vMerge w:val="restart"/>
            <w:tcBorders>
              <w:top w:val="single" w:color="auto" w:sz="4" w:space="0"/>
              <w:left w:val="single" w:color="auto" w:sz="4" w:space="0"/>
              <w:bottom w:val="single" w:color="auto" w:sz="4" w:space="0"/>
              <w:right w:val="single" w:color="auto" w:sz="4" w:space="0"/>
            </w:tcBorders>
            <w:vAlign w:val="center"/>
          </w:tcPr>
          <w:p w14:paraId="29430AB3">
            <w:pPr>
              <w:pageBreakBefore w:val="0"/>
              <w:kinsoku/>
              <w:wordWrap/>
              <w:overflowPunct/>
              <w:topLinePunct w:val="0"/>
              <w:bidi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w:t>
            </w:r>
          </w:p>
        </w:tc>
        <w:tc>
          <w:tcPr>
            <w:tcW w:w="1843" w:type="dxa"/>
            <w:vMerge w:val="restart"/>
            <w:tcBorders>
              <w:top w:val="single" w:color="000000" w:sz="8" w:space="0"/>
              <w:left w:val="single" w:color="auto" w:sz="4" w:space="0"/>
              <w:bottom w:val="single" w:color="000000" w:sz="8" w:space="0"/>
              <w:right w:val="single" w:color="000000" w:sz="8" w:space="0"/>
            </w:tcBorders>
            <w:vAlign w:val="center"/>
          </w:tcPr>
          <w:p w14:paraId="458A08FC">
            <w:pPr>
              <w:pageBreakBefore w:val="0"/>
              <w:kinsoku/>
              <w:wordWrap/>
              <w:overflowPunct/>
              <w:topLinePunct w:val="0"/>
              <w:bidi w:val="0"/>
              <w:snapToGrid w:val="0"/>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供应商应当提供的资格、资信证明文件</w:t>
            </w:r>
          </w:p>
        </w:tc>
        <w:tc>
          <w:tcPr>
            <w:tcW w:w="6520" w:type="dxa"/>
            <w:tcBorders>
              <w:top w:val="single" w:color="000000" w:sz="8" w:space="0"/>
              <w:left w:val="single" w:color="000000" w:sz="2" w:space="0"/>
              <w:bottom w:val="single" w:color="auto" w:sz="4" w:space="0"/>
              <w:right w:val="single" w:color="000000" w:sz="8" w:space="0"/>
            </w:tcBorders>
            <w:vAlign w:val="center"/>
          </w:tcPr>
          <w:p w14:paraId="44D9C36B">
            <w:pPr>
              <w:pageBreakBefore w:val="0"/>
              <w:kinsoku/>
              <w:wordWrap/>
              <w:overflowPunct/>
              <w:topLinePunct w:val="0"/>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（1）资格证明文件：见谈判文件第三部分 六。</w:t>
            </w:r>
          </w:p>
          <w:p w14:paraId="3F5B19CF">
            <w:pPr>
              <w:pageBreakBefore w:val="0"/>
              <w:kinsoku/>
              <w:wordWrap/>
              <w:overflowPunct/>
              <w:topLinePunct w:val="0"/>
              <w:bidi w:val="0"/>
              <w:spacing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color w:val="auto"/>
                <w:kern w:val="0"/>
                <w:sz w:val="21"/>
                <w:szCs w:val="21"/>
                <w:highlight w:val="none"/>
                <w:lang w:val="zh-CN"/>
              </w:rPr>
              <w:t>供应商未提供有效的资格证明文件的，视为供应商不具备谈判文件中规定的资格要求，响应无效。</w:t>
            </w:r>
          </w:p>
        </w:tc>
      </w:tr>
      <w:tr w14:paraId="5B9D92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780" w:hRule="atLeast"/>
        </w:trPr>
        <w:tc>
          <w:tcPr>
            <w:tcW w:w="629" w:type="dxa"/>
            <w:vMerge w:val="continue"/>
            <w:tcBorders>
              <w:top w:val="single" w:color="auto" w:sz="4" w:space="0"/>
              <w:left w:val="single" w:color="auto" w:sz="4" w:space="0"/>
              <w:bottom w:val="single" w:color="auto" w:sz="4" w:space="0"/>
              <w:right w:val="single" w:color="auto" w:sz="4" w:space="0"/>
            </w:tcBorders>
            <w:vAlign w:val="center"/>
          </w:tcPr>
          <w:p w14:paraId="001CE5DF">
            <w:pPr>
              <w:pageBreakBefore w:val="0"/>
              <w:widowControl/>
              <w:kinsoku/>
              <w:wordWrap/>
              <w:overflowPunct/>
              <w:topLinePunct w:val="0"/>
              <w:bidi w:val="0"/>
              <w:adjustRightInd/>
              <w:spacing w:line="360" w:lineRule="auto"/>
              <w:jc w:val="left"/>
              <w:rPr>
                <w:rFonts w:hint="eastAsia" w:ascii="宋体" w:hAnsi="宋体" w:eastAsia="宋体" w:cs="宋体"/>
                <w:color w:val="auto"/>
                <w:sz w:val="21"/>
                <w:szCs w:val="21"/>
                <w:highlight w:val="none"/>
              </w:rPr>
            </w:pPr>
          </w:p>
        </w:tc>
        <w:tc>
          <w:tcPr>
            <w:tcW w:w="1843" w:type="dxa"/>
            <w:vMerge w:val="continue"/>
            <w:tcBorders>
              <w:top w:val="single" w:color="000000" w:sz="8" w:space="0"/>
              <w:left w:val="single" w:color="auto" w:sz="4" w:space="0"/>
              <w:bottom w:val="single" w:color="000000" w:sz="8" w:space="0"/>
              <w:right w:val="single" w:color="000000" w:sz="8" w:space="0"/>
            </w:tcBorders>
            <w:vAlign w:val="center"/>
          </w:tcPr>
          <w:p w14:paraId="13F6C9CF">
            <w:pPr>
              <w:pageBreakBefore w:val="0"/>
              <w:widowControl/>
              <w:kinsoku/>
              <w:wordWrap/>
              <w:overflowPunct/>
              <w:topLinePunct w:val="0"/>
              <w:bidi w:val="0"/>
              <w:adjustRightInd/>
              <w:spacing w:line="360" w:lineRule="auto"/>
              <w:jc w:val="left"/>
              <w:rPr>
                <w:rFonts w:hint="eastAsia" w:ascii="宋体" w:hAnsi="宋体" w:eastAsia="宋体" w:cs="宋体"/>
                <w:b/>
                <w:color w:val="auto"/>
                <w:sz w:val="21"/>
                <w:szCs w:val="21"/>
                <w:highlight w:val="none"/>
              </w:rPr>
            </w:pPr>
          </w:p>
        </w:tc>
        <w:tc>
          <w:tcPr>
            <w:tcW w:w="6520" w:type="dxa"/>
            <w:tcBorders>
              <w:top w:val="single" w:color="auto" w:sz="4" w:space="0"/>
              <w:left w:val="single" w:color="000000" w:sz="2" w:space="0"/>
              <w:bottom w:val="single" w:color="000000" w:sz="8" w:space="0"/>
              <w:right w:val="single" w:color="000000" w:sz="8" w:space="0"/>
            </w:tcBorders>
            <w:vAlign w:val="center"/>
          </w:tcPr>
          <w:p w14:paraId="30342F33">
            <w:pPr>
              <w:pageBreakBefore w:val="0"/>
              <w:kinsoku/>
              <w:wordWrap/>
              <w:overflowPunct/>
              <w:topLinePunct w:val="0"/>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（2）资信证明文件：根据谈判文件采购需求等有关要求提供。</w:t>
            </w:r>
          </w:p>
        </w:tc>
      </w:tr>
      <w:tr w14:paraId="0FB65D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tcBorders>
              <w:top w:val="single" w:color="auto" w:sz="4" w:space="0"/>
              <w:left w:val="single" w:color="000000" w:sz="8" w:space="0"/>
              <w:bottom w:val="single" w:color="auto" w:sz="4" w:space="0"/>
              <w:right w:val="single" w:color="000000" w:sz="2" w:space="0"/>
            </w:tcBorders>
            <w:vAlign w:val="center"/>
          </w:tcPr>
          <w:p w14:paraId="296855F1">
            <w:pPr>
              <w:pageBreakBefore w:val="0"/>
              <w:kinsoku/>
              <w:wordWrap/>
              <w:overflowPunct/>
              <w:topLinePunct w:val="0"/>
              <w:bidi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w:t>
            </w:r>
          </w:p>
        </w:tc>
        <w:tc>
          <w:tcPr>
            <w:tcW w:w="1843" w:type="dxa"/>
            <w:tcBorders>
              <w:top w:val="single" w:color="000000" w:sz="8" w:space="0"/>
              <w:left w:val="single" w:color="000000" w:sz="2" w:space="0"/>
              <w:bottom w:val="single" w:color="000000" w:sz="8" w:space="0"/>
              <w:right w:val="single" w:color="000000" w:sz="8" w:space="0"/>
            </w:tcBorders>
            <w:vAlign w:val="center"/>
          </w:tcPr>
          <w:p w14:paraId="46E8797A">
            <w:pPr>
              <w:pageBreakBefore w:val="0"/>
              <w:kinsoku/>
              <w:wordWrap/>
              <w:overflowPunct/>
              <w:topLinePunct w:val="0"/>
              <w:bidi w:val="0"/>
              <w:snapToGrid w:val="0"/>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节能产品、环境标志产品</w:t>
            </w:r>
          </w:p>
        </w:tc>
        <w:tc>
          <w:tcPr>
            <w:tcW w:w="6520" w:type="dxa"/>
            <w:tcBorders>
              <w:top w:val="single" w:color="000000" w:sz="8" w:space="0"/>
              <w:left w:val="single" w:color="000000" w:sz="2" w:space="0"/>
              <w:bottom w:val="single" w:color="000000" w:sz="8" w:space="0"/>
              <w:right w:val="single" w:color="000000" w:sz="8" w:space="0"/>
            </w:tcBorders>
            <w:vAlign w:val="center"/>
          </w:tcPr>
          <w:p w14:paraId="453B63C9">
            <w:pPr>
              <w:pageBreakBefore w:val="0"/>
              <w:kinsoku/>
              <w:wordWrap/>
              <w:overflowPunct/>
              <w:topLinePunct w:val="0"/>
              <w:bidi w:val="0"/>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采购人拟采购的产品属于品目清单范围的，采购人及其委托的采购代理机构将依据国家确定的认证机构出具的、处于有效期之内的节能产品、环境标志产品认证证书，对获得证书的产品实施政府优先采购或强制采购。</w:t>
            </w:r>
          </w:p>
        </w:tc>
      </w:tr>
      <w:tr w14:paraId="3E6F38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tcBorders>
              <w:top w:val="single" w:color="auto" w:sz="4" w:space="0"/>
              <w:left w:val="single" w:color="000000" w:sz="8" w:space="0"/>
              <w:bottom w:val="single" w:color="auto" w:sz="4" w:space="0"/>
              <w:right w:val="single" w:color="000000" w:sz="2" w:space="0"/>
            </w:tcBorders>
            <w:vAlign w:val="center"/>
          </w:tcPr>
          <w:p w14:paraId="08D1FC62">
            <w:pPr>
              <w:pageBreakBefore w:val="0"/>
              <w:kinsoku/>
              <w:wordWrap/>
              <w:overflowPunct/>
              <w:topLinePunct w:val="0"/>
              <w:bidi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w:t>
            </w:r>
          </w:p>
        </w:tc>
        <w:tc>
          <w:tcPr>
            <w:tcW w:w="1843" w:type="dxa"/>
            <w:tcBorders>
              <w:top w:val="single" w:color="000000" w:sz="8" w:space="0"/>
              <w:left w:val="single" w:color="000000" w:sz="2" w:space="0"/>
              <w:bottom w:val="single" w:color="000000" w:sz="8" w:space="0"/>
              <w:right w:val="single" w:color="000000" w:sz="8" w:space="0"/>
            </w:tcBorders>
            <w:vAlign w:val="center"/>
          </w:tcPr>
          <w:p w14:paraId="2D615095">
            <w:pPr>
              <w:pageBreakBefore w:val="0"/>
              <w:kinsoku/>
              <w:wordWrap/>
              <w:overflowPunct/>
              <w:topLinePunct w:val="0"/>
              <w:bidi w:val="0"/>
              <w:snapToGrid w:val="0"/>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最后报价要求</w:t>
            </w:r>
          </w:p>
        </w:tc>
        <w:tc>
          <w:tcPr>
            <w:tcW w:w="6520" w:type="dxa"/>
            <w:tcBorders>
              <w:top w:val="single" w:color="000000" w:sz="8" w:space="0"/>
              <w:left w:val="single" w:color="000000" w:sz="2" w:space="0"/>
              <w:bottom w:val="single" w:color="000000" w:sz="8" w:space="0"/>
              <w:right w:val="single" w:color="000000" w:sz="8" w:space="0"/>
            </w:tcBorders>
            <w:vAlign w:val="center"/>
          </w:tcPr>
          <w:p w14:paraId="4AB57DB7">
            <w:pPr>
              <w:pageBreakBefore w:val="0"/>
              <w:kinsoku/>
              <w:wordWrap/>
              <w:overflowPunct/>
              <w:topLinePunct w:val="0"/>
              <w:bidi w:val="0"/>
              <w:snapToGrid w:val="0"/>
              <w:spacing w:line="360" w:lineRule="auto"/>
              <w:jc w:val="left"/>
              <w:rPr>
                <w:rFonts w:hint="eastAsia" w:ascii="宋体" w:hAnsi="宋体" w:eastAsia="宋体" w:cs="宋体"/>
                <w:b/>
                <w:color w:val="auto"/>
                <w:kern w:val="0"/>
                <w:sz w:val="21"/>
                <w:szCs w:val="21"/>
                <w:highlight w:val="none"/>
                <w:lang w:val="zh-CN"/>
              </w:rPr>
            </w:pPr>
            <w:r>
              <w:rPr>
                <w:rFonts w:hint="eastAsia" w:ascii="宋体" w:hAnsi="宋体" w:eastAsia="宋体" w:cs="宋体"/>
                <w:color w:val="auto"/>
                <w:kern w:val="0"/>
                <w:sz w:val="21"/>
                <w:szCs w:val="21"/>
                <w:highlight w:val="none"/>
                <w:lang w:val="zh-CN"/>
              </w:rPr>
              <w:t>有关本项目实施所需的所有费用（含税费）均计入最后报价。《最后报价</w:t>
            </w:r>
            <w:r>
              <w:rPr>
                <w:rFonts w:hint="eastAsia" w:ascii="宋体" w:hAnsi="宋体" w:eastAsia="宋体" w:cs="宋体"/>
                <w:color w:val="auto"/>
                <w:sz w:val="21"/>
                <w:szCs w:val="21"/>
                <w:highlight w:val="none"/>
              </w:rPr>
              <w:t>一览表（报价表）</w:t>
            </w:r>
            <w:r>
              <w:rPr>
                <w:rFonts w:hint="eastAsia" w:ascii="宋体" w:hAnsi="宋体" w:eastAsia="宋体" w:cs="宋体"/>
                <w:color w:val="auto"/>
                <w:kern w:val="0"/>
                <w:sz w:val="21"/>
                <w:szCs w:val="21"/>
                <w:highlight w:val="none"/>
                <w:lang w:val="zh-CN"/>
              </w:rPr>
              <w:t>》</w:t>
            </w:r>
            <w:r>
              <w:rPr>
                <w:rFonts w:hint="eastAsia" w:ascii="宋体" w:hAnsi="宋体" w:eastAsia="宋体" w:cs="宋体"/>
                <w:color w:val="auto"/>
                <w:sz w:val="21"/>
                <w:szCs w:val="21"/>
                <w:highlight w:val="none"/>
              </w:rPr>
              <w:t>是最后报价的唯一载体</w:t>
            </w:r>
            <w:r>
              <w:rPr>
                <w:rFonts w:hint="eastAsia" w:ascii="宋体" w:hAnsi="宋体" w:eastAsia="宋体" w:cs="宋体"/>
                <w:color w:val="auto"/>
                <w:kern w:val="0"/>
                <w:sz w:val="21"/>
                <w:szCs w:val="21"/>
                <w:highlight w:val="none"/>
                <w:lang w:val="zh-CN"/>
              </w:rPr>
              <w:t>。谈判文件中价格全部采用人民币报价。谈判文件未列明，而供应商认为必需的费用也需列入报价。</w:t>
            </w:r>
          </w:p>
          <w:p w14:paraId="45335D2C">
            <w:pPr>
              <w:pageBreakBefore w:val="0"/>
              <w:kinsoku/>
              <w:wordWrap/>
              <w:overflowPunct/>
              <w:topLinePunct w:val="0"/>
              <w:bidi w:val="0"/>
              <w:snapToGrid w:val="0"/>
              <w:spacing w:line="360" w:lineRule="auto"/>
              <w:jc w:val="left"/>
              <w:rPr>
                <w:rFonts w:hint="eastAsia" w:ascii="宋体" w:hAnsi="宋体" w:eastAsia="宋体" w:cs="宋体"/>
                <w:b/>
                <w:color w:val="auto"/>
                <w:kern w:val="0"/>
                <w:sz w:val="21"/>
                <w:szCs w:val="21"/>
                <w:highlight w:val="none"/>
                <w:lang w:val="zh-CN"/>
              </w:rPr>
            </w:pPr>
            <w:r>
              <w:rPr>
                <w:rFonts w:hint="eastAsia" w:ascii="宋体" w:hAnsi="宋体" w:eastAsia="宋体" w:cs="宋体"/>
                <w:b/>
                <w:color w:val="auto"/>
                <w:kern w:val="0"/>
                <w:sz w:val="21"/>
                <w:szCs w:val="21"/>
                <w:highlight w:val="none"/>
                <w:lang w:val="zh-CN"/>
              </w:rPr>
              <w:t>最后报价出现下列情形的，响应无效：</w:t>
            </w:r>
          </w:p>
          <w:p w14:paraId="6D1C1105">
            <w:pPr>
              <w:pageBreakBefore w:val="0"/>
              <w:kinsoku/>
              <w:wordWrap/>
              <w:overflowPunct/>
              <w:topLinePunct w:val="0"/>
              <w:bidi w:val="0"/>
              <w:snapToGrid w:val="0"/>
              <w:spacing w:line="360" w:lineRule="auto"/>
              <w:ind w:firstLine="422" w:firstLineChars="200"/>
              <w:jc w:val="left"/>
              <w:rPr>
                <w:rFonts w:hint="eastAsia" w:ascii="宋体" w:hAnsi="宋体" w:eastAsia="宋体" w:cs="宋体"/>
                <w:b/>
                <w:color w:val="auto"/>
                <w:kern w:val="0"/>
                <w:sz w:val="21"/>
                <w:szCs w:val="21"/>
                <w:highlight w:val="none"/>
                <w:lang w:val="zh-CN"/>
              </w:rPr>
            </w:pPr>
            <w:r>
              <w:rPr>
                <w:rFonts w:hint="eastAsia" w:ascii="宋体" w:hAnsi="宋体" w:eastAsia="宋体" w:cs="宋体"/>
                <w:b/>
                <w:color w:val="auto"/>
                <w:kern w:val="0"/>
                <w:sz w:val="21"/>
                <w:szCs w:val="21"/>
                <w:highlight w:val="none"/>
                <w:lang w:val="zh-CN"/>
              </w:rPr>
              <w:t>响应文件出现不是唯一的、有选择性的最后报价的；</w:t>
            </w:r>
          </w:p>
          <w:p w14:paraId="23E9384A">
            <w:pPr>
              <w:pageBreakBefore w:val="0"/>
              <w:kinsoku/>
              <w:wordWrap/>
              <w:overflowPunct/>
              <w:topLinePunct w:val="0"/>
              <w:bidi w:val="0"/>
              <w:snapToGrid w:val="0"/>
              <w:spacing w:line="360" w:lineRule="auto"/>
              <w:ind w:firstLine="422" w:firstLineChars="200"/>
              <w:jc w:val="left"/>
              <w:rPr>
                <w:rFonts w:hint="eastAsia" w:ascii="宋体" w:hAnsi="宋体" w:eastAsia="宋体" w:cs="宋体"/>
                <w:color w:val="auto"/>
                <w:kern w:val="0"/>
                <w:sz w:val="21"/>
                <w:szCs w:val="21"/>
                <w:highlight w:val="none"/>
                <w:lang w:val="zh-CN"/>
              </w:rPr>
            </w:pPr>
            <w:r>
              <w:rPr>
                <w:rFonts w:hint="eastAsia" w:ascii="宋体" w:hAnsi="宋体" w:eastAsia="宋体" w:cs="宋体"/>
                <w:b/>
                <w:color w:val="auto"/>
                <w:kern w:val="0"/>
                <w:sz w:val="21"/>
                <w:szCs w:val="21"/>
                <w:highlight w:val="none"/>
                <w:lang w:val="zh-CN"/>
              </w:rPr>
              <w:t>最后报价超过谈判文件中规定的预算金额或者最高限价的;</w:t>
            </w:r>
          </w:p>
          <w:p w14:paraId="32242F98">
            <w:pPr>
              <w:pageBreakBefore w:val="0"/>
              <w:kinsoku/>
              <w:wordWrap/>
              <w:overflowPunct/>
              <w:topLinePunct w:val="0"/>
              <w:bidi w:val="0"/>
              <w:spacing w:line="360"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b/>
                <w:color w:val="auto"/>
                <w:kern w:val="0"/>
                <w:sz w:val="21"/>
                <w:szCs w:val="21"/>
                <w:highlight w:val="none"/>
              </w:rPr>
              <w:t>供应商对根据修正原则修正后的报价不确认的</w:t>
            </w:r>
            <w:r>
              <w:rPr>
                <w:rFonts w:hint="eastAsia" w:ascii="宋体" w:hAnsi="宋体" w:eastAsia="宋体" w:cs="宋体"/>
                <w:b/>
                <w:color w:val="auto"/>
                <w:sz w:val="21"/>
                <w:szCs w:val="21"/>
                <w:highlight w:val="none"/>
              </w:rPr>
              <w:t>。</w:t>
            </w:r>
          </w:p>
        </w:tc>
      </w:tr>
      <w:tr w14:paraId="7F0846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3498" w:hRule="atLeast"/>
        </w:trPr>
        <w:tc>
          <w:tcPr>
            <w:tcW w:w="629" w:type="dxa"/>
            <w:tcBorders>
              <w:top w:val="single" w:color="auto" w:sz="4" w:space="0"/>
              <w:left w:val="single" w:color="000000" w:sz="8" w:space="0"/>
              <w:bottom w:val="nil"/>
              <w:right w:val="single" w:color="000000" w:sz="2" w:space="0"/>
            </w:tcBorders>
            <w:vAlign w:val="center"/>
          </w:tcPr>
          <w:p w14:paraId="4AF0EFD9">
            <w:pPr>
              <w:pageBreakBefore w:val="0"/>
              <w:kinsoku/>
              <w:wordWrap/>
              <w:overflowPunct/>
              <w:topLinePunct w:val="0"/>
              <w:bidi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w:t>
            </w:r>
          </w:p>
        </w:tc>
        <w:tc>
          <w:tcPr>
            <w:tcW w:w="1843" w:type="dxa"/>
            <w:tcBorders>
              <w:top w:val="single" w:color="000000" w:sz="8" w:space="0"/>
              <w:left w:val="single" w:color="000000" w:sz="2" w:space="0"/>
              <w:bottom w:val="nil"/>
              <w:right w:val="single" w:color="000000" w:sz="8" w:space="0"/>
            </w:tcBorders>
            <w:vAlign w:val="center"/>
          </w:tcPr>
          <w:p w14:paraId="4305B2CC">
            <w:pPr>
              <w:pageBreakBefore w:val="0"/>
              <w:kinsoku/>
              <w:wordWrap/>
              <w:overflowPunct/>
              <w:topLinePunct w:val="0"/>
              <w:bidi w:val="0"/>
              <w:snapToGrid w:val="0"/>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中小企业信用融资</w:t>
            </w:r>
          </w:p>
        </w:tc>
        <w:tc>
          <w:tcPr>
            <w:tcW w:w="6520" w:type="dxa"/>
            <w:tcBorders>
              <w:top w:val="single" w:color="000000" w:sz="8" w:space="0"/>
              <w:left w:val="single" w:color="000000" w:sz="2" w:space="0"/>
              <w:bottom w:val="nil"/>
              <w:right w:val="single" w:color="000000" w:sz="8" w:space="0"/>
            </w:tcBorders>
            <w:vAlign w:val="center"/>
          </w:tcPr>
          <w:p w14:paraId="12CC919D">
            <w:pPr>
              <w:pageBreakBefore w:val="0"/>
              <w:kinsoku/>
              <w:wordWrap/>
              <w:overflowPunct/>
              <w:topLinePunct w:val="0"/>
              <w:bidi w:val="0"/>
              <w:spacing w:line="360" w:lineRule="auto"/>
              <w:ind w:firstLine="420" w:firstLineChars="200"/>
              <w:rPr>
                <w:rFonts w:hint="eastAsia" w:ascii="宋体" w:hAnsi="宋体" w:eastAsia="宋体" w:cs="宋体"/>
                <w:snapToGrid w:val="0"/>
                <w:color w:val="auto"/>
                <w:kern w:val="28"/>
                <w:sz w:val="21"/>
                <w:szCs w:val="21"/>
                <w:highlight w:val="none"/>
              </w:rPr>
            </w:pPr>
            <w:r>
              <w:rPr>
                <w:rFonts w:hint="eastAsia" w:ascii="宋体" w:hAnsi="宋体" w:eastAsia="宋体" w:cs="宋体"/>
                <w:snapToGrid w:val="0"/>
                <w:color w:val="auto"/>
                <w:kern w:val="28"/>
                <w:sz w:val="21"/>
                <w:szCs w:val="21"/>
                <w:highlight w:val="none"/>
              </w:rPr>
              <w:t>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w:t>
            </w:r>
          </w:p>
          <w:p w14:paraId="720D4871">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snapToGrid w:val="0"/>
                <w:color w:val="auto"/>
                <w:kern w:val="28"/>
                <w:sz w:val="21"/>
                <w:szCs w:val="21"/>
                <w:highlight w:val="none"/>
              </w:rPr>
              <w:t>供应商成交后也可在“广西政府采购云”平台申请政采贷：操作路径：登录广西政府采购云平台-金融服务中心-【融资服务】，可在热门申请中选择产品直接申请。</w:t>
            </w:r>
          </w:p>
        </w:tc>
      </w:tr>
      <w:tr w14:paraId="78F54A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734" w:hRule="atLeast"/>
        </w:trPr>
        <w:tc>
          <w:tcPr>
            <w:tcW w:w="629" w:type="dxa"/>
            <w:tcBorders>
              <w:top w:val="single" w:color="auto" w:sz="4" w:space="0"/>
              <w:left w:val="single" w:color="000000" w:sz="8" w:space="0"/>
              <w:bottom w:val="single" w:color="auto" w:sz="4" w:space="0"/>
              <w:right w:val="single" w:color="000000" w:sz="2" w:space="0"/>
            </w:tcBorders>
            <w:vAlign w:val="center"/>
          </w:tcPr>
          <w:p w14:paraId="4EB5FDF2">
            <w:pPr>
              <w:pageBreakBefore w:val="0"/>
              <w:kinsoku/>
              <w:wordWrap/>
              <w:overflowPunct/>
              <w:topLinePunct w:val="0"/>
              <w:bidi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w:t>
            </w:r>
          </w:p>
        </w:tc>
        <w:tc>
          <w:tcPr>
            <w:tcW w:w="1843" w:type="dxa"/>
            <w:tcBorders>
              <w:top w:val="single" w:color="000000" w:sz="8" w:space="0"/>
              <w:left w:val="single" w:color="000000" w:sz="2" w:space="0"/>
              <w:bottom w:val="single" w:color="000000" w:sz="8" w:space="0"/>
              <w:right w:val="single" w:color="000000" w:sz="8" w:space="0"/>
            </w:tcBorders>
            <w:vAlign w:val="center"/>
          </w:tcPr>
          <w:p w14:paraId="68053EE9">
            <w:pPr>
              <w:pageBreakBefore w:val="0"/>
              <w:kinsoku/>
              <w:wordWrap/>
              <w:overflowPunct/>
              <w:topLinePunct w:val="0"/>
              <w:bidi w:val="0"/>
              <w:snapToGrid w:val="0"/>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 xml:space="preserve">备份响应文件送达地点和签收人员 </w:t>
            </w:r>
          </w:p>
        </w:tc>
        <w:tc>
          <w:tcPr>
            <w:tcW w:w="6520" w:type="dxa"/>
            <w:tcBorders>
              <w:top w:val="single" w:color="000000" w:sz="8" w:space="0"/>
              <w:left w:val="single" w:color="000000" w:sz="2" w:space="0"/>
              <w:bottom w:val="single" w:color="000000" w:sz="8" w:space="0"/>
              <w:right w:val="single" w:color="000000" w:sz="8" w:space="0"/>
            </w:tcBorders>
            <w:vAlign w:val="center"/>
          </w:tcPr>
          <w:p w14:paraId="0425E619">
            <w:pPr>
              <w:pageBreakBefore w:val="0"/>
              <w:kinsoku/>
              <w:wordWrap/>
              <w:overflowPunct/>
              <w:topLinePunct w:val="0"/>
              <w:bidi w:val="0"/>
              <w:spacing w:line="360" w:lineRule="auto"/>
              <w:rPr>
                <w:rFonts w:hint="eastAsia" w:ascii="宋体" w:hAnsi="宋体" w:eastAsia="宋体" w:cs="宋体"/>
                <w:color w:val="auto"/>
                <w:sz w:val="21"/>
                <w:szCs w:val="21"/>
                <w:highlight w:val="none"/>
              </w:rPr>
            </w:pPr>
            <w:sdt>
              <w:sdtPr>
                <w:rPr>
                  <w:rFonts w:hint="eastAsia" w:ascii="宋体" w:hAnsi="宋体" w:eastAsia="宋体" w:cs="宋体"/>
                  <w:color w:val="auto"/>
                  <w:kern w:val="0"/>
                  <w:sz w:val="21"/>
                  <w:szCs w:val="21"/>
                  <w:highlight w:val="none"/>
                </w:rPr>
                <w:id w:val="205304699"/>
                <w14:checkbox>
                  <w14:checked w14:val="1"/>
                  <w14:checkedState w14:val="00FE" w14:font="Wingdings"/>
                  <w14:uncheckedState w14:val="2610" w14:font="MS Gothic"/>
                </w14:checkbox>
              </w:sdtPr>
              <w:sdtEndPr>
                <w:rPr>
                  <w:rFonts w:hint="eastAsia" w:ascii="宋体" w:hAnsi="宋体" w:eastAsia="宋体" w:cs="宋体"/>
                  <w:color w:val="auto"/>
                  <w:kern w:val="0"/>
                  <w:sz w:val="21"/>
                  <w:szCs w:val="21"/>
                  <w:highlight w:val="none"/>
                </w:rPr>
              </w:sdtEndPr>
              <w:sdtContent>
                <w:r>
                  <w:rPr>
                    <w:rFonts w:hint="eastAsia" w:ascii="宋体" w:hAnsi="宋体" w:eastAsia="宋体" w:cs="宋体"/>
                    <w:color w:val="auto"/>
                    <w:kern w:val="0"/>
                    <w:sz w:val="21"/>
                    <w:szCs w:val="21"/>
                    <w:highlight w:val="none"/>
                  </w:rPr>
                  <w:sym w:font="Wingdings" w:char="F0FE"/>
                </w:r>
              </w:sdtContent>
            </w:sdt>
            <w:r>
              <w:rPr>
                <w:rFonts w:hint="eastAsia" w:ascii="宋体" w:hAnsi="宋体" w:eastAsia="宋体" w:cs="宋体"/>
                <w:color w:val="auto"/>
                <w:kern w:val="0"/>
                <w:sz w:val="21"/>
                <w:szCs w:val="21"/>
                <w:highlight w:val="none"/>
              </w:rPr>
              <w:t>A</w:t>
            </w:r>
            <w:r>
              <w:rPr>
                <w:rFonts w:hint="eastAsia" w:ascii="宋体" w:hAnsi="宋体" w:eastAsia="宋体" w:cs="宋体"/>
                <w:color w:val="auto"/>
                <w:sz w:val="21"/>
                <w:szCs w:val="21"/>
                <w:highlight w:val="none"/>
              </w:rPr>
              <w:t>不接受。</w:t>
            </w:r>
          </w:p>
          <w:p w14:paraId="705C095D">
            <w:pPr>
              <w:pageBreakBefore w:val="0"/>
              <w:kinsoku/>
              <w:wordWrap/>
              <w:overflowPunct/>
              <w:topLinePunct w:val="0"/>
              <w:bidi w:val="0"/>
              <w:spacing w:line="360" w:lineRule="auto"/>
              <w:rPr>
                <w:rFonts w:hint="eastAsia" w:ascii="宋体" w:hAnsi="宋体" w:eastAsia="宋体" w:cs="宋体"/>
                <w:color w:val="auto"/>
                <w:kern w:val="28"/>
                <w:sz w:val="21"/>
                <w:szCs w:val="21"/>
                <w:highlight w:val="none"/>
              </w:rPr>
            </w:pPr>
            <w:sdt>
              <w:sdtPr>
                <w:rPr>
                  <w:rFonts w:hint="eastAsia" w:ascii="宋体" w:hAnsi="宋体" w:eastAsia="宋体" w:cs="宋体"/>
                  <w:color w:val="auto"/>
                  <w:kern w:val="0"/>
                  <w:sz w:val="21"/>
                  <w:szCs w:val="21"/>
                  <w:highlight w:val="none"/>
                </w:rPr>
                <w:id w:val="-926416851"/>
                <w14:checkbox>
                  <w14:checked w14:val="0"/>
                  <w14:checkedState w14:val="00FE" w14:font="Wingdings"/>
                  <w14:uncheckedState w14:val="2610" w14:font="MS Gothic"/>
                </w14:checkbox>
              </w:sdtPr>
              <w:sdtEndPr>
                <w:rPr>
                  <w:rFonts w:hint="eastAsia" w:ascii="宋体" w:hAnsi="宋体" w:eastAsia="宋体" w:cs="宋体"/>
                  <w:color w:val="auto"/>
                  <w:kern w:val="0"/>
                  <w:sz w:val="21"/>
                  <w:szCs w:val="21"/>
                  <w:highlight w:val="none"/>
                </w:rPr>
              </w:sdtEndPr>
              <w:sdtContent>
                <w:r>
                  <w:rPr>
                    <w:rFonts w:hint="eastAsia" w:ascii="宋体" w:hAnsi="宋体" w:eastAsia="宋体" w:cs="宋体"/>
                    <w:color w:val="auto"/>
                    <w:kern w:val="0"/>
                    <w:sz w:val="21"/>
                    <w:szCs w:val="21"/>
                    <w:highlight w:val="none"/>
                  </w:rPr>
                  <w:t>☐</w:t>
                </w:r>
              </w:sdtContent>
            </w:sdt>
            <w:r>
              <w:rPr>
                <w:rFonts w:hint="eastAsia" w:ascii="宋体" w:hAnsi="宋体" w:eastAsia="宋体" w:cs="宋体"/>
                <w:color w:val="auto"/>
                <w:kern w:val="0"/>
                <w:sz w:val="21"/>
                <w:szCs w:val="21"/>
                <w:highlight w:val="none"/>
              </w:rPr>
              <w:t>B</w:t>
            </w:r>
            <w:r>
              <w:rPr>
                <w:rFonts w:hint="eastAsia" w:ascii="宋体" w:hAnsi="宋体" w:eastAsia="宋体" w:cs="宋体"/>
                <w:color w:val="auto"/>
                <w:sz w:val="21"/>
                <w:szCs w:val="21"/>
                <w:highlight w:val="none"/>
              </w:rPr>
              <w:t>接受</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28"/>
                <w:sz w:val="21"/>
                <w:szCs w:val="21"/>
                <w:highlight w:val="none"/>
              </w:rPr>
              <w:t>备份响应文件送达地点：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kern w:val="28"/>
                <w:sz w:val="21"/>
                <w:szCs w:val="21"/>
                <w:highlight w:val="none"/>
              </w:rPr>
              <w:t>；备份响应文件签收人员联系电话：</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r>
              <w:rPr>
                <w:rFonts w:hint="eastAsia" w:ascii="宋体" w:hAnsi="宋体" w:eastAsia="宋体" w:cs="宋体"/>
                <w:b/>
                <w:color w:val="auto"/>
                <w:sz w:val="21"/>
                <w:szCs w:val="21"/>
                <w:highlight w:val="none"/>
              </w:rPr>
              <w:t>采购人、采购代理机构不强制或变相强制供应商提交备份响应文件。</w:t>
            </w:r>
          </w:p>
        </w:tc>
      </w:tr>
      <w:tr w14:paraId="3628F9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vMerge w:val="restart"/>
            <w:tcBorders>
              <w:top w:val="single" w:color="auto" w:sz="4" w:space="0"/>
              <w:left w:val="single" w:color="000000" w:sz="8" w:space="0"/>
              <w:bottom w:val="single" w:color="auto" w:sz="4" w:space="0"/>
              <w:right w:val="single" w:color="000000" w:sz="2" w:space="0"/>
            </w:tcBorders>
            <w:vAlign w:val="center"/>
          </w:tcPr>
          <w:p w14:paraId="7639DA3B">
            <w:pPr>
              <w:pageBreakBefore w:val="0"/>
              <w:kinsoku/>
              <w:wordWrap/>
              <w:overflowPunct/>
              <w:topLinePunct w:val="0"/>
              <w:bidi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w:t>
            </w:r>
          </w:p>
        </w:tc>
        <w:tc>
          <w:tcPr>
            <w:tcW w:w="1843" w:type="dxa"/>
            <w:vMerge w:val="restart"/>
            <w:tcBorders>
              <w:top w:val="single" w:color="000000" w:sz="8" w:space="0"/>
              <w:left w:val="single" w:color="000000" w:sz="2" w:space="0"/>
              <w:bottom w:val="single" w:color="auto" w:sz="4" w:space="0"/>
              <w:right w:val="single" w:color="000000" w:sz="8" w:space="0"/>
            </w:tcBorders>
            <w:vAlign w:val="center"/>
          </w:tcPr>
          <w:p w14:paraId="60158FE6">
            <w:pPr>
              <w:pageBreakBefore w:val="0"/>
              <w:kinsoku/>
              <w:wordWrap/>
              <w:overflowPunct/>
              <w:topLinePunct w:val="0"/>
              <w:bidi w:val="0"/>
              <w:snapToGrid w:val="0"/>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特别说明</w:t>
            </w:r>
          </w:p>
        </w:tc>
        <w:tc>
          <w:tcPr>
            <w:tcW w:w="6520" w:type="dxa"/>
            <w:tcBorders>
              <w:top w:val="single" w:color="000000" w:sz="8" w:space="0"/>
              <w:left w:val="single" w:color="000000" w:sz="2" w:space="0"/>
              <w:bottom w:val="single" w:color="000000" w:sz="8" w:space="0"/>
              <w:right w:val="single" w:color="000000" w:sz="8" w:space="0"/>
            </w:tcBorders>
            <w:vAlign w:val="center"/>
          </w:tcPr>
          <w:p w14:paraId="0E36B2A6">
            <w:pPr>
              <w:pageBreakBefore w:val="0"/>
              <w:kinsoku/>
              <w:wordWrap/>
              <w:overflowPunct/>
              <w:topLinePunct w:val="0"/>
              <w:bidi w:val="0"/>
              <w:spacing w:line="360" w:lineRule="auto"/>
              <w:rPr>
                <w:rFonts w:hint="eastAsia" w:ascii="宋体" w:hAnsi="宋体" w:eastAsia="宋体" w:cs="宋体"/>
                <w:snapToGrid w:val="0"/>
                <w:color w:val="auto"/>
                <w:kern w:val="28"/>
                <w:sz w:val="21"/>
                <w:szCs w:val="21"/>
                <w:highlight w:val="none"/>
              </w:rPr>
            </w:pPr>
            <w:r>
              <w:rPr>
                <w:rFonts w:hint="eastAsia" w:ascii="宋体" w:hAnsi="宋体" w:eastAsia="宋体" w:cs="宋体"/>
                <w:snapToGrid w:val="0"/>
                <w:color w:val="auto"/>
                <w:kern w:val="28"/>
                <w:sz w:val="21"/>
                <w:szCs w:val="21"/>
                <w:highlight w:val="none"/>
              </w:rPr>
              <w:t>联合体</w:t>
            </w:r>
            <w:r>
              <w:rPr>
                <w:rFonts w:hint="eastAsia" w:ascii="宋体" w:hAnsi="宋体" w:eastAsia="宋体" w:cs="宋体"/>
                <w:color w:val="auto"/>
                <w:kern w:val="28"/>
                <w:sz w:val="21"/>
                <w:szCs w:val="21"/>
                <w:highlight w:val="none"/>
              </w:rPr>
              <w:t>响应</w:t>
            </w:r>
            <w:r>
              <w:rPr>
                <w:rFonts w:hint="eastAsia" w:ascii="宋体" w:hAnsi="宋体" w:eastAsia="宋体" w:cs="宋体"/>
                <w:snapToGrid w:val="0"/>
                <w:color w:val="auto"/>
                <w:kern w:val="28"/>
                <w:sz w:val="21"/>
                <w:szCs w:val="21"/>
                <w:highlight w:val="none"/>
              </w:rPr>
              <w:t>的，联合体各方分别提供与联合体协议中规定的分工内容相应的业绩证明材料，业绩数量以提供材料较少的一方为准。</w:t>
            </w:r>
          </w:p>
        </w:tc>
      </w:tr>
      <w:tr w14:paraId="5766A4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vMerge w:val="continue"/>
            <w:tcBorders>
              <w:top w:val="single" w:color="auto" w:sz="4" w:space="0"/>
              <w:left w:val="single" w:color="000000" w:sz="8" w:space="0"/>
              <w:bottom w:val="single" w:color="auto" w:sz="4" w:space="0"/>
              <w:right w:val="single" w:color="000000" w:sz="2" w:space="0"/>
            </w:tcBorders>
            <w:vAlign w:val="center"/>
          </w:tcPr>
          <w:p w14:paraId="21DE084C">
            <w:pPr>
              <w:pageBreakBefore w:val="0"/>
              <w:widowControl/>
              <w:kinsoku/>
              <w:wordWrap/>
              <w:overflowPunct/>
              <w:topLinePunct w:val="0"/>
              <w:bidi w:val="0"/>
              <w:adjustRightInd/>
              <w:spacing w:line="360" w:lineRule="auto"/>
              <w:jc w:val="left"/>
              <w:rPr>
                <w:rFonts w:hint="eastAsia" w:ascii="宋体" w:hAnsi="宋体" w:eastAsia="宋体" w:cs="宋体"/>
                <w:color w:val="auto"/>
                <w:sz w:val="21"/>
                <w:szCs w:val="21"/>
                <w:highlight w:val="none"/>
              </w:rPr>
            </w:pPr>
          </w:p>
        </w:tc>
        <w:tc>
          <w:tcPr>
            <w:tcW w:w="1843" w:type="dxa"/>
            <w:vMerge w:val="continue"/>
            <w:tcBorders>
              <w:top w:val="single" w:color="000000" w:sz="8" w:space="0"/>
              <w:left w:val="single" w:color="000000" w:sz="2" w:space="0"/>
              <w:bottom w:val="single" w:color="auto" w:sz="4" w:space="0"/>
              <w:right w:val="single" w:color="000000" w:sz="8" w:space="0"/>
            </w:tcBorders>
            <w:vAlign w:val="center"/>
          </w:tcPr>
          <w:p w14:paraId="7A45F925">
            <w:pPr>
              <w:pageBreakBefore w:val="0"/>
              <w:widowControl/>
              <w:kinsoku/>
              <w:wordWrap/>
              <w:overflowPunct/>
              <w:topLinePunct w:val="0"/>
              <w:bidi w:val="0"/>
              <w:adjustRightInd/>
              <w:spacing w:line="360" w:lineRule="auto"/>
              <w:jc w:val="left"/>
              <w:rPr>
                <w:rFonts w:hint="eastAsia" w:ascii="宋体" w:hAnsi="宋体" w:eastAsia="宋体" w:cs="宋体"/>
                <w:b/>
                <w:color w:val="auto"/>
                <w:sz w:val="21"/>
                <w:szCs w:val="21"/>
                <w:highlight w:val="none"/>
              </w:rPr>
            </w:pPr>
          </w:p>
        </w:tc>
        <w:tc>
          <w:tcPr>
            <w:tcW w:w="6520" w:type="dxa"/>
            <w:tcBorders>
              <w:top w:val="single" w:color="000000" w:sz="8" w:space="0"/>
              <w:left w:val="single" w:color="000000" w:sz="2" w:space="0"/>
              <w:bottom w:val="single" w:color="auto" w:sz="4" w:space="0"/>
              <w:right w:val="single" w:color="000000" w:sz="8" w:space="0"/>
            </w:tcBorders>
            <w:vAlign w:val="center"/>
          </w:tcPr>
          <w:p w14:paraId="7C6EFD60">
            <w:pPr>
              <w:pageBreakBefore w:val="0"/>
              <w:kinsoku/>
              <w:wordWrap/>
              <w:overflowPunct/>
              <w:topLinePunct w:val="0"/>
              <w:bidi w:val="0"/>
              <w:spacing w:line="360" w:lineRule="auto"/>
              <w:rPr>
                <w:rFonts w:hint="eastAsia" w:ascii="宋体" w:hAnsi="宋体" w:eastAsia="宋体" w:cs="宋体"/>
                <w:snapToGrid w:val="0"/>
                <w:color w:val="auto"/>
                <w:kern w:val="28"/>
                <w:sz w:val="21"/>
                <w:szCs w:val="21"/>
                <w:highlight w:val="none"/>
              </w:rPr>
            </w:pPr>
            <w:sdt>
              <w:sdtPr>
                <w:rPr>
                  <w:rFonts w:hint="eastAsia" w:ascii="宋体" w:hAnsi="宋体" w:eastAsia="宋体" w:cs="宋体"/>
                  <w:color w:val="auto"/>
                  <w:kern w:val="0"/>
                  <w:sz w:val="21"/>
                  <w:szCs w:val="21"/>
                  <w:highlight w:val="none"/>
                </w:rPr>
                <w:id w:val="320470398"/>
                <w14:checkbox>
                  <w14:checked w14:val="0"/>
                  <w14:checkedState w14:val="00FE" w14:font="Wingdings"/>
                  <w14:uncheckedState w14:val="2610" w14:font="MS Gothic"/>
                </w14:checkbox>
              </w:sdtPr>
              <w:sdtEndPr>
                <w:rPr>
                  <w:rFonts w:hint="eastAsia" w:ascii="宋体" w:hAnsi="宋体" w:eastAsia="宋体" w:cs="宋体"/>
                  <w:color w:val="auto"/>
                  <w:kern w:val="0"/>
                  <w:sz w:val="21"/>
                  <w:szCs w:val="21"/>
                  <w:highlight w:val="none"/>
                </w:rPr>
              </w:sdtEndPr>
              <w:sdtContent>
                <w:r>
                  <w:rPr>
                    <w:rFonts w:hint="eastAsia" w:ascii="宋体" w:hAnsi="宋体" w:eastAsia="宋体" w:cs="宋体"/>
                    <w:color w:val="auto"/>
                    <w:kern w:val="0"/>
                    <w:sz w:val="21"/>
                    <w:szCs w:val="21"/>
                    <w:highlight w:val="none"/>
                  </w:rPr>
                  <w:t>☐</w:t>
                </w:r>
              </w:sdtContent>
            </w:sdt>
            <w:r>
              <w:rPr>
                <w:rFonts w:hint="eastAsia" w:ascii="宋体" w:hAnsi="宋体" w:eastAsia="宋体" w:cs="宋体"/>
                <w:snapToGrid w:val="0"/>
                <w:color w:val="auto"/>
                <w:kern w:val="28"/>
                <w:sz w:val="21"/>
                <w:szCs w:val="21"/>
                <w:highlight w:val="none"/>
              </w:rPr>
              <w:t>联合体响应的，联合体各方均需按谈判文件第五部分评审标准要求提供资信证明文件，否则视为不符合相关要求。</w:t>
            </w:r>
          </w:p>
          <w:p w14:paraId="007EC60F">
            <w:pPr>
              <w:pageBreakBefore w:val="0"/>
              <w:kinsoku/>
              <w:wordWrap/>
              <w:overflowPunct/>
              <w:topLinePunct w:val="0"/>
              <w:bidi w:val="0"/>
              <w:spacing w:line="360" w:lineRule="auto"/>
              <w:rPr>
                <w:rFonts w:hint="eastAsia" w:ascii="宋体" w:hAnsi="宋体" w:eastAsia="宋体" w:cs="宋体"/>
                <w:snapToGrid w:val="0"/>
                <w:color w:val="auto"/>
                <w:kern w:val="28"/>
                <w:sz w:val="21"/>
                <w:szCs w:val="21"/>
                <w:highlight w:val="none"/>
              </w:rPr>
            </w:pPr>
            <w:sdt>
              <w:sdtPr>
                <w:rPr>
                  <w:rFonts w:hint="eastAsia" w:ascii="宋体" w:hAnsi="宋体" w:eastAsia="宋体" w:cs="宋体"/>
                  <w:color w:val="auto"/>
                  <w:kern w:val="0"/>
                  <w:sz w:val="21"/>
                  <w:szCs w:val="21"/>
                  <w:highlight w:val="none"/>
                </w:rPr>
                <w:id w:val="1023673503"/>
                <w14:checkbox>
                  <w14:checked w14:val="0"/>
                  <w14:checkedState w14:val="00FE" w14:font="Wingdings"/>
                  <w14:uncheckedState w14:val="2610" w14:font="MS Gothic"/>
                </w14:checkbox>
              </w:sdtPr>
              <w:sdtEndPr>
                <w:rPr>
                  <w:rFonts w:hint="eastAsia" w:ascii="宋体" w:hAnsi="宋体" w:eastAsia="宋体" w:cs="宋体"/>
                  <w:color w:val="auto"/>
                  <w:kern w:val="0"/>
                  <w:sz w:val="21"/>
                  <w:szCs w:val="21"/>
                  <w:highlight w:val="none"/>
                </w:rPr>
              </w:sdtEndPr>
              <w:sdtContent>
                <w:r>
                  <w:rPr>
                    <w:rFonts w:hint="eastAsia" w:ascii="宋体" w:hAnsi="宋体" w:eastAsia="宋体" w:cs="宋体"/>
                    <w:color w:val="auto"/>
                    <w:kern w:val="0"/>
                    <w:sz w:val="21"/>
                    <w:szCs w:val="21"/>
                    <w:highlight w:val="none"/>
                  </w:rPr>
                  <w:t>☐</w:t>
                </w:r>
              </w:sdtContent>
            </w:sdt>
            <w:r>
              <w:rPr>
                <w:rFonts w:hint="eastAsia" w:ascii="宋体" w:hAnsi="宋体" w:eastAsia="宋体" w:cs="宋体"/>
                <w:snapToGrid w:val="0"/>
                <w:color w:val="auto"/>
                <w:kern w:val="28"/>
                <w:sz w:val="21"/>
                <w:szCs w:val="21"/>
                <w:highlight w:val="none"/>
              </w:rPr>
              <w:t>联合体响应的，联合体中有一方或者联合体成员根据分工按谈判文件第五部分评审标准要求提供资信证明文件的，视为符合了相关要求。</w:t>
            </w:r>
          </w:p>
        </w:tc>
      </w:tr>
      <w:tr w14:paraId="2E1640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tcBorders>
              <w:top w:val="single" w:color="auto" w:sz="4" w:space="0"/>
              <w:left w:val="single" w:color="auto" w:sz="4" w:space="0"/>
              <w:bottom w:val="single" w:color="auto" w:sz="4" w:space="0"/>
              <w:right w:val="single" w:color="auto" w:sz="4" w:space="0"/>
            </w:tcBorders>
            <w:vAlign w:val="center"/>
          </w:tcPr>
          <w:p w14:paraId="2085D943">
            <w:pPr>
              <w:pageBreakBefore w:val="0"/>
              <w:kinsoku/>
              <w:wordWrap/>
              <w:overflowPunct/>
              <w:topLinePunct w:val="0"/>
              <w:bidi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w:t>
            </w:r>
          </w:p>
        </w:tc>
        <w:tc>
          <w:tcPr>
            <w:tcW w:w="1843" w:type="dxa"/>
            <w:tcBorders>
              <w:top w:val="single" w:color="auto" w:sz="4" w:space="0"/>
              <w:left w:val="single" w:color="auto" w:sz="4" w:space="0"/>
              <w:bottom w:val="single" w:color="auto" w:sz="4" w:space="0"/>
              <w:right w:val="single" w:color="auto" w:sz="4" w:space="0"/>
            </w:tcBorders>
            <w:vAlign w:val="center"/>
          </w:tcPr>
          <w:p w14:paraId="41CBE583">
            <w:pPr>
              <w:pageBreakBefore w:val="0"/>
              <w:kinsoku/>
              <w:wordWrap/>
              <w:overflowPunct/>
              <w:topLinePunct w:val="0"/>
              <w:bidi w:val="0"/>
              <w:snapToGrid w:val="0"/>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解释权</w:t>
            </w:r>
          </w:p>
        </w:tc>
        <w:tc>
          <w:tcPr>
            <w:tcW w:w="6520" w:type="dxa"/>
            <w:tcBorders>
              <w:top w:val="single" w:color="auto" w:sz="4" w:space="0"/>
              <w:left w:val="single" w:color="auto" w:sz="4" w:space="0"/>
              <w:bottom w:val="single" w:color="auto" w:sz="4" w:space="0"/>
              <w:right w:val="single" w:color="auto" w:sz="4" w:space="0"/>
            </w:tcBorders>
            <w:vAlign w:val="center"/>
          </w:tcPr>
          <w:p w14:paraId="01DD7C88">
            <w:pPr>
              <w:pageBreakBefore w:val="0"/>
              <w:kinsoku/>
              <w:wordWrap/>
              <w:overflowPunct/>
              <w:topLinePunct w:val="0"/>
              <w:bidi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本谈判文件解释权属采购人及代理机构。</w:t>
            </w:r>
          </w:p>
        </w:tc>
      </w:tr>
    </w:tbl>
    <w:p w14:paraId="53216377">
      <w:pPr>
        <w:pageBreakBefore w:val="0"/>
        <w:kinsoku/>
        <w:wordWrap/>
        <w:overflowPunct/>
        <w:topLinePunct w:val="0"/>
        <w:bidi w:val="0"/>
        <w:snapToGrid w:val="0"/>
        <w:spacing w:line="360" w:lineRule="auto"/>
        <w:jc w:val="center"/>
        <w:rPr>
          <w:rFonts w:hint="eastAsia" w:ascii="宋体" w:hAnsi="宋体" w:eastAsia="宋体" w:cs="宋体"/>
          <w:b/>
          <w:color w:val="auto"/>
          <w:sz w:val="21"/>
          <w:szCs w:val="21"/>
          <w:highlight w:val="none"/>
        </w:rPr>
      </w:pPr>
    </w:p>
    <w:p w14:paraId="4B2F4C4F">
      <w:pP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br w:type="page"/>
      </w:r>
    </w:p>
    <w:p w14:paraId="6BBF6016">
      <w:pPr>
        <w:pageBreakBefore w:val="0"/>
        <w:kinsoku/>
        <w:wordWrap/>
        <w:overflowPunct/>
        <w:topLinePunct w:val="0"/>
        <w:bidi w:val="0"/>
        <w:adjustRightInd/>
        <w:spacing w:line="360" w:lineRule="auto"/>
        <w:ind w:firstLine="3845" w:firstLineChars="1197"/>
        <w:outlineLvl w:val="1"/>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二、总则</w:t>
      </w:r>
    </w:p>
    <w:p w14:paraId="3FA954EB">
      <w:pPr>
        <w:pageBreakBefore w:val="0"/>
        <w:kinsoku/>
        <w:wordWrap/>
        <w:overflowPunct/>
        <w:topLinePunct w:val="0"/>
        <w:bidi w:val="0"/>
        <w:snapToGrid w:val="0"/>
        <w:spacing w:line="360" w:lineRule="auto"/>
        <w:jc w:val="left"/>
        <w:rPr>
          <w:rFonts w:hint="eastAsia" w:ascii="宋体" w:hAnsi="宋体" w:eastAsia="宋体" w:cs="宋体"/>
          <w:b/>
          <w:color w:val="auto"/>
          <w:sz w:val="21"/>
          <w:szCs w:val="21"/>
          <w:highlight w:val="none"/>
        </w:rPr>
      </w:pPr>
    </w:p>
    <w:p w14:paraId="1F1A5EE1">
      <w:pPr>
        <w:pageBreakBefore w:val="0"/>
        <w:kinsoku/>
        <w:wordWrap/>
        <w:overflowPunct/>
        <w:topLinePunct w:val="0"/>
        <w:bidi w:val="0"/>
        <w:snapToGrid w:val="0"/>
        <w:spacing w:line="360" w:lineRule="auto"/>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 适用范围</w:t>
      </w:r>
    </w:p>
    <w:p w14:paraId="6625889C">
      <w:pPr>
        <w:pageBreakBefore w:val="0"/>
        <w:kinsoku/>
        <w:wordWrap/>
        <w:overflowPunct/>
        <w:topLinePunct w:val="0"/>
        <w:bidi w:val="0"/>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本谈判文件适用于该项目的邀请、响应、开启响应文件、信用信息查询、资格性审查、评审、成交、合同、验收等行为（法律、法规另有规定的，从其规定）。</w:t>
      </w:r>
    </w:p>
    <w:p w14:paraId="2373DA8F">
      <w:pPr>
        <w:pageBreakBefore w:val="0"/>
        <w:kinsoku/>
        <w:wordWrap/>
        <w:overflowPunct/>
        <w:topLinePunct w:val="0"/>
        <w:bidi w:val="0"/>
        <w:adjustRightInd/>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2.定义</w:t>
      </w:r>
    </w:p>
    <w:p w14:paraId="24B78826">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 “采购人”系指谈判邀请公告中载明的本项目的采购人。</w:t>
      </w:r>
    </w:p>
    <w:p w14:paraId="3C3D41ED">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 “采购代理机构”系指谈判邀请公告中载明的本项目的采购代理机构。</w:t>
      </w:r>
    </w:p>
    <w:p w14:paraId="1FEFA124">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 “供应商”系指响应谈判、参加本次竞争的法人、其他组织或自然人。</w:t>
      </w:r>
    </w:p>
    <w:p w14:paraId="3B38AACA">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 “法定代表人（负责人）”系指法人企业的法定负责人，或其他组织为法律、行政法规规定代表单位行使职权的主要负责人，或自然人本人。</w:t>
      </w:r>
    </w:p>
    <w:p w14:paraId="127BB54B">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 “成交人”系指经评审确定的成交供应商。</w:t>
      </w:r>
    </w:p>
    <w:p w14:paraId="5DE5E2C1">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2.6“响应文件”系指供应商提交的商务技术文件。供应商提交最后报价后，最后报价是供应商响应文件的有效组成部分。</w:t>
      </w:r>
    </w:p>
    <w:p w14:paraId="47AB0F04">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2.7“电子交易平台”系指本项目政府采购活动所依托的广西政府采购云平台（https://www.gcy.zfcg.gxzf.gov.cn/）。</w:t>
      </w:r>
    </w:p>
    <w:p w14:paraId="1F8429B4">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2.8“电子签名”系指数据电文中以电子形式所含、所附用于识别签名人身份并表明签名人认可其中内容的数据；“公章”系指单位法定名称章。因特殊原因需要使用冠以法定名称的业务专用章的，响应时须提供《业务专用章使用说明函》（附件4）。</w:t>
      </w:r>
    </w:p>
    <w:p w14:paraId="2F53FB24">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文件所涉及的法定代表人（负责人）或其委托代理人签名的内容，可以是供应商的法定代表人（负责人）或其委托代理人的电子签名；如果供应商没有法定代表人（负责人）或其委托代理人的电子签名，供应商也可以线下签名或盖姓名章后扫描上传。电子响应文件加盖公章部分均采用CA签章。</w:t>
      </w:r>
    </w:p>
    <w:p w14:paraId="446C6242">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2.9 “书面形式”包括数据电文形式与纸质形式。数据电文形式与纸质形式的采购活动具有同等法律效力。</w:t>
      </w:r>
    </w:p>
    <w:p w14:paraId="243481A7">
      <w:pPr>
        <w:pageBreakBefore w:val="0"/>
        <w:kinsoku/>
        <w:wordWrap/>
        <w:overflowPunct/>
        <w:topLinePunct w:val="0"/>
        <w:bidi w:val="0"/>
        <w:snapToGrid w:val="0"/>
        <w:spacing w:line="360" w:lineRule="auto"/>
        <w:ind w:firstLine="420" w:firstLineChars="200"/>
        <w:jc w:val="left"/>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2.10 “▲” 系指实质性要求条款， “※”系指谈判过程中可能实质性变动的内容，</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 w:val="21"/>
          <w:szCs w:val="21"/>
          <w:highlight w:val="none"/>
        </w:rPr>
        <w:sym w:font="Wingdings" w:char="F0FE"/>
      </w:r>
      <w:r>
        <w:rPr>
          <w:rFonts w:hint="eastAsia" w:ascii="宋体" w:hAnsi="宋体" w:eastAsia="宋体" w:cs="宋体"/>
          <w:color w:val="auto"/>
          <w:kern w:val="0"/>
          <w:sz w:val="21"/>
          <w:szCs w:val="21"/>
          <w:highlight w:val="none"/>
        </w:rPr>
        <w:t>”</w:t>
      </w:r>
      <w:r>
        <w:rPr>
          <w:rFonts w:hint="eastAsia" w:ascii="宋体" w:hAnsi="宋体" w:eastAsia="宋体" w:cs="宋体"/>
          <w:color w:val="auto"/>
          <w:sz w:val="21"/>
          <w:szCs w:val="21"/>
          <w:highlight w:val="none"/>
        </w:rPr>
        <w:t>系指适用本项目的要求，“□”系指不适用本项目的要求。</w:t>
      </w:r>
    </w:p>
    <w:p w14:paraId="6AA5F0CD">
      <w:pPr>
        <w:pageBreakBefore w:val="0"/>
        <w:kinsoku/>
        <w:wordWrap/>
        <w:overflowPunct/>
        <w:topLinePunct w:val="0"/>
        <w:bidi w:val="0"/>
        <w:adjustRightInd/>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3. 响应有效期</w:t>
      </w:r>
    </w:p>
    <w:p w14:paraId="032BF7A6">
      <w:pPr>
        <w:pageBreakBefore w:val="0"/>
        <w:kinsoku/>
        <w:wordWrap/>
        <w:overflowPunct/>
        <w:topLinePunct w:val="0"/>
        <w:bidi w:val="0"/>
        <w:spacing w:line="360" w:lineRule="auto"/>
        <w:ind w:firstLine="420" w:firstLineChars="20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▲3.1</w:t>
      </w:r>
      <w:r>
        <w:rPr>
          <w:rFonts w:hint="eastAsia" w:ascii="宋体" w:hAnsi="宋体" w:eastAsia="宋体" w:cs="宋体"/>
          <w:b/>
          <w:color w:val="auto"/>
          <w:sz w:val="21"/>
          <w:szCs w:val="21"/>
          <w:highlight w:val="none"/>
        </w:rPr>
        <w:t>响应有效期为从提交响应文件的截止之日起60天。供应商的响应文件中承诺的响应有效期少于谈判文件中载明的谈判有效期的，响应无效。</w:t>
      </w:r>
    </w:p>
    <w:p w14:paraId="358DBA68">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3.2响应文件合格提交后，自响应截止日期起，在响应有效期内有效。</w:t>
      </w:r>
    </w:p>
    <w:p w14:paraId="28E97C98">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在原定响应有效期满之前，如果出现特殊情况，采购人或采购代理机构可以以书面形式通知所有供应商延长响应有效期。供应商同意延长的，不得要求或被允许修改其响应文件;供应商拒绝延长的，其响应无效。拒绝延长谈判有效期的供应商不得再参与该项目后续采购活动。</w:t>
      </w:r>
    </w:p>
    <w:p w14:paraId="071DB274">
      <w:pPr>
        <w:pageBreakBefore w:val="0"/>
        <w:tabs>
          <w:tab w:val="left" w:pos="3780"/>
        </w:tabs>
        <w:kinsoku/>
        <w:wordWrap/>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4．响应费用</w:t>
      </w:r>
    </w:p>
    <w:p w14:paraId="0E139D33">
      <w:pPr>
        <w:pStyle w:val="31"/>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rPr>
        <w:t>供应商需自行承担涉及响应的一切费用</w:t>
      </w:r>
      <w:r>
        <w:rPr>
          <w:rFonts w:hint="eastAsia" w:ascii="宋体" w:hAnsi="宋体" w:eastAsia="宋体" w:cs="宋体"/>
          <w:color w:val="auto"/>
          <w:sz w:val="21"/>
          <w:szCs w:val="21"/>
          <w:highlight w:val="none"/>
          <w:lang w:val="zh-CN"/>
        </w:rPr>
        <w:t>。</w:t>
      </w:r>
    </w:p>
    <w:p w14:paraId="7BC7B808">
      <w:pPr>
        <w:pageBreakBefore w:val="0"/>
        <w:kinsoku/>
        <w:wordWrap/>
        <w:overflowPunct/>
        <w:topLinePunct w:val="0"/>
        <w:bidi w:val="0"/>
        <w:spacing w:line="360" w:lineRule="auto"/>
        <w:jc w:val="center"/>
        <w:rPr>
          <w:rFonts w:hint="eastAsia" w:ascii="宋体" w:hAnsi="宋体" w:eastAsia="宋体" w:cs="宋体"/>
          <w:b/>
          <w:color w:val="auto"/>
          <w:sz w:val="21"/>
          <w:szCs w:val="21"/>
          <w:highlight w:val="none"/>
        </w:rPr>
      </w:pPr>
    </w:p>
    <w:p w14:paraId="539B2696">
      <w:pPr>
        <w:pageBreakBefore w:val="0"/>
        <w:kinsoku/>
        <w:wordWrap/>
        <w:overflowPunct/>
        <w:topLinePunct w:val="0"/>
        <w:bidi w:val="0"/>
        <w:adjustRightInd/>
        <w:spacing w:line="360" w:lineRule="auto"/>
        <w:jc w:val="center"/>
        <w:outlineLvl w:val="1"/>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三、需要落实的政府采购政策</w:t>
      </w:r>
    </w:p>
    <w:p w14:paraId="6085E013">
      <w:pPr>
        <w:pStyle w:val="392"/>
        <w:pageBreakBefore w:val="0"/>
        <w:kinsoku/>
        <w:wordWrap/>
        <w:overflowPunct/>
        <w:topLinePunct w:val="0"/>
        <w:bidi w:val="0"/>
        <w:spacing w:before="0" w:line="360" w:lineRule="auto"/>
        <w:ind w:firstLine="0" w:firstLineChars="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1.是否允许采购进口产品要求</w:t>
      </w:r>
    </w:p>
    <w:p w14:paraId="425C9990">
      <w:pPr>
        <w:pStyle w:val="31"/>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代理机构不会对其加以限制，仍将按照公平竞争原则实施采购）；</w:t>
      </w:r>
      <w:r>
        <w:rPr>
          <w:rFonts w:hint="eastAsia" w:ascii="宋体" w:hAnsi="宋体" w:eastAsia="宋体" w:cs="宋体"/>
          <w:color w:val="auto"/>
          <w:kern w:val="0"/>
          <w:sz w:val="21"/>
          <w:szCs w:val="21"/>
          <w:highlight w:val="none"/>
        </w:rPr>
        <w:t>优先采购向我国企业转让技术、与我国企业签订消化吸收再创新方案的供应商的进口产品</w:t>
      </w:r>
      <w:r>
        <w:rPr>
          <w:rFonts w:hint="eastAsia" w:ascii="宋体" w:hAnsi="宋体" w:eastAsia="宋体" w:cs="宋体"/>
          <w:color w:val="auto"/>
          <w:sz w:val="21"/>
          <w:szCs w:val="21"/>
          <w:highlight w:val="none"/>
        </w:rPr>
        <w:t>。</w:t>
      </w:r>
    </w:p>
    <w:p w14:paraId="59941FD0">
      <w:pPr>
        <w:pageBreakBefore w:val="0"/>
        <w:kinsoku/>
        <w:wordWrap/>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2.支持绿色发展</w:t>
      </w:r>
    </w:p>
    <w:p w14:paraId="552FC531">
      <w:pPr>
        <w:pageBreakBefore w:val="0"/>
        <w:kinsoku/>
        <w:wordWrap/>
        <w:overflowPunct/>
        <w:topLinePunct w:val="0"/>
        <w:bidi w:val="0"/>
        <w:spacing w:line="360" w:lineRule="auto"/>
        <w:ind w:firstLine="420" w:firstLineChars="20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2.1采购人拟采购的产品属于品目清单范围的，采购人及其委托的采购代理机构将依据国家确定的认证机构出具的、处于有效期之内的节能产品、环境标志产品认证证书，对获得证书的产品实施政府优先采购或强制采购。供应商须按采谈判文件要求提供相关产品认证证书。</w:t>
      </w:r>
      <w:r>
        <w:rPr>
          <w:rFonts w:hint="eastAsia" w:ascii="宋体" w:hAnsi="宋体" w:eastAsia="宋体" w:cs="宋体"/>
          <w:b/>
          <w:color w:val="auto"/>
          <w:sz w:val="21"/>
          <w:szCs w:val="21"/>
          <w:highlight w:val="none"/>
        </w:rPr>
        <w:t>▲采购人拟采购的产品属于政府强制采购的节能产品品目清单范围的，供应商相应的响应产品未获得国家确定的认证机构出具的、处于有效期之内的节能产品认证证书的，响应无效。</w:t>
      </w:r>
    </w:p>
    <w:p w14:paraId="71174271">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2.2纳入政府采购管理的修缮、装修类项目采购建材的，鼓励采购单位将绿色建材性能、指标等作为实质性条件纳入采购文件和合同，具体性能指标要求参考相关绿色建材政府采购需求标准。</w:t>
      </w:r>
    </w:p>
    <w:p w14:paraId="2CF6985E">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鼓励采购单位优先采购秸秆环保板材等资源综合利用产品。鼓励采购单位优先采购绿色物流配送服务、提供新能源交通工具的租赁服务。</w:t>
      </w:r>
    </w:p>
    <w:p w14:paraId="692F240D">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 鼓励供应商在参加政府采购过程中开展绿色设计、选择绿色材料、打造绿色制造工艺、开展绿色运输、做好废弃产品回收处理，实现产品全周期的绿色环保。鼓励采购单位对其提高预付款比例、免收履约保证金。</w:t>
      </w:r>
    </w:p>
    <w:p w14:paraId="04A4C7F9">
      <w:pPr>
        <w:pStyle w:val="31"/>
        <w:pageBreakBefore w:val="0"/>
        <w:kinsoku/>
        <w:wordWrap/>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3.支持中小企业发展。</w:t>
      </w:r>
    </w:p>
    <w:p w14:paraId="02C59B9C">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3.1中小企业，是指在中华人民共和国境内依法设立，依据国务院批准的中小企业划分标准确定的中型企业、小型企业和微型企业，但与大企业的负责人为同一人，或者与大企业存在直接控股、管理关系的除外。</w:t>
      </w:r>
    </w:p>
    <w:p w14:paraId="781B835F">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符合中小企业划分标准的个体工商户，在政府采购活动中视同中小企业。</w:t>
      </w:r>
    </w:p>
    <w:p w14:paraId="33837068">
      <w:pPr>
        <w:pageBreakBefore w:val="0"/>
        <w:widowControl/>
        <w:kinsoku/>
        <w:wordWrap/>
        <w:overflowPunct/>
        <w:topLinePunct w:val="0"/>
        <w:bidi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bCs/>
          <w:color w:val="auto"/>
          <w:sz w:val="21"/>
          <w:szCs w:val="21"/>
          <w:highlight w:val="none"/>
        </w:rPr>
        <w:t>3.2</w:t>
      </w:r>
      <w:r>
        <w:rPr>
          <w:rFonts w:hint="eastAsia" w:ascii="宋体" w:hAnsi="宋体" w:eastAsia="宋体" w:cs="宋体"/>
          <w:color w:val="auto"/>
          <w:kern w:val="0"/>
          <w:sz w:val="21"/>
          <w:szCs w:val="21"/>
          <w:highlight w:val="none"/>
        </w:rPr>
        <w:t>在政府采购活动中，投标人提供的货物符合下列情形的，享受中小企业扶持政策：在货物采购项目中，货物由中小企业制造，即货物由中小企业生产且使用该中小企业商号或者注册商标；在货物采购项目中，投标人提供的货物既有中小企业制造货物，也有大型企业制造货物的，不享受中小企业扶持政策。</w:t>
      </w:r>
    </w:p>
    <w:p w14:paraId="258A59EC">
      <w:pPr>
        <w:pageBreakBefore w:val="0"/>
        <w:widowControl/>
        <w:kinsoku/>
        <w:wordWrap/>
        <w:overflowPunct/>
        <w:topLinePunct w:val="0"/>
        <w:bidi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以联合体形式参加政府采购活动，联合体各方均为中小企业的，联合体视同中小企业。其中，联合体各方均为小微企业的，联合体视同小微企业。</w:t>
      </w:r>
    </w:p>
    <w:p w14:paraId="1D2014E0">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对于未预留份额专门面向中小企业采购的政府采购项目，以及预留份额政府采购项目中的非预留部分标项，对小型和微型企业的最后报价给予20%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最后报价给予6%的扣除，用扣除后的价格参加评审。组成联合体或者接受分包的小微企业与联合体内其他企业、分包企业之间存在直接控股、管理关系的，不享受价格扣除优惠政策。专门面向中小企业采购的政府采购项目或者采购包不再执行价格扣除政策。</w:t>
      </w:r>
    </w:p>
    <w:p w14:paraId="33432694">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3.4符合《关于促进残疾人就业政府采购政策的通知》（财库〔2017〕141号）规定的条件并提供《残疾人福利性单位声明函》（附件3）的残疾人福利性单位视同小型、微型企业；</w:t>
      </w:r>
    </w:p>
    <w:p w14:paraId="320A1D7A">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3.5符合《关于政府采购支持监狱企业发展有关问题的通知》（财库〔2014〕68号）规定的监狱企业并提供由省级以上监狱管理局、戒毒管理局（含新疆生产建设兵团）出具的属于监狱企业证明文件的，视同为小型、微型企业。</w:t>
      </w:r>
    </w:p>
    <w:p w14:paraId="48EB27EF">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3.6可享受中小企业扶持政策的供应商应按照谈判文件格式要求提供《中小企业声明函》，供应商提供的《中小企业声明函》与实际情况不符的，不享受中小企业扶持政策。声明内容不实的，属于提供虚假材料谋取中标、成交的，依法承担法律责任。</w:t>
      </w:r>
    </w:p>
    <w:p w14:paraId="1DA24489">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3.7中小企业享受扶持政策获得政府采购合同的，小微企业不得将合同分包给大中型企业，中型企业不得将合同分包给大型企业。</w:t>
      </w:r>
    </w:p>
    <w:p w14:paraId="6A30F02B">
      <w:pPr>
        <w:pageBreakBefore w:val="0"/>
        <w:kinsoku/>
        <w:wordWrap/>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4.</w:t>
      </w:r>
      <w:r>
        <w:rPr>
          <w:rFonts w:hint="eastAsia" w:ascii="宋体" w:hAnsi="宋体" w:eastAsia="宋体" w:cs="宋体"/>
          <w:b/>
          <w:bCs/>
          <w:color w:val="auto"/>
          <w:sz w:val="21"/>
          <w:szCs w:val="21"/>
          <w:highlight w:val="none"/>
        </w:rPr>
        <w:t>支持创新发展</w:t>
      </w:r>
    </w:p>
    <w:p w14:paraId="3D675395">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4.1 采购人优先采购被认定为首台套产品和“制造精品”的自主创新产品。</w:t>
      </w:r>
    </w:p>
    <w:p w14:paraId="4210AAED">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4.2首台套产品被纳入《首台套产品推广应用指导目录》之日起3年内，以及产品核心技术高于国内领先水平，并具有明晰自主知识产权的“制造精品”产品，自认定之日起2年内视同已具备相应销售业绩，参加政府采购活动时优先采购。</w:t>
      </w:r>
    </w:p>
    <w:p w14:paraId="78A7B191">
      <w:pPr>
        <w:pageBreakBefore w:val="0"/>
        <w:kinsoku/>
        <w:wordWrap/>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5.平等对待内外资企业</w:t>
      </w:r>
    </w:p>
    <w:p w14:paraId="3CC85CAF">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政府采购依法对内外资企业在中国境内生产的产品（包括提供的服务）平等对待，不论其供应商是内资还是外资企业，均应依法保障其平等参与政府采购活动的权利。不得以所有制形式、组织形式、股权结构、投资者国别、产品品牌以及其他不合理的条件对供应商予以限定。平等对待内外资企业，切实保障企业公平竞争，平等维护企业的合法利益。</w:t>
      </w:r>
    </w:p>
    <w:p w14:paraId="24FFF4CA">
      <w:pPr>
        <w:pStyle w:val="631"/>
        <w:pageBreakBefore w:val="0"/>
        <w:kinsoku/>
        <w:wordWrap/>
        <w:overflowPunct/>
        <w:topLinePunct w:val="0"/>
        <w:bidi w:val="0"/>
        <w:spacing w:line="360" w:lineRule="auto"/>
        <w:ind w:firstLine="0"/>
        <w:rPr>
          <w:rFonts w:hint="eastAsia" w:ascii="宋体" w:hAnsi="宋体" w:eastAsia="宋体" w:cs="宋体"/>
          <w:b/>
          <w:bCs/>
          <w:color w:val="auto"/>
          <w:sz w:val="21"/>
          <w:szCs w:val="21"/>
          <w:highlight w:val="none"/>
        </w:rPr>
      </w:pPr>
      <w:r>
        <w:rPr>
          <w:rFonts w:hint="eastAsia" w:ascii="宋体" w:hAnsi="宋体" w:eastAsia="宋体" w:cs="宋体"/>
          <w:b/>
          <w:color w:val="auto"/>
          <w:sz w:val="21"/>
          <w:szCs w:val="21"/>
          <w:highlight w:val="none"/>
        </w:rPr>
        <w:t>6.平等对待符合条件的破产重整企业</w:t>
      </w:r>
    </w:p>
    <w:p w14:paraId="05C698A9">
      <w:pPr>
        <w:pStyle w:val="631"/>
        <w:pageBreakBefore w:val="0"/>
        <w:kinsoku/>
        <w:wordWrap/>
        <w:overflowPunct/>
        <w:topLinePunct w:val="0"/>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平等对待符合条件的破产重整企业，切实保障企业公平竞争，平等维护企业的合法利益。</w:t>
      </w:r>
    </w:p>
    <w:p w14:paraId="7335C19B">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p>
    <w:p w14:paraId="32BB5B71">
      <w:pPr>
        <w:pageBreakBefore w:val="0"/>
        <w:kinsoku/>
        <w:wordWrap/>
        <w:overflowPunct/>
        <w:topLinePunct w:val="0"/>
        <w:bidi w:val="0"/>
        <w:adjustRightInd/>
        <w:spacing w:line="360" w:lineRule="auto"/>
        <w:jc w:val="center"/>
        <w:outlineLvl w:val="1"/>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四、询问、质疑与投诉</w:t>
      </w:r>
    </w:p>
    <w:p w14:paraId="6D844312">
      <w:pPr>
        <w:pStyle w:val="31"/>
        <w:pageBreakBefore w:val="0"/>
        <w:kinsoku/>
        <w:wordWrap/>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1.在线询问、质疑、投诉</w:t>
      </w:r>
    </w:p>
    <w:p w14:paraId="29FE4CF2">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根据《北海市财政局  北海市政府采购中心关于启用政府采购在线询问、质疑、投诉功能的通知》（北财采〔2022〕23号）文件要求，鼓励供应商在线提起询问、质疑、投诉，路径为：供应商可通过北海“广西政府采购云”平台进入“项目采购-询问质疑投诉”栏目在线提起询问、质疑，对质疑答复不满意或者未收到答复的可以向监督部门在线提起投诉。内外资企业在政府采购活动中，凡认为采购文件、采购过程、中标或者成交结果使自身权益受到损害的，均可依照相关规定提起质疑和投诉。</w:t>
      </w:r>
    </w:p>
    <w:p w14:paraId="68479758">
      <w:pPr>
        <w:pageBreakBefore w:val="0"/>
        <w:kinsoku/>
        <w:wordWrap/>
        <w:overflowPunct/>
        <w:topLinePunct w:val="0"/>
        <w:bidi w:val="0"/>
        <w:spacing w:line="360" w:lineRule="auto"/>
        <w:ind w:firstLine="420" w:firstLineChars="200"/>
        <w:rPr>
          <w:rFonts w:hint="eastAsia" w:ascii="宋体" w:hAnsi="宋体" w:eastAsia="宋体" w:cs="宋体"/>
          <w:b w:val="0"/>
          <w:bCs/>
          <w:color w:val="auto"/>
          <w:sz w:val="21"/>
          <w:szCs w:val="21"/>
          <w:highlight w:val="none"/>
          <w:lang w:val="zh-CN"/>
        </w:rPr>
      </w:pPr>
      <w:r>
        <w:rPr>
          <w:rFonts w:hint="eastAsia" w:ascii="宋体" w:hAnsi="宋体" w:eastAsia="宋体" w:cs="宋体"/>
          <w:b w:val="0"/>
          <w:bCs/>
          <w:color w:val="auto"/>
          <w:sz w:val="21"/>
          <w:szCs w:val="21"/>
          <w:highlight w:val="none"/>
          <w:lang w:val="zh-CN"/>
        </w:rPr>
        <w:t>询问联系部门：</w:t>
      </w:r>
      <w:r>
        <w:rPr>
          <w:rFonts w:hint="eastAsia" w:ascii="宋体" w:hAnsi="宋体" w:eastAsia="宋体" w:cs="宋体"/>
          <w:b w:val="0"/>
          <w:bCs/>
          <w:color w:val="auto"/>
          <w:sz w:val="21"/>
          <w:szCs w:val="21"/>
          <w:highlight w:val="none"/>
          <w:lang w:val="zh-CN" w:eastAsia="zh-CN"/>
        </w:rPr>
        <w:t>广西北部湾宏亚建设管理有限公司</w:t>
      </w:r>
      <w:r>
        <w:rPr>
          <w:rFonts w:hint="eastAsia" w:ascii="宋体" w:hAnsi="宋体" w:eastAsia="宋体" w:cs="宋体"/>
          <w:b w:val="0"/>
          <w:bCs/>
          <w:color w:val="auto"/>
          <w:sz w:val="21"/>
          <w:szCs w:val="21"/>
          <w:highlight w:val="none"/>
          <w:lang w:val="zh-CN"/>
        </w:rPr>
        <w:t xml:space="preserve">  </w:t>
      </w:r>
    </w:p>
    <w:p w14:paraId="16B7E3B2">
      <w:pPr>
        <w:pageBreakBefore w:val="0"/>
        <w:kinsoku/>
        <w:wordWrap/>
        <w:overflowPunct/>
        <w:topLinePunct w:val="0"/>
        <w:bidi w:val="0"/>
        <w:spacing w:line="360" w:lineRule="auto"/>
        <w:ind w:firstLine="420" w:firstLineChars="200"/>
        <w:rPr>
          <w:rFonts w:hint="eastAsia" w:ascii="宋体" w:hAnsi="宋体" w:eastAsia="宋体" w:cs="宋体"/>
          <w:b w:val="0"/>
          <w:bCs/>
          <w:color w:val="auto"/>
          <w:sz w:val="21"/>
          <w:szCs w:val="21"/>
          <w:highlight w:val="none"/>
          <w:lang w:val="zh-CN"/>
        </w:rPr>
      </w:pPr>
      <w:r>
        <w:rPr>
          <w:rFonts w:hint="eastAsia" w:ascii="宋体" w:hAnsi="宋体" w:eastAsia="宋体" w:cs="宋体"/>
          <w:b w:val="0"/>
          <w:bCs/>
          <w:color w:val="auto"/>
          <w:sz w:val="21"/>
          <w:szCs w:val="21"/>
          <w:highlight w:val="none"/>
          <w:lang w:val="zh-CN"/>
        </w:rPr>
        <w:t>联系电话：</w:t>
      </w:r>
      <w:r>
        <w:rPr>
          <w:rFonts w:hint="eastAsia" w:ascii="宋体" w:hAnsi="宋体" w:eastAsia="宋体" w:cs="宋体"/>
          <w:b w:val="0"/>
          <w:bCs/>
          <w:color w:val="auto"/>
          <w:sz w:val="21"/>
          <w:szCs w:val="21"/>
          <w:highlight w:val="none"/>
          <w:lang w:val="zh-CN" w:eastAsia="zh-CN"/>
        </w:rPr>
        <w:t>0779-3928925</w:t>
      </w:r>
      <w:r>
        <w:rPr>
          <w:rFonts w:hint="eastAsia" w:ascii="宋体" w:hAnsi="宋体" w:eastAsia="宋体" w:cs="宋体"/>
          <w:b w:val="0"/>
          <w:bCs/>
          <w:color w:val="auto"/>
          <w:sz w:val="21"/>
          <w:szCs w:val="21"/>
          <w:highlight w:val="none"/>
          <w:lang w:val="zh-CN"/>
        </w:rPr>
        <w:t xml:space="preserve"> </w:t>
      </w:r>
      <w:r>
        <w:rPr>
          <w:rFonts w:hint="eastAsia" w:ascii="宋体" w:hAnsi="宋体" w:eastAsia="宋体" w:cs="宋体"/>
          <w:b w:val="0"/>
          <w:bCs/>
          <w:color w:val="auto"/>
          <w:sz w:val="21"/>
          <w:szCs w:val="21"/>
          <w:highlight w:val="none"/>
          <w:lang w:val="zh-CN" w:eastAsia="zh-CN"/>
        </w:rPr>
        <w:t xml:space="preserve"> </w:t>
      </w:r>
      <w:r>
        <w:rPr>
          <w:rFonts w:hint="eastAsia" w:ascii="宋体" w:hAnsi="宋体" w:eastAsia="宋体" w:cs="宋体"/>
          <w:b w:val="0"/>
          <w:bCs/>
          <w:color w:val="auto"/>
          <w:sz w:val="21"/>
          <w:szCs w:val="21"/>
          <w:highlight w:val="none"/>
          <w:lang w:val="zh-CN"/>
        </w:rPr>
        <w:t>地址：北海市海城区银河城市科技产业城2幢0101号</w:t>
      </w:r>
    </w:p>
    <w:p w14:paraId="587A8A50">
      <w:pPr>
        <w:pageBreakBefore w:val="0"/>
        <w:kinsoku/>
        <w:wordWrap/>
        <w:overflowPunct/>
        <w:topLinePunct w:val="0"/>
        <w:bidi w:val="0"/>
        <w:spacing w:line="360" w:lineRule="auto"/>
        <w:ind w:firstLine="420" w:firstLineChars="200"/>
        <w:rPr>
          <w:rFonts w:hint="eastAsia" w:ascii="宋体" w:hAnsi="宋体" w:eastAsia="宋体" w:cs="宋体"/>
          <w:b w:val="0"/>
          <w:bCs/>
          <w:color w:val="auto"/>
          <w:sz w:val="21"/>
          <w:szCs w:val="21"/>
          <w:highlight w:val="none"/>
          <w:lang w:val="zh-CN"/>
        </w:rPr>
      </w:pPr>
      <w:r>
        <w:rPr>
          <w:rFonts w:hint="eastAsia" w:ascii="宋体" w:hAnsi="宋体" w:eastAsia="宋体" w:cs="宋体"/>
          <w:b w:val="0"/>
          <w:bCs/>
          <w:color w:val="auto"/>
          <w:sz w:val="21"/>
          <w:szCs w:val="21"/>
          <w:highlight w:val="none"/>
          <w:lang w:val="zh-CN"/>
        </w:rPr>
        <w:t>质疑联系部门：</w:t>
      </w:r>
      <w:r>
        <w:rPr>
          <w:rFonts w:hint="eastAsia" w:ascii="宋体" w:hAnsi="宋体" w:eastAsia="宋体" w:cs="宋体"/>
          <w:b w:val="0"/>
          <w:bCs/>
          <w:color w:val="auto"/>
          <w:sz w:val="21"/>
          <w:szCs w:val="21"/>
          <w:highlight w:val="none"/>
          <w:lang w:val="zh-CN" w:eastAsia="zh-CN"/>
        </w:rPr>
        <w:t>广西北部湾宏亚建设管理有限公司</w:t>
      </w:r>
      <w:r>
        <w:rPr>
          <w:rFonts w:hint="eastAsia" w:ascii="宋体" w:hAnsi="宋体" w:eastAsia="宋体" w:cs="宋体"/>
          <w:b w:val="0"/>
          <w:bCs/>
          <w:color w:val="auto"/>
          <w:sz w:val="21"/>
          <w:szCs w:val="21"/>
          <w:highlight w:val="none"/>
          <w:lang w:val="zh-CN"/>
        </w:rPr>
        <w:t xml:space="preserve">        </w:t>
      </w:r>
    </w:p>
    <w:p w14:paraId="43942AA4">
      <w:pPr>
        <w:pageBreakBefore w:val="0"/>
        <w:kinsoku/>
        <w:wordWrap/>
        <w:overflowPunct/>
        <w:topLinePunct w:val="0"/>
        <w:bidi w:val="0"/>
        <w:spacing w:line="360" w:lineRule="auto"/>
        <w:ind w:firstLine="420" w:firstLineChars="200"/>
        <w:rPr>
          <w:rFonts w:hint="eastAsia" w:ascii="宋体" w:hAnsi="宋体" w:eastAsia="宋体" w:cs="宋体"/>
          <w:b w:val="0"/>
          <w:bCs/>
          <w:color w:val="auto"/>
          <w:sz w:val="21"/>
          <w:szCs w:val="21"/>
          <w:highlight w:val="none"/>
          <w:lang w:val="zh-CN"/>
        </w:rPr>
      </w:pPr>
      <w:r>
        <w:rPr>
          <w:rFonts w:hint="eastAsia" w:ascii="宋体" w:hAnsi="宋体" w:eastAsia="宋体" w:cs="宋体"/>
          <w:b w:val="0"/>
          <w:bCs/>
          <w:color w:val="auto"/>
          <w:sz w:val="21"/>
          <w:szCs w:val="21"/>
          <w:highlight w:val="none"/>
          <w:lang w:val="zh-CN"/>
        </w:rPr>
        <w:t>联系电话：</w:t>
      </w:r>
      <w:r>
        <w:rPr>
          <w:rFonts w:hint="eastAsia" w:ascii="宋体" w:hAnsi="宋体" w:eastAsia="宋体" w:cs="宋体"/>
          <w:b w:val="0"/>
          <w:bCs/>
          <w:color w:val="auto"/>
          <w:sz w:val="21"/>
          <w:szCs w:val="21"/>
          <w:highlight w:val="none"/>
          <w:lang w:val="zh-CN" w:eastAsia="zh-CN"/>
        </w:rPr>
        <w:t>0779-3928925</w:t>
      </w:r>
      <w:r>
        <w:rPr>
          <w:rFonts w:hint="eastAsia" w:ascii="宋体" w:hAnsi="宋体" w:eastAsia="宋体" w:cs="宋体"/>
          <w:b w:val="0"/>
          <w:bCs/>
          <w:color w:val="auto"/>
          <w:sz w:val="21"/>
          <w:szCs w:val="21"/>
          <w:highlight w:val="none"/>
          <w:lang w:val="zh-CN"/>
        </w:rPr>
        <w:t xml:space="preserve">  地址：北海市海城区银河城市科技产业城2幢0101号 </w:t>
      </w:r>
    </w:p>
    <w:p w14:paraId="685E3DC3">
      <w:pPr>
        <w:pageBreakBefore w:val="0"/>
        <w:kinsoku/>
        <w:wordWrap/>
        <w:overflowPunct/>
        <w:topLinePunct w:val="0"/>
        <w:bidi w:val="0"/>
        <w:spacing w:line="360" w:lineRule="auto"/>
        <w:ind w:firstLine="420" w:firstLineChars="200"/>
        <w:rPr>
          <w:rFonts w:hint="eastAsia" w:ascii="宋体" w:hAnsi="宋体" w:eastAsia="宋体" w:cs="宋体"/>
          <w:b w:val="0"/>
          <w:bCs/>
          <w:color w:val="auto"/>
          <w:sz w:val="21"/>
          <w:szCs w:val="21"/>
          <w:highlight w:val="none"/>
          <w:lang w:val="zh-CN"/>
        </w:rPr>
      </w:pPr>
      <w:r>
        <w:rPr>
          <w:rFonts w:hint="eastAsia" w:ascii="宋体" w:hAnsi="宋体" w:eastAsia="宋体" w:cs="宋体"/>
          <w:b w:val="0"/>
          <w:bCs/>
          <w:color w:val="auto"/>
          <w:sz w:val="21"/>
          <w:szCs w:val="21"/>
          <w:highlight w:val="none"/>
          <w:lang w:val="zh-CN"/>
        </w:rPr>
        <w:t>投诉联系部门：</w:t>
      </w:r>
      <w:r>
        <w:rPr>
          <w:rFonts w:hint="eastAsia" w:ascii="宋体" w:hAnsi="宋体" w:eastAsia="宋体" w:cs="宋体"/>
          <w:b w:val="0"/>
          <w:bCs/>
          <w:color w:val="auto"/>
          <w:sz w:val="21"/>
          <w:szCs w:val="21"/>
          <w:highlight w:val="none"/>
          <w:lang w:val="zh-CN" w:eastAsia="zh-CN"/>
        </w:rPr>
        <w:t>北海市财政局政府采购管理科</w:t>
      </w:r>
      <w:r>
        <w:rPr>
          <w:rFonts w:hint="eastAsia" w:ascii="宋体" w:hAnsi="宋体" w:eastAsia="宋体" w:cs="宋体"/>
          <w:b w:val="0"/>
          <w:bCs/>
          <w:color w:val="auto"/>
          <w:sz w:val="21"/>
          <w:szCs w:val="21"/>
          <w:highlight w:val="none"/>
          <w:lang w:val="zh-CN"/>
        </w:rPr>
        <w:t xml:space="preserve">     </w:t>
      </w:r>
    </w:p>
    <w:p w14:paraId="2E7F340A">
      <w:pPr>
        <w:pageBreakBefore w:val="0"/>
        <w:kinsoku/>
        <w:wordWrap/>
        <w:overflowPunct/>
        <w:topLinePunct w:val="0"/>
        <w:bidi w:val="0"/>
        <w:spacing w:line="360" w:lineRule="auto"/>
        <w:ind w:firstLine="420" w:firstLineChars="200"/>
        <w:rPr>
          <w:rFonts w:hint="eastAsia" w:ascii="宋体" w:hAnsi="宋体" w:eastAsia="宋体" w:cs="宋体"/>
          <w:b w:val="0"/>
          <w:bCs/>
          <w:color w:val="auto"/>
          <w:sz w:val="21"/>
          <w:szCs w:val="21"/>
          <w:highlight w:val="none"/>
          <w:lang w:val="zh-CN"/>
        </w:rPr>
      </w:pPr>
      <w:r>
        <w:rPr>
          <w:rFonts w:hint="eastAsia" w:ascii="宋体" w:hAnsi="宋体" w:eastAsia="宋体" w:cs="宋体"/>
          <w:b w:val="0"/>
          <w:bCs/>
          <w:color w:val="auto"/>
          <w:sz w:val="21"/>
          <w:szCs w:val="21"/>
          <w:highlight w:val="none"/>
          <w:lang w:val="zh-CN"/>
        </w:rPr>
        <w:t>联系电话：0779-3063975  地址：北海市海城区北部湾西路19号</w:t>
      </w:r>
    </w:p>
    <w:p w14:paraId="4C377A7C">
      <w:pPr>
        <w:pageBreakBefore w:val="0"/>
        <w:kinsoku/>
        <w:wordWrap/>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 供应商询问</w:t>
      </w:r>
    </w:p>
    <w:p w14:paraId="251C37CB">
      <w:pPr>
        <w:pageBreakBefore w:val="0"/>
        <w:kinsoku/>
        <w:wordWrap/>
        <w:overflowPunct/>
        <w:topLinePunct w:val="0"/>
        <w:autoSpaceDE w:val="0"/>
        <w:autoSpaceDN w:val="0"/>
        <w:bidi w:val="0"/>
        <w:spacing w:line="360" w:lineRule="auto"/>
        <w:ind w:firstLine="420" w:firstLineChars="200"/>
        <w:jc w:val="left"/>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的，采购代理机构应当告知供应商向采购人提出。</w:t>
      </w:r>
    </w:p>
    <w:p w14:paraId="17CB3954">
      <w:pPr>
        <w:pageBreakBefore w:val="0"/>
        <w:kinsoku/>
        <w:wordWrap/>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3. 供应商质疑</w:t>
      </w:r>
    </w:p>
    <w:p w14:paraId="74F209E8">
      <w:pPr>
        <w:pStyle w:val="31"/>
        <w:pageBreakBefore w:val="0"/>
        <w:kinsoku/>
        <w:wordWrap/>
        <w:overflowPunct/>
        <w:topLinePunct w:val="0"/>
        <w:bidi w:val="0"/>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kern w:val="0"/>
          <w:sz w:val="21"/>
          <w:szCs w:val="21"/>
          <w:highlight w:val="none"/>
          <w:lang w:val="zh-CN"/>
        </w:rPr>
        <w:t>3</w:t>
      </w:r>
      <w:r>
        <w:rPr>
          <w:rFonts w:hint="eastAsia" w:ascii="宋体" w:hAnsi="宋体" w:eastAsia="宋体" w:cs="宋体"/>
          <w:b/>
          <w:color w:val="auto"/>
          <w:sz w:val="21"/>
          <w:szCs w:val="21"/>
          <w:highlight w:val="none"/>
        </w:rPr>
        <w:t>.1质疑提出时效</w:t>
      </w:r>
    </w:p>
    <w:p w14:paraId="09E990A9">
      <w:pPr>
        <w:pStyle w:val="31"/>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3.1.1提出质疑的供应商应当是参与所质疑项目采购活动的供应商。潜在供应商已依法获取其可质疑的采购文件的，可以对该文件提出质疑。</w:t>
      </w:r>
    </w:p>
    <w:p w14:paraId="3CAB9E07">
      <w:pPr>
        <w:pStyle w:val="31"/>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zh-CN"/>
        </w:rPr>
        <w:t>3</w:t>
      </w:r>
      <w:r>
        <w:rPr>
          <w:rFonts w:hint="eastAsia" w:ascii="宋体" w:hAnsi="宋体" w:eastAsia="宋体" w:cs="宋体"/>
          <w:color w:val="auto"/>
          <w:sz w:val="21"/>
          <w:szCs w:val="21"/>
          <w:highlight w:val="none"/>
        </w:rPr>
        <w:t>.1.2供应商认为采购文件、采购过程和成交结果使自己的权益受到损害的，可以在知道或者应知其权益受到损害之日起七个工作日内，以书面形式向采购人或者采购代理机构提出质疑，否则，采购人或者采购代理机构不予受理：</w:t>
      </w:r>
    </w:p>
    <w:p w14:paraId="3BC27E84">
      <w:pPr>
        <w:pStyle w:val="15"/>
        <w:pageBreakBefore w:val="0"/>
        <w:kinsoku/>
        <w:wordWrap/>
        <w:overflowPunct/>
        <w:topLinePunct w:val="0"/>
        <w:bidi w:val="0"/>
        <w:spacing w:line="360" w:lineRule="auto"/>
        <w:ind w:firstLine="380" w:firstLineChars="181"/>
        <w:rPr>
          <w:rFonts w:hint="eastAsia" w:ascii="宋体" w:hAnsi="宋体" w:eastAsia="宋体" w:cs="宋体"/>
          <w:snapToGrid/>
          <w:color w:val="auto"/>
          <w:kern w:val="2"/>
          <w:sz w:val="21"/>
          <w:szCs w:val="21"/>
          <w:highlight w:val="none"/>
        </w:rPr>
      </w:pPr>
      <w:r>
        <w:rPr>
          <w:rFonts w:hint="eastAsia" w:ascii="宋体" w:hAnsi="宋体" w:eastAsia="宋体" w:cs="宋体"/>
          <w:snapToGrid/>
          <w:color w:val="auto"/>
          <w:kern w:val="2"/>
          <w:sz w:val="21"/>
          <w:szCs w:val="21"/>
          <w:highlight w:val="none"/>
        </w:rPr>
        <w:t>3.1.2.1对采购文件提出质疑的，质疑期限为供应商获得采购文件之日或者采购文件公告期限届满之日起计算，采购文件在获取截止之日后获得的，应当自采购文件公告期限届满之日起计算。</w:t>
      </w:r>
    </w:p>
    <w:p w14:paraId="02AF4516">
      <w:pPr>
        <w:pStyle w:val="31"/>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3.1.2.2对采购过程提出质疑的，质疑期限为各采购程序环节结束之日起计算。</w:t>
      </w:r>
    </w:p>
    <w:p w14:paraId="2260A518">
      <w:pPr>
        <w:pStyle w:val="31"/>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3.1.2.3对采购结果提出质疑的，质疑期限自采购结果公告期限届满之日起计算。</w:t>
      </w:r>
    </w:p>
    <w:p w14:paraId="77A6A059">
      <w:pPr>
        <w:pStyle w:val="31"/>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3.1.2.4对同一采购程序环节的质疑，供应商须一次性提出。</w:t>
      </w:r>
    </w:p>
    <w:p w14:paraId="705BFA7F">
      <w:pPr>
        <w:pStyle w:val="31"/>
        <w:pageBreakBefore w:val="0"/>
        <w:kinsoku/>
        <w:wordWrap/>
        <w:overflowPunct/>
        <w:topLinePunct w:val="0"/>
        <w:bidi w:val="0"/>
        <w:spacing w:line="360"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3.2质疑答复</w:t>
      </w:r>
    </w:p>
    <w:p w14:paraId="2F2D319C">
      <w:pPr>
        <w:pStyle w:val="31"/>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3.2.1根据采购人与采购代理机构签订的采购委托协议，质疑答复责任主体如下：</w:t>
      </w:r>
    </w:p>
    <w:p w14:paraId="73D10424">
      <w:pPr>
        <w:pageBreakBefore w:val="0"/>
        <w:widowControl/>
        <w:kinsoku/>
        <w:wordWrap/>
        <w:overflowPunct/>
        <w:topLinePunct w:val="0"/>
        <w:bidi w:val="0"/>
        <w:adjustRightInd/>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质疑答复责任主体一览表</w:t>
      </w:r>
    </w:p>
    <w:tbl>
      <w:tblPr>
        <w:tblStyle w:val="6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18"/>
        <w:gridCol w:w="4536"/>
        <w:gridCol w:w="2232"/>
      </w:tblGrid>
      <w:tr w14:paraId="06152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4" w:type="dxa"/>
            <w:gridSpan w:val="2"/>
            <w:vAlign w:val="center"/>
          </w:tcPr>
          <w:p w14:paraId="07D0E6B6">
            <w:pPr>
              <w:pStyle w:val="31"/>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质疑内容</w:t>
            </w:r>
          </w:p>
        </w:tc>
        <w:tc>
          <w:tcPr>
            <w:tcW w:w="2232" w:type="dxa"/>
            <w:vAlign w:val="center"/>
          </w:tcPr>
          <w:p w14:paraId="052C8CAD">
            <w:pPr>
              <w:pStyle w:val="31"/>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质疑答复责任主体</w:t>
            </w:r>
          </w:p>
        </w:tc>
      </w:tr>
      <w:tr w14:paraId="7C9F4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restart"/>
            <w:vAlign w:val="center"/>
          </w:tcPr>
          <w:p w14:paraId="6C0F8C22">
            <w:pPr>
              <w:pStyle w:val="31"/>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对采购文件提出质疑</w:t>
            </w:r>
          </w:p>
        </w:tc>
        <w:tc>
          <w:tcPr>
            <w:tcW w:w="4536" w:type="dxa"/>
            <w:vAlign w:val="center"/>
          </w:tcPr>
          <w:p w14:paraId="4C80BC7B">
            <w:pPr>
              <w:pStyle w:val="31"/>
              <w:pageBreakBefore w:val="0"/>
              <w:kinsoku/>
              <w:wordWrap/>
              <w:overflowPunct/>
              <w:topLinePunct w:val="0"/>
              <w:bidi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对采购文件中特定资格条件、采购需求提出的质疑</w:t>
            </w:r>
          </w:p>
        </w:tc>
        <w:tc>
          <w:tcPr>
            <w:tcW w:w="2232" w:type="dxa"/>
            <w:vAlign w:val="center"/>
          </w:tcPr>
          <w:p w14:paraId="25439F36">
            <w:pPr>
              <w:pStyle w:val="31"/>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采购人</w:t>
            </w:r>
          </w:p>
        </w:tc>
      </w:tr>
      <w:tr w14:paraId="3EEBE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continue"/>
            <w:vAlign w:val="center"/>
          </w:tcPr>
          <w:p w14:paraId="178570F8">
            <w:pPr>
              <w:pStyle w:val="31"/>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p>
        </w:tc>
        <w:tc>
          <w:tcPr>
            <w:tcW w:w="4536" w:type="dxa"/>
            <w:vAlign w:val="center"/>
          </w:tcPr>
          <w:p w14:paraId="76AC1682">
            <w:pPr>
              <w:pStyle w:val="31"/>
              <w:pageBreakBefore w:val="0"/>
              <w:kinsoku/>
              <w:wordWrap/>
              <w:overflowPunct/>
              <w:topLinePunct w:val="0"/>
              <w:bidi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对采购文件中其他内容提出的质疑</w:t>
            </w:r>
          </w:p>
        </w:tc>
        <w:tc>
          <w:tcPr>
            <w:tcW w:w="2232" w:type="dxa"/>
            <w:vAlign w:val="center"/>
          </w:tcPr>
          <w:p w14:paraId="56A43ECF">
            <w:pPr>
              <w:pStyle w:val="31"/>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采购代理机构</w:t>
            </w:r>
          </w:p>
        </w:tc>
      </w:tr>
      <w:tr w14:paraId="70212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restart"/>
            <w:vAlign w:val="center"/>
          </w:tcPr>
          <w:p w14:paraId="670EC20F">
            <w:pPr>
              <w:pStyle w:val="31"/>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对采购过程提出质疑</w:t>
            </w:r>
          </w:p>
        </w:tc>
        <w:tc>
          <w:tcPr>
            <w:tcW w:w="4536" w:type="dxa"/>
            <w:vAlign w:val="center"/>
          </w:tcPr>
          <w:p w14:paraId="1792B0CF">
            <w:pPr>
              <w:pStyle w:val="31"/>
              <w:pageBreakBefore w:val="0"/>
              <w:kinsoku/>
              <w:wordWrap/>
              <w:overflowPunct/>
              <w:topLinePunct w:val="0"/>
              <w:bidi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有关现场考察或开启响应文件前答疑会事项提出的质疑</w:t>
            </w:r>
          </w:p>
        </w:tc>
        <w:tc>
          <w:tcPr>
            <w:tcW w:w="2232" w:type="dxa"/>
            <w:vAlign w:val="center"/>
          </w:tcPr>
          <w:p w14:paraId="5EBDEB9A">
            <w:pPr>
              <w:pStyle w:val="31"/>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采购人</w:t>
            </w:r>
          </w:p>
        </w:tc>
      </w:tr>
      <w:tr w14:paraId="7B052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continue"/>
            <w:vAlign w:val="center"/>
          </w:tcPr>
          <w:p w14:paraId="737F07A4">
            <w:pPr>
              <w:pStyle w:val="31"/>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p>
        </w:tc>
        <w:tc>
          <w:tcPr>
            <w:tcW w:w="4536" w:type="dxa"/>
            <w:vAlign w:val="center"/>
          </w:tcPr>
          <w:p w14:paraId="0F40C9A3">
            <w:pPr>
              <w:pStyle w:val="31"/>
              <w:pageBreakBefore w:val="0"/>
              <w:kinsoku/>
              <w:wordWrap/>
              <w:overflowPunct/>
              <w:topLinePunct w:val="0"/>
              <w:bidi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对采购过程中其它事项提出的质疑</w:t>
            </w:r>
          </w:p>
        </w:tc>
        <w:tc>
          <w:tcPr>
            <w:tcW w:w="2232" w:type="dxa"/>
            <w:vAlign w:val="center"/>
          </w:tcPr>
          <w:p w14:paraId="1FD9199D">
            <w:pPr>
              <w:pStyle w:val="31"/>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采购代理机构</w:t>
            </w:r>
          </w:p>
        </w:tc>
      </w:tr>
      <w:tr w14:paraId="15A78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Align w:val="center"/>
          </w:tcPr>
          <w:p w14:paraId="3FFDCAA2">
            <w:pPr>
              <w:pStyle w:val="31"/>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对采购结果提出质疑</w:t>
            </w:r>
          </w:p>
        </w:tc>
        <w:tc>
          <w:tcPr>
            <w:tcW w:w="4536" w:type="dxa"/>
            <w:vAlign w:val="center"/>
          </w:tcPr>
          <w:p w14:paraId="450F7096">
            <w:pPr>
              <w:pStyle w:val="31"/>
              <w:pageBreakBefore w:val="0"/>
              <w:kinsoku/>
              <w:wordWrap/>
              <w:overflowPunct/>
              <w:topLinePunct w:val="0"/>
              <w:bidi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对采购结果提出的质疑</w:t>
            </w:r>
          </w:p>
        </w:tc>
        <w:tc>
          <w:tcPr>
            <w:tcW w:w="2232" w:type="dxa"/>
            <w:vAlign w:val="center"/>
          </w:tcPr>
          <w:p w14:paraId="1F8D35D1">
            <w:pPr>
              <w:pStyle w:val="31"/>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采购代理机构</w:t>
            </w:r>
          </w:p>
        </w:tc>
      </w:tr>
    </w:tbl>
    <w:p w14:paraId="395E632D">
      <w:pPr>
        <w:pStyle w:val="31"/>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注：采购人或代理机构应当协助质疑答复责任主体及时答复供应商的书面质疑。</w:t>
      </w:r>
    </w:p>
    <w:p w14:paraId="2CC19687">
      <w:pPr>
        <w:pStyle w:val="31"/>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3.2.2采购人或者采购代理机构应当在收到供应商的书面质疑后七个工作日内作出答复，并以书面形式通知质疑供应商和其他与质疑处理结果有利害关系的政府采购当事人，但答复的内容不得涉及商业秘密。采购人或者采购代理机构应当质疑回复后5个工作日内，在广西政府采购网公开质疑答复，答复内容应当完整。</w:t>
      </w:r>
    </w:p>
    <w:p w14:paraId="71531C44">
      <w:pPr>
        <w:pStyle w:val="31"/>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 2.3询问或者质疑事项可能影响采购结果的，采购人应当暂停签订合同，已经签订合同的，应当中止履行合同。</w:t>
      </w:r>
    </w:p>
    <w:p w14:paraId="4E9B9BFC">
      <w:pPr>
        <w:pStyle w:val="31"/>
        <w:pageBreakBefore w:val="0"/>
        <w:kinsoku/>
        <w:wordWrap/>
        <w:overflowPunct/>
        <w:topLinePunct w:val="0"/>
        <w:bidi w:val="0"/>
        <w:spacing w:line="360"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b/>
          <w:color w:val="auto"/>
          <w:kern w:val="0"/>
          <w:sz w:val="21"/>
          <w:szCs w:val="21"/>
          <w:highlight w:val="none"/>
          <w:lang w:val="zh-CN"/>
        </w:rPr>
        <w:t>3.3质疑函</w:t>
      </w:r>
    </w:p>
    <w:p w14:paraId="4C61DFF4">
      <w:pPr>
        <w:pStyle w:val="31"/>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3.3.1供应商提出质疑应当提交质疑函和必要的证明材料。质疑函应当包括下列内容：</w:t>
      </w:r>
    </w:p>
    <w:p w14:paraId="77178CE2">
      <w:pPr>
        <w:pStyle w:val="31"/>
        <w:pageBreakBefore w:val="0"/>
        <w:tabs>
          <w:tab w:val="left" w:pos="426"/>
          <w:tab w:val="left" w:pos="840"/>
        </w:tabs>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3.3.1.1供应商的姓名或者名称、地址、邮编、联系人及联系电话；</w:t>
      </w:r>
    </w:p>
    <w:p w14:paraId="77FE206E">
      <w:pPr>
        <w:pStyle w:val="31"/>
        <w:pageBreakBefore w:val="0"/>
        <w:tabs>
          <w:tab w:val="left" w:pos="426"/>
          <w:tab w:val="left" w:pos="840"/>
        </w:tabs>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3.3.1.2质疑项目的名称、编号；</w:t>
      </w:r>
    </w:p>
    <w:p w14:paraId="7802EB8A">
      <w:pPr>
        <w:pStyle w:val="31"/>
        <w:pageBreakBefore w:val="0"/>
        <w:tabs>
          <w:tab w:val="left" w:pos="426"/>
          <w:tab w:val="left" w:pos="840"/>
        </w:tabs>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3.3.1.3具体、明确的质疑事项和与质疑事项相关的请求；</w:t>
      </w:r>
    </w:p>
    <w:p w14:paraId="428733A4">
      <w:pPr>
        <w:pStyle w:val="31"/>
        <w:pageBreakBefore w:val="0"/>
        <w:tabs>
          <w:tab w:val="left" w:pos="426"/>
          <w:tab w:val="left" w:pos="840"/>
        </w:tabs>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3.3.1.4事实依据；</w:t>
      </w:r>
    </w:p>
    <w:p w14:paraId="14CB1D2D">
      <w:pPr>
        <w:pStyle w:val="31"/>
        <w:pageBreakBefore w:val="0"/>
        <w:tabs>
          <w:tab w:val="left" w:pos="426"/>
          <w:tab w:val="left" w:pos="840"/>
        </w:tabs>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3.3.1.5必要的法律依据；</w:t>
      </w:r>
    </w:p>
    <w:p w14:paraId="48637952">
      <w:pPr>
        <w:pStyle w:val="31"/>
        <w:pageBreakBefore w:val="0"/>
        <w:tabs>
          <w:tab w:val="left" w:pos="426"/>
          <w:tab w:val="left" w:pos="840"/>
        </w:tabs>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3.3.1.6提出质疑的日期。</w:t>
      </w:r>
    </w:p>
    <w:p w14:paraId="37A54F0F">
      <w:pPr>
        <w:pStyle w:val="31"/>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3.3.2供应商提交的质疑函需一式三份。供应商为自然人的，应当由本人签字；供应商为法人或者其他组织的，应当由法定代表人、主要负责人，或者其授权代表签字或者盖章，并加盖公章。</w:t>
      </w:r>
    </w:p>
    <w:p w14:paraId="24322CC7">
      <w:pPr>
        <w:pStyle w:val="31"/>
        <w:pageBreakBefore w:val="0"/>
        <w:kinsoku/>
        <w:wordWrap/>
        <w:overflowPunct/>
        <w:topLinePunct w:val="0"/>
        <w:bidi w:val="0"/>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质疑函范本及制作说明详见附件1。</w:t>
      </w:r>
    </w:p>
    <w:p w14:paraId="74C520EE">
      <w:pPr>
        <w:pageBreakBefore w:val="0"/>
        <w:kinsoku/>
        <w:wordWrap/>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4.供应商投诉</w:t>
      </w:r>
    </w:p>
    <w:p w14:paraId="05846181">
      <w:pPr>
        <w:pStyle w:val="31"/>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4.1质疑供应商对采购人、采购代理机构的答复不满意或者采购人、采购代理机构未在规定的时间内作出答复的，可以在答复期满后十五个工作日内向同级政府采购监督管理部门提出投诉。</w:t>
      </w:r>
    </w:p>
    <w:p w14:paraId="03EB4E3E">
      <w:pPr>
        <w:pStyle w:val="31"/>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4.2供应商投诉的事项不得超出已质疑事项的范围，基于质疑答复内容提出的投诉事项除外。</w:t>
      </w:r>
    </w:p>
    <w:p w14:paraId="0AA2307D">
      <w:pPr>
        <w:pStyle w:val="31"/>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4.3供应商投诉应当有明确的请求和必要的证明材料。</w:t>
      </w:r>
    </w:p>
    <w:p w14:paraId="1EDEBA2C">
      <w:pPr>
        <w:pStyle w:val="31"/>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4.4以联合体形式参加政府采购活动的，其投诉应当由组成联合体的所有供应商共同提出。</w:t>
      </w:r>
    </w:p>
    <w:p w14:paraId="1F4560D5">
      <w:pPr>
        <w:pStyle w:val="31"/>
        <w:pageBreakBefore w:val="0"/>
        <w:kinsoku/>
        <w:wordWrap/>
        <w:overflowPunct/>
        <w:topLinePunct w:val="0"/>
        <w:bidi w:val="0"/>
        <w:spacing w:line="360" w:lineRule="auto"/>
        <w:ind w:firstLine="422" w:firstLineChars="200"/>
        <w:rPr>
          <w:rFonts w:hint="eastAsia" w:ascii="宋体" w:hAnsi="宋体" w:eastAsia="宋体" w:cs="宋体"/>
          <w:b/>
          <w:color w:val="auto"/>
          <w:sz w:val="21"/>
          <w:szCs w:val="21"/>
          <w:highlight w:val="none"/>
        </w:rPr>
      </w:pPr>
    </w:p>
    <w:p w14:paraId="76A1CB43">
      <w:pPr>
        <w:pageBreakBefore w:val="0"/>
        <w:kinsoku/>
        <w:wordWrap/>
        <w:overflowPunct/>
        <w:topLinePunct w:val="0"/>
        <w:bidi w:val="0"/>
        <w:adjustRightInd/>
        <w:spacing w:line="360" w:lineRule="auto"/>
        <w:jc w:val="center"/>
        <w:rPr>
          <w:rFonts w:hint="eastAsia" w:ascii="宋体" w:hAnsi="宋体" w:eastAsia="宋体" w:cs="宋体"/>
          <w:b/>
          <w:color w:val="auto"/>
          <w:sz w:val="21"/>
          <w:szCs w:val="21"/>
          <w:highlight w:val="none"/>
        </w:rPr>
      </w:pPr>
    </w:p>
    <w:p w14:paraId="2D920991">
      <w:pPr>
        <w:pageBreakBefore w:val="0"/>
        <w:kinsoku/>
        <w:wordWrap/>
        <w:overflowPunct/>
        <w:topLinePunct w:val="0"/>
        <w:bidi w:val="0"/>
        <w:adjustRightInd/>
        <w:spacing w:line="360" w:lineRule="auto"/>
        <w:jc w:val="center"/>
        <w:outlineLvl w:val="1"/>
        <w:rPr>
          <w:rFonts w:hint="eastAsia" w:ascii="宋体" w:hAnsi="宋体" w:eastAsia="宋体" w:cs="宋体"/>
          <w:b/>
          <w:color w:val="auto"/>
          <w:sz w:val="21"/>
          <w:szCs w:val="21"/>
          <w:highlight w:val="none"/>
        </w:rPr>
      </w:pPr>
      <w:r>
        <w:rPr>
          <w:rFonts w:hint="eastAsia" w:ascii="宋体" w:hAnsi="宋体" w:eastAsia="宋体" w:cs="宋体"/>
          <w:b/>
          <w:color w:val="auto"/>
          <w:sz w:val="32"/>
          <w:szCs w:val="32"/>
          <w:highlight w:val="none"/>
        </w:rPr>
        <w:t>五、谈判文件构成、修改、解释</w:t>
      </w:r>
    </w:p>
    <w:p w14:paraId="6D2A1B0B">
      <w:pPr>
        <w:pageBreakBefore w:val="0"/>
        <w:kinsoku/>
        <w:wordWrap/>
        <w:overflowPunct/>
        <w:topLinePunct w:val="0"/>
        <w:autoSpaceDE w:val="0"/>
        <w:autoSpaceDN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1．谈判文件的构成</w:t>
      </w:r>
    </w:p>
    <w:p w14:paraId="58838A40">
      <w:pPr>
        <w:pStyle w:val="31"/>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 谈判文件包括下列文件及附件</w:t>
      </w:r>
    </w:p>
    <w:p w14:paraId="2B7A06F2">
      <w:pPr>
        <w:pStyle w:val="31"/>
        <w:pageBreakBefore w:val="0"/>
        <w:tabs>
          <w:tab w:val="left" w:pos="840"/>
        </w:tabs>
        <w:kinsoku/>
        <w:wordWrap/>
        <w:overflowPunct/>
        <w:topLinePunct w:val="0"/>
        <w:bidi w:val="0"/>
        <w:spacing w:line="360" w:lineRule="auto"/>
        <w:ind w:left="131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第一部分  邀请供应商</w:t>
      </w:r>
    </w:p>
    <w:p w14:paraId="301D31E3">
      <w:pPr>
        <w:pStyle w:val="31"/>
        <w:pageBreakBefore w:val="0"/>
        <w:tabs>
          <w:tab w:val="left" w:pos="840"/>
        </w:tabs>
        <w:kinsoku/>
        <w:wordWrap/>
        <w:overflowPunct/>
        <w:topLinePunct w:val="0"/>
        <w:bidi w:val="0"/>
        <w:spacing w:line="360" w:lineRule="auto"/>
        <w:ind w:left="131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第二部分  竞争性谈判流程</w:t>
      </w:r>
    </w:p>
    <w:p w14:paraId="770ABA7A">
      <w:pPr>
        <w:pStyle w:val="31"/>
        <w:pageBreakBefore w:val="0"/>
        <w:tabs>
          <w:tab w:val="left" w:pos="840"/>
        </w:tabs>
        <w:kinsoku/>
        <w:wordWrap/>
        <w:overflowPunct/>
        <w:topLinePunct w:val="0"/>
        <w:bidi w:val="0"/>
        <w:spacing w:line="360" w:lineRule="auto"/>
        <w:ind w:left="131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第三部分  供应商须知</w:t>
      </w:r>
    </w:p>
    <w:p w14:paraId="59911B60">
      <w:pPr>
        <w:pStyle w:val="31"/>
        <w:pageBreakBefore w:val="0"/>
        <w:tabs>
          <w:tab w:val="left" w:pos="840"/>
        </w:tabs>
        <w:kinsoku/>
        <w:wordWrap/>
        <w:overflowPunct/>
        <w:topLinePunct w:val="0"/>
        <w:bidi w:val="0"/>
        <w:spacing w:line="360" w:lineRule="auto"/>
        <w:ind w:left="131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第四部分  采购需求</w:t>
      </w:r>
    </w:p>
    <w:p w14:paraId="214F99DD">
      <w:pPr>
        <w:pStyle w:val="31"/>
        <w:pageBreakBefore w:val="0"/>
        <w:tabs>
          <w:tab w:val="left" w:pos="840"/>
        </w:tabs>
        <w:kinsoku/>
        <w:wordWrap/>
        <w:overflowPunct/>
        <w:topLinePunct w:val="0"/>
        <w:bidi w:val="0"/>
        <w:spacing w:line="360" w:lineRule="auto"/>
        <w:ind w:left="131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第五部分  评定标准</w:t>
      </w:r>
    </w:p>
    <w:p w14:paraId="10EACCCA">
      <w:pPr>
        <w:pStyle w:val="31"/>
        <w:pageBreakBefore w:val="0"/>
        <w:tabs>
          <w:tab w:val="left" w:pos="840"/>
        </w:tabs>
        <w:kinsoku/>
        <w:wordWrap/>
        <w:overflowPunct/>
        <w:topLinePunct w:val="0"/>
        <w:bidi w:val="0"/>
        <w:spacing w:line="360" w:lineRule="auto"/>
        <w:ind w:left="131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第六部分  拟签订的合同文本</w:t>
      </w:r>
    </w:p>
    <w:p w14:paraId="45DFA5F0">
      <w:pPr>
        <w:pStyle w:val="31"/>
        <w:pageBreakBefore w:val="0"/>
        <w:tabs>
          <w:tab w:val="left" w:pos="840"/>
        </w:tabs>
        <w:kinsoku/>
        <w:wordWrap/>
        <w:overflowPunct/>
        <w:topLinePunct w:val="0"/>
        <w:bidi w:val="0"/>
        <w:spacing w:line="360" w:lineRule="auto"/>
        <w:ind w:left="131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第七部分  应提交的有关格式范例</w:t>
      </w:r>
    </w:p>
    <w:p w14:paraId="78CF7E4B">
      <w:pPr>
        <w:pStyle w:val="31"/>
        <w:pageBreakBefore w:val="0"/>
        <w:tabs>
          <w:tab w:val="left" w:pos="840"/>
        </w:tabs>
        <w:kinsoku/>
        <w:wordWrap/>
        <w:overflowPunct/>
        <w:topLinePunct w:val="0"/>
        <w:bidi w:val="0"/>
        <w:spacing w:line="360" w:lineRule="auto"/>
        <w:ind w:left="131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第八部分  最后报价格式</w:t>
      </w:r>
    </w:p>
    <w:p w14:paraId="3ADD08BA">
      <w:pPr>
        <w:pStyle w:val="31"/>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 与本项目有关的</w:t>
      </w:r>
      <w:r>
        <w:rPr>
          <w:rFonts w:hint="eastAsia" w:ascii="宋体" w:hAnsi="宋体" w:eastAsia="宋体" w:cs="宋体"/>
          <w:bCs/>
          <w:color w:val="auto"/>
          <w:sz w:val="21"/>
          <w:szCs w:val="21"/>
          <w:highlight w:val="none"/>
        </w:rPr>
        <w:t>澄清或者修改的内容为谈判文件的组成部分</w:t>
      </w:r>
      <w:r>
        <w:rPr>
          <w:rFonts w:hint="eastAsia" w:ascii="宋体" w:hAnsi="宋体" w:eastAsia="宋体" w:cs="宋体"/>
          <w:color w:val="auto"/>
          <w:sz w:val="21"/>
          <w:szCs w:val="21"/>
          <w:highlight w:val="none"/>
        </w:rPr>
        <w:t>。</w:t>
      </w:r>
    </w:p>
    <w:p w14:paraId="168CDC7E">
      <w:pPr>
        <w:pStyle w:val="31"/>
        <w:pageBreakBefore w:val="0"/>
        <w:kinsoku/>
        <w:wordWrap/>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 谈判文件的澄清、修改</w:t>
      </w:r>
    </w:p>
    <w:p w14:paraId="322796DA">
      <w:pPr>
        <w:pStyle w:val="392"/>
        <w:pageBreakBefore w:val="0"/>
        <w:kinsoku/>
        <w:wordWrap/>
        <w:overflowPunct/>
        <w:topLinePunct w:val="0"/>
        <w:bidi w:val="0"/>
        <w:snapToGrid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2.1已获取谈判文件的潜在供应商，若有问题需要澄清，应于提交首次响应文件截止时间前，以书面形式向采购代理机构提出。</w:t>
      </w:r>
    </w:p>
    <w:p w14:paraId="456E2516">
      <w:pPr>
        <w:pStyle w:val="392"/>
        <w:pageBreakBefore w:val="0"/>
        <w:kinsoku/>
        <w:wordWrap/>
        <w:overflowPunct/>
        <w:topLinePunct w:val="0"/>
        <w:bidi w:val="0"/>
        <w:snapToGrid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采购代理机构对谈判文件进行澄清或修改的，将同时通过电子交易平台通知已获取谈判文件的供应商。依法应当公告的，将按规定公告，同时视情况延长提交首次响应文件截止时间和响应文件开启时间。该澄清或者修改的内容为谈判文件的组成部分。</w:t>
      </w:r>
    </w:p>
    <w:p w14:paraId="09DE991D">
      <w:pPr>
        <w:pStyle w:val="392"/>
        <w:pageBreakBefore w:val="0"/>
        <w:kinsoku/>
        <w:wordWrap/>
        <w:overflowPunct/>
        <w:topLinePunct w:val="0"/>
        <w:bidi w:val="0"/>
        <w:snapToGrid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澄清或者修改的内容可能影响响应文件编制的，采购人、采购代理机构应当在提交首次响应文件截止时间至少3个工作日前，通过电子交易平台通知所有获取谈判文件的供应商；不足3个工作日的，采购人、采购代理机构应当顺延提交首次响应文件截止时间。</w:t>
      </w:r>
    </w:p>
    <w:p w14:paraId="13098605">
      <w:pPr>
        <w:pStyle w:val="392"/>
        <w:pageBreakBefore w:val="0"/>
        <w:kinsoku/>
        <w:wordWrap/>
        <w:overflowPunct/>
        <w:topLinePunct w:val="0"/>
        <w:bidi w:val="0"/>
        <w:snapToGrid w:val="0"/>
        <w:spacing w:before="0" w:line="360" w:lineRule="auto"/>
        <w:ind w:firstLine="482"/>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▲响应文件未按谈判文件的澄清、修改的内容编制，又不符合实质性要求的，响应无效。</w:t>
      </w:r>
    </w:p>
    <w:p w14:paraId="454B0B6C">
      <w:pPr>
        <w:pStyle w:val="22"/>
        <w:pageBreakBefore w:val="0"/>
        <w:kinsoku/>
        <w:wordWrap/>
        <w:overflowPunct/>
        <w:topLinePunct w:val="0"/>
        <w:bidi w:val="0"/>
        <w:spacing w:line="360" w:lineRule="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 xml:space="preserve">    </w:t>
      </w:r>
    </w:p>
    <w:p w14:paraId="287D15FB">
      <w:pPr>
        <w:pageBreakBefore w:val="0"/>
        <w:kinsoku/>
        <w:wordWrap/>
        <w:overflowPunct/>
        <w:topLinePunct w:val="0"/>
        <w:bidi w:val="0"/>
        <w:adjustRightInd/>
        <w:spacing w:line="360" w:lineRule="auto"/>
        <w:jc w:val="center"/>
        <w:outlineLvl w:val="1"/>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六、响应文件的编制</w:t>
      </w:r>
    </w:p>
    <w:p w14:paraId="58D41730">
      <w:pPr>
        <w:pStyle w:val="31"/>
        <w:pageBreakBefore w:val="0"/>
        <w:kinsoku/>
        <w:wordWrap/>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 响应文件的语言</w:t>
      </w:r>
    </w:p>
    <w:p w14:paraId="3D800B05">
      <w:pPr>
        <w:pStyle w:val="31"/>
        <w:pageBreakBefore w:val="0"/>
        <w:kinsoku/>
        <w:wordWrap/>
        <w:overflowPunct/>
        <w:topLinePunct w:val="0"/>
        <w:bidi w:val="0"/>
        <w:spacing w:line="360" w:lineRule="auto"/>
        <w:ind w:firstLine="420" w:firstLineChars="20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响应文件及供应商与采购有关的来往通知、函件和文件均应使用中文。</w:t>
      </w:r>
    </w:p>
    <w:p w14:paraId="1B4738C7">
      <w:pPr>
        <w:pStyle w:val="31"/>
        <w:pageBreakBefore w:val="0"/>
        <w:kinsoku/>
        <w:wordWrap/>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 响应文件的组成</w:t>
      </w:r>
    </w:p>
    <w:p w14:paraId="6E77AE60">
      <w:pPr>
        <w:pStyle w:val="31"/>
        <w:pageBreakBefore w:val="0"/>
        <w:kinsoku/>
        <w:wordWrap/>
        <w:overflowPunct/>
        <w:topLinePunct w:val="0"/>
        <w:bidi w:val="0"/>
        <w:spacing w:line="360" w:lineRule="auto"/>
        <w:ind w:firstLine="420" w:firstLineChars="20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响应文件应当包括以下主要内容（标注“</w:t>
      </w:r>
      <w:r>
        <w:rPr>
          <w:rFonts w:hint="eastAsia" w:ascii="宋体" w:hAnsi="宋体" w:eastAsia="宋体" w:cs="宋体"/>
          <w:b/>
          <w:color w:val="auto"/>
          <w:sz w:val="21"/>
          <w:szCs w:val="21"/>
          <w:highlight w:val="none"/>
        </w:rPr>
        <w:t>▲</w:t>
      </w:r>
      <w:r>
        <w:rPr>
          <w:rFonts w:hint="eastAsia" w:ascii="宋体" w:hAnsi="宋体" w:eastAsia="宋体" w:cs="宋体"/>
          <w:color w:val="auto"/>
          <w:sz w:val="21"/>
          <w:szCs w:val="21"/>
          <w:highlight w:val="none"/>
        </w:rPr>
        <w:t>”为实质性要求，供应商必须提供，否则谈判无效。相关格式见谈判文件第七部分）：</w:t>
      </w:r>
    </w:p>
    <w:p w14:paraId="2C20187D">
      <w:pPr>
        <w:pStyle w:val="31"/>
        <w:pageBreakBefore w:val="0"/>
        <w:kinsoku/>
        <w:wordWrap/>
        <w:overflowPunct/>
        <w:topLinePunct w:val="0"/>
        <w:bidi w:val="0"/>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val="en-US" w:eastAsia="zh-CN"/>
        </w:rPr>
        <w:t xml:space="preserve">2.1 </w:t>
      </w:r>
      <w:r>
        <w:rPr>
          <w:rFonts w:hint="eastAsia" w:ascii="宋体" w:hAnsi="宋体" w:eastAsia="宋体" w:cs="宋体"/>
          <w:b/>
          <w:color w:val="auto"/>
          <w:sz w:val="21"/>
          <w:szCs w:val="21"/>
          <w:highlight w:val="none"/>
        </w:rPr>
        <w:t>资格文件</w:t>
      </w:r>
    </w:p>
    <w:p w14:paraId="6D9B95EE">
      <w:pPr>
        <w:pStyle w:val="31"/>
        <w:pageBreakBefore w:val="0"/>
        <w:kinsoku/>
        <w:wordWrap/>
        <w:overflowPunct/>
        <w:topLinePunct w:val="0"/>
        <w:bidi w:val="0"/>
        <w:spacing w:line="360" w:lineRule="auto"/>
        <w:ind w:firstLine="420" w:firstLineChars="200"/>
        <w:rPr>
          <w:rFonts w:hint="eastAsia" w:ascii="宋体" w:hAnsi="宋体" w:eastAsia="宋体" w:cs="宋体"/>
          <w:b w:val="0"/>
          <w:bCs/>
          <w:color w:val="auto"/>
          <w:sz w:val="21"/>
          <w:szCs w:val="21"/>
          <w:highlight w:val="none"/>
          <w:lang w:eastAsia="zh-CN"/>
        </w:rPr>
      </w:pPr>
      <w:r>
        <w:rPr>
          <w:rFonts w:hint="eastAsia" w:ascii="宋体" w:hAnsi="宋体" w:eastAsia="宋体" w:cs="宋体"/>
          <w:b w:val="0"/>
          <w:bCs/>
          <w:color w:val="auto"/>
          <w:sz w:val="21"/>
          <w:szCs w:val="21"/>
          <w:highlight w:val="none"/>
        </w:rPr>
        <w:t>▲</w:t>
      </w:r>
      <w:r>
        <w:rPr>
          <w:rFonts w:hint="eastAsia" w:ascii="宋体" w:hAnsi="宋体" w:eastAsia="宋体" w:cs="宋体"/>
          <w:b w:val="0"/>
          <w:bCs/>
          <w:color w:val="auto"/>
          <w:sz w:val="21"/>
          <w:szCs w:val="21"/>
          <w:highlight w:val="none"/>
          <w:lang w:val="en-US" w:eastAsia="zh-CN"/>
        </w:rPr>
        <w:t>（1）</w:t>
      </w:r>
      <w:r>
        <w:rPr>
          <w:rFonts w:hint="eastAsia" w:ascii="宋体" w:hAnsi="宋体" w:eastAsia="宋体" w:cs="宋体"/>
          <w:b w:val="0"/>
          <w:bCs/>
          <w:color w:val="auto"/>
          <w:sz w:val="21"/>
          <w:szCs w:val="21"/>
          <w:highlight w:val="none"/>
        </w:rPr>
        <w:t>北海市政府采购供应商信用承诺函（格式见</w:t>
      </w:r>
      <w:r>
        <w:rPr>
          <w:rFonts w:hint="eastAsia" w:ascii="宋体" w:hAnsi="宋体" w:eastAsia="宋体" w:cs="宋体"/>
          <w:b w:val="0"/>
          <w:bCs/>
          <w:color w:val="auto"/>
          <w:sz w:val="21"/>
          <w:szCs w:val="21"/>
          <w:highlight w:val="none"/>
          <w:lang w:val="en-US" w:eastAsia="zh-CN"/>
        </w:rPr>
        <w:t>第七部分</w:t>
      </w:r>
      <w:r>
        <w:rPr>
          <w:rFonts w:hint="eastAsia" w:ascii="宋体" w:hAnsi="宋体" w:eastAsia="宋体" w:cs="宋体"/>
          <w:b w:val="0"/>
          <w:bCs/>
          <w:color w:val="auto"/>
          <w:sz w:val="21"/>
          <w:szCs w:val="21"/>
          <w:highlight w:val="none"/>
        </w:rPr>
        <w:t>，必须提供）</w:t>
      </w:r>
      <w:r>
        <w:rPr>
          <w:rFonts w:hint="eastAsia" w:ascii="宋体" w:hAnsi="宋体" w:eastAsia="宋体" w:cs="宋体"/>
          <w:b w:val="0"/>
          <w:bCs/>
          <w:color w:val="auto"/>
          <w:sz w:val="21"/>
          <w:szCs w:val="21"/>
          <w:highlight w:val="none"/>
          <w:lang w:eastAsia="zh-CN"/>
        </w:rPr>
        <w:t>；</w:t>
      </w:r>
    </w:p>
    <w:p w14:paraId="0E0D90E4">
      <w:pPr>
        <w:pStyle w:val="31"/>
        <w:pageBreakBefore w:val="0"/>
        <w:kinsoku/>
        <w:wordWrap/>
        <w:overflowPunct/>
        <w:topLinePunct w:val="0"/>
        <w:bidi w:val="0"/>
        <w:spacing w:line="36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rPr>
        <w:t>▲</w:t>
      </w:r>
      <w:r>
        <w:rPr>
          <w:rFonts w:hint="eastAsia" w:ascii="宋体" w:hAnsi="宋体" w:eastAsia="宋体" w:cs="宋体"/>
          <w:b w:val="0"/>
          <w:bCs/>
          <w:color w:val="auto"/>
          <w:sz w:val="21"/>
          <w:szCs w:val="21"/>
          <w:highlight w:val="none"/>
          <w:lang w:val="en-US" w:eastAsia="zh-CN"/>
        </w:rPr>
        <w:t>（2）供应商直接控股股东及出资信息表</w:t>
      </w:r>
      <w:r>
        <w:rPr>
          <w:rFonts w:hint="eastAsia" w:ascii="宋体" w:hAnsi="宋体" w:eastAsia="宋体" w:cs="宋体"/>
          <w:b w:val="0"/>
          <w:bCs/>
          <w:color w:val="auto"/>
          <w:sz w:val="21"/>
          <w:szCs w:val="21"/>
          <w:highlight w:val="none"/>
        </w:rPr>
        <w:t>（格式见</w:t>
      </w:r>
      <w:r>
        <w:rPr>
          <w:rFonts w:hint="eastAsia" w:ascii="宋体" w:hAnsi="宋体" w:eastAsia="宋体" w:cs="宋体"/>
          <w:b w:val="0"/>
          <w:bCs/>
          <w:color w:val="auto"/>
          <w:sz w:val="21"/>
          <w:szCs w:val="21"/>
          <w:highlight w:val="none"/>
          <w:lang w:val="en-US" w:eastAsia="zh-CN"/>
        </w:rPr>
        <w:t>第七部分</w:t>
      </w:r>
      <w:r>
        <w:rPr>
          <w:rFonts w:hint="eastAsia" w:ascii="宋体" w:hAnsi="宋体" w:eastAsia="宋体" w:cs="宋体"/>
          <w:b w:val="0"/>
          <w:bCs/>
          <w:color w:val="auto"/>
          <w:sz w:val="21"/>
          <w:szCs w:val="21"/>
          <w:highlight w:val="none"/>
        </w:rPr>
        <w:t>，必须提供）</w:t>
      </w:r>
      <w:r>
        <w:rPr>
          <w:rFonts w:hint="eastAsia" w:ascii="宋体" w:hAnsi="宋体" w:eastAsia="宋体" w:cs="宋体"/>
          <w:b w:val="0"/>
          <w:bCs/>
          <w:color w:val="auto"/>
          <w:sz w:val="21"/>
          <w:szCs w:val="21"/>
          <w:highlight w:val="none"/>
          <w:lang w:eastAsia="zh-CN"/>
        </w:rPr>
        <w:t>；</w:t>
      </w:r>
    </w:p>
    <w:p w14:paraId="293528F9">
      <w:pPr>
        <w:pStyle w:val="31"/>
        <w:pageBreakBefore w:val="0"/>
        <w:kinsoku/>
        <w:wordWrap/>
        <w:overflowPunct/>
        <w:topLinePunct w:val="0"/>
        <w:bidi w:val="0"/>
        <w:spacing w:line="36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rPr>
        <w:t>▲</w:t>
      </w:r>
      <w:r>
        <w:rPr>
          <w:rFonts w:hint="eastAsia" w:ascii="宋体" w:hAnsi="宋体" w:eastAsia="宋体" w:cs="宋体"/>
          <w:b w:val="0"/>
          <w:bCs/>
          <w:color w:val="auto"/>
          <w:sz w:val="21"/>
          <w:szCs w:val="21"/>
          <w:highlight w:val="none"/>
          <w:lang w:val="en-US" w:eastAsia="zh-CN"/>
        </w:rPr>
        <w:t>（3）供应商直接管理关系信息表</w:t>
      </w:r>
      <w:r>
        <w:rPr>
          <w:rFonts w:hint="eastAsia" w:ascii="宋体" w:hAnsi="宋体" w:eastAsia="宋体" w:cs="宋体"/>
          <w:b w:val="0"/>
          <w:bCs/>
          <w:color w:val="auto"/>
          <w:sz w:val="21"/>
          <w:szCs w:val="21"/>
          <w:highlight w:val="none"/>
        </w:rPr>
        <w:t>（格式见</w:t>
      </w:r>
      <w:r>
        <w:rPr>
          <w:rFonts w:hint="eastAsia" w:ascii="宋体" w:hAnsi="宋体" w:eastAsia="宋体" w:cs="宋体"/>
          <w:b w:val="0"/>
          <w:bCs/>
          <w:color w:val="auto"/>
          <w:sz w:val="21"/>
          <w:szCs w:val="21"/>
          <w:highlight w:val="none"/>
          <w:lang w:val="en-US" w:eastAsia="zh-CN"/>
        </w:rPr>
        <w:t>第七部分</w:t>
      </w:r>
      <w:r>
        <w:rPr>
          <w:rFonts w:hint="eastAsia" w:ascii="宋体" w:hAnsi="宋体" w:eastAsia="宋体" w:cs="宋体"/>
          <w:b w:val="0"/>
          <w:bCs/>
          <w:color w:val="auto"/>
          <w:sz w:val="21"/>
          <w:szCs w:val="21"/>
          <w:highlight w:val="none"/>
        </w:rPr>
        <w:t>，必须提供）</w:t>
      </w:r>
      <w:r>
        <w:rPr>
          <w:rFonts w:hint="eastAsia" w:ascii="宋体" w:hAnsi="宋体" w:eastAsia="宋体" w:cs="宋体"/>
          <w:b w:val="0"/>
          <w:bCs/>
          <w:color w:val="auto"/>
          <w:sz w:val="21"/>
          <w:szCs w:val="21"/>
          <w:highlight w:val="none"/>
          <w:lang w:eastAsia="zh-CN"/>
        </w:rPr>
        <w:t>；</w:t>
      </w:r>
    </w:p>
    <w:p w14:paraId="33E8CD03">
      <w:pPr>
        <w:pStyle w:val="31"/>
        <w:pageBreakBefore w:val="0"/>
        <w:kinsoku/>
        <w:wordWrap/>
        <w:overflowPunct/>
        <w:topLinePunct w:val="0"/>
        <w:bidi w:val="0"/>
        <w:spacing w:line="360" w:lineRule="auto"/>
        <w:ind w:firstLine="420" w:firstLineChars="200"/>
        <w:rPr>
          <w:rFonts w:hint="default"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lang w:val="en-US" w:eastAsia="zh-CN"/>
        </w:rPr>
        <w:t>4</w:t>
      </w:r>
      <w:r>
        <w:rPr>
          <w:rFonts w:hint="eastAsia" w:ascii="宋体" w:hAnsi="宋体" w:eastAsia="宋体" w:cs="宋体"/>
          <w:b w:val="0"/>
          <w:bCs/>
          <w:color w:val="auto"/>
          <w:sz w:val="21"/>
          <w:szCs w:val="21"/>
          <w:highlight w:val="none"/>
          <w:lang w:eastAsia="zh-CN"/>
        </w:rPr>
        <w:t>）</w:t>
      </w:r>
      <w:r>
        <w:rPr>
          <w:rFonts w:hint="eastAsia" w:hAnsi="宋体" w:cs="宋体"/>
          <w:b w:val="0"/>
          <w:bCs/>
          <w:color w:val="auto"/>
          <w:sz w:val="21"/>
          <w:szCs w:val="21"/>
          <w:highlight w:val="none"/>
          <w:lang w:val="en-US" w:eastAsia="zh-CN"/>
        </w:rPr>
        <w:t>供应商认为需要提供的其他资格文件</w:t>
      </w:r>
    </w:p>
    <w:p w14:paraId="30C9492C">
      <w:pPr>
        <w:pStyle w:val="31"/>
        <w:pageBreakBefore w:val="0"/>
        <w:kinsoku/>
        <w:wordWrap/>
        <w:overflowPunct/>
        <w:topLinePunct w:val="0"/>
        <w:bidi w:val="0"/>
        <w:spacing w:line="360" w:lineRule="auto"/>
        <w:ind w:firstLine="422" w:firstLineChars="200"/>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2.2 报价文件</w:t>
      </w:r>
    </w:p>
    <w:p w14:paraId="45789720">
      <w:pPr>
        <w:pStyle w:val="31"/>
        <w:pageBreakBefore w:val="0"/>
        <w:kinsoku/>
        <w:wordWrap/>
        <w:overflowPunct/>
        <w:topLinePunct w:val="0"/>
        <w:bidi w:val="0"/>
        <w:spacing w:line="36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rPr>
        <w:t>▲</w:t>
      </w:r>
      <w:r>
        <w:rPr>
          <w:rFonts w:hint="eastAsia" w:ascii="宋体" w:hAnsi="宋体" w:eastAsia="宋体" w:cs="宋体"/>
          <w:b w:val="0"/>
          <w:bCs/>
          <w:color w:val="auto"/>
          <w:sz w:val="21"/>
          <w:szCs w:val="21"/>
          <w:highlight w:val="none"/>
          <w:lang w:val="en-US" w:eastAsia="zh-CN"/>
        </w:rPr>
        <w:t>（1）报价一览表（</w:t>
      </w:r>
      <w:r>
        <w:rPr>
          <w:rFonts w:hint="eastAsia" w:ascii="宋体" w:hAnsi="宋体" w:eastAsia="宋体" w:cs="宋体"/>
          <w:b w:val="0"/>
          <w:bCs/>
          <w:color w:val="auto"/>
          <w:sz w:val="21"/>
          <w:szCs w:val="21"/>
          <w:highlight w:val="none"/>
        </w:rPr>
        <w:t>格式见</w:t>
      </w:r>
      <w:r>
        <w:rPr>
          <w:rFonts w:hint="eastAsia" w:ascii="宋体" w:hAnsi="宋体" w:eastAsia="宋体" w:cs="宋体"/>
          <w:b w:val="0"/>
          <w:bCs/>
          <w:color w:val="auto"/>
          <w:sz w:val="21"/>
          <w:szCs w:val="21"/>
          <w:highlight w:val="none"/>
          <w:lang w:val="en-US" w:eastAsia="zh-CN"/>
        </w:rPr>
        <w:t>第七部分</w:t>
      </w:r>
      <w:r>
        <w:rPr>
          <w:rFonts w:hint="eastAsia" w:ascii="宋体" w:hAnsi="宋体" w:eastAsia="宋体" w:cs="宋体"/>
          <w:b w:val="0"/>
          <w:bCs/>
          <w:color w:val="auto"/>
          <w:sz w:val="21"/>
          <w:szCs w:val="21"/>
          <w:highlight w:val="none"/>
        </w:rPr>
        <w:t>，必须提供</w:t>
      </w:r>
      <w:r>
        <w:rPr>
          <w:rFonts w:hint="eastAsia" w:ascii="宋体" w:hAnsi="宋体" w:eastAsia="宋体" w:cs="宋体"/>
          <w:b w:val="0"/>
          <w:bCs/>
          <w:color w:val="auto"/>
          <w:sz w:val="21"/>
          <w:szCs w:val="21"/>
          <w:highlight w:val="none"/>
          <w:lang w:val="en-US" w:eastAsia="zh-CN"/>
        </w:rPr>
        <w:t>）；</w:t>
      </w:r>
    </w:p>
    <w:p w14:paraId="0CAC299A">
      <w:pPr>
        <w:pStyle w:val="31"/>
        <w:pageBreakBefore w:val="0"/>
        <w:kinsoku/>
        <w:wordWrap/>
        <w:overflowPunct/>
        <w:topLinePunct w:val="0"/>
        <w:bidi w:val="0"/>
        <w:spacing w:line="36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（2）供应商认为需要提供的其他有关资料。</w:t>
      </w:r>
    </w:p>
    <w:p w14:paraId="3FFDB808">
      <w:pPr>
        <w:pStyle w:val="31"/>
        <w:pageBreakBefore w:val="0"/>
        <w:kinsoku/>
        <w:wordWrap/>
        <w:overflowPunct/>
        <w:topLinePunct w:val="0"/>
        <w:bidi w:val="0"/>
        <w:spacing w:line="360" w:lineRule="auto"/>
        <w:ind w:firstLine="422" w:firstLineChars="200"/>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2.3 商务技术文件</w:t>
      </w:r>
    </w:p>
    <w:p w14:paraId="3D3AC6C0">
      <w:pPr>
        <w:pStyle w:val="31"/>
        <w:pageBreakBefore w:val="0"/>
        <w:kinsoku/>
        <w:wordWrap/>
        <w:overflowPunct/>
        <w:topLinePunct w:val="0"/>
        <w:bidi w:val="0"/>
        <w:spacing w:line="36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rPr>
        <w:t>▲</w:t>
      </w:r>
      <w:r>
        <w:rPr>
          <w:rFonts w:hint="eastAsia" w:ascii="宋体" w:hAnsi="宋体" w:eastAsia="宋体" w:cs="宋体"/>
          <w:b w:val="0"/>
          <w:bCs/>
          <w:color w:val="auto"/>
          <w:sz w:val="21"/>
          <w:szCs w:val="21"/>
          <w:highlight w:val="none"/>
          <w:lang w:val="en-US" w:eastAsia="zh-CN"/>
        </w:rPr>
        <w:t>（1）响应函（</w:t>
      </w:r>
      <w:r>
        <w:rPr>
          <w:rFonts w:hint="eastAsia" w:ascii="宋体" w:hAnsi="宋体" w:eastAsia="宋体" w:cs="宋体"/>
          <w:b w:val="0"/>
          <w:bCs/>
          <w:color w:val="auto"/>
          <w:sz w:val="21"/>
          <w:szCs w:val="21"/>
          <w:highlight w:val="none"/>
        </w:rPr>
        <w:t>格式见</w:t>
      </w:r>
      <w:r>
        <w:rPr>
          <w:rFonts w:hint="eastAsia" w:ascii="宋体" w:hAnsi="宋体" w:eastAsia="宋体" w:cs="宋体"/>
          <w:b w:val="0"/>
          <w:bCs/>
          <w:color w:val="auto"/>
          <w:sz w:val="21"/>
          <w:szCs w:val="21"/>
          <w:highlight w:val="none"/>
          <w:lang w:val="en-US" w:eastAsia="zh-CN"/>
        </w:rPr>
        <w:t>第七部分</w:t>
      </w:r>
      <w:r>
        <w:rPr>
          <w:rFonts w:hint="eastAsia" w:ascii="宋体" w:hAnsi="宋体" w:eastAsia="宋体" w:cs="宋体"/>
          <w:b w:val="0"/>
          <w:bCs/>
          <w:color w:val="auto"/>
          <w:sz w:val="21"/>
          <w:szCs w:val="21"/>
          <w:highlight w:val="none"/>
        </w:rPr>
        <w:t>，必须提供</w:t>
      </w:r>
      <w:r>
        <w:rPr>
          <w:rFonts w:hint="eastAsia" w:ascii="宋体" w:hAnsi="宋体" w:eastAsia="宋体" w:cs="宋体"/>
          <w:b w:val="0"/>
          <w:bCs/>
          <w:color w:val="auto"/>
          <w:sz w:val="21"/>
          <w:szCs w:val="21"/>
          <w:highlight w:val="none"/>
          <w:lang w:val="en-US" w:eastAsia="zh-CN"/>
        </w:rPr>
        <w:t>）；</w:t>
      </w:r>
    </w:p>
    <w:p w14:paraId="2B429391">
      <w:pPr>
        <w:pStyle w:val="31"/>
        <w:pageBreakBefore w:val="0"/>
        <w:kinsoku/>
        <w:wordWrap/>
        <w:overflowPunct/>
        <w:topLinePunct w:val="0"/>
        <w:bidi w:val="0"/>
        <w:spacing w:line="36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rPr>
        <w:t>▲（</w:t>
      </w:r>
      <w:r>
        <w:rPr>
          <w:rFonts w:hint="eastAsia" w:ascii="宋体" w:hAnsi="宋体" w:eastAsia="宋体" w:cs="宋体"/>
          <w:b w:val="0"/>
          <w:bCs/>
          <w:color w:val="auto"/>
          <w:sz w:val="21"/>
          <w:szCs w:val="21"/>
          <w:highlight w:val="none"/>
          <w:lang w:val="en-US" w:eastAsia="zh-CN"/>
        </w:rPr>
        <w:t>2</w:t>
      </w:r>
      <w:r>
        <w:rPr>
          <w:rFonts w:hint="eastAsia" w:ascii="宋体" w:hAnsi="宋体" w:eastAsia="宋体" w:cs="宋体"/>
          <w:b w:val="0"/>
          <w:bCs/>
          <w:color w:val="auto"/>
          <w:sz w:val="21"/>
          <w:szCs w:val="21"/>
          <w:highlight w:val="none"/>
        </w:rPr>
        <w:t>）承诺函</w:t>
      </w:r>
      <w:r>
        <w:rPr>
          <w:rFonts w:hint="eastAsia" w:ascii="宋体" w:hAnsi="宋体" w:eastAsia="宋体" w:cs="宋体"/>
          <w:b w:val="0"/>
          <w:bCs/>
          <w:color w:val="auto"/>
          <w:sz w:val="21"/>
          <w:szCs w:val="21"/>
          <w:highlight w:val="none"/>
          <w:lang w:val="en-US" w:eastAsia="zh-CN"/>
        </w:rPr>
        <w:t>（</w:t>
      </w:r>
      <w:r>
        <w:rPr>
          <w:rFonts w:hint="eastAsia" w:ascii="宋体" w:hAnsi="宋体" w:eastAsia="宋体" w:cs="宋体"/>
          <w:b w:val="0"/>
          <w:bCs/>
          <w:color w:val="auto"/>
          <w:sz w:val="21"/>
          <w:szCs w:val="21"/>
          <w:highlight w:val="none"/>
        </w:rPr>
        <w:t>格式见</w:t>
      </w:r>
      <w:r>
        <w:rPr>
          <w:rFonts w:hint="eastAsia" w:ascii="宋体" w:hAnsi="宋体" w:eastAsia="宋体" w:cs="宋体"/>
          <w:b w:val="0"/>
          <w:bCs/>
          <w:color w:val="auto"/>
          <w:sz w:val="21"/>
          <w:szCs w:val="21"/>
          <w:highlight w:val="none"/>
          <w:lang w:val="en-US" w:eastAsia="zh-CN"/>
        </w:rPr>
        <w:t>第七部分</w:t>
      </w:r>
      <w:r>
        <w:rPr>
          <w:rFonts w:hint="eastAsia" w:ascii="宋体" w:hAnsi="宋体" w:eastAsia="宋体" w:cs="宋体"/>
          <w:b w:val="0"/>
          <w:bCs/>
          <w:color w:val="auto"/>
          <w:sz w:val="21"/>
          <w:szCs w:val="21"/>
          <w:highlight w:val="none"/>
        </w:rPr>
        <w:t>，必须提供</w:t>
      </w:r>
      <w:r>
        <w:rPr>
          <w:rFonts w:hint="eastAsia" w:ascii="宋体" w:hAnsi="宋体" w:eastAsia="宋体" w:cs="宋体"/>
          <w:b w:val="0"/>
          <w:bCs/>
          <w:color w:val="auto"/>
          <w:sz w:val="21"/>
          <w:szCs w:val="21"/>
          <w:highlight w:val="none"/>
          <w:lang w:val="en-US" w:eastAsia="zh-CN"/>
        </w:rPr>
        <w:t>）；</w:t>
      </w:r>
    </w:p>
    <w:p w14:paraId="107E7890">
      <w:pPr>
        <w:pStyle w:val="31"/>
        <w:pageBreakBefore w:val="0"/>
        <w:kinsoku/>
        <w:wordWrap/>
        <w:overflowPunct/>
        <w:topLinePunct w:val="0"/>
        <w:bidi w:val="0"/>
        <w:spacing w:line="360" w:lineRule="auto"/>
        <w:ind w:firstLine="420" w:firstLineChars="20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w:t>
      </w:r>
      <w:r>
        <w:rPr>
          <w:rFonts w:hint="eastAsia" w:ascii="宋体" w:hAnsi="宋体" w:eastAsia="宋体" w:cs="宋体"/>
          <w:b w:val="0"/>
          <w:bCs/>
          <w:color w:val="auto"/>
          <w:sz w:val="21"/>
          <w:szCs w:val="21"/>
          <w:highlight w:val="none"/>
          <w:lang w:val="en-US" w:eastAsia="zh-CN"/>
        </w:rPr>
        <w:t>3</w:t>
      </w:r>
      <w:r>
        <w:rPr>
          <w:rFonts w:hint="eastAsia" w:ascii="宋体" w:hAnsi="宋体" w:eastAsia="宋体" w:cs="宋体"/>
          <w:b w:val="0"/>
          <w:bCs/>
          <w:color w:val="auto"/>
          <w:sz w:val="21"/>
          <w:szCs w:val="21"/>
          <w:highlight w:val="none"/>
        </w:rPr>
        <w:t>）</w:t>
      </w:r>
      <w:r>
        <w:rPr>
          <w:rFonts w:hint="eastAsia" w:ascii="宋体" w:hAnsi="宋体" w:eastAsia="宋体" w:cs="宋体"/>
          <w:b w:val="0"/>
          <w:bCs/>
          <w:color w:val="auto"/>
          <w:sz w:val="21"/>
          <w:szCs w:val="21"/>
          <w:highlight w:val="none"/>
          <w:lang w:val="zh-CN"/>
        </w:rPr>
        <w:t>政府采购供应商廉洁自律承诺书</w:t>
      </w:r>
      <w:r>
        <w:rPr>
          <w:rFonts w:hint="eastAsia" w:ascii="宋体" w:hAnsi="宋体" w:eastAsia="宋体" w:cs="宋体"/>
          <w:b w:val="0"/>
          <w:bCs/>
          <w:color w:val="auto"/>
          <w:sz w:val="21"/>
          <w:szCs w:val="21"/>
          <w:highlight w:val="none"/>
          <w:lang w:val="en-US" w:eastAsia="zh-CN"/>
        </w:rPr>
        <w:t>（</w:t>
      </w:r>
      <w:r>
        <w:rPr>
          <w:rFonts w:hint="eastAsia" w:ascii="宋体" w:hAnsi="宋体" w:eastAsia="宋体" w:cs="宋体"/>
          <w:b w:val="0"/>
          <w:bCs/>
          <w:color w:val="auto"/>
          <w:sz w:val="21"/>
          <w:szCs w:val="21"/>
          <w:highlight w:val="none"/>
        </w:rPr>
        <w:t>格式见</w:t>
      </w:r>
      <w:r>
        <w:rPr>
          <w:rFonts w:hint="eastAsia" w:ascii="宋体" w:hAnsi="宋体" w:eastAsia="宋体" w:cs="宋体"/>
          <w:b w:val="0"/>
          <w:bCs/>
          <w:color w:val="auto"/>
          <w:sz w:val="21"/>
          <w:szCs w:val="21"/>
          <w:highlight w:val="none"/>
          <w:lang w:val="en-US" w:eastAsia="zh-CN"/>
        </w:rPr>
        <w:t>第七部分</w:t>
      </w:r>
      <w:r>
        <w:rPr>
          <w:rFonts w:hint="eastAsia" w:ascii="宋体" w:hAnsi="宋体" w:eastAsia="宋体" w:cs="宋体"/>
          <w:b w:val="0"/>
          <w:bCs/>
          <w:color w:val="auto"/>
          <w:sz w:val="21"/>
          <w:szCs w:val="21"/>
          <w:highlight w:val="none"/>
        </w:rPr>
        <w:t>，必须提供</w:t>
      </w:r>
      <w:r>
        <w:rPr>
          <w:rFonts w:hint="eastAsia" w:ascii="宋体" w:hAnsi="宋体" w:eastAsia="宋体" w:cs="宋体"/>
          <w:b w:val="0"/>
          <w:bCs/>
          <w:color w:val="auto"/>
          <w:sz w:val="21"/>
          <w:szCs w:val="21"/>
          <w:highlight w:val="none"/>
          <w:lang w:val="en-US" w:eastAsia="zh-CN"/>
        </w:rPr>
        <w:t>）；</w:t>
      </w:r>
    </w:p>
    <w:p w14:paraId="28BC30D0">
      <w:pPr>
        <w:pStyle w:val="31"/>
        <w:pageBreakBefore w:val="0"/>
        <w:kinsoku/>
        <w:wordWrap/>
        <w:overflowPunct/>
        <w:topLinePunct w:val="0"/>
        <w:bidi w:val="0"/>
        <w:spacing w:line="360" w:lineRule="auto"/>
        <w:ind w:firstLine="420" w:firstLineChars="20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w:t>
      </w:r>
      <w:r>
        <w:rPr>
          <w:rFonts w:hint="eastAsia" w:ascii="宋体" w:hAnsi="宋体" w:eastAsia="宋体" w:cs="宋体"/>
          <w:b w:val="0"/>
          <w:bCs/>
          <w:color w:val="auto"/>
          <w:sz w:val="21"/>
          <w:szCs w:val="21"/>
          <w:highlight w:val="none"/>
          <w:lang w:val="en-US" w:eastAsia="zh-CN"/>
        </w:rPr>
        <w:t>4</w:t>
      </w:r>
      <w:r>
        <w:rPr>
          <w:rFonts w:hint="eastAsia" w:ascii="宋体" w:hAnsi="宋体" w:eastAsia="宋体" w:cs="宋体"/>
          <w:b w:val="0"/>
          <w:bCs/>
          <w:color w:val="auto"/>
          <w:sz w:val="21"/>
          <w:szCs w:val="21"/>
          <w:highlight w:val="none"/>
        </w:rPr>
        <w:t>）授权委托书或法定代表人（单位负责人、自然人本人）身份证明</w:t>
      </w:r>
      <w:r>
        <w:rPr>
          <w:rFonts w:hint="eastAsia" w:ascii="宋体" w:hAnsi="宋体" w:eastAsia="宋体" w:cs="宋体"/>
          <w:b w:val="0"/>
          <w:bCs/>
          <w:color w:val="auto"/>
          <w:sz w:val="21"/>
          <w:szCs w:val="21"/>
          <w:highlight w:val="none"/>
          <w:lang w:val="en-US" w:eastAsia="zh-CN"/>
        </w:rPr>
        <w:t>（</w:t>
      </w:r>
      <w:r>
        <w:rPr>
          <w:rFonts w:hint="eastAsia" w:ascii="宋体" w:hAnsi="宋体" w:eastAsia="宋体" w:cs="宋体"/>
          <w:b w:val="0"/>
          <w:bCs/>
          <w:color w:val="auto"/>
          <w:sz w:val="21"/>
          <w:szCs w:val="21"/>
          <w:highlight w:val="none"/>
        </w:rPr>
        <w:t>格式见</w:t>
      </w:r>
      <w:r>
        <w:rPr>
          <w:rFonts w:hint="eastAsia" w:ascii="宋体" w:hAnsi="宋体" w:eastAsia="宋体" w:cs="宋体"/>
          <w:b w:val="0"/>
          <w:bCs/>
          <w:color w:val="auto"/>
          <w:sz w:val="21"/>
          <w:szCs w:val="21"/>
          <w:highlight w:val="none"/>
          <w:lang w:val="en-US" w:eastAsia="zh-CN"/>
        </w:rPr>
        <w:t>第七部分</w:t>
      </w:r>
      <w:r>
        <w:rPr>
          <w:rFonts w:hint="eastAsia" w:ascii="宋体" w:hAnsi="宋体" w:eastAsia="宋体" w:cs="宋体"/>
          <w:b w:val="0"/>
          <w:bCs/>
          <w:color w:val="auto"/>
          <w:sz w:val="21"/>
          <w:szCs w:val="21"/>
          <w:highlight w:val="none"/>
        </w:rPr>
        <w:t>，必须提供</w:t>
      </w:r>
      <w:r>
        <w:rPr>
          <w:rFonts w:hint="eastAsia" w:ascii="宋体" w:hAnsi="宋体" w:eastAsia="宋体" w:cs="宋体"/>
          <w:b w:val="0"/>
          <w:bCs/>
          <w:color w:val="auto"/>
          <w:sz w:val="21"/>
          <w:szCs w:val="21"/>
          <w:highlight w:val="none"/>
          <w:lang w:val="en-US" w:eastAsia="zh-CN"/>
        </w:rPr>
        <w:t>）</w:t>
      </w:r>
      <w:r>
        <w:rPr>
          <w:rFonts w:hint="eastAsia" w:ascii="宋体" w:hAnsi="宋体" w:eastAsia="宋体" w:cs="宋体"/>
          <w:b w:val="0"/>
          <w:bCs/>
          <w:color w:val="auto"/>
          <w:sz w:val="21"/>
          <w:szCs w:val="21"/>
          <w:highlight w:val="none"/>
        </w:rPr>
        <w:t>；</w:t>
      </w:r>
    </w:p>
    <w:p w14:paraId="7B367A32">
      <w:pPr>
        <w:pStyle w:val="31"/>
        <w:pageBreakBefore w:val="0"/>
        <w:kinsoku/>
        <w:wordWrap/>
        <w:overflowPunct/>
        <w:topLinePunct w:val="0"/>
        <w:bidi w:val="0"/>
        <w:spacing w:line="360" w:lineRule="auto"/>
        <w:ind w:firstLine="420" w:firstLineChars="20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w:t>
      </w:r>
      <w:r>
        <w:rPr>
          <w:rFonts w:hint="eastAsia" w:ascii="宋体" w:hAnsi="宋体" w:eastAsia="宋体" w:cs="宋体"/>
          <w:b w:val="0"/>
          <w:bCs/>
          <w:color w:val="auto"/>
          <w:sz w:val="21"/>
          <w:szCs w:val="21"/>
          <w:highlight w:val="none"/>
          <w:lang w:val="zh-CN"/>
        </w:rPr>
        <w:t>（</w:t>
      </w:r>
      <w:r>
        <w:rPr>
          <w:rFonts w:hint="eastAsia" w:ascii="宋体" w:hAnsi="宋体" w:eastAsia="宋体" w:cs="宋体"/>
          <w:b w:val="0"/>
          <w:bCs/>
          <w:color w:val="auto"/>
          <w:sz w:val="21"/>
          <w:szCs w:val="21"/>
          <w:highlight w:val="none"/>
          <w:lang w:val="en-US" w:eastAsia="zh-CN"/>
        </w:rPr>
        <w:t>5</w:t>
      </w:r>
      <w:r>
        <w:rPr>
          <w:rFonts w:hint="eastAsia" w:ascii="宋体" w:hAnsi="宋体" w:eastAsia="宋体" w:cs="宋体"/>
          <w:b w:val="0"/>
          <w:bCs/>
          <w:color w:val="auto"/>
          <w:sz w:val="21"/>
          <w:szCs w:val="21"/>
          <w:highlight w:val="none"/>
          <w:lang w:val="zh-CN"/>
        </w:rPr>
        <w:t>）</w:t>
      </w:r>
      <w:r>
        <w:rPr>
          <w:rFonts w:hint="eastAsia" w:ascii="宋体" w:hAnsi="宋体" w:eastAsia="宋体" w:cs="宋体"/>
          <w:b w:val="0"/>
          <w:bCs/>
          <w:color w:val="auto"/>
          <w:sz w:val="21"/>
          <w:szCs w:val="21"/>
          <w:highlight w:val="none"/>
        </w:rPr>
        <w:t>商务条款偏离表</w:t>
      </w:r>
      <w:r>
        <w:rPr>
          <w:rFonts w:hint="eastAsia" w:ascii="宋体" w:hAnsi="宋体" w:eastAsia="宋体" w:cs="宋体"/>
          <w:b w:val="0"/>
          <w:bCs/>
          <w:color w:val="auto"/>
          <w:sz w:val="21"/>
          <w:szCs w:val="21"/>
          <w:highlight w:val="none"/>
          <w:lang w:val="en-US" w:eastAsia="zh-CN"/>
        </w:rPr>
        <w:t>（</w:t>
      </w:r>
      <w:r>
        <w:rPr>
          <w:rFonts w:hint="eastAsia" w:ascii="宋体" w:hAnsi="宋体" w:eastAsia="宋体" w:cs="宋体"/>
          <w:b w:val="0"/>
          <w:bCs/>
          <w:color w:val="auto"/>
          <w:sz w:val="21"/>
          <w:szCs w:val="21"/>
          <w:highlight w:val="none"/>
        </w:rPr>
        <w:t>格式见</w:t>
      </w:r>
      <w:r>
        <w:rPr>
          <w:rFonts w:hint="eastAsia" w:ascii="宋体" w:hAnsi="宋体" w:eastAsia="宋体" w:cs="宋体"/>
          <w:b w:val="0"/>
          <w:bCs/>
          <w:color w:val="auto"/>
          <w:sz w:val="21"/>
          <w:szCs w:val="21"/>
          <w:highlight w:val="none"/>
          <w:lang w:val="en-US" w:eastAsia="zh-CN"/>
        </w:rPr>
        <w:t>第七部分</w:t>
      </w:r>
      <w:r>
        <w:rPr>
          <w:rFonts w:hint="eastAsia" w:ascii="宋体" w:hAnsi="宋体" w:eastAsia="宋体" w:cs="宋体"/>
          <w:b w:val="0"/>
          <w:bCs/>
          <w:color w:val="auto"/>
          <w:sz w:val="21"/>
          <w:szCs w:val="21"/>
          <w:highlight w:val="none"/>
        </w:rPr>
        <w:t>，必须提供</w:t>
      </w:r>
      <w:r>
        <w:rPr>
          <w:rFonts w:hint="eastAsia" w:ascii="宋体" w:hAnsi="宋体" w:eastAsia="宋体" w:cs="宋体"/>
          <w:b w:val="0"/>
          <w:bCs/>
          <w:color w:val="auto"/>
          <w:sz w:val="21"/>
          <w:szCs w:val="21"/>
          <w:highlight w:val="none"/>
          <w:lang w:val="en-US" w:eastAsia="zh-CN"/>
        </w:rPr>
        <w:t>）；</w:t>
      </w:r>
    </w:p>
    <w:p w14:paraId="12B4351F">
      <w:pPr>
        <w:pStyle w:val="31"/>
        <w:pageBreakBefore w:val="0"/>
        <w:kinsoku/>
        <w:wordWrap/>
        <w:overflowPunct/>
        <w:topLinePunct w:val="0"/>
        <w:bidi w:val="0"/>
        <w:spacing w:line="36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rPr>
        <w:t>▲</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lang w:val="en-US" w:eastAsia="zh-CN"/>
        </w:rPr>
        <w:t>6</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lang w:val="en-US" w:eastAsia="zh-CN"/>
        </w:rPr>
        <w:t>技术需求偏离表（格式后附）（</w:t>
      </w:r>
      <w:r>
        <w:rPr>
          <w:rFonts w:hint="eastAsia" w:ascii="宋体" w:hAnsi="宋体" w:eastAsia="宋体" w:cs="宋体"/>
          <w:b w:val="0"/>
          <w:bCs/>
          <w:color w:val="auto"/>
          <w:sz w:val="21"/>
          <w:szCs w:val="21"/>
          <w:highlight w:val="none"/>
        </w:rPr>
        <w:t>格式见</w:t>
      </w:r>
      <w:r>
        <w:rPr>
          <w:rFonts w:hint="eastAsia" w:ascii="宋体" w:hAnsi="宋体" w:eastAsia="宋体" w:cs="宋体"/>
          <w:b w:val="0"/>
          <w:bCs/>
          <w:color w:val="auto"/>
          <w:sz w:val="21"/>
          <w:szCs w:val="21"/>
          <w:highlight w:val="none"/>
          <w:lang w:val="en-US" w:eastAsia="zh-CN"/>
        </w:rPr>
        <w:t>第七部分</w:t>
      </w:r>
      <w:r>
        <w:rPr>
          <w:rFonts w:hint="eastAsia" w:ascii="宋体" w:hAnsi="宋体" w:eastAsia="宋体" w:cs="宋体"/>
          <w:b w:val="0"/>
          <w:bCs/>
          <w:color w:val="auto"/>
          <w:sz w:val="21"/>
          <w:szCs w:val="21"/>
          <w:highlight w:val="none"/>
        </w:rPr>
        <w:t>，必须提供</w:t>
      </w:r>
      <w:r>
        <w:rPr>
          <w:rFonts w:hint="eastAsia" w:ascii="宋体" w:hAnsi="宋体" w:eastAsia="宋体" w:cs="宋体"/>
          <w:b w:val="0"/>
          <w:bCs/>
          <w:color w:val="auto"/>
          <w:sz w:val="21"/>
          <w:szCs w:val="21"/>
          <w:highlight w:val="none"/>
          <w:lang w:val="en-US" w:eastAsia="zh-CN"/>
        </w:rPr>
        <w:t>）；</w:t>
      </w:r>
    </w:p>
    <w:p w14:paraId="5D865134">
      <w:pPr>
        <w:pStyle w:val="31"/>
        <w:pageBreakBefore w:val="0"/>
        <w:kinsoku/>
        <w:wordWrap/>
        <w:overflowPunct/>
        <w:topLinePunct w:val="0"/>
        <w:bidi w:val="0"/>
        <w:spacing w:line="360" w:lineRule="auto"/>
        <w:ind w:firstLine="420" w:firstLineChars="200"/>
        <w:rPr>
          <w:rFonts w:hint="eastAsia" w:ascii="宋体" w:hAnsi="宋体" w:eastAsia="宋体" w:cs="宋体"/>
          <w:b w:val="0"/>
          <w:bCs/>
          <w:color w:val="auto"/>
          <w:sz w:val="21"/>
          <w:szCs w:val="21"/>
          <w:highlight w:val="none"/>
          <w:lang w:val="zh-CN"/>
        </w:rPr>
      </w:pPr>
      <w:r>
        <w:rPr>
          <w:rFonts w:hint="eastAsia" w:ascii="宋体" w:hAnsi="宋体" w:eastAsia="宋体" w:cs="宋体"/>
          <w:b w:val="0"/>
          <w:bCs/>
          <w:color w:val="auto"/>
          <w:sz w:val="21"/>
          <w:szCs w:val="21"/>
          <w:highlight w:val="none"/>
        </w:rPr>
        <w:t>▲</w:t>
      </w:r>
      <w:r>
        <w:rPr>
          <w:rFonts w:hint="eastAsia" w:ascii="宋体" w:hAnsi="宋体" w:eastAsia="宋体" w:cs="宋体"/>
          <w:b w:val="0"/>
          <w:bCs/>
          <w:color w:val="auto"/>
          <w:sz w:val="21"/>
          <w:szCs w:val="21"/>
          <w:highlight w:val="none"/>
          <w:lang w:val="zh-CN"/>
        </w:rPr>
        <w:t>（</w:t>
      </w:r>
      <w:r>
        <w:rPr>
          <w:rFonts w:hint="eastAsia" w:ascii="宋体" w:hAnsi="宋体" w:eastAsia="宋体" w:cs="宋体"/>
          <w:b w:val="0"/>
          <w:bCs/>
          <w:color w:val="auto"/>
          <w:sz w:val="21"/>
          <w:szCs w:val="21"/>
          <w:highlight w:val="none"/>
          <w:lang w:val="en-US" w:eastAsia="zh-CN"/>
        </w:rPr>
        <w:t>7</w:t>
      </w:r>
      <w:r>
        <w:rPr>
          <w:rFonts w:hint="eastAsia" w:ascii="宋体" w:hAnsi="宋体" w:eastAsia="宋体" w:cs="宋体"/>
          <w:b w:val="0"/>
          <w:bCs/>
          <w:color w:val="auto"/>
          <w:sz w:val="21"/>
          <w:szCs w:val="21"/>
          <w:highlight w:val="none"/>
          <w:lang w:val="zh-CN"/>
        </w:rPr>
        <w:t>）售后服务方案。供应商应以书面形式完整准确地表述售后服务承诺(范围、标准及期限等)、供应商可能增加的服务承诺，</w:t>
      </w:r>
      <w:r>
        <w:rPr>
          <w:rFonts w:hint="eastAsia" w:ascii="宋体" w:hAnsi="宋体" w:eastAsia="宋体" w:cs="宋体"/>
          <w:b w:val="0"/>
          <w:bCs/>
          <w:color w:val="auto"/>
          <w:sz w:val="21"/>
          <w:szCs w:val="21"/>
          <w:highlight w:val="none"/>
          <w:lang w:val="en-US" w:eastAsia="zh-CN"/>
        </w:rPr>
        <w:t>以及承诺质保期内免费上门提供退换货服务</w:t>
      </w:r>
      <w:r>
        <w:rPr>
          <w:rFonts w:hint="eastAsia" w:ascii="宋体" w:hAnsi="宋体" w:eastAsia="宋体" w:cs="宋体"/>
          <w:b w:val="0"/>
          <w:bCs/>
          <w:color w:val="auto"/>
          <w:sz w:val="21"/>
          <w:szCs w:val="21"/>
          <w:highlight w:val="none"/>
          <w:lang w:val="zh-CN"/>
        </w:rPr>
        <w:t>等（</w:t>
      </w:r>
      <w:r>
        <w:rPr>
          <w:rFonts w:hint="eastAsia" w:ascii="宋体" w:hAnsi="宋体" w:eastAsia="宋体" w:cs="宋体"/>
          <w:b w:val="0"/>
          <w:bCs/>
          <w:color w:val="auto"/>
          <w:sz w:val="21"/>
          <w:szCs w:val="21"/>
          <w:highlight w:val="none"/>
          <w:lang w:val="zh-CN" w:eastAsia="zh-CN"/>
        </w:rPr>
        <w:t>必须提供</w:t>
      </w:r>
      <w:r>
        <w:rPr>
          <w:rFonts w:hint="eastAsia" w:ascii="宋体" w:hAnsi="宋体" w:eastAsia="宋体" w:cs="宋体"/>
          <w:b w:val="0"/>
          <w:bCs/>
          <w:color w:val="auto"/>
          <w:sz w:val="21"/>
          <w:szCs w:val="21"/>
          <w:highlight w:val="none"/>
          <w:lang w:val="zh-CN"/>
        </w:rPr>
        <w:t>）；</w:t>
      </w:r>
    </w:p>
    <w:p w14:paraId="1A621B6E">
      <w:pPr>
        <w:pStyle w:val="31"/>
        <w:pageBreakBefore w:val="0"/>
        <w:kinsoku/>
        <w:wordWrap/>
        <w:overflowPunct/>
        <w:topLinePunct w:val="0"/>
        <w:bidi w:val="0"/>
        <w:spacing w:line="36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rPr>
        <w:t>▲</w:t>
      </w:r>
      <w:r>
        <w:rPr>
          <w:rFonts w:hint="eastAsia" w:ascii="宋体" w:hAnsi="宋体" w:eastAsia="宋体" w:cs="宋体"/>
          <w:b w:val="0"/>
          <w:bCs/>
          <w:color w:val="auto"/>
          <w:sz w:val="21"/>
          <w:szCs w:val="21"/>
          <w:highlight w:val="none"/>
          <w:lang w:val="en-US" w:eastAsia="zh-CN"/>
        </w:rPr>
        <w:t>（</w:t>
      </w:r>
      <w:r>
        <w:rPr>
          <w:rFonts w:hint="eastAsia" w:hAnsi="宋体" w:cs="宋体"/>
          <w:b w:val="0"/>
          <w:bCs/>
          <w:color w:val="auto"/>
          <w:sz w:val="21"/>
          <w:szCs w:val="21"/>
          <w:highlight w:val="none"/>
          <w:lang w:val="en-US" w:eastAsia="zh-CN"/>
        </w:rPr>
        <w:t>8</w:t>
      </w:r>
      <w:r>
        <w:rPr>
          <w:rFonts w:hint="eastAsia" w:ascii="宋体" w:hAnsi="宋体" w:eastAsia="宋体" w:cs="宋体"/>
          <w:b w:val="0"/>
          <w:bCs/>
          <w:color w:val="auto"/>
          <w:sz w:val="21"/>
          <w:szCs w:val="21"/>
          <w:highlight w:val="none"/>
          <w:lang w:val="en-US" w:eastAsia="zh-CN"/>
        </w:rPr>
        <w:t>）响应产品规格配置清单（</w:t>
      </w:r>
      <w:r>
        <w:rPr>
          <w:rFonts w:hint="eastAsia" w:ascii="宋体" w:hAnsi="宋体" w:eastAsia="宋体" w:cs="宋体"/>
          <w:b w:val="0"/>
          <w:bCs/>
          <w:color w:val="auto"/>
          <w:sz w:val="21"/>
          <w:szCs w:val="21"/>
          <w:highlight w:val="none"/>
        </w:rPr>
        <w:t>格式见</w:t>
      </w:r>
      <w:r>
        <w:rPr>
          <w:rFonts w:hint="eastAsia" w:ascii="宋体" w:hAnsi="宋体" w:eastAsia="宋体" w:cs="宋体"/>
          <w:b w:val="0"/>
          <w:bCs/>
          <w:color w:val="auto"/>
          <w:sz w:val="21"/>
          <w:szCs w:val="21"/>
          <w:highlight w:val="none"/>
          <w:lang w:val="en-US" w:eastAsia="zh-CN"/>
        </w:rPr>
        <w:t>第七部分</w:t>
      </w:r>
      <w:r>
        <w:rPr>
          <w:rFonts w:hint="eastAsia" w:ascii="宋体" w:hAnsi="宋体" w:eastAsia="宋体" w:cs="宋体"/>
          <w:b w:val="0"/>
          <w:bCs/>
          <w:color w:val="auto"/>
          <w:sz w:val="21"/>
          <w:szCs w:val="21"/>
          <w:highlight w:val="none"/>
        </w:rPr>
        <w:t>，必须提供</w:t>
      </w:r>
      <w:r>
        <w:rPr>
          <w:rFonts w:hint="eastAsia" w:ascii="宋体" w:hAnsi="宋体" w:eastAsia="宋体" w:cs="宋体"/>
          <w:b w:val="0"/>
          <w:bCs/>
          <w:color w:val="auto"/>
          <w:sz w:val="21"/>
          <w:szCs w:val="21"/>
          <w:highlight w:val="none"/>
          <w:lang w:val="en-US" w:eastAsia="zh-CN"/>
        </w:rPr>
        <w:t>）；</w:t>
      </w:r>
    </w:p>
    <w:p w14:paraId="59A942E5">
      <w:pPr>
        <w:pStyle w:val="31"/>
        <w:pageBreakBefore w:val="0"/>
        <w:kinsoku/>
        <w:wordWrap/>
        <w:overflowPunct/>
        <w:topLinePunct w:val="0"/>
        <w:bidi w:val="0"/>
        <w:spacing w:line="360" w:lineRule="auto"/>
        <w:ind w:firstLine="420" w:firstLineChars="200"/>
        <w:rPr>
          <w:rFonts w:hint="eastAsia" w:ascii="宋体" w:hAnsi="宋体" w:eastAsia="宋体" w:cs="宋体"/>
          <w:b w:val="0"/>
          <w:bCs/>
          <w:color w:val="auto"/>
          <w:sz w:val="21"/>
          <w:szCs w:val="21"/>
          <w:highlight w:val="none"/>
          <w:lang w:val="zh-CN"/>
        </w:rPr>
      </w:pPr>
      <w:r>
        <w:rPr>
          <w:rFonts w:hint="eastAsia" w:ascii="宋体" w:hAnsi="宋体" w:eastAsia="宋体" w:cs="宋体"/>
          <w:b w:val="0"/>
          <w:bCs/>
          <w:color w:val="auto"/>
          <w:sz w:val="21"/>
          <w:szCs w:val="21"/>
          <w:highlight w:val="none"/>
          <w:lang w:val="zh-CN"/>
        </w:rPr>
        <w:t>（</w:t>
      </w:r>
      <w:r>
        <w:rPr>
          <w:rFonts w:hint="eastAsia" w:hAnsi="宋体" w:cs="宋体"/>
          <w:b w:val="0"/>
          <w:bCs/>
          <w:color w:val="auto"/>
          <w:sz w:val="21"/>
          <w:szCs w:val="21"/>
          <w:highlight w:val="none"/>
          <w:lang w:val="en-US" w:eastAsia="zh-CN"/>
        </w:rPr>
        <w:t>9</w:t>
      </w:r>
      <w:r>
        <w:rPr>
          <w:rFonts w:hint="eastAsia" w:ascii="宋体" w:hAnsi="宋体" w:eastAsia="宋体" w:cs="宋体"/>
          <w:b w:val="0"/>
          <w:bCs/>
          <w:color w:val="auto"/>
          <w:sz w:val="21"/>
          <w:szCs w:val="21"/>
          <w:highlight w:val="none"/>
          <w:lang w:val="zh-CN"/>
        </w:rPr>
        <w:t>）优惠条件及特殊承诺（</w:t>
      </w:r>
      <w:r>
        <w:rPr>
          <w:rFonts w:hint="eastAsia" w:ascii="宋体" w:hAnsi="宋体" w:eastAsia="宋体" w:cs="宋体"/>
          <w:b w:val="0"/>
          <w:bCs/>
          <w:color w:val="auto"/>
          <w:sz w:val="21"/>
          <w:szCs w:val="21"/>
          <w:highlight w:val="none"/>
          <w:lang w:val="en-US" w:eastAsia="zh-CN"/>
        </w:rPr>
        <w:t>如有</w:t>
      </w:r>
      <w:r>
        <w:rPr>
          <w:rFonts w:hint="eastAsia" w:ascii="宋体" w:hAnsi="宋体" w:eastAsia="宋体" w:cs="宋体"/>
          <w:b w:val="0"/>
          <w:bCs/>
          <w:color w:val="auto"/>
          <w:sz w:val="21"/>
          <w:szCs w:val="21"/>
          <w:highlight w:val="none"/>
          <w:lang w:val="zh-CN"/>
        </w:rPr>
        <w:t>）；</w:t>
      </w:r>
    </w:p>
    <w:p w14:paraId="5BEF99A5">
      <w:pPr>
        <w:pStyle w:val="31"/>
        <w:pageBreakBefore w:val="0"/>
        <w:kinsoku/>
        <w:wordWrap/>
        <w:overflowPunct/>
        <w:topLinePunct w:val="0"/>
        <w:bidi w:val="0"/>
        <w:spacing w:line="360" w:lineRule="auto"/>
        <w:ind w:firstLine="420" w:firstLineChars="200"/>
        <w:rPr>
          <w:rFonts w:hint="eastAsia" w:ascii="宋体" w:hAnsi="宋体" w:eastAsia="宋体" w:cs="宋体"/>
          <w:b w:val="0"/>
          <w:bCs/>
          <w:color w:val="auto"/>
          <w:sz w:val="21"/>
          <w:szCs w:val="21"/>
          <w:highlight w:val="none"/>
          <w:lang w:val="zh-CN" w:eastAsia="zh-CN"/>
        </w:rPr>
      </w:pPr>
      <w:r>
        <w:rPr>
          <w:rFonts w:hint="eastAsia" w:ascii="宋体" w:hAnsi="宋体" w:eastAsia="宋体" w:cs="宋体"/>
          <w:b w:val="0"/>
          <w:bCs/>
          <w:color w:val="auto"/>
          <w:sz w:val="21"/>
          <w:szCs w:val="21"/>
          <w:highlight w:val="none"/>
          <w:lang w:val="zh-CN" w:eastAsia="zh-CN"/>
        </w:rPr>
        <w:t>（</w:t>
      </w:r>
      <w:r>
        <w:rPr>
          <w:rFonts w:hint="eastAsia" w:hAnsi="宋体" w:cs="宋体"/>
          <w:b w:val="0"/>
          <w:bCs/>
          <w:color w:val="auto"/>
          <w:sz w:val="21"/>
          <w:szCs w:val="21"/>
          <w:highlight w:val="none"/>
          <w:lang w:val="en-US" w:eastAsia="zh-CN"/>
        </w:rPr>
        <w:t>10</w:t>
      </w:r>
      <w:r>
        <w:rPr>
          <w:rFonts w:hint="eastAsia" w:ascii="宋体" w:hAnsi="宋体" w:eastAsia="宋体" w:cs="宋体"/>
          <w:b w:val="0"/>
          <w:bCs/>
          <w:color w:val="auto"/>
          <w:sz w:val="21"/>
          <w:szCs w:val="21"/>
          <w:highlight w:val="none"/>
          <w:lang w:val="zh-CN" w:eastAsia="zh-CN"/>
        </w:rPr>
        <w:t>）培训计划（</w:t>
      </w:r>
      <w:r>
        <w:rPr>
          <w:rFonts w:hint="eastAsia" w:ascii="宋体" w:hAnsi="宋体" w:eastAsia="宋体" w:cs="宋体"/>
          <w:b w:val="0"/>
          <w:bCs/>
          <w:color w:val="auto"/>
          <w:sz w:val="21"/>
          <w:szCs w:val="21"/>
          <w:highlight w:val="none"/>
          <w:lang w:val="en-US" w:eastAsia="zh-CN"/>
        </w:rPr>
        <w:t>如有</w:t>
      </w:r>
      <w:r>
        <w:rPr>
          <w:rFonts w:hint="eastAsia" w:ascii="宋体" w:hAnsi="宋体" w:eastAsia="宋体" w:cs="宋体"/>
          <w:b w:val="0"/>
          <w:bCs/>
          <w:color w:val="auto"/>
          <w:sz w:val="21"/>
          <w:szCs w:val="21"/>
          <w:highlight w:val="none"/>
          <w:lang w:val="zh-CN" w:eastAsia="zh-CN"/>
        </w:rPr>
        <w:t>）；</w:t>
      </w:r>
    </w:p>
    <w:p w14:paraId="7B23AD18">
      <w:pPr>
        <w:pStyle w:val="31"/>
        <w:pageBreakBefore w:val="0"/>
        <w:kinsoku/>
        <w:wordWrap/>
        <w:overflowPunct/>
        <w:topLinePunct w:val="0"/>
        <w:bidi w:val="0"/>
        <w:spacing w:line="36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w:t>
      </w:r>
      <w:r>
        <w:rPr>
          <w:rFonts w:hint="eastAsia" w:hAnsi="宋体" w:cs="宋体"/>
          <w:b w:val="0"/>
          <w:bCs/>
          <w:color w:val="auto"/>
          <w:sz w:val="21"/>
          <w:szCs w:val="21"/>
          <w:highlight w:val="none"/>
          <w:lang w:val="en-US" w:eastAsia="zh-CN"/>
        </w:rPr>
        <w:t>11</w:t>
      </w:r>
      <w:r>
        <w:rPr>
          <w:rFonts w:hint="eastAsia" w:ascii="宋体" w:hAnsi="宋体" w:eastAsia="宋体" w:cs="宋体"/>
          <w:b w:val="0"/>
          <w:bCs/>
          <w:color w:val="auto"/>
          <w:sz w:val="21"/>
          <w:szCs w:val="21"/>
          <w:highlight w:val="none"/>
          <w:lang w:val="en-US" w:eastAsia="zh-CN"/>
        </w:rPr>
        <w:t>）随机特殊工具和备品备件清单（如有）；</w:t>
      </w:r>
    </w:p>
    <w:p w14:paraId="2FF7D89F">
      <w:pPr>
        <w:pStyle w:val="31"/>
        <w:pageBreakBefore w:val="0"/>
        <w:kinsoku/>
        <w:wordWrap/>
        <w:overflowPunct/>
        <w:topLinePunct w:val="0"/>
        <w:bidi w:val="0"/>
        <w:spacing w:line="36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w:t>
      </w:r>
      <w:r>
        <w:rPr>
          <w:rFonts w:hint="eastAsia" w:hAnsi="宋体" w:cs="宋体"/>
          <w:b w:val="0"/>
          <w:bCs/>
          <w:color w:val="auto"/>
          <w:sz w:val="21"/>
          <w:szCs w:val="21"/>
          <w:highlight w:val="none"/>
          <w:lang w:val="en-US" w:eastAsia="zh-CN"/>
        </w:rPr>
        <w:t>12</w:t>
      </w:r>
      <w:r>
        <w:rPr>
          <w:rFonts w:hint="eastAsia" w:ascii="宋体" w:hAnsi="宋体" w:eastAsia="宋体" w:cs="宋体"/>
          <w:b w:val="0"/>
          <w:bCs/>
          <w:color w:val="auto"/>
          <w:sz w:val="21"/>
          <w:szCs w:val="21"/>
          <w:highlight w:val="none"/>
          <w:lang w:val="en-US" w:eastAsia="zh-CN"/>
        </w:rPr>
        <w:t>）</w:t>
      </w:r>
      <w:r>
        <w:rPr>
          <w:rFonts w:hint="eastAsia" w:ascii="宋体" w:hAnsi="宋体" w:eastAsia="宋体" w:cs="宋体"/>
          <w:b w:val="0"/>
          <w:bCs/>
          <w:color w:val="auto"/>
          <w:sz w:val="21"/>
          <w:szCs w:val="21"/>
          <w:highlight w:val="none"/>
          <w:lang w:val="zh-CN" w:eastAsia="zh-CN"/>
        </w:rPr>
        <w:t>供应商认为需要</w:t>
      </w:r>
      <w:r>
        <w:rPr>
          <w:rFonts w:hint="eastAsia" w:hAnsi="宋体" w:cs="宋体"/>
          <w:b w:val="0"/>
          <w:bCs/>
          <w:color w:val="auto"/>
          <w:sz w:val="21"/>
          <w:szCs w:val="21"/>
          <w:highlight w:val="none"/>
          <w:lang w:val="en-US" w:eastAsia="zh-CN"/>
        </w:rPr>
        <w:t>提供</w:t>
      </w:r>
      <w:r>
        <w:rPr>
          <w:rFonts w:hint="eastAsia" w:ascii="宋体" w:hAnsi="宋体" w:eastAsia="宋体" w:cs="宋体"/>
          <w:b w:val="0"/>
          <w:bCs/>
          <w:color w:val="auto"/>
          <w:sz w:val="21"/>
          <w:szCs w:val="21"/>
          <w:highlight w:val="none"/>
          <w:lang w:val="zh-CN" w:eastAsia="zh-CN"/>
        </w:rPr>
        <w:t>的其他技术文件或说明。</w:t>
      </w:r>
    </w:p>
    <w:p w14:paraId="79D8E33B">
      <w:pPr>
        <w:pStyle w:val="31"/>
        <w:pageBreakBefore w:val="0"/>
        <w:kinsoku/>
        <w:wordWrap/>
        <w:overflowPunct/>
        <w:topLinePunct w:val="0"/>
        <w:bidi w:val="0"/>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3. 响应文件的编制和签署</w:t>
      </w:r>
    </w:p>
    <w:p w14:paraId="170D35F0">
      <w:pPr>
        <w:pageBreakBefore w:val="0"/>
        <w:kinsoku/>
        <w:wordWrap/>
        <w:overflowPunct/>
        <w:topLinePunct w:val="0"/>
        <w:bidi w:val="0"/>
        <w:spacing w:line="360" w:lineRule="auto"/>
        <w:ind w:firstLine="420" w:firstLineChars="200"/>
        <w:rPr>
          <w:rFonts w:hint="eastAsia" w:ascii="宋体" w:hAnsi="宋体" w:eastAsia="宋体" w:cs="宋体"/>
          <w:b/>
          <w:color w:val="auto"/>
          <w:sz w:val="21"/>
          <w:szCs w:val="21"/>
          <w:highlight w:val="none"/>
        </w:rPr>
      </w:pPr>
      <w:r>
        <w:rPr>
          <w:rFonts w:hint="eastAsia" w:ascii="宋体" w:hAnsi="宋体" w:eastAsia="宋体" w:cs="宋体"/>
          <w:color w:val="auto"/>
          <w:kern w:val="0"/>
          <w:sz w:val="21"/>
          <w:szCs w:val="21"/>
          <w:highlight w:val="none"/>
          <w:lang w:val="zh-CN"/>
        </w:rPr>
        <w:t>3.1各供应商在编制响应文件时请按照谈判文件第七部分规定的格式进行，混乱的编排导致响应文件被误读或谈判小组查找不到有效文件是供应商的风险。</w:t>
      </w:r>
    </w:p>
    <w:p w14:paraId="792B5736">
      <w:pPr>
        <w:pageBreakBefore w:val="0"/>
        <w:kinsoku/>
        <w:wordWrap/>
        <w:overflowPunct/>
        <w:topLinePunct w:val="0"/>
        <w:bidi w:val="0"/>
        <w:spacing w:line="360" w:lineRule="auto"/>
        <w:ind w:firstLine="420" w:firstLineChars="200"/>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3.2供应商进行电子交易应安装客户端软件—“广西政府采购云平台电子交易客户端”，并按照谈判文件和电子交易平台的要求编制并加密响应文件。供应商未按规定加密的响应文件，电子交易平台将拒收并提示。</w:t>
      </w:r>
    </w:p>
    <w:p w14:paraId="7F1B6255">
      <w:pPr>
        <w:pageBreakBefore w:val="0"/>
        <w:kinsoku/>
        <w:wordWrap/>
        <w:overflowPunct/>
        <w:topLinePunct w:val="0"/>
        <w:bidi w:val="0"/>
        <w:spacing w:line="360" w:lineRule="auto"/>
        <w:ind w:firstLine="420" w:firstLineChars="200"/>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3.3使用“广西政府采购云平台电子交易客户端”需要提前申领CA数字证书，申领流程请自行前往“</w:t>
      </w:r>
      <w:r>
        <w:rPr>
          <w:rFonts w:hint="eastAsia" w:ascii="宋体" w:hAnsi="宋体" w:eastAsia="宋体" w:cs="宋体"/>
          <w:color w:val="auto"/>
          <w:sz w:val="21"/>
          <w:szCs w:val="21"/>
          <w:highlight w:val="none"/>
        </w:rPr>
        <w:t>广西政府采购网（http://zfcg.gxzf.gov.cn/）—办事服务—下载专区</w:t>
      </w:r>
      <w:r>
        <w:rPr>
          <w:rFonts w:hint="eastAsia" w:ascii="宋体" w:hAnsi="宋体" w:eastAsia="宋体" w:cs="宋体"/>
          <w:color w:val="auto"/>
          <w:kern w:val="0"/>
          <w:sz w:val="21"/>
          <w:szCs w:val="21"/>
          <w:highlight w:val="none"/>
          <w:lang w:val="zh-CN"/>
        </w:rPr>
        <w:t>”进行查阅</w:t>
      </w:r>
    </w:p>
    <w:p w14:paraId="0A075F9C">
      <w:pPr>
        <w:pStyle w:val="392"/>
        <w:pageBreakBefore w:val="0"/>
        <w:kinsoku/>
        <w:wordWrap/>
        <w:overflowPunct/>
        <w:topLinePunct w:val="0"/>
        <w:bidi w:val="0"/>
        <w:snapToGrid w:val="0"/>
        <w:spacing w:before="0" w:line="360" w:lineRule="auto"/>
        <w:ind w:firstLine="48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3.4响应文件按照谈判文件第七部分格式要求进行签署、盖章。</w:t>
      </w:r>
      <w:r>
        <w:rPr>
          <w:rFonts w:hint="eastAsia" w:ascii="宋体" w:hAnsi="宋体" w:eastAsia="宋体" w:cs="宋体"/>
          <w:b/>
          <w:color w:val="auto"/>
          <w:sz w:val="21"/>
          <w:szCs w:val="21"/>
          <w:highlight w:val="none"/>
        </w:rPr>
        <w:t>▲供应商的响应文件未按照谈判文件要求签署、盖章的，其响应无效</w:t>
      </w:r>
      <w:r>
        <w:rPr>
          <w:rFonts w:hint="eastAsia" w:ascii="宋体" w:hAnsi="宋体" w:eastAsia="宋体" w:cs="宋体"/>
          <w:color w:val="auto"/>
          <w:sz w:val="21"/>
          <w:szCs w:val="21"/>
          <w:highlight w:val="none"/>
        </w:rPr>
        <w:t>。</w:t>
      </w:r>
    </w:p>
    <w:p w14:paraId="1DEB437D">
      <w:pPr>
        <w:pStyle w:val="392"/>
        <w:pageBreakBefore w:val="0"/>
        <w:kinsoku/>
        <w:wordWrap/>
        <w:overflowPunct/>
        <w:topLinePunct w:val="0"/>
        <w:bidi w:val="0"/>
        <w:snapToGrid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3.5为确保网上操作合法、有效和安全，供应商应当在响应截止时间前完成在“广西政府采购云平台”的身份认证，确保在电子交易过程中能够对相关数据电文进行加密和使用电子签名。</w:t>
      </w:r>
    </w:p>
    <w:p w14:paraId="31BA9487">
      <w:pPr>
        <w:pStyle w:val="392"/>
        <w:pageBreakBefore w:val="0"/>
        <w:kinsoku/>
        <w:wordWrap/>
        <w:overflowPunct/>
        <w:topLinePunct w:val="0"/>
        <w:bidi w:val="0"/>
        <w:snapToGrid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3.6谈判文件对响应文件签署、盖章的要求适用于电子签名、CA签章以及谈判文件明确允许的其他方式。</w:t>
      </w:r>
    </w:p>
    <w:p w14:paraId="5DB5ED43">
      <w:pPr>
        <w:pStyle w:val="31"/>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p>
    <w:p w14:paraId="467D9E85">
      <w:pPr>
        <w:pageBreakBefore w:val="0"/>
        <w:kinsoku/>
        <w:wordWrap/>
        <w:overflowPunct/>
        <w:topLinePunct w:val="0"/>
        <w:bidi w:val="0"/>
        <w:adjustRightInd/>
        <w:spacing w:line="360" w:lineRule="auto"/>
        <w:jc w:val="center"/>
        <w:rPr>
          <w:rFonts w:hint="eastAsia" w:ascii="宋体" w:hAnsi="宋体" w:eastAsia="宋体" w:cs="宋体"/>
          <w:b/>
          <w:color w:val="auto"/>
          <w:sz w:val="21"/>
          <w:szCs w:val="21"/>
          <w:highlight w:val="none"/>
        </w:rPr>
      </w:pPr>
    </w:p>
    <w:p w14:paraId="7EEAC15C">
      <w:pPr>
        <w:pageBreakBefore w:val="0"/>
        <w:kinsoku/>
        <w:wordWrap/>
        <w:overflowPunct/>
        <w:topLinePunct w:val="0"/>
        <w:bidi w:val="0"/>
        <w:adjustRightInd/>
        <w:spacing w:line="360" w:lineRule="auto"/>
        <w:jc w:val="center"/>
        <w:outlineLvl w:val="1"/>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七、响应文件的提交和备份</w:t>
      </w:r>
    </w:p>
    <w:p w14:paraId="4FC07C94">
      <w:pPr>
        <w:pStyle w:val="392"/>
        <w:pageBreakBefore w:val="0"/>
        <w:kinsoku/>
        <w:wordWrap/>
        <w:overflowPunct/>
        <w:topLinePunct w:val="0"/>
        <w:bidi w:val="0"/>
        <w:spacing w:before="0" w:line="360" w:lineRule="auto"/>
        <w:ind w:firstLine="0" w:firstLineChars="0"/>
        <w:rPr>
          <w:rFonts w:hint="eastAsia" w:ascii="宋体" w:hAnsi="宋体" w:eastAsia="宋体" w:cs="宋体"/>
          <w:b/>
          <w:color w:val="auto"/>
          <w:sz w:val="21"/>
          <w:szCs w:val="21"/>
          <w:highlight w:val="none"/>
        </w:rPr>
      </w:pPr>
    </w:p>
    <w:p w14:paraId="5CFDC6FF">
      <w:pPr>
        <w:pStyle w:val="392"/>
        <w:pageBreakBefore w:val="0"/>
        <w:kinsoku/>
        <w:wordWrap/>
        <w:overflowPunct/>
        <w:topLinePunct w:val="0"/>
        <w:bidi w:val="0"/>
        <w:spacing w:before="0" w:line="360" w:lineRule="auto"/>
        <w:ind w:firstLine="0" w:firstLineChars="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1.响应文件的提交、补充、修改、撤回</w:t>
      </w:r>
    </w:p>
    <w:p w14:paraId="3A831313">
      <w:pPr>
        <w:pStyle w:val="392"/>
        <w:pageBreakBefore w:val="0"/>
        <w:kinsoku/>
        <w:wordWrap/>
        <w:overflowPunct/>
        <w:topLinePunct w:val="0"/>
        <w:bidi w:val="0"/>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 供应商应当在提交响应文件截止时间前完成响应文件的传输提交，并可以补充、修改或者撤回响应文件。补充或者修改响应文件的，应当先行撤回原文件，补充、修改后重新传输提交。提交响应文件截止时间前未完成传输的，视为撤回响应文件。响应截止时间后提交的响应文件，电子交易平台将拒收。</w:t>
      </w:r>
    </w:p>
    <w:p w14:paraId="52BC1D92">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 在响应截止时间以后，不能补充、修改响应文件。</w:t>
      </w:r>
    </w:p>
    <w:p w14:paraId="3E1B5161">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 在提交“最后报价”后，供应商不能退出谈判。</w:t>
      </w:r>
    </w:p>
    <w:p w14:paraId="676D11E7">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 电子交易平台收到响应文件，将妥善保存并即时向供应商发出确认回执通知。在响应截止时间前，除供应商补充、修改或者撤回响应文件外，任何单位和个人不得解密或提取响应文件。</w:t>
      </w:r>
    </w:p>
    <w:p w14:paraId="2CAC65CA">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 采购代理机构可以视情况延长提交响应文件的截止时间。在上述情况下，采购代理机构与供应商以前在响应截止期方面的全部权利、责任和义务，将适用于延长至新的响应截止期。</w:t>
      </w:r>
    </w:p>
    <w:p w14:paraId="404E8B78">
      <w:pPr>
        <w:pStyle w:val="31"/>
        <w:pageBreakBefore w:val="0"/>
        <w:kinsoku/>
        <w:wordWrap/>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2.备份响应文件</w:t>
      </w:r>
    </w:p>
    <w:p w14:paraId="3076BA06">
      <w:pPr>
        <w:pStyle w:val="31"/>
        <w:pageBreakBefore w:val="0"/>
        <w:kinsoku/>
        <w:wordWrap/>
        <w:overflowPunct/>
        <w:topLinePunct w:val="0"/>
        <w:bidi w:val="0"/>
        <w:spacing w:line="360" w:lineRule="auto"/>
        <w:ind w:firstLine="420" w:firstLineChars="20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2.1 供应商在电子交易平台传输提交响应文件后，还可以在响应截止时间前直接提交或者以邮政快递方式递交备份响应文件1份，</w:t>
      </w:r>
      <w:r>
        <w:rPr>
          <w:rFonts w:hint="eastAsia" w:ascii="宋体" w:hAnsi="宋体" w:eastAsia="宋体" w:cs="宋体"/>
          <w:b/>
          <w:color w:val="auto"/>
          <w:sz w:val="21"/>
          <w:szCs w:val="21"/>
          <w:highlight w:val="none"/>
        </w:rPr>
        <w:t>但采购人、采购代理机构不强制或变相强制供应商提交备份响应文件。</w:t>
      </w:r>
    </w:p>
    <w:p w14:paraId="7B0DA18C">
      <w:pPr>
        <w:pStyle w:val="31"/>
        <w:pageBreakBefore w:val="0"/>
        <w:kinsoku/>
        <w:wordWrap/>
        <w:overflowPunct/>
        <w:topLinePunct w:val="0"/>
        <w:bidi w:val="0"/>
        <w:spacing w:line="360" w:lineRule="auto"/>
        <w:ind w:firstLine="420" w:firstLineChars="20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2.2 备份响应文件须在“广西政府采购云平台投标客户端”制作生成，并储存在不可修改的</w:t>
      </w:r>
      <w:r>
        <w:rPr>
          <w:rFonts w:hint="eastAsia" w:ascii="宋体" w:hAnsi="宋体" w:eastAsia="宋体" w:cs="宋体"/>
          <w:b/>
          <w:color w:val="auto"/>
          <w:sz w:val="21"/>
          <w:szCs w:val="21"/>
          <w:highlight w:val="none"/>
        </w:rPr>
        <w:t>电子光盘等存储介质</w:t>
      </w:r>
      <w:r>
        <w:rPr>
          <w:rFonts w:hint="eastAsia" w:ascii="宋体" w:hAnsi="宋体" w:eastAsia="宋体" w:cs="宋体"/>
          <w:color w:val="auto"/>
          <w:sz w:val="21"/>
          <w:szCs w:val="21"/>
          <w:highlight w:val="none"/>
        </w:rPr>
        <w:t>中。备份响应文件应当密封包装并在包装上加盖公章并注明响应项目名称，供应商名称(联合体响应的，包装物封面需注明联合体响应，并注明联合体成员各方的名称和联合体协议中约定的牵头人的名称)。</w:t>
      </w:r>
      <w:r>
        <w:rPr>
          <w:rFonts w:hint="eastAsia" w:ascii="宋体" w:hAnsi="宋体" w:eastAsia="宋体" w:cs="宋体"/>
          <w:b/>
          <w:color w:val="auto"/>
          <w:sz w:val="21"/>
          <w:szCs w:val="21"/>
          <w:highlight w:val="none"/>
        </w:rPr>
        <w:t>▲不符合上述制作、存储、密封规定的备份响应文件将被视为无效或者被拒绝接收。</w:t>
      </w:r>
    </w:p>
    <w:p w14:paraId="50708997">
      <w:pPr>
        <w:pStyle w:val="31"/>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 直接提交备份响应文件的，供应商应于响应截止时间前在谈判公告中载明的开启响应文件的地点将备份响应文件提交给采购代理机构，采购代理机构将拒绝接受逾期送达的备份响应文件。</w:t>
      </w:r>
    </w:p>
    <w:p w14:paraId="1B108A4F">
      <w:pPr>
        <w:pStyle w:val="31"/>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 以邮政快递方式递交备份响应文件的，供应商应先将备份响应文件按要求密封和标记，再进行邮政快递包装后邮寄。备份响应文件须在提交响应文件截止时间之前送达谈判文件第三部分供应商须知前附表规定的备份响应文件送达地点；送达时间以签收人签收时间为准。采购代理机构将拒绝接受逾期送达的备份响应文件。邮寄过程中，电子备份响应文件发生泄露、遗失、损坏或延期送达等情况的，由供应商自行负责。</w:t>
      </w:r>
    </w:p>
    <w:p w14:paraId="178EC374">
      <w:pPr>
        <w:pStyle w:val="31"/>
        <w:pageBreakBefore w:val="0"/>
        <w:kinsoku/>
        <w:wordWrap/>
        <w:overflowPunct/>
        <w:topLinePunct w:val="0"/>
        <w:bidi w:val="0"/>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2.5 ▲供应商仅提交备份响应文件，未在电子交易平台传输提交响应文件的，响应无效。</w:t>
      </w:r>
    </w:p>
    <w:p w14:paraId="0A4987BC">
      <w:pPr>
        <w:pageBreakBefore w:val="0"/>
        <w:kinsoku/>
        <w:wordWrap/>
        <w:overflowPunct/>
        <w:topLinePunct w:val="0"/>
        <w:bidi w:val="0"/>
        <w:spacing w:line="360" w:lineRule="auto"/>
        <w:rPr>
          <w:rFonts w:hint="eastAsia" w:ascii="宋体" w:hAnsi="宋体" w:eastAsia="宋体" w:cs="宋体"/>
          <w:b/>
          <w:snapToGrid w:val="0"/>
          <w:color w:val="auto"/>
          <w:sz w:val="21"/>
          <w:szCs w:val="21"/>
          <w:highlight w:val="none"/>
          <w:lang w:val="en-US" w:eastAsia="zh-CN"/>
        </w:rPr>
      </w:pPr>
      <w:r>
        <w:rPr>
          <w:rFonts w:hint="eastAsia" w:ascii="宋体" w:hAnsi="宋体" w:eastAsia="宋体" w:cs="宋体"/>
          <w:b/>
          <w:color w:val="auto"/>
          <w:sz w:val="21"/>
          <w:szCs w:val="21"/>
          <w:highlight w:val="none"/>
        </w:rPr>
        <w:t>3.</w:t>
      </w:r>
      <w:r>
        <w:rPr>
          <w:rFonts w:hint="eastAsia" w:ascii="宋体" w:hAnsi="宋体" w:eastAsia="宋体" w:cs="宋体"/>
          <w:b/>
          <w:snapToGrid w:val="0"/>
          <w:color w:val="auto"/>
          <w:kern w:val="28"/>
          <w:sz w:val="21"/>
          <w:szCs w:val="21"/>
          <w:highlight w:val="none"/>
        </w:rPr>
        <w:t>谈判保证金</w:t>
      </w:r>
      <w:r>
        <w:rPr>
          <w:rFonts w:hint="eastAsia" w:ascii="宋体" w:hAnsi="宋体" w:eastAsia="宋体" w:cs="宋体"/>
          <w:b/>
          <w:snapToGrid w:val="0"/>
          <w:color w:val="auto"/>
          <w:kern w:val="28"/>
          <w:sz w:val="21"/>
          <w:szCs w:val="21"/>
          <w:highlight w:val="none"/>
          <w:lang w:eastAsia="zh-CN"/>
        </w:rPr>
        <w:t>（</w:t>
      </w:r>
      <w:r>
        <w:rPr>
          <w:rFonts w:hint="eastAsia" w:ascii="宋体" w:hAnsi="宋体" w:eastAsia="宋体" w:cs="宋体"/>
          <w:b/>
          <w:snapToGrid w:val="0"/>
          <w:color w:val="auto"/>
          <w:kern w:val="28"/>
          <w:sz w:val="21"/>
          <w:szCs w:val="21"/>
          <w:highlight w:val="none"/>
          <w:lang w:val="en-US" w:eastAsia="zh-CN"/>
        </w:rPr>
        <w:t>本项目不收取谈判保证金）</w:t>
      </w:r>
    </w:p>
    <w:p w14:paraId="0285D89E">
      <w:pPr>
        <w:pageBreakBefore w:val="0"/>
        <w:widowControl/>
        <w:kinsoku/>
        <w:wordWrap/>
        <w:overflowPunct/>
        <w:topLinePunct w:val="0"/>
        <w:bidi w:val="0"/>
        <w:snapToGrid w:val="0"/>
        <w:spacing w:line="360" w:lineRule="auto"/>
        <w:ind w:firstLine="411" w:firstLineChars="196"/>
        <w:rPr>
          <w:rFonts w:hint="eastAsia" w:ascii="宋体" w:hAnsi="宋体" w:eastAsia="宋体" w:cs="宋体"/>
          <w:snapToGrid w:val="0"/>
          <w:color w:val="auto"/>
          <w:kern w:val="28"/>
          <w:sz w:val="21"/>
          <w:szCs w:val="21"/>
          <w:highlight w:val="none"/>
        </w:rPr>
      </w:pPr>
      <w:r>
        <w:rPr>
          <w:rFonts w:hint="eastAsia" w:ascii="宋体" w:hAnsi="宋体" w:eastAsia="宋体" w:cs="宋体"/>
          <w:snapToGrid w:val="0"/>
          <w:color w:val="auto"/>
          <w:kern w:val="28"/>
          <w:sz w:val="21"/>
          <w:szCs w:val="21"/>
          <w:highlight w:val="none"/>
        </w:rPr>
        <w:t>3.1采购人在采购文件中要求提交谈判保证金的，谈判保证金的数额不得超过采购项目预算金额的1%，鼓励对诚信记录良好的供应商免收或者减少收取谈判保证金，对于需要收取保证金的政府采购项目，政府采购信用白名单供应商可以免于缴纳保证金，降低信用白名单供应商参与政府采购活动成本。</w:t>
      </w:r>
      <w:r>
        <w:rPr>
          <w:rFonts w:hint="eastAsia" w:ascii="宋体" w:hAnsi="宋体" w:eastAsia="宋体" w:cs="宋体"/>
          <w:color w:val="auto"/>
          <w:sz w:val="21"/>
          <w:szCs w:val="21"/>
          <w:highlight w:val="none"/>
        </w:rPr>
        <w:t>谈判</w:t>
      </w:r>
      <w:r>
        <w:rPr>
          <w:rFonts w:hint="eastAsia" w:ascii="宋体" w:hAnsi="宋体" w:eastAsia="宋体" w:cs="宋体"/>
          <w:snapToGrid w:val="0"/>
          <w:color w:val="auto"/>
          <w:kern w:val="28"/>
          <w:sz w:val="21"/>
          <w:szCs w:val="21"/>
          <w:highlight w:val="none"/>
        </w:rPr>
        <w:t>保证金应当以支票、汇票、本票或者金融机构、担保机构出具的保函等非现金形式提交。</w:t>
      </w:r>
    </w:p>
    <w:p w14:paraId="06E49B25">
      <w:pPr>
        <w:pageBreakBefore w:val="0"/>
        <w:kinsoku/>
        <w:wordWrap/>
        <w:overflowPunct/>
        <w:topLinePunct w:val="0"/>
        <w:bidi w:val="0"/>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谈判保证金收取银行账户</w:t>
      </w:r>
    </w:p>
    <w:p w14:paraId="655B7C4A">
      <w:pPr>
        <w:pageBreakBefore w:val="0"/>
        <w:kinsoku/>
        <w:wordWrap/>
        <w:overflowPunct/>
        <w:topLinePunct w:val="0"/>
        <w:bidi w:val="0"/>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开户名称： </w:t>
      </w:r>
    </w:p>
    <w:p w14:paraId="6BE2B96E">
      <w:pPr>
        <w:pageBreakBefore w:val="0"/>
        <w:kinsoku/>
        <w:wordWrap/>
        <w:overflowPunct/>
        <w:topLinePunct w:val="0"/>
        <w:bidi w:val="0"/>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开户银行： </w:t>
      </w:r>
    </w:p>
    <w:p w14:paraId="7ABD2A9C">
      <w:pPr>
        <w:pageBreakBefore w:val="0"/>
        <w:kinsoku/>
        <w:wordWrap/>
        <w:overflowPunct/>
        <w:topLinePunct w:val="0"/>
        <w:bidi w:val="0"/>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银行账号：</w:t>
      </w:r>
    </w:p>
    <w:p w14:paraId="73A79A52">
      <w:pPr>
        <w:pageBreakBefore w:val="0"/>
        <w:widowControl/>
        <w:kinsoku/>
        <w:wordWrap/>
        <w:overflowPunct/>
        <w:topLinePunct w:val="0"/>
        <w:bidi w:val="0"/>
        <w:snapToGrid w:val="0"/>
        <w:spacing w:line="360" w:lineRule="auto"/>
        <w:ind w:firstLine="411" w:firstLineChars="196"/>
        <w:rPr>
          <w:rFonts w:hint="eastAsia" w:ascii="宋体" w:hAnsi="宋体" w:eastAsia="宋体" w:cs="宋体"/>
          <w:snapToGrid w:val="0"/>
          <w:color w:val="auto"/>
          <w:kern w:val="28"/>
          <w:sz w:val="21"/>
          <w:szCs w:val="21"/>
          <w:highlight w:val="none"/>
        </w:rPr>
      </w:pPr>
      <w:r>
        <w:rPr>
          <w:rFonts w:hint="eastAsia" w:ascii="宋体" w:hAnsi="宋体" w:eastAsia="宋体" w:cs="宋体"/>
          <w:snapToGrid w:val="0"/>
          <w:color w:val="auto"/>
          <w:kern w:val="28"/>
          <w:sz w:val="21"/>
          <w:szCs w:val="21"/>
          <w:highlight w:val="none"/>
        </w:rPr>
        <w:t>3.2</w:t>
      </w:r>
      <w:r>
        <w:rPr>
          <w:rFonts w:hint="eastAsia" w:ascii="宋体" w:hAnsi="宋体" w:eastAsia="宋体" w:cs="宋体"/>
          <w:color w:val="auto"/>
          <w:sz w:val="21"/>
          <w:szCs w:val="21"/>
          <w:highlight w:val="none"/>
        </w:rPr>
        <w:t>谈判供应商</w:t>
      </w:r>
      <w:r>
        <w:rPr>
          <w:rFonts w:hint="eastAsia" w:ascii="宋体" w:hAnsi="宋体" w:eastAsia="宋体" w:cs="宋体"/>
          <w:snapToGrid w:val="0"/>
          <w:color w:val="auto"/>
          <w:kern w:val="28"/>
          <w:sz w:val="21"/>
          <w:szCs w:val="21"/>
          <w:highlight w:val="none"/>
        </w:rPr>
        <w:t>在响应文件提交截止时间前撤回已提交的响应文件的，采购人或者采购代理机构应当自收到</w:t>
      </w:r>
      <w:r>
        <w:rPr>
          <w:rFonts w:hint="eastAsia" w:ascii="宋体" w:hAnsi="宋体" w:eastAsia="宋体" w:cs="宋体"/>
          <w:color w:val="auto"/>
          <w:sz w:val="21"/>
          <w:szCs w:val="21"/>
          <w:highlight w:val="none"/>
        </w:rPr>
        <w:t>谈判供应商</w:t>
      </w:r>
      <w:r>
        <w:rPr>
          <w:rFonts w:hint="eastAsia" w:ascii="宋体" w:hAnsi="宋体" w:eastAsia="宋体" w:cs="宋体"/>
          <w:snapToGrid w:val="0"/>
          <w:color w:val="auto"/>
          <w:kern w:val="28"/>
          <w:sz w:val="21"/>
          <w:szCs w:val="21"/>
          <w:highlight w:val="none"/>
        </w:rPr>
        <w:t>书面撤回通知之日起５个工作日内，退还已收取的</w:t>
      </w:r>
      <w:r>
        <w:rPr>
          <w:rFonts w:hint="eastAsia" w:ascii="宋体" w:hAnsi="宋体" w:eastAsia="宋体" w:cs="宋体"/>
          <w:color w:val="auto"/>
          <w:sz w:val="21"/>
          <w:szCs w:val="21"/>
          <w:highlight w:val="none"/>
        </w:rPr>
        <w:t>谈判</w:t>
      </w:r>
      <w:r>
        <w:rPr>
          <w:rFonts w:hint="eastAsia" w:ascii="宋体" w:hAnsi="宋体" w:eastAsia="宋体" w:cs="宋体"/>
          <w:snapToGrid w:val="0"/>
          <w:color w:val="auto"/>
          <w:kern w:val="28"/>
          <w:sz w:val="21"/>
          <w:szCs w:val="21"/>
          <w:highlight w:val="none"/>
        </w:rPr>
        <w:t>保证金，但因</w:t>
      </w:r>
      <w:r>
        <w:rPr>
          <w:rFonts w:hint="eastAsia" w:ascii="宋体" w:hAnsi="宋体" w:eastAsia="宋体" w:cs="宋体"/>
          <w:color w:val="auto"/>
          <w:sz w:val="21"/>
          <w:szCs w:val="21"/>
          <w:highlight w:val="none"/>
        </w:rPr>
        <w:t>谈判供应商</w:t>
      </w:r>
      <w:r>
        <w:rPr>
          <w:rFonts w:hint="eastAsia" w:ascii="宋体" w:hAnsi="宋体" w:eastAsia="宋体" w:cs="宋体"/>
          <w:snapToGrid w:val="0"/>
          <w:color w:val="auto"/>
          <w:kern w:val="28"/>
          <w:sz w:val="21"/>
          <w:szCs w:val="21"/>
          <w:highlight w:val="none"/>
        </w:rPr>
        <w:t>自身原因导致无法及时退还的除外。</w:t>
      </w:r>
    </w:p>
    <w:p w14:paraId="1A4A9AFA">
      <w:pPr>
        <w:pageBreakBefore w:val="0"/>
        <w:widowControl/>
        <w:kinsoku/>
        <w:wordWrap/>
        <w:overflowPunct/>
        <w:topLinePunct w:val="0"/>
        <w:bidi w:val="0"/>
        <w:snapToGrid w:val="0"/>
        <w:spacing w:line="360" w:lineRule="auto"/>
        <w:ind w:firstLine="411" w:firstLineChars="196"/>
        <w:rPr>
          <w:rFonts w:hint="eastAsia" w:ascii="宋体" w:hAnsi="宋体" w:eastAsia="宋体" w:cs="宋体"/>
          <w:snapToGrid w:val="0"/>
          <w:color w:val="auto"/>
          <w:kern w:val="28"/>
          <w:sz w:val="21"/>
          <w:szCs w:val="21"/>
          <w:highlight w:val="none"/>
        </w:rPr>
      </w:pPr>
      <w:r>
        <w:rPr>
          <w:rFonts w:hint="eastAsia" w:ascii="宋体" w:hAnsi="宋体" w:eastAsia="宋体" w:cs="宋体"/>
          <w:snapToGrid w:val="0"/>
          <w:color w:val="auto"/>
          <w:kern w:val="28"/>
          <w:sz w:val="21"/>
          <w:szCs w:val="21"/>
          <w:highlight w:val="none"/>
        </w:rPr>
        <w:t>采购人或者采购代理机构应当自成交通知书发出之日起5个工作日内退还未成交供应商的谈判保证金，自采购合同签订之日起5个工作日内退还成交供应商的谈判保证金或者转为成交供应商的履约保证金。</w:t>
      </w:r>
    </w:p>
    <w:p w14:paraId="6CF0CAFC">
      <w:pPr>
        <w:pageBreakBefore w:val="0"/>
        <w:widowControl/>
        <w:kinsoku/>
        <w:wordWrap/>
        <w:overflowPunct/>
        <w:topLinePunct w:val="0"/>
        <w:bidi w:val="0"/>
        <w:snapToGrid w:val="0"/>
        <w:spacing w:line="360" w:lineRule="auto"/>
        <w:ind w:firstLine="411" w:firstLineChars="196"/>
        <w:rPr>
          <w:rFonts w:hint="eastAsia" w:ascii="宋体" w:hAnsi="宋体" w:eastAsia="宋体" w:cs="宋体"/>
          <w:snapToGrid w:val="0"/>
          <w:color w:val="auto"/>
          <w:kern w:val="28"/>
          <w:sz w:val="21"/>
          <w:szCs w:val="21"/>
          <w:highlight w:val="none"/>
        </w:rPr>
      </w:pPr>
      <w:r>
        <w:rPr>
          <w:rFonts w:hint="eastAsia" w:ascii="宋体" w:hAnsi="宋体" w:eastAsia="宋体" w:cs="宋体"/>
          <w:snapToGrid w:val="0"/>
          <w:color w:val="auto"/>
          <w:kern w:val="28"/>
          <w:sz w:val="21"/>
          <w:szCs w:val="21"/>
          <w:highlight w:val="none"/>
        </w:rPr>
        <w:t>采购人或者采购代理机构逾期退还谈判保证金的，除应当退还谈判保证金本金外，还应当按中国人民银行同期贷款基准利率上浮20％后的利率支付超期资金占用费，但因供应商自身原因导致无法及时退还的除外。</w:t>
      </w:r>
    </w:p>
    <w:p w14:paraId="4C2FE24F">
      <w:pPr>
        <w:pageBreakBefore w:val="0"/>
        <w:widowControl/>
        <w:kinsoku/>
        <w:wordWrap/>
        <w:overflowPunct/>
        <w:topLinePunct w:val="0"/>
        <w:bidi w:val="0"/>
        <w:snapToGrid w:val="0"/>
        <w:spacing w:line="360" w:lineRule="auto"/>
        <w:ind w:firstLine="411" w:firstLineChars="196"/>
        <w:rPr>
          <w:rFonts w:hint="eastAsia" w:ascii="宋体" w:hAnsi="宋体" w:eastAsia="宋体" w:cs="宋体"/>
          <w:snapToGrid w:val="0"/>
          <w:color w:val="auto"/>
          <w:kern w:val="28"/>
          <w:sz w:val="21"/>
          <w:szCs w:val="21"/>
          <w:highlight w:val="none"/>
        </w:rPr>
      </w:pPr>
      <w:r>
        <w:rPr>
          <w:rFonts w:hint="eastAsia" w:ascii="宋体" w:hAnsi="宋体" w:eastAsia="宋体" w:cs="宋体"/>
          <w:snapToGrid w:val="0"/>
          <w:color w:val="auto"/>
          <w:kern w:val="28"/>
          <w:sz w:val="21"/>
          <w:szCs w:val="21"/>
          <w:highlight w:val="none"/>
        </w:rPr>
        <w:t>3.3有下列情形之一的，谈判保证金不予退还：（一）供应商在提交响应文件截止时间后撤回响应文件的，但在提交最后报价之前退出谈判的情况除外；（二）供应商在响应文件中提供虚假材料的；（三）除因不可抗力或谈判文件认可的情形以外，成交供应商不与采购人签订合同的；（四）供应商与采购人、其他供应商或者采购代理机构恶意串通的；（五）谈判文件规定的其他情形。</w:t>
      </w:r>
    </w:p>
    <w:p w14:paraId="7A9D6080">
      <w:pPr>
        <w:pStyle w:val="31"/>
        <w:pageBreakBefore w:val="0"/>
        <w:kinsoku/>
        <w:wordWrap/>
        <w:overflowPunct/>
        <w:topLinePunct w:val="0"/>
        <w:bidi w:val="0"/>
        <w:spacing w:line="360" w:lineRule="auto"/>
        <w:ind w:firstLine="315" w:firstLineChars="150"/>
        <w:rPr>
          <w:rFonts w:hint="eastAsia" w:ascii="宋体" w:hAnsi="宋体" w:eastAsia="宋体" w:cs="宋体"/>
          <w:color w:val="auto"/>
          <w:sz w:val="21"/>
          <w:szCs w:val="21"/>
          <w:highlight w:val="none"/>
        </w:rPr>
      </w:pPr>
    </w:p>
    <w:p w14:paraId="7FF12443">
      <w:pPr>
        <w:pageBreakBefore w:val="0"/>
        <w:kinsoku/>
        <w:wordWrap/>
        <w:overflowPunct/>
        <w:topLinePunct w:val="0"/>
        <w:bidi w:val="0"/>
        <w:adjustRightInd/>
        <w:spacing w:line="360" w:lineRule="auto"/>
        <w:jc w:val="center"/>
        <w:rPr>
          <w:rFonts w:hint="eastAsia" w:ascii="宋体" w:hAnsi="宋体" w:eastAsia="宋体" w:cs="宋体"/>
          <w:b/>
          <w:color w:val="auto"/>
          <w:sz w:val="21"/>
          <w:szCs w:val="21"/>
          <w:highlight w:val="none"/>
        </w:rPr>
      </w:pPr>
    </w:p>
    <w:p w14:paraId="3011ACC1">
      <w:pPr>
        <w:pageBreakBefore w:val="0"/>
        <w:kinsoku/>
        <w:wordWrap/>
        <w:overflowPunct/>
        <w:topLinePunct w:val="0"/>
        <w:bidi w:val="0"/>
        <w:adjustRightInd/>
        <w:spacing w:line="360" w:lineRule="auto"/>
        <w:jc w:val="center"/>
        <w:outlineLvl w:val="1"/>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八、开启响应文件与信用信息查询</w:t>
      </w:r>
    </w:p>
    <w:p w14:paraId="71B6FE21">
      <w:pPr>
        <w:pStyle w:val="31"/>
        <w:pageBreakBefore w:val="0"/>
        <w:kinsoku/>
        <w:wordWrap/>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 开启响应文件</w:t>
      </w:r>
    </w:p>
    <w:p w14:paraId="3263C013">
      <w:pPr>
        <w:pStyle w:val="31"/>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 采购代理机构按照谈判文件规定的时间通过电子交易平台组织响应文件开启，所有供应商均应当准时在线参加。</w:t>
      </w:r>
      <w:r>
        <w:rPr>
          <w:rFonts w:hint="eastAsia" w:ascii="宋体" w:hAnsi="宋体" w:eastAsia="宋体" w:cs="宋体"/>
          <w:b/>
          <w:color w:val="auto"/>
          <w:sz w:val="21"/>
          <w:szCs w:val="21"/>
          <w:highlight w:val="none"/>
        </w:rPr>
        <w:t>供应商数量不符合规定的，不得开启响应文件。</w:t>
      </w:r>
    </w:p>
    <w:p w14:paraId="15FDC7D6">
      <w:pPr>
        <w:pStyle w:val="31"/>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1.2开启响应文件时，电子交易平台按开启响应文件时间自动提取所有响应文件。采购代理机构依托电子交易平台发起开始解密指令，供应商按照平台提示和谈判文件的规定在半小时内完成在线解密。</w:t>
      </w:r>
    </w:p>
    <w:p w14:paraId="45C9CC93">
      <w:pPr>
        <w:pStyle w:val="31"/>
        <w:pageBreakBefore w:val="0"/>
        <w:kinsoku/>
        <w:wordWrap/>
        <w:overflowPunct/>
        <w:topLinePunct w:val="0"/>
        <w:bidi w:val="0"/>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1.3响应文件未在规定时间内成功解密的供应商，如提交了备份响应文件的，以备份响应文件作为依据，否则视为响应文件撤回。响应文件解密成功的供应商，其备份响应文件自动失效。</w:t>
      </w:r>
    </w:p>
    <w:p w14:paraId="57414F43">
      <w:pPr>
        <w:pStyle w:val="392"/>
        <w:pageBreakBefore w:val="0"/>
        <w:kinsoku/>
        <w:wordWrap/>
        <w:overflowPunct/>
        <w:topLinePunct w:val="0"/>
        <w:bidi w:val="0"/>
        <w:spacing w:before="0" w:line="360" w:lineRule="auto"/>
        <w:ind w:firstLine="0" w:firstLineChars="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2.信用信息查询</w:t>
      </w:r>
    </w:p>
    <w:p w14:paraId="7345CB0F">
      <w:pPr>
        <w:pStyle w:val="392"/>
        <w:pageBreakBefore w:val="0"/>
        <w:kinsoku/>
        <w:wordWrap/>
        <w:overflowPunct/>
        <w:topLinePunct w:val="0"/>
        <w:bidi w:val="0"/>
        <w:spacing w:before="0" w:line="360" w:lineRule="auto"/>
        <w:ind w:firstLine="48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2.1信用信息查询渠道及截止时间：采购人或采购代理机构将通过“信用中国”网站(</w:t>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"http://www.creditchina.gov.cn" </w:instrText>
      </w:r>
      <w:r>
        <w:rPr>
          <w:rFonts w:hint="eastAsia" w:ascii="宋体" w:hAnsi="宋体" w:eastAsia="宋体" w:cs="宋体"/>
          <w:color w:val="auto"/>
          <w:sz w:val="21"/>
          <w:szCs w:val="21"/>
          <w:highlight w:val="none"/>
        </w:rPr>
        <w:fldChar w:fldCharType="separate"/>
      </w:r>
      <w:r>
        <w:rPr>
          <w:rStyle w:val="68"/>
          <w:rFonts w:hint="eastAsia" w:ascii="宋体" w:hAnsi="宋体" w:eastAsia="宋体" w:cs="宋体"/>
          <w:snapToGrid/>
          <w:color w:val="auto"/>
          <w:sz w:val="21"/>
          <w:szCs w:val="21"/>
          <w:highlight w:val="none"/>
        </w:rPr>
        <w:t>www.creditchina.gov.cn</w:t>
      </w:r>
      <w:r>
        <w:rPr>
          <w:rStyle w:val="68"/>
          <w:rFonts w:hint="eastAsia" w:ascii="宋体" w:hAnsi="宋体" w:eastAsia="宋体" w:cs="宋体"/>
          <w:snapToGrid/>
          <w:color w:val="auto"/>
          <w:sz w:val="21"/>
          <w:szCs w:val="21"/>
          <w:highlight w:val="none"/>
        </w:rPr>
        <w:fldChar w:fldCharType="end"/>
      </w:r>
      <w:r>
        <w:rPr>
          <w:rFonts w:hint="eastAsia" w:ascii="宋体" w:hAnsi="宋体" w:eastAsia="宋体" w:cs="宋体"/>
          <w:color w:val="auto"/>
          <w:kern w:val="0"/>
          <w:sz w:val="21"/>
          <w:szCs w:val="21"/>
          <w:highlight w:val="none"/>
        </w:rPr>
        <w:t>)、中国政府采购网(www.ccgp.gov.cn)渠道查询供应商响应截止时间前的信用记录。</w:t>
      </w:r>
    </w:p>
    <w:p w14:paraId="5853DC59">
      <w:pPr>
        <w:pStyle w:val="392"/>
        <w:pageBreakBefore w:val="0"/>
        <w:kinsoku/>
        <w:wordWrap/>
        <w:overflowPunct/>
        <w:topLinePunct w:val="0"/>
        <w:bidi w:val="0"/>
        <w:spacing w:before="0" w:line="360" w:lineRule="auto"/>
        <w:ind w:firstLine="48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2.2信用信息查询记录和证据留存的具体方式：现场查询的供应商的信用记录、查询结果经确认后存档。</w:t>
      </w:r>
    </w:p>
    <w:p w14:paraId="5A91F2E0">
      <w:pPr>
        <w:pStyle w:val="392"/>
        <w:pageBreakBefore w:val="0"/>
        <w:kinsoku/>
        <w:wordWrap/>
        <w:overflowPunct/>
        <w:topLinePunct w:val="0"/>
        <w:bidi w:val="0"/>
        <w:spacing w:before="0" w:line="360" w:lineRule="auto"/>
        <w:ind w:firstLine="48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2.3信用信息的使用规则：经查询列入失信被执行人名单、重大税收违法案件当事人名单、政府采购严重违法失信行为记录名单的供应商将被拒绝参与政府采购活动。</w:t>
      </w:r>
    </w:p>
    <w:p w14:paraId="3D2E2805">
      <w:pPr>
        <w:pStyle w:val="392"/>
        <w:pageBreakBefore w:val="0"/>
        <w:kinsoku/>
        <w:wordWrap/>
        <w:overflowPunct/>
        <w:topLinePunct w:val="0"/>
        <w:bidi w:val="0"/>
        <w:spacing w:before="0" w:line="360" w:lineRule="auto"/>
        <w:ind w:firstLine="48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2.4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56C0B13D">
      <w:pPr>
        <w:pStyle w:val="31"/>
        <w:pageBreakBefore w:val="0"/>
        <w:kinsoku/>
        <w:wordWrap/>
        <w:overflowPunct/>
        <w:topLinePunct w:val="0"/>
        <w:bidi w:val="0"/>
        <w:spacing w:line="360" w:lineRule="auto"/>
        <w:rPr>
          <w:rFonts w:hint="eastAsia" w:ascii="宋体" w:hAnsi="宋体" w:eastAsia="宋体" w:cs="宋体"/>
          <w:b/>
          <w:color w:val="auto"/>
          <w:sz w:val="21"/>
          <w:szCs w:val="21"/>
          <w:highlight w:val="none"/>
        </w:rPr>
      </w:pPr>
    </w:p>
    <w:p w14:paraId="3E37F9B1">
      <w:pPr>
        <w:pageBreakBefore w:val="0"/>
        <w:kinsoku/>
        <w:wordWrap/>
        <w:overflowPunct/>
        <w:topLinePunct w:val="0"/>
        <w:bidi w:val="0"/>
        <w:adjustRightInd/>
        <w:spacing w:line="360" w:lineRule="auto"/>
        <w:jc w:val="center"/>
        <w:outlineLvl w:val="1"/>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九、提交最后报价</w:t>
      </w:r>
    </w:p>
    <w:p w14:paraId="0473639E">
      <w:pPr>
        <w:pageBreakBefore w:val="0"/>
        <w:kinsoku/>
        <w:wordWrap/>
        <w:overflowPunct/>
        <w:topLinePunct w:val="0"/>
        <w:bidi w:val="0"/>
        <w:snapToGrid w:val="0"/>
        <w:spacing w:line="360" w:lineRule="auto"/>
        <w:rPr>
          <w:rFonts w:hint="eastAsia" w:ascii="宋体" w:hAnsi="宋体" w:eastAsia="宋体" w:cs="宋体"/>
          <w:color w:val="auto"/>
          <w:sz w:val="21"/>
          <w:szCs w:val="21"/>
          <w:highlight w:val="none"/>
          <w:u w:val="single"/>
          <w:lang w:val="zh-CN"/>
        </w:rPr>
      </w:pPr>
      <w:r>
        <w:rPr>
          <w:rFonts w:hint="eastAsia" w:ascii="宋体" w:hAnsi="宋体" w:eastAsia="宋体" w:cs="宋体"/>
          <w:b/>
          <w:color w:val="auto"/>
          <w:sz w:val="21"/>
          <w:szCs w:val="21"/>
          <w:highlight w:val="none"/>
        </w:rPr>
        <w:t>1.</w:t>
      </w:r>
      <w:r>
        <w:rPr>
          <w:rFonts w:hint="eastAsia" w:ascii="宋体" w:hAnsi="宋体" w:eastAsia="宋体" w:cs="宋体"/>
          <w:color w:val="auto"/>
          <w:sz w:val="21"/>
          <w:szCs w:val="21"/>
          <w:highlight w:val="none"/>
        </w:rPr>
        <w:t>供应商的</w:t>
      </w:r>
      <w:r>
        <w:rPr>
          <w:rFonts w:hint="eastAsia" w:ascii="宋体" w:hAnsi="宋体" w:eastAsia="宋体" w:cs="宋体"/>
          <w:b/>
          <w:color w:val="auto"/>
          <w:sz w:val="21"/>
          <w:szCs w:val="21"/>
          <w:highlight w:val="none"/>
        </w:rPr>
        <w:t>最后报价文件</w:t>
      </w:r>
      <w:r>
        <w:rPr>
          <w:rFonts w:hint="eastAsia" w:ascii="宋体" w:hAnsi="宋体" w:eastAsia="宋体" w:cs="宋体"/>
          <w:color w:val="auto"/>
          <w:sz w:val="21"/>
          <w:szCs w:val="21"/>
          <w:highlight w:val="none"/>
        </w:rPr>
        <w:t>应包括以下内容：</w:t>
      </w:r>
    </w:p>
    <w:p w14:paraId="4B8ADE01">
      <w:pPr>
        <w:pStyle w:val="31"/>
        <w:pageBreakBefore w:val="0"/>
        <w:kinsoku/>
        <w:wordWrap/>
        <w:overflowPunct/>
        <w:topLinePunct w:val="0"/>
        <w:bidi w:val="0"/>
        <w:snapToGrid w:val="0"/>
        <w:spacing w:line="360"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w:t>
      </w:r>
      <w:r>
        <w:rPr>
          <w:rFonts w:hint="eastAsia" w:ascii="宋体" w:hAnsi="宋体" w:eastAsia="宋体" w:cs="宋体"/>
          <w:color w:val="auto"/>
          <w:sz w:val="21"/>
          <w:szCs w:val="21"/>
          <w:highlight w:val="none"/>
        </w:rPr>
        <w:t>1.1最后报价一览表；</w:t>
      </w:r>
    </w:p>
    <w:p w14:paraId="0C651D05">
      <w:pPr>
        <w:pStyle w:val="31"/>
        <w:pageBreakBefore w:val="0"/>
        <w:kinsoku/>
        <w:wordWrap/>
        <w:overflowPunct/>
        <w:topLinePunct w:val="0"/>
        <w:bidi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1.2中小企业声明函（如果有）。</w:t>
      </w:r>
    </w:p>
    <w:p w14:paraId="3507E435">
      <w:pPr>
        <w:pageBreakBefore w:val="0"/>
        <w:kinsoku/>
        <w:wordWrap/>
        <w:overflowPunct/>
        <w:topLinePunct w:val="0"/>
        <w:bidi w:val="0"/>
        <w:adjustRightInd/>
        <w:spacing w:line="360" w:lineRule="auto"/>
        <w:jc w:val="center"/>
        <w:rPr>
          <w:rFonts w:hint="eastAsia" w:ascii="宋体" w:hAnsi="宋体" w:eastAsia="宋体" w:cs="宋体"/>
          <w:b/>
          <w:color w:val="auto"/>
          <w:sz w:val="21"/>
          <w:szCs w:val="21"/>
          <w:highlight w:val="none"/>
        </w:rPr>
      </w:pPr>
    </w:p>
    <w:p w14:paraId="5AB05801">
      <w:pPr>
        <w:pageBreakBefore w:val="0"/>
        <w:kinsoku/>
        <w:wordWrap/>
        <w:overflowPunct/>
        <w:topLinePunct w:val="0"/>
        <w:bidi w:val="0"/>
        <w:adjustRightInd/>
        <w:spacing w:line="360" w:lineRule="auto"/>
        <w:jc w:val="center"/>
        <w:outlineLvl w:val="1"/>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十、评审</w:t>
      </w:r>
    </w:p>
    <w:p w14:paraId="2F5FDCDC">
      <w:pPr>
        <w:pStyle w:val="392"/>
        <w:pageBreakBefore w:val="0"/>
        <w:kinsoku/>
        <w:wordWrap/>
        <w:overflowPunct/>
        <w:topLinePunct w:val="0"/>
        <w:bidi w:val="0"/>
        <w:spacing w:before="0" w:line="360" w:lineRule="auto"/>
        <w:ind w:firstLine="0" w:firstLineChars="0"/>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1. 评审要求：</w:t>
      </w:r>
      <w:r>
        <w:rPr>
          <w:rFonts w:hint="eastAsia" w:ascii="宋体" w:hAnsi="宋体" w:eastAsia="宋体" w:cs="宋体"/>
          <w:color w:val="auto"/>
          <w:sz w:val="21"/>
          <w:szCs w:val="21"/>
          <w:highlight w:val="none"/>
        </w:rPr>
        <w:t>详见谈判文件第五部分“评定标准”。</w:t>
      </w:r>
    </w:p>
    <w:p w14:paraId="122EE0AE">
      <w:pPr>
        <w:pageBreakBefore w:val="0"/>
        <w:kinsoku/>
        <w:wordWrap/>
        <w:overflowPunct/>
        <w:topLinePunct w:val="0"/>
        <w:bidi w:val="0"/>
        <w:adjustRightInd/>
        <w:spacing w:line="360" w:lineRule="auto"/>
        <w:jc w:val="center"/>
        <w:rPr>
          <w:rFonts w:hint="eastAsia" w:ascii="宋体" w:hAnsi="宋体" w:eastAsia="宋体" w:cs="宋体"/>
          <w:color w:val="auto"/>
          <w:sz w:val="21"/>
          <w:szCs w:val="21"/>
          <w:highlight w:val="none"/>
        </w:rPr>
      </w:pPr>
    </w:p>
    <w:p w14:paraId="61D1E346">
      <w:pPr>
        <w:pageBreakBefore w:val="0"/>
        <w:kinsoku/>
        <w:wordWrap/>
        <w:overflowPunct/>
        <w:topLinePunct w:val="0"/>
        <w:bidi w:val="0"/>
        <w:adjustRightInd/>
        <w:spacing w:line="360" w:lineRule="auto"/>
        <w:jc w:val="center"/>
        <w:outlineLvl w:val="1"/>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十一、成交</w:t>
      </w:r>
    </w:p>
    <w:p w14:paraId="3F373FA1">
      <w:pPr>
        <w:pStyle w:val="31"/>
        <w:pageBreakBefore w:val="0"/>
        <w:kinsoku/>
        <w:wordWrap/>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 推荐成交候选供应商</w:t>
      </w:r>
    </w:p>
    <w:p w14:paraId="4D835CF4">
      <w:pPr>
        <w:pageBreakBefore w:val="0"/>
        <w:kinsoku/>
        <w:wordWrap/>
        <w:overflowPunct/>
        <w:topLinePunct w:val="0"/>
        <w:bidi w:val="0"/>
        <w:spacing w:line="360" w:lineRule="auto"/>
        <w:ind w:firstLine="407" w:firstLineChars="194"/>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谈判小组应当从质量和服务均能满足采购文件实质性响应要求的供应商中，按照最后报价由低到高的顺序提出3名以上成交候选人，并编写评审报告。最后报价均相同时，由谈判小组按照响应文件技术要求响应、商务要求响应优劣情况集体讨论确定排序，并按确定排序由优到劣的原则推荐成交候选人。</w:t>
      </w:r>
    </w:p>
    <w:p w14:paraId="2A172E3A">
      <w:pPr>
        <w:pStyle w:val="31"/>
        <w:pageBreakBefore w:val="0"/>
        <w:kinsoku/>
        <w:wordWrap/>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 确定成交供应商</w:t>
      </w:r>
    </w:p>
    <w:p w14:paraId="13CE1E8E">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政府采购项目实行全流程电子化，评审报告送交、采购结果确定和结果公告均在线完成。为进一步提升采购结果确定效率，采购代理机构应当依法及时将评审报告在线送交采购人。采购人应当自收到评审报告之日起5个工作日内在线确定成交供应商。成交通知书和成交结果公告应当在规定时间内同时发出。</w:t>
      </w:r>
    </w:p>
    <w:p w14:paraId="554AE18A">
      <w:pPr>
        <w:pageBreakBefore w:val="0"/>
        <w:tabs>
          <w:tab w:val="left" w:pos="0"/>
        </w:tabs>
        <w:kinsoku/>
        <w:wordWrap/>
        <w:overflowPunct/>
        <w:topLinePunct w:val="0"/>
        <w:bidi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b/>
          <w:color w:val="auto"/>
          <w:sz w:val="21"/>
          <w:szCs w:val="21"/>
          <w:highlight w:val="none"/>
        </w:rPr>
        <w:t>3．成交通知及成交结果公告</w:t>
      </w:r>
    </w:p>
    <w:p w14:paraId="36EB57B3">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3.1自成交人确定之日起2个工作日内，采购代理机构通过电子交易平台向成交人发出成交通知书，同时编制发布采购成交结果公告。</w:t>
      </w:r>
    </w:p>
    <w:p w14:paraId="62CB8125">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3.2成交结果公告内容包括采购人及其委托的采购代理机构的名称、地址、联系方式，项目名称和项目编号，成交人名称、地址和成交金额，主要成交标的的名称、规格型号、数量、单价、服务要求，</w:t>
      </w:r>
      <w:bookmarkStart w:id="51" w:name="_Hlk101184471"/>
      <w:r>
        <w:rPr>
          <w:rFonts w:hint="eastAsia" w:ascii="宋体" w:hAnsi="宋体" w:eastAsia="宋体" w:cs="宋体"/>
          <w:color w:val="auto"/>
          <w:sz w:val="21"/>
          <w:szCs w:val="21"/>
          <w:highlight w:val="none"/>
        </w:rPr>
        <w:t>评审专家抽取规则、</w:t>
      </w:r>
      <w:bookmarkEnd w:id="51"/>
      <w:r>
        <w:rPr>
          <w:rFonts w:hint="eastAsia" w:ascii="宋体" w:hAnsi="宋体" w:eastAsia="宋体" w:cs="宋体"/>
          <w:color w:val="auto"/>
          <w:sz w:val="21"/>
          <w:szCs w:val="21"/>
          <w:highlight w:val="none"/>
        </w:rPr>
        <w:t>未成交情况说明、成交公告期限以及评审专家名单、成交供应商和未成交供应商的评审报价及排名。</w:t>
      </w:r>
    </w:p>
    <w:p w14:paraId="18D66EBB">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3.3公告期限为1个工作日。</w:t>
      </w:r>
    </w:p>
    <w:p w14:paraId="2E797C40">
      <w:pPr>
        <w:pageBreakBefore w:val="0"/>
        <w:kinsoku/>
        <w:wordWrap/>
        <w:overflowPunct/>
        <w:topLinePunct w:val="0"/>
        <w:bidi w:val="0"/>
        <w:snapToGrid w:val="0"/>
        <w:spacing w:line="360" w:lineRule="auto"/>
        <w:jc w:val="center"/>
        <w:rPr>
          <w:rFonts w:hint="eastAsia" w:ascii="宋体" w:hAnsi="宋体" w:eastAsia="宋体" w:cs="宋体"/>
          <w:b/>
          <w:color w:val="auto"/>
          <w:sz w:val="21"/>
          <w:szCs w:val="21"/>
          <w:highlight w:val="none"/>
        </w:rPr>
      </w:pPr>
    </w:p>
    <w:p w14:paraId="213B00C5">
      <w:pPr>
        <w:pageBreakBefore w:val="0"/>
        <w:kinsoku/>
        <w:wordWrap/>
        <w:overflowPunct/>
        <w:topLinePunct w:val="0"/>
        <w:bidi w:val="0"/>
        <w:snapToGrid w:val="0"/>
        <w:spacing w:line="360" w:lineRule="auto"/>
        <w:jc w:val="center"/>
        <w:outlineLvl w:val="1"/>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十二、合同</w:t>
      </w:r>
    </w:p>
    <w:p w14:paraId="1477C072">
      <w:pPr>
        <w:pageBreakBefore w:val="0"/>
        <w:tabs>
          <w:tab w:val="left" w:pos="0"/>
        </w:tabs>
        <w:kinsoku/>
        <w:wordWrap/>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1.合同主要条款：</w:t>
      </w:r>
      <w:r>
        <w:rPr>
          <w:rFonts w:hint="eastAsia" w:ascii="宋体" w:hAnsi="宋体" w:eastAsia="宋体" w:cs="宋体"/>
          <w:color w:val="auto"/>
          <w:sz w:val="21"/>
          <w:szCs w:val="21"/>
          <w:highlight w:val="none"/>
        </w:rPr>
        <w:t>详见“第六部分拟签订的合同文本”。</w:t>
      </w:r>
    </w:p>
    <w:p w14:paraId="26924E5C">
      <w:pPr>
        <w:pageBreakBefore w:val="0"/>
        <w:tabs>
          <w:tab w:val="left" w:pos="0"/>
        </w:tabs>
        <w:kinsoku/>
        <w:wordWrap/>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2.合同的签订</w:t>
      </w:r>
    </w:p>
    <w:p w14:paraId="2E41142A">
      <w:pPr>
        <w:pageBreakBefore w:val="0"/>
        <w:widowControl/>
        <w:shd w:val="clear" w:color="auto" w:fill="FFFFFF"/>
        <w:kinsoku/>
        <w:wordWrap/>
        <w:overflowPunct/>
        <w:topLinePunct w:val="0"/>
        <w:bidi w:val="0"/>
        <w:spacing w:line="360" w:lineRule="auto"/>
        <w:ind w:firstLine="480"/>
        <w:jc w:val="left"/>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2.1</w:t>
      </w:r>
      <w:r>
        <w:rPr>
          <w:rFonts w:hint="eastAsia" w:ascii="宋体" w:hAnsi="宋体" w:eastAsia="宋体" w:cs="宋体"/>
          <w:color w:val="auto"/>
          <w:kern w:val="0"/>
          <w:sz w:val="21"/>
          <w:szCs w:val="21"/>
          <w:highlight w:val="none"/>
        </w:rPr>
        <w:t>采购人与成交供应商应当自成交通知书发出之日起25日内，按照采购文件确定的事项签订政府采购电子合同，具备条件的项目应缩短合同签订时间至8个工作日内。采购人因不可抗力原因延迟签订电子合同的，应当自不可抗力事由消除之日起5个工作日内完成合同签订事宜。鼓励采购人通过完善内部流程进一步缩短电子合同签订期限。</w:t>
      </w:r>
    </w:p>
    <w:p w14:paraId="1D969AF1">
      <w:pPr>
        <w:pStyle w:val="392"/>
        <w:pageBreakBefore w:val="0"/>
        <w:kinsoku/>
        <w:wordWrap/>
        <w:overflowPunct/>
        <w:topLinePunct w:val="0"/>
        <w:bidi w:val="0"/>
        <w:snapToGrid w:val="0"/>
        <w:spacing w:before="0" w:line="360" w:lineRule="auto"/>
        <w:ind w:firstLine="48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zh-CN"/>
        </w:rPr>
        <w:t>2.2成交人按规定的日期、时间、地点，由法定代表人或其授权代表与采购人代表签订合同。如成交人为联合体的，由联合体成员各方法定代表人或其授权代表与采购人代表签订合同。</w:t>
      </w:r>
    </w:p>
    <w:p w14:paraId="5577A8CD">
      <w:pPr>
        <w:pageBreakBefore w:val="0"/>
        <w:kinsoku/>
        <w:wordWrap/>
        <w:overflowPunct/>
        <w:topLinePunct w:val="0"/>
        <w:bidi w:val="0"/>
        <w:spacing w:line="360" w:lineRule="auto"/>
        <w:ind w:firstLine="407" w:firstLineChars="194"/>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采购人不得向成交供应商提出超出谈判文件以外的任何要求作为签订合同的条件，不得与成交供应商订立背离谈判文件确定的合同文本以及采购标的、规格型号、采购金额、采购数量、技术和服务要求等实质性内容的协议。</w:t>
      </w:r>
    </w:p>
    <w:p w14:paraId="5A44584F">
      <w:pPr>
        <w:pageBreakBefore w:val="0"/>
        <w:kinsoku/>
        <w:wordWrap/>
        <w:overflowPunct/>
        <w:topLinePunct w:val="0"/>
        <w:bidi w:val="0"/>
        <w:spacing w:line="360" w:lineRule="auto"/>
        <w:ind w:firstLine="407" w:firstLineChars="194"/>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成交供应商拒绝签订政府采购合同的，采购人可以按照《政府采购非招标采购方式管理办法》第三十六条第二款、第四十九条第二款规定的原则确定其他供应商作为成交供应商并签订政府采购合同，也可以重新开展采购活动。拒绝签订政府采购合同的成交供应商不得参加对该项目重新开展的采购活动。</w:t>
      </w:r>
    </w:p>
    <w:p w14:paraId="1C6E2B9E">
      <w:pPr>
        <w:pageBreakBefore w:val="0"/>
        <w:kinsoku/>
        <w:wordWrap/>
        <w:overflowPunct/>
        <w:topLinePunct w:val="0"/>
        <w:bidi w:val="0"/>
        <w:spacing w:line="360" w:lineRule="auto"/>
        <w:ind w:firstLine="407" w:firstLineChars="194"/>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2.5如签订合同并生效后，供应商无故拒绝或延期，除按照合同条款处理外，列入不良行为记录一次，并给予通报。</w:t>
      </w:r>
    </w:p>
    <w:p w14:paraId="0BED191B">
      <w:pPr>
        <w:pStyle w:val="392"/>
        <w:pageBreakBefore w:val="0"/>
        <w:kinsoku/>
        <w:wordWrap/>
        <w:overflowPunct/>
        <w:topLinePunct w:val="0"/>
        <w:bidi w:val="0"/>
        <w:snapToGrid w:val="0"/>
        <w:spacing w:before="0" w:after="12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2.6采购合同由采购人与成交供应商根据谈判文件、响应文件等内容通过政府采购电子交易平台在线签订，自动备案。</w:t>
      </w:r>
    </w:p>
    <w:p w14:paraId="6E0E8C78">
      <w:pPr>
        <w:pStyle w:val="392"/>
        <w:pageBreakBefore w:val="0"/>
        <w:kinsoku/>
        <w:wordWrap/>
        <w:overflowPunct/>
        <w:topLinePunct w:val="0"/>
        <w:bidi w:val="0"/>
        <w:snapToGrid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2.7政采贷</w:t>
      </w:r>
    </w:p>
    <w:p w14:paraId="53BE029C">
      <w:pPr>
        <w:pageBreakBefore w:val="0"/>
        <w:kinsoku/>
        <w:wordWrap/>
        <w:overflowPunct/>
        <w:topLinePunct w:val="0"/>
        <w:bidi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政府采购合同信用融资（以下简称“政采贷”），是指金融机构以政府采购中小微企业信用审查和政府采购信誉为基础，按优于一般企业的贷款程序和利率，依托政府采购合同或信用评估，直接向申请贷款的中小微企业发放无财产抵押贷款，或由北海市小微企业融资担保有限公司提供贷款担保的一种融资模式。办理的基本流程如下：</w:t>
      </w:r>
    </w:p>
    <w:p w14:paraId="4E7217D3">
      <w:pPr>
        <w:pageBreakBefore w:val="0"/>
        <w:kinsoku/>
        <w:wordWrap/>
        <w:overflowPunct/>
        <w:topLinePunct w:val="0"/>
        <w:bidi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融资申请。有融资需求的供应商取得《成交通知书》后，在签订采购合同前，向贷款金融机构递交融资申请表。成交供应商可以根据贷款需求等实际情况选择是否需要北海市小微企业融资担保有限公司提供担保增信，如需要提供担保增信则同时向北海市小微企业融资担保有限公司递交融资申请表。</w:t>
      </w:r>
    </w:p>
    <w:p w14:paraId="14D7A736">
      <w:pPr>
        <w:pageBreakBefore w:val="0"/>
        <w:kinsoku/>
        <w:wordWrap/>
        <w:overflowPunct/>
        <w:topLinePunct w:val="0"/>
        <w:bidi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资料审查。贷款金融机构查看有融资需求供应商有关资料，进行贷前独立评审，决定是否提供融资或融资担保。双方达成融资意向后，确定融资方案和回款账户，供应商与采购单位签订《政府采购合同》，并将金融机构监管账户设定为合同收款账户。其中，需北海市小微企业融资担保有限公司提供担保增信的，还需北海市小微企业融资担保有限公司进行保前独立评审。</w:t>
      </w:r>
    </w:p>
    <w:p w14:paraId="5DE62543">
      <w:pPr>
        <w:pageBreakBefore w:val="0"/>
        <w:kinsoku/>
        <w:wordWrap/>
        <w:overflowPunct/>
        <w:topLinePunct w:val="0"/>
        <w:bidi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签订贷款协议。无需北海市小微企业融资担保有限公司提供担保增信的，贷款金融机构查看采购合同信息，确认账户无误后，与供应商签订贷款协议。需要北海市小微企业融资担保有限公司提供担保增信的，由其与贷款金融机构查看采购合同信息，确认账户无误后，贷款金融机构与供应商签订贷款协议、北海市小微企业融资担保有限公司与供应商签订委托担保合同。</w:t>
      </w:r>
    </w:p>
    <w:p w14:paraId="2387C3C9">
      <w:pPr>
        <w:pageBreakBefore w:val="0"/>
        <w:kinsoku/>
        <w:wordWrap/>
        <w:overflowPunct/>
        <w:topLinePunct w:val="0"/>
        <w:bidi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（四）贷款发放。贷款金融机构根据贷款协议向供应商发放贷款。</w:t>
      </w:r>
    </w:p>
    <w:p w14:paraId="71505B9E">
      <w:pPr>
        <w:pageBreakBefore w:val="0"/>
        <w:kinsoku/>
        <w:wordWrap/>
        <w:overflowPunct/>
        <w:topLinePunct w:val="0"/>
        <w:bidi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（五）按期还款。供应商获得贷款后应自觉履行政府采购合同，合同履行完毕后，采购单位根据合同约定时间和账户信息，严格按照财政资金管理的相关规定，及时将资金支付到采购合同收款账户。</w:t>
      </w:r>
    </w:p>
    <w:p w14:paraId="30E44BE2">
      <w:pPr>
        <w:pageBreakBefore w:val="0"/>
        <w:kinsoku/>
        <w:wordWrap/>
        <w:overflowPunct/>
        <w:topLinePunct w:val="0"/>
        <w:bidi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（六）业务终止。贷款偿清后，贷款金融机构或北海市小微企业融资担保有限公司及时办理应收账款质押注销登记，业务终止。</w:t>
      </w:r>
    </w:p>
    <w:p w14:paraId="6F1FCD91">
      <w:pPr>
        <w:pageBreakBefore w:val="0"/>
        <w:kinsoku/>
        <w:wordWrap/>
        <w:overflowPunct/>
        <w:topLinePunct w:val="0"/>
        <w:bidi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注：相关合作银行的具体操作流程详见北海市政府采购中心首页“政采贷”板块。</w:t>
      </w:r>
    </w:p>
    <w:p w14:paraId="0E962859">
      <w:pPr>
        <w:pStyle w:val="631"/>
        <w:pageBreakBefore w:val="0"/>
        <w:kinsoku/>
        <w:wordWrap/>
        <w:overflowPunct/>
        <w:topLinePunct w:val="0"/>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对于列入《政府采购信用白名单》的供应商，在获取“政采贷”流水贷产品时给予更高的授信额度，在申请“政采贷”合同贷产品时，可享受较低的贷款利率，同时信用白名单供应商获得信贷时长进一步缩短。</w:t>
      </w:r>
    </w:p>
    <w:p w14:paraId="08ACC076">
      <w:pPr>
        <w:pageBreakBefore w:val="0"/>
        <w:kinsoku/>
        <w:wordWrap/>
        <w:overflowPunct/>
        <w:topLinePunct w:val="0"/>
        <w:autoSpaceDE w:val="0"/>
        <w:autoSpaceDN w:val="0"/>
        <w:bidi w:val="0"/>
        <w:adjustRightInd/>
        <w:snapToGrid w:val="0"/>
        <w:spacing w:line="360" w:lineRule="auto"/>
        <w:ind w:firstLine="420" w:firstLineChars="200"/>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供应商成交后可在“广西政府采购云”平台申请政采贷：操作路径：登录广西政府采购云平台-金融服务中心-【融资服务】，可在热门申请中选择产品直接申请。详见如下：</w:t>
      </w:r>
    </w:p>
    <w:p w14:paraId="28D24382">
      <w:pPr>
        <w:pageBreakBefore w:val="0"/>
        <w:kinsoku/>
        <w:wordWrap/>
        <w:overflowPunct/>
        <w:topLinePunct w:val="0"/>
        <w:bidi w:val="0"/>
        <w:snapToGrid w:val="0"/>
        <w:spacing w:line="360" w:lineRule="auto"/>
        <w:ind w:firstLine="482"/>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（1）有贷款需求的供应商可以访问“广西政府采购云平台-金融服务-融资服务”栏目办理有关业务（链接：</w:t>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"https://jinrong.gcy.zfcg.gxzf.gov.cn/finance/loan/gx"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kern w:val="0"/>
          <w:sz w:val="21"/>
          <w:szCs w:val="21"/>
          <w:highlight w:val="none"/>
        </w:rPr>
        <w:t>https://jinrong.gcy.zfcg.gxzf.gov.cn/finance/loan/gx</w:t>
      </w:r>
      <w:r>
        <w:rPr>
          <w:rFonts w:hint="eastAsia" w:ascii="宋体" w:hAnsi="宋体" w:eastAsia="宋体" w:cs="宋体"/>
          <w:color w:val="auto"/>
          <w:kern w:val="0"/>
          <w:sz w:val="21"/>
          <w:szCs w:val="21"/>
          <w:highlight w:val="none"/>
        </w:rPr>
        <w:fldChar w:fldCharType="end"/>
      </w:r>
      <w:r>
        <w:rPr>
          <w:rFonts w:hint="eastAsia" w:ascii="宋体" w:hAnsi="宋体" w:eastAsia="宋体" w:cs="宋体"/>
          <w:color w:val="auto"/>
          <w:kern w:val="0"/>
          <w:sz w:val="21"/>
          <w:szCs w:val="21"/>
          <w:highlight w:val="none"/>
        </w:rPr>
        <w:t>）</w:t>
      </w:r>
    </w:p>
    <w:p w14:paraId="4A708BA8">
      <w:pPr>
        <w:pageBreakBefore w:val="0"/>
        <w:kinsoku/>
        <w:wordWrap/>
        <w:overflowPunct/>
        <w:topLinePunct w:val="0"/>
        <w:bidi w:val="0"/>
        <w:snapToGrid w:val="0"/>
        <w:spacing w:line="360" w:lineRule="auto"/>
        <w:ind w:firstLine="482"/>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（2）合作银行咨询办理</w:t>
      </w:r>
    </w:p>
    <w:tbl>
      <w:tblPr>
        <w:tblStyle w:val="6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134"/>
        <w:gridCol w:w="1701"/>
        <w:gridCol w:w="993"/>
        <w:gridCol w:w="850"/>
        <w:gridCol w:w="3366"/>
      </w:tblGrid>
      <w:tr w14:paraId="1E3CF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2BF941EB">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银行名称</w:t>
            </w:r>
          </w:p>
        </w:tc>
        <w:tc>
          <w:tcPr>
            <w:tcW w:w="1134" w:type="dxa"/>
            <w:vAlign w:val="center"/>
          </w:tcPr>
          <w:p w14:paraId="6F1F369D">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联系电话</w:t>
            </w:r>
          </w:p>
        </w:tc>
        <w:tc>
          <w:tcPr>
            <w:tcW w:w="1701" w:type="dxa"/>
            <w:vAlign w:val="center"/>
          </w:tcPr>
          <w:p w14:paraId="547230D4">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最高授信金额</w:t>
            </w:r>
          </w:p>
        </w:tc>
        <w:tc>
          <w:tcPr>
            <w:tcW w:w="993" w:type="dxa"/>
            <w:vAlign w:val="center"/>
          </w:tcPr>
          <w:p w14:paraId="0055D59E">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最长授信期限</w:t>
            </w:r>
          </w:p>
        </w:tc>
        <w:tc>
          <w:tcPr>
            <w:tcW w:w="850" w:type="dxa"/>
            <w:vAlign w:val="center"/>
          </w:tcPr>
          <w:p w14:paraId="570ADC8E">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最低利率</w:t>
            </w:r>
          </w:p>
        </w:tc>
        <w:tc>
          <w:tcPr>
            <w:tcW w:w="3366" w:type="dxa"/>
            <w:vAlign w:val="center"/>
          </w:tcPr>
          <w:p w14:paraId="3CB216F6">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流程简介</w:t>
            </w:r>
          </w:p>
        </w:tc>
      </w:tr>
      <w:tr w14:paraId="56E25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217BF85D">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建设银行</w:t>
            </w:r>
          </w:p>
        </w:tc>
        <w:tc>
          <w:tcPr>
            <w:tcW w:w="1134" w:type="dxa"/>
            <w:vAlign w:val="center"/>
          </w:tcPr>
          <w:p w14:paraId="18E93121">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13077729988</w:t>
            </w:r>
          </w:p>
        </w:tc>
        <w:tc>
          <w:tcPr>
            <w:tcW w:w="1701" w:type="dxa"/>
            <w:vAlign w:val="center"/>
          </w:tcPr>
          <w:p w14:paraId="2ACDF5B9">
            <w:pPr>
              <w:pageBreakBefore w:val="0"/>
              <w:kinsoku/>
              <w:wordWrap/>
              <w:overflowPunct/>
              <w:topLinePunct w:val="0"/>
              <w:bidi w:val="0"/>
              <w:snapToGrid w:val="0"/>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最高3千万</w:t>
            </w:r>
          </w:p>
        </w:tc>
        <w:tc>
          <w:tcPr>
            <w:tcW w:w="993" w:type="dxa"/>
            <w:vAlign w:val="center"/>
          </w:tcPr>
          <w:p w14:paraId="66D6AE32">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1年</w:t>
            </w:r>
          </w:p>
        </w:tc>
        <w:tc>
          <w:tcPr>
            <w:tcW w:w="850" w:type="dxa"/>
            <w:vAlign w:val="center"/>
          </w:tcPr>
          <w:p w14:paraId="5478B48F">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w:t>
            </w:r>
          </w:p>
        </w:tc>
        <w:tc>
          <w:tcPr>
            <w:tcW w:w="3366" w:type="dxa"/>
            <w:vAlign w:val="center"/>
          </w:tcPr>
          <w:p w14:paraId="414847E5">
            <w:pPr>
              <w:pageBreakBefore w:val="0"/>
              <w:kinsoku/>
              <w:wordWrap/>
              <w:overflowPunct/>
              <w:topLinePunct w:val="0"/>
              <w:bidi w:val="0"/>
              <w:snapToGrid w:val="0"/>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开设账号，线下提供申请材料，进入贷款审批流程，贷款审批通过后可自主用款，银行官方网银可自主还款。</w:t>
            </w:r>
          </w:p>
        </w:tc>
      </w:tr>
      <w:tr w14:paraId="4FD12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6BE683F0">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中国银行</w:t>
            </w:r>
          </w:p>
        </w:tc>
        <w:tc>
          <w:tcPr>
            <w:tcW w:w="1134" w:type="dxa"/>
            <w:vAlign w:val="center"/>
          </w:tcPr>
          <w:p w14:paraId="13F0CDF3">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0779-3997084</w:t>
            </w:r>
          </w:p>
        </w:tc>
        <w:tc>
          <w:tcPr>
            <w:tcW w:w="1701" w:type="dxa"/>
            <w:vAlign w:val="center"/>
          </w:tcPr>
          <w:p w14:paraId="0F7E2AC4">
            <w:pPr>
              <w:pageBreakBefore w:val="0"/>
              <w:kinsoku/>
              <w:wordWrap/>
              <w:overflowPunct/>
              <w:topLinePunct w:val="0"/>
              <w:bidi w:val="0"/>
              <w:snapToGrid w:val="0"/>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最高1千万</w:t>
            </w:r>
          </w:p>
        </w:tc>
        <w:tc>
          <w:tcPr>
            <w:tcW w:w="993" w:type="dxa"/>
            <w:vAlign w:val="center"/>
          </w:tcPr>
          <w:p w14:paraId="08B13F23">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3年</w:t>
            </w:r>
          </w:p>
        </w:tc>
        <w:tc>
          <w:tcPr>
            <w:tcW w:w="850" w:type="dxa"/>
            <w:vAlign w:val="center"/>
          </w:tcPr>
          <w:p w14:paraId="37BF48A2">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1.93%</w:t>
            </w:r>
          </w:p>
        </w:tc>
        <w:tc>
          <w:tcPr>
            <w:tcW w:w="3366" w:type="dxa"/>
            <w:vAlign w:val="center"/>
          </w:tcPr>
          <w:p w14:paraId="5C226CDA">
            <w:pPr>
              <w:pageBreakBefore w:val="0"/>
              <w:kinsoku/>
              <w:wordWrap/>
              <w:overflowPunct/>
              <w:topLinePunct w:val="0"/>
              <w:bidi w:val="0"/>
              <w:snapToGrid w:val="0"/>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在银行开户，线上申请，上传所需材料，等待审批，审批通过后可直接在手机银行提款。</w:t>
            </w:r>
          </w:p>
        </w:tc>
      </w:tr>
      <w:tr w14:paraId="25B2A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78934E24">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兴业银行</w:t>
            </w:r>
          </w:p>
        </w:tc>
        <w:tc>
          <w:tcPr>
            <w:tcW w:w="1134" w:type="dxa"/>
            <w:vAlign w:val="center"/>
          </w:tcPr>
          <w:p w14:paraId="358B306A">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0779-3158330</w:t>
            </w:r>
          </w:p>
        </w:tc>
        <w:tc>
          <w:tcPr>
            <w:tcW w:w="1701" w:type="dxa"/>
            <w:vAlign w:val="center"/>
          </w:tcPr>
          <w:p w14:paraId="10CDE46E">
            <w:pPr>
              <w:pageBreakBefore w:val="0"/>
              <w:kinsoku/>
              <w:wordWrap/>
              <w:overflowPunct/>
              <w:topLinePunct w:val="0"/>
              <w:bidi w:val="0"/>
              <w:snapToGrid w:val="0"/>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最高1千万（单笔提款金额达合同金额70%）</w:t>
            </w:r>
          </w:p>
        </w:tc>
        <w:tc>
          <w:tcPr>
            <w:tcW w:w="993" w:type="dxa"/>
            <w:vAlign w:val="center"/>
          </w:tcPr>
          <w:p w14:paraId="6C5091A9">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1年</w:t>
            </w:r>
          </w:p>
        </w:tc>
        <w:tc>
          <w:tcPr>
            <w:tcW w:w="850" w:type="dxa"/>
            <w:vAlign w:val="center"/>
          </w:tcPr>
          <w:p w14:paraId="644D4F90">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3.70%</w:t>
            </w:r>
          </w:p>
        </w:tc>
        <w:tc>
          <w:tcPr>
            <w:tcW w:w="3366" w:type="dxa"/>
            <w:vAlign w:val="center"/>
          </w:tcPr>
          <w:p w14:paraId="54E8F0FD">
            <w:pPr>
              <w:pageBreakBefore w:val="0"/>
              <w:kinsoku/>
              <w:wordWrap/>
              <w:overflowPunct/>
              <w:topLinePunct w:val="0"/>
              <w:bidi w:val="0"/>
              <w:snapToGrid w:val="0"/>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全流程线上，初次申请开立账户，提供营业执照、采购合同、信用材料等，申请复审，签订合同，提交单笔贷款使用需求，贷款到账后受托使用。</w:t>
            </w:r>
          </w:p>
        </w:tc>
      </w:tr>
      <w:tr w14:paraId="75576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51EC8C68">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工商银行</w:t>
            </w:r>
          </w:p>
        </w:tc>
        <w:tc>
          <w:tcPr>
            <w:tcW w:w="1134" w:type="dxa"/>
            <w:vAlign w:val="center"/>
          </w:tcPr>
          <w:p w14:paraId="45E8AA62">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0779-3050645</w:t>
            </w:r>
          </w:p>
        </w:tc>
        <w:tc>
          <w:tcPr>
            <w:tcW w:w="1701" w:type="dxa"/>
            <w:vAlign w:val="center"/>
          </w:tcPr>
          <w:p w14:paraId="47493970">
            <w:pPr>
              <w:pageBreakBefore w:val="0"/>
              <w:kinsoku/>
              <w:wordWrap/>
              <w:overflowPunct/>
              <w:topLinePunct w:val="0"/>
              <w:bidi w:val="0"/>
              <w:snapToGrid w:val="0"/>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最高1千万且不超过合同金额70%</w:t>
            </w:r>
          </w:p>
        </w:tc>
        <w:tc>
          <w:tcPr>
            <w:tcW w:w="993" w:type="dxa"/>
            <w:vAlign w:val="center"/>
          </w:tcPr>
          <w:p w14:paraId="595EA156">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货物类1年</w:t>
            </w:r>
          </w:p>
          <w:p w14:paraId="4E43B162">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服务类3年</w:t>
            </w:r>
          </w:p>
          <w:p w14:paraId="070DE51B">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工程类5年</w:t>
            </w:r>
          </w:p>
        </w:tc>
        <w:tc>
          <w:tcPr>
            <w:tcW w:w="850" w:type="dxa"/>
            <w:vAlign w:val="center"/>
          </w:tcPr>
          <w:p w14:paraId="04733D01">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3.45%</w:t>
            </w:r>
          </w:p>
        </w:tc>
        <w:tc>
          <w:tcPr>
            <w:tcW w:w="3366" w:type="dxa"/>
            <w:vAlign w:val="center"/>
          </w:tcPr>
          <w:p w14:paraId="6EBC4CB1">
            <w:pPr>
              <w:pageBreakBefore w:val="0"/>
              <w:kinsoku/>
              <w:wordWrap/>
              <w:overflowPunct/>
              <w:topLinePunct w:val="0"/>
              <w:bidi w:val="0"/>
              <w:snapToGrid w:val="0"/>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为中征系统白名单企业，提供相关要求材料，内部审批后放款自主借还。</w:t>
            </w:r>
          </w:p>
        </w:tc>
      </w:tr>
      <w:tr w14:paraId="3A106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30C30CA4">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国民村镇银行</w:t>
            </w:r>
          </w:p>
        </w:tc>
        <w:tc>
          <w:tcPr>
            <w:tcW w:w="1134" w:type="dxa"/>
            <w:vAlign w:val="center"/>
          </w:tcPr>
          <w:p w14:paraId="13CC7AD7">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0779-2668801</w:t>
            </w:r>
          </w:p>
        </w:tc>
        <w:tc>
          <w:tcPr>
            <w:tcW w:w="1701" w:type="dxa"/>
            <w:vAlign w:val="center"/>
          </w:tcPr>
          <w:p w14:paraId="411703D5">
            <w:pPr>
              <w:pageBreakBefore w:val="0"/>
              <w:kinsoku/>
              <w:wordWrap/>
              <w:overflowPunct/>
              <w:topLinePunct w:val="0"/>
              <w:bidi w:val="0"/>
              <w:snapToGrid w:val="0"/>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最高500万</w:t>
            </w:r>
          </w:p>
        </w:tc>
        <w:tc>
          <w:tcPr>
            <w:tcW w:w="993" w:type="dxa"/>
            <w:vAlign w:val="center"/>
          </w:tcPr>
          <w:p w14:paraId="17F8067F">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5年</w:t>
            </w:r>
          </w:p>
        </w:tc>
        <w:tc>
          <w:tcPr>
            <w:tcW w:w="850" w:type="dxa"/>
            <w:vAlign w:val="center"/>
          </w:tcPr>
          <w:p w14:paraId="21684E10">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2.80%</w:t>
            </w:r>
          </w:p>
        </w:tc>
        <w:tc>
          <w:tcPr>
            <w:tcW w:w="3366" w:type="dxa"/>
            <w:vAlign w:val="center"/>
          </w:tcPr>
          <w:p w14:paraId="705A6A56">
            <w:pPr>
              <w:pageBreakBefore w:val="0"/>
              <w:kinsoku/>
              <w:wordWrap/>
              <w:overflowPunct/>
              <w:topLinePunct w:val="0"/>
              <w:bidi w:val="0"/>
              <w:snapToGrid w:val="0"/>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银行开户，线下申请并提供材料，信用良好企业最快1天获批即可提款</w:t>
            </w:r>
          </w:p>
        </w:tc>
      </w:tr>
      <w:tr w14:paraId="269B3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4C7CD8BE">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桂林银行</w:t>
            </w:r>
          </w:p>
        </w:tc>
        <w:tc>
          <w:tcPr>
            <w:tcW w:w="1134" w:type="dxa"/>
            <w:vAlign w:val="center"/>
          </w:tcPr>
          <w:p w14:paraId="525AD876">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18577993959</w:t>
            </w:r>
          </w:p>
        </w:tc>
        <w:tc>
          <w:tcPr>
            <w:tcW w:w="1701" w:type="dxa"/>
            <w:vAlign w:val="center"/>
          </w:tcPr>
          <w:p w14:paraId="6B54040D">
            <w:pPr>
              <w:pageBreakBefore w:val="0"/>
              <w:kinsoku/>
              <w:wordWrap/>
              <w:overflowPunct/>
              <w:topLinePunct w:val="0"/>
              <w:bidi w:val="0"/>
              <w:snapToGrid w:val="0"/>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最高1千万</w:t>
            </w:r>
          </w:p>
        </w:tc>
        <w:tc>
          <w:tcPr>
            <w:tcW w:w="993" w:type="dxa"/>
            <w:vAlign w:val="center"/>
          </w:tcPr>
          <w:p w14:paraId="7F7D4FA6">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1年</w:t>
            </w:r>
          </w:p>
        </w:tc>
        <w:tc>
          <w:tcPr>
            <w:tcW w:w="850" w:type="dxa"/>
            <w:vAlign w:val="center"/>
          </w:tcPr>
          <w:p w14:paraId="17DBDC45">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3.45%</w:t>
            </w:r>
          </w:p>
        </w:tc>
        <w:tc>
          <w:tcPr>
            <w:tcW w:w="3366" w:type="dxa"/>
            <w:vAlign w:val="center"/>
          </w:tcPr>
          <w:p w14:paraId="57724E71">
            <w:pPr>
              <w:pageBreakBefore w:val="0"/>
              <w:kinsoku/>
              <w:wordWrap/>
              <w:overflowPunct/>
              <w:topLinePunct w:val="0"/>
              <w:bidi w:val="0"/>
              <w:snapToGrid w:val="0"/>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线下申请，材料齐全最快1周内即可放款。</w:t>
            </w:r>
          </w:p>
        </w:tc>
      </w:tr>
      <w:tr w14:paraId="3FD77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4179C8AF">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中小微商务服务公司</w:t>
            </w:r>
          </w:p>
        </w:tc>
        <w:tc>
          <w:tcPr>
            <w:tcW w:w="1134" w:type="dxa"/>
            <w:vAlign w:val="center"/>
          </w:tcPr>
          <w:p w14:paraId="2B756DB1">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19907799988</w:t>
            </w:r>
          </w:p>
        </w:tc>
        <w:tc>
          <w:tcPr>
            <w:tcW w:w="1701" w:type="dxa"/>
            <w:vAlign w:val="center"/>
          </w:tcPr>
          <w:p w14:paraId="0035A7A5">
            <w:pPr>
              <w:pageBreakBefore w:val="0"/>
              <w:kinsoku/>
              <w:wordWrap/>
              <w:overflowPunct/>
              <w:topLinePunct w:val="0"/>
              <w:bidi w:val="0"/>
              <w:snapToGrid w:val="0"/>
              <w:spacing w:line="360" w:lineRule="auto"/>
              <w:jc w:val="left"/>
              <w:rPr>
                <w:rFonts w:hint="eastAsia" w:ascii="宋体" w:hAnsi="宋体" w:eastAsia="宋体" w:cs="宋体"/>
                <w:color w:val="auto"/>
                <w:kern w:val="0"/>
                <w:sz w:val="21"/>
                <w:szCs w:val="21"/>
                <w:highlight w:val="none"/>
              </w:rPr>
            </w:pPr>
          </w:p>
        </w:tc>
        <w:tc>
          <w:tcPr>
            <w:tcW w:w="993" w:type="dxa"/>
            <w:vAlign w:val="center"/>
          </w:tcPr>
          <w:p w14:paraId="6EB58EBC">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p>
        </w:tc>
        <w:tc>
          <w:tcPr>
            <w:tcW w:w="850" w:type="dxa"/>
            <w:vAlign w:val="center"/>
          </w:tcPr>
          <w:p w14:paraId="7B21E18D">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p>
        </w:tc>
        <w:tc>
          <w:tcPr>
            <w:tcW w:w="3366" w:type="dxa"/>
            <w:vAlign w:val="center"/>
          </w:tcPr>
          <w:p w14:paraId="5B898542">
            <w:pPr>
              <w:pageBreakBefore w:val="0"/>
              <w:kinsoku/>
              <w:wordWrap/>
              <w:overflowPunct/>
              <w:topLinePunct w:val="0"/>
              <w:bidi w:val="0"/>
              <w:snapToGrid w:val="0"/>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具体业务可电话咨询。</w:t>
            </w:r>
          </w:p>
        </w:tc>
      </w:tr>
    </w:tbl>
    <w:p w14:paraId="4EC52561">
      <w:pPr>
        <w:pStyle w:val="631"/>
        <w:pageBreakBefore w:val="0"/>
        <w:kinsoku/>
        <w:wordWrap/>
        <w:overflowPunct/>
        <w:topLinePunct w:val="0"/>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注：表中联系电话、授信金额、授信期限、最低利率等信息可能动态更新，仅供参考，具体以办理时相关银行公布的为准。</w:t>
      </w:r>
    </w:p>
    <w:p w14:paraId="5ED67BEA">
      <w:pPr>
        <w:pageBreakBefore w:val="0"/>
        <w:tabs>
          <w:tab w:val="left" w:pos="0"/>
        </w:tabs>
        <w:kinsoku/>
        <w:wordWrap/>
        <w:overflowPunct/>
        <w:topLinePunct w:val="0"/>
        <w:bidi w:val="0"/>
        <w:spacing w:line="360" w:lineRule="auto"/>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rPr>
        <w:t>3．履约保证金</w:t>
      </w:r>
      <w:r>
        <w:rPr>
          <w:rFonts w:hint="eastAsia" w:ascii="宋体" w:hAnsi="宋体" w:eastAsia="宋体" w:cs="宋体"/>
          <w:b/>
          <w:color w:val="auto"/>
          <w:sz w:val="21"/>
          <w:szCs w:val="21"/>
          <w:highlight w:val="none"/>
          <w:lang w:eastAsia="zh-CN"/>
        </w:rPr>
        <w:t>（</w:t>
      </w:r>
      <w:r>
        <w:rPr>
          <w:rFonts w:hint="eastAsia" w:ascii="宋体" w:hAnsi="宋体" w:eastAsia="宋体" w:cs="宋体"/>
          <w:b/>
          <w:color w:val="auto"/>
          <w:sz w:val="21"/>
          <w:szCs w:val="21"/>
          <w:highlight w:val="none"/>
          <w:lang w:val="en-US" w:eastAsia="zh-CN"/>
        </w:rPr>
        <w:t>本项目不收取履约保证金）</w:t>
      </w:r>
    </w:p>
    <w:p w14:paraId="783AE11E">
      <w:pPr>
        <w:pageBreakBefore w:val="0"/>
        <w:tabs>
          <w:tab w:val="left" w:pos="0"/>
        </w:tabs>
        <w:kinsoku/>
        <w:wordWrap/>
        <w:overflowPunct/>
        <w:topLinePunct w:val="0"/>
        <w:bidi w:val="0"/>
        <w:spacing w:line="360" w:lineRule="auto"/>
        <w:ind w:firstLine="482"/>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3.1拟签订的合同文本要求成交供应商提交履约保证金的，供应商应当以支票、汇票、本票或者金融机构、担保机构出具的保函等非现金形式提交</w:t>
      </w:r>
      <w:r>
        <w:rPr>
          <w:rFonts w:hint="eastAsia" w:ascii="宋体" w:hAnsi="宋体" w:eastAsia="宋体" w:cs="宋体"/>
          <w:color w:val="auto"/>
          <w:sz w:val="21"/>
          <w:szCs w:val="21"/>
          <w:highlight w:val="none"/>
        </w:rPr>
        <w:t>。履约保证金数额不得超过政府采购合同金额的5%；加大对中小企业发展的扶持力度，对中小企业收取的履约保证金数额不得超过政府采购合同金额的2%。</w:t>
      </w:r>
      <w:r>
        <w:rPr>
          <w:rFonts w:hint="eastAsia" w:ascii="宋体" w:hAnsi="宋体" w:eastAsia="宋体" w:cs="宋体"/>
          <w:color w:val="auto"/>
          <w:kern w:val="0"/>
          <w:sz w:val="21"/>
          <w:szCs w:val="21"/>
          <w:highlight w:val="none"/>
        </w:rPr>
        <w:t>成交</w:t>
      </w:r>
      <w:r>
        <w:rPr>
          <w:rFonts w:hint="eastAsia" w:ascii="宋体" w:hAnsi="宋体" w:eastAsia="宋体" w:cs="宋体"/>
          <w:color w:val="auto"/>
          <w:sz w:val="21"/>
          <w:szCs w:val="21"/>
          <w:highlight w:val="none"/>
        </w:rPr>
        <w:t>供应商的谈判保证金可转为履约保证金。鼓励根据项目特点、供应商诚信等因素免收履约保证金或降低缴纳比例，对于需要收取保证金的政府采购项目，政府采购信用白名单供应商可以免于缴纳保证金，降低信用白名单供应商参与政府采购活动成本。鼓励和支持供应商以银行、保险公司出具的保函形式提供履约保证金。采购人不得拒收履约保函，项目验收结束后应及时退还，延迟退还的，应当按照合同约定和法律规定承担相应的赔偿责任。</w:t>
      </w:r>
    </w:p>
    <w:p w14:paraId="12920A4C">
      <w:pPr>
        <w:pStyle w:val="631"/>
        <w:pageBreakBefore w:val="0"/>
        <w:kinsoku/>
        <w:wordWrap/>
        <w:overflowPunct/>
        <w:topLinePunct w:val="0"/>
        <w:bidi w:val="0"/>
        <w:spacing w:line="360" w:lineRule="auto"/>
        <w:ind w:firstLine="420" w:firstLineChars="200"/>
        <w:rPr>
          <w:rFonts w:hint="eastAsia" w:ascii="宋体" w:hAnsi="宋体" w:eastAsia="宋体" w:cs="宋体"/>
          <w:color w:val="auto"/>
          <w:kern w:val="2"/>
          <w:sz w:val="21"/>
          <w:szCs w:val="21"/>
          <w:highlight w:val="none"/>
        </w:rPr>
      </w:pPr>
      <w:r>
        <w:rPr>
          <w:rFonts w:hint="eastAsia" w:ascii="宋体" w:hAnsi="宋体" w:eastAsia="宋体" w:cs="宋体"/>
          <w:color w:val="auto"/>
          <w:sz w:val="21"/>
          <w:szCs w:val="21"/>
          <w:highlight w:val="none"/>
        </w:rPr>
        <w:t>履约保证金</w:t>
      </w:r>
      <w:r>
        <w:rPr>
          <w:rFonts w:hint="eastAsia" w:ascii="宋体" w:hAnsi="宋体" w:eastAsia="宋体" w:cs="宋体"/>
          <w:color w:val="auto"/>
          <w:kern w:val="2"/>
          <w:sz w:val="21"/>
          <w:szCs w:val="21"/>
          <w:highlight w:val="none"/>
        </w:rPr>
        <w:t>收取银行账户</w:t>
      </w:r>
    </w:p>
    <w:p w14:paraId="3AB8B149">
      <w:pPr>
        <w:pStyle w:val="631"/>
        <w:pageBreakBefore w:val="0"/>
        <w:kinsoku/>
        <w:wordWrap/>
        <w:overflowPunct/>
        <w:topLinePunct w:val="0"/>
        <w:bidi w:val="0"/>
        <w:spacing w:line="360" w:lineRule="auto"/>
        <w:ind w:firstLine="420" w:firstLineChars="20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rPr>
        <w:t xml:space="preserve">开户名称： </w:t>
      </w:r>
      <w:r>
        <w:rPr>
          <w:rFonts w:hint="eastAsia" w:cs="宋体"/>
          <w:color w:val="auto"/>
          <w:kern w:val="2"/>
          <w:sz w:val="21"/>
          <w:szCs w:val="21"/>
          <w:highlight w:val="none"/>
          <w:lang w:val="en-US" w:eastAsia="zh-CN"/>
        </w:rPr>
        <w:t>/</w:t>
      </w:r>
    </w:p>
    <w:p w14:paraId="64F42BB2">
      <w:pPr>
        <w:pStyle w:val="631"/>
        <w:pageBreakBefore w:val="0"/>
        <w:kinsoku/>
        <w:wordWrap/>
        <w:overflowPunct/>
        <w:topLinePunct w:val="0"/>
        <w:bidi w:val="0"/>
        <w:spacing w:line="360" w:lineRule="auto"/>
        <w:ind w:firstLine="420" w:firstLineChars="20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rPr>
        <w:t xml:space="preserve">开户银行： </w:t>
      </w:r>
      <w:r>
        <w:rPr>
          <w:rFonts w:hint="eastAsia" w:cs="宋体"/>
          <w:color w:val="auto"/>
          <w:kern w:val="2"/>
          <w:sz w:val="21"/>
          <w:szCs w:val="21"/>
          <w:highlight w:val="none"/>
          <w:lang w:val="en-US" w:eastAsia="zh-CN"/>
        </w:rPr>
        <w:t>/</w:t>
      </w:r>
    </w:p>
    <w:p w14:paraId="54309944">
      <w:pPr>
        <w:pStyle w:val="631"/>
        <w:pageBreakBefore w:val="0"/>
        <w:kinsoku/>
        <w:wordWrap/>
        <w:overflowPunct/>
        <w:topLinePunct w:val="0"/>
        <w:bidi w:val="0"/>
        <w:spacing w:line="360" w:lineRule="auto"/>
        <w:ind w:firstLine="420" w:firstLineChars="20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rPr>
        <w:t>银行账号：</w:t>
      </w:r>
      <w:r>
        <w:rPr>
          <w:rFonts w:hint="eastAsia" w:cs="宋体"/>
          <w:color w:val="auto"/>
          <w:kern w:val="2"/>
          <w:sz w:val="21"/>
          <w:szCs w:val="21"/>
          <w:highlight w:val="none"/>
          <w:lang w:val="en-US" w:eastAsia="zh-CN"/>
        </w:rPr>
        <w:t xml:space="preserve"> /</w:t>
      </w:r>
    </w:p>
    <w:p w14:paraId="6DA22DED">
      <w:pPr>
        <w:pStyle w:val="631"/>
        <w:pageBreakBefore w:val="0"/>
        <w:kinsoku/>
        <w:wordWrap/>
        <w:overflowPunct/>
        <w:topLinePunct w:val="0"/>
        <w:bidi w:val="0"/>
        <w:spacing w:line="360" w:lineRule="auto"/>
        <w:ind w:firstLine="420" w:firstLineChars="200"/>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3.2积极推广电子保函，支持供应商使用电子保函替代保证金。供应商可登录广西政府采购云平台-【金融服务】—【我的项目】—【已备案合同】以保函形式提供：1、供应商在合同列表选择需要投保的合同，点击[保函推荐]。2、在弹框里查看推荐的保函产品，供应商自行选择保函产品，点击[立即申请]。3、在弹框里填写保函申请信息。具体步骤：选择产品—填写供应商信息—选择中标项目—确认信息—等待保险/保函受理—确认保单—支付保费—成功出单。广西政府采购云平台金融专线400-903-9583。</w:t>
      </w:r>
    </w:p>
    <w:p w14:paraId="3671B034">
      <w:pPr>
        <w:pStyle w:val="631"/>
        <w:pageBreakBefore w:val="0"/>
        <w:kinsoku/>
        <w:wordWrap/>
        <w:overflowPunct/>
        <w:topLinePunct w:val="0"/>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3.3履约保证金的退还。验收合格的政府采购项目，采购人应当按照合同约定的退还方式，在5个工作日内办理履约保证金退还手续。</w:t>
      </w:r>
    </w:p>
    <w:p w14:paraId="05F2E66E">
      <w:pPr>
        <w:pStyle w:val="631"/>
        <w:pageBreakBefore w:val="0"/>
        <w:kinsoku/>
        <w:wordWrap/>
        <w:overflowPunct/>
        <w:topLinePunct w:val="0"/>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4.预付款</w:t>
      </w:r>
    </w:p>
    <w:p w14:paraId="11498ED1">
      <w:pPr>
        <w:pageBreakBefore w:val="0"/>
        <w:kinsoku/>
        <w:wordWrap/>
        <w:overflowPunct/>
        <w:topLinePunct w:val="0"/>
        <w:bidi w:val="0"/>
        <w:adjustRightInd/>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4.1采购单位应当在政府采购合同中约定预付款，对中小企业合同预付款比例原则上不低于合同金额的30％，不高于合同金额的50%；项目分年安排预算的，每年预付款比例不低于项目年度计划支付资金额的30％，不高于合同金额的50%；采购项目实施以人工投入为主的，可适当降低预付款比例，但不得低于10%。对供应商为大型企业的项目或者以人工投入为主且实行按月定期结算支付款项的项目，预付款可低于上述比例或者不约定预付款。在签订合同时，供应商明确表示无需预付款或者主动要求降低预付款比例的，采购单位可不适用前述规定。采购单位根据项目特点、供应商诚信等因素，可以要求供应商提交银行、保险公司等金融机构出具的预付款保函或其他担保措施。政府采购预付款应在合同生效以及具备实施条件后5个工作日内支付。政府采购工程以及与工程建设有关的货物、服务，采用招标方式采购的，预付款从其相关规定。</w:t>
      </w:r>
    </w:p>
    <w:p w14:paraId="32A4BDA5">
      <w:pPr>
        <w:pageBreakBefore w:val="0"/>
        <w:tabs>
          <w:tab w:val="left" w:pos="0"/>
        </w:tabs>
        <w:kinsoku/>
        <w:wordWrap/>
        <w:overflowPunct/>
        <w:topLinePunct w:val="0"/>
        <w:bidi w:val="0"/>
        <w:spacing w:line="360" w:lineRule="auto"/>
        <w:ind w:firstLine="420" w:firstLineChars="200"/>
        <w:rPr>
          <w:rFonts w:hint="eastAsia" w:ascii="宋体" w:hAnsi="宋体" w:eastAsia="宋体" w:cs="宋体"/>
          <w:snapToGrid w:val="0"/>
          <w:color w:val="auto"/>
          <w:kern w:val="28"/>
          <w:sz w:val="21"/>
          <w:szCs w:val="21"/>
          <w:highlight w:val="none"/>
        </w:rPr>
      </w:pPr>
      <w:r>
        <w:rPr>
          <w:rFonts w:hint="eastAsia" w:ascii="宋体" w:hAnsi="宋体" w:eastAsia="宋体" w:cs="宋体"/>
          <w:color w:val="auto"/>
          <w:sz w:val="21"/>
          <w:szCs w:val="21"/>
          <w:highlight w:val="none"/>
        </w:rPr>
        <w:t>4.2供应商可登录广西政府采购云平台前台大厅选择金融服务 - 【保函保险服务】出具预付款保函，具体步骤：选择产品—填写供应商信息—选择中标项目—确认信息—等待保险/保函受理—确认保单—支付保费—成功出单。广西政府采购云平台金融专线400-903-9583。</w:t>
      </w:r>
    </w:p>
    <w:p w14:paraId="709BC15D">
      <w:pPr>
        <w:pageBreakBefore w:val="0"/>
        <w:kinsoku/>
        <w:wordWrap/>
        <w:overflowPunct/>
        <w:topLinePunct w:val="0"/>
        <w:bidi w:val="0"/>
        <w:snapToGrid w:val="0"/>
        <w:spacing w:line="360" w:lineRule="auto"/>
        <w:jc w:val="center"/>
        <w:rPr>
          <w:rFonts w:hint="eastAsia" w:ascii="宋体" w:hAnsi="宋体" w:eastAsia="宋体" w:cs="宋体"/>
          <w:b/>
          <w:color w:val="auto"/>
          <w:sz w:val="21"/>
          <w:szCs w:val="21"/>
          <w:highlight w:val="none"/>
        </w:rPr>
      </w:pPr>
    </w:p>
    <w:p w14:paraId="31532165">
      <w:pPr>
        <w:pageBreakBefore w:val="0"/>
        <w:kinsoku/>
        <w:wordWrap/>
        <w:overflowPunct/>
        <w:topLinePunct w:val="0"/>
        <w:bidi w:val="0"/>
        <w:snapToGrid w:val="0"/>
        <w:spacing w:line="360" w:lineRule="auto"/>
        <w:jc w:val="center"/>
        <w:outlineLvl w:val="1"/>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十三、验收</w:t>
      </w:r>
    </w:p>
    <w:p w14:paraId="75C2C13E">
      <w:pPr>
        <w:pStyle w:val="23"/>
        <w:pageBreakBefore w:val="0"/>
        <w:kinsoku/>
        <w:wordWrap/>
        <w:overflowPunct/>
        <w:topLinePunct w:val="0"/>
        <w:bidi w:val="0"/>
        <w:spacing w:line="360" w:lineRule="auto"/>
        <w:ind w:firstLine="0" w:firstLineChars="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1.验收</w:t>
      </w:r>
    </w:p>
    <w:p w14:paraId="5FB4D0DC">
      <w:pPr>
        <w:pageBreakBefore w:val="0"/>
        <w:tabs>
          <w:tab w:val="left" w:pos="0"/>
        </w:tabs>
        <w:kinsoku/>
        <w:wordWrap/>
        <w:overflowPunct/>
        <w:topLinePunct w:val="0"/>
        <w:bidi w:val="0"/>
        <w:spacing w:line="360" w:lineRule="auto"/>
        <w:ind w:firstLine="48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4A8A3EC8">
      <w:pPr>
        <w:pageBreakBefore w:val="0"/>
        <w:tabs>
          <w:tab w:val="left" w:pos="0"/>
        </w:tabs>
        <w:kinsoku/>
        <w:wordWrap/>
        <w:overflowPunct/>
        <w:topLinePunct w:val="0"/>
        <w:bidi w:val="0"/>
        <w:spacing w:line="360" w:lineRule="auto"/>
        <w:ind w:firstLine="48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1.2采购人可以邀请参加本项目的其他供应商或者第三方机构参与验收。参与验收的供应商或者第三方机构的意见作为验收书的参考资料一并存档。</w:t>
      </w:r>
    </w:p>
    <w:p w14:paraId="6F018C38">
      <w:pPr>
        <w:pageBreakBefore w:val="0"/>
        <w:tabs>
          <w:tab w:val="left" w:pos="0"/>
        </w:tabs>
        <w:kinsoku/>
        <w:wordWrap/>
        <w:overflowPunct/>
        <w:topLinePunct w:val="0"/>
        <w:bidi w:val="0"/>
        <w:spacing w:line="360" w:lineRule="auto"/>
        <w:ind w:firstLine="48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77A72EE4">
      <w:pPr>
        <w:pageBreakBefore w:val="0"/>
        <w:tabs>
          <w:tab w:val="left" w:pos="0"/>
        </w:tabs>
        <w:kinsoku/>
        <w:wordWrap/>
        <w:overflowPunct/>
        <w:topLinePunct w:val="0"/>
        <w:bidi w:val="0"/>
        <w:spacing w:line="360" w:lineRule="auto"/>
        <w:ind w:firstLine="48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1.4验收合格的项目，采购人将根据采购合同的约定及时向供应商支付采购资金、退还履约保证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53725B38">
      <w:pPr>
        <w:pageBreakBefore w:val="0"/>
        <w:kinsoku/>
        <w:wordWrap/>
        <w:overflowPunct/>
        <w:topLinePunct w:val="0"/>
        <w:bidi w:val="0"/>
        <w:snapToGrid w:val="0"/>
        <w:spacing w:line="360" w:lineRule="auto"/>
        <w:jc w:val="center"/>
        <w:rPr>
          <w:rFonts w:hint="eastAsia" w:ascii="宋体" w:hAnsi="宋体" w:eastAsia="宋体" w:cs="宋体"/>
          <w:b/>
          <w:color w:val="auto"/>
          <w:sz w:val="21"/>
          <w:szCs w:val="21"/>
          <w:highlight w:val="none"/>
        </w:rPr>
      </w:pPr>
    </w:p>
    <w:p w14:paraId="1EBE8E17">
      <w:pPr>
        <w:pageBreakBefore w:val="0"/>
        <w:kinsoku/>
        <w:wordWrap/>
        <w:overflowPunct/>
        <w:topLinePunct w:val="0"/>
        <w:bidi w:val="0"/>
        <w:snapToGrid w:val="0"/>
        <w:spacing w:line="360" w:lineRule="auto"/>
        <w:jc w:val="center"/>
        <w:outlineLvl w:val="1"/>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十四、电子交易活动的中止</w:t>
      </w:r>
    </w:p>
    <w:p w14:paraId="1C43626C">
      <w:pPr>
        <w:pageBreakBefore w:val="0"/>
        <w:tabs>
          <w:tab w:val="left" w:pos="0"/>
        </w:tabs>
        <w:kinsoku/>
        <w:wordWrap/>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 电子交易活动的中止</w:t>
      </w:r>
    </w:p>
    <w:p w14:paraId="5D5624C7">
      <w:pPr>
        <w:pageBreakBefore w:val="0"/>
        <w:tabs>
          <w:tab w:val="left" w:pos="0"/>
        </w:tabs>
        <w:kinsoku/>
        <w:wordWrap/>
        <w:overflowPunct/>
        <w:topLinePunct w:val="0"/>
        <w:bidi w:val="0"/>
        <w:spacing w:line="360" w:lineRule="auto"/>
        <w:ind w:firstLine="48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采购过程中出现以下情形，导致电子交易平台无法正常运行，或者无法保证电子交易的公平、公正和安全时，采购代理机构可中止电子交易活动：</w:t>
      </w:r>
    </w:p>
    <w:p w14:paraId="022CB1DD">
      <w:pPr>
        <w:pageBreakBefore w:val="0"/>
        <w:tabs>
          <w:tab w:val="left" w:pos="0"/>
        </w:tabs>
        <w:kinsoku/>
        <w:wordWrap/>
        <w:overflowPunct/>
        <w:topLinePunct w:val="0"/>
        <w:bidi w:val="0"/>
        <w:spacing w:line="360" w:lineRule="auto"/>
        <w:ind w:firstLine="48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1.1电子交易平台发生故障而无法登录访问的； </w:t>
      </w:r>
    </w:p>
    <w:p w14:paraId="5994CDCD">
      <w:pPr>
        <w:pageBreakBefore w:val="0"/>
        <w:tabs>
          <w:tab w:val="left" w:pos="0"/>
        </w:tabs>
        <w:kinsoku/>
        <w:wordWrap/>
        <w:overflowPunct/>
        <w:topLinePunct w:val="0"/>
        <w:bidi w:val="0"/>
        <w:spacing w:line="360" w:lineRule="auto"/>
        <w:ind w:firstLine="48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1.2电子交易平台应用或数据库出现错误，不能进行正常操作的；</w:t>
      </w:r>
    </w:p>
    <w:p w14:paraId="77D736DE">
      <w:pPr>
        <w:pageBreakBefore w:val="0"/>
        <w:tabs>
          <w:tab w:val="left" w:pos="0"/>
        </w:tabs>
        <w:kinsoku/>
        <w:wordWrap/>
        <w:overflowPunct/>
        <w:topLinePunct w:val="0"/>
        <w:bidi w:val="0"/>
        <w:spacing w:line="360" w:lineRule="auto"/>
        <w:ind w:firstLine="48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1.3电子交易平台发现严重安全漏洞，有潜在泄密危险的；</w:t>
      </w:r>
    </w:p>
    <w:p w14:paraId="5387E054">
      <w:pPr>
        <w:pageBreakBefore w:val="0"/>
        <w:tabs>
          <w:tab w:val="left" w:pos="0"/>
        </w:tabs>
        <w:kinsoku/>
        <w:wordWrap/>
        <w:overflowPunct/>
        <w:topLinePunct w:val="0"/>
        <w:bidi w:val="0"/>
        <w:spacing w:line="360" w:lineRule="auto"/>
        <w:ind w:firstLine="48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1.4病毒发作导致不能进行正常操作的； </w:t>
      </w:r>
    </w:p>
    <w:p w14:paraId="191CBDB9">
      <w:pPr>
        <w:pageBreakBefore w:val="0"/>
        <w:tabs>
          <w:tab w:val="left" w:pos="0"/>
        </w:tabs>
        <w:kinsoku/>
        <w:wordWrap/>
        <w:overflowPunct/>
        <w:topLinePunct w:val="0"/>
        <w:bidi w:val="0"/>
        <w:spacing w:line="360" w:lineRule="auto"/>
        <w:ind w:firstLine="48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1.5其他无法保证电子交易的公平、公正和安全的情况。</w:t>
      </w:r>
    </w:p>
    <w:p w14:paraId="1873CAFC">
      <w:pPr>
        <w:pageBreakBefore w:val="0"/>
        <w:tabs>
          <w:tab w:val="left" w:pos="0"/>
        </w:tabs>
        <w:kinsoku/>
        <w:wordWrap/>
        <w:overflowPunct/>
        <w:topLinePunct w:val="0"/>
        <w:bidi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b/>
          <w:color w:val="auto"/>
          <w:kern w:val="0"/>
          <w:sz w:val="21"/>
          <w:szCs w:val="21"/>
          <w:highlight w:val="none"/>
        </w:rPr>
        <w:t>2.</w:t>
      </w:r>
      <w:r>
        <w:rPr>
          <w:rFonts w:hint="eastAsia" w:ascii="宋体" w:hAnsi="宋体" w:eastAsia="宋体" w:cs="宋体"/>
          <w:color w:val="auto"/>
          <w:kern w:val="0"/>
          <w:sz w:val="21"/>
          <w:szCs w:val="21"/>
          <w:highlight w:val="none"/>
        </w:rPr>
        <w:t>出现以上情形，不影响采购公平、公正性的，采购组织机构可以待上述情形消除后继续组织电子交易活动，也可以决定某些环节以纸质形式进行；影响或可能影响采购公平、公正性的，应当重新采购。</w:t>
      </w:r>
      <w:bookmarkEnd w:id="10"/>
      <w:bookmarkStart w:id="52" w:name="_Hlt68057669"/>
      <w:bookmarkEnd w:id="52"/>
      <w:bookmarkStart w:id="53" w:name="_Hlt68072990"/>
      <w:bookmarkEnd w:id="53"/>
      <w:bookmarkStart w:id="54" w:name="_Hlt74730295"/>
      <w:bookmarkEnd w:id="54"/>
      <w:bookmarkStart w:id="55" w:name="_Hlt74729768"/>
      <w:bookmarkEnd w:id="55"/>
      <w:bookmarkStart w:id="56" w:name="_Hlt75236290"/>
      <w:bookmarkEnd w:id="56"/>
      <w:bookmarkStart w:id="57" w:name="_Hlt74714665"/>
      <w:bookmarkEnd w:id="57"/>
      <w:bookmarkStart w:id="58" w:name="_Hlt74707468"/>
      <w:bookmarkEnd w:id="58"/>
      <w:bookmarkStart w:id="59" w:name="_Hlt75236101"/>
      <w:bookmarkEnd w:id="59"/>
      <w:bookmarkStart w:id="60" w:name="_Hlt75236011"/>
      <w:bookmarkEnd w:id="60"/>
      <w:bookmarkStart w:id="61" w:name="第三部分"/>
      <w:bookmarkStart w:id="62" w:name="_Toc164416483"/>
    </w:p>
    <w:p w14:paraId="31FDBAEC">
      <w:pPr>
        <w:pageBreakBefore w:val="0"/>
        <w:kinsoku/>
        <w:wordWrap/>
        <w:overflowPunct/>
        <w:topLinePunct w:val="0"/>
        <w:bidi w:val="0"/>
        <w:snapToGrid w:val="0"/>
        <w:spacing w:line="360" w:lineRule="auto"/>
        <w:ind w:left="120" w:leftChars="57" w:firstLine="482" w:firstLineChars="150"/>
        <w:jc w:val="center"/>
        <w:outlineLvl w:val="1"/>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十五、代理费用的收取标准和方式</w:t>
      </w:r>
    </w:p>
    <w:p w14:paraId="0844525A">
      <w:pPr>
        <w:pStyle w:val="23"/>
        <w:pageBreakBefore w:val="0"/>
        <w:kinsoku/>
        <w:wordWrap/>
        <w:overflowPunct/>
        <w:topLinePunct w:val="0"/>
        <w:bidi w:val="0"/>
        <w:spacing w:line="360" w:lineRule="auto"/>
        <w:ind w:firstLine="0" w:firstLineChars="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1.代理费用的收取标准和方式（适用于有权收取代理费用的采购代理机构）</w:t>
      </w:r>
    </w:p>
    <w:p w14:paraId="640E92EA">
      <w:pPr>
        <w:pStyle w:val="631"/>
        <w:pageBreakBefore w:val="0"/>
        <w:kinsoku/>
        <w:wordWrap/>
        <w:overflowPunct/>
        <w:topLinePunct w:val="0"/>
        <w:bidi w:val="0"/>
        <w:spacing w:line="360" w:lineRule="auto"/>
        <w:ind w:firstLine="420" w:firstLineChars="20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1.1采购代理费支付方式：</w:t>
      </w:r>
    </w:p>
    <w:p w14:paraId="43E54B75">
      <w:pPr>
        <w:pStyle w:val="631"/>
        <w:pageBreakBefore w:val="0"/>
        <w:kinsoku/>
        <w:wordWrap/>
        <w:overflowPunct/>
        <w:topLinePunct w:val="0"/>
        <w:bidi w:val="0"/>
        <w:spacing w:line="360" w:lineRule="auto"/>
        <w:ind w:firstLine="420" w:firstLineChars="20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eastAsia="zh-CN"/>
        </w:rPr>
        <w:t>☑</w:t>
      </w:r>
      <w:r>
        <w:rPr>
          <w:rFonts w:hint="eastAsia" w:ascii="宋体" w:hAnsi="宋体" w:eastAsia="宋体" w:cs="宋体"/>
          <w:color w:val="auto"/>
          <w:kern w:val="2"/>
          <w:sz w:val="21"/>
          <w:szCs w:val="21"/>
          <w:highlight w:val="none"/>
        </w:rPr>
        <w:t>本项目代理服务费由成交供应商一次性向采购代理机构支付。</w:t>
      </w:r>
    </w:p>
    <w:p w14:paraId="0DCEBEA5">
      <w:pPr>
        <w:pStyle w:val="631"/>
        <w:pageBreakBefore w:val="0"/>
        <w:kinsoku/>
        <w:wordWrap/>
        <w:overflowPunct/>
        <w:topLinePunct w:val="0"/>
        <w:bidi w:val="0"/>
        <w:spacing w:line="360" w:lineRule="auto"/>
        <w:ind w:firstLine="420" w:firstLineChars="20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□采购人支付。</w:t>
      </w:r>
    </w:p>
    <w:p w14:paraId="6647CB43">
      <w:pPr>
        <w:pStyle w:val="631"/>
        <w:pageBreakBefore w:val="0"/>
        <w:kinsoku/>
        <w:wordWrap/>
        <w:overflowPunct/>
        <w:topLinePunct w:val="0"/>
        <w:bidi w:val="0"/>
        <w:spacing w:line="360" w:lineRule="auto"/>
        <w:ind w:firstLine="420" w:firstLineChars="20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1.2采购代理费收取标准：</w:t>
      </w:r>
    </w:p>
    <w:p w14:paraId="285AA664">
      <w:pPr>
        <w:pStyle w:val="631"/>
        <w:pageBreakBefore w:val="0"/>
        <w:kinsoku/>
        <w:wordWrap/>
        <w:overflowPunct/>
        <w:topLinePunct w:val="0"/>
        <w:bidi w:val="0"/>
        <w:spacing w:line="360" w:lineRule="auto"/>
        <w:ind w:firstLine="420" w:firstLineChars="20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eastAsia="zh-CN"/>
        </w:rPr>
        <w:t>☑</w:t>
      </w:r>
      <w:r>
        <w:rPr>
          <w:rFonts w:hint="eastAsia" w:ascii="宋体" w:hAnsi="宋体" w:eastAsia="宋体" w:cs="宋体"/>
          <w:color w:val="auto"/>
          <w:kern w:val="2"/>
          <w:sz w:val="21"/>
          <w:szCs w:val="21"/>
          <w:highlight w:val="none"/>
        </w:rPr>
        <w:t>以分标（□成交金额/</w:t>
      </w:r>
      <w:r>
        <w:rPr>
          <w:rFonts w:hint="eastAsia" w:ascii="宋体" w:hAnsi="宋体" w:eastAsia="宋体" w:cs="宋体"/>
          <w:color w:val="auto"/>
          <w:kern w:val="2"/>
          <w:sz w:val="21"/>
          <w:szCs w:val="21"/>
          <w:highlight w:val="none"/>
          <w:lang w:eastAsia="zh-CN"/>
        </w:rPr>
        <w:t>☑</w:t>
      </w:r>
      <w:r>
        <w:rPr>
          <w:rFonts w:hint="eastAsia" w:ascii="宋体" w:hAnsi="宋体" w:eastAsia="宋体" w:cs="宋体"/>
          <w:color w:val="auto"/>
          <w:kern w:val="2"/>
          <w:sz w:val="21"/>
          <w:szCs w:val="21"/>
          <w:highlight w:val="none"/>
        </w:rPr>
        <w:t>采购预算/□暂定成交金额/□其他 / ）为计费额，按代理服务收费标准（</w:t>
      </w:r>
      <w:r>
        <w:rPr>
          <w:rFonts w:hint="eastAsia" w:ascii="宋体" w:hAnsi="宋体" w:eastAsia="宋体" w:cs="宋体"/>
          <w:color w:val="auto"/>
          <w:kern w:val="2"/>
          <w:sz w:val="21"/>
          <w:szCs w:val="21"/>
          <w:highlight w:val="none"/>
          <w:lang w:eastAsia="zh-CN"/>
        </w:rPr>
        <w:t>☑</w:t>
      </w:r>
      <w:r>
        <w:rPr>
          <w:rFonts w:hint="eastAsia" w:ascii="宋体" w:hAnsi="宋体" w:eastAsia="宋体" w:cs="宋体"/>
          <w:color w:val="auto"/>
          <w:kern w:val="2"/>
          <w:sz w:val="21"/>
          <w:szCs w:val="21"/>
          <w:highlight w:val="none"/>
        </w:rPr>
        <w:t>货物类/□服务类/□工程类）采用差额定率累进法计算出收费基准价格，采购代理收费以（</w:t>
      </w:r>
      <w:r>
        <w:rPr>
          <w:rFonts w:hint="eastAsia" w:ascii="宋体" w:hAnsi="宋体" w:eastAsia="宋体" w:cs="宋体"/>
          <w:color w:val="auto"/>
          <w:kern w:val="2"/>
          <w:sz w:val="21"/>
          <w:szCs w:val="21"/>
          <w:highlight w:val="none"/>
          <w:lang w:eastAsia="zh-CN"/>
        </w:rPr>
        <w:t>☑</w:t>
      </w:r>
      <w:r>
        <w:rPr>
          <w:rFonts w:hint="eastAsia" w:ascii="宋体" w:hAnsi="宋体" w:eastAsia="宋体" w:cs="宋体"/>
          <w:color w:val="auto"/>
          <w:kern w:val="2"/>
          <w:sz w:val="21"/>
          <w:szCs w:val="21"/>
          <w:highlight w:val="none"/>
        </w:rPr>
        <w:t>收费基准价格/□收费基准价格下浮 20 %/□收费基准价格上浮 / %）收取。</w:t>
      </w:r>
    </w:p>
    <w:p w14:paraId="15A47340">
      <w:pPr>
        <w:pStyle w:val="631"/>
        <w:pageBreakBefore w:val="0"/>
        <w:kinsoku/>
        <w:wordWrap/>
        <w:overflowPunct/>
        <w:topLinePunct w:val="0"/>
        <w:bidi w:val="0"/>
        <w:spacing w:line="360" w:lineRule="auto"/>
        <w:ind w:firstLine="420" w:firstLineChars="20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□固定采购代理收费。</w:t>
      </w:r>
    </w:p>
    <w:p w14:paraId="3A153689">
      <w:pPr>
        <w:pStyle w:val="631"/>
        <w:pageBreakBefore w:val="0"/>
        <w:kinsoku/>
        <w:wordWrap/>
        <w:overflowPunct/>
        <w:topLinePunct w:val="0"/>
        <w:bidi w:val="0"/>
        <w:spacing w:line="360" w:lineRule="auto"/>
        <w:ind w:firstLine="420" w:firstLineChars="20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1.3采购代理费收取银行账户</w:t>
      </w:r>
    </w:p>
    <w:p w14:paraId="0E92CC4C">
      <w:pPr>
        <w:pageBreakBefore w:val="0"/>
        <w:kinsoku/>
        <w:wordWrap/>
        <w:overflowPunct/>
        <w:topLinePunct w:val="0"/>
        <w:bidi w:val="0"/>
        <w:snapToGrid w:val="0"/>
        <w:spacing w:line="36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 xml:space="preserve">开户名称：广西北部湾宏亚建设管理有限公司北海分公司 </w:t>
      </w:r>
    </w:p>
    <w:p w14:paraId="2EF739A2">
      <w:pPr>
        <w:pageBreakBefore w:val="0"/>
        <w:kinsoku/>
        <w:wordWrap/>
        <w:overflowPunct/>
        <w:topLinePunct w:val="0"/>
        <w:bidi w:val="0"/>
        <w:snapToGrid w:val="0"/>
        <w:spacing w:line="36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开户银行：北海工行江苏路支行</w:t>
      </w:r>
    </w:p>
    <w:p w14:paraId="0316B1F5">
      <w:pPr>
        <w:pageBreakBefore w:val="0"/>
        <w:kinsoku/>
        <w:wordWrap/>
        <w:overflowPunct/>
        <w:topLinePunct w:val="0"/>
        <w:bidi w:val="0"/>
        <w:snapToGrid w:val="0"/>
        <w:spacing w:line="36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银行账号：2107 5309 0930 0049 767</w:t>
      </w:r>
    </w:p>
    <w:p w14:paraId="1618C68E">
      <w:pPr>
        <w:pageBreakBefore w:val="0"/>
        <w:kinsoku/>
        <w:wordWrap/>
        <w:overflowPunct/>
        <w:topLinePunct w:val="0"/>
        <w:bidi w:val="0"/>
        <w:snapToGrid w:val="0"/>
        <w:spacing w:line="360" w:lineRule="auto"/>
        <w:ind w:firstLine="420" w:firstLineChars="200"/>
        <w:rPr>
          <w:rFonts w:cs="仿宋_GB2312" w:asciiTheme="minorEastAsia" w:hAnsiTheme="minorEastAsia" w:eastAsiaTheme="minorEastAsia"/>
          <w:b/>
          <w:color w:val="auto"/>
          <w:sz w:val="36"/>
          <w:szCs w:val="36"/>
          <w:highlight w:val="none"/>
        </w:rPr>
      </w:pPr>
      <w:r>
        <w:rPr>
          <w:rFonts w:hint="eastAsia" w:ascii="宋体" w:hAnsi="宋体" w:eastAsia="宋体" w:cs="宋体"/>
          <w:bCs/>
          <w:color w:val="auto"/>
          <w:sz w:val="21"/>
          <w:szCs w:val="21"/>
          <w:highlight w:val="none"/>
        </w:rPr>
        <w:t>1.4代理服务收费标准：</w:t>
      </w:r>
      <w:r>
        <w:rPr>
          <w:rFonts w:hint="eastAsia" w:ascii="宋体" w:hAnsi="宋体" w:eastAsia="宋体" w:cs="宋体"/>
          <w:bCs/>
          <w:color w:val="auto"/>
          <w:sz w:val="21"/>
          <w:szCs w:val="21"/>
          <w:highlight w:val="none"/>
          <w:lang w:val="en-US" w:eastAsia="zh-CN"/>
        </w:rPr>
        <w:t>根据</w:t>
      </w:r>
      <w:r>
        <w:rPr>
          <w:rFonts w:hint="eastAsia" w:ascii="宋体" w:hAnsi="宋体" w:eastAsia="宋体" w:cs="宋体"/>
          <w:bCs/>
          <w:color w:val="auto"/>
          <w:sz w:val="21"/>
          <w:szCs w:val="21"/>
          <w:highlight w:val="none"/>
        </w:rPr>
        <w:t>《关于进一步放开建设项目专业服务价格的通知》（发改价格〔2015〕299号）</w:t>
      </w:r>
      <w:r>
        <w:rPr>
          <w:rFonts w:hint="eastAsia" w:ascii="宋体" w:hAnsi="宋体" w:eastAsia="宋体" w:cs="宋体"/>
          <w:bCs/>
          <w:color w:val="auto"/>
          <w:sz w:val="21"/>
          <w:szCs w:val="21"/>
          <w:highlight w:val="none"/>
          <w:lang w:val="en-US" w:eastAsia="zh-CN"/>
        </w:rPr>
        <w:t>规定</w:t>
      </w:r>
      <w:r>
        <w:rPr>
          <w:rFonts w:hint="eastAsia" w:ascii="宋体" w:hAnsi="宋体" w:eastAsia="宋体" w:cs="宋体"/>
          <w:bCs/>
          <w:color w:val="auto"/>
          <w:sz w:val="21"/>
          <w:szCs w:val="21"/>
          <w:highlight w:val="none"/>
        </w:rPr>
        <w:t>，招标代理</w:t>
      </w:r>
      <w:r>
        <w:rPr>
          <w:rFonts w:hint="eastAsia" w:ascii="宋体" w:hAnsi="宋体" w:eastAsia="宋体" w:cs="宋体"/>
          <w:bCs/>
          <w:color w:val="auto"/>
          <w:sz w:val="21"/>
          <w:szCs w:val="21"/>
          <w:highlight w:val="none"/>
          <w:lang w:val="en-US" w:eastAsia="zh-CN"/>
        </w:rPr>
        <w:t>服务</w:t>
      </w:r>
      <w:r>
        <w:rPr>
          <w:rFonts w:hint="eastAsia" w:ascii="宋体" w:hAnsi="宋体" w:eastAsia="宋体" w:cs="宋体"/>
          <w:bCs/>
          <w:color w:val="auto"/>
          <w:sz w:val="21"/>
          <w:szCs w:val="21"/>
          <w:highlight w:val="none"/>
        </w:rPr>
        <w:t>费实行市场调节价，价格由双方协商确定。</w:t>
      </w:r>
      <w:r>
        <w:rPr>
          <w:rFonts w:cs="仿宋_GB2312" w:asciiTheme="minorEastAsia" w:hAnsiTheme="minorEastAsia" w:eastAsiaTheme="minorEastAsia"/>
          <w:b/>
          <w:color w:val="auto"/>
          <w:sz w:val="36"/>
          <w:szCs w:val="36"/>
          <w:highlight w:val="none"/>
        </w:rPr>
        <w:br w:type="page"/>
      </w:r>
    </w:p>
    <w:p w14:paraId="55471937">
      <w:pPr>
        <w:adjustRightInd/>
        <w:spacing w:line="360" w:lineRule="auto"/>
        <w:jc w:val="center"/>
        <w:outlineLvl w:val="0"/>
        <w:rPr>
          <w:rFonts w:cs="仿宋_GB2312" w:asciiTheme="minorEastAsia" w:hAnsiTheme="minorEastAsia" w:eastAsiaTheme="minorEastAsia"/>
          <w:b/>
          <w:color w:val="auto"/>
          <w:sz w:val="36"/>
          <w:szCs w:val="36"/>
          <w:highlight w:val="none"/>
        </w:rPr>
      </w:pPr>
      <w:bookmarkStart w:id="63" w:name="_Toc7817"/>
      <w:r>
        <w:rPr>
          <w:rFonts w:hint="eastAsia" w:cs="仿宋_GB2312" w:asciiTheme="minorEastAsia" w:hAnsiTheme="minorEastAsia" w:eastAsiaTheme="minorEastAsia"/>
          <w:b/>
          <w:color w:val="auto"/>
          <w:sz w:val="36"/>
          <w:szCs w:val="36"/>
          <w:highlight w:val="none"/>
        </w:rPr>
        <w:t>第四部分  采购需求</w:t>
      </w:r>
      <w:bookmarkEnd w:id="63"/>
    </w:p>
    <w:p w14:paraId="509A51CA">
      <w:pPr>
        <w:adjustRightInd/>
        <w:spacing w:line="360" w:lineRule="auto"/>
        <w:jc w:val="left"/>
        <w:rPr>
          <w:rFonts w:hint="eastAsia" w:asciiTheme="minorEastAsia" w:hAnsiTheme="minorEastAsia" w:eastAsiaTheme="minorEastAsia"/>
          <w:b/>
          <w:bCs/>
          <w:color w:val="auto"/>
          <w:sz w:val="24"/>
          <w:highlight w:val="none"/>
          <w:u w:val="none"/>
          <w:lang w:val="en-US" w:eastAsia="zh-CN"/>
        </w:rPr>
      </w:pPr>
      <w:r>
        <w:rPr>
          <w:rFonts w:hint="eastAsia" w:asciiTheme="minorEastAsia" w:hAnsiTheme="minorEastAsia" w:eastAsiaTheme="minorEastAsia"/>
          <w:b/>
          <w:bCs/>
          <w:color w:val="auto"/>
          <w:sz w:val="24"/>
          <w:highlight w:val="none"/>
          <w:u w:val="none"/>
          <w:lang w:val="en-US" w:eastAsia="zh-CN"/>
        </w:rPr>
        <w:t>说明：</w:t>
      </w:r>
    </w:p>
    <w:p w14:paraId="7EEEB69B">
      <w:pPr>
        <w:spacing w:line="360" w:lineRule="auto"/>
        <w:ind w:firstLine="420" w:firstLineChars="200"/>
        <w:jc w:val="left"/>
        <w:rPr>
          <w:rFonts w:hint="eastAsia"/>
          <w:color w:val="auto"/>
          <w:highlight w:val="none"/>
          <w:lang w:eastAsia="zh-CN"/>
        </w:rPr>
      </w:pPr>
      <w:r>
        <w:rPr>
          <w:rFonts w:hint="eastAsia"/>
          <w:color w:val="auto"/>
          <w:highlight w:val="none"/>
          <w:lang w:val="en-US" w:eastAsia="zh-CN"/>
        </w:rPr>
        <w:t>1、</w:t>
      </w:r>
      <w:r>
        <w:rPr>
          <w:rFonts w:hint="eastAsia"/>
          <w:color w:val="auto"/>
          <w:highlight w:val="none"/>
        </w:rPr>
        <w:t>落实政府采购政策</w:t>
      </w:r>
      <w:r>
        <w:rPr>
          <w:rFonts w:hint="eastAsia"/>
          <w:color w:val="auto"/>
          <w:highlight w:val="none"/>
          <w:lang w:eastAsia="zh-CN"/>
        </w:rPr>
        <w:t>：</w:t>
      </w:r>
    </w:p>
    <w:p w14:paraId="17B84267">
      <w:pPr>
        <w:spacing w:line="360" w:lineRule="auto"/>
        <w:ind w:firstLine="420" w:firstLineChars="200"/>
        <w:jc w:val="left"/>
        <w:rPr>
          <w:rFonts w:hint="eastAsia"/>
          <w:color w:val="auto"/>
          <w:highlight w:val="none"/>
          <w:lang w:val="en-US" w:eastAsia="zh-CN"/>
        </w:rPr>
      </w:pPr>
      <w:r>
        <w:rPr>
          <w:rFonts w:hint="eastAsia"/>
          <w:color w:val="auto"/>
          <w:highlight w:val="none"/>
          <w:lang w:eastAsia="zh-CN"/>
        </w:rPr>
        <w:t>（</w:t>
      </w:r>
      <w:r>
        <w:rPr>
          <w:rFonts w:hint="eastAsia"/>
          <w:color w:val="auto"/>
          <w:highlight w:val="none"/>
          <w:lang w:val="en-US" w:eastAsia="zh-CN"/>
        </w:rPr>
        <w:t>1）支持采用本国产品：政府采购应当采购本国产品，确需采购进口产品的，实行审核管理。优先采购向我国企业转让技术、与我国企业签订消化吸收再创新方案的供应商的进口产品。</w:t>
      </w:r>
    </w:p>
    <w:p w14:paraId="62011B9A">
      <w:pPr>
        <w:spacing w:line="360" w:lineRule="auto"/>
        <w:ind w:firstLine="420" w:firstLineChars="200"/>
        <w:jc w:val="left"/>
        <w:rPr>
          <w:rFonts w:hint="eastAsia"/>
          <w:color w:val="auto"/>
          <w:highlight w:val="none"/>
          <w:lang w:val="en-US" w:eastAsia="zh-CN"/>
        </w:rPr>
      </w:pPr>
      <w:r>
        <w:rPr>
          <w:rFonts w:hint="eastAsia"/>
          <w:color w:val="auto"/>
          <w:highlight w:val="none"/>
          <w:lang w:val="en-US" w:eastAsia="zh-CN"/>
        </w:rPr>
        <w:t>（2）支持绿色发展：落实强制采购节能产品、鼓励节能政策；鼓励环保政策；推广使用绿色包装；采购绿色建材等。</w:t>
      </w:r>
    </w:p>
    <w:p w14:paraId="74C3D0F3">
      <w:pPr>
        <w:spacing w:line="360" w:lineRule="auto"/>
        <w:ind w:firstLine="420" w:firstLineChars="200"/>
        <w:jc w:val="left"/>
        <w:rPr>
          <w:rFonts w:hint="eastAsia"/>
          <w:color w:val="auto"/>
          <w:highlight w:val="none"/>
          <w:lang w:val="en-US" w:eastAsia="zh-CN"/>
        </w:rPr>
      </w:pPr>
      <w:r>
        <w:rPr>
          <w:rFonts w:hint="eastAsia"/>
          <w:color w:val="auto"/>
          <w:highlight w:val="none"/>
          <w:lang w:val="en-US" w:eastAsia="zh-CN"/>
        </w:rPr>
        <w:t>（3）支持中小企业发展：根据《政府采购促进中小企业发展管理办法》（财库〔2020〕46 号）的规定，对于未预留份额专门面向中小企业采购的政府采购项目，以及预留份额政府采购项目中的非预留部分标项，对小型和微型企业的投标报价给予20%的扣除，用扣除后的价格参与评审。</w:t>
      </w:r>
    </w:p>
    <w:p w14:paraId="18AA387B">
      <w:pPr>
        <w:spacing w:line="360" w:lineRule="auto"/>
        <w:ind w:firstLine="420" w:firstLineChars="200"/>
        <w:jc w:val="left"/>
        <w:rPr>
          <w:rFonts w:hint="eastAsia"/>
          <w:color w:val="auto"/>
          <w:highlight w:val="none"/>
          <w:lang w:val="en-US" w:eastAsia="zh-CN"/>
        </w:rPr>
      </w:pPr>
      <w:r>
        <w:rPr>
          <w:rFonts w:hint="eastAsia"/>
          <w:color w:val="auto"/>
          <w:highlight w:val="none"/>
          <w:lang w:val="en-US" w:eastAsia="zh-CN"/>
        </w:rPr>
        <w:t>（4）支持监狱企业、残疾人福利性单位发展：监狱企业、残疾人福利性单位视同小型和微型企业。</w:t>
      </w:r>
    </w:p>
    <w:p w14:paraId="7BA4BE53">
      <w:pPr>
        <w:spacing w:line="360" w:lineRule="auto"/>
        <w:ind w:firstLine="420" w:firstLineChars="200"/>
        <w:jc w:val="left"/>
        <w:rPr>
          <w:rFonts w:hint="eastAsia"/>
          <w:color w:val="auto"/>
          <w:highlight w:val="none"/>
          <w:lang w:val="en-US" w:eastAsia="zh-CN"/>
        </w:rPr>
      </w:pPr>
      <w:r>
        <w:rPr>
          <w:rFonts w:hint="eastAsia"/>
          <w:color w:val="auto"/>
          <w:highlight w:val="none"/>
          <w:lang w:val="en-US" w:eastAsia="zh-CN"/>
        </w:rPr>
        <w:t>（5）支持创新发展：优先采购被认定为首台套产品和“制造精品”的自主创新产品。</w:t>
      </w:r>
    </w:p>
    <w:p w14:paraId="3AFD8EE7">
      <w:pPr>
        <w:spacing w:line="360" w:lineRule="auto"/>
        <w:ind w:firstLine="420" w:firstLineChars="200"/>
        <w:jc w:val="left"/>
        <w:rPr>
          <w:rFonts w:hint="eastAsia"/>
          <w:color w:val="auto"/>
          <w:highlight w:val="none"/>
          <w:lang w:val="en-US" w:eastAsia="zh-CN"/>
        </w:rPr>
      </w:pPr>
      <w:r>
        <w:rPr>
          <w:rFonts w:hint="eastAsia"/>
          <w:color w:val="auto"/>
          <w:highlight w:val="none"/>
          <w:lang w:val="en-US" w:eastAsia="zh-CN"/>
        </w:rPr>
        <w:t>（6）平等对待内外资企业和符合条件的破产重整企业。</w:t>
      </w:r>
    </w:p>
    <w:p w14:paraId="39F9FA33">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“实质性要求”是指采购需求中带“▲”的条款或者不能负偏离的条款或者已经指明不满足按响应文件按无效处理的条款。</w:t>
      </w:r>
    </w:p>
    <w:p w14:paraId="7B5A7A92">
      <w:pPr>
        <w:spacing w:line="360" w:lineRule="auto"/>
        <w:ind w:firstLine="424" w:firstLineChars="202"/>
        <w:jc w:val="left"/>
        <w:rPr>
          <w:rFonts w:hint="eastAsia"/>
          <w:color w:val="auto"/>
          <w:highlight w:val="none"/>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供应商应根据自身实际情况如实响应谈判文件</w:t>
      </w:r>
      <w:r>
        <w:rPr>
          <w:rFonts w:hint="eastAsia" w:ascii="宋体" w:hAnsi="宋体"/>
          <w:color w:val="auto"/>
          <w:szCs w:val="21"/>
          <w:highlight w:val="none"/>
        </w:rPr>
        <w:t>，不得仅将</w:t>
      </w:r>
      <w:r>
        <w:rPr>
          <w:rFonts w:hint="eastAsia" w:ascii="宋体" w:hAnsi="宋体" w:cs="宋体"/>
          <w:color w:val="auto"/>
          <w:szCs w:val="21"/>
          <w:highlight w:val="none"/>
        </w:rPr>
        <w:t>谈判文件</w:t>
      </w:r>
      <w:r>
        <w:rPr>
          <w:rFonts w:hint="eastAsia" w:ascii="宋体" w:hAnsi="宋体"/>
          <w:color w:val="auto"/>
          <w:szCs w:val="21"/>
          <w:highlight w:val="none"/>
        </w:rPr>
        <w:t>内容简单复制粘贴作为竞标响应，还应当提供相关证明材料，否则将按无效响应处理（定制采购不适用本条款）。</w:t>
      </w:r>
      <w:r>
        <w:rPr>
          <w:rFonts w:hint="eastAsia"/>
          <w:color w:val="auto"/>
          <w:highlight w:val="none"/>
        </w:rPr>
        <w:t>对于重要技术条款或技术参数应当在响应文件中提供技术支持资料，技术支持资料</w:t>
      </w:r>
      <w:r>
        <w:rPr>
          <w:rFonts w:hint="eastAsia" w:ascii="宋体" w:hAnsi="宋体" w:cs="宋体"/>
          <w:color w:val="auto"/>
          <w:szCs w:val="21"/>
          <w:highlight w:val="none"/>
          <w:lang w:val="en-US" w:eastAsia="zh-CN"/>
        </w:rPr>
        <w:t>可以是第三方检测机构出具的检测报告或产品制造厂商公开发行的宣传彩页或官方网站发布的产品介绍等能够清晰反映产品性能技术参数的证明材料</w:t>
      </w:r>
      <w:r>
        <w:rPr>
          <w:rFonts w:hint="eastAsia"/>
          <w:color w:val="auto"/>
          <w:highlight w:val="none"/>
        </w:rPr>
        <w:t>。</w:t>
      </w:r>
    </w:p>
    <w:p w14:paraId="4AF8688A">
      <w:pPr>
        <w:spacing w:line="360" w:lineRule="auto"/>
        <w:ind w:firstLine="424" w:firstLineChars="202"/>
        <w:jc w:val="left"/>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4、进口产品规定：本项目不接受进口产品。</w:t>
      </w:r>
    </w:p>
    <w:p w14:paraId="1ED94DAC">
      <w:pPr>
        <w:spacing w:line="360" w:lineRule="auto"/>
        <w:ind w:firstLine="424" w:firstLineChars="202"/>
        <w:jc w:val="left"/>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5、根据《国务院办公厅关于在政府采购中实施本国产品标准及相关政策的通知》（国办发[2025]34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本国产品是指在中国境内生产，即在中华人民共和国关境内实现从原材料、组件到产品的属性改变。属性改变是指经过制造、加工或者组装等工序，产生完全不同于原材料、组件的新产品，并具有新的名称和特征(用途)。</w:t>
      </w:r>
    </w:p>
    <w:p w14:paraId="7ECA7EA5">
      <w:pPr>
        <w:spacing w:line="360" w:lineRule="auto"/>
        <w:ind w:firstLine="424" w:firstLineChars="202"/>
        <w:jc w:val="left"/>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6、本章节中如提及品牌、型号，仅起参考作用。供应商可选用其他品牌型号替代，但这些替代的品牌型号要实质上相当于或优于参考品牌型号及其技术参数性能(配置)要求。</w:t>
      </w:r>
    </w:p>
    <w:p w14:paraId="04818FA6">
      <w:pPr>
        <w:spacing w:line="360" w:lineRule="auto"/>
        <w:ind w:firstLine="426" w:firstLineChars="202"/>
        <w:jc w:val="left"/>
        <w:rPr>
          <w:rFonts w:hint="default" w:ascii="宋体" w:hAnsi="宋体" w:cs="宋体"/>
          <w:b/>
          <w:bCs/>
          <w:color w:val="auto"/>
          <w:szCs w:val="21"/>
          <w:highlight w:val="none"/>
          <w:lang w:val="en-US" w:eastAsia="zh-CN"/>
        </w:rPr>
      </w:pPr>
      <w:r>
        <w:rPr>
          <w:rFonts w:hint="eastAsia" w:ascii="宋体" w:hAnsi="宋体" w:cs="宋体"/>
          <w:b/>
          <w:bCs/>
          <w:color w:val="auto"/>
          <w:szCs w:val="21"/>
          <w:highlight w:val="none"/>
          <w:lang w:val="en-US" w:eastAsia="zh-CN"/>
        </w:rPr>
        <w:t>7、本项目属于货物类采购项目。本项目核心产品：比赛垫子(含保护区）（</w:t>
      </w:r>
      <w:r>
        <w:rPr>
          <w:rFonts w:hint="eastAsia" w:ascii="宋体" w:hAnsi="宋体" w:eastAsia="宋体" w:cs="宋体"/>
          <w:b/>
          <w:bCs/>
          <w:color w:val="auto"/>
          <w:sz w:val="21"/>
          <w:szCs w:val="21"/>
          <w:highlight w:val="none"/>
          <w:u w:val="none"/>
          <w:vertAlign w:val="baseline"/>
          <w:lang w:val="en-US" w:eastAsia="zh-CN"/>
        </w:rPr>
        <w:t>柔道项目</w:t>
      </w:r>
      <w:r>
        <w:rPr>
          <w:rFonts w:hint="eastAsia" w:ascii="宋体" w:hAnsi="宋体" w:cs="宋体"/>
          <w:b/>
          <w:bCs/>
          <w:color w:val="auto"/>
          <w:sz w:val="21"/>
          <w:szCs w:val="21"/>
          <w:highlight w:val="none"/>
          <w:u w:val="none"/>
          <w:vertAlign w:val="baseline"/>
          <w:lang w:val="en-US" w:eastAsia="zh-CN"/>
        </w:rPr>
        <w:t>）</w:t>
      </w:r>
      <w:r>
        <w:rPr>
          <w:rFonts w:hint="eastAsia" w:ascii="宋体" w:hAnsi="宋体" w:cs="宋体"/>
          <w:b/>
          <w:bCs/>
          <w:color w:val="auto"/>
          <w:szCs w:val="21"/>
          <w:highlight w:val="none"/>
          <w:lang w:val="en-US" w:eastAsia="zh-CN"/>
        </w:rPr>
        <w:t>。采购标的对应的行业为：工业。</w:t>
      </w:r>
    </w:p>
    <w:p w14:paraId="72E79B4B">
      <w:pPr>
        <w:spacing w:line="360" w:lineRule="auto"/>
        <w:jc w:val="left"/>
        <w:rPr>
          <w:rFonts w:hint="eastAsia" w:ascii="宋体" w:hAnsi="宋体" w:cs="宋体"/>
          <w:b/>
          <w:bCs/>
          <w:color w:val="auto"/>
          <w:szCs w:val="21"/>
          <w:highlight w:val="none"/>
          <w:lang w:val="en-US" w:eastAsia="zh-CN"/>
        </w:rPr>
      </w:pPr>
      <w:r>
        <w:rPr>
          <w:rFonts w:hint="eastAsia" w:ascii="宋体" w:hAnsi="宋体" w:cs="宋体"/>
          <w:color w:val="auto"/>
          <w:szCs w:val="21"/>
          <w:highlight w:val="none"/>
          <w:lang w:val="en-US" w:eastAsia="zh-CN"/>
        </w:rPr>
        <w:t xml:space="preserve">    </w:t>
      </w:r>
      <w:r>
        <w:rPr>
          <w:rFonts w:hint="eastAsia" w:ascii="宋体" w:hAnsi="宋体" w:cs="宋体"/>
          <w:b/>
          <w:bCs/>
          <w:color w:val="auto"/>
          <w:szCs w:val="21"/>
          <w:highlight w:val="none"/>
          <w:lang w:val="en-US" w:eastAsia="zh-CN"/>
        </w:rPr>
        <w:t>8、本项目采购预算（最高限价）：人民币贰佰柒拾陆万玖仟贰佰柒拾壹元整（</w:t>
      </w:r>
      <w:r>
        <w:rPr>
          <w:rFonts w:hint="eastAsia" w:ascii="宋体" w:hAnsi="宋体" w:eastAsia="宋体" w:cs="宋体"/>
          <w:b/>
          <w:bCs/>
          <w:color w:val="auto"/>
          <w:szCs w:val="21"/>
          <w:highlight w:val="none"/>
          <w:lang w:val="en-US" w:eastAsia="zh-CN"/>
        </w:rPr>
        <w:t>￥</w:t>
      </w:r>
      <w:r>
        <w:rPr>
          <w:rFonts w:hint="eastAsia" w:ascii="宋体" w:hAnsi="宋体" w:cs="宋体"/>
          <w:b/>
          <w:bCs/>
          <w:color w:val="auto"/>
          <w:szCs w:val="21"/>
          <w:highlight w:val="none"/>
          <w:lang w:val="en-US" w:eastAsia="zh-CN"/>
        </w:rPr>
        <w:t>2769271.00元）。超过采购预算（最高限价）的报价为无效报价。</w:t>
      </w:r>
    </w:p>
    <w:p w14:paraId="3532BCA6">
      <w:pPr>
        <w:keepNext w:val="0"/>
        <w:keepLines w:val="0"/>
        <w:pageBreakBefore w:val="0"/>
        <w:widowControl w:val="0"/>
        <w:kinsoku/>
        <w:wordWrap/>
        <w:overflowPunct/>
        <w:topLinePunct w:val="0"/>
        <w:autoSpaceDE/>
        <w:autoSpaceDN/>
        <w:bidi w:val="0"/>
        <w:adjustRightInd w:val="0"/>
        <w:snapToGrid/>
        <w:spacing w:line="360" w:lineRule="auto"/>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一、项目概况</w:t>
      </w:r>
    </w:p>
    <w:p w14:paraId="10AF6AC7">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本项目为</w:t>
      </w:r>
      <w:r>
        <w:rPr>
          <w:rFonts w:hint="eastAsia" w:ascii="宋体" w:hAnsi="宋体" w:eastAsia="宋体" w:cs="宋体"/>
          <w:color w:val="auto"/>
          <w:sz w:val="21"/>
          <w:szCs w:val="21"/>
          <w:highlight w:val="none"/>
          <w:lang w:val="en-US" w:eastAsia="zh-CN"/>
        </w:rPr>
        <w:t>广西壮族自治区第十六届运动会柔道、跆拳道、摔跤、拳击</w:t>
      </w:r>
      <w:r>
        <w:rPr>
          <w:rFonts w:hint="eastAsia" w:ascii="宋体" w:hAnsi="宋体" w:cs="宋体"/>
          <w:color w:val="auto"/>
          <w:sz w:val="21"/>
          <w:szCs w:val="21"/>
          <w:highlight w:val="none"/>
          <w:lang w:val="en-US" w:eastAsia="zh-CN"/>
        </w:rPr>
        <w:t>四项赛事提供设施设备保障工作，包括设备供货、安装，比赛期间的设备维护、保障，以及质保期内的售后服务。</w:t>
      </w:r>
    </w:p>
    <w:p w14:paraId="56CFA8F3">
      <w:pPr>
        <w:keepNext w:val="0"/>
        <w:keepLines w:val="0"/>
        <w:pageBreakBefore w:val="0"/>
        <w:widowControl w:val="0"/>
        <w:kinsoku/>
        <w:wordWrap/>
        <w:overflowPunct/>
        <w:topLinePunct w:val="0"/>
        <w:autoSpaceDE/>
        <w:autoSpaceDN/>
        <w:bidi w:val="0"/>
        <w:adjustRightInd w:val="0"/>
        <w:snapToGrid/>
        <w:spacing w:line="360" w:lineRule="auto"/>
        <w:ind w:firstLine="422" w:firstLineChars="200"/>
        <w:textAlignment w:val="auto"/>
        <w:rPr>
          <w:rFonts w:hint="eastAsia"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各项赛事的日程安排如下：</w:t>
      </w:r>
    </w:p>
    <w:p w14:paraId="5B573206">
      <w:pPr>
        <w:keepNext w:val="0"/>
        <w:keepLines w:val="0"/>
        <w:pageBreakBefore w:val="0"/>
        <w:widowControl w:val="0"/>
        <w:numPr>
          <w:ilvl w:val="0"/>
          <w:numId w:val="7"/>
        </w:numPr>
        <w:kinsoku/>
        <w:wordWrap/>
        <w:overflowPunct/>
        <w:topLinePunct w:val="0"/>
        <w:autoSpaceDE/>
        <w:autoSpaceDN/>
        <w:bidi w:val="0"/>
        <w:adjustRightInd w:val="0"/>
        <w:snapToGrid/>
        <w:spacing w:line="360" w:lineRule="auto"/>
        <w:ind w:firstLine="422" w:firstLineChars="200"/>
        <w:textAlignment w:val="auto"/>
        <w:rPr>
          <w:rFonts w:hint="eastAsia"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柔道项目：</w:t>
      </w:r>
    </w:p>
    <w:p w14:paraId="7C34445F">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firstLine="420"/>
        <w:textAlignment w:val="auto"/>
        <w:rPr>
          <w:rFonts w:hint="eastAsia"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报到时间：2026年9月19日</w:t>
      </w:r>
    </w:p>
    <w:p w14:paraId="4C94E02F">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firstLine="420"/>
        <w:textAlignment w:val="auto"/>
        <w:rPr>
          <w:rFonts w:hint="eastAsia"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竞赛日期：2026年9月22日-24日</w:t>
      </w:r>
    </w:p>
    <w:p w14:paraId="3EB81AD7">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firstLine="420"/>
        <w:textAlignment w:val="auto"/>
        <w:rPr>
          <w:rFonts w:hint="eastAsia"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比赛场地：山东省北海体育训练中心</w:t>
      </w:r>
    </w:p>
    <w:p w14:paraId="0CCA0D06">
      <w:pPr>
        <w:keepNext w:val="0"/>
        <w:keepLines w:val="0"/>
        <w:pageBreakBefore w:val="0"/>
        <w:widowControl w:val="0"/>
        <w:numPr>
          <w:ilvl w:val="0"/>
          <w:numId w:val="7"/>
        </w:numPr>
        <w:kinsoku/>
        <w:wordWrap/>
        <w:overflowPunct/>
        <w:topLinePunct w:val="0"/>
        <w:autoSpaceDE/>
        <w:autoSpaceDN/>
        <w:bidi w:val="0"/>
        <w:adjustRightInd w:val="0"/>
        <w:snapToGrid/>
        <w:spacing w:line="360" w:lineRule="auto"/>
        <w:ind w:left="0" w:leftChars="0" w:firstLine="422" w:firstLineChars="200"/>
        <w:textAlignment w:val="auto"/>
        <w:rPr>
          <w:rFonts w:hint="eastAsia"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跆拳道项目：</w:t>
      </w:r>
    </w:p>
    <w:p w14:paraId="312EEFD7">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Chars="200"/>
        <w:textAlignment w:val="auto"/>
        <w:rPr>
          <w:rFonts w:hint="eastAsia"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报到时间：2026年9月18日</w:t>
      </w:r>
    </w:p>
    <w:p w14:paraId="14F62039">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Chars="200"/>
        <w:textAlignment w:val="auto"/>
        <w:rPr>
          <w:rFonts w:hint="eastAsia"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竞赛日期：2026年9月21日-24日</w:t>
      </w:r>
    </w:p>
    <w:p w14:paraId="260FF2EB">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Chars="200"/>
        <w:textAlignment w:val="auto"/>
        <w:rPr>
          <w:rFonts w:hint="eastAsia"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比赛场地：北海市体育馆</w:t>
      </w:r>
    </w:p>
    <w:p w14:paraId="2B444E8A">
      <w:pPr>
        <w:keepNext w:val="0"/>
        <w:keepLines w:val="0"/>
        <w:pageBreakBefore w:val="0"/>
        <w:widowControl w:val="0"/>
        <w:numPr>
          <w:ilvl w:val="0"/>
          <w:numId w:val="7"/>
        </w:numPr>
        <w:kinsoku/>
        <w:wordWrap/>
        <w:overflowPunct/>
        <w:topLinePunct w:val="0"/>
        <w:autoSpaceDE/>
        <w:autoSpaceDN/>
        <w:bidi w:val="0"/>
        <w:adjustRightInd w:val="0"/>
        <w:snapToGrid/>
        <w:spacing w:line="360" w:lineRule="auto"/>
        <w:ind w:left="0" w:leftChars="0" w:firstLine="422" w:firstLineChars="200"/>
        <w:textAlignment w:val="auto"/>
        <w:rPr>
          <w:rFonts w:hint="eastAsia"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摔跤项目：</w:t>
      </w:r>
    </w:p>
    <w:p w14:paraId="5F10EAA1">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Chars="200"/>
        <w:textAlignment w:val="auto"/>
        <w:rPr>
          <w:rFonts w:hint="eastAsia"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报到时间：2026年9月11日</w:t>
      </w:r>
    </w:p>
    <w:p w14:paraId="70BF0B43">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Chars="200"/>
        <w:textAlignment w:val="auto"/>
        <w:rPr>
          <w:rFonts w:hint="eastAsia"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竞赛日期：2026年9月14日-17日</w:t>
      </w:r>
    </w:p>
    <w:p w14:paraId="627032CB">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Chars="200"/>
        <w:textAlignment w:val="auto"/>
        <w:rPr>
          <w:rFonts w:hint="eastAsia"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比赛场地：北海市体育馆</w:t>
      </w:r>
    </w:p>
    <w:p w14:paraId="6EEFA756">
      <w:pPr>
        <w:keepNext w:val="0"/>
        <w:keepLines w:val="0"/>
        <w:pageBreakBefore w:val="0"/>
        <w:widowControl w:val="0"/>
        <w:numPr>
          <w:ilvl w:val="0"/>
          <w:numId w:val="7"/>
        </w:numPr>
        <w:kinsoku/>
        <w:wordWrap/>
        <w:overflowPunct/>
        <w:topLinePunct w:val="0"/>
        <w:autoSpaceDE/>
        <w:autoSpaceDN/>
        <w:bidi w:val="0"/>
        <w:adjustRightInd w:val="0"/>
        <w:snapToGrid/>
        <w:spacing w:line="360" w:lineRule="auto"/>
        <w:ind w:left="0" w:leftChars="0" w:firstLine="422" w:firstLineChars="200"/>
        <w:textAlignment w:val="auto"/>
        <w:rPr>
          <w:rFonts w:hint="eastAsia"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拳击项目：</w:t>
      </w:r>
    </w:p>
    <w:p w14:paraId="71E43145">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Chars="200"/>
        <w:textAlignment w:val="auto"/>
        <w:rPr>
          <w:rFonts w:hint="eastAsia"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报到时间：2026年9月10日</w:t>
      </w:r>
    </w:p>
    <w:p w14:paraId="36564190">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Chars="200"/>
        <w:textAlignment w:val="auto"/>
        <w:rPr>
          <w:rFonts w:hint="eastAsia"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竞赛日期：2026年9月13日-17日</w:t>
      </w:r>
    </w:p>
    <w:p w14:paraId="349E1651">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Chars="200"/>
        <w:textAlignment w:val="auto"/>
        <w:rPr>
          <w:rFonts w:hint="eastAsia"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比赛场地：山东省北海体育训练中心</w:t>
      </w:r>
    </w:p>
    <w:p w14:paraId="5C488C14">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kern w:val="2"/>
          <w:sz w:val="21"/>
          <w:szCs w:val="21"/>
          <w:highlight w:val="none"/>
          <w:lang w:val="en-US" w:eastAsia="zh-CN" w:bidi="ar-SA"/>
        </w:rPr>
        <w:t>二、</w:t>
      </w:r>
      <w:r>
        <w:rPr>
          <w:rFonts w:hint="eastAsia" w:ascii="宋体" w:hAnsi="宋体" w:eastAsia="宋体" w:cs="宋体"/>
          <w:b/>
          <w:bCs/>
          <w:color w:val="auto"/>
          <w:sz w:val="21"/>
          <w:szCs w:val="21"/>
          <w:highlight w:val="none"/>
          <w:lang w:val="en-US" w:eastAsia="zh-CN"/>
        </w:rPr>
        <w:t>采购清单、</w:t>
      </w:r>
      <w:r>
        <w:rPr>
          <w:rFonts w:hint="eastAsia" w:ascii="宋体" w:hAnsi="宋体" w:cs="宋体"/>
          <w:b/>
          <w:bCs/>
          <w:color w:val="auto"/>
          <w:sz w:val="21"/>
          <w:szCs w:val="21"/>
          <w:highlight w:val="none"/>
          <w:lang w:val="en-US" w:eastAsia="zh-CN"/>
        </w:rPr>
        <w:t>产品性能技术要求</w:t>
      </w:r>
    </w:p>
    <w:tbl>
      <w:tblPr>
        <w:tblStyle w:val="61"/>
        <w:tblW w:w="95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7"/>
        <w:gridCol w:w="1259"/>
        <w:gridCol w:w="754"/>
        <w:gridCol w:w="739"/>
        <w:gridCol w:w="5205"/>
        <w:gridCol w:w="1154"/>
      </w:tblGrid>
      <w:tr w14:paraId="496BD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38" w:type="dxa"/>
            <w:gridSpan w:val="6"/>
            <w:vAlign w:val="center"/>
          </w:tcPr>
          <w:p w14:paraId="1BDB5C8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21"/>
                <w:szCs w:val="21"/>
                <w:highlight w:val="none"/>
                <w:u w:val="none"/>
                <w:vertAlign w:val="baseline"/>
                <w:lang w:val="en-US" w:eastAsia="zh-CN"/>
              </w:rPr>
            </w:pPr>
            <w:r>
              <w:rPr>
                <w:rFonts w:hint="eastAsia" w:ascii="宋体" w:hAnsi="宋体" w:eastAsia="宋体" w:cs="宋体"/>
                <w:b/>
                <w:bCs/>
                <w:color w:val="auto"/>
                <w:sz w:val="21"/>
                <w:szCs w:val="21"/>
                <w:highlight w:val="none"/>
                <w:u w:val="none"/>
                <w:vertAlign w:val="baseline"/>
                <w:lang w:val="en-US" w:eastAsia="zh-CN"/>
              </w:rPr>
              <w:t>（一）柔道项目</w:t>
            </w:r>
          </w:p>
        </w:tc>
      </w:tr>
      <w:tr w14:paraId="336CA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dxa"/>
            <w:vAlign w:val="center"/>
          </w:tcPr>
          <w:p w14:paraId="1F2F285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21"/>
                <w:szCs w:val="21"/>
                <w:highlight w:val="none"/>
                <w:u w:val="none"/>
                <w:vertAlign w:val="baseline"/>
                <w:lang w:val="en-US" w:eastAsia="zh-CN"/>
              </w:rPr>
            </w:pPr>
            <w:r>
              <w:rPr>
                <w:rFonts w:hint="eastAsia" w:ascii="宋体" w:hAnsi="宋体" w:eastAsia="宋体" w:cs="宋体"/>
                <w:b/>
                <w:bCs/>
                <w:color w:val="auto"/>
                <w:sz w:val="21"/>
                <w:szCs w:val="21"/>
                <w:highlight w:val="none"/>
                <w:u w:val="none"/>
                <w:vertAlign w:val="baseline"/>
                <w:lang w:val="en-US" w:eastAsia="zh-CN"/>
              </w:rPr>
              <w:t>序号</w:t>
            </w:r>
          </w:p>
        </w:tc>
        <w:tc>
          <w:tcPr>
            <w:tcW w:w="1259" w:type="dxa"/>
            <w:vAlign w:val="center"/>
          </w:tcPr>
          <w:p w14:paraId="7350798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21"/>
                <w:szCs w:val="21"/>
                <w:highlight w:val="none"/>
                <w:u w:val="none"/>
                <w:vertAlign w:val="baseline"/>
                <w:lang w:val="en-US" w:eastAsia="zh-CN"/>
              </w:rPr>
            </w:pPr>
            <w:r>
              <w:rPr>
                <w:rFonts w:hint="eastAsia" w:ascii="宋体" w:hAnsi="宋体" w:eastAsia="宋体" w:cs="宋体"/>
                <w:b/>
                <w:bCs/>
                <w:color w:val="auto"/>
                <w:sz w:val="21"/>
                <w:szCs w:val="21"/>
                <w:highlight w:val="none"/>
                <w:u w:val="none"/>
                <w:vertAlign w:val="baseline"/>
                <w:lang w:val="en-US" w:eastAsia="zh-CN"/>
              </w:rPr>
              <w:t>货物名称</w:t>
            </w:r>
          </w:p>
        </w:tc>
        <w:tc>
          <w:tcPr>
            <w:tcW w:w="754" w:type="dxa"/>
            <w:vAlign w:val="center"/>
          </w:tcPr>
          <w:p w14:paraId="24CFAA1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21"/>
                <w:szCs w:val="21"/>
                <w:highlight w:val="none"/>
                <w:u w:val="none"/>
                <w:vertAlign w:val="baseline"/>
                <w:lang w:val="en-US" w:eastAsia="zh-CN"/>
              </w:rPr>
            </w:pPr>
            <w:r>
              <w:rPr>
                <w:rFonts w:hint="eastAsia" w:ascii="宋体" w:hAnsi="宋体" w:eastAsia="宋体" w:cs="宋体"/>
                <w:b/>
                <w:bCs/>
                <w:color w:val="auto"/>
                <w:sz w:val="21"/>
                <w:szCs w:val="21"/>
                <w:highlight w:val="none"/>
                <w:u w:val="none"/>
                <w:vertAlign w:val="baseline"/>
                <w:lang w:val="en-US" w:eastAsia="zh-CN"/>
              </w:rPr>
              <w:t>数量</w:t>
            </w:r>
          </w:p>
        </w:tc>
        <w:tc>
          <w:tcPr>
            <w:tcW w:w="739" w:type="dxa"/>
            <w:vAlign w:val="center"/>
          </w:tcPr>
          <w:p w14:paraId="37C82D6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21"/>
                <w:szCs w:val="21"/>
                <w:highlight w:val="none"/>
                <w:u w:val="none"/>
                <w:vertAlign w:val="baseline"/>
                <w:lang w:val="en-US" w:eastAsia="zh-CN"/>
              </w:rPr>
            </w:pPr>
            <w:r>
              <w:rPr>
                <w:rFonts w:hint="eastAsia" w:ascii="宋体" w:hAnsi="宋体" w:eastAsia="宋体" w:cs="宋体"/>
                <w:b/>
                <w:bCs/>
                <w:color w:val="auto"/>
                <w:sz w:val="21"/>
                <w:szCs w:val="21"/>
                <w:highlight w:val="none"/>
                <w:u w:val="none"/>
                <w:vertAlign w:val="baseline"/>
                <w:lang w:val="en-US" w:eastAsia="zh-CN"/>
              </w:rPr>
              <w:t>单位</w:t>
            </w:r>
          </w:p>
        </w:tc>
        <w:tc>
          <w:tcPr>
            <w:tcW w:w="5205" w:type="dxa"/>
            <w:vAlign w:val="center"/>
          </w:tcPr>
          <w:p w14:paraId="22F6375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21"/>
                <w:szCs w:val="21"/>
                <w:highlight w:val="none"/>
                <w:u w:val="none"/>
                <w:vertAlign w:val="baseline"/>
                <w:lang w:val="en-US" w:eastAsia="zh-CN"/>
              </w:rPr>
            </w:pPr>
            <w:r>
              <w:rPr>
                <w:rFonts w:hint="eastAsia" w:ascii="宋体" w:hAnsi="宋体" w:cs="宋体"/>
                <w:b/>
                <w:bCs/>
                <w:color w:val="auto"/>
                <w:sz w:val="21"/>
                <w:szCs w:val="21"/>
                <w:highlight w:val="none"/>
                <w:lang w:val="en-US" w:eastAsia="zh-CN"/>
              </w:rPr>
              <w:t>产品性能技术要求</w:t>
            </w:r>
          </w:p>
        </w:tc>
        <w:tc>
          <w:tcPr>
            <w:tcW w:w="1154" w:type="dxa"/>
            <w:vAlign w:val="center"/>
          </w:tcPr>
          <w:p w14:paraId="5A60D74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bCs/>
                <w:color w:val="auto"/>
                <w:sz w:val="21"/>
                <w:szCs w:val="21"/>
                <w:highlight w:val="none"/>
                <w:u w:val="none"/>
                <w:vertAlign w:val="baseline"/>
                <w:lang w:val="en-US" w:eastAsia="zh-CN"/>
              </w:rPr>
            </w:pPr>
            <w:r>
              <w:rPr>
                <w:rFonts w:hint="eastAsia" w:ascii="宋体" w:hAnsi="宋体" w:cs="宋体"/>
                <w:b/>
                <w:bCs/>
                <w:color w:val="auto"/>
                <w:sz w:val="21"/>
                <w:szCs w:val="21"/>
                <w:highlight w:val="none"/>
                <w:u w:val="none"/>
                <w:vertAlign w:val="baseline"/>
                <w:lang w:val="en-US" w:eastAsia="zh-CN"/>
              </w:rPr>
              <w:t>备注</w:t>
            </w:r>
          </w:p>
        </w:tc>
      </w:tr>
      <w:tr w14:paraId="5B6DB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dxa"/>
            <w:vAlign w:val="center"/>
          </w:tcPr>
          <w:p w14:paraId="3A88906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1</w:t>
            </w:r>
          </w:p>
        </w:tc>
        <w:tc>
          <w:tcPr>
            <w:tcW w:w="1259" w:type="dxa"/>
            <w:vAlign w:val="center"/>
          </w:tcPr>
          <w:p w14:paraId="7B7A52E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比赛垫子(含保护区）</w:t>
            </w:r>
          </w:p>
        </w:tc>
        <w:tc>
          <w:tcPr>
            <w:tcW w:w="754" w:type="dxa"/>
            <w:vAlign w:val="center"/>
          </w:tcPr>
          <w:p w14:paraId="7CDD033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1</w:t>
            </w:r>
          </w:p>
        </w:tc>
        <w:tc>
          <w:tcPr>
            <w:tcW w:w="739" w:type="dxa"/>
            <w:vAlign w:val="center"/>
          </w:tcPr>
          <w:p w14:paraId="5E85ED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张</w:t>
            </w:r>
          </w:p>
        </w:tc>
        <w:tc>
          <w:tcPr>
            <w:tcW w:w="5205" w:type="dxa"/>
          </w:tcPr>
          <w:p w14:paraId="1600916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kern w:val="2"/>
                <w:sz w:val="21"/>
                <w:szCs w:val="21"/>
                <w:highlight w:val="none"/>
                <w:vertAlign w:val="baseline"/>
                <w:lang w:val="en-US" w:eastAsia="zh-CN" w:bidi="ar-SA"/>
              </w:rPr>
              <w:t>一、产品组成：由柔道垫、防滑防潮垫架组成。柔道垫整体规格16m×16m×5cm。</w:t>
            </w:r>
          </w:p>
          <w:p w14:paraId="234FC79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kern w:val="2"/>
                <w:sz w:val="21"/>
                <w:szCs w:val="21"/>
                <w:highlight w:val="none"/>
                <w:vertAlign w:val="baseline"/>
                <w:lang w:val="en-US" w:eastAsia="zh-CN" w:bidi="ar-SA"/>
              </w:rPr>
              <w:t>二、材质结构：上表层为黄色和红色PVC柔道布，缓冲层为纯压缩海绵，内胎上层为ρ165压缩海绵、中层纤维板、下层为ρ200压缩海绵；底部防滑层。</w:t>
            </w:r>
          </w:p>
          <w:p w14:paraId="78823A3E">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kern w:val="2"/>
                <w:sz w:val="21"/>
                <w:szCs w:val="21"/>
                <w:highlight w:val="none"/>
                <w:vertAlign w:val="baseline"/>
                <w:lang w:val="en-US" w:eastAsia="zh-CN" w:bidi="ar-SA"/>
              </w:rPr>
              <w:t>三、技术性能参数：</w:t>
            </w:r>
          </w:p>
          <w:p w14:paraId="404C960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kern w:val="2"/>
                <w:sz w:val="21"/>
                <w:szCs w:val="21"/>
                <w:highlight w:val="none"/>
                <w:vertAlign w:val="baseline"/>
                <w:lang w:val="en-US" w:eastAsia="zh-CN" w:bidi="ar-SA"/>
              </w:rPr>
              <w:t>（一）柔道布：</w:t>
            </w:r>
          </w:p>
          <w:p w14:paraId="0B01054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kern w:val="2"/>
                <w:sz w:val="21"/>
                <w:szCs w:val="21"/>
                <w:highlight w:val="none"/>
                <w:vertAlign w:val="baseline"/>
                <w:lang w:val="en-US" w:eastAsia="zh-CN" w:bidi="ar-SA"/>
              </w:rPr>
              <w:t>1.厚度≥1.10mm；2.面密度≥900g/㎡；3.拉伸负荷径向≥1000N、纬向≥300N；4.断裂伸长率径向≥25%、纬向≥15%；5.撕裂负荷径向≥60N、纬向≥60N；6.剥离强度≥30N；7.摩擦系数（干法）≥0.58。</w:t>
            </w:r>
          </w:p>
          <w:p w14:paraId="6F9CA39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kern w:val="2"/>
                <w:sz w:val="21"/>
                <w:szCs w:val="21"/>
                <w:highlight w:val="none"/>
                <w:vertAlign w:val="baseline"/>
                <w:lang w:val="en-US" w:eastAsia="zh-CN" w:bidi="ar-SA"/>
              </w:rPr>
              <w:t>（二）柔性层ρ165压缩海绵：</w:t>
            </w:r>
          </w:p>
          <w:p w14:paraId="243951F1">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kern w:val="2"/>
                <w:sz w:val="21"/>
                <w:szCs w:val="21"/>
                <w:highlight w:val="none"/>
                <w:vertAlign w:val="baseline"/>
                <w:lang w:val="en-US" w:eastAsia="zh-CN" w:bidi="ar-SA"/>
              </w:rPr>
              <w:t>1.密度≥160kg/m³；2.50%压缩应力0.080～0.130MPa；3.耐折牢度：单方向对折180°，1分钟内对折缝处无断裂现象。</w:t>
            </w:r>
          </w:p>
          <w:p w14:paraId="5136248E">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kern w:val="2"/>
                <w:sz w:val="21"/>
                <w:szCs w:val="21"/>
                <w:highlight w:val="none"/>
                <w:vertAlign w:val="baseline"/>
                <w:lang w:val="en-US" w:eastAsia="zh-CN" w:bidi="ar-SA"/>
              </w:rPr>
              <w:t>（三）柔性层ρ200压缩海绵：</w:t>
            </w:r>
          </w:p>
          <w:p w14:paraId="6510ED2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kern w:val="2"/>
                <w:sz w:val="21"/>
                <w:szCs w:val="21"/>
                <w:highlight w:val="none"/>
                <w:vertAlign w:val="baseline"/>
                <w:lang w:val="en-US" w:eastAsia="zh-CN" w:bidi="ar-SA"/>
              </w:rPr>
              <w:t>1.密度≥192kg/m³；2.50%压缩应力0.119～0.159MPa；3.耐折牢度：单方向对折180°，1分钟内对折缝处无断裂现象。</w:t>
            </w:r>
          </w:p>
          <w:p w14:paraId="33F8EF1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kern w:val="2"/>
                <w:sz w:val="21"/>
                <w:szCs w:val="21"/>
                <w:highlight w:val="none"/>
                <w:vertAlign w:val="baseline"/>
                <w:lang w:val="en-US" w:eastAsia="zh-CN" w:bidi="ar-SA"/>
              </w:rPr>
              <w:t>（四）TPE防滑层：</w:t>
            </w:r>
          </w:p>
          <w:p w14:paraId="278ADDAE">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kern w:val="2"/>
                <w:sz w:val="21"/>
                <w:szCs w:val="21"/>
                <w:highlight w:val="none"/>
                <w:vertAlign w:val="baseline"/>
                <w:lang w:val="en-US" w:eastAsia="zh-CN" w:bidi="ar-SA"/>
              </w:rPr>
              <w:t>横向拉伸负荷≥200N、纵向拉伸负荷≥250N；横向撕裂负荷≥55N、纵向撕裂负荷≥60N；横向、纵向断裂伸长率≥60%。</w:t>
            </w:r>
          </w:p>
          <w:p w14:paraId="1204436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kern w:val="2"/>
                <w:sz w:val="21"/>
                <w:szCs w:val="21"/>
                <w:highlight w:val="none"/>
                <w:vertAlign w:val="baseline"/>
                <w:lang w:val="en-US" w:eastAsia="zh-CN" w:bidi="ar-SA"/>
              </w:rPr>
              <w:t>（五）冲击性能：</w:t>
            </w:r>
          </w:p>
          <w:p w14:paraId="0D3EFFEE">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kern w:val="2"/>
                <w:sz w:val="21"/>
                <w:szCs w:val="21"/>
                <w:highlight w:val="none"/>
                <w:vertAlign w:val="baseline"/>
                <w:lang w:val="en-US" w:eastAsia="zh-CN" w:bidi="ar-SA"/>
              </w:rPr>
              <w:t>1.柔道垫冲击性能：陷入深度27～35mm、回弹高度46～60mm、最大作用力≤4200N；2.冲击性能符合国际柔联标准。</w:t>
            </w:r>
          </w:p>
          <w:p w14:paraId="51B3DD8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kern w:val="2"/>
                <w:sz w:val="21"/>
                <w:szCs w:val="21"/>
                <w:highlight w:val="none"/>
                <w:vertAlign w:val="baseline"/>
                <w:lang w:val="en-US" w:eastAsia="zh-CN" w:bidi="ar-SA"/>
              </w:rPr>
              <w:t>（六）防滑性能：基底干式静摩擦系数≥0.7、湿式静摩擦系数≥0.6；表面抗滑阻力≥90N。</w:t>
            </w:r>
          </w:p>
          <w:p w14:paraId="59557467">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kern w:val="2"/>
                <w:sz w:val="21"/>
                <w:szCs w:val="21"/>
                <w:highlight w:val="none"/>
                <w:vertAlign w:val="baseline"/>
                <w:lang w:val="en-US" w:eastAsia="zh-CN" w:bidi="ar-SA"/>
              </w:rPr>
              <w:t>（七）环保性能：可迁移元素的限量检验符合GB/T 30419的规定，增塑剂限量检验符合GB/T 36793的规定。</w:t>
            </w:r>
          </w:p>
          <w:p w14:paraId="7D3C340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kern w:val="2"/>
                <w:sz w:val="21"/>
                <w:szCs w:val="21"/>
                <w:highlight w:val="none"/>
                <w:vertAlign w:val="baseline"/>
                <w:lang w:val="en-US" w:eastAsia="zh-CN" w:bidi="ar-SA"/>
              </w:rPr>
              <w:t>四、本项为本次采购的核心产品，须在响应文件递交截止时间之前提供柔道垫小样（规格20cm×20cm，包括柔道布、柔性层及防滑层）一式两份，小样须完全满足上述性能技术参数要求；</w:t>
            </w:r>
            <w:r>
              <w:rPr>
                <w:rFonts w:hint="eastAsia" w:ascii="宋体" w:hAnsi="宋体" w:cs="宋体"/>
                <w:color w:val="auto"/>
                <w:kern w:val="2"/>
                <w:sz w:val="21"/>
                <w:szCs w:val="21"/>
                <w:highlight w:val="none"/>
                <w:vertAlign w:val="baseline"/>
                <w:lang w:val="en-US" w:eastAsia="zh-CN" w:bidi="ar-SA"/>
              </w:rPr>
              <w:t>随样品</w:t>
            </w:r>
            <w:r>
              <w:rPr>
                <w:rFonts w:hint="eastAsia" w:ascii="宋体" w:hAnsi="宋体" w:eastAsia="宋体" w:cs="宋体"/>
                <w:color w:val="auto"/>
                <w:kern w:val="2"/>
                <w:sz w:val="21"/>
                <w:szCs w:val="21"/>
                <w:highlight w:val="none"/>
                <w:vertAlign w:val="baseline"/>
                <w:lang w:val="en-US" w:eastAsia="zh-CN" w:bidi="ar-SA"/>
              </w:rPr>
              <w:t>提供由第三方检测机构出具的检测报告，检测内容载明产品性能技术指标均满足上述要求并加盖供应商公章</w:t>
            </w:r>
            <w:r>
              <w:rPr>
                <w:rFonts w:hint="eastAsia" w:ascii="宋体" w:hAnsi="宋体" w:cs="宋体"/>
                <w:color w:val="auto"/>
                <w:kern w:val="2"/>
                <w:sz w:val="21"/>
                <w:szCs w:val="21"/>
                <w:highlight w:val="none"/>
                <w:vertAlign w:val="baseline"/>
                <w:lang w:val="en-US" w:eastAsia="zh-CN" w:bidi="ar-SA"/>
              </w:rPr>
              <w:t>，</w:t>
            </w:r>
            <w:r>
              <w:rPr>
                <w:rFonts w:hint="eastAsia" w:ascii="宋体" w:hAnsi="宋体" w:eastAsia="宋体" w:cs="宋体"/>
                <w:color w:val="auto"/>
                <w:kern w:val="2"/>
                <w:sz w:val="21"/>
                <w:szCs w:val="21"/>
                <w:highlight w:val="none"/>
                <w:vertAlign w:val="baseline"/>
                <w:lang w:val="en-US" w:eastAsia="zh-CN" w:bidi="ar-SA"/>
              </w:rPr>
              <w:t>环保性能指标须达到GB/T 30419、GB/T 36793合格标准。交货时提供完整的产品检测报告，原件备查。</w:t>
            </w:r>
          </w:p>
        </w:tc>
        <w:tc>
          <w:tcPr>
            <w:tcW w:w="1154" w:type="dxa"/>
            <w:vAlign w:val="center"/>
          </w:tcPr>
          <w:p w14:paraId="06612F7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核心产品</w:t>
            </w:r>
          </w:p>
        </w:tc>
      </w:tr>
      <w:tr w14:paraId="7481B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dxa"/>
            <w:vAlign w:val="center"/>
          </w:tcPr>
          <w:p w14:paraId="60FC7AB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2</w:t>
            </w:r>
          </w:p>
        </w:tc>
        <w:tc>
          <w:tcPr>
            <w:tcW w:w="1259" w:type="dxa"/>
            <w:vAlign w:val="center"/>
          </w:tcPr>
          <w:p w14:paraId="403683B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比赛热身垫子</w:t>
            </w:r>
          </w:p>
        </w:tc>
        <w:tc>
          <w:tcPr>
            <w:tcW w:w="754" w:type="dxa"/>
            <w:vAlign w:val="center"/>
          </w:tcPr>
          <w:p w14:paraId="707997F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1</w:t>
            </w:r>
          </w:p>
        </w:tc>
        <w:tc>
          <w:tcPr>
            <w:tcW w:w="739" w:type="dxa"/>
            <w:vAlign w:val="center"/>
          </w:tcPr>
          <w:p w14:paraId="7BE99D8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张</w:t>
            </w:r>
          </w:p>
        </w:tc>
        <w:tc>
          <w:tcPr>
            <w:tcW w:w="5205" w:type="dxa"/>
            <w:vAlign w:val="top"/>
          </w:tcPr>
          <w:p w14:paraId="61E158B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一、产品组成：柔道比赛热身垫，由柔道布、高分子微发泡材料、防滑层组成；整体规格16m×16m×5cm。</w:t>
            </w:r>
          </w:p>
          <w:p w14:paraId="68E24BBF">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二、材质结构：表面柔道布、缓冲层为压缩海绵，底部防滑层。</w:t>
            </w:r>
          </w:p>
          <w:p w14:paraId="4B7DF26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三、技术性能参数：</w:t>
            </w:r>
          </w:p>
          <w:p w14:paraId="21DF965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1.柔道布摩擦系数（干法）≥0.58；撕裂负荷径向≥75N、纬向≥75N；</w:t>
            </w:r>
          </w:p>
          <w:p w14:paraId="7530076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2.压缩海绵密度≥180kg/m³；EVA硬度30～35°（邵尔C）；</w:t>
            </w:r>
          </w:p>
          <w:p w14:paraId="019DA0C8">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3.冲击性能：符合国际柔联标准；</w:t>
            </w:r>
          </w:p>
          <w:p w14:paraId="3A585C5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4.环保性能：可迁移元素的限量检验符合GB/T 30419的规定，增塑剂限量检验符合GB/T 36793的规定。</w:t>
            </w:r>
          </w:p>
        </w:tc>
        <w:tc>
          <w:tcPr>
            <w:tcW w:w="1154" w:type="dxa"/>
            <w:vAlign w:val="center"/>
          </w:tcPr>
          <w:p w14:paraId="7034D2C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2</w:t>
            </w:r>
          </w:p>
        </w:tc>
      </w:tr>
      <w:tr w14:paraId="3EC46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dxa"/>
            <w:vAlign w:val="center"/>
          </w:tcPr>
          <w:p w14:paraId="19D5D3D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3</w:t>
            </w:r>
          </w:p>
        </w:tc>
        <w:tc>
          <w:tcPr>
            <w:tcW w:w="1259" w:type="dxa"/>
            <w:vAlign w:val="center"/>
          </w:tcPr>
          <w:p w14:paraId="3111DB0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测量道服尺</w:t>
            </w:r>
          </w:p>
        </w:tc>
        <w:tc>
          <w:tcPr>
            <w:tcW w:w="754" w:type="dxa"/>
            <w:vAlign w:val="center"/>
          </w:tcPr>
          <w:p w14:paraId="040E609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default" w:ascii="宋体" w:hAnsi="宋体" w:eastAsia="宋体" w:cs="宋体"/>
                <w:color w:val="auto"/>
                <w:sz w:val="21"/>
                <w:szCs w:val="21"/>
                <w:highlight w:val="none"/>
                <w:u w:val="none"/>
                <w:vertAlign w:val="baseline"/>
                <w:lang w:val="en-US" w:eastAsia="zh-CN"/>
              </w:rPr>
              <w:t>1</w:t>
            </w:r>
          </w:p>
        </w:tc>
        <w:tc>
          <w:tcPr>
            <w:tcW w:w="739" w:type="dxa"/>
            <w:vAlign w:val="center"/>
          </w:tcPr>
          <w:p w14:paraId="66B3345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把</w:t>
            </w:r>
          </w:p>
        </w:tc>
        <w:tc>
          <w:tcPr>
            <w:tcW w:w="5205" w:type="dxa"/>
            <w:vAlign w:val="center"/>
          </w:tcPr>
          <w:p w14:paraId="6F39478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宋体" w:hAnsi="宋体" w:eastAsia="宋体" w:cs="宋体"/>
                <w:color w:val="auto"/>
                <w:sz w:val="21"/>
                <w:szCs w:val="21"/>
                <w:highlight w:val="none"/>
                <w:u w:val="none"/>
                <w:vertAlign w:val="baseline"/>
                <w:lang w:val="en-US" w:eastAsia="zh-CN"/>
              </w:rPr>
            </w:pPr>
            <w:r>
              <w:rPr>
                <w:rFonts w:hint="default" w:ascii="宋体" w:hAnsi="宋体" w:eastAsia="宋体" w:cs="宋体"/>
                <w:color w:val="auto"/>
                <w:sz w:val="21"/>
                <w:szCs w:val="21"/>
                <w:highlight w:val="none"/>
                <w:u w:val="none"/>
                <w:vertAlign w:val="baseline"/>
                <w:lang w:val="en-US" w:eastAsia="zh-CN"/>
              </w:rPr>
              <w:t>1.规格尺寸：100mm×430mm；</w:t>
            </w:r>
          </w:p>
          <w:p w14:paraId="6CF2FC8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宋体" w:hAnsi="宋体" w:eastAsia="宋体" w:cs="宋体"/>
                <w:color w:val="auto"/>
                <w:sz w:val="21"/>
                <w:szCs w:val="21"/>
                <w:highlight w:val="none"/>
                <w:u w:val="none"/>
                <w:vertAlign w:val="baseline"/>
                <w:lang w:val="en-US" w:eastAsia="zh-CN"/>
              </w:rPr>
            </w:pPr>
            <w:r>
              <w:rPr>
                <w:rFonts w:hint="default" w:ascii="宋体" w:hAnsi="宋体" w:eastAsia="宋体" w:cs="宋体"/>
                <w:color w:val="auto"/>
                <w:sz w:val="21"/>
                <w:szCs w:val="21"/>
                <w:highlight w:val="none"/>
                <w:u w:val="none"/>
                <w:vertAlign w:val="baseline"/>
                <w:lang w:val="en-US" w:eastAsia="zh-CN"/>
              </w:rPr>
              <w:t>2.主要材质：亚克力，耐腐蚀；</w:t>
            </w:r>
          </w:p>
          <w:p w14:paraId="5D192E4F">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vertAlign w:val="baseline"/>
                <w:lang w:val="en-US" w:eastAsia="zh-CN"/>
              </w:rPr>
            </w:pPr>
            <w:r>
              <w:rPr>
                <w:rFonts w:hint="default" w:ascii="宋体" w:hAnsi="宋体" w:eastAsia="宋体" w:cs="宋体"/>
                <w:color w:val="auto"/>
                <w:sz w:val="21"/>
                <w:szCs w:val="21"/>
                <w:highlight w:val="none"/>
                <w:u w:val="none"/>
                <w:vertAlign w:val="baseline"/>
                <w:lang w:val="en-US" w:eastAsia="zh-CN"/>
              </w:rPr>
              <w:t>3.性能：测量精准，使用方便，耐腐蚀。</w:t>
            </w:r>
          </w:p>
        </w:tc>
        <w:tc>
          <w:tcPr>
            <w:tcW w:w="1154" w:type="dxa"/>
            <w:vAlign w:val="center"/>
          </w:tcPr>
          <w:p w14:paraId="792F26C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sz w:val="21"/>
                <w:szCs w:val="21"/>
                <w:highlight w:val="none"/>
                <w:u w:val="none"/>
                <w:vertAlign w:val="baseline"/>
                <w:lang w:val="en-US" w:eastAsia="zh-CN"/>
              </w:rPr>
            </w:pPr>
          </w:p>
        </w:tc>
      </w:tr>
      <w:tr w14:paraId="591C2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38" w:type="dxa"/>
            <w:gridSpan w:val="6"/>
            <w:vAlign w:val="center"/>
          </w:tcPr>
          <w:p w14:paraId="53379D6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21"/>
                <w:szCs w:val="21"/>
                <w:highlight w:val="none"/>
                <w:u w:val="none"/>
                <w:vertAlign w:val="baseline"/>
                <w:lang w:val="en-US" w:eastAsia="zh-CN"/>
              </w:rPr>
            </w:pPr>
            <w:r>
              <w:rPr>
                <w:rFonts w:hint="eastAsia" w:ascii="宋体" w:hAnsi="宋体" w:eastAsia="宋体" w:cs="宋体"/>
                <w:b/>
                <w:bCs/>
                <w:color w:val="auto"/>
                <w:sz w:val="21"/>
                <w:szCs w:val="21"/>
                <w:highlight w:val="none"/>
                <w:u w:val="none"/>
                <w:vertAlign w:val="baseline"/>
                <w:lang w:val="en-US" w:eastAsia="zh-CN"/>
              </w:rPr>
              <w:t>（二）跆拳道项目</w:t>
            </w:r>
          </w:p>
        </w:tc>
      </w:tr>
      <w:tr w14:paraId="00CC3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dxa"/>
            <w:vAlign w:val="center"/>
          </w:tcPr>
          <w:p w14:paraId="0FEFF3D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1</w:t>
            </w:r>
          </w:p>
        </w:tc>
        <w:tc>
          <w:tcPr>
            <w:tcW w:w="1259" w:type="dxa"/>
            <w:vAlign w:val="center"/>
          </w:tcPr>
          <w:p w14:paraId="0979365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default" w:ascii="宋体" w:hAnsi="宋体" w:eastAsia="宋体" w:cs="宋体"/>
                <w:color w:val="auto"/>
                <w:sz w:val="21"/>
                <w:szCs w:val="21"/>
                <w:highlight w:val="none"/>
                <w:u w:val="none"/>
                <w:vertAlign w:val="baseline"/>
                <w:lang w:val="en-US" w:eastAsia="zh-CN"/>
              </w:rPr>
              <w:t>比赛垫子</w:t>
            </w:r>
          </w:p>
        </w:tc>
        <w:tc>
          <w:tcPr>
            <w:tcW w:w="754" w:type="dxa"/>
            <w:vAlign w:val="center"/>
          </w:tcPr>
          <w:p w14:paraId="55F3531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default" w:ascii="宋体" w:hAnsi="宋体" w:eastAsia="宋体" w:cs="宋体"/>
                <w:color w:val="auto"/>
                <w:sz w:val="21"/>
                <w:szCs w:val="21"/>
                <w:highlight w:val="none"/>
                <w:u w:val="none"/>
                <w:vertAlign w:val="baseline"/>
                <w:lang w:val="en-US" w:eastAsia="zh-CN"/>
              </w:rPr>
              <w:t>3</w:t>
            </w:r>
          </w:p>
        </w:tc>
        <w:tc>
          <w:tcPr>
            <w:tcW w:w="739" w:type="dxa"/>
            <w:vAlign w:val="center"/>
          </w:tcPr>
          <w:p w14:paraId="0749C6F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张</w:t>
            </w:r>
          </w:p>
        </w:tc>
        <w:tc>
          <w:tcPr>
            <w:tcW w:w="5205" w:type="dxa"/>
            <w:vAlign w:val="center"/>
          </w:tcPr>
          <w:p w14:paraId="31C0FF3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宋体" w:hAnsi="宋体" w:eastAsia="宋体" w:cs="宋体"/>
                <w:color w:val="auto"/>
                <w:sz w:val="21"/>
                <w:szCs w:val="21"/>
                <w:highlight w:val="none"/>
                <w:u w:val="none"/>
                <w:vertAlign w:val="baseline"/>
                <w:lang w:val="en-US" w:eastAsia="zh-CN"/>
              </w:rPr>
            </w:pPr>
            <w:r>
              <w:rPr>
                <w:rFonts w:hint="default" w:ascii="宋体" w:hAnsi="宋体" w:eastAsia="宋体" w:cs="宋体"/>
                <w:color w:val="auto"/>
                <w:sz w:val="21"/>
                <w:szCs w:val="21"/>
                <w:highlight w:val="none"/>
                <w:u w:val="none"/>
                <w:vertAlign w:val="baseline"/>
                <w:lang w:val="en-US" w:eastAsia="zh-CN"/>
              </w:rPr>
              <w:t>一、产品规格：规格12000mm×12000mm×25mm，比赛区域8000mm×8000mm八角形，颜色红蓝/黄绿/蓝绿。</w:t>
            </w:r>
          </w:p>
          <w:p w14:paraId="4E25A09E">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宋体" w:hAnsi="宋体" w:eastAsia="宋体" w:cs="宋体"/>
                <w:color w:val="auto"/>
                <w:sz w:val="21"/>
                <w:szCs w:val="21"/>
                <w:highlight w:val="none"/>
                <w:u w:val="none"/>
                <w:vertAlign w:val="baseline"/>
                <w:lang w:val="en-US" w:eastAsia="zh-CN"/>
              </w:rPr>
            </w:pPr>
            <w:r>
              <w:rPr>
                <w:rFonts w:hint="default" w:ascii="宋体" w:hAnsi="宋体" w:eastAsia="宋体" w:cs="宋体"/>
                <w:color w:val="auto"/>
                <w:sz w:val="21"/>
                <w:szCs w:val="21"/>
                <w:highlight w:val="none"/>
                <w:u w:val="none"/>
                <w:vertAlign w:val="baseline"/>
                <w:lang w:val="en-US" w:eastAsia="zh-CN"/>
              </w:rPr>
              <w:t>二、材质与结构：多层不同硬度XPE复合，单面复合草席纹PVC革。</w:t>
            </w:r>
          </w:p>
          <w:p w14:paraId="3F7D722E">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宋体" w:hAnsi="宋体" w:eastAsia="宋体" w:cs="宋体"/>
                <w:color w:val="auto"/>
                <w:sz w:val="21"/>
                <w:szCs w:val="21"/>
                <w:highlight w:val="none"/>
                <w:u w:val="none"/>
                <w:vertAlign w:val="baseline"/>
                <w:lang w:val="en-US" w:eastAsia="zh-CN"/>
              </w:rPr>
            </w:pPr>
            <w:r>
              <w:rPr>
                <w:rFonts w:hint="default" w:ascii="宋体" w:hAnsi="宋体" w:eastAsia="宋体" w:cs="宋体"/>
                <w:color w:val="auto"/>
                <w:sz w:val="21"/>
                <w:szCs w:val="21"/>
                <w:highlight w:val="none"/>
                <w:u w:val="none"/>
                <w:vertAlign w:val="baseline"/>
                <w:lang w:val="en-US" w:eastAsia="zh-CN"/>
              </w:rPr>
              <w:t>三、技术性能参数：</w:t>
            </w:r>
          </w:p>
          <w:p w14:paraId="2BBD0FEF">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宋体" w:hAnsi="宋体" w:eastAsia="宋体" w:cs="宋体"/>
                <w:color w:val="auto"/>
                <w:sz w:val="21"/>
                <w:szCs w:val="21"/>
                <w:highlight w:val="none"/>
                <w:u w:val="none"/>
                <w:vertAlign w:val="baseline"/>
                <w:lang w:val="en-US" w:eastAsia="zh-CN"/>
              </w:rPr>
            </w:pPr>
            <w:r>
              <w:rPr>
                <w:rFonts w:hint="default" w:ascii="宋体" w:hAnsi="宋体" w:eastAsia="宋体" w:cs="宋体"/>
                <w:color w:val="auto"/>
                <w:sz w:val="21"/>
                <w:szCs w:val="21"/>
                <w:highlight w:val="none"/>
                <w:u w:val="none"/>
                <w:vertAlign w:val="baseline"/>
                <w:lang w:val="en-US" w:eastAsia="zh-CN"/>
              </w:rPr>
              <w:t>（一）表面席纹革：</w:t>
            </w:r>
          </w:p>
          <w:p w14:paraId="4A61E80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宋体" w:hAnsi="宋体" w:eastAsia="宋体" w:cs="宋体"/>
                <w:color w:val="auto"/>
                <w:sz w:val="21"/>
                <w:szCs w:val="21"/>
                <w:highlight w:val="none"/>
                <w:u w:val="none"/>
                <w:vertAlign w:val="baseline"/>
                <w:lang w:val="en-US" w:eastAsia="zh-CN"/>
              </w:rPr>
            </w:pPr>
            <w:r>
              <w:rPr>
                <w:rFonts w:hint="default" w:ascii="宋体" w:hAnsi="宋体" w:eastAsia="宋体" w:cs="宋体"/>
                <w:color w:val="auto"/>
                <w:sz w:val="21"/>
                <w:szCs w:val="21"/>
                <w:highlight w:val="none"/>
                <w:u w:val="none"/>
                <w:vertAlign w:val="baseline"/>
                <w:lang w:val="en-US" w:eastAsia="zh-CN"/>
              </w:rPr>
              <w:t>1.克重≥850g/㎡，厚度≥0.8mm；2.拉伸负荷经向≥350N、纬向≥350N；3.撕裂强度经向≥80N、纬向≥80N；4.断裂伸长率经向100%、纬向100%。</w:t>
            </w:r>
          </w:p>
          <w:p w14:paraId="28C4162E">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宋体" w:hAnsi="宋体" w:eastAsia="宋体" w:cs="宋体"/>
                <w:color w:val="auto"/>
                <w:sz w:val="21"/>
                <w:szCs w:val="21"/>
                <w:highlight w:val="none"/>
                <w:u w:val="none"/>
                <w:vertAlign w:val="baseline"/>
                <w:lang w:val="en-US" w:eastAsia="zh-CN"/>
              </w:rPr>
            </w:pPr>
            <w:r>
              <w:rPr>
                <w:rFonts w:hint="default" w:ascii="宋体" w:hAnsi="宋体" w:eastAsia="宋体" w:cs="宋体"/>
                <w:color w:val="auto"/>
                <w:sz w:val="21"/>
                <w:szCs w:val="21"/>
                <w:highlight w:val="none"/>
                <w:u w:val="none"/>
                <w:vertAlign w:val="baseline"/>
                <w:lang w:val="en-US" w:eastAsia="zh-CN"/>
              </w:rPr>
              <w:t>（二）缓冲层：</w:t>
            </w:r>
          </w:p>
          <w:p w14:paraId="778F6729">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宋体" w:hAnsi="宋体" w:eastAsia="宋体" w:cs="宋体"/>
                <w:color w:val="auto"/>
                <w:sz w:val="21"/>
                <w:szCs w:val="21"/>
                <w:highlight w:val="none"/>
                <w:u w:val="none"/>
                <w:vertAlign w:val="baseline"/>
                <w:lang w:val="en-US" w:eastAsia="zh-CN"/>
              </w:rPr>
            </w:pPr>
            <w:r>
              <w:rPr>
                <w:rFonts w:hint="default" w:ascii="宋体" w:hAnsi="宋体" w:eastAsia="宋体" w:cs="宋体"/>
                <w:color w:val="auto"/>
                <w:sz w:val="21"/>
                <w:szCs w:val="21"/>
                <w:highlight w:val="none"/>
                <w:u w:val="none"/>
                <w:vertAlign w:val="baseline"/>
                <w:lang w:val="en-US" w:eastAsia="zh-CN"/>
              </w:rPr>
              <w:t>1.密度28～34kg/m³；2.横向拉伸强度≥0.2MPa、纵向≥0.24MPa；3.横向断裂伸长率≥100%、纵向≥80%；4.横向直角撕裂强度≥1.86N/mm、纵向≥1.57N/mm；5.压缩应力应变≥0.10MPa。</w:t>
            </w:r>
          </w:p>
          <w:p w14:paraId="440BCF0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宋体" w:hAnsi="宋体" w:eastAsia="宋体" w:cs="宋体"/>
                <w:color w:val="auto"/>
                <w:sz w:val="21"/>
                <w:szCs w:val="21"/>
                <w:highlight w:val="none"/>
                <w:u w:val="none"/>
                <w:vertAlign w:val="baseline"/>
                <w:lang w:val="en-US" w:eastAsia="zh-CN"/>
              </w:rPr>
            </w:pPr>
            <w:r>
              <w:rPr>
                <w:rFonts w:hint="default" w:ascii="宋体" w:hAnsi="宋体" w:eastAsia="宋体" w:cs="宋体"/>
                <w:color w:val="auto"/>
                <w:sz w:val="21"/>
                <w:szCs w:val="21"/>
                <w:highlight w:val="none"/>
                <w:u w:val="none"/>
                <w:vertAlign w:val="baseline"/>
                <w:lang w:val="en-US" w:eastAsia="zh-CN"/>
              </w:rPr>
              <w:t>（三）表面防滑：静态摩擦系数干法≥0.6、湿法≥0.5。</w:t>
            </w:r>
          </w:p>
          <w:p w14:paraId="7F8FCD0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宋体" w:hAnsi="宋体" w:eastAsia="宋体" w:cs="宋体"/>
                <w:color w:val="auto"/>
                <w:sz w:val="21"/>
                <w:szCs w:val="21"/>
                <w:highlight w:val="none"/>
                <w:u w:val="none"/>
                <w:vertAlign w:val="baseline"/>
                <w:lang w:val="en-US" w:eastAsia="zh-CN"/>
              </w:rPr>
            </w:pPr>
            <w:r>
              <w:rPr>
                <w:rFonts w:hint="default" w:ascii="宋体" w:hAnsi="宋体" w:eastAsia="宋体" w:cs="宋体"/>
                <w:color w:val="auto"/>
                <w:sz w:val="21"/>
                <w:szCs w:val="21"/>
                <w:highlight w:val="none"/>
                <w:u w:val="none"/>
                <w:vertAlign w:val="baseline"/>
                <w:lang w:val="en-US" w:eastAsia="zh-CN"/>
              </w:rPr>
              <w:t>（四）冲击性能（压头直径43mm、下降高度200mm）：峰值≤30g；偏差≤26mm；回弹≥25%；静刚度＜9。</w:t>
            </w:r>
          </w:p>
          <w:p w14:paraId="668EFB1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宋体" w:hAnsi="宋体" w:eastAsia="宋体" w:cs="宋体"/>
                <w:color w:val="auto"/>
                <w:sz w:val="21"/>
                <w:szCs w:val="21"/>
                <w:highlight w:val="none"/>
                <w:u w:val="none"/>
                <w:vertAlign w:val="baseline"/>
                <w:lang w:val="en-US" w:eastAsia="zh-CN"/>
              </w:rPr>
            </w:pPr>
            <w:r>
              <w:rPr>
                <w:rFonts w:hint="default" w:ascii="宋体" w:hAnsi="宋体" w:eastAsia="宋体" w:cs="宋体"/>
                <w:color w:val="auto"/>
                <w:sz w:val="21"/>
                <w:szCs w:val="21"/>
                <w:highlight w:val="none"/>
                <w:u w:val="none"/>
                <w:vertAlign w:val="baseline"/>
                <w:lang w:val="en-US" w:eastAsia="zh-CN"/>
              </w:rPr>
              <w:t>（五）环保性能：可迁移元素的限量检验符合GB/T 30419的规定，增塑剂限量检验符合GB/T 36793的规定。</w:t>
            </w:r>
          </w:p>
          <w:p w14:paraId="2255196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vertAlign w:val="baseline"/>
                <w:lang w:val="en-US" w:eastAsia="zh-CN"/>
              </w:rPr>
            </w:pPr>
            <w:r>
              <w:rPr>
                <w:rFonts w:hint="default" w:ascii="宋体" w:hAnsi="宋体" w:eastAsia="宋体" w:cs="宋体"/>
                <w:color w:val="auto"/>
                <w:sz w:val="21"/>
                <w:szCs w:val="21"/>
                <w:highlight w:val="none"/>
                <w:u w:val="none"/>
                <w:vertAlign w:val="baseline"/>
                <w:lang w:val="en-US" w:eastAsia="zh-CN"/>
              </w:rPr>
              <w:t>四、须提供由第三方检测机构出具的检测报告，检测内容载明产品性能技术指标均满足上述要求并加盖供应商公章；交货时提供完整的检测报告，原件备查。</w:t>
            </w:r>
          </w:p>
        </w:tc>
        <w:tc>
          <w:tcPr>
            <w:tcW w:w="1154" w:type="dxa"/>
            <w:vAlign w:val="center"/>
          </w:tcPr>
          <w:p w14:paraId="48A8CFD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1"/>
                <w:szCs w:val="21"/>
                <w:highlight w:val="none"/>
                <w:u w:val="none"/>
                <w:vertAlign w:val="baseline"/>
                <w:lang w:val="en-US" w:eastAsia="zh-CN"/>
              </w:rPr>
            </w:pPr>
          </w:p>
        </w:tc>
      </w:tr>
      <w:tr w14:paraId="6EF6D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dxa"/>
            <w:vAlign w:val="center"/>
          </w:tcPr>
          <w:p w14:paraId="2BDD548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2</w:t>
            </w:r>
          </w:p>
        </w:tc>
        <w:tc>
          <w:tcPr>
            <w:tcW w:w="1259" w:type="dxa"/>
            <w:vAlign w:val="center"/>
          </w:tcPr>
          <w:p w14:paraId="5359646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电子脚套</w:t>
            </w:r>
          </w:p>
        </w:tc>
        <w:tc>
          <w:tcPr>
            <w:tcW w:w="754" w:type="dxa"/>
            <w:vAlign w:val="center"/>
          </w:tcPr>
          <w:p w14:paraId="14D8D91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default" w:ascii="宋体" w:hAnsi="宋体" w:eastAsia="宋体" w:cs="宋体"/>
                <w:color w:val="auto"/>
                <w:sz w:val="21"/>
                <w:szCs w:val="21"/>
                <w:highlight w:val="none"/>
                <w:u w:val="none"/>
                <w:vertAlign w:val="baseline"/>
                <w:lang w:val="en-US" w:eastAsia="zh-CN"/>
              </w:rPr>
              <w:t>100</w:t>
            </w:r>
          </w:p>
        </w:tc>
        <w:tc>
          <w:tcPr>
            <w:tcW w:w="739" w:type="dxa"/>
            <w:vAlign w:val="center"/>
          </w:tcPr>
          <w:p w14:paraId="6D841BB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套</w:t>
            </w:r>
          </w:p>
        </w:tc>
        <w:tc>
          <w:tcPr>
            <w:tcW w:w="5205" w:type="dxa"/>
            <w:vAlign w:val="center"/>
          </w:tcPr>
          <w:p w14:paraId="2A417DF7">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宋体" w:hAnsi="宋体" w:eastAsia="宋体" w:cs="宋体"/>
                <w:color w:val="auto"/>
                <w:sz w:val="21"/>
                <w:szCs w:val="21"/>
                <w:highlight w:val="none"/>
                <w:u w:val="none"/>
                <w:vertAlign w:val="baseline"/>
                <w:lang w:val="en-US" w:eastAsia="zh-CN"/>
              </w:rPr>
            </w:pPr>
            <w:r>
              <w:rPr>
                <w:rFonts w:hint="default" w:ascii="宋体" w:hAnsi="宋体" w:eastAsia="宋体" w:cs="宋体"/>
                <w:color w:val="auto"/>
                <w:sz w:val="21"/>
                <w:szCs w:val="21"/>
                <w:highlight w:val="none"/>
                <w:u w:val="none"/>
                <w:vertAlign w:val="baseline"/>
                <w:lang w:val="en-US" w:eastAsia="zh-CN"/>
              </w:rPr>
              <w:t>1.电子脚套表面采用EVA覆PU材料形式；</w:t>
            </w:r>
          </w:p>
          <w:p w14:paraId="21D85BC8">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宋体" w:hAnsi="宋体" w:eastAsia="宋体" w:cs="宋体"/>
                <w:color w:val="auto"/>
                <w:sz w:val="21"/>
                <w:szCs w:val="21"/>
                <w:highlight w:val="none"/>
                <w:u w:val="none"/>
                <w:vertAlign w:val="baseline"/>
                <w:lang w:val="en-US" w:eastAsia="zh-CN"/>
              </w:rPr>
            </w:pPr>
            <w:r>
              <w:rPr>
                <w:rFonts w:hint="default" w:ascii="宋体" w:hAnsi="宋体" w:eastAsia="宋体" w:cs="宋体"/>
                <w:color w:val="auto"/>
                <w:sz w:val="21"/>
                <w:szCs w:val="21"/>
                <w:highlight w:val="none"/>
                <w:u w:val="none"/>
                <w:vertAlign w:val="baseline"/>
                <w:lang w:val="en-US" w:eastAsia="zh-CN"/>
              </w:rPr>
              <w:t>2.脚套底部采用楼梯布；</w:t>
            </w:r>
          </w:p>
          <w:p w14:paraId="62DC5609">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宋体" w:hAnsi="宋体" w:eastAsia="宋体" w:cs="宋体"/>
                <w:color w:val="auto"/>
                <w:sz w:val="21"/>
                <w:szCs w:val="21"/>
                <w:highlight w:val="none"/>
                <w:u w:val="none"/>
                <w:vertAlign w:val="baseline"/>
                <w:lang w:val="en-US" w:eastAsia="zh-CN"/>
              </w:rPr>
            </w:pPr>
            <w:r>
              <w:rPr>
                <w:rFonts w:hint="default" w:ascii="宋体" w:hAnsi="宋体" w:eastAsia="宋体" w:cs="宋体"/>
                <w:color w:val="auto"/>
                <w:sz w:val="21"/>
                <w:szCs w:val="21"/>
                <w:highlight w:val="none"/>
                <w:u w:val="none"/>
                <w:vertAlign w:val="baseline"/>
                <w:lang w:val="en-US" w:eastAsia="zh-CN"/>
              </w:rPr>
              <w:t>3.脚套内含强磁铁，脚套内磁点数≥11个；</w:t>
            </w:r>
          </w:p>
          <w:p w14:paraId="42C3B3F8">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vertAlign w:val="baseline"/>
                <w:lang w:val="en-US" w:eastAsia="zh-CN"/>
              </w:rPr>
            </w:pPr>
            <w:r>
              <w:rPr>
                <w:rFonts w:hint="default" w:ascii="宋体" w:hAnsi="宋体" w:eastAsia="宋体" w:cs="宋体"/>
                <w:color w:val="auto"/>
                <w:sz w:val="21"/>
                <w:szCs w:val="21"/>
                <w:highlight w:val="none"/>
                <w:u w:val="none"/>
                <w:vertAlign w:val="baseline"/>
                <w:lang w:val="en-US" w:eastAsia="zh-CN"/>
              </w:rPr>
              <w:t>4.配备至少7种规格，以适应不同体形人员的需求。</w:t>
            </w:r>
          </w:p>
        </w:tc>
        <w:tc>
          <w:tcPr>
            <w:tcW w:w="1154" w:type="dxa"/>
            <w:vAlign w:val="center"/>
          </w:tcPr>
          <w:p w14:paraId="2768B04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p>
        </w:tc>
      </w:tr>
      <w:tr w14:paraId="5AAFB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dxa"/>
            <w:vAlign w:val="center"/>
          </w:tcPr>
          <w:p w14:paraId="2F336ED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3</w:t>
            </w:r>
          </w:p>
        </w:tc>
        <w:tc>
          <w:tcPr>
            <w:tcW w:w="1259" w:type="dxa"/>
            <w:vAlign w:val="center"/>
          </w:tcPr>
          <w:p w14:paraId="511AF65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电子护具 护胸</w:t>
            </w:r>
          </w:p>
        </w:tc>
        <w:tc>
          <w:tcPr>
            <w:tcW w:w="754" w:type="dxa"/>
            <w:vAlign w:val="center"/>
          </w:tcPr>
          <w:p w14:paraId="0000174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default" w:ascii="宋体" w:hAnsi="宋体" w:eastAsia="宋体" w:cs="宋体"/>
                <w:color w:val="auto"/>
                <w:sz w:val="21"/>
                <w:szCs w:val="21"/>
                <w:highlight w:val="none"/>
                <w:u w:val="none"/>
                <w:vertAlign w:val="baseline"/>
                <w:lang w:val="en-US" w:eastAsia="zh-CN"/>
              </w:rPr>
              <w:t>45</w:t>
            </w:r>
          </w:p>
        </w:tc>
        <w:tc>
          <w:tcPr>
            <w:tcW w:w="739" w:type="dxa"/>
            <w:vAlign w:val="center"/>
          </w:tcPr>
          <w:p w14:paraId="5AA7EBA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套</w:t>
            </w:r>
          </w:p>
        </w:tc>
        <w:tc>
          <w:tcPr>
            <w:tcW w:w="5205" w:type="dxa"/>
            <w:vAlign w:val="center"/>
          </w:tcPr>
          <w:p w14:paraId="1F03E54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1.数量：45对；</w:t>
            </w:r>
          </w:p>
          <w:p w14:paraId="5C18672F">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2.内衬使用硬度≥70的EVA材料；</w:t>
            </w:r>
          </w:p>
          <w:p w14:paraId="37CDF42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3.压力传感使用拾音器级压电电缆；</w:t>
            </w:r>
          </w:p>
          <w:p w14:paraId="30361C9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4.表皮采用超纤无溶剂材料；</w:t>
            </w:r>
          </w:p>
          <w:p w14:paraId="0671DFF9">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5.设计寿命抗2万次击打以上；</w:t>
            </w:r>
          </w:p>
          <w:p w14:paraId="156E0A1C">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6.配备至少5种规格，以适应不同体形人员的需求。</w:t>
            </w:r>
          </w:p>
        </w:tc>
        <w:tc>
          <w:tcPr>
            <w:tcW w:w="1154" w:type="dxa"/>
            <w:vAlign w:val="center"/>
          </w:tcPr>
          <w:p w14:paraId="71C341A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p>
        </w:tc>
      </w:tr>
      <w:tr w14:paraId="323C3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dxa"/>
            <w:vAlign w:val="center"/>
          </w:tcPr>
          <w:p w14:paraId="6E5166A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4</w:t>
            </w:r>
          </w:p>
        </w:tc>
        <w:tc>
          <w:tcPr>
            <w:tcW w:w="1259" w:type="dxa"/>
            <w:vAlign w:val="center"/>
          </w:tcPr>
          <w:p w14:paraId="57F3130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default" w:ascii="宋体" w:hAnsi="宋体" w:eastAsia="宋体" w:cs="宋体"/>
                <w:color w:val="auto"/>
                <w:sz w:val="21"/>
                <w:szCs w:val="21"/>
                <w:highlight w:val="none"/>
                <w:u w:val="none"/>
                <w:vertAlign w:val="baseline"/>
                <w:lang w:val="en-US" w:eastAsia="zh-CN"/>
              </w:rPr>
              <w:t>电子护具 护头</w:t>
            </w:r>
          </w:p>
        </w:tc>
        <w:tc>
          <w:tcPr>
            <w:tcW w:w="754" w:type="dxa"/>
            <w:vAlign w:val="center"/>
          </w:tcPr>
          <w:p w14:paraId="609384C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default" w:ascii="宋体" w:hAnsi="宋体" w:eastAsia="宋体" w:cs="宋体"/>
                <w:color w:val="auto"/>
                <w:sz w:val="21"/>
                <w:szCs w:val="21"/>
                <w:highlight w:val="none"/>
                <w:u w:val="none"/>
                <w:vertAlign w:val="baseline"/>
                <w:lang w:val="en-US" w:eastAsia="zh-CN"/>
              </w:rPr>
              <w:t>32</w:t>
            </w:r>
          </w:p>
        </w:tc>
        <w:tc>
          <w:tcPr>
            <w:tcW w:w="739" w:type="dxa"/>
            <w:vAlign w:val="center"/>
          </w:tcPr>
          <w:p w14:paraId="7E52A0E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套</w:t>
            </w:r>
          </w:p>
        </w:tc>
        <w:tc>
          <w:tcPr>
            <w:tcW w:w="5205" w:type="dxa"/>
            <w:vAlign w:val="center"/>
          </w:tcPr>
          <w:p w14:paraId="145731A1">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1.数量：32对；</w:t>
            </w:r>
          </w:p>
          <w:p w14:paraId="3CAE6D1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2.采用NBR材质；表面采用PU挂涂；</w:t>
            </w:r>
          </w:p>
          <w:p w14:paraId="0380B2B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3.能明显采集和区分发力及顺势传导力；</w:t>
            </w:r>
          </w:p>
          <w:p w14:paraId="7CC555C3">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4.电子脚套重击面部无防护区时，能够正常感应上分。</w:t>
            </w:r>
          </w:p>
        </w:tc>
        <w:tc>
          <w:tcPr>
            <w:tcW w:w="1154" w:type="dxa"/>
            <w:vAlign w:val="center"/>
          </w:tcPr>
          <w:p w14:paraId="437B94B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p>
        </w:tc>
      </w:tr>
      <w:tr w14:paraId="7C74E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38" w:type="dxa"/>
            <w:gridSpan w:val="6"/>
            <w:vAlign w:val="center"/>
          </w:tcPr>
          <w:p w14:paraId="1CC3769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21"/>
                <w:szCs w:val="21"/>
                <w:highlight w:val="none"/>
                <w:u w:val="none"/>
                <w:vertAlign w:val="baseline"/>
                <w:lang w:val="en-US" w:eastAsia="zh-CN"/>
              </w:rPr>
            </w:pPr>
            <w:r>
              <w:rPr>
                <w:rFonts w:hint="eastAsia" w:ascii="宋体" w:hAnsi="宋体" w:eastAsia="宋体" w:cs="宋体"/>
                <w:b/>
                <w:bCs/>
                <w:color w:val="auto"/>
                <w:sz w:val="21"/>
                <w:szCs w:val="21"/>
                <w:highlight w:val="none"/>
                <w:u w:val="none"/>
                <w:vertAlign w:val="baseline"/>
                <w:lang w:val="en-US" w:eastAsia="zh-CN"/>
              </w:rPr>
              <w:t>（三）摔跤项目</w:t>
            </w:r>
          </w:p>
        </w:tc>
      </w:tr>
      <w:tr w14:paraId="16821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dxa"/>
            <w:vAlign w:val="center"/>
          </w:tcPr>
          <w:p w14:paraId="555A4F2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1</w:t>
            </w:r>
          </w:p>
        </w:tc>
        <w:tc>
          <w:tcPr>
            <w:tcW w:w="1259" w:type="dxa"/>
            <w:vAlign w:val="center"/>
          </w:tcPr>
          <w:p w14:paraId="3D47E73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default" w:ascii="宋体" w:hAnsi="宋体" w:eastAsia="宋体" w:cs="宋体"/>
                <w:color w:val="auto"/>
                <w:sz w:val="21"/>
                <w:szCs w:val="21"/>
                <w:highlight w:val="none"/>
                <w:u w:val="none"/>
                <w:vertAlign w:val="baseline"/>
                <w:lang w:val="en-US" w:eastAsia="zh-CN"/>
              </w:rPr>
              <w:t>比赛用垫</w:t>
            </w:r>
          </w:p>
        </w:tc>
        <w:tc>
          <w:tcPr>
            <w:tcW w:w="754" w:type="dxa"/>
            <w:vAlign w:val="center"/>
          </w:tcPr>
          <w:p w14:paraId="28E5955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default" w:ascii="宋体" w:hAnsi="宋体" w:eastAsia="宋体" w:cs="宋体"/>
                <w:color w:val="auto"/>
                <w:sz w:val="21"/>
                <w:szCs w:val="21"/>
                <w:highlight w:val="none"/>
                <w:u w:val="none"/>
                <w:vertAlign w:val="baseline"/>
                <w:lang w:val="en-US" w:eastAsia="zh-CN"/>
              </w:rPr>
              <w:t>3</w:t>
            </w:r>
          </w:p>
        </w:tc>
        <w:tc>
          <w:tcPr>
            <w:tcW w:w="739" w:type="dxa"/>
            <w:vAlign w:val="center"/>
          </w:tcPr>
          <w:p w14:paraId="393E20A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张</w:t>
            </w:r>
          </w:p>
        </w:tc>
        <w:tc>
          <w:tcPr>
            <w:tcW w:w="5205" w:type="dxa"/>
            <w:vAlign w:val="center"/>
          </w:tcPr>
          <w:p w14:paraId="2E5AFEA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一、产品组成：盖单、垫子组成。整体规格12m×12m×0.06m，比赛区直径9m。</w:t>
            </w:r>
          </w:p>
          <w:p w14:paraId="2A53B329">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二、材质结构：</w:t>
            </w:r>
          </w:p>
          <w:p w14:paraId="17927C09">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1.垫子：多层不同硬度XPE+海绵上下热合红绒布，绒布层采用TPE材料；</w:t>
            </w:r>
          </w:p>
          <w:p w14:paraId="4E00DBD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2.盖单：PVC机织布。</w:t>
            </w:r>
          </w:p>
          <w:p w14:paraId="561055A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三、技术性能参数：</w:t>
            </w:r>
          </w:p>
          <w:p w14:paraId="735F24F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（一）垫子：</w:t>
            </w:r>
          </w:p>
          <w:p w14:paraId="51BF88F9">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1.表面硬度：≥20°；</w:t>
            </w:r>
          </w:p>
          <w:p w14:paraId="0106224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2.反弹高度：1kg重锤、0.5m自由下落，反弹高度＜15cm。</w:t>
            </w:r>
          </w:p>
          <w:p w14:paraId="64877BA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（二）盖单PVC机织布：</w:t>
            </w:r>
          </w:p>
          <w:p w14:paraId="4B91DF33">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1.克重≥600g/㎡，厚度≥0.54mm；</w:t>
            </w:r>
          </w:p>
          <w:p w14:paraId="0269A408">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2.拉伸负荷经向≥1500N/3cm、纬向≥1200N/3cm；</w:t>
            </w:r>
          </w:p>
          <w:p w14:paraId="6DA251F1">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3.撕裂强度经向≥200N、纬向≥200N；</w:t>
            </w:r>
          </w:p>
          <w:p w14:paraId="77C89E17">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4.断裂伸长率经向≥20%、纬向≥25%；</w:t>
            </w:r>
          </w:p>
          <w:p w14:paraId="5C2C2D3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5.耐磨≥1000g、≥300次无明显损坏；抗拉强度经向≥15N/㎜²、纬向≥15N/㎜²；麻纹防滑系数≥0.38。</w:t>
            </w:r>
          </w:p>
          <w:p w14:paraId="3402D12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（三）柔性层（20倍海绵）：</w:t>
            </w:r>
          </w:p>
          <w:p w14:paraId="24C8F47F">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1.25%压陷硬度70～110N；2.65%压陷硬度200～240N；3.拉伸强度≥0.08MPa；4.断裂伸长率≥145%。</w:t>
            </w:r>
          </w:p>
          <w:p w14:paraId="15BDC049">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（四）柔性层（30倍XPE）：</w:t>
            </w:r>
          </w:p>
          <w:p w14:paraId="37471717">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1.密度28～34kg/m³；2.横向拉伸强度≥0.2MPa、纵向≥0.24MPa；3.横向断裂伸长率≥100%、纵向≥80%；4.横向直角撕裂强度≥1.86N/mm、纵向≥1.57N/mm；5.压缩应力应变0.10～0.12MPa。</w:t>
            </w:r>
          </w:p>
          <w:p w14:paraId="23D8E4C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（五）柔性层（20倍XPE）：</w:t>
            </w:r>
          </w:p>
          <w:p w14:paraId="2E03D7A9">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1.密度43～53kg/m³；2.横向拉伸强度≥0.4MPa、纵向≥0.43MPa；3.横向断裂伸长率≥130%、纵向≥120%；4.横向直角撕裂强度≥3.25N/mm、纵向≥3.08N/mm；5.压缩应力应变0.127～0.167MPa。</w:t>
            </w:r>
          </w:p>
          <w:p w14:paraId="573745FB">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（六）耐冲击性能：下陷深度≤38mm；最大加速度≤30g；能量吸收≥70%；接触时间≤50ms。</w:t>
            </w:r>
          </w:p>
          <w:p w14:paraId="33EDE3A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（七）抗滑阻力平均值50～90N，纵横向差值≤10N。</w:t>
            </w:r>
          </w:p>
          <w:p w14:paraId="21692CE9">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（八）环保性能：可迁移元素限量符合GB/T 30419‑2013标准；橡塑材料增塑剂含量符合GB/T 36793‑2018标准；挥发性有机物、甲醛、邻苯二甲酸酯、多环芳烃等有害物质含量及释放量符合GB 36246‑2018的限值要求。</w:t>
            </w:r>
          </w:p>
          <w:p w14:paraId="3CEA111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四、须提供由第三方检测机构出具的检测报告，检测内容载明产品性能技术指标均满足上述要求并加盖供应商公章；交货时提供完整的检测报告，原件备查。</w:t>
            </w:r>
          </w:p>
        </w:tc>
        <w:tc>
          <w:tcPr>
            <w:tcW w:w="1154" w:type="dxa"/>
            <w:vAlign w:val="center"/>
          </w:tcPr>
          <w:p w14:paraId="4CD0B97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p>
        </w:tc>
      </w:tr>
      <w:tr w14:paraId="53C40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dxa"/>
            <w:vAlign w:val="center"/>
          </w:tcPr>
          <w:p w14:paraId="3388159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2</w:t>
            </w:r>
          </w:p>
        </w:tc>
        <w:tc>
          <w:tcPr>
            <w:tcW w:w="1259" w:type="dxa"/>
            <w:vAlign w:val="center"/>
          </w:tcPr>
          <w:p w14:paraId="4C94783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default" w:ascii="宋体" w:hAnsi="宋体" w:eastAsia="宋体" w:cs="宋体"/>
                <w:color w:val="auto"/>
                <w:sz w:val="21"/>
                <w:szCs w:val="21"/>
                <w:highlight w:val="none"/>
                <w:u w:val="none"/>
                <w:vertAlign w:val="baseline"/>
                <w:lang w:val="en-US" w:eastAsia="zh-CN"/>
              </w:rPr>
              <w:t>运动员称重电子秤</w:t>
            </w:r>
          </w:p>
        </w:tc>
        <w:tc>
          <w:tcPr>
            <w:tcW w:w="754" w:type="dxa"/>
            <w:vAlign w:val="center"/>
          </w:tcPr>
          <w:p w14:paraId="7D839F5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default" w:ascii="宋体" w:hAnsi="宋体" w:eastAsia="宋体" w:cs="宋体"/>
                <w:color w:val="auto"/>
                <w:sz w:val="21"/>
                <w:szCs w:val="21"/>
                <w:highlight w:val="none"/>
                <w:u w:val="none"/>
                <w:vertAlign w:val="baseline"/>
                <w:lang w:val="en-US" w:eastAsia="zh-CN"/>
              </w:rPr>
              <w:t>10</w:t>
            </w:r>
          </w:p>
        </w:tc>
        <w:tc>
          <w:tcPr>
            <w:tcW w:w="739" w:type="dxa"/>
            <w:vAlign w:val="center"/>
          </w:tcPr>
          <w:p w14:paraId="2234173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个</w:t>
            </w:r>
          </w:p>
        </w:tc>
        <w:tc>
          <w:tcPr>
            <w:tcW w:w="5205" w:type="dxa"/>
            <w:vAlign w:val="center"/>
          </w:tcPr>
          <w:p w14:paraId="174917A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宋体" w:hAnsi="宋体" w:eastAsia="宋体" w:cs="宋体"/>
                <w:color w:val="auto"/>
                <w:sz w:val="21"/>
                <w:szCs w:val="21"/>
                <w:highlight w:val="none"/>
                <w:u w:val="none"/>
                <w:vertAlign w:val="baseline"/>
                <w:lang w:val="en-US" w:eastAsia="zh-CN"/>
              </w:rPr>
            </w:pPr>
            <w:r>
              <w:rPr>
                <w:rFonts w:hint="default" w:ascii="宋体" w:hAnsi="宋体" w:eastAsia="宋体" w:cs="宋体"/>
                <w:color w:val="auto"/>
                <w:sz w:val="21"/>
                <w:szCs w:val="21"/>
                <w:highlight w:val="none"/>
                <w:u w:val="none"/>
                <w:vertAlign w:val="baseline"/>
                <w:lang w:val="en-US" w:eastAsia="zh-CN"/>
              </w:rPr>
              <w:t>1.规格尺寸：最大称重量200kg，精确度≤0.01kg；</w:t>
            </w:r>
          </w:p>
          <w:p w14:paraId="0E50495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宋体" w:hAnsi="宋体" w:eastAsia="宋体" w:cs="宋体"/>
                <w:color w:val="auto"/>
                <w:sz w:val="21"/>
                <w:szCs w:val="21"/>
                <w:highlight w:val="none"/>
                <w:u w:val="none"/>
                <w:vertAlign w:val="baseline"/>
                <w:lang w:val="en-US" w:eastAsia="zh-CN"/>
              </w:rPr>
            </w:pPr>
            <w:r>
              <w:rPr>
                <w:rFonts w:hint="default" w:ascii="宋体" w:hAnsi="宋体" w:eastAsia="宋体" w:cs="宋体"/>
                <w:color w:val="auto"/>
                <w:sz w:val="21"/>
                <w:szCs w:val="21"/>
                <w:highlight w:val="none"/>
                <w:u w:val="none"/>
                <w:vertAlign w:val="baseline"/>
                <w:lang w:val="en-US" w:eastAsia="zh-CN"/>
              </w:rPr>
              <w:t>2.主要材质：金属；</w:t>
            </w:r>
          </w:p>
          <w:p w14:paraId="62A6D79E">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vertAlign w:val="baseline"/>
                <w:lang w:val="en-US" w:eastAsia="zh-CN"/>
              </w:rPr>
            </w:pPr>
            <w:r>
              <w:rPr>
                <w:rFonts w:hint="default" w:ascii="宋体" w:hAnsi="宋体" w:eastAsia="宋体" w:cs="宋体"/>
                <w:color w:val="auto"/>
                <w:sz w:val="21"/>
                <w:szCs w:val="21"/>
                <w:highlight w:val="none"/>
                <w:u w:val="none"/>
                <w:vertAlign w:val="baseline"/>
                <w:lang w:val="en-US" w:eastAsia="zh-CN"/>
              </w:rPr>
              <w:t>3.配备高精度传感器，精确度≤0.01kg。</w:t>
            </w:r>
          </w:p>
        </w:tc>
        <w:tc>
          <w:tcPr>
            <w:tcW w:w="1154" w:type="dxa"/>
            <w:vAlign w:val="center"/>
          </w:tcPr>
          <w:p w14:paraId="502210B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p>
        </w:tc>
      </w:tr>
      <w:tr w14:paraId="3DA1A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38" w:type="dxa"/>
            <w:gridSpan w:val="6"/>
            <w:vAlign w:val="center"/>
          </w:tcPr>
          <w:p w14:paraId="333D559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21"/>
                <w:szCs w:val="21"/>
                <w:highlight w:val="none"/>
                <w:u w:val="none"/>
                <w:vertAlign w:val="baseline"/>
                <w:lang w:val="en-US" w:eastAsia="zh-CN"/>
              </w:rPr>
            </w:pPr>
            <w:r>
              <w:rPr>
                <w:rFonts w:hint="eastAsia" w:ascii="宋体" w:hAnsi="宋体" w:eastAsia="宋体" w:cs="宋体"/>
                <w:b/>
                <w:bCs/>
                <w:color w:val="auto"/>
                <w:sz w:val="21"/>
                <w:szCs w:val="21"/>
                <w:highlight w:val="none"/>
                <w:u w:val="none"/>
                <w:vertAlign w:val="baseline"/>
                <w:lang w:val="en-US" w:eastAsia="zh-CN"/>
              </w:rPr>
              <w:t>（</w:t>
            </w:r>
            <w:r>
              <w:rPr>
                <w:rFonts w:hint="eastAsia" w:ascii="宋体" w:hAnsi="宋体" w:cs="宋体"/>
                <w:b/>
                <w:bCs/>
                <w:color w:val="auto"/>
                <w:sz w:val="21"/>
                <w:szCs w:val="21"/>
                <w:highlight w:val="none"/>
                <w:u w:val="none"/>
                <w:vertAlign w:val="baseline"/>
                <w:lang w:val="en-US" w:eastAsia="zh-CN"/>
              </w:rPr>
              <w:t>四</w:t>
            </w:r>
            <w:r>
              <w:rPr>
                <w:rFonts w:hint="eastAsia" w:ascii="宋体" w:hAnsi="宋体" w:eastAsia="宋体" w:cs="宋体"/>
                <w:b/>
                <w:bCs/>
                <w:color w:val="auto"/>
                <w:sz w:val="21"/>
                <w:szCs w:val="21"/>
                <w:highlight w:val="none"/>
                <w:u w:val="none"/>
                <w:vertAlign w:val="baseline"/>
                <w:lang w:val="en-US" w:eastAsia="zh-CN"/>
              </w:rPr>
              <w:t>）</w:t>
            </w:r>
            <w:r>
              <w:rPr>
                <w:rFonts w:hint="eastAsia" w:ascii="宋体" w:hAnsi="宋体" w:cs="宋体"/>
                <w:b/>
                <w:bCs/>
                <w:color w:val="auto"/>
                <w:sz w:val="21"/>
                <w:szCs w:val="21"/>
                <w:highlight w:val="none"/>
                <w:u w:val="none"/>
                <w:vertAlign w:val="baseline"/>
                <w:lang w:val="en-US" w:eastAsia="zh-CN"/>
              </w:rPr>
              <w:t>拳击</w:t>
            </w:r>
            <w:r>
              <w:rPr>
                <w:rFonts w:hint="eastAsia" w:ascii="宋体" w:hAnsi="宋体" w:eastAsia="宋体" w:cs="宋体"/>
                <w:b/>
                <w:bCs/>
                <w:color w:val="auto"/>
                <w:sz w:val="21"/>
                <w:szCs w:val="21"/>
                <w:highlight w:val="none"/>
                <w:u w:val="none"/>
                <w:vertAlign w:val="baseline"/>
                <w:lang w:val="en-US" w:eastAsia="zh-CN"/>
              </w:rPr>
              <w:t>项目</w:t>
            </w:r>
          </w:p>
        </w:tc>
      </w:tr>
      <w:tr w14:paraId="36985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dxa"/>
            <w:vAlign w:val="center"/>
          </w:tcPr>
          <w:p w14:paraId="430599A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1</w:t>
            </w:r>
          </w:p>
        </w:tc>
        <w:tc>
          <w:tcPr>
            <w:tcW w:w="1259" w:type="dxa"/>
            <w:vAlign w:val="center"/>
          </w:tcPr>
          <w:p w14:paraId="075FA2C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default" w:ascii="宋体" w:hAnsi="宋体" w:eastAsia="宋体" w:cs="宋体"/>
                <w:color w:val="auto"/>
                <w:sz w:val="21"/>
                <w:szCs w:val="21"/>
                <w:highlight w:val="none"/>
                <w:u w:val="none"/>
                <w:vertAlign w:val="baseline"/>
                <w:lang w:val="en-US" w:eastAsia="zh-CN"/>
              </w:rPr>
              <w:t>比赛拳台</w:t>
            </w:r>
          </w:p>
        </w:tc>
        <w:tc>
          <w:tcPr>
            <w:tcW w:w="754" w:type="dxa"/>
            <w:vAlign w:val="center"/>
          </w:tcPr>
          <w:p w14:paraId="221CA31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default" w:ascii="宋体" w:hAnsi="宋体" w:eastAsia="宋体" w:cs="宋体"/>
                <w:color w:val="auto"/>
                <w:sz w:val="21"/>
                <w:szCs w:val="21"/>
                <w:highlight w:val="none"/>
                <w:u w:val="none"/>
                <w:vertAlign w:val="baseline"/>
                <w:lang w:val="en-US" w:eastAsia="zh-CN"/>
              </w:rPr>
              <w:t>1</w:t>
            </w:r>
          </w:p>
        </w:tc>
        <w:tc>
          <w:tcPr>
            <w:tcW w:w="739" w:type="dxa"/>
            <w:vAlign w:val="center"/>
          </w:tcPr>
          <w:p w14:paraId="2DB27F1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张</w:t>
            </w:r>
          </w:p>
        </w:tc>
        <w:tc>
          <w:tcPr>
            <w:tcW w:w="5205" w:type="dxa"/>
          </w:tcPr>
          <w:p w14:paraId="3BDEA8A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一、产品组成：由擂台架、擂台垫、盖单围裙、围绳、角垫包柱、座椅、楼梯、吐水盘组成。</w:t>
            </w:r>
          </w:p>
          <w:p w14:paraId="4418857C">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二、规格尺寸：台面外形尺寸7800mm×7800mm，台面高度1000mm±10mm，比赛区域6100mm×6100mm；配备四根大绳，距台面分别为40cm、70cm、100cm、130cm。</w:t>
            </w:r>
          </w:p>
          <w:p w14:paraId="3B3BF7AE">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三、材质工艺：</w:t>
            </w:r>
          </w:p>
          <w:p w14:paraId="19DFDFA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1.擂台框架钢管焊接，部件之间接触面以消音垫片隔离，标准扣件组装，支柱间隔不超过1.3m；</w:t>
            </w:r>
          </w:p>
          <w:p w14:paraId="3F90235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2.台面木板层采用≥2.5cm厚多层木板；</w:t>
            </w:r>
          </w:p>
          <w:p w14:paraId="0BC51F1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3.擂台垫：≥2cm厚高效吸能泡沫双面复合拉绒地毯；</w:t>
            </w:r>
          </w:p>
          <w:p w14:paraId="152AFD8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4.盖单：整体防滑帆布，车缝工艺缝制，表面平整、防滑；围裙聚氨酯合成革，防滑、耐磨、易清洗；</w:t>
            </w:r>
          </w:p>
          <w:p w14:paraId="41F06881">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5.四角角垫：PU包覆，高弹海绵泡沫内胆；</w:t>
            </w:r>
          </w:p>
          <w:p w14:paraId="2AE9F6F8">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6.大绳：≥φ8钢丝绳骨架，外围厚高弹海绵，整体结实耐用、不变形、松紧可调。</w:t>
            </w:r>
          </w:p>
          <w:p w14:paraId="74EEE0CC">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四、技术指标：</w:t>
            </w:r>
          </w:p>
          <w:p w14:paraId="1079ED7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1.钢结构：焊件抗拉强度≥300MPa；烤漆厚度≥0.2mm；经48小时盐雾试验后无异常；</w:t>
            </w:r>
          </w:p>
          <w:p w14:paraId="73F6D38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2.台面：每单元台面承受负载≥500kg，挠度≤10mm；台面硬板平面度≤5mm、拼装缝隙宽度≤5mm、拼接处高低差≤2mm、四周木板错位≤3mm；缓冲垫层压缩强度（相对变形10%时的压缩应力）≥0.5MPa；台面木板单位面积负载≥500kg，残余变形量≤1mm；</w:t>
            </w:r>
          </w:p>
          <w:p w14:paraId="24B98DE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3.围子：断裂强度≥500N，抗撕裂强度≥100N，耐摩擦色牢度干、湿摩擦均≥4.0级；</w:t>
            </w:r>
          </w:p>
          <w:p w14:paraId="39AFFA7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4.盖单：色牢度干、湿摩擦≥4.0级，沾水等级≥4.0级；</w:t>
            </w:r>
          </w:p>
          <w:p w14:paraId="21FBA769">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5.大绳：单条大绳抗拉力≥26000N，大绳紧固拉杆与大绳结合部位抗拉力≥50kN；</w:t>
            </w:r>
          </w:p>
          <w:p w14:paraId="1CE8330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6.包柱：PU外包覆，色牢度干、湿摩擦≥4.0级；</w:t>
            </w:r>
          </w:p>
          <w:p w14:paraId="526CDE4E">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7.座椅：擂台座椅能承受最大负载250kg；</w:t>
            </w:r>
          </w:p>
          <w:p w14:paraId="07338138">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8.梯子：阶梯面负载≥2500N静压力，无损坏；</w:t>
            </w:r>
          </w:p>
          <w:p w14:paraId="7B8E96B7">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9.稳定性：在支撑框架侧边顶部施以1500N水平拉力，台脚不产生位移，台面水平位移量≤10mm；擂台框架铁件焊接部位抗拉强度≥500kg。</w:t>
            </w:r>
          </w:p>
          <w:p w14:paraId="1B94C48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五、执行标准与验收：技术参数符合GB/T 34288-2017相关技术与安装要求；须提供由第三方检测机构出具的检测报告，检测内容载明产品性能技术指标均满足上述要求并加盖供应商公章；交货时提供完整的检测报告，原件备查。</w:t>
            </w:r>
          </w:p>
        </w:tc>
        <w:tc>
          <w:tcPr>
            <w:tcW w:w="1154" w:type="dxa"/>
            <w:shd w:val="clear" w:color="auto" w:fill="auto"/>
            <w:vAlign w:val="center"/>
          </w:tcPr>
          <w:p w14:paraId="6746AB7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1"/>
                <w:szCs w:val="21"/>
                <w:highlight w:val="none"/>
                <w:u w:val="none"/>
                <w:vertAlign w:val="baseline"/>
                <w:lang w:val="en-US" w:eastAsia="zh-CN"/>
              </w:rPr>
            </w:pPr>
          </w:p>
        </w:tc>
      </w:tr>
      <w:tr w14:paraId="02697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dxa"/>
            <w:vAlign w:val="center"/>
          </w:tcPr>
          <w:p w14:paraId="1C99E4E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2</w:t>
            </w:r>
          </w:p>
        </w:tc>
        <w:tc>
          <w:tcPr>
            <w:tcW w:w="1259" w:type="dxa"/>
            <w:vAlign w:val="center"/>
          </w:tcPr>
          <w:p w14:paraId="4CAEE07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default" w:ascii="宋体" w:hAnsi="宋体" w:eastAsia="宋体" w:cs="宋体"/>
                <w:color w:val="auto"/>
                <w:sz w:val="21"/>
                <w:szCs w:val="21"/>
                <w:highlight w:val="none"/>
                <w:u w:val="none"/>
                <w:vertAlign w:val="baseline"/>
                <w:lang w:val="en-US" w:eastAsia="zh-CN"/>
              </w:rPr>
              <w:t>拳击综合训练器</w:t>
            </w:r>
          </w:p>
        </w:tc>
        <w:tc>
          <w:tcPr>
            <w:tcW w:w="754" w:type="dxa"/>
            <w:vAlign w:val="center"/>
          </w:tcPr>
          <w:p w14:paraId="23B8BD1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default" w:ascii="宋体" w:hAnsi="宋体" w:eastAsia="宋体" w:cs="宋体"/>
                <w:color w:val="auto"/>
                <w:sz w:val="21"/>
                <w:szCs w:val="21"/>
                <w:highlight w:val="none"/>
                <w:u w:val="none"/>
                <w:vertAlign w:val="baseline"/>
                <w:lang w:val="en-US" w:eastAsia="zh-CN"/>
              </w:rPr>
              <w:t>2</w:t>
            </w:r>
          </w:p>
        </w:tc>
        <w:tc>
          <w:tcPr>
            <w:tcW w:w="739" w:type="dxa"/>
            <w:vAlign w:val="center"/>
          </w:tcPr>
          <w:p w14:paraId="4D020AF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套</w:t>
            </w:r>
          </w:p>
        </w:tc>
        <w:tc>
          <w:tcPr>
            <w:tcW w:w="5205" w:type="dxa"/>
          </w:tcPr>
          <w:p w14:paraId="6FB03718">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一、产品配置：吊架1套；沙袋（35cm×120cm）2个；梨形沙袋2个；梨球架板1套；梯形弹簧靶1个；直拳靶1个；勾拳靶1个。</w:t>
            </w:r>
          </w:p>
          <w:p w14:paraId="08A58B7B">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二、规格尺寸：2736mm×2736mm×2600mm。</w:t>
            </w:r>
          </w:p>
          <w:p w14:paraId="358AAFD7">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三、主要材质：框架主要由Q235优质钢管焊接而成</w:t>
            </w:r>
          </w:p>
          <w:p w14:paraId="4E0E48A1">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多功能拳击训练器主要材质：Q235碳素结构钢；</w:t>
            </w:r>
          </w:p>
          <w:p w14:paraId="3EC71218">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立柱主要材质：Q235方管≥50×3mm；</w:t>
            </w:r>
          </w:p>
          <w:p w14:paraId="12CE45C1">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框架主要材质：Q235方管≥50×3mm,Q235矩形管≥25×50×3mm；</w:t>
            </w:r>
          </w:p>
          <w:p w14:paraId="3A9BA35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梨球架导轨主要材质：Q235方管≥45×3mm；</w:t>
            </w:r>
          </w:p>
          <w:p w14:paraId="5F0B87F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拳靶底托架主要材质：Q235矩形管≥20×40×2mm、Q235角钢≥∠30×3mm；</w:t>
            </w:r>
          </w:p>
          <w:p w14:paraId="35C7DADB">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速度球支架主要材质：Q235矩形管≥25×50×3mm。</w:t>
            </w:r>
          </w:p>
        </w:tc>
        <w:tc>
          <w:tcPr>
            <w:tcW w:w="1154" w:type="dxa"/>
            <w:vAlign w:val="center"/>
          </w:tcPr>
          <w:p w14:paraId="7A735F4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1"/>
                <w:szCs w:val="21"/>
                <w:highlight w:val="none"/>
                <w:u w:val="none"/>
                <w:vertAlign w:val="baseline"/>
                <w:lang w:val="en-US" w:eastAsia="zh-CN"/>
              </w:rPr>
            </w:pPr>
          </w:p>
        </w:tc>
      </w:tr>
      <w:tr w14:paraId="10ECA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dxa"/>
            <w:vAlign w:val="center"/>
          </w:tcPr>
          <w:p w14:paraId="09C67D5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3</w:t>
            </w:r>
          </w:p>
        </w:tc>
        <w:tc>
          <w:tcPr>
            <w:tcW w:w="1259" w:type="dxa"/>
            <w:vAlign w:val="center"/>
          </w:tcPr>
          <w:p w14:paraId="2ECA057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default" w:ascii="宋体" w:hAnsi="宋体" w:eastAsia="宋体" w:cs="宋体"/>
                <w:color w:val="auto"/>
                <w:sz w:val="21"/>
                <w:szCs w:val="21"/>
                <w:highlight w:val="none"/>
                <w:u w:val="none"/>
                <w:vertAlign w:val="baseline"/>
                <w:lang w:val="en-US" w:eastAsia="zh-CN"/>
              </w:rPr>
              <w:t>沙袋组合器材</w:t>
            </w:r>
          </w:p>
        </w:tc>
        <w:tc>
          <w:tcPr>
            <w:tcW w:w="754" w:type="dxa"/>
            <w:vAlign w:val="center"/>
          </w:tcPr>
          <w:p w14:paraId="0FF074E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default" w:ascii="宋体" w:hAnsi="宋体" w:eastAsia="宋体" w:cs="宋体"/>
                <w:color w:val="auto"/>
                <w:sz w:val="21"/>
                <w:szCs w:val="21"/>
                <w:highlight w:val="none"/>
                <w:u w:val="none"/>
                <w:vertAlign w:val="baseline"/>
                <w:lang w:val="en-US" w:eastAsia="zh-CN"/>
              </w:rPr>
              <w:t>1</w:t>
            </w:r>
          </w:p>
        </w:tc>
        <w:tc>
          <w:tcPr>
            <w:tcW w:w="739" w:type="dxa"/>
            <w:vAlign w:val="center"/>
          </w:tcPr>
          <w:p w14:paraId="40CA85A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套</w:t>
            </w:r>
          </w:p>
        </w:tc>
        <w:tc>
          <w:tcPr>
            <w:tcW w:w="5205" w:type="dxa"/>
          </w:tcPr>
          <w:p w14:paraId="10D3B1DF">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一、产品配置：吊架1套；沙袋（35cm×120cm）2个；梨形沙袋2个；梨球架板1套；梯形弹簧靶1个；直拳靶1个；勾拳靶1个。</w:t>
            </w:r>
          </w:p>
          <w:p w14:paraId="3D5F235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二、规格尺寸：2736mm×2736mm×2600mm。</w:t>
            </w:r>
          </w:p>
          <w:p w14:paraId="2EA366C3">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三、主要材质：框架主要由Q235优质钢管焊接而成</w:t>
            </w:r>
          </w:p>
          <w:p w14:paraId="4367E1D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多功能拳击训练器主要材质：Q235碳素结构钢；</w:t>
            </w:r>
          </w:p>
          <w:p w14:paraId="420E7C6B">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立柱主要材质：Q235方管≥50×3mm；</w:t>
            </w:r>
          </w:p>
          <w:p w14:paraId="6EDF663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框架主要材质：Q235方管≥50×3mm,Q235矩形管≥25×50×3mm；</w:t>
            </w:r>
          </w:p>
          <w:p w14:paraId="52D83C8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梨球架导轨主要材质：Q235方管≥45×3mm；</w:t>
            </w:r>
          </w:p>
          <w:p w14:paraId="21347A01">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拳靶底托架主要材质：Q235矩形管≥20×40×2mm、Q235角钢≥∠30×3mm；</w:t>
            </w:r>
          </w:p>
          <w:p w14:paraId="755330C8">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速度球支架主要材质：Q235矩形管≥25×50×3mm。</w:t>
            </w:r>
          </w:p>
        </w:tc>
        <w:tc>
          <w:tcPr>
            <w:tcW w:w="1154" w:type="dxa"/>
            <w:vAlign w:val="center"/>
          </w:tcPr>
          <w:p w14:paraId="7FDAA2A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1"/>
                <w:szCs w:val="21"/>
                <w:highlight w:val="none"/>
                <w:u w:val="none"/>
                <w:vertAlign w:val="baseline"/>
                <w:lang w:val="en-US" w:eastAsia="zh-CN"/>
              </w:rPr>
            </w:pPr>
          </w:p>
        </w:tc>
      </w:tr>
      <w:tr w14:paraId="5BC08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dxa"/>
            <w:vAlign w:val="center"/>
          </w:tcPr>
          <w:p w14:paraId="5255214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4</w:t>
            </w:r>
          </w:p>
        </w:tc>
        <w:tc>
          <w:tcPr>
            <w:tcW w:w="1259" w:type="dxa"/>
            <w:vAlign w:val="center"/>
          </w:tcPr>
          <w:p w14:paraId="299ECF9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default" w:ascii="宋体" w:hAnsi="宋体" w:eastAsia="宋体" w:cs="宋体"/>
                <w:color w:val="auto"/>
                <w:sz w:val="21"/>
                <w:szCs w:val="21"/>
                <w:highlight w:val="none"/>
                <w:u w:val="none"/>
                <w:vertAlign w:val="baseline"/>
                <w:lang w:val="en-US" w:eastAsia="zh-CN"/>
              </w:rPr>
              <w:t>比赛拳台盖单</w:t>
            </w:r>
          </w:p>
        </w:tc>
        <w:tc>
          <w:tcPr>
            <w:tcW w:w="754" w:type="dxa"/>
            <w:vAlign w:val="center"/>
          </w:tcPr>
          <w:p w14:paraId="4F1C590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default" w:ascii="宋体" w:hAnsi="宋体" w:eastAsia="宋体" w:cs="宋体"/>
                <w:color w:val="auto"/>
                <w:sz w:val="21"/>
                <w:szCs w:val="21"/>
                <w:highlight w:val="none"/>
                <w:u w:val="none"/>
                <w:vertAlign w:val="baseline"/>
                <w:lang w:val="en-US" w:eastAsia="zh-CN"/>
              </w:rPr>
              <w:t>2</w:t>
            </w:r>
          </w:p>
        </w:tc>
        <w:tc>
          <w:tcPr>
            <w:tcW w:w="739" w:type="dxa"/>
            <w:vAlign w:val="center"/>
          </w:tcPr>
          <w:p w14:paraId="75EC2C2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张</w:t>
            </w:r>
          </w:p>
        </w:tc>
        <w:tc>
          <w:tcPr>
            <w:tcW w:w="5205" w:type="dxa"/>
            <w:vAlign w:val="center"/>
          </w:tcPr>
          <w:p w14:paraId="6D1724A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宋体" w:hAnsi="宋体" w:eastAsia="宋体" w:cs="宋体"/>
                <w:color w:val="auto"/>
                <w:sz w:val="21"/>
                <w:szCs w:val="21"/>
                <w:highlight w:val="none"/>
                <w:u w:val="none"/>
                <w:vertAlign w:val="baseline"/>
                <w:lang w:val="en-US" w:eastAsia="zh-CN"/>
              </w:rPr>
            </w:pPr>
            <w:r>
              <w:rPr>
                <w:rFonts w:hint="default" w:ascii="宋体" w:hAnsi="宋体" w:eastAsia="宋体" w:cs="宋体"/>
                <w:color w:val="auto"/>
                <w:sz w:val="21"/>
                <w:szCs w:val="21"/>
                <w:highlight w:val="none"/>
                <w:u w:val="none"/>
                <w:vertAlign w:val="baseline"/>
                <w:lang w:val="en-US" w:eastAsia="zh-CN"/>
              </w:rPr>
              <w:t>一、规格尺寸：7800mm×7800mm。</w:t>
            </w:r>
          </w:p>
          <w:p w14:paraId="77582438">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宋体" w:hAnsi="宋体" w:eastAsia="宋体" w:cs="宋体"/>
                <w:color w:val="auto"/>
                <w:sz w:val="21"/>
                <w:szCs w:val="21"/>
                <w:highlight w:val="none"/>
                <w:u w:val="none"/>
                <w:vertAlign w:val="baseline"/>
                <w:lang w:val="en-US" w:eastAsia="zh-CN"/>
              </w:rPr>
            </w:pPr>
            <w:r>
              <w:rPr>
                <w:rFonts w:hint="default" w:ascii="宋体" w:hAnsi="宋体" w:eastAsia="宋体" w:cs="宋体"/>
                <w:color w:val="auto"/>
                <w:sz w:val="21"/>
                <w:szCs w:val="21"/>
                <w:highlight w:val="none"/>
                <w:u w:val="none"/>
                <w:vertAlign w:val="baseline"/>
                <w:lang w:val="en-US" w:eastAsia="zh-CN"/>
              </w:rPr>
              <w:t>二、材质工艺：蓝色帆布为主材料，并用PVC经编布包边，外边穿≥φ8麻绳；</w:t>
            </w:r>
          </w:p>
          <w:p w14:paraId="0E2E754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vertAlign w:val="baseline"/>
                <w:lang w:val="en-US" w:eastAsia="zh-CN"/>
              </w:rPr>
            </w:pPr>
            <w:r>
              <w:rPr>
                <w:rFonts w:hint="default" w:ascii="宋体" w:hAnsi="宋体" w:eastAsia="宋体" w:cs="宋体"/>
                <w:color w:val="auto"/>
                <w:sz w:val="21"/>
                <w:szCs w:val="21"/>
                <w:highlight w:val="none"/>
                <w:u w:val="none"/>
                <w:vertAlign w:val="baseline"/>
                <w:lang w:val="en-US" w:eastAsia="zh-CN"/>
              </w:rPr>
              <w:t>三、技术要求：擂台盖单耐摩擦色牢度：干≥4.0级，湿≥4.0级。</w:t>
            </w:r>
          </w:p>
        </w:tc>
        <w:tc>
          <w:tcPr>
            <w:tcW w:w="1154" w:type="dxa"/>
            <w:vAlign w:val="center"/>
          </w:tcPr>
          <w:p w14:paraId="37419D4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p>
        </w:tc>
      </w:tr>
      <w:tr w14:paraId="55DC3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dxa"/>
            <w:vAlign w:val="center"/>
          </w:tcPr>
          <w:p w14:paraId="0A8D8B1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5</w:t>
            </w:r>
          </w:p>
        </w:tc>
        <w:tc>
          <w:tcPr>
            <w:tcW w:w="1259" w:type="dxa"/>
            <w:vAlign w:val="center"/>
          </w:tcPr>
          <w:p w14:paraId="444E037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default" w:ascii="宋体" w:hAnsi="宋体" w:eastAsia="宋体" w:cs="宋体"/>
                <w:color w:val="auto"/>
                <w:sz w:val="21"/>
                <w:szCs w:val="21"/>
                <w:highlight w:val="none"/>
                <w:u w:val="none"/>
                <w:vertAlign w:val="baseline"/>
                <w:lang w:val="en-US" w:eastAsia="zh-CN"/>
              </w:rPr>
              <w:t>红色拳套</w:t>
            </w:r>
          </w:p>
        </w:tc>
        <w:tc>
          <w:tcPr>
            <w:tcW w:w="754" w:type="dxa"/>
            <w:vAlign w:val="center"/>
          </w:tcPr>
          <w:p w14:paraId="08B7C1E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default" w:ascii="宋体" w:hAnsi="宋体" w:eastAsia="宋体" w:cs="宋体"/>
                <w:color w:val="auto"/>
                <w:sz w:val="21"/>
                <w:szCs w:val="21"/>
                <w:highlight w:val="none"/>
                <w:u w:val="none"/>
                <w:vertAlign w:val="baseline"/>
                <w:lang w:val="en-US" w:eastAsia="zh-CN"/>
              </w:rPr>
              <w:t>60</w:t>
            </w:r>
          </w:p>
        </w:tc>
        <w:tc>
          <w:tcPr>
            <w:tcW w:w="739" w:type="dxa"/>
            <w:vAlign w:val="center"/>
          </w:tcPr>
          <w:p w14:paraId="2DA97D2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副</w:t>
            </w:r>
          </w:p>
        </w:tc>
        <w:tc>
          <w:tcPr>
            <w:tcW w:w="5205" w:type="dxa"/>
            <w:vAlign w:val="center"/>
          </w:tcPr>
          <w:p w14:paraId="11D7E0E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拳套尺寸：10oz（红色）</w:t>
            </w:r>
          </w:p>
          <w:p w14:paraId="0CA3045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宋体" w:hAnsi="宋体" w:eastAsia="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材质：面层为超纤、内胆由乳胶、EVA、海绵等粘合而成；配备：魔术贴，粘合次数可达到5000次以上；大拇指与手套本身紧贴，有效防止使用摆拳时带来的伤害。产品需符合GB/T 42941.1-2023 “运动护具 搏击运动护具 第1部分：通用要求与试验方法”合格标准。</w:t>
            </w:r>
          </w:p>
        </w:tc>
        <w:tc>
          <w:tcPr>
            <w:tcW w:w="1154" w:type="dxa"/>
            <w:vAlign w:val="center"/>
          </w:tcPr>
          <w:p w14:paraId="7798D64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p>
        </w:tc>
      </w:tr>
      <w:tr w14:paraId="33D8E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dxa"/>
            <w:vAlign w:val="center"/>
          </w:tcPr>
          <w:p w14:paraId="4C091F5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6</w:t>
            </w:r>
          </w:p>
        </w:tc>
        <w:tc>
          <w:tcPr>
            <w:tcW w:w="1259" w:type="dxa"/>
            <w:vAlign w:val="center"/>
          </w:tcPr>
          <w:p w14:paraId="227A9F7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default" w:ascii="宋体" w:hAnsi="宋体" w:eastAsia="宋体" w:cs="宋体"/>
                <w:color w:val="auto"/>
                <w:sz w:val="21"/>
                <w:szCs w:val="21"/>
                <w:highlight w:val="none"/>
                <w:u w:val="none"/>
                <w:vertAlign w:val="baseline"/>
                <w:lang w:val="en-US" w:eastAsia="zh-CN"/>
              </w:rPr>
              <w:t>蓝色拳套</w:t>
            </w:r>
          </w:p>
        </w:tc>
        <w:tc>
          <w:tcPr>
            <w:tcW w:w="754" w:type="dxa"/>
            <w:vAlign w:val="center"/>
          </w:tcPr>
          <w:p w14:paraId="17B0C7E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default" w:ascii="宋体" w:hAnsi="宋体" w:eastAsia="宋体" w:cs="宋体"/>
                <w:color w:val="auto"/>
                <w:sz w:val="21"/>
                <w:szCs w:val="21"/>
                <w:highlight w:val="none"/>
                <w:u w:val="none"/>
                <w:vertAlign w:val="baseline"/>
                <w:lang w:val="en-US" w:eastAsia="zh-CN"/>
              </w:rPr>
              <w:t>60</w:t>
            </w:r>
          </w:p>
        </w:tc>
        <w:tc>
          <w:tcPr>
            <w:tcW w:w="739" w:type="dxa"/>
            <w:vAlign w:val="center"/>
          </w:tcPr>
          <w:p w14:paraId="1A9B92F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副</w:t>
            </w:r>
          </w:p>
        </w:tc>
        <w:tc>
          <w:tcPr>
            <w:tcW w:w="5205" w:type="dxa"/>
            <w:vAlign w:val="center"/>
          </w:tcPr>
          <w:p w14:paraId="0C85A298">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拳套尺寸：10oz（蓝色）</w:t>
            </w:r>
          </w:p>
          <w:p w14:paraId="7C0DA457">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材质：面层为超纤、内胆由乳胶、EVA、海绵等粘合而成；配备：魔术贴，粘合次数可达到5000次以上；大拇指与手套本身紧贴，有效防止使用摆拳时带来的伤害。产品需符合GB/T 42941.1-2023 “运动护具 搏击运动护具 第1部分：通用要求与试验方法”合格标准。</w:t>
            </w:r>
          </w:p>
        </w:tc>
        <w:tc>
          <w:tcPr>
            <w:tcW w:w="1154" w:type="dxa"/>
            <w:vAlign w:val="center"/>
          </w:tcPr>
          <w:p w14:paraId="3A5C8D3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p>
        </w:tc>
      </w:tr>
      <w:tr w14:paraId="53E1D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dxa"/>
            <w:vAlign w:val="center"/>
          </w:tcPr>
          <w:p w14:paraId="5D4BEFF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7</w:t>
            </w:r>
          </w:p>
        </w:tc>
        <w:tc>
          <w:tcPr>
            <w:tcW w:w="1259" w:type="dxa"/>
            <w:vAlign w:val="center"/>
          </w:tcPr>
          <w:p w14:paraId="608560F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default" w:ascii="宋体" w:hAnsi="宋体" w:eastAsia="宋体" w:cs="宋体"/>
                <w:color w:val="auto"/>
                <w:sz w:val="21"/>
                <w:szCs w:val="21"/>
                <w:highlight w:val="none"/>
                <w:u w:val="none"/>
                <w:vertAlign w:val="baseline"/>
                <w:lang w:val="en-US" w:eastAsia="zh-CN"/>
              </w:rPr>
              <w:t>红色拳套</w:t>
            </w:r>
          </w:p>
        </w:tc>
        <w:tc>
          <w:tcPr>
            <w:tcW w:w="754" w:type="dxa"/>
            <w:vAlign w:val="center"/>
          </w:tcPr>
          <w:p w14:paraId="5EE218B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default" w:ascii="宋体" w:hAnsi="宋体" w:eastAsia="宋体" w:cs="宋体"/>
                <w:color w:val="auto"/>
                <w:sz w:val="21"/>
                <w:szCs w:val="21"/>
                <w:highlight w:val="none"/>
                <w:u w:val="none"/>
                <w:vertAlign w:val="baseline"/>
                <w:lang w:val="en-US" w:eastAsia="zh-CN"/>
              </w:rPr>
              <w:t>15</w:t>
            </w:r>
          </w:p>
        </w:tc>
        <w:tc>
          <w:tcPr>
            <w:tcW w:w="739" w:type="dxa"/>
            <w:vAlign w:val="center"/>
          </w:tcPr>
          <w:p w14:paraId="340E23E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副</w:t>
            </w:r>
          </w:p>
        </w:tc>
        <w:tc>
          <w:tcPr>
            <w:tcW w:w="5205" w:type="dxa"/>
            <w:vAlign w:val="center"/>
          </w:tcPr>
          <w:p w14:paraId="0965847E">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拳套尺寸：12oz（红色）</w:t>
            </w:r>
          </w:p>
          <w:p w14:paraId="01140BAE">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材质：面层为超纤、内胆由乳胶、EVA、海绵等粘合而成；配备：魔术贴，粘合次数可达到5000次以上；大拇指与手套本身紧贴，有效防止使用摆拳时带来的伤害。产品需符合GB/T 42941.1-2023 “运动护具 搏击运动护具 第1部分：通用要求与试验方法”合格标准。</w:t>
            </w:r>
          </w:p>
        </w:tc>
        <w:tc>
          <w:tcPr>
            <w:tcW w:w="1154" w:type="dxa"/>
            <w:vAlign w:val="center"/>
          </w:tcPr>
          <w:p w14:paraId="336CEE8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p>
        </w:tc>
      </w:tr>
      <w:tr w14:paraId="39E2E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dxa"/>
            <w:vAlign w:val="center"/>
          </w:tcPr>
          <w:p w14:paraId="64A338D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8</w:t>
            </w:r>
          </w:p>
        </w:tc>
        <w:tc>
          <w:tcPr>
            <w:tcW w:w="1259" w:type="dxa"/>
            <w:vAlign w:val="center"/>
          </w:tcPr>
          <w:p w14:paraId="13ECAE5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default" w:ascii="宋体" w:hAnsi="宋体" w:eastAsia="宋体" w:cs="宋体"/>
                <w:color w:val="auto"/>
                <w:sz w:val="21"/>
                <w:szCs w:val="21"/>
                <w:highlight w:val="none"/>
                <w:u w:val="none"/>
                <w:vertAlign w:val="baseline"/>
                <w:lang w:val="en-US" w:eastAsia="zh-CN"/>
              </w:rPr>
              <w:t>蓝色拳套</w:t>
            </w:r>
          </w:p>
        </w:tc>
        <w:tc>
          <w:tcPr>
            <w:tcW w:w="754" w:type="dxa"/>
            <w:vAlign w:val="center"/>
          </w:tcPr>
          <w:p w14:paraId="1D37D82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default" w:ascii="宋体" w:hAnsi="宋体" w:eastAsia="宋体" w:cs="宋体"/>
                <w:color w:val="auto"/>
                <w:sz w:val="21"/>
                <w:szCs w:val="21"/>
                <w:highlight w:val="none"/>
                <w:u w:val="none"/>
                <w:vertAlign w:val="baseline"/>
                <w:lang w:val="en-US" w:eastAsia="zh-CN"/>
              </w:rPr>
              <w:t>15</w:t>
            </w:r>
          </w:p>
        </w:tc>
        <w:tc>
          <w:tcPr>
            <w:tcW w:w="739" w:type="dxa"/>
            <w:vAlign w:val="center"/>
          </w:tcPr>
          <w:p w14:paraId="51D4072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副</w:t>
            </w:r>
          </w:p>
        </w:tc>
        <w:tc>
          <w:tcPr>
            <w:tcW w:w="5205" w:type="dxa"/>
            <w:vAlign w:val="center"/>
          </w:tcPr>
          <w:p w14:paraId="7F15E47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拳套尺寸：12oz（蓝色）</w:t>
            </w:r>
          </w:p>
          <w:p w14:paraId="67EF860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材质：面层为超纤、内胆由乳胶、EVA、海绵等粘合而成；配备：魔术贴，粘合次数可达到5000次以上；大拇指与手套本身紧贴，有效防止使用摆拳时带来的伤害。产品需符合GB/T 42941.1-2023 “运动护具 搏击运动护具 第1部分：通用要求与试验方法”合格标准。</w:t>
            </w:r>
          </w:p>
        </w:tc>
        <w:tc>
          <w:tcPr>
            <w:tcW w:w="1154" w:type="dxa"/>
            <w:vAlign w:val="center"/>
          </w:tcPr>
          <w:p w14:paraId="42C6667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p>
        </w:tc>
      </w:tr>
      <w:tr w14:paraId="5B630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dxa"/>
            <w:vAlign w:val="center"/>
          </w:tcPr>
          <w:p w14:paraId="45698B8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9</w:t>
            </w:r>
          </w:p>
        </w:tc>
        <w:tc>
          <w:tcPr>
            <w:tcW w:w="1259" w:type="dxa"/>
            <w:vAlign w:val="center"/>
          </w:tcPr>
          <w:p w14:paraId="0A88ED4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default" w:ascii="宋体" w:hAnsi="宋体" w:eastAsia="宋体" w:cs="宋体"/>
                <w:color w:val="auto"/>
                <w:sz w:val="21"/>
                <w:szCs w:val="21"/>
                <w:highlight w:val="none"/>
                <w:u w:val="none"/>
                <w:vertAlign w:val="baseline"/>
                <w:lang w:val="en-US" w:eastAsia="zh-CN"/>
              </w:rPr>
              <w:t>红色头盔</w:t>
            </w:r>
          </w:p>
        </w:tc>
        <w:tc>
          <w:tcPr>
            <w:tcW w:w="754" w:type="dxa"/>
            <w:vAlign w:val="center"/>
          </w:tcPr>
          <w:p w14:paraId="6D1B5A5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default" w:ascii="宋体" w:hAnsi="宋体" w:eastAsia="宋体" w:cs="宋体"/>
                <w:color w:val="auto"/>
                <w:sz w:val="21"/>
                <w:szCs w:val="21"/>
                <w:highlight w:val="none"/>
                <w:u w:val="none"/>
                <w:vertAlign w:val="baseline"/>
                <w:lang w:val="en-US" w:eastAsia="zh-CN"/>
              </w:rPr>
              <w:t>30</w:t>
            </w:r>
          </w:p>
        </w:tc>
        <w:tc>
          <w:tcPr>
            <w:tcW w:w="739" w:type="dxa"/>
            <w:vAlign w:val="center"/>
          </w:tcPr>
          <w:p w14:paraId="70F0877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个</w:t>
            </w:r>
          </w:p>
        </w:tc>
        <w:tc>
          <w:tcPr>
            <w:tcW w:w="5205" w:type="dxa"/>
            <w:vAlign w:val="center"/>
          </w:tcPr>
          <w:p w14:paraId="27F2CD0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宋体" w:hAnsi="宋体" w:eastAsia="宋体" w:cs="宋体"/>
                <w:color w:val="auto"/>
                <w:sz w:val="21"/>
                <w:szCs w:val="21"/>
                <w:highlight w:val="none"/>
                <w:u w:val="none"/>
                <w:vertAlign w:val="baseline"/>
                <w:lang w:val="en-US" w:eastAsia="zh-CN"/>
              </w:rPr>
            </w:pPr>
            <w:r>
              <w:rPr>
                <w:rFonts w:hint="default" w:ascii="宋体" w:hAnsi="宋体" w:eastAsia="宋体" w:cs="宋体"/>
                <w:color w:val="auto"/>
                <w:sz w:val="21"/>
                <w:szCs w:val="21"/>
                <w:highlight w:val="none"/>
                <w:u w:val="none"/>
                <w:vertAlign w:val="baseline"/>
                <w:lang w:val="en-US" w:eastAsia="zh-CN"/>
              </w:rPr>
              <w:t>材质：红色，面层为超纤、内胆由乳胶、EVA、海绵等粘合而成；</w:t>
            </w:r>
          </w:p>
          <w:p w14:paraId="5B2F33C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宋体" w:hAnsi="宋体" w:eastAsia="宋体" w:cs="宋体"/>
                <w:color w:val="auto"/>
                <w:sz w:val="21"/>
                <w:szCs w:val="21"/>
                <w:highlight w:val="none"/>
                <w:u w:val="none"/>
                <w:vertAlign w:val="baseline"/>
                <w:lang w:val="en-US" w:eastAsia="zh-CN"/>
              </w:rPr>
            </w:pPr>
            <w:r>
              <w:rPr>
                <w:rFonts w:hint="default" w:ascii="宋体" w:hAnsi="宋体" w:eastAsia="宋体" w:cs="宋体"/>
                <w:color w:val="auto"/>
                <w:sz w:val="21"/>
                <w:szCs w:val="21"/>
                <w:highlight w:val="none"/>
                <w:u w:val="none"/>
                <w:vertAlign w:val="baseline"/>
                <w:lang w:val="en-US" w:eastAsia="zh-CN"/>
              </w:rPr>
              <w:t>产品规格至少配备大、中、小三种规格，每种规格各10个；</w:t>
            </w:r>
          </w:p>
          <w:p w14:paraId="5309C923">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s="宋体"/>
                <w:color w:val="auto"/>
                <w:sz w:val="21"/>
                <w:szCs w:val="21"/>
                <w:highlight w:val="none"/>
                <w:u w:val="none"/>
                <w:vertAlign w:val="baseline"/>
                <w:lang w:val="en-US" w:eastAsia="zh-CN"/>
              </w:rPr>
            </w:pPr>
            <w:r>
              <w:rPr>
                <w:rFonts w:hint="default" w:ascii="宋体" w:hAnsi="宋体" w:eastAsia="宋体" w:cs="宋体"/>
                <w:color w:val="auto"/>
                <w:sz w:val="21"/>
                <w:szCs w:val="21"/>
                <w:highlight w:val="none"/>
                <w:u w:val="none"/>
                <w:vertAlign w:val="baseline"/>
                <w:lang w:val="en-US" w:eastAsia="zh-CN"/>
              </w:rPr>
              <w:t>产品质量符合体育行业标准 TY/T 3701.5</w:t>
            </w:r>
            <w:r>
              <w:rPr>
                <w:rFonts w:hint="default" w:ascii="宋体" w:hAnsi="宋体" w:eastAsia="宋体" w:cs="宋体"/>
                <w:color w:val="auto"/>
                <w:sz w:val="21"/>
                <w:szCs w:val="21"/>
                <w:highlight w:val="none"/>
                <w:u w:val="none"/>
                <w:vertAlign w:val="baseline"/>
                <w:lang w:val="en-US" w:eastAsia="zh-CN"/>
              </w:rPr>
              <w:noBreakHyphen/>
            </w:r>
            <w:r>
              <w:rPr>
                <w:rFonts w:hint="default" w:ascii="宋体" w:hAnsi="宋体" w:eastAsia="宋体" w:cs="宋体"/>
                <w:color w:val="auto"/>
                <w:sz w:val="21"/>
                <w:szCs w:val="21"/>
                <w:highlight w:val="none"/>
                <w:u w:val="none"/>
                <w:vertAlign w:val="baseline"/>
                <w:lang w:val="en-US" w:eastAsia="zh-CN"/>
              </w:rPr>
              <w:t>2019《搏击运动护具使用要求与试验方法 第 5 部分：护头》。</w:t>
            </w:r>
          </w:p>
        </w:tc>
        <w:tc>
          <w:tcPr>
            <w:tcW w:w="1154" w:type="dxa"/>
            <w:vAlign w:val="center"/>
          </w:tcPr>
          <w:p w14:paraId="30CE876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p>
        </w:tc>
      </w:tr>
      <w:tr w14:paraId="2F7DA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dxa"/>
            <w:vAlign w:val="center"/>
          </w:tcPr>
          <w:p w14:paraId="1121279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10</w:t>
            </w:r>
          </w:p>
        </w:tc>
        <w:tc>
          <w:tcPr>
            <w:tcW w:w="1259" w:type="dxa"/>
            <w:vAlign w:val="center"/>
          </w:tcPr>
          <w:p w14:paraId="7900660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default" w:ascii="宋体" w:hAnsi="宋体" w:eastAsia="宋体" w:cs="宋体"/>
                <w:color w:val="auto"/>
                <w:sz w:val="21"/>
                <w:szCs w:val="21"/>
                <w:highlight w:val="none"/>
                <w:u w:val="none"/>
                <w:vertAlign w:val="baseline"/>
                <w:lang w:val="en-US" w:eastAsia="zh-CN"/>
              </w:rPr>
              <w:t>蓝色头盔</w:t>
            </w:r>
          </w:p>
        </w:tc>
        <w:tc>
          <w:tcPr>
            <w:tcW w:w="754" w:type="dxa"/>
            <w:vAlign w:val="center"/>
          </w:tcPr>
          <w:p w14:paraId="03F2133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default" w:ascii="宋体" w:hAnsi="宋体" w:eastAsia="宋体" w:cs="宋体"/>
                <w:color w:val="auto"/>
                <w:sz w:val="21"/>
                <w:szCs w:val="21"/>
                <w:highlight w:val="none"/>
                <w:u w:val="none"/>
                <w:vertAlign w:val="baseline"/>
                <w:lang w:val="en-US" w:eastAsia="zh-CN"/>
              </w:rPr>
              <w:t>30</w:t>
            </w:r>
          </w:p>
        </w:tc>
        <w:tc>
          <w:tcPr>
            <w:tcW w:w="739" w:type="dxa"/>
            <w:vAlign w:val="center"/>
          </w:tcPr>
          <w:p w14:paraId="68CB911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个</w:t>
            </w:r>
          </w:p>
        </w:tc>
        <w:tc>
          <w:tcPr>
            <w:tcW w:w="5205" w:type="dxa"/>
            <w:vAlign w:val="center"/>
          </w:tcPr>
          <w:p w14:paraId="18096DB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宋体" w:hAnsi="宋体" w:eastAsia="宋体" w:cs="宋体"/>
                <w:color w:val="auto"/>
                <w:sz w:val="21"/>
                <w:szCs w:val="21"/>
                <w:highlight w:val="none"/>
                <w:u w:val="none"/>
                <w:vertAlign w:val="baseline"/>
                <w:lang w:val="en-US" w:eastAsia="zh-CN"/>
              </w:rPr>
            </w:pPr>
            <w:r>
              <w:rPr>
                <w:rFonts w:hint="default" w:ascii="宋体" w:hAnsi="宋体" w:eastAsia="宋体" w:cs="宋体"/>
                <w:color w:val="auto"/>
                <w:sz w:val="21"/>
                <w:szCs w:val="21"/>
                <w:highlight w:val="none"/>
                <w:u w:val="none"/>
                <w:vertAlign w:val="baseline"/>
                <w:lang w:val="en-US" w:eastAsia="zh-CN"/>
              </w:rPr>
              <w:t>材质：蓝色，面层为超纤、内胆由乳胶、EVA、海绵等粘合而成；</w:t>
            </w:r>
          </w:p>
          <w:p w14:paraId="107F9F3E">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宋体" w:hAnsi="宋体" w:eastAsia="宋体" w:cs="宋体"/>
                <w:color w:val="auto"/>
                <w:sz w:val="21"/>
                <w:szCs w:val="21"/>
                <w:highlight w:val="none"/>
                <w:u w:val="none"/>
                <w:vertAlign w:val="baseline"/>
                <w:lang w:val="en-US" w:eastAsia="zh-CN"/>
              </w:rPr>
            </w:pPr>
            <w:r>
              <w:rPr>
                <w:rFonts w:hint="default" w:ascii="宋体" w:hAnsi="宋体" w:eastAsia="宋体" w:cs="宋体"/>
                <w:color w:val="auto"/>
                <w:sz w:val="21"/>
                <w:szCs w:val="21"/>
                <w:highlight w:val="none"/>
                <w:u w:val="none"/>
                <w:vertAlign w:val="baseline"/>
                <w:lang w:val="en-US" w:eastAsia="zh-CN"/>
              </w:rPr>
              <w:t>产品规格至少配备大、中、小三种规格，每种规格各10个；</w:t>
            </w:r>
          </w:p>
          <w:p w14:paraId="3BAD842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vertAlign w:val="baseline"/>
                <w:lang w:val="en-US" w:eastAsia="zh-CN"/>
              </w:rPr>
            </w:pPr>
            <w:r>
              <w:rPr>
                <w:rFonts w:hint="default" w:ascii="宋体" w:hAnsi="宋体" w:eastAsia="宋体" w:cs="宋体"/>
                <w:color w:val="auto"/>
                <w:sz w:val="21"/>
                <w:szCs w:val="21"/>
                <w:highlight w:val="none"/>
                <w:u w:val="none"/>
                <w:vertAlign w:val="baseline"/>
                <w:lang w:val="en-US" w:eastAsia="zh-CN"/>
              </w:rPr>
              <w:t>产品质量符合体育行业标准 TY/T 3701.5</w:t>
            </w:r>
            <w:r>
              <w:rPr>
                <w:rFonts w:hint="default" w:ascii="宋体" w:hAnsi="宋体" w:eastAsia="宋体" w:cs="宋体"/>
                <w:color w:val="auto"/>
                <w:sz w:val="21"/>
                <w:szCs w:val="21"/>
                <w:highlight w:val="none"/>
                <w:u w:val="none"/>
                <w:vertAlign w:val="baseline"/>
                <w:lang w:val="en-US" w:eastAsia="zh-CN"/>
              </w:rPr>
              <w:noBreakHyphen/>
            </w:r>
            <w:r>
              <w:rPr>
                <w:rFonts w:hint="default" w:ascii="宋体" w:hAnsi="宋体" w:eastAsia="宋体" w:cs="宋体"/>
                <w:color w:val="auto"/>
                <w:sz w:val="21"/>
                <w:szCs w:val="21"/>
                <w:highlight w:val="none"/>
                <w:u w:val="none"/>
                <w:vertAlign w:val="baseline"/>
                <w:lang w:val="en-US" w:eastAsia="zh-CN"/>
              </w:rPr>
              <w:t>2019《搏击运动护具使用要求与试验方法 第 5 部分：护头》。</w:t>
            </w:r>
          </w:p>
        </w:tc>
        <w:tc>
          <w:tcPr>
            <w:tcW w:w="1154" w:type="dxa"/>
            <w:vAlign w:val="center"/>
          </w:tcPr>
          <w:p w14:paraId="6382ACD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p>
        </w:tc>
      </w:tr>
      <w:tr w14:paraId="16869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dxa"/>
            <w:vAlign w:val="center"/>
          </w:tcPr>
          <w:p w14:paraId="5422591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11</w:t>
            </w:r>
          </w:p>
        </w:tc>
        <w:tc>
          <w:tcPr>
            <w:tcW w:w="1259" w:type="dxa"/>
            <w:vAlign w:val="center"/>
          </w:tcPr>
          <w:p w14:paraId="664717B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default" w:ascii="宋体" w:hAnsi="宋体" w:eastAsia="宋体" w:cs="宋体"/>
                <w:color w:val="auto"/>
                <w:sz w:val="21"/>
                <w:szCs w:val="21"/>
                <w:highlight w:val="none"/>
                <w:u w:val="none"/>
                <w:vertAlign w:val="baseline"/>
                <w:lang w:val="en-US" w:eastAsia="zh-CN"/>
              </w:rPr>
              <w:t>拳击绷带</w:t>
            </w:r>
          </w:p>
        </w:tc>
        <w:tc>
          <w:tcPr>
            <w:tcW w:w="754" w:type="dxa"/>
            <w:vAlign w:val="center"/>
          </w:tcPr>
          <w:p w14:paraId="02EF83A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default" w:ascii="宋体" w:hAnsi="宋体" w:eastAsia="宋体" w:cs="宋体"/>
                <w:color w:val="auto"/>
                <w:sz w:val="21"/>
                <w:szCs w:val="21"/>
                <w:highlight w:val="none"/>
                <w:u w:val="none"/>
                <w:vertAlign w:val="baseline"/>
                <w:lang w:val="en-US" w:eastAsia="zh-CN"/>
              </w:rPr>
              <w:t>350</w:t>
            </w:r>
          </w:p>
        </w:tc>
        <w:tc>
          <w:tcPr>
            <w:tcW w:w="739" w:type="dxa"/>
            <w:vAlign w:val="center"/>
          </w:tcPr>
          <w:p w14:paraId="24DF74C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副</w:t>
            </w:r>
          </w:p>
        </w:tc>
        <w:tc>
          <w:tcPr>
            <w:tcW w:w="5205" w:type="dxa"/>
            <w:vAlign w:val="center"/>
          </w:tcPr>
          <w:p w14:paraId="4554C47E">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default" w:ascii="宋体" w:hAnsi="宋体" w:eastAsia="宋体" w:cs="宋体"/>
                <w:color w:val="auto"/>
                <w:sz w:val="21"/>
                <w:szCs w:val="21"/>
                <w:highlight w:val="none"/>
                <w:u w:val="none"/>
                <w:vertAlign w:val="baseline"/>
                <w:lang w:val="en-US" w:eastAsia="zh-CN"/>
              </w:rPr>
            </w:pPr>
            <w:r>
              <w:rPr>
                <w:rFonts w:hint="default" w:ascii="宋体" w:hAnsi="宋体" w:eastAsia="宋体" w:cs="宋体"/>
                <w:color w:val="auto"/>
                <w:sz w:val="21"/>
                <w:szCs w:val="21"/>
                <w:highlight w:val="none"/>
                <w:u w:val="none"/>
                <w:vertAlign w:val="baseline"/>
                <w:lang w:val="en-US" w:eastAsia="zh-CN"/>
              </w:rPr>
              <w:t>1、规格尺寸：长4500mm、宽57mm；</w:t>
            </w:r>
          </w:p>
          <w:p w14:paraId="2AF0559E">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default" w:ascii="宋体" w:hAnsi="宋体" w:eastAsia="宋体" w:cs="宋体"/>
                <w:color w:val="auto"/>
                <w:sz w:val="21"/>
                <w:szCs w:val="21"/>
                <w:highlight w:val="none"/>
                <w:u w:val="none"/>
                <w:vertAlign w:val="baseline"/>
                <w:lang w:val="en-US" w:eastAsia="zh-CN"/>
              </w:rPr>
            </w:pPr>
            <w:r>
              <w:rPr>
                <w:rFonts w:hint="default" w:ascii="宋体" w:hAnsi="宋体" w:eastAsia="宋体" w:cs="宋体"/>
                <w:color w:val="auto"/>
                <w:sz w:val="21"/>
                <w:szCs w:val="21"/>
                <w:highlight w:val="none"/>
                <w:u w:val="none"/>
                <w:vertAlign w:val="baseline"/>
                <w:lang w:val="en-US" w:eastAsia="zh-CN"/>
              </w:rPr>
              <w:t>2、主要材质：纯棉；</w:t>
            </w:r>
          </w:p>
          <w:p w14:paraId="7879AFD2">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default" w:ascii="宋体" w:hAnsi="宋体" w:eastAsia="宋体" w:cs="宋体"/>
                <w:color w:val="auto"/>
                <w:sz w:val="21"/>
                <w:szCs w:val="21"/>
                <w:highlight w:val="none"/>
                <w:u w:val="none"/>
                <w:vertAlign w:val="baseline"/>
                <w:lang w:val="en-US" w:eastAsia="zh-CN"/>
              </w:rPr>
            </w:pPr>
            <w:r>
              <w:rPr>
                <w:rFonts w:hint="default" w:ascii="宋体" w:hAnsi="宋体" w:eastAsia="宋体" w:cs="宋体"/>
                <w:color w:val="auto"/>
                <w:sz w:val="21"/>
                <w:szCs w:val="21"/>
                <w:highlight w:val="none"/>
                <w:u w:val="none"/>
                <w:vertAlign w:val="baseline"/>
                <w:lang w:val="en-US" w:eastAsia="zh-CN"/>
              </w:rPr>
              <w:t xml:space="preserve">3、配合方便的尼龙自粘设计，在进行搏击运动与训练时更大程度地避免受伤。有红蓝两色。                                                        </w:t>
            </w:r>
          </w:p>
          <w:p w14:paraId="582DC507">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vertAlign w:val="baseline"/>
                <w:lang w:val="en-US" w:eastAsia="zh-CN"/>
              </w:rPr>
            </w:pPr>
            <w:r>
              <w:rPr>
                <w:rFonts w:hint="default" w:ascii="宋体" w:hAnsi="宋体" w:eastAsia="宋体" w:cs="宋体"/>
                <w:color w:val="auto"/>
                <w:sz w:val="21"/>
                <w:szCs w:val="21"/>
                <w:highlight w:val="none"/>
                <w:u w:val="none"/>
                <w:vertAlign w:val="baseline"/>
                <w:lang w:val="en-US" w:eastAsia="zh-CN"/>
              </w:rPr>
              <w:t>4、符合《中国拳击协会业余拳击竞赛规则》对护手绷带全部竞赛要求；自带拇指环及魔术贴锁紧结构；绷带内部不得预置硬质、海绵垫片等异物。纺织品安全性能满足 GB 18401</w:t>
            </w:r>
            <w:r>
              <w:rPr>
                <w:rFonts w:hint="default" w:ascii="宋体" w:hAnsi="宋体" w:eastAsia="宋体" w:cs="宋体"/>
                <w:color w:val="auto"/>
                <w:sz w:val="21"/>
                <w:szCs w:val="21"/>
                <w:highlight w:val="none"/>
                <w:u w:val="none"/>
                <w:vertAlign w:val="baseline"/>
                <w:lang w:val="en-US" w:eastAsia="zh-CN"/>
              </w:rPr>
              <w:noBreakHyphen/>
            </w:r>
            <w:r>
              <w:rPr>
                <w:rFonts w:hint="default" w:ascii="宋体" w:hAnsi="宋体" w:eastAsia="宋体" w:cs="宋体"/>
                <w:color w:val="auto"/>
                <w:sz w:val="21"/>
                <w:szCs w:val="21"/>
                <w:highlight w:val="none"/>
                <w:u w:val="none"/>
                <w:vertAlign w:val="baseline"/>
                <w:lang w:val="en-US" w:eastAsia="zh-CN"/>
              </w:rPr>
              <w:t>2010《国家纺织产品基本安全技术规范》B 类（直接接触皮肤产品）标准。搏击护具通用安全满足 GB/T 42941.1</w:t>
            </w:r>
            <w:r>
              <w:rPr>
                <w:rFonts w:hint="default" w:ascii="宋体" w:hAnsi="宋体" w:eastAsia="宋体" w:cs="宋体"/>
                <w:color w:val="auto"/>
                <w:sz w:val="21"/>
                <w:szCs w:val="21"/>
                <w:highlight w:val="none"/>
                <w:u w:val="none"/>
                <w:vertAlign w:val="baseline"/>
                <w:lang w:val="en-US" w:eastAsia="zh-CN"/>
              </w:rPr>
              <w:noBreakHyphen/>
            </w:r>
            <w:r>
              <w:rPr>
                <w:rFonts w:hint="default" w:ascii="宋体" w:hAnsi="宋体" w:eastAsia="宋体" w:cs="宋体"/>
                <w:color w:val="auto"/>
                <w:sz w:val="21"/>
                <w:szCs w:val="21"/>
                <w:highlight w:val="none"/>
                <w:u w:val="none"/>
                <w:vertAlign w:val="baseline"/>
                <w:lang w:val="en-US" w:eastAsia="zh-CN"/>
              </w:rPr>
              <w:t>2023《运动护具 搏击运动护具 第 1 部分：通用要求与试验方法》标准。</w:t>
            </w:r>
          </w:p>
        </w:tc>
        <w:tc>
          <w:tcPr>
            <w:tcW w:w="1154" w:type="dxa"/>
            <w:vAlign w:val="center"/>
          </w:tcPr>
          <w:p w14:paraId="7F7782D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p>
        </w:tc>
      </w:tr>
      <w:tr w14:paraId="6F838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dxa"/>
            <w:vAlign w:val="center"/>
          </w:tcPr>
          <w:p w14:paraId="3A15AF5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12</w:t>
            </w:r>
          </w:p>
        </w:tc>
        <w:tc>
          <w:tcPr>
            <w:tcW w:w="1259" w:type="dxa"/>
            <w:vAlign w:val="center"/>
          </w:tcPr>
          <w:p w14:paraId="7601D6D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default" w:ascii="宋体" w:hAnsi="宋体" w:eastAsia="宋体" w:cs="宋体"/>
                <w:color w:val="auto"/>
                <w:sz w:val="21"/>
                <w:szCs w:val="21"/>
                <w:highlight w:val="none"/>
                <w:u w:val="none"/>
                <w:vertAlign w:val="baseline"/>
                <w:lang w:val="en-US" w:eastAsia="zh-CN"/>
              </w:rPr>
              <w:t>护裆</w:t>
            </w:r>
          </w:p>
        </w:tc>
        <w:tc>
          <w:tcPr>
            <w:tcW w:w="754" w:type="dxa"/>
            <w:vAlign w:val="center"/>
          </w:tcPr>
          <w:p w14:paraId="329810D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default" w:ascii="宋体" w:hAnsi="宋体" w:eastAsia="宋体" w:cs="宋体"/>
                <w:color w:val="auto"/>
                <w:sz w:val="21"/>
                <w:szCs w:val="21"/>
                <w:highlight w:val="none"/>
                <w:u w:val="none"/>
                <w:vertAlign w:val="baseline"/>
                <w:lang w:val="en-US" w:eastAsia="zh-CN"/>
              </w:rPr>
              <w:t>20</w:t>
            </w:r>
          </w:p>
        </w:tc>
        <w:tc>
          <w:tcPr>
            <w:tcW w:w="739" w:type="dxa"/>
            <w:vAlign w:val="center"/>
          </w:tcPr>
          <w:p w14:paraId="56061F6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套</w:t>
            </w:r>
          </w:p>
        </w:tc>
        <w:tc>
          <w:tcPr>
            <w:tcW w:w="5205" w:type="dxa"/>
            <w:vAlign w:val="center"/>
          </w:tcPr>
          <w:p w14:paraId="2AC8AC5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宋体" w:hAnsi="宋体" w:eastAsia="宋体" w:cs="宋体"/>
                <w:color w:val="auto"/>
                <w:sz w:val="21"/>
                <w:szCs w:val="21"/>
                <w:highlight w:val="none"/>
                <w:u w:val="none"/>
                <w:vertAlign w:val="baseline"/>
                <w:lang w:val="en-US" w:eastAsia="zh-CN"/>
              </w:rPr>
            </w:pPr>
            <w:r>
              <w:rPr>
                <w:rFonts w:hint="default" w:ascii="宋体" w:hAnsi="宋体" w:eastAsia="宋体" w:cs="宋体"/>
                <w:color w:val="auto"/>
                <w:sz w:val="21"/>
                <w:szCs w:val="21"/>
                <w:highlight w:val="none"/>
                <w:u w:val="none"/>
                <w:vertAlign w:val="baseline"/>
                <w:lang w:val="en-US" w:eastAsia="zh-CN"/>
              </w:rPr>
              <w:t>一、材质工艺：高质PU/网纹布；护裆裆部采用网布面料；腰部提花毛面松紧带；护裆内胆为ABS注塑成型外包环保TPR柔性材质。</w:t>
            </w:r>
          </w:p>
          <w:p w14:paraId="7265D339">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宋体" w:hAnsi="宋体" w:eastAsia="宋体" w:cs="宋体"/>
                <w:color w:val="auto"/>
                <w:sz w:val="21"/>
                <w:szCs w:val="21"/>
                <w:highlight w:val="none"/>
                <w:u w:val="none"/>
                <w:vertAlign w:val="baseline"/>
                <w:lang w:val="en-US" w:eastAsia="zh-CN"/>
              </w:rPr>
            </w:pPr>
            <w:r>
              <w:rPr>
                <w:rFonts w:hint="default" w:ascii="宋体" w:hAnsi="宋体" w:eastAsia="宋体" w:cs="宋体"/>
                <w:color w:val="auto"/>
                <w:sz w:val="21"/>
                <w:szCs w:val="21"/>
                <w:highlight w:val="none"/>
                <w:u w:val="none"/>
                <w:vertAlign w:val="baseline"/>
                <w:lang w:val="en-US" w:eastAsia="zh-CN"/>
              </w:rPr>
              <w:t>二、规格：至少配备4种规格，以满足不同体形运动员需求。</w:t>
            </w:r>
          </w:p>
          <w:p w14:paraId="1C4075D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宋体" w:hAnsi="宋体" w:eastAsia="宋体" w:cs="宋体"/>
                <w:color w:val="auto"/>
                <w:sz w:val="21"/>
                <w:szCs w:val="21"/>
                <w:highlight w:val="none"/>
                <w:u w:val="none"/>
                <w:vertAlign w:val="baseline"/>
                <w:lang w:val="en-US" w:eastAsia="zh-CN"/>
              </w:rPr>
            </w:pPr>
            <w:r>
              <w:rPr>
                <w:rFonts w:hint="default" w:ascii="宋体" w:hAnsi="宋体" w:eastAsia="宋体" w:cs="宋体"/>
                <w:color w:val="auto"/>
                <w:sz w:val="21"/>
                <w:szCs w:val="21"/>
                <w:highlight w:val="none"/>
                <w:u w:val="none"/>
                <w:vertAlign w:val="baseline"/>
                <w:lang w:val="en-US" w:eastAsia="zh-CN"/>
              </w:rPr>
              <w:t>三、技术参数：</w:t>
            </w:r>
          </w:p>
          <w:p w14:paraId="52BD5FCF">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宋体" w:hAnsi="宋体" w:eastAsia="宋体" w:cs="宋体"/>
                <w:color w:val="auto"/>
                <w:sz w:val="21"/>
                <w:szCs w:val="21"/>
                <w:highlight w:val="none"/>
                <w:u w:val="none"/>
                <w:vertAlign w:val="baseline"/>
                <w:lang w:val="en-US" w:eastAsia="zh-CN"/>
              </w:rPr>
            </w:pPr>
            <w:r>
              <w:rPr>
                <w:rFonts w:hint="default" w:ascii="宋体" w:hAnsi="宋体" w:eastAsia="宋体" w:cs="宋体"/>
                <w:color w:val="auto"/>
                <w:sz w:val="21"/>
                <w:szCs w:val="21"/>
                <w:highlight w:val="none"/>
                <w:u w:val="none"/>
                <w:vertAlign w:val="baseline"/>
                <w:lang w:val="en-US" w:eastAsia="zh-CN"/>
              </w:rPr>
              <w:t>1.静态承重：承受≥100kg重量，不破裂；</w:t>
            </w:r>
          </w:p>
          <w:p w14:paraId="38D9240B">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宋体" w:hAnsi="宋体" w:eastAsia="宋体" w:cs="宋体"/>
                <w:color w:val="auto"/>
                <w:sz w:val="21"/>
                <w:szCs w:val="21"/>
                <w:highlight w:val="none"/>
                <w:u w:val="none"/>
                <w:vertAlign w:val="baseline"/>
                <w:lang w:val="en-US" w:eastAsia="zh-CN"/>
              </w:rPr>
            </w:pPr>
            <w:r>
              <w:rPr>
                <w:rFonts w:hint="default" w:ascii="宋体" w:hAnsi="宋体" w:eastAsia="宋体" w:cs="宋体"/>
                <w:color w:val="auto"/>
                <w:sz w:val="21"/>
                <w:szCs w:val="21"/>
                <w:highlight w:val="none"/>
                <w:u w:val="none"/>
                <w:vertAlign w:val="baseline"/>
                <w:lang w:val="en-US" w:eastAsia="zh-CN"/>
              </w:rPr>
              <w:t>2.抗冲击力：可承受的最大冲击力不</w:t>
            </w:r>
            <w:r>
              <w:rPr>
                <w:rFonts w:hint="eastAsia" w:ascii="宋体" w:hAnsi="宋体" w:cs="宋体"/>
                <w:color w:val="auto"/>
                <w:sz w:val="21"/>
                <w:szCs w:val="21"/>
                <w:highlight w:val="none"/>
                <w:u w:val="none"/>
                <w:vertAlign w:val="baseline"/>
                <w:lang w:val="en-US" w:eastAsia="zh-CN"/>
              </w:rPr>
              <w:t>小</w:t>
            </w:r>
            <w:r>
              <w:rPr>
                <w:rFonts w:hint="default" w:ascii="宋体" w:hAnsi="宋体" w:eastAsia="宋体" w:cs="宋体"/>
                <w:color w:val="auto"/>
                <w:sz w:val="21"/>
                <w:szCs w:val="21"/>
                <w:highlight w:val="none"/>
                <w:u w:val="none"/>
                <w:vertAlign w:val="baseline"/>
                <w:lang w:val="en-US" w:eastAsia="zh-CN"/>
              </w:rPr>
              <w:t>于3kN。</w:t>
            </w:r>
          </w:p>
        </w:tc>
        <w:tc>
          <w:tcPr>
            <w:tcW w:w="1154" w:type="dxa"/>
            <w:vAlign w:val="center"/>
          </w:tcPr>
          <w:p w14:paraId="69C1B9C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p>
        </w:tc>
      </w:tr>
      <w:tr w14:paraId="7E3E5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dxa"/>
            <w:vAlign w:val="center"/>
          </w:tcPr>
          <w:p w14:paraId="17E9346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13</w:t>
            </w:r>
          </w:p>
        </w:tc>
        <w:tc>
          <w:tcPr>
            <w:tcW w:w="1259" w:type="dxa"/>
            <w:vAlign w:val="center"/>
          </w:tcPr>
          <w:p w14:paraId="7A19ECF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default" w:ascii="宋体" w:hAnsi="宋体" w:eastAsia="宋体" w:cs="宋体"/>
                <w:color w:val="auto"/>
                <w:sz w:val="21"/>
                <w:szCs w:val="21"/>
                <w:highlight w:val="none"/>
                <w:u w:val="none"/>
                <w:vertAlign w:val="baseline"/>
                <w:lang w:val="en-US" w:eastAsia="zh-CN"/>
              </w:rPr>
              <w:t>护胸</w:t>
            </w:r>
          </w:p>
        </w:tc>
        <w:tc>
          <w:tcPr>
            <w:tcW w:w="754" w:type="dxa"/>
            <w:vAlign w:val="center"/>
          </w:tcPr>
          <w:p w14:paraId="52AE533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default" w:ascii="宋体" w:hAnsi="宋体" w:eastAsia="宋体" w:cs="宋体"/>
                <w:color w:val="auto"/>
                <w:sz w:val="21"/>
                <w:szCs w:val="21"/>
                <w:highlight w:val="none"/>
                <w:u w:val="none"/>
                <w:vertAlign w:val="baseline"/>
                <w:lang w:val="en-US" w:eastAsia="zh-CN"/>
              </w:rPr>
              <w:t>20</w:t>
            </w:r>
          </w:p>
        </w:tc>
        <w:tc>
          <w:tcPr>
            <w:tcW w:w="739" w:type="dxa"/>
            <w:vAlign w:val="center"/>
          </w:tcPr>
          <w:p w14:paraId="44E55BA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套</w:t>
            </w:r>
          </w:p>
        </w:tc>
        <w:tc>
          <w:tcPr>
            <w:tcW w:w="5205" w:type="dxa"/>
            <w:vAlign w:val="center"/>
          </w:tcPr>
          <w:p w14:paraId="08318493">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宋体" w:hAnsi="宋体" w:eastAsia="宋体" w:cs="宋体"/>
                <w:color w:val="auto"/>
                <w:sz w:val="21"/>
                <w:szCs w:val="21"/>
                <w:highlight w:val="none"/>
                <w:u w:val="none"/>
                <w:vertAlign w:val="baseline"/>
                <w:lang w:val="en-US" w:eastAsia="zh-CN"/>
              </w:rPr>
            </w:pPr>
            <w:r>
              <w:rPr>
                <w:rFonts w:hint="default" w:ascii="宋体" w:hAnsi="宋体" w:eastAsia="宋体" w:cs="宋体"/>
                <w:color w:val="auto"/>
                <w:sz w:val="21"/>
                <w:szCs w:val="21"/>
                <w:highlight w:val="none"/>
                <w:u w:val="none"/>
                <w:vertAlign w:val="baseline"/>
                <w:lang w:val="en-US" w:eastAsia="zh-CN"/>
              </w:rPr>
              <w:t>一、材质工艺：超纤面料，多种不同硬度海绵、泡沫复合成型内胆。</w:t>
            </w:r>
          </w:p>
          <w:p w14:paraId="420AD3C9">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宋体" w:hAnsi="宋体" w:eastAsia="宋体" w:cs="宋体"/>
                <w:color w:val="auto"/>
                <w:sz w:val="21"/>
                <w:szCs w:val="21"/>
                <w:highlight w:val="none"/>
                <w:u w:val="none"/>
                <w:vertAlign w:val="baseline"/>
                <w:lang w:val="en-US" w:eastAsia="zh-CN"/>
              </w:rPr>
            </w:pPr>
            <w:r>
              <w:rPr>
                <w:rFonts w:hint="default" w:ascii="宋体" w:hAnsi="宋体" w:eastAsia="宋体" w:cs="宋体"/>
                <w:color w:val="auto"/>
                <w:sz w:val="21"/>
                <w:szCs w:val="21"/>
                <w:highlight w:val="none"/>
                <w:u w:val="none"/>
                <w:vertAlign w:val="baseline"/>
                <w:lang w:val="en-US" w:eastAsia="zh-CN"/>
              </w:rPr>
              <w:t>二、规格：至少配备4种规格，以满足不同体形运动员需求。</w:t>
            </w:r>
          </w:p>
          <w:p w14:paraId="0A56A74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宋体" w:hAnsi="宋体" w:eastAsia="宋体" w:cs="宋体"/>
                <w:color w:val="auto"/>
                <w:sz w:val="21"/>
                <w:szCs w:val="21"/>
                <w:highlight w:val="none"/>
                <w:u w:val="none"/>
                <w:vertAlign w:val="baseline"/>
                <w:lang w:val="en-US" w:eastAsia="zh-CN"/>
              </w:rPr>
            </w:pPr>
            <w:r>
              <w:rPr>
                <w:rFonts w:hint="default" w:ascii="宋体" w:hAnsi="宋体" w:eastAsia="宋体" w:cs="宋体"/>
                <w:color w:val="auto"/>
                <w:sz w:val="21"/>
                <w:szCs w:val="21"/>
                <w:highlight w:val="none"/>
                <w:u w:val="none"/>
                <w:vertAlign w:val="baseline"/>
                <w:lang w:val="en-US" w:eastAsia="zh-CN"/>
              </w:rPr>
              <w:t>三、技术参数：</w:t>
            </w:r>
          </w:p>
          <w:p w14:paraId="23144AE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宋体" w:hAnsi="宋体" w:eastAsia="宋体" w:cs="宋体"/>
                <w:color w:val="auto"/>
                <w:sz w:val="21"/>
                <w:szCs w:val="21"/>
                <w:highlight w:val="none"/>
                <w:u w:val="none"/>
                <w:vertAlign w:val="baseline"/>
                <w:lang w:val="en-US" w:eastAsia="zh-CN"/>
              </w:rPr>
            </w:pPr>
            <w:r>
              <w:rPr>
                <w:rFonts w:hint="default" w:ascii="宋体" w:hAnsi="宋体" w:eastAsia="宋体" w:cs="宋体"/>
                <w:color w:val="auto"/>
                <w:sz w:val="21"/>
                <w:szCs w:val="21"/>
                <w:highlight w:val="none"/>
                <w:u w:val="none"/>
                <w:vertAlign w:val="baseline"/>
                <w:lang w:val="en-US" w:eastAsia="zh-CN"/>
              </w:rPr>
              <w:t>1.超纤：撕裂≥40N；剥离≥60N；24h耐水解剥离≥75%；干摩擦4级；耐磨1kg/300次；缝合强度≥180N；</w:t>
            </w:r>
          </w:p>
          <w:p w14:paraId="6A58053C">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宋体" w:hAnsi="宋体" w:eastAsia="宋体" w:cs="宋体"/>
                <w:color w:val="auto"/>
                <w:sz w:val="21"/>
                <w:szCs w:val="21"/>
                <w:highlight w:val="none"/>
                <w:u w:val="none"/>
                <w:vertAlign w:val="baseline"/>
                <w:lang w:val="en-US" w:eastAsia="zh-CN"/>
              </w:rPr>
            </w:pPr>
            <w:r>
              <w:rPr>
                <w:rFonts w:hint="default" w:ascii="宋体" w:hAnsi="宋体" w:eastAsia="宋体" w:cs="宋体"/>
                <w:color w:val="auto"/>
                <w:sz w:val="21"/>
                <w:szCs w:val="21"/>
                <w:highlight w:val="none"/>
                <w:u w:val="none"/>
                <w:vertAlign w:val="baseline"/>
                <w:lang w:val="en-US" w:eastAsia="zh-CN"/>
              </w:rPr>
              <w:t>2.蜂窝网布：撕裂≥40N；干摩擦3～4级；缝合强度≥150N；</w:t>
            </w:r>
          </w:p>
          <w:p w14:paraId="749AB411">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vertAlign w:val="baseline"/>
                <w:lang w:val="en-US" w:eastAsia="zh-CN"/>
              </w:rPr>
            </w:pPr>
            <w:r>
              <w:rPr>
                <w:rFonts w:hint="default" w:ascii="宋体" w:hAnsi="宋体" w:eastAsia="宋体" w:cs="宋体"/>
                <w:color w:val="auto"/>
                <w:sz w:val="21"/>
                <w:szCs w:val="21"/>
                <w:highlight w:val="none"/>
                <w:u w:val="none"/>
                <w:vertAlign w:val="baseline"/>
                <w:lang w:val="en-US" w:eastAsia="zh-CN"/>
              </w:rPr>
              <w:t>3.内胆表面硬度：≥20°。</w:t>
            </w:r>
          </w:p>
        </w:tc>
        <w:tc>
          <w:tcPr>
            <w:tcW w:w="1154" w:type="dxa"/>
            <w:vAlign w:val="center"/>
          </w:tcPr>
          <w:p w14:paraId="751382D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p>
        </w:tc>
      </w:tr>
      <w:tr w14:paraId="18815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dxa"/>
            <w:vAlign w:val="center"/>
          </w:tcPr>
          <w:p w14:paraId="011C659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14</w:t>
            </w:r>
          </w:p>
        </w:tc>
        <w:tc>
          <w:tcPr>
            <w:tcW w:w="1259" w:type="dxa"/>
            <w:vAlign w:val="center"/>
          </w:tcPr>
          <w:p w14:paraId="2507484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default" w:ascii="宋体" w:hAnsi="宋体" w:eastAsia="宋体" w:cs="宋体"/>
                <w:color w:val="auto"/>
                <w:sz w:val="21"/>
                <w:szCs w:val="21"/>
                <w:highlight w:val="none"/>
                <w:u w:val="none"/>
                <w:vertAlign w:val="baseline"/>
                <w:lang w:val="en-US" w:eastAsia="zh-CN"/>
              </w:rPr>
              <w:t>手靶</w:t>
            </w:r>
          </w:p>
        </w:tc>
        <w:tc>
          <w:tcPr>
            <w:tcW w:w="754" w:type="dxa"/>
            <w:vAlign w:val="center"/>
          </w:tcPr>
          <w:p w14:paraId="309E830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default" w:ascii="宋体" w:hAnsi="宋体" w:eastAsia="宋体" w:cs="宋体"/>
                <w:color w:val="auto"/>
                <w:sz w:val="21"/>
                <w:szCs w:val="21"/>
                <w:highlight w:val="none"/>
                <w:u w:val="none"/>
                <w:vertAlign w:val="baseline"/>
                <w:lang w:val="en-US" w:eastAsia="zh-CN"/>
              </w:rPr>
              <w:t>15</w:t>
            </w:r>
          </w:p>
        </w:tc>
        <w:tc>
          <w:tcPr>
            <w:tcW w:w="739" w:type="dxa"/>
            <w:vAlign w:val="center"/>
          </w:tcPr>
          <w:p w14:paraId="78B3B03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个</w:t>
            </w:r>
          </w:p>
        </w:tc>
        <w:tc>
          <w:tcPr>
            <w:tcW w:w="5205" w:type="dxa"/>
            <w:vAlign w:val="center"/>
          </w:tcPr>
          <w:p w14:paraId="4BE39FEC">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宋体" w:hAnsi="宋体" w:eastAsia="宋体" w:cs="宋体"/>
                <w:color w:val="auto"/>
                <w:sz w:val="21"/>
                <w:szCs w:val="21"/>
                <w:highlight w:val="none"/>
                <w:u w:val="none"/>
                <w:vertAlign w:val="baseline"/>
                <w:lang w:val="en-US" w:eastAsia="zh-CN"/>
              </w:rPr>
            </w:pPr>
            <w:r>
              <w:rPr>
                <w:rFonts w:hint="default" w:ascii="宋体" w:hAnsi="宋体" w:eastAsia="宋体" w:cs="宋体"/>
                <w:color w:val="auto"/>
                <w:sz w:val="21"/>
                <w:szCs w:val="21"/>
                <w:highlight w:val="none"/>
                <w:u w:val="none"/>
                <w:vertAlign w:val="baseline"/>
                <w:lang w:val="en-US" w:eastAsia="zh-CN"/>
              </w:rPr>
              <w:t>一、规格尺寸：200mm×250mm×50mm。</w:t>
            </w:r>
          </w:p>
          <w:p w14:paraId="7865217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宋体" w:hAnsi="宋体" w:eastAsia="宋体" w:cs="宋体"/>
                <w:color w:val="auto"/>
                <w:sz w:val="21"/>
                <w:szCs w:val="21"/>
                <w:highlight w:val="none"/>
                <w:u w:val="none"/>
                <w:vertAlign w:val="baseline"/>
                <w:lang w:val="en-US" w:eastAsia="zh-CN"/>
              </w:rPr>
            </w:pPr>
            <w:r>
              <w:rPr>
                <w:rFonts w:hint="default" w:ascii="宋体" w:hAnsi="宋体" w:eastAsia="宋体" w:cs="宋体"/>
                <w:color w:val="auto"/>
                <w:sz w:val="21"/>
                <w:szCs w:val="21"/>
                <w:highlight w:val="none"/>
                <w:u w:val="none"/>
                <w:vertAlign w:val="baseline"/>
                <w:lang w:val="en-US" w:eastAsia="zh-CN"/>
              </w:rPr>
              <w:t>二、材质工艺：PU材质，高密度压缩海绵发泡而成，弯度符合人体手型；持靶面三层加密网布，多种不同硬度泡沫复合成型内胆；手握处窄口人体工学设计，不易脱靶。</w:t>
            </w:r>
          </w:p>
          <w:p w14:paraId="5F9F0721">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宋体" w:hAnsi="宋体" w:eastAsia="宋体" w:cs="宋体"/>
                <w:color w:val="auto"/>
                <w:sz w:val="21"/>
                <w:szCs w:val="21"/>
                <w:highlight w:val="none"/>
                <w:u w:val="none"/>
                <w:vertAlign w:val="baseline"/>
                <w:lang w:val="en-US" w:eastAsia="zh-CN"/>
              </w:rPr>
            </w:pPr>
            <w:r>
              <w:rPr>
                <w:rFonts w:hint="default" w:ascii="宋体" w:hAnsi="宋体" w:eastAsia="宋体" w:cs="宋体"/>
                <w:color w:val="auto"/>
                <w:sz w:val="21"/>
                <w:szCs w:val="21"/>
                <w:highlight w:val="none"/>
                <w:u w:val="none"/>
                <w:vertAlign w:val="baseline"/>
                <w:lang w:val="en-US" w:eastAsia="zh-CN"/>
              </w:rPr>
              <w:t>三、技术参数：</w:t>
            </w:r>
          </w:p>
          <w:p w14:paraId="3575E958">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宋体" w:hAnsi="宋体" w:eastAsia="宋体" w:cs="宋体"/>
                <w:color w:val="auto"/>
                <w:sz w:val="21"/>
                <w:szCs w:val="21"/>
                <w:highlight w:val="none"/>
                <w:u w:val="none"/>
                <w:vertAlign w:val="baseline"/>
                <w:lang w:val="en-US" w:eastAsia="zh-CN"/>
              </w:rPr>
            </w:pPr>
            <w:r>
              <w:rPr>
                <w:rFonts w:hint="default" w:ascii="宋体" w:hAnsi="宋体" w:eastAsia="宋体" w:cs="宋体"/>
                <w:color w:val="auto"/>
                <w:sz w:val="21"/>
                <w:szCs w:val="21"/>
                <w:highlight w:val="none"/>
                <w:u w:val="none"/>
                <w:vertAlign w:val="baseline"/>
                <w:lang w:val="en-US" w:eastAsia="zh-CN"/>
              </w:rPr>
              <w:t>1.超纤面料撕裂≥65N；剥离≥65N；24h耐水解无明显损坏、无分层、无脱皮现象；干摩擦≥4级；耐磨≥1kg/300次无明显磨损；缝合强度≥200N；</w:t>
            </w:r>
          </w:p>
          <w:p w14:paraId="01F1F9D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宋体" w:hAnsi="宋体" w:eastAsia="宋体" w:cs="宋体"/>
                <w:color w:val="auto"/>
                <w:sz w:val="21"/>
                <w:szCs w:val="21"/>
                <w:highlight w:val="none"/>
                <w:u w:val="none"/>
                <w:vertAlign w:val="baseline"/>
                <w:lang w:val="en-US" w:eastAsia="zh-CN"/>
              </w:rPr>
            </w:pPr>
            <w:r>
              <w:rPr>
                <w:rFonts w:hint="default" w:ascii="宋体" w:hAnsi="宋体" w:eastAsia="宋体" w:cs="宋体"/>
                <w:color w:val="auto"/>
                <w:sz w:val="21"/>
                <w:szCs w:val="21"/>
                <w:highlight w:val="none"/>
                <w:u w:val="none"/>
                <w:vertAlign w:val="baseline"/>
                <w:lang w:val="en-US" w:eastAsia="zh-CN"/>
              </w:rPr>
              <w:t>2.加密三层网布：干、湿摩擦≥4级；缝合强度≥200N；</w:t>
            </w:r>
          </w:p>
          <w:p w14:paraId="56F62118">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vertAlign w:val="baseline"/>
                <w:lang w:val="en-US" w:eastAsia="zh-CN"/>
              </w:rPr>
            </w:pPr>
            <w:r>
              <w:rPr>
                <w:rFonts w:hint="default" w:ascii="宋体" w:hAnsi="宋体" w:eastAsia="宋体" w:cs="宋体"/>
                <w:color w:val="auto"/>
                <w:sz w:val="21"/>
                <w:szCs w:val="21"/>
                <w:highlight w:val="none"/>
                <w:u w:val="none"/>
                <w:vertAlign w:val="baseline"/>
                <w:lang w:val="en-US" w:eastAsia="zh-CN"/>
              </w:rPr>
              <w:t>3.击打面硬度≥20°。</w:t>
            </w:r>
          </w:p>
        </w:tc>
        <w:tc>
          <w:tcPr>
            <w:tcW w:w="1154" w:type="dxa"/>
            <w:vAlign w:val="center"/>
          </w:tcPr>
          <w:p w14:paraId="283108E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p>
        </w:tc>
      </w:tr>
    </w:tbl>
    <w:p w14:paraId="19253A34">
      <w:pPr>
        <w:keepNext w:val="0"/>
        <w:keepLines w:val="0"/>
        <w:pageBreakBefore w:val="0"/>
        <w:widowControl w:val="0"/>
        <w:kinsoku/>
        <w:wordWrap/>
        <w:overflowPunct/>
        <w:topLinePunct w:val="0"/>
        <w:autoSpaceDE/>
        <w:autoSpaceDN/>
        <w:bidi w:val="0"/>
        <w:snapToGrid/>
        <w:spacing w:line="360" w:lineRule="auto"/>
        <w:textAlignment w:val="auto"/>
        <w:rPr>
          <w:rFonts w:hint="eastAsia" w:ascii="宋体" w:hAnsi="宋体" w:eastAsia="宋体" w:cs="宋体"/>
          <w:color w:val="auto"/>
          <w:sz w:val="21"/>
          <w:szCs w:val="21"/>
          <w:highlight w:val="none"/>
          <w:u w:val="none"/>
          <w:lang w:val="en-US" w:eastAsia="zh-CN"/>
        </w:rPr>
      </w:pPr>
    </w:p>
    <w:p w14:paraId="23F35A2B">
      <w:pPr>
        <w:keepNext w:val="0"/>
        <w:keepLines w:val="0"/>
        <w:pageBreakBefore w:val="0"/>
        <w:widowControl w:val="0"/>
        <w:numPr>
          <w:ilvl w:val="0"/>
          <w:numId w:val="0"/>
        </w:numPr>
        <w:kinsoku/>
        <w:wordWrap/>
        <w:overflowPunct/>
        <w:topLinePunct w:val="0"/>
        <w:autoSpaceDE/>
        <w:autoSpaceDN/>
        <w:bidi w:val="0"/>
        <w:snapToGrid/>
        <w:spacing w:line="360" w:lineRule="auto"/>
        <w:textAlignment w:val="auto"/>
        <w:rPr>
          <w:rFonts w:hint="eastAsia" w:ascii="宋体" w:hAnsi="宋体" w:eastAsia="宋体" w:cs="宋体"/>
          <w:b/>
          <w:bCs/>
          <w:color w:val="auto"/>
          <w:sz w:val="21"/>
          <w:szCs w:val="21"/>
          <w:highlight w:val="none"/>
          <w:u w:val="none"/>
          <w:lang w:val="en-US" w:eastAsia="zh-CN"/>
        </w:rPr>
      </w:pPr>
      <w:r>
        <w:rPr>
          <w:rFonts w:hint="eastAsia" w:ascii="宋体" w:hAnsi="宋体" w:cs="宋体"/>
          <w:b/>
          <w:bCs/>
          <w:color w:val="auto"/>
          <w:sz w:val="21"/>
          <w:szCs w:val="21"/>
          <w:highlight w:val="none"/>
          <w:u w:val="none"/>
          <w:lang w:val="en-US" w:eastAsia="zh-CN"/>
        </w:rPr>
        <w:t>三</w:t>
      </w:r>
      <w:r>
        <w:rPr>
          <w:rFonts w:hint="eastAsia" w:ascii="宋体" w:hAnsi="宋体" w:eastAsia="宋体" w:cs="宋体"/>
          <w:b/>
          <w:bCs/>
          <w:color w:val="auto"/>
          <w:sz w:val="21"/>
          <w:szCs w:val="21"/>
          <w:highlight w:val="none"/>
          <w:u w:val="none"/>
          <w:lang w:val="en-US" w:eastAsia="zh-CN"/>
        </w:rPr>
        <w:t>、样品要求</w:t>
      </w:r>
    </w:p>
    <w:p w14:paraId="70F42211">
      <w:pPr>
        <w:pageBreakBefore w:val="0"/>
        <w:numPr>
          <w:ilvl w:val="0"/>
          <w:numId w:val="0"/>
        </w:numPr>
        <w:kinsoku/>
        <w:wordWrap/>
        <w:overflowPunct/>
        <w:topLinePunct w:val="0"/>
        <w:bidi w:val="0"/>
        <w:spacing w:line="360" w:lineRule="auto"/>
        <w:ind w:firstLine="422" w:firstLineChars="200"/>
        <w:rPr>
          <w:rFonts w:hint="eastAsia" w:ascii="宋体" w:hAnsi="宋体" w:eastAsia="宋体" w:cs="宋体"/>
          <w:snapToGrid w:val="0"/>
          <w:color w:val="auto"/>
          <w:kern w:val="28"/>
          <w:sz w:val="21"/>
          <w:szCs w:val="21"/>
          <w:highlight w:val="none"/>
          <w:lang w:val="en-US" w:eastAsia="zh-CN"/>
        </w:rPr>
      </w:pPr>
      <w:r>
        <w:rPr>
          <w:rFonts w:hint="eastAsia" w:ascii="宋体" w:hAnsi="宋体" w:cs="宋体"/>
          <w:b/>
          <w:bCs/>
          <w:snapToGrid w:val="0"/>
          <w:color w:val="auto"/>
          <w:kern w:val="28"/>
          <w:sz w:val="21"/>
          <w:szCs w:val="21"/>
          <w:highlight w:val="none"/>
          <w:lang w:val="en-US" w:eastAsia="zh-CN" w:bidi="ar-SA"/>
        </w:rPr>
        <w:t>1、</w:t>
      </w:r>
      <w:r>
        <w:rPr>
          <w:rFonts w:hint="eastAsia" w:ascii="宋体" w:hAnsi="宋体" w:eastAsia="宋体" w:cs="宋体"/>
          <w:b/>
          <w:bCs/>
          <w:snapToGrid w:val="0"/>
          <w:color w:val="auto"/>
          <w:kern w:val="28"/>
          <w:sz w:val="21"/>
          <w:szCs w:val="21"/>
          <w:highlight w:val="none"/>
        </w:rPr>
        <w:t>样品</w:t>
      </w:r>
      <w:r>
        <w:rPr>
          <w:rFonts w:hint="eastAsia" w:ascii="宋体" w:hAnsi="宋体" w:eastAsia="宋体" w:cs="宋体"/>
          <w:b/>
          <w:bCs/>
          <w:snapToGrid w:val="0"/>
          <w:color w:val="auto"/>
          <w:kern w:val="28"/>
          <w:sz w:val="21"/>
          <w:szCs w:val="21"/>
          <w:highlight w:val="none"/>
          <w:lang w:val="en-US" w:eastAsia="zh-CN"/>
        </w:rPr>
        <w:t>种类及数量</w:t>
      </w:r>
      <w:r>
        <w:rPr>
          <w:rFonts w:hint="eastAsia" w:ascii="宋体" w:hAnsi="宋体" w:eastAsia="宋体" w:cs="宋体"/>
          <w:b/>
          <w:bCs/>
          <w:snapToGrid w:val="0"/>
          <w:color w:val="auto"/>
          <w:kern w:val="28"/>
          <w:sz w:val="21"/>
          <w:szCs w:val="21"/>
          <w:highlight w:val="none"/>
        </w:rPr>
        <w:t>：</w:t>
      </w:r>
      <w:r>
        <w:rPr>
          <w:rFonts w:hint="eastAsia" w:ascii="宋体" w:hAnsi="宋体" w:eastAsia="宋体" w:cs="宋体"/>
          <w:b w:val="0"/>
          <w:bCs w:val="0"/>
          <w:snapToGrid w:val="0"/>
          <w:color w:val="auto"/>
          <w:kern w:val="28"/>
          <w:sz w:val="21"/>
          <w:szCs w:val="21"/>
          <w:highlight w:val="none"/>
        </w:rPr>
        <w:t xml:space="preserve"> </w:t>
      </w:r>
      <w:r>
        <w:rPr>
          <w:rFonts w:hint="eastAsia" w:ascii="宋体" w:hAnsi="宋体" w:cs="宋体"/>
          <w:b w:val="0"/>
          <w:bCs w:val="0"/>
          <w:snapToGrid w:val="0"/>
          <w:color w:val="auto"/>
          <w:kern w:val="28"/>
          <w:sz w:val="21"/>
          <w:szCs w:val="21"/>
          <w:highlight w:val="none"/>
          <w:lang w:val="en-US" w:eastAsia="zh-CN"/>
        </w:rPr>
        <w:t>本次采购项目核心产品为</w:t>
      </w:r>
      <w:r>
        <w:rPr>
          <w:rFonts w:hint="eastAsia" w:ascii="宋体" w:hAnsi="宋体" w:eastAsia="宋体" w:cs="宋体"/>
          <w:b w:val="0"/>
          <w:bCs w:val="0"/>
          <w:snapToGrid w:val="0"/>
          <w:color w:val="auto"/>
          <w:kern w:val="28"/>
          <w:sz w:val="21"/>
          <w:szCs w:val="21"/>
          <w:highlight w:val="none"/>
          <w:lang w:val="en-US" w:eastAsia="zh-CN"/>
        </w:rPr>
        <w:t>比赛垫子(含保护区）（柔道项目）</w:t>
      </w:r>
      <w:r>
        <w:rPr>
          <w:rFonts w:hint="eastAsia" w:ascii="宋体" w:hAnsi="宋体" w:cs="宋体"/>
          <w:b w:val="0"/>
          <w:bCs w:val="0"/>
          <w:snapToGrid w:val="0"/>
          <w:color w:val="auto"/>
          <w:kern w:val="28"/>
          <w:sz w:val="21"/>
          <w:szCs w:val="21"/>
          <w:highlight w:val="none"/>
          <w:lang w:val="en-US" w:eastAsia="zh-CN"/>
        </w:rPr>
        <w:t>，所有参与谈判的供应商必须在响应文件递交截止时间前，提交该核心产品小样。统一规格：</w:t>
      </w:r>
      <w:r>
        <w:rPr>
          <w:rFonts w:hint="eastAsia" w:ascii="宋体" w:hAnsi="宋体" w:eastAsia="宋体" w:cs="宋体"/>
          <w:color w:val="auto"/>
          <w:kern w:val="2"/>
          <w:sz w:val="21"/>
          <w:szCs w:val="21"/>
          <w:highlight w:val="none"/>
          <w:vertAlign w:val="baseline"/>
          <w:lang w:val="en-US" w:eastAsia="zh-CN" w:bidi="ar-SA"/>
        </w:rPr>
        <w:t>20cm×20cm，包括柔道布、柔性层及防滑层</w:t>
      </w:r>
      <w:r>
        <w:rPr>
          <w:rFonts w:hint="eastAsia" w:ascii="宋体" w:hAnsi="宋体" w:cs="宋体"/>
          <w:b w:val="0"/>
          <w:bCs w:val="0"/>
          <w:snapToGrid w:val="0"/>
          <w:color w:val="auto"/>
          <w:kern w:val="28"/>
          <w:sz w:val="21"/>
          <w:szCs w:val="21"/>
          <w:highlight w:val="none"/>
          <w:lang w:val="en-US" w:eastAsia="zh-CN"/>
        </w:rPr>
        <w:t>，数量：一式2份，密封，</w:t>
      </w:r>
      <w:r>
        <w:rPr>
          <w:rFonts w:hint="eastAsia" w:ascii="宋体" w:hAnsi="宋体" w:eastAsia="宋体" w:cs="宋体"/>
          <w:snapToGrid w:val="0"/>
          <w:color w:val="auto"/>
          <w:kern w:val="28"/>
          <w:sz w:val="21"/>
          <w:szCs w:val="21"/>
          <w:highlight w:val="none"/>
          <w:lang w:val="en-US" w:eastAsia="zh-CN"/>
        </w:rPr>
        <w:t>以邮寄或现场递交的方式，于响应文件递交截止时间前分别递交至评审主场及评审副场。未按要求提交样品、样品参数不达标、样品缺失或逾期提交的，将被认定为无效</w:t>
      </w:r>
      <w:r>
        <w:rPr>
          <w:rFonts w:hint="eastAsia" w:ascii="宋体" w:hAnsi="宋体" w:cs="宋体"/>
          <w:snapToGrid w:val="0"/>
          <w:color w:val="auto"/>
          <w:kern w:val="28"/>
          <w:sz w:val="21"/>
          <w:szCs w:val="21"/>
          <w:highlight w:val="none"/>
          <w:lang w:val="en-US" w:eastAsia="zh-CN"/>
        </w:rPr>
        <w:t>响应</w:t>
      </w:r>
      <w:r>
        <w:rPr>
          <w:rFonts w:hint="eastAsia" w:ascii="宋体" w:hAnsi="宋体" w:eastAsia="宋体" w:cs="宋体"/>
          <w:snapToGrid w:val="0"/>
          <w:color w:val="auto"/>
          <w:kern w:val="28"/>
          <w:sz w:val="21"/>
          <w:szCs w:val="21"/>
          <w:highlight w:val="none"/>
          <w:lang w:val="en-US" w:eastAsia="zh-CN"/>
        </w:rPr>
        <w:t>。</w:t>
      </w:r>
    </w:p>
    <w:p w14:paraId="33A17C59">
      <w:pPr>
        <w:pageBreakBefore w:val="0"/>
        <w:kinsoku/>
        <w:wordWrap/>
        <w:overflowPunct/>
        <w:topLinePunct w:val="0"/>
        <w:bidi w:val="0"/>
        <w:spacing w:line="360" w:lineRule="auto"/>
        <w:ind w:firstLine="422" w:firstLineChars="200"/>
        <w:rPr>
          <w:rFonts w:hint="eastAsia" w:ascii="宋体" w:hAnsi="宋体" w:eastAsia="宋体" w:cs="宋体"/>
          <w:b/>
          <w:bCs/>
          <w:snapToGrid w:val="0"/>
          <w:color w:val="auto"/>
          <w:kern w:val="28"/>
          <w:sz w:val="21"/>
          <w:szCs w:val="21"/>
          <w:highlight w:val="none"/>
        </w:rPr>
      </w:pPr>
      <w:r>
        <w:rPr>
          <w:rFonts w:hint="eastAsia" w:ascii="宋体" w:hAnsi="宋体" w:cs="宋体"/>
          <w:b/>
          <w:bCs/>
          <w:snapToGrid w:val="0"/>
          <w:color w:val="auto"/>
          <w:kern w:val="28"/>
          <w:sz w:val="21"/>
          <w:szCs w:val="21"/>
          <w:highlight w:val="none"/>
          <w:lang w:val="en-US" w:eastAsia="zh-CN"/>
        </w:rPr>
        <w:t>2、</w:t>
      </w:r>
      <w:r>
        <w:rPr>
          <w:rFonts w:hint="eastAsia" w:ascii="宋体" w:hAnsi="宋体" w:eastAsia="宋体" w:cs="宋体"/>
          <w:b/>
          <w:bCs/>
          <w:snapToGrid w:val="0"/>
          <w:color w:val="auto"/>
          <w:kern w:val="28"/>
          <w:sz w:val="21"/>
          <w:szCs w:val="21"/>
          <w:highlight w:val="none"/>
        </w:rPr>
        <w:t>样品制作的标准和要求：</w:t>
      </w:r>
    </w:p>
    <w:p w14:paraId="29D425ED">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eastAsia" w:ascii="宋体" w:hAnsi="宋体" w:eastAsia="宋体" w:cs="宋体"/>
          <w:snapToGrid w:val="0"/>
          <w:color w:val="auto"/>
          <w:kern w:val="28"/>
          <w:sz w:val="21"/>
          <w:szCs w:val="21"/>
          <w:highlight w:val="none"/>
          <w:lang w:val="en-US" w:eastAsia="zh-CN"/>
        </w:rPr>
      </w:pPr>
      <w:r>
        <w:rPr>
          <w:rFonts w:hint="eastAsia" w:ascii="宋体" w:hAnsi="宋体" w:eastAsia="宋体" w:cs="宋体"/>
          <w:snapToGrid w:val="0"/>
          <w:color w:val="auto"/>
          <w:kern w:val="28"/>
          <w:sz w:val="21"/>
          <w:szCs w:val="21"/>
          <w:highlight w:val="none"/>
          <w:lang w:val="en-US" w:eastAsia="zh-CN"/>
        </w:rPr>
        <w:t>①样品需完整对应成品各层级结构，不得裁剪单一材质层，需完整呈现产品</w:t>
      </w:r>
      <w:r>
        <w:rPr>
          <w:rFonts w:hint="eastAsia" w:ascii="宋体" w:hAnsi="宋体" w:cs="宋体"/>
          <w:snapToGrid w:val="0"/>
          <w:color w:val="auto"/>
          <w:kern w:val="28"/>
          <w:sz w:val="21"/>
          <w:szCs w:val="21"/>
          <w:highlight w:val="none"/>
          <w:lang w:val="en-US" w:eastAsia="zh-CN"/>
        </w:rPr>
        <w:t>上</w:t>
      </w:r>
      <w:r>
        <w:rPr>
          <w:rFonts w:hint="eastAsia" w:ascii="宋体" w:hAnsi="宋体" w:eastAsia="宋体" w:cs="宋体"/>
          <w:snapToGrid w:val="0"/>
          <w:color w:val="auto"/>
          <w:kern w:val="28"/>
          <w:sz w:val="21"/>
          <w:szCs w:val="21"/>
          <w:highlight w:val="none"/>
          <w:lang w:val="en-US" w:eastAsia="zh-CN"/>
        </w:rPr>
        <w:t>表层</w:t>
      </w:r>
      <w:r>
        <w:rPr>
          <w:rFonts w:hint="eastAsia" w:ascii="宋体" w:hAnsi="宋体" w:cs="宋体"/>
          <w:snapToGrid w:val="0"/>
          <w:color w:val="auto"/>
          <w:kern w:val="28"/>
          <w:sz w:val="21"/>
          <w:szCs w:val="21"/>
          <w:highlight w:val="none"/>
          <w:lang w:val="en-US" w:eastAsia="zh-CN"/>
        </w:rPr>
        <w:t>，内胎上层、</w:t>
      </w:r>
      <w:r>
        <w:rPr>
          <w:rFonts w:hint="eastAsia" w:ascii="宋体" w:hAnsi="宋体" w:eastAsia="宋体" w:cs="宋体"/>
          <w:snapToGrid w:val="0"/>
          <w:color w:val="auto"/>
          <w:kern w:val="28"/>
          <w:sz w:val="21"/>
          <w:szCs w:val="21"/>
          <w:highlight w:val="none"/>
          <w:lang w:val="en-US" w:eastAsia="zh-CN"/>
        </w:rPr>
        <w:t>中层</w:t>
      </w:r>
      <w:r>
        <w:rPr>
          <w:rFonts w:hint="eastAsia" w:ascii="宋体" w:hAnsi="宋体" w:cs="宋体"/>
          <w:snapToGrid w:val="0"/>
          <w:color w:val="auto"/>
          <w:kern w:val="28"/>
          <w:sz w:val="21"/>
          <w:szCs w:val="21"/>
          <w:highlight w:val="none"/>
          <w:lang w:val="en-US" w:eastAsia="zh-CN"/>
        </w:rPr>
        <w:t>、下层，以及底部的全部</w:t>
      </w:r>
      <w:r>
        <w:rPr>
          <w:rFonts w:hint="eastAsia" w:ascii="宋体" w:hAnsi="宋体" w:eastAsia="宋体" w:cs="宋体"/>
          <w:snapToGrid w:val="0"/>
          <w:color w:val="auto"/>
          <w:kern w:val="28"/>
          <w:sz w:val="21"/>
          <w:szCs w:val="21"/>
          <w:highlight w:val="none"/>
          <w:lang w:val="en-US" w:eastAsia="zh-CN"/>
        </w:rPr>
        <w:t>结构。</w:t>
      </w:r>
    </w:p>
    <w:p w14:paraId="7C133899">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eastAsia" w:ascii="宋体" w:hAnsi="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②样品表面平整、无破损、无翘曲、无污渍、无明显色差，边缘切割整齐，结构分层清晰，无脱层、开裂、变形等质量缺陷，完全模拟成品生产工艺及材质配比。</w:t>
      </w:r>
    </w:p>
    <w:p w14:paraId="4761B1AD">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default" w:ascii="宋体" w:hAnsi="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③所有技术参数、材质性能、工艺标准必须完全匹配采购需求中核心产品的全部技术指标，所有指标需100%达标，无偏差、无降级；</w:t>
      </w:r>
    </w:p>
    <w:p w14:paraId="6CFDFFBC">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cs="宋体"/>
          <w:snapToGrid w:val="0"/>
          <w:color w:val="auto"/>
          <w:kern w:val="28"/>
          <w:sz w:val="21"/>
          <w:szCs w:val="21"/>
          <w:highlight w:val="none"/>
          <w:lang w:val="en-US" w:eastAsia="zh-CN"/>
        </w:rPr>
        <w:t>④随样品</w:t>
      </w:r>
      <w:r>
        <w:rPr>
          <w:rFonts w:hint="eastAsia" w:ascii="宋体" w:hAnsi="宋体" w:cs="宋体"/>
          <w:color w:val="auto"/>
          <w:sz w:val="21"/>
          <w:szCs w:val="21"/>
          <w:highlight w:val="none"/>
          <w:u w:val="none"/>
          <w:vertAlign w:val="baseline"/>
          <w:lang w:val="en-US" w:eastAsia="zh-CN"/>
        </w:rPr>
        <w:t>配备</w:t>
      </w:r>
      <w:r>
        <w:rPr>
          <w:rFonts w:hint="eastAsia" w:ascii="宋体" w:hAnsi="宋体" w:eastAsia="宋体" w:cs="宋体"/>
          <w:color w:val="auto"/>
          <w:sz w:val="21"/>
          <w:szCs w:val="21"/>
          <w:highlight w:val="none"/>
          <w:u w:val="none"/>
          <w:lang w:val="en-US" w:eastAsia="zh-CN"/>
        </w:rPr>
        <w:t>第三方检测机构出具的</w:t>
      </w:r>
      <w:r>
        <w:rPr>
          <w:rFonts w:hint="eastAsia" w:ascii="宋体" w:hAnsi="宋体" w:cs="宋体"/>
          <w:color w:val="auto"/>
          <w:sz w:val="21"/>
          <w:szCs w:val="21"/>
          <w:highlight w:val="none"/>
          <w:u w:val="none"/>
          <w:lang w:val="en-US" w:eastAsia="zh-CN"/>
        </w:rPr>
        <w:t>产品</w:t>
      </w:r>
      <w:r>
        <w:rPr>
          <w:rFonts w:hint="eastAsia" w:ascii="宋体" w:hAnsi="宋体" w:eastAsia="宋体" w:cs="宋体"/>
          <w:color w:val="auto"/>
          <w:sz w:val="21"/>
          <w:szCs w:val="21"/>
          <w:highlight w:val="none"/>
          <w:u w:val="none"/>
          <w:lang w:val="en-US" w:eastAsia="zh-CN"/>
        </w:rPr>
        <w:t>检测报告</w:t>
      </w:r>
      <w:r>
        <w:rPr>
          <w:rFonts w:hint="eastAsia" w:ascii="宋体" w:hAnsi="宋体" w:eastAsia="宋体" w:cs="宋体"/>
          <w:color w:val="auto"/>
          <w:sz w:val="21"/>
          <w:szCs w:val="21"/>
          <w:highlight w:val="none"/>
          <w:u w:val="none"/>
          <w:vertAlign w:val="baseline"/>
          <w:lang w:val="en-US" w:eastAsia="zh-CN"/>
        </w:rPr>
        <w:t>，并加盖供应商公章；</w:t>
      </w:r>
    </w:p>
    <w:p w14:paraId="29F00F4F">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⑤</w:t>
      </w:r>
      <w:r>
        <w:rPr>
          <w:rFonts w:hint="eastAsia" w:ascii="宋体" w:hAnsi="宋体" w:eastAsia="宋体" w:cs="宋体"/>
          <w:color w:val="auto"/>
          <w:sz w:val="21"/>
          <w:szCs w:val="21"/>
          <w:highlight w:val="none"/>
          <w:u w:val="none"/>
          <w:vertAlign w:val="baseline"/>
          <w:lang w:val="en-US" w:eastAsia="zh-CN"/>
        </w:rPr>
        <w:t>样品需张贴标签，标注项目名称、供应商名称、样品</w:t>
      </w:r>
      <w:r>
        <w:rPr>
          <w:rFonts w:hint="eastAsia" w:ascii="宋体" w:hAnsi="宋体" w:cs="宋体"/>
          <w:color w:val="auto"/>
          <w:sz w:val="21"/>
          <w:szCs w:val="21"/>
          <w:highlight w:val="none"/>
          <w:u w:val="none"/>
          <w:vertAlign w:val="baseline"/>
          <w:lang w:val="en-US" w:eastAsia="zh-CN"/>
        </w:rPr>
        <w:t>品类等</w:t>
      </w:r>
      <w:r>
        <w:rPr>
          <w:rFonts w:hint="eastAsia" w:ascii="宋体" w:hAnsi="宋体" w:eastAsia="宋体" w:cs="宋体"/>
          <w:color w:val="auto"/>
          <w:sz w:val="21"/>
          <w:szCs w:val="21"/>
          <w:highlight w:val="none"/>
          <w:u w:val="none"/>
          <w:vertAlign w:val="baseline"/>
          <w:lang w:val="en-US" w:eastAsia="zh-CN"/>
        </w:rPr>
        <w:t>说明；</w:t>
      </w:r>
    </w:p>
    <w:p w14:paraId="2D8DEEB4">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⑥</w:t>
      </w:r>
      <w:r>
        <w:rPr>
          <w:rFonts w:hint="eastAsia" w:ascii="宋体" w:hAnsi="宋体" w:eastAsia="宋体" w:cs="宋体"/>
          <w:color w:val="auto"/>
          <w:sz w:val="21"/>
          <w:szCs w:val="21"/>
          <w:highlight w:val="none"/>
          <w:u w:val="none"/>
          <w:vertAlign w:val="baseline"/>
          <w:lang w:val="en-US" w:eastAsia="zh-CN"/>
        </w:rPr>
        <w:t>所有样品需无偿提交采购人，评审结束后采购人统一留存归档，不予退还。</w:t>
      </w:r>
    </w:p>
    <w:p w14:paraId="3A338B6F">
      <w:pPr>
        <w:pageBreakBefore w:val="0"/>
        <w:numPr>
          <w:ilvl w:val="0"/>
          <w:numId w:val="0"/>
        </w:numPr>
        <w:kinsoku/>
        <w:wordWrap/>
        <w:overflowPunct/>
        <w:topLinePunct w:val="0"/>
        <w:bidi w:val="0"/>
        <w:spacing w:line="360" w:lineRule="auto"/>
        <w:ind w:firstLine="422" w:firstLineChars="200"/>
        <w:rPr>
          <w:rFonts w:hint="eastAsia" w:ascii="宋体" w:hAnsi="宋体" w:eastAsia="宋体" w:cs="宋体"/>
          <w:b/>
          <w:bCs/>
          <w:snapToGrid w:val="0"/>
          <w:color w:val="auto"/>
          <w:kern w:val="28"/>
          <w:sz w:val="21"/>
          <w:szCs w:val="21"/>
          <w:highlight w:val="none"/>
        </w:rPr>
      </w:pPr>
      <w:r>
        <w:rPr>
          <w:rFonts w:hint="eastAsia" w:ascii="宋体" w:hAnsi="宋体" w:cs="宋体"/>
          <w:b/>
          <w:bCs/>
          <w:color w:val="auto"/>
          <w:kern w:val="0"/>
          <w:sz w:val="21"/>
          <w:szCs w:val="21"/>
          <w:highlight w:val="none"/>
          <w:lang w:val="en-US" w:eastAsia="zh-CN"/>
        </w:rPr>
        <w:t>3、</w:t>
      </w:r>
      <w:r>
        <w:rPr>
          <w:rFonts w:hint="eastAsia" w:ascii="宋体" w:hAnsi="宋体" w:eastAsia="宋体" w:cs="宋体"/>
          <w:b/>
          <w:bCs/>
          <w:color w:val="auto"/>
          <w:kern w:val="0"/>
          <w:sz w:val="21"/>
          <w:szCs w:val="21"/>
          <w:highlight w:val="none"/>
        </w:rPr>
        <w:t>样品的评审方法以及评审标准</w:t>
      </w:r>
      <w:r>
        <w:rPr>
          <w:rFonts w:hint="eastAsia" w:ascii="宋体" w:hAnsi="宋体" w:eastAsia="宋体" w:cs="宋体"/>
          <w:b/>
          <w:bCs/>
          <w:snapToGrid w:val="0"/>
          <w:color w:val="auto"/>
          <w:kern w:val="28"/>
          <w:sz w:val="21"/>
          <w:szCs w:val="21"/>
          <w:highlight w:val="none"/>
        </w:rPr>
        <w:t>：</w:t>
      </w:r>
    </w:p>
    <w:p w14:paraId="0554EBF4">
      <w:pPr>
        <w:pageBreakBefore w:val="0"/>
        <w:numPr>
          <w:ilvl w:val="0"/>
          <w:numId w:val="0"/>
        </w:numPr>
        <w:kinsoku/>
        <w:wordWrap/>
        <w:overflowPunct/>
        <w:topLinePunct w:val="0"/>
        <w:bidi w:val="0"/>
        <w:spacing w:line="360" w:lineRule="auto"/>
        <w:ind w:firstLine="420" w:firstLineChars="200"/>
        <w:rPr>
          <w:rFonts w:hint="eastAsia" w:ascii="宋体" w:hAnsi="宋体" w:eastAsia="宋体" w:cs="宋体"/>
          <w:snapToGrid w:val="0"/>
          <w:color w:val="auto"/>
          <w:kern w:val="28"/>
          <w:sz w:val="21"/>
          <w:szCs w:val="21"/>
          <w:highlight w:val="none"/>
        </w:rPr>
      </w:pPr>
      <w:r>
        <w:rPr>
          <w:rFonts w:hint="eastAsia" w:ascii="宋体" w:hAnsi="宋体" w:eastAsia="宋体" w:cs="宋体"/>
          <w:snapToGrid w:val="0"/>
          <w:color w:val="auto"/>
          <w:kern w:val="28"/>
          <w:sz w:val="21"/>
          <w:szCs w:val="21"/>
          <w:highlight w:val="none"/>
          <w:lang w:val="en-US" w:eastAsia="zh-CN"/>
        </w:rPr>
        <w:t>①样品规格尺寸精准、结构分层完整、无破损变形、工艺规整</w:t>
      </w:r>
      <w:r>
        <w:rPr>
          <w:rFonts w:hint="eastAsia" w:ascii="宋体" w:hAnsi="宋体" w:eastAsia="宋体" w:cs="宋体"/>
          <w:snapToGrid w:val="0"/>
          <w:color w:val="auto"/>
          <w:kern w:val="28"/>
          <w:sz w:val="21"/>
          <w:szCs w:val="21"/>
          <w:highlight w:val="none"/>
        </w:rPr>
        <w:t>；</w:t>
      </w:r>
    </w:p>
    <w:p w14:paraId="200DB6CC">
      <w:pPr>
        <w:pageBreakBefore w:val="0"/>
        <w:kinsoku/>
        <w:wordWrap/>
        <w:overflowPunct/>
        <w:topLinePunct w:val="0"/>
        <w:bidi w:val="0"/>
        <w:spacing w:line="360" w:lineRule="auto"/>
        <w:ind w:firstLine="420" w:firstLineChars="200"/>
        <w:rPr>
          <w:rFonts w:hint="eastAsia" w:ascii="宋体" w:hAnsi="宋体" w:eastAsia="宋体" w:cs="宋体"/>
          <w:snapToGrid w:val="0"/>
          <w:color w:val="auto"/>
          <w:kern w:val="28"/>
          <w:sz w:val="21"/>
          <w:szCs w:val="21"/>
          <w:highlight w:val="none"/>
        </w:rPr>
      </w:pPr>
      <w:r>
        <w:rPr>
          <w:rFonts w:hint="eastAsia" w:ascii="宋体" w:hAnsi="宋体" w:eastAsia="宋体" w:cs="宋体"/>
          <w:snapToGrid w:val="0"/>
          <w:color w:val="auto"/>
          <w:kern w:val="28"/>
          <w:sz w:val="21"/>
          <w:szCs w:val="21"/>
          <w:highlight w:val="none"/>
          <w:lang w:val="en-US" w:eastAsia="zh-CN"/>
        </w:rPr>
        <w:t>②对照采购需求全部技术参数，逐项核验样品材质、密度、拉伸、撕裂、伸长率等核心指标，全部达标</w:t>
      </w:r>
      <w:r>
        <w:rPr>
          <w:rFonts w:hint="eastAsia" w:ascii="宋体" w:hAnsi="宋体" w:eastAsia="宋体" w:cs="宋体"/>
          <w:snapToGrid w:val="0"/>
          <w:color w:val="auto"/>
          <w:kern w:val="28"/>
          <w:sz w:val="21"/>
          <w:szCs w:val="21"/>
          <w:highlight w:val="none"/>
        </w:rPr>
        <w:t>；</w:t>
      </w:r>
    </w:p>
    <w:p w14:paraId="219B81A2">
      <w:pPr>
        <w:pageBreakBefore w:val="0"/>
        <w:kinsoku/>
        <w:wordWrap/>
        <w:overflowPunct/>
        <w:topLinePunct w:val="0"/>
        <w:bidi w:val="0"/>
        <w:spacing w:line="360" w:lineRule="auto"/>
        <w:ind w:firstLine="420" w:firstLineChars="200"/>
        <w:rPr>
          <w:rFonts w:hint="eastAsia" w:ascii="宋体" w:hAnsi="宋体" w:eastAsia="宋体" w:cs="宋体"/>
          <w:snapToGrid w:val="0"/>
          <w:color w:val="auto"/>
          <w:kern w:val="28"/>
          <w:sz w:val="21"/>
          <w:szCs w:val="21"/>
          <w:highlight w:val="none"/>
        </w:rPr>
      </w:pPr>
      <w:r>
        <w:rPr>
          <w:rFonts w:hint="eastAsia" w:ascii="宋体" w:hAnsi="宋体" w:eastAsia="宋体" w:cs="宋体"/>
          <w:snapToGrid w:val="0"/>
          <w:color w:val="auto"/>
          <w:kern w:val="28"/>
          <w:sz w:val="21"/>
          <w:szCs w:val="21"/>
          <w:highlight w:val="none"/>
          <w:lang w:val="en-US" w:eastAsia="zh-CN"/>
        </w:rPr>
        <w:t>③样品减震、回弹、刚度、摩擦系数、耐折度、环保性能等全部符合国标及柔联标准</w:t>
      </w:r>
      <w:r>
        <w:rPr>
          <w:rFonts w:hint="eastAsia" w:ascii="宋体" w:hAnsi="宋体" w:eastAsia="宋体" w:cs="宋体"/>
          <w:snapToGrid w:val="0"/>
          <w:color w:val="auto"/>
          <w:kern w:val="28"/>
          <w:sz w:val="21"/>
          <w:szCs w:val="21"/>
          <w:highlight w:val="none"/>
        </w:rPr>
        <w:t>；</w:t>
      </w:r>
    </w:p>
    <w:p w14:paraId="756BC9A7">
      <w:pPr>
        <w:pageBreakBefore w:val="0"/>
        <w:kinsoku/>
        <w:wordWrap/>
        <w:overflowPunct/>
        <w:topLinePunct w:val="0"/>
        <w:bidi w:val="0"/>
        <w:spacing w:line="360" w:lineRule="auto"/>
        <w:ind w:firstLine="420" w:firstLineChars="200"/>
        <w:rPr>
          <w:rFonts w:hint="eastAsia" w:ascii="宋体" w:hAnsi="宋体" w:eastAsia="宋体" w:cs="宋体"/>
          <w:snapToGrid w:val="0"/>
          <w:color w:val="auto"/>
          <w:kern w:val="28"/>
          <w:sz w:val="21"/>
          <w:szCs w:val="21"/>
          <w:highlight w:val="none"/>
        </w:rPr>
      </w:pPr>
      <w:r>
        <w:rPr>
          <w:rFonts w:hint="eastAsia" w:ascii="宋体" w:hAnsi="宋体" w:eastAsia="宋体" w:cs="宋体"/>
          <w:snapToGrid w:val="0"/>
          <w:color w:val="auto"/>
          <w:kern w:val="28"/>
          <w:sz w:val="21"/>
          <w:szCs w:val="21"/>
          <w:highlight w:val="none"/>
          <w:lang w:val="en-US" w:eastAsia="zh-CN"/>
        </w:rPr>
        <w:t>④检测项目完整、参数对应精准</w:t>
      </w:r>
      <w:r>
        <w:rPr>
          <w:rFonts w:hint="eastAsia" w:ascii="宋体" w:hAnsi="宋体" w:cs="宋体"/>
          <w:snapToGrid w:val="0"/>
          <w:color w:val="auto"/>
          <w:kern w:val="28"/>
          <w:sz w:val="21"/>
          <w:szCs w:val="21"/>
          <w:highlight w:val="none"/>
          <w:lang w:val="en-US" w:eastAsia="zh-CN"/>
        </w:rPr>
        <w:t>，没有项目漏项、参数不符。</w:t>
      </w:r>
    </w:p>
    <w:p w14:paraId="40D0789B">
      <w:pPr>
        <w:pageBreakBefore w:val="0"/>
        <w:numPr>
          <w:ilvl w:val="0"/>
          <w:numId w:val="0"/>
        </w:numPr>
        <w:kinsoku/>
        <w:wordWrap/>
        <w:overflowPunct/>
        <w:topLinePunct w:val="0"/>
        <w:bidi w:val="0"/>
        <w:spacing w:line="360" w:lineRule="auto"/>
        <w:ind w:firstLine="422" w:firstLineChars="200"/>
        <w:rPr>
          <w:rFonts w:hint="eastAsia" w:ascii="宋体" w:hAnsi="宋体" w:eastAsia="宋体" w:cs="宋体"/>
          <w:color w:val="auto"/>
          <w:kern w:val="0"/>
          <w:sz w:val="21"/>
          <w:szCs w:val="21"/>
          <w:highlight w:val="none"/>
        </w:rPr>
      </w:pPr>
      <w:r>
        <w:rPr>
          <w:rFonts w:hint="eastAsia" w:ascii="宋体" w:hAnsi="宋体" w:cs="宋体"/>
          <w:b/>
          <w:bCs/>
          <w:color w:val="auto"/>
          <w:kern w:val="0"/>
          <w:sz w:val="21"/>
          <w:szCs w:val="21"/>
          <w:highlight w:val="none"/>
          <w:lang w:val="en-US" w:eastAsia="zh-CN"/>
        </w:rPr>
        <w:t>4、</w:t>
      </w:r>
      <w:r>
        <w:rPr>
          <w:rFonts w:hint="eastAsia" w:ascii="宋体" w:hAnsi="宋体" w:eastAsia="宋体" w:cs="宋体"/>
          <w:b/>
          <w:bCs/>
          <w:color w:val="auto"/>
          <w:kern w:val="0"/>
          <w:sz w:val="21"/>
          <w:szCs w:val="21"/>
          <w:highlight w:val="none"/>
        </w:rPr>
        <w:t>需要随样品提交检测报告：</w:t>
      </w:r>
      <w:r>
        <w:rPr>
          <w:rFonts w:hint="eastAsia" w:ascii="宋体" w:hAnsi="宋体" w:cs="宋体"/>
          <w:color w:val="auto"/>
          <w:kern w:val="0"/>
          <w:sz w:val="21"/>
          <w:szCs w:val="21"/>
          <w:highlight w:val="none"/>
          <w:lang w:val="en-US" w:eastAsia="zh-CN"/>
        </w:rPr>
        <w:t>由</w:t>
      </w:r>
      <w:r>
        <w:rPr>
          <w:rFonts w:hint="eastAsia" w:ascii="宋体" w:hAnsi="宋体" w:eastAsia="宋体" w:cs="宋体"/>
          <w:color w:val="auto"/>
          <w:sz w:val="21"/>
          <w:szCs w:val="21"/>
          <w:highlight w:val="none"/>
        </w:rPr>
        <w:t>第三方检测机构出具的检测报告，并加盖供应商公章</w:t>
      </w:r>
      <w:r>
        <w:rPr>
          <w:rFonts w:hint="eastAsia" w:ascii="宋体" w:hAnsi="宋体" w:cs="宋体"/>
          <w:color w:val="auto"/>
          <w:sz w:val="21"/>
          <w:szCs w:val="21"/>
          <w:highlight w:val="none"/>
          <w:lang w:eastAsia="zh-CN"/>
        </w:rPr>
        <w:t>。</w:t>
      </w:r>
      <w:r>
        <w:rPr>
          <w:rFonts w:hint="eastAsia" w:ascii="宋体" w:hAnsi="宋体" w:eastAsia="宋体" w:cs="宋体"/>
          <w:color w:val="auto"/>
          <w:kern w:val="0"/>
          <w:sz w:val="21"/>
          <w:szCs w:val="21"/>
          <w:highlight w:val="none"/>
        </w:rPr>
        <w:t>检测内容需覆盖</w:t>
      </w:r>
      <w:r>
        <w:rPr>
          <w:rFonts w:hint="eastAsia" w:ascii="宋体" w:hAnsi="宋体" w:cs="宋体"/>
          <w:color w:val="auto"/>
          <w:kern w:val="0"/>
          <w:sz w:val="21"/>
          <w:szCs w:val="21"/>
          <w:highlight w:val="none"/>
          <w:lang w:val="en-US" w:eastAsia="zh-CN"/>
        </w:rPr>
        <w:t>本项目采购需求所列明</w:t>
      </w:r>
      <w:r>
        <w:rPr>
          <w:rFonts w:hint="eastAsia" w:ascii="宋体" w:hAnsi="宋体" w:eastAsia="宋体" w:cs="宋体"/>
          <w:color w:val="auto"/>
          <w:kern w:val="0"/>
          <w:sz w:val="21"/>
          <w:szCs w:val="21"/>
          <w:highlight w:val="none"/>
        </w:rPr>
        <w:t>的全部</w:t>
      </w:r>
      <w:r>
        <w:rPr>
          <w:rFonts w:hint="eastAsia" w:ascii="宋体" w:hAnsi="宋体" w:cs="宋体"/>
          <w:color w:val="auto"/>
          <w:kern w:val="0"/>
          <w:sz w:val="21"/>
          <w:szCs w:val="21"/>
          <w:highlight w:val="none"/>
          <w:lang w:val="en-US" w:eastAsia="zh-CN"/>
        </w:rPr>
        <w:t>产品</w:t>
      </w:r>
      <w:r>
        <w:rPr>
          <w:rFonts w:hint="eastAsia" w:ascii="宋体" w:hAnsi="宋体" w:eastAsia="宋体" w:cs="宋体"/>
          <w:color w:val="auto"/>
          <w:kern w:val="0"/>
          <w:sz w:val="21"/>
          <w:szCs w:val="21"/>
          <w:highlight w:val="none"/>
        </w:rPr>
        <w:t>技术性能指标，包含材质参数、物理性能、冲击性能、环保性能等，不得缺项、漏项。</w:t>
      </w:r>
      <w:r>
        <w:rPr>
          <w:rFonts w:hint="eastAsia" w:ascii="宋体" w:hAnsi="宋体" w:eastAsia="宋体" w:cs="宋体"/>
          <w:color w:val="auto"/>
          <w:kern w:val="2"/>
          <w:sz w:val="21"/>
          <w:szCs w:val="21"/>
          <w:highlight w:val="none"/>
          <w:vertAlign w:val="baseline"/>
          <w:lang w:val="en-US" w:eastAsia="zh-CN" w:bidi="ar-SA"/>
        </w:rPr>
        <w:t>环保性能指标须达到GB/T 30419、GB/T 36793合格标准</w:t>
      </w:r>
      <w:r>
        <w:rPr>
          <w:rFonts w:hint="eastAsia" w:ascii="宋体" w:hAnsi="宋体" w:cs="宋体"/>
          <w:color w:val="auto"/>
          <w:kern w:val="2"/>
          <w:sz w:val="21"/>
          <w:szCs w:val="21"/>
          <w:highlight w:val="none"/>
          <w:vertAlign w:val="baseline"/>
          <w:lang w:val="en-US" w:eastAsia="zh-CN" w:bidi="ar-SA"/>
        </w:rPr>
        <w:t>。</w:t>
      </w:r>
    </w:p>
    <w:p w14:paraId="57EEDFE7">
      <w:pPr>
        <w:pageBreakBefore w:val="0"/>
        <w:numPr>
          <w:ilvl w:val="0"/>
          <w:numId w:val="0"/>
        </w:numPr>
        <w:kinsoku/>
        <w:wordWrap/>
        <w:overflowPunct/>
        <w:topLinePunct w:val="0"/>
        <w:bidi w:val="0"/>
        <w:spacing w:line="360" w:lineRule="auto"/>
        <w:ind w:firstLine="422" w:firstLineChars="200"/>
        <w:rPr>
          <w:rFonts w:hint="eastAsia" w:ascii="宋体" w:hAnsi="宋体" w:eastAsia="宋体" w:cs="宋体"/>
          <w:color w:val="auto"/>
          <w:kern w:val="0"/>
          <w:sz w:val="21"/>
          <w:szCs w:val="21"/>
          <w:highlight w:val="none"/>
        </w:rPr>
      </w:pPr>
      <w:r>
        <w:rPr>
          <w:rFonts w:hint="eastAsia" w:ascii="宋体" w:hAnsi="宋体" w:cs="宋体"/>
          <w:b/>
          <w:bCs/>
          <w:color w:val="auto"/>
          <w:kern w:val="0"/>
          <w:sz w:val="21"/>
          <w:szCs w:val="21"/>
          <w:highlight w:val="none"/>
          <w:lang w:val="en-US" w:eastAsia="zh-CN"/>
        </w:rPr>
        <w:t>5、后续履约要求：</w:t>
      </w:r>
      <w:r>
        <w:rPr>
          <w:rFonts w:hint="eastAsia" w:ascii="宋体" w:hAnsi="宋体" w:eastAsia="宋体" w:cs="宋体"/>
          <w:color w:val="auto"/>
          <w:kern w:val="0"/>
          <w:sz w:val="21"/>
          <w:szCs w:val="21"/>
          <w:highlight w:val="none"/>
        </w:rPr>
        <w:t>项目履约交货时，供应商需再次提供完整的产品检测报告原件备查，样品检测报告不作为最终交货检测依据，最终产品质量以交货抽检、复检结果为准。</w:t>
      </w:r>
    </w:p>
    <w:p w14:paraId="09C9370A">
      <w:pPr>
        <w:pageBreakBefore w:val="0"/>
        <w:kinsoku/>
        <w:wordWrap/>
        <w:overflowPunct/>
        <w:topLinePunct w:val="0"/>
        <w:bidi w:val="0"/>
        <w:spacing w:line="360" w:lineRule="auto"/>
        <w:ind w:firstLine="422" w:firstLineChars="200"/>
        <w:rPr>
          <w:rFonts w:hint="eastAsia" w:ascii="宋体" w:hAnsi="宋体" w:eastAsia="宋体" w:cs="宋体"/>
          <w:color w:val="auto"/>
          <w:sz w:val="21"/>
          <w:szCs w:val="21"/>
          <w:highlight w:val="none"/>
          <w:lang w:val="en-US" w:eastAsia="zh-CN"/>
        </w:rPr>
      </w:pPr>
      <w:r>
        <w:rPr>
          <w:rFonts w:hint="eastAsia" w:ascii="宋体" w:hAnsi="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提供样品的时间：</w:t>
      </w:r>
      <w:r>
        <w:rPr>
          <w:rFonts w:hint="eastAsia" w:ascii="宋体" w:hAnsi="宋体" w:eastAsia="宋体" w:cs="宋体"/>
          <w:color w:val="auto"/>
          <w:sz w:val="21"/>
          <w:szCs w:val="21"/>
          <w:highlight w:val="none"/>
          <w:lang w:val="en-US" w:eastAsia="zh-CN"/>
        </w:rPr>
        <w:t>于响应文件递交截止时间前分别递交至评审主场及评审副场。</w:t>
      </w:r>
    </w:p>
    <w:p w14:paraId="4100031F">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评审主场：北海市海城区银河城市科技产业城2幢0101号 韦丽丹 0779-3928925</w:t>
      </w:r>
    </w:p>
    <w:p w14:paraId="37297053">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评审副场：广西北部湾宏亚建设管理有限公司靖西分公司（靖西市吉祥路古力屯三产用地峰珲体育三楼） 农工 0776-6180899</w:t>
      </w:r>
    </w:p>
    <w:p w14:paraId="68D5CE35">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请供应商在上述时间内提供样品</w:t>
      </w:r>
      <w:r>
        <w:rPr>
          <w:rFonts w:hint="eastAsia" w:ascii="宋体" w:hAnsi="宋体" w:eastAsia="宋体" w:cs="宋体"/>
          <w:color w:val="auto"/>
          <w:sz w:val="21"/>
          <w:szCs w:val="21"/>
          <w:highlight w:val="none"/>
          <w:lang w:val="en-US" w:eastAsia="zh-CN"/>
        </w:rPr>
        <w:t>至指定地点</w:t>
      </w:r>
      <w:r>
        <w:rPr>
          <w:rFonts w:hint="eastAsia" w:ascii="宋体" w:hAnsi="宋体" w:eastAsia="宋体" w:cs="宋体"/>
          <w:color w:val="auto"/>
          <w:sz w:val="21"/>
          <w:szCs w:val="21"/>
          <w:highlight w:val="none"/>
        </w:rPr>
        <w:t>。超过截止时间的，采购人或采购代理机构将不予接收。</w:t>
      </w:r>
    </w:p>
    <w:p w14:paraId="20523DB7">
      <w:pPr>
        <w:keepNext w:val="0"/>
        <w:keepLines w:val="0"/>
        <w:pageBreakBefore w:val="0"/>
        <w:widowControl w:val="0"/>
        <w:numPr>
          <w:ilvl w:val="0"/>
          <w:numId w:val="0"/>
        </w:numPr>
        <w:kinsoku/>
        <w:wordWrap/>
        <w:overflowPunct/>
        <w:topLinePunct w:val="0"/>
        <w:autoSpaceDE/>
        <w:autoSpaceDN/>
        <w:bidi w:val="0"/>
        <w:snapToGrid/>
        <w:spacing w:line="360" w:lineRule="auto"/>
        <w:ind w:firstLine="422" w:firstLineChars="200"/>
        <w:textAlignment w:val="auto"/>
        <w:rPr>
          <w:rFonts w:hint="default" w:ascii="宋体" w:hAnsi="宋体" w:cs="宋体"/>
          <w:color w:val="auto"/>
          <w:sz w:val="21"/>
          <w:szCs w:val="21"/>
          <w:highlight w:val="none"/>
          <w:u w:val="none"/>
          <w:vertAlign w:val="baseline"/>
          <w:lang w:val="en-US" w:eastAsia="zh-CN"/>
        </w:rPr>
      </w:pPr>
      <w:r>
        <w:rPr>
          <w:rFonts w:hint="eastAsia" w:ascii="宋体" w:hAnsi="宋体" w:cs="宋体"/>
          <w:b/>
          <w:bCs/>
          <w:color w:val="auto"/>
          <w:sz w:val="21"/>
          <w:szCs w:val="21"/>
          <w:highlight w:val="none"/>
          <w:lang w:val="en-US" w:eastAsia="zh-CN"/>
        </w:rPr>
        <w:t>7、样品制作的费用：</w:t>
      </w:r>
      <w:r>
        <w:rPr>
          <w:rFonts w:hint="eastAsia" w:ascii="宋体" w:hAnsi="宋体" w:cs="宋体"/>
          <w:color w:val="auto"/>
          <w:sz w:val="21"/>
          <w:szCs w:val="21"/>
          <w:highlight w:val="none"/>
          <w:lang w:val="en-US" w:eastAsia="zh-CN"/>
        </w:rPr>
        <w:t>样品</w:t>
      </w:r>
      <w:r>
        <w:rPr>
          <w:rFonts w:hint="eastAsia" w:ascii="宋体" w:hAnsi="宋体" w:eastAsia="宋体" w:cs="宋体"/>
          <w:color w:val="auto"/>
          <w:sz w:val="21"/>
          <w:szCs w:val="21"/>
          <w:highlight w:val="none"/>
        </w:rPr>
        <w:t>制作、运输、安装和保管样品所发生的一切费用由供应商自理。</w:t>
      </w:r>
      <w:r>
        <w:rPr>
          <w:rFonts w:hint="default" w:ascii="宋体" w:hAnsi="宋体" w:cs="宋体"/>
          <w:color w:val="auto"/>
          <w:sz w:val="21"/>
          <w:szCs w:val="21"/>
          <w:highlight w:val="none"/>
          <w:u w:val="none"/>
          <w:vertAlign w:val="baseline"/>
          <w:lang w:val="en-US" w:eastAsia="zh-CN"/>
        </w:rPr>
        <w:t>采购人不另行支付样品制作费用。</w:t>
      </w:r>
    </w:p>
    <w:p w14:paraId="29DCCB52">
      <w:pPr>
        <w:keepNext w:val="0"/>
        <w:keepLines w:val="0"/>
        <w:pageBreakBefore w:val="0"/>
        <w:widowControl w:val="0"/>
        <w:numPr>
          <w:ilvl w:val="0"/>
          <w:numId w:val="0"/>
        </w:numPr>
        <w:kinsoku/>
        <w:wordWrap/>
        <w:overflowPunct/>
        <w:topLinePunct w:val="0"/>
        <w:autoSpaceDE/>
        <w:autoSpaceDN/>
        <w:bidi w:val="0"/>
        <w:snapToGrid/>
        <w:spacing w:line="360" w:lineRule="auto"/>
        <w:textAlignment w:val="auto"/>
        <w:rPr>
          <w:rFonts w:hint="eastAsia" w:ascii="宋体" w:hAnsi="宋体" w:cs="宋体"/>
          <w:b/>
          <w:bCs/>
          <w:color w:val="auto"/>
          <w:sz w:val="21"/>
          <w:szCs w:val="21"/>
          <w:highlight w:val="none"/>
          <w:u w:val="none"/>
          <w:vertAlign w:val="baseline"/>
          <w:lang w:val="en-US" w:eastAsia="zh-CN"/>
        </w:rPr>
      </w:pPr>
      <w:r>
        <w:rPr>
          <w:rFonts w:hint="eastAsia" w:ascii="宋体" w:hAnsi="宋体" w:cs="宋体"/>
          <w:b/>
          <w:bCs/>
          <w:color w:val="auto"/>
          <w:kern w:val="2"/>
          <w:sz w:val="21"/>
          <w:szCs w:val="21"/>
          <w:highlight w:val="none"/>
          <w:vertAlign w:val="baseline"/>
          <w:lang w:val="en-US" w:eastAsia="zh-CN" w:bidi="ar-SA"/>
        </w:rPr>
        <w:t>四</w:t>
      </w:r>
      <w:r>
        <w:rPr>
          <w:rFonts w:hint="eastAsia" w:ascii="宋体" w:hAnsi="宋体" w:eastAsia="宋体" w:cs="宋体"/>
          <w:b/>
          <w:bCs/>
          <w:color w:val="auto"/>
          <w:kern w:val="2"/>
          <w:sz w:val="21"/>
          <w:szCs w:val="21"/>
          <w:highlight w:val="none"/>
          <w:vertAlign w:val="baseline"/>
          <w:lang w:val="en-US" w:eastAsia="zh-CN" w:bidi="ar-SA"/>
        </w:rPr>
        <w:t>、</w:t>
      </w:r>
      <w:r>
        <w:rPr>
          <w:rFonts w:hint="eastAsia" w:ascii="宋体" w:hAnsi="宋体" w:cs="宋体"/>
          <w:b/>
          <w:bCs/>
          <w:color w:val="auto"/>
          <w:sz w:val="21"/>
          <w:szCs w:val="21"/>
          <w:highlight w:val="none"/>
          <w:u w:val="none"/>
          <w:vertAlign w:val="baseline"/>
          <w:lang w:val="en-US" w:eastAsia="zh-CN"/>
        </w:rPr>
        <w:t>商务要求</w:t>
      </w:r>
    </w:p>
    <w:p w14:paraId="37187FC6">
      <w:pPr>
        <w:keepNext w:val="0"/>
        <w:keepLines w:val="0"/>
        <w:pageBreakBefore w:val="0"/>
        <w:widowControl w:val="0"/>
        <w:numPr>
          <w:ilvl w:val="0"/>
          <w:numId w:val="0"/>
        </w:numPr>
        <w:kinsoku/>
        <w:wordWrap/>
        <w:overflowPunct/>
        <w:topLinePunct w:val="0"/>
        <w:autoSpaceDE/>
        <w:autoSpaceDN/>
        <w:bidi w:val="0"/>
        <w:snapToGrid/>
        <w:spacing w:line="360" w:lineRule="auto"/>
        <w:ind w:firstLine="422" w:firstLineChars="200"/>
        <w:textAlignment w:val="auto"/>
        <w:rPr>
          <w:rFonts w:hint="eastAsia" w:ascii="宋体" w:hAnsi="宋体" w:eastAsia="宋体" w:cs="宋体"/>
          <w:b/>
          <w:bCs/>
          <w:color w:val="auto"/>
          <w:kern w:val="2"/>
          <w:sz w:val="21"/>
          <w:szCs w:val="21"/>
          <w:highlight w:val="none"/>
          <w:vertAlign w:val="baseline"/>
          <w:lang w:val="en-US" w:eastAsia="zh-CN" w:bidi="ar-SA"/>
        </w:rPr>
      </w:pPr>
      <w:bookmarkStart w:id="64" w:name="heading_0"/>
      <w:r>
        <w:rPr>
          <w:rFonts w:hint="eastAsia" w:ascii="宋体" w:hAnsi="宋体" w:cs="宋体"/>
          <w:b/>
          <w:bCs/>
          <w:color w:val="auto"/>
          <w:kern w:val="2"/>
          <w:sz w:val="21"/>
          <w:szCs w:val="21"/>
          <w:highlight w:val="none"/>
          <w:vertAlign w:val="baseline"/>
          <w:lang w:val="en-US" w:eastAsia="zh-CN" w:bidi="ar-SA"/>
        </w:rPr>
        <w:t>（</w:t>
      </w:r>
      <w:r>
        <w:rPr>
          <w:rFonts w:hint="eastAsia" w:ascii="宋体" w:hAnsi="宋体" w:eastAsia="宋体" w:cs="宋体"/>
          <w:b/>
          <w:bCs/>
          <w:color w:val="auto"/>
          <w:kern w:val="2"/>
          <w:sz w:val="21"/>
          <w:szCs w:val="21"/>
          <w:highlight w:val="none"/>
          <w:vertAlign w:val="baseline"/>
          <w:lang w:val="en-US" w:eastAsia="zh-CN" w:bidi="ar-SA"/>
        </w:rPr>
        <w:t>一</w:t>
      </w:r>
      <w:r>
        <w:rPr>
          <w:rFonts w:hint="eastAsia" w:ascii="宋体" w:hAnsi="宋体" w:cs="宋体"/>
          <w:b/>
          <w:bCs/>
          <w:color w:val="auto"/>
          <w:kern w:val="2"/>
          <w:sz w:val="21"/>
          <w:szCs w:val="21"/>
          <w:highlight w:val="none"/>
          <w:vertAlign w:val="baseline"/>
          <w:lang w:val="en-US" w:eastAsia="zh-CN" w:bidi="ar-SA"/>
        </w:rPr>
        <w:t>）</w:t>
      </w:r>
      <w:r>
        <w:rPr>
          <w:rFonts w:hint="eastAsia" w:ascii="宋体" w:hAnsi="宋体" w:eastAsia="宋体" w:cs="宋体"/>
          <w:b/>
          <w:bCs/>
          <w:color w:val="auto"/>
          <w:kern w:val="2"/>
          <w:sz w:val="21"/>
          <w:szCs w:val="21"/>
          <w:highlight w:val="none"/>
          <w:vertAlign w:val="baseline"/>
          <w:lang w:val="en-US" w:eastAsia="zh-CN" w:bidi="ar-SA"/>
        </w:rPr>
        <w:t>交货时间、地点及交付要求</w:t>
      </w:r>
      <w:bookmarkEnd w:id="64"/>
    </w:p>
    <w:p w14:paraId="4B0B38C0">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eastAsia" w:ascii="宋体" w:hAnsi="宋体" w:eastAsia="宋体" w:cs="宋体"/>
          <w:b w:val="0"/>
          <w:bCs w:val="0"/>
          <w:color w:val="auto"/>
          <w:kern w:val="2"/>
          <w:sz w:val="21"/>
          <w:szCs w:val="21"/>
          <w:highlight w:val="none"/>
          <w:vertAlign w:val="baseline"/>
          <w:lang w:val="en-US" w:eastAsia="zh-CN" w:bidi="ar-SA"/>
        </w:rPr>
      </w:pPr>
      <w:r>
        <w:rPr>
          <w:rFonts w:hint="eastAsia" w:ascii="宋体" w:hAnsi="宋体" w:cs="宋体"/>
          <w:b w:val="0"/>
          <w:bCs w:val="0"/>
          <w:color w:val="auto"/>
          <w:kern w:val="2"/>
          <w:sz w:val="21"/>
          <w:szCs w:val="21"/>
          <w:highlight w:val="none"/>
          <w:vertAlign w:val="baseline"/>
          <w:lang w:val="en-US" w:eastAsia="zh-CN" w:bidi="ar-SA"/>
        </w:rPr>
        <w:t>1、</w:t>
      </w:r>
      <w:r>
        <w:rPr>
          <w:rFonts w:hint="eastAsia" w:ascii="宋体" w:hAnsi="宋体" w:eastAsia="宋体" w:cs="宋体"/>
          <w:b w:val="0"/>
          <w:bCs w:val="0"/>
          <w:color w:val="auto"/>
          <w:kern w:val="2"/>
          <w:sz w:val="21"/>
          <w:szCs w:val="21"/>
          <w:highlight w:val="none"/>
          <w:vertAlign w:val="baseline"/>
          <w:lang w:val="en-US" w:eastAsia="zh-CN" w:bidi="ar-SA"/>
        </w:rPr>
        <w:t>总体交付时限：供应商须严格贴合各赛事报到及竞赛日程，在对应项目赛事报到日前，完成全部设备供货、安装、铺设、调试、校准、试运行工作，确保设备完整达标、可直接投入赛事使用；全部设备整体终验工作</w:t>
      </w:r>
      <w:r>
        <w:rPr>
          <w:rFonts w:hint="eastAsia" w:ascii="宋体" w:hAnsi="宋体" w:cs="宋体"/>
          <w:b w:val="0"/>
          <w:bCs w:val="0"/>
          <w:color w:val="auto"/>
          <w:kern w:val="2"/>
          <w:sz w:val="21"/>
          <w:szCs w:val="21"/>
          <w:highlight w:val="none"/>
          <w:vertAlign w:val="baseline"/>
          <w:lang w:val="en-US" w:eastAsia="zh-CN" w:bidi="ar-SA"/>
        </w:rPr>
        <w:t>将</w:t>
      </w:r>
      <w:r>
        <w:rPr>
          <w:rFonts w:hint="eastAsia" w:ascii="宋体" w:hAnsi="宋体" w:eastAsia="宋体" w:cs="宋体"/>
          <w:b w:val="0"/>
          <w:bCs w:val="0"/>
          <w:color w:val="auto"/>
          <w:kern w:val="2"/>
          <w:sz w:val="21"/>
          <w:szCs w:val="21"/>
          <w:highlight w:val="none"/>
          <w:vertAlign w:val="baseline"/>
          <w:lang w:val="en-US" w:eastAsia="zh-CN" w:bidi="ar-SA"/>
        </w:rPr>
        <w:t>在所有赛事全部结束后3个工作日内完成。各分项赛事交付节点严格匹配项目赛程，不得延误赛事筹备工作。</w:t>
      </w:r>
    </w:p>
    <w:p w14:paraId="27F482C2">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Chars="200"/>
        <w:textAlignment w:val="auto"/>
        <w:rPr>
          <w:rFonts w:hint="eastAsia" w:ascii="宋体" w:hAnsi="宋体" w:cs="宋体"/>
          <w:b/>
          <w:bCs/>
          <w:color w:val="auto"/>
          <w:sz w:val="21"/>
          <w:szCs w:val="21"/>
          <w:highlight w:val="none"/>
          <w:lang w:val="en-US" w:eastAsia="zh-CN"/>
        </w:rPr>
      </w:pPr>
      <w:r>
        <w:rPr>
          <w:rFonts w:hint="eastAsia" w:ascii="宋体" w:hAnsi="宋体" w:cs="宋体"/>
          <w:b/>
          <w:bCs/>
          <w:color w:val="auto"/>
          <w:kern w:val="2"/>
          <w:sz w:val="21"/>
          <w:szCs w:val="21"/>
          <w:highlight w:val="none"/>
          <w:vertAlign w:val="baseline"/>
          <w:lang w:val="en-US" w:eastAsia="zh-CN" w:bidi="ar-SA"/>
        </w:rPr>
        <w:t>各分项赛事报到时间</w:t>
      </w:r>
      <w:r>
        <w:rPr>
          <w:rFonts w:hint="eastAsia" w:ascii="宋体" w:hAnsi="宋体" w:eastAsia="宋体" w:cs="宋体"/>
          <w:b/>
          <w:bCs/>
          <w:color w:val="auto"/>
          <w:kern w:val="2"/>
          <w:sz w:val="21"/>
          <w:szCs w:val="21"/>
          <w:highlight w:val="none"/>
          <w:vertAlign w:val="baseline"/>
          <w:lang w:val="en-US" w:eastAsia="zh-CN" w:bidi="ar-SA"/>
        </w:rPr>
        <w:t>：</w:t>
      </w:r>
      <w:r>
        <w:rPr>
          <w:rFonts w:hint="eastAsia" w:ascii="宋体" w:hAnsi="宋体" w:cs="宋体"/>
          <w:b/>
          <w:bCs/>
          <w:color w:val="auto"/>
          <w:sz w:val="21"/>
          <w:szCs w:val="21"/>
          <w:highlight w:val="none"/>
          <w:lang w:val="en-US" w:eastAsia="zh-CN"/>
        </w:rPr>
        <w:t>柔道项目报到时间：2026年9月19日；跆拳道项目报到时间：2026年</w:t>
      </w:r>
    </w:p>
    <w:p w14:paraId="0A1571EA">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textAlignment w:val="auto"/>
        <w:rPr>
          <w:rFonts w:hint="eastAsia"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9月18日；摔跤项目报到时间：2026年9月11日；拳击项目报到时间：2026年9月10日。</w:t>
      </w:r>
    </w:p>
    <w:p w14:paraId="1AD206FA">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eastAsia" w:ascii="宋体" w:hAnsi="宋体" w:eastAsia="宋体" w:cs="宋体"/>
          <w:b w:val="0"/>
          <w:bCs w:val="0"/>
          <w:color w:val="auto"/>
          <w:kern w:val="2"/>
          <w:sz w:val="21"/>
          <w:szCs w:val="21"/>
          <w:highlight w:val="none"/>
          <w:vertAlign w:val="baseline"/>
          <w:lang w:val="en-US" w:eastAsia="zh-CN" w:bidi="ar-SA"/>
        </w:rPr>
      </w:pPr>
      <w:r>
        <w:rPr>
          <w:rFonts w:hint="eastAsia" w:ascii="宋体" w:hAnsi="宋体" w:cs="宋体"/>
          <w:b w:val="0"/>
          <w:bCs w:val="0"/>
          <w:color w:val="auto"/>
          <w:kern w:val="2"/>
          <w:sz w:val="21"/>
          <w:szCs w:val="21"/>
          <w:highlight w:val="none"/>
          <w:vertAlign w:val="baseline"/>
          <w:lang w:val="en-US" w:eastAsia="zh-CN" w:bidi="ar-SA"/>
        </w:rPr>
        <w:t>2、</w:t>
      </w:r>
      <w:r>
        <w:rPr>
          <w:rFonts w:hint="eastAsia" w:ascii="宋体" w:hAnsi="宋体" w:eastAsia="宋体" w:cs="宋体"/>
          <w:b w:val="0"/>
          <w:bCs w:val="0"/>
          <w:color w:val="auto"/>
          <w:kern w:val="2"/>
          <w:sz w:val="21"/>
          <w:szCs w:val="21"/>
          <w:highlight w:val="none"/>
          <w:vertAlign w:val="baseline"/>
          <w:lang w:val="en-US" w:eastAsia="zh-CN" w:bidi="ar-SA"/>
        </w:rPr>
        <w:t>交货地点：采购人指定两处场地，分别为山东省北海体育训练中心、北海市体育馆，按各赛事项目对应场地分区交付、安装、布设。</w:t>
      </w:r>
    </w:p>
    <w:p w14:paraId="7BEEF552">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eastAsia" w:ascii="宋体" w:hAnsi="宋体" w:eastAsia="宋体" w:cs="宋体"/>
          <w:b w:val="0"/>
          <w:bCs w:val="0"/>
          <w:color w:val="auto"/>
          <w:kern w:val="2"/>
          <w:sz w:val="21"/>
          <w:szCs w:val="21"/>
          <w:highlight w:val="none"/>
          <w:vertAlign w:val="baseline"/>
          <w:lang w:val="en-US" w:eastAsia="zh-CN" w:bidi="ar-SA"/>
        </w:rPr>
      </w:pPr>
      <w:r>
        <w:rPr>
          <w:rFonts w:hint="eastAsia" w:ascii="宋体" w:hAnsi="宋体" w:cs="宋体"/>
          <w:b w:val="0"/>
          <w:bCs w:val="0"/>
          <w:color w:val="auto"/>
          <w:kern w:val="2"/>
          <w:sz w:val="21"/>
          <w:szCs w:val="21"/>
          <w:highlight w:val="none"/>
          <w:vertAlign w:val="baseline"/>
          <w:lang w:val="en-US" w:eastAsia="zh-CN" w:bidi="ar-SA"/>
        </w:rPr>
        <w:t>3、</w:t>
      </w:r>
      <w:r>
        <w:rPr>
          <w:rFonts w:hint="eastAsia" w:ascii="宋体" w:hAnsi="宋体" w:eastAsia="宋体" w:cs="宋体"/>
          <w:b w:val="0"/>
          <w:bCs w:val="0"/>
          <w:color w:val="auto"/>
          <w:kern w:val="2"/>
          <w:sz w:val="21"/>
          <w:szCs w:val="21"/>
          <w:highlight w:val="none"/>
          <w:vertAlign w:val="baseline"/>
          <w:lang w:val="en-US" w:eastAsia="zh-CN" w:bidi="ar-SA"/>
        </w:rPr>
        <w:t>交付包含内容：本次报价为全包总价，包含设备材料费、生产制造、包装运输、装卸、现场安装、拼接铺设、调试校准、场地清洁、检测校验、人员培训、赛事前期试运行保障、备品备件、资料交付、税费等全部费用，采购人无需额外支付任何费用。</w:t>
      </w:r>
    </w:p>
    <w:p w14:paraId="18F00165">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eastAsia" w:ascii="宋体" w:hAnsi="宋体" w:eastAsia="宋体" w:cs="宋体"/>
          <w:b w:val="0"/>
          <w:bCs w:val="0"/>
          <w:color w:val="auto"/>
          <w:kern w:val="2"/>
          <w:sz w:val="21"/>
          <w:szCs w:val="21"/>
          <w:highlight w:val="none"/>
          <w:vertAlign w:val="baseline"/>
          <w:lang w:val="en-US" w:eastAsia="zh-CN" w:bidi="ar-SA"/>
        </w:rPr>
      </w:pPr>
      <w:r>
        <w:rPr>
          <w:rFonts w:hint="eastAsia" w:ascii="宋体" w:hAnsi="宋体" w:cs="宋体"/>
          <w:b w:val="0"/>
          <w:bCs w:val="0"/>
          <w:color w:val="auto"/>
          <w:kern w:val="2"/>
          <w:sz w:val="21"/>
          <w:szCs w:val="21"/>
          <w:highlight w:val="none"/>
          <w:vertAlign w:val="baseline"/>
          <w:lang w:val="en-US" w:eastAsia="zh-CN" w:bidi="ar-SA"/>
        </w:rPr>
        <w:t>4、</w:t>
      </w:r>
      <w:r>
        <w:rPr>
          <w:rFonts w:hint="eastAsia" w:ascii="宋体" w:hAnsi="宋体" w:eastAsia="宋体" w:cs="宋体"/>
          <w:b w:val="0"/>
          <w:bCs w:val="0"/>
          <w:color w:val="auto"/>
          <w:kern w:val="2"/>
          <w:sz w:val="21"/>
          <w:szCs w:val="21"/>
          <w:highlight w:val="none"/>
          <w:vertAlign w:val="baseline"/>
          <w:lang w:val="en-US" w:eastAsia="zh-CN" w:bidi="ar-SA"/>
        </w:rPr>
        <w:t>交付标准：所有设备进场后须完成整体拼装、调试、性能校准，试运行无故障，各项技术参数、安全性能、冲击防护、耐磨防滑、环保指标完全匹配采购需求技术参数及国家、行业赛事标准，满足正式竞赛使用条件。</w:t>
      </w:r>
    </w:p>
    <w:p w14:paraId="04794D7B">
      <w:pPr>
        <w:keepNext w:val="0"/>
        <w:keepLines w:val="0"/>
        <w:pageBreakBefore w:val="0"/>
        <w:widowControl w:val="0"/>
        <w:numPr>
          <w:ilvl w:val="0"/>
          <w:numId w:val="0"/>
        </w:numPr>
        <w:kinsoku/>
        <w:wordWrap/>
        <w:overflowPunct/>
        <w:topLinePunct w:val="0"/>
        <w:autoSpaceDE/>
        <w:autoSpaceDN/>
        <w:bidi w:val="0"/>
        <w:snapToGrid/>
        <w:spacing w:line="360" w:lineRule="auto"/>
        <w:ind w:firstLine="422" w:firstLineChars="200"/>
        <w:textAlignment w:val="auto"/>
        <w:rPr>
          <w:rFonts w:hint="eastAsia" w:ascii="宋体" w:hAnsi="宋体" w:cs="宋体"/>
          <w:b/>
          <w:bCs/>
          <w:color w:val="auto"/>
          <w:kern w:val="2"/>
          <w:sz w:val="21"/>
          <w:szCs w:val="21"/>
          <w:highlight w:val="none"/>
          <w:vertAlign w:val="baseline"/>
          <w:lang w:val="en-US" w:eastAsia="zh-CN" w:bidi="ar-SA"/>
        </w:rPr>
      </w:pPr>
      <w:r>
        <w:rPr>
          <w:rFonts w:hint="eastAsia" w:ascii="宋体" w:hAnsi="宋体" w:cs="宋体"/>
          <w:b/>
          <w:bCs/>
          <w:color w:val="auto"/>
          <w:kern w:val="2"/>
          <w:sz w:val="21"/>
          <w:szCs w:val="21"/>
          <w:highlight w:val="none"/>
          <w:vertAlign w:val="baseline"/>
          <w:lang w:val="en-US" w:eastAsia="zh-CN" w:bidi="ar-SA"/>
        </w:rPr>
        <w:t>（二）</w:t>
      </w:r>
      <w:bookmarkStart w:id="65" w:name="heading_1"/>
      <w:r>
        <w:rPr>
          <w:rFonts w:hint="eastAsia" w:ascii="宋体" w:hAnsi="宋体" w:cs="宋体"/>
          <w:b/>
          <w:bCs/>
          <w:color w:val="auto"/>
          <w:kern w:val="2"/>
          <w:sz w:val="21"/>
          <w:szCs w:val="21"/>
          <w:highlight w:val="none"/>
          <w:vertAlign w:val="baseline"/>
          <w:lang w:val="en-US" w:eastAsia="zh-CN" w:bidi="ar-SA"/>
        </w:rPr>
        <w:t>质保期及赛事专属质保服务要求</w:t>
      </w:r>
      <w:bookmarkEnd w:id="65"/>
    </w:p>
    <w:p w14:paraId="0C702678">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eastAsia" w:ascii="宋体" w:hAnsi="宋体" w:cs="宋体"/>
          <w:b w:val="0"/>
          <w:bCs w:val="0"/>
          <w:color w:val="auto"/>
          <w:kern w:val="2"/>
          <w:sz w:val="21"/>
          <w:szCs w:val="21"/>
          <w:highlight w:val="none"/>
          <w:vertAlign w:val="baseline"/>
          <w:lang w:val="en-US" w:eastAsia="zh-CN" w:bidi="ar-SA"/>
        </w:rPr>
      </w:pPr>
      <w:r>
        <w:rPr>
          <w:rFonts w:hint="eastAsia" w:ascii="宋体" w:hAnsi="宋体" w:cs="宋体"/>
          <w:b w:val="0"/>
          <w:bCs w:val="0"/>
          <w:color w:val="auto"/>
          <w:kern w:val="2"/>
          <w:sz w:val="21"/>
          <w:szCs w:val="21"/>
          <w:highlight w:val="none"/>
          <w:vertAlign w:val="baseline"/>
          <w:lang w:val="en-US" w:eastAsia="zh-CN" w:bidi="ar-SA"/>
        </w:rPr>
        <w:t>1、质保期限：本项目全部设备设施整体免费质保期不少于1年，自项目全部赛事结束、整体竣工验收合格之日起正式起算。国家、行业标准或产品规范有更长质保年限要求的，按就高不就低原则执行；供应商承诺更长质保期的，以响应承诺为准。</w:t>
      </w:r>
    </w:p>
    <w:p w14:paraId="53871EA3">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eastAsia" w:ascii="宋体" w:hAnsi="宋体" w:cs="宋体"/>
          <w:b w:val="0"/>
          <w:bCs w:val="0"/>
          <w:color w:val="auto"/>
          <w:kern w:val="2"/>
          <w:sz w:val="21"/>
          <w:szCs w:val="21"/>
          <w:highlight w:val="none"/>
          <w:vertAlign w:val="baseline"/>
          <w:lang w:val="en-US" w:eastAsia="zh-CN" w:bidi="ar-SA"/>
        </w:rPr>
      </w:pPr>
      <w:r>
        <w:rPr>
          <w:rFonts w:hint="eastAsia" w:ascii="宋体" w:hAnsi="宋体" w:cs="宋体"/>
          <w:b w:val="0"/>
          <w:bCs w:val="0"/>
          <w:color w:val="auto"/>
          <w:kern w:val="2"/>
          <w:sz w:val="21"/>
          <w:szCs w:val="21"/>
          <w:highlight w:val="none"/>
          <w:vertAlign w:val="baseline"/>
          <w:lang w:val="en-US" w:eastAsia="zh-CN" w:bidi="ar-SA"/>
        </w:rPr>
        <w:t>2、质保顺延规则：质保期内设备出现质量故障、部件损坏、性能不达标等问题，供应商完成免费维修、更换零部件或整机更换后，对应设备质保期自动顺延，顺延时长不少于设备停用至完全修复正常使用的全部时长，更换的全新零部件单独质保期不低于1年。</w:t>
      </w:r>
    </w:p>
    <w:p w14:paraId="17B1B3AA">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eastAsia" w:ascii="宋体" w:hAnsi="宋体" w:cs="宋体"/>
          <w:b w:val="0"/>
          <w:bCs w:val="0"/>
          <w:color w:val="auto"/>
          <w:kern w:val="2"/>
          <w:sz w:val="21"/>
          <w:szCs w:val="21"/>
          <w:highlight w:val="none"/>
          <w:vertAlign w:val="baseline"/>
          <w:lang w:val="en-US" w:eastAsia="zh-CN" w:bidi="ar-SA"/>
        </w:rPr>
      </w:pPr>
      <w:r>
        <w:rPr>
          <w:rFonts w:hint="eastAsia" w:ascii="宋体" w:hAnsi="宋体" w:cs="宋体"/>
          <w:b w:val="0"/>
          <w:bCs w:val="0"/>
          <w:color w:val="auto"/>
          <w:kern w:val="2"/>
          <w:sz w:val="21"/>
          <w:szCs w:val="21"/>
          <w:highlight w:val="none"/>
          <w:vertAlign w:val="baseline"/>
          <w:lang w:val="en-US" w:eastAsia="zh-CN" w:bidi="ar-SA"/>
        </w:rPr>
        <w:t>3、质保服务范围：质保期内提供全包式免费质保服务，免收维修费、配件费、上门服务费、调试校准费、运输费、人工工时费等一切费用，包含设备日常巡检、故障维修、性能校准、隐患排查、系统调试、技术咨询、运维指导等全部服务内容。</w:t>
      </w:r>
    </w:p>
    <w:p w14:paraId="6E08284A">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eastAsia" w:ascii="宋体" w:hAnsi="宋体" w:cs="宋体"/>
          <w:b w:val="0"/>
          <w:bCs w:val="0"/>
          <w:color w:val="auto"/>
          <w:kern w:val="2"/>
          <w:sz w:val="21"/>
          <w:szCs w:val="21"/>
          <w:highlight w:val="none"/>
          <w:vertAlign w:val="baseline"/>
          <w:lang w:val="en-US" w:eastAsia="zh-CN" w:bidi="ar-SA"/>
        </w:rPr>
      </w:pPr>
      <w:r>
        <w:rPr>
          <w:rFonts w:hint="eastAsia" w:ascii="宋体" w:hAnsi="宋体" w:cs="宋体"/>
          <w:b w:val="0"/>
          <w:bCs w:val="0"/>
          <w:color w:val="auto"/>
          <w:kern w:val="2"/>
          <w:sz w:val="21"/>
          <w:szCs w:val="21"/>
          <w:highlight w:val="none"/>
          <w:vertAlign w:val="baseline"/>
          <w:lang w:val="en-US" w:eastAsia="zh-CN" w:bidi="ar-SA"/>
        </w:rPr>
        <w:t>4、赛事专项保障</w:t>
      </w:r>
    </w:p>
    <w:p w14:paraId="064576F9">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eastAsia" w:ascii="宋体" w:hAnsi="宋体" w:cs="宋体"/>
          <w:b w:val="0"/>
          <w:bCs w:val="0"/>
          <w:color w:val="auto"/>
          <w:kern w:val="2"/>
          <w:sz w:val="21"/>
          <w:szCs w:val="21"/>
          <w:highlight w:val="none"/>
          <w:vertAlign w:val="baseline"/>
          <w:lang w:val="en-US" w:eastAsia="zh-CN" w:bidi="ar-SA"/>
        </w:rPr>
      </w:pPr>
      <w:r>
        <w:rPr>
          <w:rFonts w:hint="eastAsia" w:ascii="宋体" w:hAnsi="宋体" w:cs="宋体"/>
          <w:b w:val="0"/>
          <w:bCs w:val="0"/>
          <w:color w:val="auto"/>
          <w:kern w:val="2"/>
          <w:sz w:val="21"/>
          <w:szCs w:val="21"/>
          <w:highlight w:val="none"/>
          <w:vertAlign w:val="baseline"/>
          <w:lang w:val="en-US" w:eastAsia="zh-CN" w:bidi="ar-SA"/>
        </w:rPr>
        <w:t>（1）赛前保障：每批次赛事开赛3个工作日前，供应商须安排专业技术人员到场，对全部赛事设备进行全面排查、精度校准、压力测试、试运行，彻底消除运行隐患，确保设备完全符合竞赛标准。</w:t>
      </w:r>
    </w:p>
    <w:p w14:paraId="3F279FF2">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eastAsia" w:ascii="宋体" w:hAnsi="宋体" w:cs="宋体"/>
          <w:b w:val="0"/>
          <w:bCs w:val="0"/>
          <w:color w:val="auto"/>
          <w:kern w:val="2"/>
          <w:sz w:val="21"/>
          <w:szCs w:val="21"/>
          <w:highlight w:val="none"/>
          <w:vertAlign w:val="baseline"/>
          <w:lang w:val="en-US" w:eastAsia="zh-CN" w:bidi="ar-SA"/>
        </w:rPr>
      </w:pPr>
      <w:r>
        <w:rPr>
          <w:rFonts w:hint="eastAsia" w:ascii="宋体" w:hAnsi="宋体" w:cs="宋体"/>
          <w:b w:val="0"/>
          <w:bCs w:val="0"/>
          <w:color w:val="auto"/>
          <w:kern w:val="2"/>
          <w:sz w:val="21"/>
          <w:szCs w:val="21"/>
          <w:highlight w:val="none"/>
          <w:vertAlign w:val="baseline"/>
          <w:lang w:val="en-US" w:eastAsia="zh-CN" w:bidi="ar-SA"/>
        </w:rPr>
        <w:t>（2）赛中值守：各项目赛事竞赛期间，供应商须全程派驻专业技术人员现场驻点值守，实时处置设备突发故障、位移、性能偏差等问题，保障赛事全程稳定开展，无设备故障影响赛程情况。</w:t>
      </w:r>
    </w:p>
    <w:p w14:paraId="0AAE54CE">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eastAsia" w:ascii="宋体" w:hAnsi="宋体" w:cs="宋体"/>
          <w:b w:val="0"/>
          <w:bCs w:val="0"/>
          <w:color w:val="auto"/>
          <w:kern w:val="2"/>
          <w:sz w:val="21"/>
          <w:szCs w:val="21"/>
          <w:highlight w:val="none"/>
          <w:vertAlign w:val="baseline"/>
          <w:lang w:val="en-US" w:eastAsia="zh-CN" w:bidi="ar-SA"/>
        </w:rPr>
      </w:pPr>
      <w:r>
        <w:rPr>
          <w:rFonts w:hint="eastAsia" w:ascii="宋体" w:hAnsi="宋体" w:cs="宋体"/>
          <w:b w:val="0"/>
          <w:bCs w:val="0"/>
          <w:color w:val="auto"/>
          <w:kern w:val="2"/>
          <w:sz w:val="21"/>
          <w:szCs w:val="21"/>
          <w:highlight w:val="none"/>
          <w:vertAlign w:val="baseline"/>
          <w:lang w:val="en-US" w:eastAsia="zh-CN" w:bidi="ar-SA"/>
        </w:rPr>
        <w:t>（3）极速响应机制：质保期内日常故障1小时响应、2小时到场、12小时修复；赛事期间突发故障1小时内到场处置，无法现场修复的，立即提供同等规格、同等性能的备用设备，全力保障赛事正常进行。</w:t>
      </w:r>
    </w:p>
    <w:p w14:paraId="3AED92E2">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eastAsia" w:ascii="宋体" w:hAnsi="宋体" w:cs="宋体"/>
          <w:b w:val="0"/>
          <w:bCs w:val="0"/>
          <w:color w:val="auto"/>
          <w:kern w:val="2"/>
          <w:sz w:val="21"/>
          <w:szCs w:val="21"/>
          <w:highlight w:val="none"/>
          <w:vertAlign w:val="baseline"/>
          <w:lang w:val="en-US" w:eastAsia="zh-CN" w:bidi="ar-SA"/>
        </w:rPr>
      </w:pPr>
      <w:r>
        <w:rPr>
          <w:rFonts w:hint="eastAsia" w:ascii="宋体" w:hAnsi="宋体" w:cs="宋体"/>
          <w:b w:val="0"/>
          <w:bCs w:val="0"/>
          <w:color w:val="auto"/>
          <w:kern w:val="2"/>
          <w:sz w:val="21"/>
          <w:szCs w:val="21"/>
          <w:highlight w:val="none"/>
          <w:vertAlign w:val="baseline"/>
          <w:lang w:val="en-US" w:eastAsia="zh-CN" w:bidi="ar-SA"/>
        </w:rPr>
        <w:t>5. 质保期满延伸服务：质保期届满后，供应商提供终身技术支持服务，长期保障设备配件、耗材供应，后续维修、更换配件及运维服务价格给予采购人专属优惠，不高于市场公允价格。</w:t>
      </w:r>
    </w:p>
    <w:p w14:paraId="30A591A3">
      <w:pPr>
        <w:keepNext w:val="0"/>
        <w:keepLines w:val="0"/>
        <w:pageBreakBefore w:val="0"/>
        <w:widowControl w:val="0"/>
        <w:numPr>
          <w:ilvl w:val="0"/>
          <w:numId w:val="0"/>
        </w:numPr>
        <w:kinsoku/>
        <w:wordWrap/>
        <w:overflowPunct/>
        <w:topLinePunct w:val="0"/>
        <w:autoSpaceDE/>
        <w:autoSpaceDN/>
        <w:bidi w:val="0"/>
        <w:snapToGrid/>
        <w:spacing w:line="360" w:lineRule="auto"/>
        <w:ind w:firstLine="422" w:firstLineChars="200"/>
        <w:textAlignment w:val="auto"/>
        <w:rPr>
          <w:rFonts w:hint="default" w:ascii="宋体" w:hAnsi="宋体" w:eastAsia="宋体" w:cs="宋体"/>
          <w:b/>
          <w:bCs/>
          <w:color w:val="auto"/>
          <w:kern w:val="2"/>
          <w:sz w:val="21"/>
          <w:szCs w:val="21"/>
          <w:highlight w:val="none"/>
          <w:vertAlign w:val="baseline"/>
          <w:lang w:val="en-US" w:eastAsia="zh-CN" w:bidi="ar-SA"/>
        </w:rPr>
      </w:pPr>
      <w:bookmarkStart w:id="66" w:name="heading_2"/>
      <w:r>
        <w:rPr>
          <w:rFonts w:hint="eastAsia" w:ascii="宋体" w:hAnsi="宋体" w:cs="宋体"/>
          <w:b/>
          <w:bCs/>
          <w:color w:val="auto"/>
          <w:kern w:val="2"/>
          <w:sz w:val="21"/>
          <w:szCs w:val="21"/>
          <w:highlight w:val="none"/>
          <w:vertAlign w:val="baseline"/>
          <w:lang w:val="en-US" w:eastAsia="zh-CN" w:bidi="ar-SA"/>
        </w:rPr>
        <w:t>（三）</w:t>
      </w:r>
      <w:r>
        <w:rPr>
          <w:rFonts w:hint="default" w:ascii="宋体" w:hAnsi="宋体" w:eastAsia="宋体" w:cs="宋体"/>
          <w:b/>
          <w:bCs/>
          <w:color w:val="auto"/>
          <w:kern w:val="2"/>
          <w:sz w:val="21"/>
          <w:szCs w:val="21"/>
          <w:highlight w:val="none"/>
          <w:vertAlign w:val="baseline"/>
          <w:lang w:val="en-US" w:eastAsia="zh-CN" w:bidi="ar-SA"/>
        </w:rPr>
        <w:t>质量要求</w:t>
      </w:r>
      <w:bookmarkEnd w:id="66"/>
    </w:p>
    <w:p w14:paraId="16965BB3">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default" w:ascii="宋体" w:hAnsi="宋体" w:eastAsia="宋体" w:cs="宋体"/>
          <w:b w:val="0"/>
          <w:bCs w:val="0"/>
          <w:color w:val="auto"/>
          <w:kern w:val="2"/>
          <w:sz w:val="21"/>
          <w:szCs w:val="21"/>
          <w:highlight w:val="none"/>
          <w:vertAlign w:val="baseline"/>
          <w:lang w:val="en-US" w:eastAsia="zh-CN" w:bidi="ar-SA"/>
        </w:rPr>
      </w:pPr>
      <w:r>
        <w:rPr>
          <w:rFonts w:hint="eastAsia" w:ascii="宋体" w:hAnsi="宋体" w:cs="宋体"/>
          <w:b w:val="0"/>
          <w:bCs w:val="0"/>
          <w:color w:val="auto"/>
          <w:kern w:val="2"/>
          <w:sz w:val="21"/>
          <w:szCs w:val="21"/>
          <w:highlight w:val="none"/>
          <w:vertAlign w:val="baseline"/>
          <w:lang w:val="en-US" w:eastAsia="zh-CN" w:bidi="ar-SA"/>
        </w:rPr>
        <w:t>1、</w:t>
      </w:r>
      <w:r>
        <w:rPr>
          <w:rFonts w:hint="default" w:ascii="宋体" w:hAnsi="宋体" w:eastAsia="宋体" w:cs="宋体"/>
          <w:b w:val="0"/>
          <w:bCs w:val="0"/>
          <w:color w:val="auto"/>
          <w:kern w:val="2"/>
          <w:sz w:val="21"/>
          <w:szCs w:val="21"/>
          <w:highlight w:val="none"/>
          <w:vertAlign w:val="baseline"/>
          <w:lang w:val="en-US" w:eastAsia="zh-CN" w:bidi="ar-SA"/>
        </w:rPr>
        <w:t>合规标准要求：所有产品须为全新正品、未使用过的全新货物，无瑕疵、无变形、无脱层、无破损，完全符合国家现行标准、体育行业竞赛标准、采购需求列明的全部技术参数，包含GB/T 30419、GB/T 36793、GB/T 34288-2017、GB/T 42941.1-2023、TY/T 3701.5-2019等国标、行标要求，同时满足柔联、摔联赛事专用设备标准。</w:t>
      </w:r>
    </w:p>
    <w:p w14:paraId="3C34DF71">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default" w:ascii="宋体" w:hAnsi="宋体" w:eastAsia="宋体" w:cs="宋体"/>
          <w:b w:val="0"/>
          <w:bCs w:val="0"/>
          <w:color w:val="auto"/>
          <w:kern w:val="2"/>
          <w:sz w:val="21"/>
          <w:szCs w:val="21"/>
          <w:highlight w:val="none"/>
          <w:vertAlign w:val="baseline"/>
          <w:lang w:val="en-US" w:eastAsia="zh-CN" w:bidi="ar-SA"/>
        </w:rPr>
      </w:pPr>
      <w:r>
        <w:rPr>
          <w:rFonts w:hint="eastAsia" w:ascii="宋体" w:hAnsi="宋体" w:cs="宋体"/>
          <w:b w:val="0"/>
          <w:bCs w:val="0"/>
          <w:color w:val="auto"/>
          <w:kern w:val="2"/>
          <w:sz w:val="21"/>
          <w:szCs w:val="21"/>
          <w:highlight w:val="none"/>
          <w:vertAlign w:val="baseline"/>
          <w:lang w:val="en-US" w:eastAsia="zh-CN" w:bidi="ar-SA"/>
        </w:rPr>
        <w:t>2、</w:t>
      </w:r>
      <w:r>
        <w:rPr>
          <w:rFonts w:hint="default" w:ascii="宋体" w:hAnsi="宋体" w:eastAsia="宋体" w:cs="宋体"/>
          <w:b w:val="0"/>
          <w:bCs w:val="0"/>
          <w:color w:val="auto"/>
          <w:kern w:val="2"/>
          <w:sz w:val="21"/>
          <w:szCs w:val="21"/>
          <w:highlight w:val="none"/>
          <w:vertAlign w:val="baseline"/>
          <w:lang w:val="en-US" w:eastAsia="zh-CN" w:bidi="ar-SA"/>
        </w:rPr>
        <w:t>环保安全要求：所有场地垫材、护具、织物等产品可迁移元素、增塑剂限量、纺织品安全性能均符合国标规范，无异味、无污染，安全环保，符合公共体育赛事场地使用标准，保障运动员人身安全。</w:t>
      </w:r>
    </w:p>
    <w:p w14:paraId="2937D5F8">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default" w:ascii="宋体" w:hAnsi="宋体" w:eastAsia="宋体" w:cs="宋体"/>
          <w:b w:val="0"/>
          <w:bCs w:val="0"/>
          <w:color w:val="auto"/>
          <w:kern w:val="2"/>
          <w:sz w:val="21"/>
          <w:szCs w:val="21"/>
          <w:highlight w:val="none"/>
          <w:vertAlign w:val="baseline"/>
          <w:lang w:val="en-US" w:eastAsia="zh-CN" w:bidi="ar-SA"/>
        </w:rPr>
      </w:pPr>
      <w:r>
        <w:rPr>
          <w:rFonts w:hint="eastAsia" w:ascii="宋体" w:hAnsi="宋体" w:cs="宋体"/>
          <w:b w:val="0"/>
          <w:bCs w:val="0"/>
          <w:color w:val="auto"/>
          <w:kern w:val="2"/>
          <w:sz w:val="21"/>
          <w:szCs w:val="21"/>
          <w:highlight w:val="none"/>
          <w:vertAlign w:val="baseline"/>
          <w:lang w:val="en-US" w:eastAsia="zh-CN" w:bidi="ar-SA"/>
        </w:rPr>
        <w:t>3、</w:t>
      </w:r>
      <w:r>
        <w:rPr>
          <w:rFonts w:hint="default" w:ascii="宋体" w:hAnsi="宋体" w:eastAsia="宋体" w:cs="宋体"/>
          <w:b w:val="0"/>
          <w:bCs w:val="0"/>
          <w:color w:val="auto"/>
          <w:kern w:val="2"/>
          <w:sz w:val="21"/>
          <w:szCs w:val="21"/>
          <w:highlight w:val="none"/>
          <w:vertAlign w:val="baseline"/>
          <w:lang w:val="en-US" w:eastAsia="zh-CN" w:bidi="ar-SA"/>
        </w:rPr>
        <w:t>检测合规要求：核心产品及所有带检测要求的设备，交货时须提供完整有效的第三方检测机构检测报告原件，检测项目全覆盖、无缺项漏项，全部指标达标，与</w:t>
      </w:r>
      <w:r>
        <w:rPr>
          <w:rFonts w:hint="eastAsia" w:ascii="宋体" w:hAnsi="宋体" w:cs="宋体"/>
          <w:b w:val="0"/>
          <w:bCs w:val="0"/>
          <w:color w:val="auto"/>
          <w:kern w:val="2"/>
          <w:sz w:val="21"/>
          <w:szCs w:val="21"/>
          <w:highlight w:val="none"/>
          <w:vertAlign w:val="baseline"/>
          <w:lang w:val="en-US" w:eastAsia="zh-CN" w:bidi="ar-SA"/>
        </w:rPr>
        <w:t>供应商投标</w:t>
      </w:r>
      <w:r>
        <w:rPr>
          <w:rFonts w:hint="default" w:ascii="宋体" w:hAnsi="宋体" w:eastAsia="宋体" w:cs="宋体"/>
          <w:b w:val="0"/>
          <w:bCs w:val="0"/>
          <w:color w:val="auto"/>
          <w:kern w:val="2"/>
          <w:sz w:val="21"/>
          <w:szCs w:val="21"/>
          <w:highlight w:val="none"/>
          <w:vertAlign w:val="baseline"/>
          <w:lang w:val="en-US" w:eastAsia="zh-CN" w:bidi="ar-SA"/>
        </w:rPr>
        <w:t>阶段提交的样品检测标准一致。</w:t>
      </w:r>
    </w:p>
    <w:p w14:paraId="3E0AD433">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default" w:ascii="宋体" w:hAnsi="宋体" w:eastAsia="宋体" w:cs="宋体"/>
          <w:b w:val="0"/>
          <w:bCs w:val="0"/>
          <w:color w:val="auto"/>
          <w:kern w:val="2"/>
          <w:sz w:val="21"/>
          <w:szCs w:val="21"/>
          <w:highlight w:val="none"/>
          <w:vertAlign w:val="baseline"/>
          <w:lang w:val="en-US" w:eastAsia="zh-CN" w:bidi="ar-SA"/>
        </w:rPr>
      </w:pPr>
      <w:r>
        <w:rPr>
          <w:rFonts w:hint="eastAsia" w:ascii="宋体" w:hAnsi="宋体" w:cs="宋体"/>
          <w:b w:val="0"/>
          <w:bCs w:val="0"/>
          <w:color w:val="auto"/>
          <w:kern w:val="2"/>
          <w:sz w:val="21"/>
          <w:szCs w:val="21"/>
          <w:highlight w:val="none"/>
          <w:vertAlign w:val="baseline"/>
          <w:lang w:val="en-US" w:eastAsia="zh-CN" w:bidi="ar-SA"/>
        </w:rPr>
        <w:t>4、</w:t>
      </w:r>
      <w:r>
        <w:rPr>
          <w:rFonts w:hint="default" w:ascii="宋体" w:hAnsi="宋体" w:eastAsia="宋体" w:cs="宋体"/>
          <w:b w:val="0"/>
          <w:bCs w:val="0"/>
          <w:color w:val="auto"/>
          <w:kern w:val="2"/>
          <w:sz w:val="21"/>
          <w:szCs w:val="21"/>
          <w:highlight w:val="none"/>
          <w:vertAlign w:val="baseline"/>
          <w:lang w:val="en-US" w:eastAsia="zh-CN" w:bidi="ar-SA"/>
        </w:rPr>
        <w:t>样品一致性要求：最终交付成品须与投标提交的核心产品小样结构、材质、工艺、性能完全一致，不得降级、替换材质、简化工艺，采购人有权随机抽检核验，不一致视为质量不合格，无条件退换货并承担违约责任。</w:t>
      </w:r>
    </w:p>
    <w:p w14:paraId="3B17843F">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default" w:ascii="宋体" w:hAnsi="宋体" w:eastAsia="宋体" w:cs="宋体"/>
          <w:b w:val="0"/>
          <w:bCs w:val="0"/>
          <w:color w:val="auto"/>
          <w:kern w:val="2"/>
          <w:sz w:val="21"/>
          <w:szCs w:val="21"/>
          <w:highlight w:val="none"/>
          <w:vertAlign w:val="baseline"/>
          <w:lang w:val="en-US" w:eastAsia="zh-CN" w:bidi="ar-SA"/>
        </w:rPr>
      </w:pPr>
      <w:r>
        <w:rPr>
          <w:rFonts w:hint="eastAsia" w:ascii="宋体" w:hAnsi="宋体" w:cs="宋体"/>
          <w:b w:val="0"/>
          <w:bCs w:val="0"/>
          <w:color w:val="auto"/>
          <w:kern w:val="2"/>
          <w:sz w:val="21"/>
          <w:szCs w:val="21"/>
          <w:highlight w:val="none"/>
          <w:vertAlign w:val="baseline"/>
          <w:lang w:val="en-US" w:eastAsia="zh-CN" w:bidi="ar-SA"/>
        </w:rPr>
        <w:t>5、</w:t>
      </w:r>
      <w:r>
        <w:rPr>
          <w:rFonts w:hint="default" w:ascii="宋体" w:hAnsi="宋体" w:eastAsia="宋体" w:cs="宋体"/>
          <w:b w:val="0"/>
          <w:bCs w:val="0"/>
          <w:color w:val="auto"/>
          <w:kern w:val="2"/>
          <w:sz w:val="21"/>
          <w:szCs w:val="21"/>
          <w:highlight w:val="none"/>
          <w:vertAlign w:val="baseline"/>
          <w:lang w:val="en-US" w:eastAsia="zh-CN" w:bidi="ar-SA"/>
        </w:rPr>
        <w:t>本项目不接受进口产品，所有货物均为中国境内生产的本国产品，符合国办发〔2025〕34号本国产品认定标准。</w:t>
      </w:r>
    </w:p>
    <w:p w14:paraId="05A031C7">
      <w:pPr>
        <w:keepNext w:val="0"/>
        <w:keepLines w:val="0"/>
        <w:pageBreakBefore w:val="0"/>
        <w:widowControl w:val="0"/>
        <w:numPr>
          <w:ilvl w:val="0"/>
          <w:numId w:val="0"/>
        </w:numPr>
        <w:kinsoku/>
        <w:wordWrap/>
        <w:overflowPunct/>
        <w:topLinePunct w:val="0"/>
        <w:autoSpaceDE/>
        <w:autoSpaceDN/>
        <w:bidi w:val="0"/>
        <w:snapToGrid/>
        <w:spacing w:line="360" w:lineRule="auto"/>
        <w:ind w:firstLine="422" w:firstLineChars="200"/>
        <w:textAlignment w:val="auto"/>
        <w:rPr>
          <w:rFonts w:hint="default" w:ascii="宋体" w:hAnsi="宋体" w:eastAsia="宋体" w:cs="宋体"/>
          <w:b/>
          <w:bCs/>
          <w:color w:val="auto"/>
          <w:kern w:val="2"/>
          <w:sz w:val="21"/>
          <w:szCs w:val="21"/>
          <w:highlight w:val="none"/>
          <w:vertAlign w:val="baseline"/>
          <w:lang w:val="en-US" w:eastAsia="zh-CN" w:bidi="ar-SA"/>
        </w:rPr>
      </w:pPr>
      <w:bookmarkStart w:id="67" w:name="heading_3"/>
      <w:r>
        <w:rPr>
          <w:rFonts w:hint="eastAsia" w:ascii="宋体" w:hAnsi="宋体" w:cs="宋体"/>
          <w:b/>
          <w:bCs/>
          <w:color w:val="auto"/>
          <w:kern w:val="2"/>
          <w:sz w:val="21"/>
          <w:szCs w:val="21"/>
          <w:highlight w:val="none"/>
          <w:vertAlign w:val="baseline"/>
          <w:lang w:val="en-US" w:eastAsia="zh-CN" w:bidi="ar-SA"/>
        </w:rPr>
        <w:t>（四）</w:t>
      </w:r>
      <w:r>
        <w:rPr>
          <w:rFonts w:hint="default" w:ascii="宋体" w:hAnsi="宋体" w:eastAsia="宋体" w:cs="宋体"/>
          <w:b/>
          <w:bCs/>
          <w:color w:val="auto"/>
          <w:kern w:val="2"/>
          <w:sz w:val="21"/>
          <w:szCs w:val="21"/>
          <w:highlight w:val="none"/>
          <w:vertAlign w:val="baseline"/>
          <w:lang w:val="en-US" w:eastAsia="zh-CN" w:bidi="ar-SA"/>
        </w:rPr>
        <w:t>产品验收要求</w:t>
      </w:r>
      <w:bookmarkEnd w:id="67"/>
    </w:p>
    <w:p w14:paraId="31D70937">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default" w:ascii="宋体" w:hAnsi="宋体" w:eastAsia="宋体" w:cs="宋体"/>
          <w:b w:val="0"/>
          <w:bCs w:val="0"/>
          <w:color w:val="auto"/>
          <w:kern w:val="2"/>
          <w:sz w:val="21"/>
          <w:szCs w:val="21"/>
          <w:highlight w:val="none"/>
          <w:vertAlign w:val="baseline"/>
          <w:lang w:val="en-US" w:eastAsia="zh-CN" w:bidi="ar-SA"/>
        </w:rPr>
      </w:pPr>
      <w:r>
        <w:rPr>
          <w:rFonts w:hint="eastAsia" w:ascii="宋体" w:hAnsi="宋体" w:cs="宋体"/>
          <w:b w:val="0"/>
          <w:bCs w:val="0"/>
          <w:color w:val="auto"/>
          <w:kern w:val="2"/>
          <w:sz w:val="21"/>
          <w:szCs w:val="21"/>
          <w:highlight w:val="none"/>
          <w:vertAlign w:val="baseline"/>
          <w:lang w:val="en-US" w:eastAsia="zh-CN" w:bidi="ar-SA"/>
        </w:rPr>
        <w:t>1、</w:t>
      </w:r>
      <w:r>
        <w:rPr>
          <w:rFonts w:hint="default" w:ascii="宋体" w:hAnsi="宋体" w:eastAsia="宋体" w:cs="宋体"/>
          <w:b w:val="0"/>
          <w:bCs w:val="0"/>
          <w:color w:val="auto"/>
          <w:kern w:val="2"/>
          <w:sz w:val="21"/>
          <w:szCs w:val="21"/>
          <w:highlight w:val="none"/>
          <w:vertAlign w:val="baseline"/>
          <w:lang w:val="en-US" w:eastAsia="zh-CN" w:bidi="ar-SA"/>
        </w:rPr>
        <w:t xml:space="preserve"> 进场初验：设备进场安装完成后，采购人对设备规格、数量、外观、材质、配件、检测报告、资质资料进行初验，核对产品参数、资料完整性，初验合格后方可投入赛事试运行。</w:t>
      </w:r>
    </w:p>
    <w:p w14:paraId="3CC1BE6D">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default" w:ascii="宋体" w:hAnsi="宋体" w:eastAsia="宋体" w:cs="宋体"/>
          <w:b w:val="0"/>
          <w:bCs w:val="0"/>
          <w:color w:val="auto"/>
          <w:kern w:val="2"/>
          <w:sz w:val="21"/>
          <w:szCs w:val="21"/>
          <w:highlight w:val="none"/>
          <w:vertAlign w:val="baseline"/>
          <w:lang w:val="en-US" w:eastAsia="zh-CN" w:bidi="ar-SA"/>
        </w:rPr>
      </w:pPr>
      <w:r>
        <w:rPr>
          <w:rFonts w:hint="eastAsia" w:ascii="宋体" w:hAnsi="宋体" w:cs="宋体"/>
          <w:b w:val="0"/>
          <w:bCs w:val="0"/>
          <w:color w:val="auto"/>
          <w:kern w:val="2"/>
          <w:sz w:val="21"/>
          <w:szCs w:val="21"/>
          <w:highlight w:val="none"/>
          <w:vertAlign w:val="baseline"/>
          <w:lang w:val="en-US" w:eastAsia="zh-CN" w:bidi="ar-SA"/>
        </w:rPr>
        <w:t>2、</w:t>
      </w:r>
      <w:r>
        <w:rPr>
          <w:rFonts w:hint="default" w:ascii="宋体" w:hAnsi="宋体" w:eastAsia="宋体" w:cs="宋体"/>
          <w:b w:val="0"/>
          <w:bCs w:val="0"/>
          <w:color w:val="auto"/>
          <w:kern w:val="2"/>
          <w:sz w:val="21"/>
          <w:szCs w:val="21"/>
          <w:highlight w:val="none"/>
          <w:vertAlign w:val="baseline"/>
          <w:lang w:val="en-US" w:eastAsia="zh-CN" w:bidi="ar-SA"/>
        </w:rPr>
        <w:t>赛事试运行验收：赛事期间全程核验设备运行状态、防护性能、稳定性、防滑耐磨、精度指标，确认设备可满足高强度赛事竞赛使用需求，无故障、无性能偏差。</w:t>
      </w:r>
    </w:p>
    <w:p w14:paraId="35BAF8CD">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default" w:ascii="宋体" w:hAnsi="宋体" w:eastAsia="宋体" w:cs="宋体"/>
          <w:b w:val="0"/>
          <w:bCs w:val="0"/>
          <w:color w:val="auto"/>
          <w:kern w:val="2"/>
          <w:sz w:val="21"/>
          <w:szCs w:val="21"/>
          <w:highlight w:val="none"/>
          <w:vertAlign w:val="baseline"/>
          <w:lang w:val="en-US" w:eastAsia="zh-CN" w:bidi="ar-SA"/>
        </w:rPr>
      </w:pPr>
      <w:r>
        <w:rPr>
          <w:rFonts w:hint="eastAsia" w:ascii="宋体" w:hAnsi="宋体" w:cs="宋体"/>
          <w:b w:val="0"/>
          <w:bCs w:val="0"/>
          <w:color w:val="auto"/>
          <w:kern w:val="2"/>
          <w:sz w:val="21"/>
          <w:szCs w:val="21"/>
          <w:highlight w:val="none"/>
          <w:vertAlign w:val="baseline"/>
          <w:lang w:val="en-US" w:eastAsia="zh-CN" w:bidi="ar-SA"/>
        </w:rPr>
        <w:t>3、</w:t>
      </w:r>
      <w:r>
        <w:rPr>
          <w:rFonts w:hint="default" w:ascii="宋体" w:hAnsi="宋体" w:eastAsia="宋体" w:cs="宋体"/>
          <w:b w:val="0"/>
          <w:bCs w:val="0"/>
          <w:color w:val="auto"/>
          <w:kern w:val="2"/>
          <w:sz w:val="21"/>
          <w:szCs w:val="21"/>
          <w:highlight w:val="none"/>
          <w:vertAlign w:val="baseline"/>
          <w:lang w:val="en-US" w:eastAsia="zh-CN" w:bidi="ar-SA"/>
        </w:rPr>
        <w:t>整体竣工验收：全部赛事结束后3个工作日内，供应商整理全套履约资料，向采购人提交终验申请。采购人组织验收小组，对照采购需求、</w:t>
      </w:r>
      <w:r>
        <w:rPr>
          <w:rFonts w:hint="eastAsia" w:ascii="宋体" w:hAnsi="宋体" w:cs="宋体"/>
          <w:b w:val="0"/>
          <w:bCs w:val="0"/>
          <w:color w:val="auto"/>
          <w:kern w:val="2"/>
          <w:sz w:val="21"/>
          <w:szCs w:val="21"/>
          <w:highlight w:val="none"/>
          <w:vertAlign w:val="baseline"/>
          <w:lang w:val="en-US" w:eastAsia="zh-CN" w:bidi="ar-SA"/>
        </w:rPr>
        <w:t>响应</w:t>
      </w:r>
      <w:r>
        <w:rPr>
          <w:rFonts w:hint="default" w:ascii="宋体" w:hAnsi="宋体" w:eastAsia="宋体" w:cs="宋体"/>
          <w:b w:val="0"/>
          <w:bCs w:val="0"/>
          <w:color w:val="auto"/>
          <w:kern w:val="2"/>
          <w:sz w:val="21"/>
          <w:szCs w:val="21"/>
          <w:highlight w:val="none"/>
          <w:vertAlign w:val="baseline"/>
          <w:lang w:val="en-US" w:eastAsia="zh-CN" w:bidi="ar-SA"/>
        </w:rPr>
        <w:t>承诺、技术参数、样品标准进行全面验收，验收合格出具正式验收报告；验收不合格的，供应商须限期无条件整改、更换，直至验收合格，由此产生的所有费用及赛事延误损失由供应商自行承担。</w:t>
      </w:r>
    </w:p>
    <w:p w14:paraId="2B106AE8">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default" w:ascii="宋体" w:hAnsi="宋体" w:eastAsia="宋体" w:cs="宋体"/>
          <w:b w:val="0"/>
          <w:bCs w:val="0"/>
          <w:color w:val="auto"/>
          <w:kern w:val="2"/>
          <w:sz w:val="21"/>
          <w:szCs w:val="21"/>
          <w:highlight w:val="none"/>
          <w:vertAlign w:val="baseline"/>
          <w:lang w:val="en-US" w:eastAsia="zh-CN" w:bidi="ar-SA"/>
        </w:rPr>
      </w:pPr>
      <w:r>
        <w:rPr>
          <w:rFonts w:hint="eastAsia" w:ascii="宋体" w:hAnsi="宋体" w:cs="宋体"/>
          <w:b w:val="0"/>
          <w:bCs w:val="0"/>
          <w:color w:val="auto"/>
          <w:kern w:val="2"/>
          <w:sz w:val="21"/>
          <w:szCs w:val="21"/>
          <w:highlight w:val="none"/>
          <w:vertAlign w:val="baseline"/>
          <w:lang w:val="en-US" w:eastAsia="zh-CN" w:bidi="ar-SA"/>
        </w:rPr>
        <w:t>4、</w:t>
      </w:r>
      <w:r>
        <w:rPr>
          <w:rFonts w:hint="default" w:ascii="宋体" w:hAnsi="宋体" w:eastAsia="宋体" w:cs="宋体"/>
          <w:b w:val="0"/>
          <w:bCs w:val="0"/>
          <w:color w:val="auto"/>
          <w:kern w:val="2"/>
          <w:sz w:val="21"/>
          <w:szCs w:val="21"/>
          <w:highlight w:val="none"/>
          <w:vertAlign w:val="baseline"/>
          <w:lang w:val="en-US" w:eastAsia="zh-CN" w:bidi="ar-SA"/>
        </w:rPr>
        <w:t>验收资料要求：供应商须同步提供完整的产品合格证、检测报告、出厂资料、运维手册、培训记录、设备清单、质保承诺书等全套资料，资料不齐、参数不符的不予验收。</w:t>
      </w:r>
    </w:p>
    <w:p w14:paraId="0C3D1A05">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default" w:ascii="宋体" w:hAnsi="宋体" w:eastAsia="宋体" w:cs="宋体"/>
          <w:b w:val="0"/>
          <w:bCs w:val="0"/>
          <w:color w:val="auto"/>
          <w:kern w:val="2"/>
          <w:sz w:val="21"/>
          <w:szCs w:val="21"/>
          <w:highlight w:val="none"/>
          <w:vertAlign w:val="baseline"/>
          <w:lang w:val="en-US" w:eastAsia="zh-CN" w:bidi="ar-SA"/>
        </w:rPr>
      </w:pPr>
      <w:r>
        <w:rPr>
          <w:rFonts w:hint="eastAsia" w:ascii="宋体" w:hAnsi="宋体" w:cs="宋体"/>
          <w:b w:val="0"/>
          <w:bCs w:val="0"/>
          <w:color w:val="auto"/>
          <w:kern w:val="2"/>
          <w:sz w:val="21"/>
          <w:szCs w:val="21"/>
          <w:highlight w:val="none"/>
          <w:vertAlign w:val="baseline"/>
          <w:lang w:val="en-US" w:eastAsia="zh-CN" w:bidi="ar-SA"/>
        </w:rPr>
        <w:t>5、</w:t>
      </w:r>
      <w:r>
        <w:rPr>
          <w:rFonts w:hint="default" w:ascii="宋体" w:hAnsi="宋体" w:eastAsia="宋体" w:cs="宋体"/>
          <w:b w:val="0"/>
          <w:bCs w:val="0"/>
          <w:color w:val="auto"/>
          <w:kern w:val="2"/>
          <w:sz w:val="21"/>
          <w:szCs w:val="21"/>
          <w:highlight w:val="none"/>
          <w:vertAlign w:val="baseline"/>
          <w:lang w:val="en-US" w:eastAsia="zh-CN" w:bidi="ar-SA"/>
        </w:rPr>
        <w:t>抽检复检机制：采购人有权对交付产品委托第三方机构进行随机抽检复检，若检测指标不达标，直接判定履约不合格，供应商承担全部违约责任。</w:t>
      </w:r>
    </w:p>
    <w:p w14:paraId="45F8E2DC">
      <w:pPr>
        <w:keepNext w:val="0"/>
        <w:keepLines w:val="0"/>
        <w:pageBreakBefore w:val="0"/>
        <w:widowControl w:val="0"/>
        <w:numPr>
          <w:ilvl w:val="0"/>
          <w:numId w:val="0"/>
        </w:numPr>
        <w:kinsoku/>
        <w:wordWrap/>
        <w:overflowPunct/>
        <w:topLinePunct w:val="0"/>
        <w:autoSpaceDE/>
        <w:autoSpaceDN/>
        <w:bidi w:val="0"/>
        <w:snapToGrid/>
        <w:spacing w:line="360" w:lineRule="auto"/>
        <w:ind w:firstLine="422" w:firstLineChars="200"/>
        <w:textAlignment w:val="auto"/>
        <w:rPr>
          <w:rFonts w:hint="default" w:ascii="宋体" w:hAnsi="宋体" w:eastAsia="宋体" w:cs="宋体"/>
          <w:b/>
          <w:bCs/>
          <w:color w:val="auto"/>
          <w:kern w:val="2"/>
          <w:sz w:val="21"/>
          <w:szCs w:val="21"/>
          <w:highlight w:val="none"/>
          <w:vertAlign w:val="baseline"/>
          <w:lang w:val="en-US" w:eastAsia="zh-CN" w:bidi="ar-SA"/>
        </w:rPr>
      </w:pPr>
      <w:bookmarkStart w:id="68" w:name="heading_4"/>
      <w:r>
        <w:rPr>
          <w:rFonts w:hint="eastAsia" w:ascii="宋体" w:hAnsi="宋体" w:cs="宋体"/>
          <w:b/>
          <w:bCs/>
          <w:color w:val="auto"/>
          <w:kern w:val="2"/>
          <w:sz w:val="21"/>
          <w:szCs w:val="21"/>
          <w:highlight w:val="none"/>
          <w:vertAlign w:val="baseline"/>
          <w:lang w:val="en-US" w:eastAsia="zh-CN" w:bidi="ar-SA"/>
        </w:rPr>
        <w:t>（五）</w:t>
      </w:r>
      <w:r>
        <w:rPr>
          <w:rFonts w:hint="default" w:ascii="宋体" w:hAnsi="宋体" w:eastAsia="宋体" w:cs="宋体"/>
          <w:b/>
          <w:bCs/>
          <w:color w:val="auto"/>
          <w:kern w:val="2"/>
          <w:sz w:val="21"/>
          <w:szCs w:val="21"/>
          <w:highlight w:val="none"/>
          <w:vertAlign w:val="baseline"/>
          <w:lang w:val="en-US" w:eastAsia="zh-CN" w:bidi="ar-SA"/>
        </w:rPr>
        <w:t>付款方式</w:t>
      </w:r>
      <w:bookmarkEnd w:id="68"/>
    </w:p>
    <w:p w14:paraId="798B0B7C">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default" w:ascii="宋体" w:hAnsi="宋体" w:eastAsia="宋体" w:cs="宋体"/>
          <w:b w:val="0"/>
          <w:bCs w:val="0"/>
          <w:color w:val="auto"/>
          <w:kern w:val="2"/>
          <w:sz w:val="21"/>
          <w:szCs w:val="21"/>
          <w:highlight w:val="none"/>
          <w:vertAlign w:val="baseline"/>
          <w:lang w:val="en-US" w:eastAsia="zh-CN" w:bidi="ar-SA"/>
        </w:rPr>
      </w:pPr>
      <w:r>
        <w:rPr>
          <w:rFonts w:hint="eastAsia" w:ascii="宋体" w:hAnsi="宋体" w:cs="宋体"/>
          <w:b w:val="0"/>
          <w:bCs w:val="0"/>
          <w:color w:val="auto"/>
          <w:kern w:val="2"/>
          <w:sz w:val="21"/>
          <w:szCs w:val="21"/>
          <w:highlight w:val="none"/>
          <w:vertAlign w:val="baseline"/>
          <w:lang w:val="en-US" w:eastAsia="zh-CN" w:bidi="ar-SA"/>
        </w:rPr>
        <w:t>1、预付款：合同经供需双方签字生效后，于5个工作日内支付合同金额的50%作为预付款。</w:t>
      </w:r>
    </w:p>
    <w:p w14:paraId="774095CA">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default" w:ascii="宋体" w:hAnsi="宋体" w:eastAsia="宋体" w:cs="宋体"/>
          <w:b w:val="0"/>
          <w:bCs w:val="0"/>
          <w:color w:val="auto"/>
          <w:kern w:val="2"/>
          <w:sz w:val="21"/>
          <w:szCs w:val="21"/>
          <w:highlight w:val="none"/>
          <w:vertAlign w:val="baseline"/>
          <w:lang w:val="en-US" w:eastAsia="zh-CN" w:bidi="ar-SA"/>
        </w:rPr>
      </w:pPr>
      <w:r>
        <w:rPr>
          <w:rFonts w:hint="eastAsia" w:ascii="宋体" w:hAnsi="宋体" w:cs="宋体"/>
          <w:b w:val="0"/>
          <w:bCs w:val="0"/>
          <w:color w:val="auto"/>
          <w:kern w:val="2"/>
          <w:sz w:val="21"/>
          <w:szCs w:val="21"/>
          <w:highlight w:val="none"/>
          <w:vertAlign w:val="baseline"/>
          <w:lang w:val="en-US" w:eastAsia="zh-CN" w:bidi="ar-SA"/>
        </w:rPr>
        <w:t>2、</w:t>
      </w:r>
      <w:r>
        <w:rPr>
          <w:rFonts w:hint="default" w:ascii="宋体" w:hAnsi="宋体" w:eastAsia="宋体" w:cs="宋体"/>
          <w:b w:val="0"/>
          <w:bCs w:val="0"/>
          <w:color w:val="auto"/>
          <w:kern w:val="2"/>
          <w:sz w:val="21"/>
          <w:szCs w:val="21"/>
          <w:highlight w:val="none"/>
          <w:vertAlign w:val="baseline"/>
          <w:lang w:val="en-US" w:eastAsia="zh-CN" w:bidi="ar-SA"/>
        </w:rPr>
        <w:t>验收合格付款：项目全部赛事结束、整体验收合格，供应商提交完整合规发票及全套结算资料后，采购人在15个工作日内支付</w:t>
      </w:r>
      <w:r>
        <w:rPr>
          <w:rFonts w:hint="eastAsia" w:ascii="宋体" w:hAnsi="宋体" w:cs="宋体"/>
          <w:b w:val="0"/>
          <w:bCs w:val="0"/>
          <w:color w:val="auto"/>
          <w:kern w:val="2"/>
          <w:sz w:val="21"/>
          <w:szCs w:val="21"/>
          <w:highlight w:val="none"/>
          <w:vertAlign w:val="baseline"/>
          <w:lang w:val="en-US" w:eastAsia="zh-CN" w:bidi="ar-SA"/>
        </w:rPr>
        <w:t>合同尾款</w:t>
      </w:r>
      <w:r>
        <w:rPr>
          <w:rFonts w:hint="default" w:ascii="宋体" w:hAnsi="宋体" w:eastAsia="宋体" w:cs="宋体"/>
          <w:b w:val="0"/>
          <w:bCs w:val="0"/>
          <w:color w:val="auto"/>
          <w:kern w:val="2"/>
          <w:sz w:val="21"/>
          <w:szCs w:val="21"/>
          <w:highlight w:val="none"/>
          <w:vertAlign w:val="baseline"/>
          <w:lang w:val="en-US" w:eastAsia="zh-CN" w:bidi="ar-SA"/>
        </w:rPr>
        <w:t>。</w:t>
      </w:r>
    </w:p>
    <w:p w14:paraId="4034E3AE">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eastAsia" w:ascii="宋体" w:hAnsi="宋体" w:cs="宋体"/>
          <w:b w:val="0"/>
          <w:bCs w:val="0"/>
          <w:color w:val="auto"/>
          <w:kern w:val="2"/>
          <w:sz w:val="21"/>
          <w:szCs w:val="21"/>
          <w:highlight w:val="none"/>
          <w:vertAlign w:val="baseline"/>
          <w:lang w:val="en-US" w:eastAsia="zh-CN" w:bidi="ar-SA"/>
        </w:rPr>
      </w:pPr>
      <w:r>
        <w:rPr>
          <w:rFonts w:hint="eastAsia" w:ascii="宋体" w:hAnsi="宋体" w:cs="宋体"/>
          <w:b w:val="0"/>
          <w:bCs w:val="0"/>
          <w:color w:val="auto"/>
          <w:kern w:val="2"/>
          <w:sz w:val="21"/>
          <w:szCs w:val="21"/>
          <w:highlight w:val="none"/>
          <w:vertAlign w:val="baseline"/>
          <w:lang w:val="en-US" w:eastAsia="zh-CN" w:bidi="ar-SA"/>
        </w:rPr>
        <w:t>3、</w:t>
      </w:r>
      <w:r>
        <w:rPr>
          <w:rFonts w:hint="default" w:ascii="宋体" w:hAnsi="宋体" w:eastAsia="宋体" w:cs="宋体"/>
          <w:b w:val="0"/>
          <w:bCs w:val="0"/>
          <w:color w:val="auto"/>
          <w:kern w:val="2"/>
          <w:sz w:val="21"/>
          <w:szCs w:val="21"/>
          <w:highlight w:val="none"/>
          <w:vertAlign w:val="baseline"/>
          <w:lang w:val="en-US" w:eastAsia="zh-CN" w:bidi="ar-SA"/>
        </w:rPr>
        <w:t>付款前提：</w:t>
      </w:r>
      <w:r>
        <w:rPr>
          <w:rFonts w:hint="eastAsia" w:ascii="宋体" w:hAnsi="宋体" w:cs="宋体"/>
          <w:b w:val="0"/>
          <w:bCs w:val="0"/>
          <w:color w:val="auto"/>
          <w:kern w:val="2"/>
          <w:sz w:val="21"/>
          <w:szCs w:val="21"/>
          <w:highlight w:val="none"/>
          <w:vertAlign w:val="baseline"/>
          <w:lang w:val="en-US" w:eastAsia="zh-CN" w:bidi="ar-SA"/>
        </w:rPr>
        <w:t>每阶段付款</w:t>
      </w:r>
      <w:r>
        <w:rPr>
          <w:rFonts w:hint="default" w:ascii="宋体" w:hAnsi="宋体" w:eastAsia="宋体" w:cs="宋体"/>
          <w:b w:val="0"/>
          <w:bCs w:val="0"/>
          <w:color w:val="auto"/>
          <w:kern w:val="2"/>
          <w:sz w:val="21"/>
          <w:szCs w:val="21"/>
          <w:highlight w:val="none"/>
          <w:vertAlign w:val="baseline"/>
          <w:lang w:val="en-US" w:eastAsia="zh-CN" w:bidi="ar-SA"/>
        </w:rPr>
        <w:t>供应商</w:t>
      </w:r>
      <w:r>
        <w:rPr>
          <w:rFonts w:hint="eastAsia" w:ascii="宋体" w:hAnsi="宋体" w:cs="宋体"/>
          <w:b w:val="0"/>
          <w:bCs w:val="0"/>
          <w:color w:val="auto"/>
          <w:kern w:val="2"/>
          <w:sz w:val="21"/>
          <w:szCs w:val="21"/>
          <w:highlight w:val="none"/>
          <w:vertAlign w:val="baseline"/>
          <w:lang w:val="en-US" w:eastAsia="zh-CN" w:bidi="ar-SA"/>
        </w:rPr>
        <w:t>需</w:t>
      </w:r>
      <w:r>
        <w:rPr>
          <w:rFonts w:hint="default" w:ascii="宋体" w:hAnsi="宋体" w:eastAsia="宋体" w:cs="宋体"/>
          <w:b w:val="0"/>
          <w:bCs w:val="0"/>
          <w:color w:val="auto"/>
          <w:kern w:val="2"/>
          <w:sz w:val="21"/>
          <w:szCs w:val="21"/>
          <w:highlight w:val="none"/>
          <w:vertAlign w:val="baseline"/>
          <w:lang w:val="en-US" w:eastAsia="zh-CN" w:bidi="ar-SA"/>
        </w:rPr>
        <w:t>按要求提供合规票据及完整资料，</w:t>
      </w:r>
      <w:r>
        <w:rPr>
          <w:rFonts w:hint="eastAsia" w:ascii="宋体" w:hAnsi="宋体" w:cs="宋体"/>
          <w:b w:val="0"/>
          <w:bCs w:val="0"/>
          <w:color w:val="auto"/>
          <w:kern w:val="2"/>
          <w:sz w:val="21"/>
          <w:szCs w:val="21"/>
          <w:highlight w:val="none"/>
          <w:vertAlign w:val="baseline"/>
          <w:lang w:val="en-US" w:eastAsia="zh-CN" w:bidi="ar-SA"/>
        </w:rPr>
        <w:t>待财政资金拔付到位后，履行资金拔付程序，因财政资金拔付流程导致的付款延误，不视为采购人违约。</w:t>
      </w:r>
      <w:bookmarkStart w:id="69" w:name="heading_5"/>
    </w:p>
    <w:p w14:paraId="09951356">
      <w:pPr>
        <w:keepNext w:val="0"/>
        <w:keepLines w:val="0"/>
        <w:pageBreakBefore w:val="0"/>
        <w:widowControl w:val="0"/>
        <w:numPr>
          <w:ilvl w:val="0"/>
          <w:numId w:val="0"/>
        </w:numPr>
        <w:kinsoku/>
        <w:wordWrap/>
        <w:overflowPunct/>
        <w:topLinePunct w:val="0"/>
        <w:autoSpaceDE/>
        <w:autoSpaceDN/>
        <w:bidi w:val="0"/>
        <w:snapToGrid/>
        <w:spacing w:line="360" w:lineRule="auto"/>
        <w:ind w:firstLine="422" w:firstLineChars="200"/>
        <w:textAlignment w:val="auto"/>
        <w:rPr>
          <w:rFonts w:hint="default" w:ascii="宋体" w:hAnsi="宋体" w:eastAsia="宋体" w:cs="宋体"/>
          <w:b/>
          <w:bCs/>
          <w:color w:val="auto"/>
          <w:kern w:val="2"/>
          <w:sz w:val="21"/>
          <w:szCs w:val="21"/>
          <w:highlight w:val="none"/>
          <w:vertAlign w:val="baseline"/>
          <w:lang w:val="en-US" w:eastAsia="zh-CN" w:bidi="ar-SA"/>
        </w:rPr>
      </w:pPr>
      <w:r>
        <w:rPr>
          <w:rFonts w:hint="default" w:ascii="宋体" w:hAnsi="宋体" w:eastAsia="宋体" w:cs="宋体"/>
          <w:b/>
          <w:bCs/>
          <w:color w:val="auto"/>
          <w:kern w:val="2"/>
          <w:sz w:val="21"/>
          <w:szCs w:val="21"/>
          <w:highlight w:val="none"/>
          <w:vertAlign w:val="baseline"/>
          <w:lang w:val="en-US" w:eastAsia="zh-CN" w:bidi="ar-SA"/>
        </w:rPr>
        <w:t>六、售后服务要求</w:t>
      </w:r>
      <w:bookmarkEnd w:id="69"/>
    </w:p>
    <w:p w14:paraId="1B6102F1">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default" w:ascii="宋体" w:hAnsi="宋体" w:eastAsia="宋体" w:cs="宋体"/>
          <w:b w:val="0"/>
          <w:bCs w:val="0"/>
          <w:color w:val="auto"/>
          <w:kern w:val="2"/>
          <w:sz w:val="21"/>
          <w:szCs w:val="21"/>
          <w:highlight w:val="none"/>
          <w:vertAlign w:val="baseline"/>
          <w:lang w:val="en-US" w:eastAsia="zh-CN" w:bidi="ar-SA"/>
        </w:rPr>
      </w:pPr>
      <w:r>
        <w:rPr>
          <w:rFonts w:hint="default" w:ascii="宋体" w:hAnsi="宋体" w:eastAsia="宋体" w:cs="宋体"/>
          <w:b w:val="0"/>
          <w:bCs w:val="0"/>
          <w:color w:val="auto"/>
          <w:kern w:val="2"/>
          <w:sz w:val="21"/>
          <w:szCs w:val="21"/>
          <w:highlight w:val="none"/>
          <w:vertAlign w:val="baseline"/>
          <w:lang w:val="en-US" w:eastAsia="zh-CN" w:bidi="ar-SA"/>
        </w:rPr>
        <w:t>1. 技术培训服务：设备安装调试完成后，供应商须免费为采购人赛事运维人员、场地工作人员提供专项操作、日常维护、简易故障排查、设备收纳保养培训，确保相关人员熟练使用及运维，同步提供书面运维手册。</w:t>
      </w:r>
    </w:p>
    <w:p w14:paraId="6650AAA7">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default" w:ascii="宋体" w:hAnsi="宋体" w:eastAsia="宋体" w:cs="宋体"/>
          <w:b w:val="0"/>
          <w:bCs w:val="0"/>
          <w:color w:val="auto"/>
          <w:kern w:val="2"/>
          <w:sz w:val="21"/>
          <w:szCs w:val="21"/>
          <w:highlight w:val="none"/>
          <w:vertAlign w:val="baseline"/>
          <w:lang w:val="en-US" w:eastAsia="zh-CN" w:bidi="ar-SA"/>
        </w:rPr>
      </w:pPr>
      <w:r>
        <w:rPr>
          <w:rFonts w:hint="default" w:ascii="宋体" w:hAnsi="宋体" w:eastAsia="宋体" w:cs="宋体"/>
          <w:b w:val="0"/>
          <w:bCs w:val="0"/>
          <w:color w:val="auto"/>
          <w:kern w:val="2"/>
          <w:sz w:val="21"/>
          <w:szCs w:val="21"/>
          <w:highlight w:val="none"/>
          <w:vertAlign w:val="baseline"/>
          <w:lang w:val="en-US" w:eastAsia="zh-CN" w:bidi="ar-SA"/>
        </w:rPr>
        <w:t>2. 日常维保服务：质保期内提</w:t>
      </w:r>
      <w:r>
        <w:rPr>
          <w:rFonts w:hint="eastAsia" w:ascii="宋体" w:hAnsi="宋体" w:cs="宋体"/>
          <w:b w:val="0"/>
          <w:bCs w:val="0"/>
          <w:color w:val="auto"/>
          <w:kern w:val="2"/>
          <w:sz w:val="21"/>
          <w:szCs w:val="21"/>
          <w:highlight w:val="none"/>
          <w:vertAlign w:val="baseline"/>
          <w:lang w:val="en-US" w:eastAsia="zh-CN" w:bidi="ar-SA"/>
        </w:rPr>
        <w:t>供</w:t>
      </w:r>
      <w:r>
        <w:rPr>
          <w:rFonts w:hint="default" w:ascii="宋体" w:hAnsi="宋体" w:eastAsia="宋体" w:cs="宋体"/>
          <w:b w:val="0"/>
          <w:bCs w:val="0"/>
          <w:color w:val="auto"/>
          <w:kern w:val="2"/>
          <w:sz w:val="21"/>
          <w:szCs w:val="21"/>
          <w:highlight w:val="none"/>
          <w:vertAlign w:val="baseline"/>
          <w:lang w:val="en-US" w:eastAsia="zh-CN" w:bidi="ar-SA"/>
        </w:rPr>
        <w:t>免费上门巡检、保养、校准服务，形成巡检台账，及时排查设备老化、松动、性能衰减等隐患，保障设备长期稳定运行。</w:t>
      </w:r>
    </w:p>
    <w:p w14:paraId="138CE232">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default" w:ascii="宋体" w:hAnsi="宋体" w:eastAsia="宋体" w:cs="宋体"/>
          <w:b w:val="0"/>
          <w:bCs w:val="0"/>
          <w:color w:val="auto"/>
          <w:kern w:val="2"/>
          <w:sz w:val="21"/>
          <w:szCs w:val="21"/>
          <w:highlight w:val="none"/>
          <w:vertAlign w:val="baseline"/>
          <w:lang w:val="en-US" w:eastAsia="zh-CN" w:bidi="ar-SA"/>
        </w:rPr>
      </w:pPr>
      <w:r>
        <w:rPr>
          <w:rFonts w:hint="default" w:ascii="宋体" w:hAnsi="宋体" w:eastAsia="宋体" w:cs="宋体"/>
          <w:b w:val="0"/>
          <w:bCs w:val="0"/>
          <w:color w:val="auto"/>
          <w:kern w:val="2"/>
          <w:sz w:val="21"/>
          <w:szCs w:val="21"/>
          <w:highlight w:val="none"/>
          <w:vertAlign w:val="baseline"/>
          <w:lang w:val="en-US" w:eastAsia="zh-CN" w:bidi="ar-SA"/>
        </w:rPr>
        <w:t>3. 故障处置服务：建立7×24小时售后服务热线，全天候响应报修需求，严格执行</w:t>
      </w:r>
      <w:r>
        <w:rPr>
          <w:rFonts w:hint="eastAsia" w:ascii="宋体" w:hAnsi="宋体" w:cs="宋体"/>
          <w:b w:val="0"/>
          <w:bCs w:val="0"/>
          <w:color w:val="auto"/>
          <w:kern w:val="2"/>
          <w:sz w:val="21"/>
          <w:szCs w:val="21"/>
          <w:highlight w:val="none"/>
          <w:vertAlign w:val="baseline"/>
          <w:lang w:val="en-US" w:eastAsia="zh-CN" w:bidi="ar-SA"/>
        </w:rPr>
        <w:t>赛事专项保障承诺</w:t>
      </w:r>
      <w:r>
        <w:rPr>
          <w:rFonts w:hint="default" w:ascii="宋体" w:hAnsi="宋体" w:eastAsia="宋体" w:cs="宋体"/>
          <w:b w:val="0"/>
          <w:bCs w:val="0"/>
          <w:color w:val="auto"/>
          <w:kern w:val="2"/>
          <w:sz w:val="21"/>
          <w:szCs w:val="21"/>
          <w:highlight w:val="none"/>
          <w:vertAlign w:val="baseline"/>
          <w:lang w:val="en-US" w:eastAsia="zh-CN" w:bidi="ar-SA"/>
        </w:rPr>
        <w:t>，赛事期间优先处置、极速保障。</w:t>
      </w:r>
    </w:p>
    <w:p w14:paraId="34DD6CA9">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default" w:ascii="宋体" w:hAnsi="宋体" w:eastAsia="宋体" w:cs="宋体"/>
          <w:b w:val="0"/>
          <w:bCs w:val="0"/>
          <w:color w:val="auto"/>
          <w:kern w:val="2"/>
          <w:sz w:val="21"/>
          <w:szCs w:val="21"/>
          <w:highlight w:val="none"/>
          <w:vertAlign w:val="baseline"/>
          <w:lang w:val="en-US" w:eastAsia="zh-CN" w:bidi="ar-SA"/>
        </w:rPr>
      </w:pPr>
      <w:r>
        <w:rPr>
          <w:rFonts w:hint="default" w:ascii="宋体" w:hAnsi="宋体" w:eastAsia="宋体" w:cs="宋体"/>
          <w:b w:val="0"/>
          <w:bCs w:val="0"/>
          <w:color w:val="auto"/>
          <w:kern w:val="2"/>
          <w:sz w:val="21"/>
          <w:szCs w:val="21"/>
          <w:highlight w:val="none"/>
          <w:vertAlign w:val="baseline"/>
          <w:lang w:val="en-US" w:eastAsia="zh-CN" w:bidi="ar-SA"/>
        </w:rPr>
        <w:t>4. 违约处置服务：供应商未按要求落实售后、赛事值守、维保整改义务的，</w:t>
      </w:r>
      <w:r>
        <w:rPr>
          <w:rFonts w:hint="eastAsia" w:ascii="宋体" w:hAnsi="宋体" w:cs="宋体"/>
          <w:b w:val="0"/>
          <w:bCs w:val="0"/>
          <w:color w:val="auto"/>
          <w:kern w:val="2"/>
          <w:sz w:val="21"/>
          <w:szCs w:val="21"/>
          <w:highlight w:val="none"/>
          <w:vertAlign w:val="baseline"/>
          <w:lang w:val="en-US" w:eastAsia="zh-CN" w:bidi="ar-SA"/>
        </w:rPr>
        <w:t>按供应商违约处理，追究</w:t>
      </w:r>
      <w:r>
        <w:rPr>
          <w:rFonts w:hint="default" w:ascii="宋体" w:hAnsi="宋体" w:eastAsia="宋体" w:cs="宋体"/>
          <w:b w:val="0"/>
          <w:bCs w:val="0"/>
          <w:color w:val="auto"/>
          <w:kern w:val="2"/>
          <w:sz w:val="21"/>
          <w:szCs w:val="21"/>
          <w:highlight w:val="none"/>
          <w:vertAlign w:val="baseline"/>
          <w:lang w:val="en-US" w:eastAsia="zh-CN" w:bidi="ar-SA"/>
        </w:rPr>
        <w:t>违约责任，并将不良履约记录上报政府采购监管部门，纳入政府采购信用档案。</w:t>
      </w:r>
    </w:p>
    <w:p w14:paraId="078826DB">
      <w:pPr>
        <w:keepNext w:val="0"/>
        <w:keepLines w:val="0"/>
        <w:pageBreakBefore w:val="0"/>
        <w:widowControl w:val="0"/>
        <w:numPr>
          <w:ilvl w:val="0"/>
          <w:numId w:val="0"/>
        </w:numPr>
        <w:kinsoku/>
        <w:wordWrap/>
        <w:overflowPunct/>
        <w:topLinePunct w:val="0"/>
        <w:autoSpaceDE/>
        <w:autoSpaceDN/>
        <w:bidi w:val="0"/>
        <w:snapToGrid/>
        <w:spacing w:line="360" w:lineRule="auto"/>
        <w:ind w:firstLine="422" w:firstLineChars="200"/>
        <w:textAlignment w:val="auto"/>
        <w:rPr>
          <w:rFonts w:hint="default" w:ascii="宋体" w:hAnsi="宋体" w:eastAsia="宋体" w:cs="宋体"/>
          <w:b/>
          <w:bCs/>
          <w:color w:val="auto"/>
          <w:kern w:val="2"/>
          <w:sz w:val="21"/>
          <w:szCs w:val="21"/>
          <w:highlight w:val="none"/>
          <w:vertAlign w:val="baseline"/>
          <w:lang w:val="en-US" w:eastAsia="zh-CN" w:bidi="ar-SA"/>
        </w:rPr>
      </w:pPr>
      <w:bookmarkStart w:id="70" w:name="heading_6"/>
      <w:r>
        <w:rPr>
          <w:rFonts w:hint="default" w:ascii="宋体" w:hAnsi="宋体" w:eastAsia="宋体" w:cs="宋体"/>
          <w:b/>
          <w:bCs/>
          <w:color w:val="auto"/>
          <w:kern w:val="2"/>
          <w:sz w:val="21"/>
          <w:szCs w:val="21"/>
          <w:highlight w:val="none"/>
          <w:vertAlign w:val="baseline"/>
          <w:lang w:val="en-US" w:eastAsia="zh-CN" w:bidi="ar-SA"/>
        </w:rPr>
        <w:t>七、其他商务要求</w:t>
      </w:r>
      <w:bookmarkEnd w:id="70"/>
    </w:p>
    <w:p w14:paraId="47F2E2C5">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default" w:ascii="宋体" w:hAnsi="宋体" w:eastAsia="宋体" w:cs="宋体"/>
          <w:b w:val="0"/>
          <w:bCs w:val="0"/>
          <w:color w:val="auto"/>
          <w:kern w:val="2"/>
          <w:sz w:val="21"/>
          <w:szCs w:val="21"/>
          <w:highlight w:val="none"/>
          <w:vertAlign w:val="baseline"/>
          <w:lang w:val="en-US" w:eastAsia="zh-CN" w:bidi="ar-SA"/>
        </w:rPr>
      </w:pPr>
      <w:r>
        <w:rPr>
          <w:rFonts w:hint="eastAsia" w:ascii="宋体" w:hAnsi="宋体" w:cs="宋体"/>
          <w:b w:val="0"/>
          <w:bCs w:val="0"/>
          <w:color w:val="auto"/>
          <w:kern w:val="2"/>
          <w:sz w:val="21"/>
          <w:szCs w:val="21"/>
          <w:highlight w:val="none"/>
          <w:vertAlign w:val="baseline"/>
          <w:lang w:val="en-US" w:eastAsia="zh-CN" w:bidi="ar-SA"/>
        </w:rPr>
        <w:t>1、</w:t>
      </w:r>
      <w:r>
        <w:rPr>
          <w:rFonts w:hint="default" w:ascii="宋体" w:hAnsi="宋体" w:eastAsia="宋体" w:cs="宋体"/>
          <w:b w:val="0"/>
          <w:bCs w:val="0"/>
          <w:color w:val="auto"/>
          <w:kern w:val="2"/>
          <w:sz w:val="21"/>
          <w:szCs w:val="21"/>
          <w:highlight w:val="none"/>
          <w:vertAlign w:val="baseline"/>
          <w:lang w:val="en-US" w:eastAsia="zh-CN" w:bidi="ar-SA"/>
        </w:rPr>
        <w:t>知识产权要求：本项目所有交付设备、配套资料的知识产权合法合规，无侵权纠纷，若产生知识产权争议，由供应商承担全部法律及经济责任。项目履约完成后，全部设备及配套资料使用权归采购人所有。</w:t>
      </w:r>
    </w:p>
    <w:p w14:paraId="5FD83E49">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default" w:ascii="宋体" w:hAnsi="宋体" w:eastAsia="宋体" w:cs="宋体"/>
          <w:b w:val="0"/>
          <w:bCs w:val="0"/>
          <w:color w:val="auto"/>
          <w:kern w:val="2"/>
          <w:sz w:val="21"/>
          <w:szCs w:val="21"/>
          <w:highlight w:val="none"/>
          <w:vertAlign w:val="baseline"/>
          <w:lang w:val="en-US" w:eastAsia="zh-CN" w:bidi="ar-SA"/>
        </w:rPr>
      </w:pPr>
      <w:r>
        <w:rPr>
          <w:rFonts w:hint="eastAsia" w:ascii="宋体" w:hAnsi="宋体" w:cs="宋体"/>
          <w:b w:val="0"/>
          <w:bCs w:val="0"/>
          <w:color w:val="auto"/>
          <w:kern w:val="2"/>
          <w:sz w:val="21"/>
          <w:szCs w:val="21"/>
          <w:highlight w:val="none"/>
          <w:vertAlign w:val="baseline"/>
          <w:lang w:val="en-US" w:eastAsia="zh-CN" w:bidi="ar-SA"/>
        </w:rPr>
        <w:t>2、</w:t>
      </w:r>
      <w:r>
        <w:rPr>
          <w:rFonts w:hint="default" w:ascii="宋体" w:hAnsi="宋体" w:eastAsia="宋体" w:cs="宋体"/>
          <w:b w:val="0"/>
          <w:bCs w:val="0"/>
          <w:color w:val="auto"/>
          <w:kern w:val="2"/>
          <w:sz w:val="21"/>
          <w:szCs w:val="21"/>
          <w:highlight w:val="none"/>
          <w:vertAlign w:val="baseline"/>
          <w:lang w:val="en-US" w:eastAsia="zh-CN" w:bidi="ar-SA"/>
        </w:rPr>
        <w:t>安全履约要求：供应商进场安装、调试、运维人员须具备专业资质，作业过程中严格遵守场地安全管理规定，做好安全防护，履约期间发生的人员安全事故、财产损失，由供应商自行承担全部责任。</w:t>
      </w:r>
    </w:p>
    <w:p w14:paraId="35562FBC">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default" w:ascii="宋体" w:hAnsi="宋体" w:eastAsia="宋体" w:cs="宋体"/>
          <w:b w:val="0"/>
          <w:bCs w:val="0"/>
          <w:color w:val="auto"/>
          <w:kern w:val="2"/>
          <w:sz w:val="21"/>
          <w:szCs w:val="21"/>
          <w:highlight w:val="none"/>
          <w:vertAlign w:val="baseline"/>
          <w:lang w:val="en-US" w:eastAsia="zh-CN" w:bidi="ar-SA"/>
        </w:rPr>
      </w:pPr>
      <w:r>
        <w:rPr>
          <w:rFonts w:hint="eastAsia" w:ascii="宋体" w:hAnsi="宋体" w:cs="宋体"/>
          <w:b w:val="0"/>
          <w:bCs w:val="0"/>
          <w:color w:val="auto"/>
          <w:kern w:val="2"/>
          <w:sz w:val="21"/>
          <w:szCs w:val="21"/>
          <w:highlight w:val="none"/>
          <w:vertAlign w:val="baseline"/>
          <w:lang w:val="en-US" w:eastAsia="zh-CN" w:bidi="ar-SA"/>
        </w:rPr>
        <w:t>3、</w:t>
      </w:r>
      <w:r>
        <w:rPr>
          <w:rFonts w:hint="default" w:ascii="宋体" w:hAnsi="宋体" w:eastAsia="宋体" w:cs="宋体"/>
          <w:b w:val="0"/>
          <w:bCs w:val="0"/>
          <w:color w:val="auto"/>
          <w:kern w:val="2"/>
          <w:sz w:val="21"/>
          <w:szCs w:val="21"/>
          <w:highlight w:val="none"/>
          <w:vertAlign w:val="baseline"/>
          <w:lang w:val="en-US" w:eastAsia="zh-CN" w:bidi="ar-SA"/>
        </w:rPr>
        <w:t>资料归档要求：供应商须全程配合采购人完成政府采购履约归档工作，按要求提交样品资料、检测报告、验收资料、培训台账、维保记录等全套归档材料，确保项目履约资料完整合规。</w:t>
      </w:r>
    </w:p>
    <w:p w14:paraId="54ED536F">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default" w:ascii="宋体" w:hAnsi="宋体" w:eastAsia="宋体" w:cs="宋体"/>
          <w:b w:val="0"/>
          <w:bCs w:val="0"/>
          <w:color w:val="auto"/>
          <w:kern w:val="2"/>
          <w:sz w:val="21"/>
          <w:szCs w:val="21"/>
          <w:highlight w:val="none"/>
          <w:vertAlign w:val="baseline"/>
          <w:lang w:val="en-US" w:eastAsia="zh-CN" w:bidi="ar-SA"/>
        </w:rPr>
      </w:pPr>
      <w:r>
        <w:rPr>
          <w:rFonts w:hint="eastAsia" w:ascii="宋体" w:hAnsi="宋体" w:cs="宋体"/>
          <w:b w:val="0"/>
          <w:bCs w:val="0"/>
          <w:color w:val="auto"/>
          <w:kern w:val="2"/>
          <w:sz w:val="21"/>
          <w:szCs w:val="21"/>
          <w:highlight w:val="none"/>
          <w:vertAlign w:val="baseline"/>
          <w:lang w:val="en-US" w:eastAsia="zh-CN" w:bidi="ar-SA"/>
        </w:rPr>
        <w:t>4、</w:t>
      </w:r>
      <w:r>
        <w:rPr>
          <w:rFonts w:hint="default" w:ascii="宋体" w:hAnsi="宋体" w:eastAsia="宋体" w:cs="宋体"/>
          <w:b w:val="0"/>
          <w:bCs w:val="0"/>
          <w:color w:val="auto"/>
          <w:kern w:val="2"/>
          <w:sz w:val="21"/>
          <w:szCs w:val="21"/>
          <w:highlight w:val="none"/>
          <w:vertAlign w:val="baseline"/>
          <w:lang w:val="en-US" w:eastAsia="zh-CN" w:bidi="ar-SA"/>
        </w:rPr>
        <w:t>严禁转包分包：本项目不允许转包、违法分包，一经发现，采购人有权单方面解除合同、追究违约责任，并上报政府采购监管部门。</w:t>
      </w:r>
    </w:p>
    <w:p w14:paraId="3FD62F92">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default" w:ascii="宋体" w:hAnsi="宋体" w:eastAsia="宋体" w:cs="宋体"/>
          <w:b w:val="0"/>
          <w:bCs w:val="0"/>
          <w:color w:val="auto"/>
          <w:kern w:val="2"/>
          <w:sz w:val="21"/>
          <w:szCs w:val="21"/>
          <w:highlight w:val="none"/>
          <w:vertAlign w:val="baseline"/>
          <w:lang w:val="en-US" w:eastAsia="zh-CN" w:bidi="ar-SA"/>
        </w:rPr>
      </w:pPr>
      <w:r>
        <w:rPr>
          <w:rFonts w:hint="eastAsia" w:ascii="宋体" w:hAnsi="宋体" w:cs="宋体"/>
          <w:b w:val="0"/>
          <w:bCs w:val="0"/>
          <w:color w:val="auto"/>
          <w:kern w:val="2"/>
          <w:sz w:val="21"/>
          <w:szCs w:val="21"/>
          <w:highlight w:val="none"/>
          <w:vertAlign w:val="baseline"/>
          <w:lang w:val="en-US" w:eastAsia="zh-CN" w:bidi="ar-SA"/>
        </w:rPr>
        <w:t>5、本章节所有技术要求、商务要求均为实质性要求，供应商需完全响应，不接受负偏离。否则，将视为未实质性响应谈判文件要求，响应无效。</w:t>
      </w:r>
    </w:p>
    <w:p w14:paraId="5FCD4CD9">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eastAsia" w:ascii="宋体" w:hAnsi="宋体" w:eastAsia="宋体" w:cs="宋体"/>
          <w:b w:val="0"/>
          <w:bCs w:val="0"/>
          <w:color w:val="auto"/>
          <w:kern w:val="2"/>
          <w:sz w:val="21"/>
          <w:szCs w:val="21"/>
          <w:highlight w:val="none"/>
          <w:vertAlign w:val="baseline"/>
          <w:lang w:val="en-US" w:eastAsia="zh-CN" w:bidi="ar-SA"/>
        </w:rPr>
      </w:pPr>
    </w:p>
    <w:p w14:paraId="3334189E">
      <w:pPr>
        <w:rPr>
          <w:rFonts w:hint="eastAsia" w:cs="仿宋_GB2312" w:asciiTheme="minorEastAsia" w:hAnsiTheme="minorEastAsia" w:eastAsiaTheme="minorEastAsia"/>
          <w:b/>
          <w:color w:val="auto"/>
          <w:sz w:val="36"/>
          <w:szCs w:val="36"/>
          <w:highlight w:val="none"/>
        </w:rPr>
      </w:pPr>
      <w:bookmarkStart w:id="71" w:name="_Toc2129"/>
      <w:r>
        <w:rPr>
          <w:rFonts w:hint="eastAsia" w:cs="仿宋_GB2312" w:asciiTheme="minorEastAsia" w:hAnsiTheme="minorEastAsia" w:eastAsiaTheme="minorEastAsia"/>
          <w:b/>
          <w:color w:val="auto"/>
          <w:sz w:val="36"/>
          <w:szCs w:val="36"/>
          <w:highlight w:val="none"/>
        </w:rPr>
        <w:br w:type="page"/>
      </w:r>
    </w:p>
    <w:p w14:paraId="34040E3D">
      <w:pPr>
        <w:adjustRightInd/>
        <w:spacing w:line="360" w:lineRule="auto"/>
        <w:jc w:val="center"/>
        <w:outlineLvl w:val="0"/>
        <w:rPr>
          <w:rFonts w:cs="仿宋_GB2312" w:asciiTheme="minorEastAsia" w:hAnsiTheme="minorEastAsia" w:eastAsiaTheme="minorEastAsia"/>
          <w:b/>
          <w:color w:val="auto"/>
          <w:sz w:val="36"/>
          <w:szCs w:val="36"/>
          <w:highlight w:val="none"/>
        </w:rPr>
      </w:pPr>
      <w:r>
        <w:rPr>
          <w:rFonts w:hint="eastAsia" w:cs="仿宋_GB2312" w:asciiTheme="minorEastAsia" w:hAnsiTheme="minorEastAsia" w:eastAsiaTheme="minorEastAsia"/>
          <w:b/>
          <w:color w:val="auto"/>
          <w:sz w:val="36"/>
          <w:szCs w:val="36"/>
          <w:highlight w:val="none"/>
        </w:rPr>
        <w:t xml:space="preserve">第五部分  </w:t>
      </w:r>
      <w:bookmarkEnd w:id="61"/>
      <w:bookmarkEnd w:id="62"/>
      <w:bookmarkStart w:id="72" w:name="第四部分"/>
      <w:r>
        <w:rPr>
          <w:rFonts w:hint="eastAsia" w:cs="仿宋_GB2312" w:asciiTheme="minorEastAsia" w:hAnsiTheme="minorEastAsia" w:eastAsiaTheme="minorEastAsia"/>
          <w:b/>
          <w:color w:val="auto"/>
          <w:sz w:val="36"/>
          <w:szCs w:val="36"/>
          <w:highlight w:val="none"/>
        </w:rPr>
        <w:t>评定标准</w:t>
      </w:r>
      <w:bookmarkEnd w:id="71"/>
    </w:p>
    <w:p w14:paraId="29D3F978">
      <w:pPr>
        <w:adjustRightInd/>
        <w:spacing w:line="360" w:lineRule="auto"/>
        <w:ind w:firstLine="482" w:firstLineChars="200"/>
        <w:rPr>
          <w:rFonts w:cs="Arial" w:asciiTheme="minorEastAsia" w:hAnsiTheme="minorEastAsia" w:eastAsiaTheme="minorEastAsia"/>
          <w:b/>
          <w:color w:val="auto"/>
          <w:kern w:val="0"/>
          <w:sz w:val="24"/>
          <w:highlight w:val="none"/>
        </w:rPr>
      </w:pPr>
    </w:p>
    <w:p w14:paraId="3D5AF7B0">
      <w:pPr>
        <w:pStyle w:val="392"/>
        <w:numPr>
          <w:ilvl w:val="0"/>
          <w:numId w:val="8"/>
        </w:numPr>
        <w:spacing w:before="0"/>
        <w:ind w:firstLine="643"/>
        <w:jc w:val="center"/>
        <w:outlineLvl w:val="1"/>
        <w:rPr>
          <w:rFonts w:hint="eastAsia" w:cs="仿宋_GB2312" w:asciiTheme="minorEastAsia" w:hAnsiTheme="minorEastAsia" w:eastAsiaTheme="minorEastAsia"/>
          <w:b/>
          <w:color w:val="auto"/>
          <w:sz w:val="32"/>
          <w:highlight w:val="none"/>
        </w:rPr>
      </w:pPr>
      <w:r>
        <w:rPr>
          <w:rFonts w:hint="eastAsia" w:cs="仿宋_GB2312" w:asciiTheme="minorEastAsia" w:hAnsiTheme="minorEastAsia" w:eastAsiaTheme="minorEastAsia"/>
          <w:b/>
          <w:color w:val="auto"/>
          <w:sz w:val="32"/>
          <w:highlight w:val="none"/>
        </w:rPr>
        <w:t>评审方法</w:t>
      </w:r>
    </w:p>
    <w:p w14:paraId="7E6952C7">
      <w:pPr>
        <w:pStyle w:val="392"/>
        <w:keepNext w:val="0"/>
        <w:keepLines w:val="0"/>
        <w:pageBreakBefore w:val="0"/>
        <w:widowControl w:val="0"/>
        <w:numPr>
          <w:ilvl w:val="0"/>
          <w:numId w:val="0"/>
        </w:numPr>
        <w:kinsoku/>
        <w:wordWrap/>
        <w:overflowPunct/>
        <w:topLinePunct w:val="0"/>
        <w:autoSpaceDE/>
        <w:autoSpaceDN/>
        <w:bidi w:val="0"/>
        <w:snapToGrid/>
        <w:spacing w:before="0"/>
        <w:ind w:firstLine="420" w:firstLineChars="200"/>
        <w:jc w:val="both"/>
        <w:textAlignment w:val="auto"/>
        <w:outlineLvl w:val="1"/>
        <w:rPr>
          <w:rFonts w:cs="Arial" w:asciiTheme="minorEastAsia" w:hAnsiTheme="minorEastAsia" w:eastAsiaTheme="minorEastAsia"/>
          <w:color w:val="auto"/>
          <w:kern w:val="0"/>
          <w:sz w:val="21"/>
          <w:szCs w:val="21"/>
          <w:highlight w:val="none"/>
        </w:rPr>
      </w:pPr>
      <w:r>
        <w:rPr>
          <w:rFonts w:hint="eastAsia" w:cs="Arial" w:asciiTheme="minorEastAsia" w:hAnsiTheme="minorEastAsia" w:eastAsiaTheme="minorEastAsia"/>
          <w:color w:val="auto"/>
          <w:kern w:val="0"/>
          <w:sz w:val="21"/>
          <w:szCs w:val="21"/>
          <w:highlight w:val="none"/>
        </w:rPr>
        <w:t>谈判小组应当从质量和服务均能满足采购文件实质性响应要求的供应商中，按照最后报价由低到高的顺序提出3名以上成交候选人，并编写评审报告。对于未预留份额专门面向中小企业采购的政府采购项目，以及预留份额政府采购项目中的非预留部分标项，对符合《政府采购促进中小企业发展管理办法》规定的小型和微型企业的报价给予20%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报价给予6%的扣除，用扣除后的价格参加评审。对于专门面向中小企业采购的项目或者采购包，不再执行价格评审优惠的扶持政策。</w:t>
      </w:r>
    </w:p>
    <w:p w14:paraId="32DE13C1">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cs="Arial" w:asciiTheme="minorEastAsia" w:hAnsiTheme="minorEastAsia" w:eastAsiaTheme="minorEastAsia"/>
          <w:color w:val="auto"/>
          <w:kern w:val="0"/>
          <w:sz w:val="21"/>
          <w:szCs w:val="21"/>
          <w:highlight w:val="none"/>
          <w:lang w:val="en-US" w:eastAsia="zh-CN"/>
        </w:rPr>
      </w:pPr>
      <w:r>
        <w:rPr>
          <w:rFonts w:hint="eastAsia" w:cs="Arial" w:asciiTheme="minorEastAsia" w:hAnsiTheme="minorEastAsia" w:eastAsiaTheme="minorEastAsia"/>
          <w:color w:val="auto"/>
          <w:kern w:val="0"/>
          <w:sz w:val="21"/>
          <w:szCs w:val="21"/>
          <w:highlight w:val="none"/>
          <w:lang w:val="en-US" w:eastAsia="zh-CN"/>
        </w:rPr>
        <w:t>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4DB7C31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s="Arial" w:asciiTheme="minorEastAsia" w:hAnsiTheme="minorEastAsia" w:eastAsiaTheme="minorEastAsia"/>
          <w:color w:val="auto"/>
          <w:kern w:val="0"/>
          <w:sz w:val="21"/>
          <w:szCs w:val="21"/>
          <w:highlight w:val="none"/>
          <w:lang w:val="en-US" w:eastAsia="zh-CN"/>
        </w:rPr>
      </w:pPr>
      <w:r>
        <w:rPr>
          <w:rFonts w:hint="eastAsia" w:cs="Arial" w:asciiTheme="minorEastAsia" w:hAnsiTheme="minorEastAsia" w:eastAsiaTheme="minorEastAsia"/>
          <w:color w:val="auto"/>
          <w:kern w:val="0"/>
          <w:sz w:val="21"/>
          <w:szCs w:val="21"/>
          <w:highlight w:val="none"/>
          <w:lang w:val="en-US" w:eastAsia="zh-CN"/>
        </w:rPr>
        <w:t>本国产品是指在中国境内生产，即在中华人民共和国关境内通过原材料、组件的加工、制造或组装等工序，实现属性改变，产生具有新名称和特征（用途）且完全不同于原材料、组件的新产品。</w:t>
      </w:r>
    </w:p>
    <w:p w14:paraId="2995EE0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s="Arial" w:asciiTheme="minorEastAsia" w:hAnsiTheme="minorEastAsia" w:eastAsiaTheme="minorEastAsia"/>
          <w:color w:val="auto"/>
          <w:kern w:val="0"/>
          <w:sz w:val="21"/>
          <w:szCs w:val="21"/>
          <w:highlight w:val="none"/>
          <w:lang w:val="en-US" w:eastAsia="zh-CN"/>
        </w:rPr>
      </w:pPr>
      <w:r>
        <w:rPr>
          <w:rFonts w:hint="eastAsia" w:cs="Arial" w:asciiTheme="minorEastAsia" w:hAnsiTheme="minorEastAsia" w:eastAsiaTheme="minorEastAsia"/>
          <w:color w:val="auto"/>
          <w:kern w:val="0"/>
          <w:sz w:val="21"/>
          <w:szCs w:val="21"/>
          <w:highlight w:val="none"/>
          <w:lang w:val="en-US" w:eastAsia="zh-CN"/>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749E81E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s="Arial" w:asciiTheme="minorEastAsia" w:hAnsiTheme="minorEastAsia" w:eastAsiaTheme="minorEastAsia"/>
          <w:color w:val="auto"/>
          <w:kern w:val="0"/>
          <w:sz w:val="21"/>
          <w:szCs w:val="21"/>
          <w:highlight w:val="none"/>
          <w:lang w:val="en-US" w:eastAsia="zh-CN"/>
        </w:rPr>
      </w:pPr>
      <w:r>
        <w:rPr>
          <w:rFonts w:hint="eastAsia" w:cs="Arial" w:asciiTheme="minorEastAsia" w:hAnsiTheme="minorEastAsia" w:eastAsiaTheme="minorEastAsia"/>
          <w:color w:val="auto"/>
          <w:kern w:val="0"/>
          <w:sz w:val="21"/>
          <w:szCs w:val="21"/>
          <w:highlight w:val="none"/>
          <w:lang w:val="en-US" w:eastAsia="zh-CN"/>
        </w:rPr>
        <w:t>产品在中国境内生产的组件成本，应按照《中国境内生产的组件成本核算基本规则》（详见附件）进行计算。当符合本国产品标准的产品成本之和占所提供全部产品成本之和的比例达到80%及以上时，供应商须对其提供的产品出具《关于符合本国产品标准的声明函》（详见附件），或财政部会同有关部门规定的相关证明文件。</w:t>
      </w:r>
    </w:p>
    <w:p w14:paraId="1B36A38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s="Arial" w:asciiTheme="minorEastAsia" w:hAnsiTheme="minorEastAsia" w:eastAsiaTheme="minorEastAsia"/>
          <w:color w:val="auto"/>
          <w:kern w:val="0"/>
          <w:sz w:val="21"/>
          <w:szCs w:val="21"/>
          <w:highlight w:val="none"/>
          <w:lang w:val="en-US" w:eastAsia="zh-CN"/>
        </w:rPr>
      </w:pPr>
      <w:r>
        <w:rPr>
          <w:rFonts w:hint="eastAsia" w:cs="Arial" w:asciiTheme="minorEastAsia" w:hAnsiTheme="minorEastAsia" w:eastAsiaTheme="minorEastAsia"/>
          <w:color w:val="auto"/>
          <w:kern w:val="0"/>
          <w:sz w:val="21"/>
          <w:szCs w:val="21"/>
          <w:highlight w:val="none"/>
          <w:lang w:val="en-US" w:eastAsia="zh-CN"/>
        </w:rPr>
        <w:t>多家供应商提供相同品牌产品（单一产品采购项目中的该产品或者非单一产品采购项目的核心产品）且通过资格审查、符合性审查的不同供应商参加同一合同项下谈判的，按一家供应商计算，评审后报价最低的同品牌供应商获得成交人推荐资格；报价相同的，由采购人或者采购人委托谈判小组按照谈判文件规定的方式确定一个供应商获得成交人推荐资格，谈判文件未规定的采取随机抽取方式确定，其他同品牌供应商不作为成交候选人。</w:t>
      </w:r>
    </w:p>
    <w:p w14:paraId="7D2B222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s="Arial" w:asciiTheme="minorEastAsia" w:hAnsiTheme="minorEastAsia" w:eastAsiaTheme="minorEastAsia"/>
          <w:color w:val="auto"/>
          <w:kern w:val="0"/>
          <w:sz w:val="21"/>
          <w:szCs w:val="21"/>
          <w:highlight w:val="none"/>
          <w:lang w:val="en-US" w:eastAsia="zh-CN"/>
        </w:rPr>
      </w:pPr>
      <w:r>
        <w:rPr>
          <w:rFonts w:hint="eastAsia" w:cs="Arial" w:asciiTheme="minorEastAsia" w:hAnsiTheme="minorEastAsia" w:eastAsiaTheme="minorEastAsia"/>
          <w:color w:val="auto"/>
          <w:kern w:val="0"/>
          <w:sz w:val="21"/>
          <w:szCs w:val="21"/>
          <w:highlight w:val="none"/>
          <w:lang w:val="en-US" w:eastAsia="zh-CN"/>
        </w:rPr>
        <w:t>根据中华人民共和国财政部《关于推动解决政府采购异常低价问题的通知》（财库〔2026〕2号）规定，政府采购项目评审中出现下列情形之一的，谈判小组应当启动异常低价响应审查程序:</w:t>
      </w:r>
    </w:p>
    <w:p w14:paraId="260693F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s="Arial" w:asciiTheme="minorEastAsia" w:hAnsiTheme="minorEastAsia" w:eastAsiaTheme="minorEastAsia"/>
          <w:color w:val="auto"/>
          <w:kern w:val="0"/>
          <w:sz w:val="21"/>
          <w:szCs w:val="21"/>
          <w:highlight w:val="none"/>
          <w:lang w:val="en-US" w:eastAsia="zh-CN"/>
        </w:rPr>
      </w:pPr>
      <w:r>
        <w:rPr>
          <w:rFonts w:hint="eastAsia" w:cs="Arial" w:asciiTheme="minorEastAsia" w:hAnsiTheme="minorEastAsia" w:eastAsiaTheme="minorEastAsia"/>
          <w:color w:val="auto"/>
          <w:kern w:val="0"/>
          <w:sz w:val="21"/>
          <w:szCs w:val="21"/>
          <w:highlight w:val="none"/>
          <w:lang w:val="en-US" w:eastAsia="zh-CN"/>
        </w:rPr>
        <w:t>1、响应报价低于全部通过符合性审查供应商响应报价平均值65%的，即响应报价〈全部通过符合性审查供应商响应报价平均值×65%；</w:t>
      </w:r>
    </w:p>
    <w:p w14:paraId="32F81F3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s="Arial" w:asciiTheme="minorEastAsia" w:hAnsiTheme="minorEastAsia" w:eastAsiaTheme="minorEastAsia"/>
          <w:color w:val="auto"/>
          <w:kern w:val="0"/>
          <w:sz w:val="21"/>
          <w:szCs w:val="21"/>
          <w:highlight w:val="none"/>
          <w:lang w:val="en-US" w:eastAsia="zh-CN"/>
        </w:rPr>
      </w:pPr>
      <w:r>
        <w:rPr>
          <w:rFonts w:hint="eastAsia" w:cs="Arial" w:asciiTheme="minorEastAsia" w:hAnsiTheme="minorEastAsia" w:eastAsiaTheme="minorEastAsia"/>
          <w:color w:val="auto"/>
          <w:kern w:val="0"/>
          <w:sz w:val="21"/>
          <w:szCs w:val="21"/>
          <w:highlight w:val="none"/>
          <w:lang w:val="en-US" w:eastAsia="zh-CN"/>
        </w:rPr>
        <w:t>2、响应报价低于通过符合性审查的次低报价供应商响应报价65%的，即响应报价〈通过符合性审查的次低报价供应商响应报价×65%；</w:t>
      </w:r>
    </w:p>
    <w:p w14:paraId="0BDCFB7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s="Arial" w:asciiTheme="minorEastAsia" w:hAnsiTheme="minorEastAsia" w:eastAsiaTheme="minorEastAsia"/>
          <w:color w:val="auto"/>
          <w:kern w:val="0"/>
          <w:sz w:val="21"/>
          <w:szCs w:val="21"/>
          <w:highlight w:val="none"/>
          <w:lang w:val="en-US" w:eastAsia="zh-CN"/>
        </w:rPr>
      </w:pPr>
      <w:r>
        <w:rPr>
          <w:rFonts w:hint="eastAsia" w:cs="Arial" w:asciiTheme="minorEastAsia" w:hAnsiTheme="minorEastAsia" w:eastAsiaTheme="minorEastAsia"/>
          <w:color w:val="auto"/>
          <w:kern w:val="0"/>
          <w:sz w:val="21"/>
          <w:szCs w:val="21"/>
          <w:highlight w:val="none"/>
          <w:lang w:val="en-US" w:eastAsia="zh-CN"/>
        </w:rPr>
        <w:t>3、响应报价低于采购项目最高限价65%的，即响应报价〈采购项目最高限价×65%；</w:t>
      </w:r>
    </w:p>
    <w:p w14:paraId="4F5DA71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s="Arial" w:asciiTheme="minorEastAsia" w:hAnsiTheme="minorEastAsia" w:eastAsiaTheme="minorEastAsia"/>
          <w:color w:val="auto"/>
          <w:kern w:val="0"/>
          <w:sz w:val="21"/>
          <w:szCs w:val="21"/>
          <w:highlight w:val="none"/>
          <w:lang w:val="en-US" w:eastAsia="zh-CN"/>
        </w:rPr>
      </w:pPr>
      <w:r>
        <w:rPr>
          <w:rFonts w:hint="eastAsia" w:cs="Arial" w:asciiTheme="minorEastAsia" w:hAnsiTheme="minorEastAsia" w:eastAsiaTheme="minorEastAsia"/>
          <w:color w:val="auto"/>
          <w:kern w:val="0"/>
          <w:sz w:val="21"/>
          <w:szCs w:val="21"/>
          <w:highlight w:val="none"/>
          <w:lang w:val="en-US" w:eastAsia="zh-CN"/>
        </w:rPr>
        <w:t>4、谈判小组基于专业判断，认为供应商报价过低，有可能影响产品质量或者不能诚信履约的其他情形。</w:t>
      </w:r>
    </w:p>
    <w:p w14:paraId="3862AD1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s="Arial" w:asciiTheme="minorEastAsia" w:hAnsiTheme="minorEastAsia" w:eastAsiaTheme="minorEastAsia"/>
          <w:color w:val="auto"/>
          <w:kern w:val="0"/>
          <w:sz w:val="21"/>
          <w:szCs w:val="21"/>
          <w:highlight w:val="none"/>
          <w:lang w:val="en-US" w:eastAsia="zh-CN"/>
        </w:rPr>
      </w:pPr>
      <w:r>
        <w:rPr>
          <w:rFonts w:hint="eastAsia" w:cs="Arial" w:asciiTheme="minorEastAsia" w:hAnsiTheme="minorEastAsia" w:eastAsiaTheme="minorEastAsia"/>
          <w:color w:val="auto"/>
          <w:kern w:val="0"/>
          <w:sz w:val="21"/>
          <w:szCs w:val="21"/>
          <w:highlight w:val="none"/>
          <w:lang w:val="en-US" w:eastAsia="zh-CN"/>
        </w:rPr>
        <w:t>谈判小组启动异常低价响应审查后，应当要求相关供应商在评审现场合理的时间内对响应价格作出解释，提供项目具体成本测算等与报价合理性相关的书面说明及必要的证明材料，包括但不限于原材料成本、人工成本、制造费用等。</w:t>
      </w:r>
    </w:p>
    <w:p w14:paraId="713837E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s="Arial" w:asciiTheme="minorEastAsia" w:hAnsiTheme="minorEastAsia" w:eastAsiaTheme="minorEastAsia"/>
          <w:color w:val="auto"/>
          <w:kern w:val="0"/>
          <w:sz w:val="21"/>
          <w:szCs w:val="21"/>
          <w:highlight w:val="none"/>
          <w:lang w:val="en-US" w:eastAsia="zh-CN"/>
        </w:rPr>
      </w:pPr>
      <w:r>
        <w:rPr>
          <w:rFonts w:hint="eastAsia" w:cs="Arial" w:asciiTheme="minorEastAsia" w:hAnsiTheme="minorEastAsia" w:eastAsiaTheme="minorEastAsia"/>
          <w:color w:val="auto"/>
          <w:kern w:val="0"/>
          <w:sz w:val="21"/>
          <w:szCs w:val="21"/>
          <w:highlight w:val="none"/>
          <w:lang w:val="en-US" w:eastAsia="zh-CN"/>
        </w:rPr>
        <w:t>谈判小组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谈判小组应当将其作为无效响应处理。</w:t>
      </w:r>
    </w:p>
    <w:p w14:paraId="0158BEAE">
      <w:pPr>
        <w:adjustRightInd/>
        <w:spacing w:line="360" w:lineRule="auto"/>
        <w:rPr>
          <w:rFonts w:hint="default" w:cs="Arial" w:asciiTheme="minorEastAsia" w:hAnsiTheme="minorEastAsia" w:eastAsiaTheme="minorEastAsia"/>
          <w:color w:val="auto"/>
          <w:kern w:val="0"/>
          <w:sz w:val="24"/>
          <w:highlight w:val="none"/>
          <w:lang w:val="en-US" w:eastAsia="zh-CN"/>
        </w:rPr>
      </w:pPr>
    </w:p>
    <w:p w14:paraId="25098C47">
      <w:pPr>
        <w:snapToGrid w:val="0"/>
        <w:spacing w:line="360" w:lineRule="auto"/>
        <w:ind w:left="120" w:leftChars="57" w:firstLine="482" w:firstLineChars="150"/>
        <w:jc w:val="center"/>
        <w:outlineLvl w:val="1"/>
        <w:rPr>
          <w:rFonts w:cs="仿宋_GB2312" w:asciiTheme="minorEastAsia" w:hAnsiTheme="minorEastAsia" w:eastAsiaTheme="minorEastAsia"/>
          <w:b/>
          <w:color w:val="auto"/>
          <w:sz w:val="32"/>
          <w:highlight w:val="none"/>
        </w:rPr>
      </w:pPr>
      <w:r>
        <w:rPr>
          <w:rFonts w:hint="eastAsia" w:cs="仿宋_GB2312" w:asciiTheme="minorEastAsia" w:hAnsiTheme="minorEastAsia" w:eastAsiaTheme="minorEastAsia"/>
          <w:b/>
          <w:color w:val="auto"/>
          <w:sz w:val="32"/>
          <w:highlight w:val="none"/>
        </w:rPr>
        <w:t>二、谈判小组的组成</w:t>
      </w:r>
    </w:p>
    <w:p w14:paraId="38FF02BF">
      <w:pPr>
        <w:pStyle w:val="392"/>
        <w:keepNext w:val="0"/>
        <w:keepLines w:val="0"/>
        <w:pageBreakBefore w:val="0"/>
        <w:widowControl w:val="0"/>
        <w:kinsoku/>
        <w:wordWrap/>
        <w:overflowPunct/>
        <w:topLinePunct w:val="0"/>
        <w:autoSpaceDE/>
        <w:autoSpaceDN/>
        <w:bidi w:val="0"/>
        <w:adjustRightInd w:val="0"/>
        <w:spacing w:before="0"/>
        <w:ind w:firstLine="0" w:firstLineChars="0"/>
        <w:textAlignment w:val="auto"/>
        <w:rPr>
          <w:rFonts w:cs="Arial" w:asciiTheme="minorEastAsia" w:hAnsiTheme="minorEastAsia" w:eastAsiaTheme="minorEastAsia"/>
          <w:b/>
          <w:color w:val="auto"/>
          <w:kern w:val="0"/>
          <w:sz w:val="21"/>
          <w:szCs w:val="21"/>
          <w:highlight w:val="none"/>
        </w:rPr>
      </w:pPr>
      <w:r>
        <w:rPr>
          <w:rFonts w:hint="eastAsia" w:cs="Arial" w:asciiTheme="minorEastAsia" w:hAnsiTheme="minorEastAsia" w:eastAsiaTheme="minorEastAsia"/>
          <w:b/>
          <w:color w:val="auto"/>
          <w:kern w:val="0"/>
          <w:sz w:val="21"/>
          <w:szCs w:val="21"/>
          <w:highlight w:val="none"/>
        </w:rPr>
        <w:t>1.谈判小组的组成。</w:t>
      </w:r>
    </w:p>
    <w:p w14:paraId="01E317C2">
      <w:pPr>
        <w:pStyle w:val="392"/>
        <w:keepNext w:val="0"/>
        <w:keepLines w:val="0"/>
        <w:pageBreakBefore w:val="0"/>
        <w:widowControl w:val="0"/>
        <w:kinsoku/>
        <w:wordWrap/>
        <w:overflowPunct/>
        <w:topLinePunct w:val="0"/>
        <w:autoSpaceDE/>
        <w:autoSpaceDN/>
        <w:bidi w:val="0"/>
        <w:adjustRightInd w:val="0"/>
        <w:spacing w:before="0"/>
        <w:ind w:firstLine="48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谈判小组由采购人代表和评审专家共3人以上单数组成，其中评审专家人数不得少于谈判小组成员总数的2/3。采购人代表不得以评审专家身份参加本部门或本单位采购项目的评审。采购代理机构人员不得参加本机构代理的采购项目的评审。</w:t>
      </w:r>
    </w:p>
    <w:p w14:paraId="46270214">
      <w:pPr>
        <w:pStyle w:val="392"/>
        <w:keepNext w:val="0"/>
        <w:keepLines w:val="0"/>
        <w:pageBreakBefore w:val="0"/>
        <w:widowControl w:val="0"/>
        <w:kinsoku/>
        <w:wordWrap/>
        <w:overflowPunct/>
        <w:topLinePunct w:val="0"/>
        <w:autoSpaceDE/>
        <w:autoSpaceDN/>
        <w:bidi w:val="0"/>
        <w:adjustRightInd w:val="0"/>
        <w:spacing w:before="0"/>
        <w:ind w:firstLine="48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达到公开招标数额标准的货物采购项目，竞争性谈判小组应当由5人以上单数组成。</w:t>
      </w:r>
    </w:p>
    <w:p w14:paraId="749D200C">
      <w:pPr>
        <w:pStyle w:val="392"/>
        <w:keepNext w:val="0"/>
        <w:keepLines w:val="0"/>
        <w:pageBreakBefore w:val="0"/>
        <w:widowControl w:val="0"/>
        <w:kinsoku/>
        <w:wordWrap/>
        <w:overflowPunct/>
        <w:topLinePunct w:val="0"/>
        <w:autoSpaceDE/>
        <w:autoSpaceDN/>
        <w:bidi w:val="0"/>
        <w:adjustRightInd w:val="0"/>
        <w:spacing w:before="0"/>
        <w:ind w:firstLine="48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采用竞争性谈判采购的政府采购项目，评审专家应当从政府采购评审专家库内相关专业的专家名单中随机抽取。技术复杂、专业性强的竞争性谈判采购项目，通过随机方式难以确定合适的评审专家的，经主管预算单位同意，可以自行选定评审专家。技术复杂、专业性强的竞争性谈判采购项目，评审专家中应当包含1名法律专家。</w:t>
      </w:r>
    </w:p>
    <w:p w14:paraId="76E6D1D0">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cs="Arial" w:asciiTheme="minorEastAsia" w:hAnsiTheme="minorEastAsia" w:eastAsiaTheme="minorEastAsia"/>
          <w:b/>
          <w:color w:val="auto"/>
          <w:kern w:val="0"/>
          <w:sz w:val="21"/>
          <w:szCs w:val="21"/>
          <w:highlight w:val="none"/>
        </w:rPr>
      </w:pPr>
      <w:r>
        <w:rPr>
          <w:rFonts w:hint="eastAsia" w:cs="Arial" w:asciiTheme="minorEastAsia" w:hAnsiTheme="minorEastAsia" w:eastAsiaTheme="minorEastAsia"/>
          <w:b/>
          <w:color w:val="auto"/>
          <w:kern w:val="0"/>
          <w:sz w:val="21"/>
          <w:szCs w:val="21"/>
          <w:highlight w:val="none"/>
        </w:rPr>
        <w:t>2.谈判小组的组成人员的回避。</w:t>
      </w:r>
    </w:p>
    <w:p w14:paraId="1974D358">
      <w:pPr>
        <w:pStyle w:val="392"/>
        <w:keepNext w:val="0"/>
        <w:keepLines w:val="0"/>
        <w:pageBreakBefore w:val="0"/>
        <w:widowControl w:val="0"/>
        <w:kinsoku/>
        <w:wordWrap/>
        <w:overflowPunct/>
        <w:topLinePunct w:val="0"/>
        <w:autoSpaceDE/>
        <w:autoSpaceDN/>
        <w:bidi w:val="0"/>
        <w:adjustRightInd w:val="0"/>
        <w:spacing w:before="0"/>
        <w:ind w:firstLine="48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在政府采购活动中，谈判小组的组成人员与供应商有下列利害关系之一的，应当回避：</w:t>
      </w:r>
    </w:p>
    <w:p w14:paraId="247C321E">
      <w:pPr>
        <w:pStyle w:val="392"/>
        <w:keepNext w:val="0"/>
        <w:keepLines w:val="0"/>
        <w:pageBreakBefore w:val="0"/>
        <w:widowControl w:val="0"/>
        <w:kinsoku/>
        <w:wordWrap/>
        <w:overflowPunct/>
        <w:topLinePunct w:val="0"/>
        <w:autoSpaceDE/>
        <w:autoSpaceDN/>
        <w:bidi w:val="0"/>
        <w:adjustRightInd w:val="0"/>
        <w:spacing w:before="0"/>
        <w:ind w:firstLine="0" w:firstLineChars="0"/>
        <w:textAlignment w:val="auto"/>
        <w:rPr>
          <w:rFonts w:cs="Arial" w:asciiTheme="minorEastAsia" w:hAnsiTheme="minorEastAsia" w:eastAsiaTheme="minorEastAsia"/>
          <w:color w:val="auto"/>
          <w:kern w:val="0"/>
          <w:sz w:val="21"/>
          <w:szCs w:val="21"/>
          <w:highlight w:val="none"/>
        </w:rPr>
      </w:pPr>
      <w:r>
        <w:rPr>
          <w:rFonts w:hint="eastAsia" w:cs="Arial" w:asciiTheme="minorEastAsia" w:hAnsiTheme="minorEastAsia" w:eastAsiaTheme="minorEastAsia"/>
          <w:color w:val="auto"/>
          <w:kern w:val="0"/>
          <w:sz w:val="21"/>
          <w:szCs w:val="21"/>
          <w:highlight w:val="none"/>
        </w:rPr>
        <w:t>　　2.1参加采购活动前3年内与供应商存在劳动关系；</w:t>
      </w:r>
    </w:p>
    <w:p w14:paraId="7F10F52F">
      <w:pPr>
        <w:pStyle w:val="392"/>
        <w:keepNext w:val="0"/>
        <w:keepLines w:val="0"/>
        <w:pageBreakBefore w:val="0"/>
        <w:widowControl w:val="0"/>
        <w:kinsoku/>
        <w:wordWrap/>
        <w:overflowPunct/>
        <w:topLinePunct w:val="0"/>
        <w:autoSpaceDE/>
        <w:autoSpaceDN/>
        <w:bidi w:val="0"/>
        <w:adjustRightInd w:val="0"/>
        <w:spacing w:before="0"/>
        <w:ind w:firstLine="0" w:firstLineChars="0"/>
        <w:textAlignment w:val="auto"/>
        <w:rPr>
          <w:rFonts w:cs="Arial" w:asciiTheme="minorEastAsia" w:hAnsiTheme="minorEastAsia" w:eastAsiaTheme="minorEastAsia"/>
          <w:color w:val="auto"/>
          <w:kern w:val="0"/>
          <w:sz w:val="21"/>
          <w:szCs w:val="21"/>
          <w:highlight w:val="none"/>
        </w:rPr>
      </w:pPr>
      <w:r>
        <w:rPr>
          <w:rFonts w:hint="eastAsia" w:cs="Arial" w:asciiTheme="minorEastAsia" w:hAnsiTheme="minorEastAsia" w:eastAsiaTheme="minorEastAsia"/>
          <w:color w:val="auto"/>
          <w:kern w:val="0"/>
          <w:sz w:val="21"/>
          <w:szCs w:val="21"/>
          <w:highlight w:val="none"/>
        </w:rPr>
        <w:t>　　2.2参加采购活动前3年内担任供应商的董事、监事；</w:t>
      </w:r>
    </w:p>
    <w:p w14:paraId="5DB81276">
      <w:pPr>
        <w:pStyle w:val="392"/>
        <w:keepNext w:val="0"/>
        <w:keepLines w:val="0"/>
        <w:pageBreakBefore w:val="0"/>
        <w:widowControl w:val="0"/>
        <w:kinsoku/>
        <w:wordWrap/>
        <w:overflowPunct/>
        <w:topLinePunct w:val="0"/>
        <w:autoSpaceDE/>
        <w:autoSpaceDN/>
        <w:bidi w:val="0"/>
        <w:adjustRightInd w:val="0"/>
        <w:spacing w:before="0"/>
        <w:ind w:firstLine="0" w:firstLineChars="0"/>
        <w:textAlignment w:val="auto"/>
        <w:rPr>
          <w:rFonts w:cs="Arial" w:asciiTheme="minorEastAsia" w:hAnsiTheme="minorEastAsia" w:eastAsiaTheme="minorEastAsia"/>
          <w:color w:val="auto"/>
          <w:kern w:val="0"/>
          <w:sz w:val="21"/>
          <w:szCs w:val="21"/>
          <w:highlight w:val="none"/>
        </w:rPr>
      </w:pPr>
      <w:r>
        <w:rPr>
          <w:rFonts w:hint="eastAsia" w:cs="Arial" w:asciiTheme="minorEastAsia" w:hAnsiTheme="minorEastAsia" w:eastAsiaTheme="minorEastAsia"/>
          <w:color w:val="auto"/>
          <w:kern w:val="0"/>
          <w:sz w:val="21"/>
          <w:szCs w:val="21"/>
          <w:highlight w:val="none"/>
        </w:rPr>
        <w:t>　　2.3参加采购活动前3年内是供应商的控股股东或者实际控制人；</w:t>
      </w:r>
    </w:p>
    <w:p w14:paraId="2C452E44">
      <w:pPr>
        <w:pStyle w:val="392"/>
        <w:keepNext w:val="0"/>
        <w:keepLines w:val="0"/>
        <w:pageBreakBefore w:val="0"/>
        <w:widowControl w:val="0"/>
        <w:kinsoku/>
        <w:wordWrap/>
        <w:overflowPunct/>
        <w:topLinePunct w:val="0"/>
        <w:autoSpaceDE/>
        <w:autoSpaceDN/>
        <w:bidi w:val="0"/>
        <w:adjustRightInd w:val="0"/>
        <w:spacing w:before="0"/>
        <w:ind w:firstLine="480" w:firstLineChars="0"/>
        <w:textAlignment w:val="auto"/>
        <w:rPr>
          <w:rFonts w:cs="Arial" w:asciiTheme="minorEastAsia" w:hAnsiTheme="minorEastAsia" w:eastAsiaTheme="minorEastAsia"/>
          <w:color w:val="auto"/>
          <w:kern w:val="0"/>
          <w:sz w:val="21"/>
          <w:szCs w:val="21"/>
          <w:highlight w:val="none"/>
        </w:rPr>
      </w:pPr>
      <w:r>
        <w:rPr>
          <w:rFonts w:hint="eastAsia" w:cs="Arial" w:asciiTheme="minorEastAsia" w:hAnsiTheme="minorEastAsia" w:eastAsiaTheme="minorEastAsia"/>
          <w:color w:val="auto"/>
          <w:kern w:val="0"/>
          <w:sz w:val="21"/>
          <w:szCs w:val="21"/>
          <w:highlight w:val="none"/>
        </w:rPr>
        <w:t>2.4与供应商的法定代表人或者负责人有夫妻、直系血亲、三代以内旁系血亲或者近姻亲关系；</w:t>
      </w:r>
    </w:p>
    <w:p w14:paraId="58B4852F">
      <w:pPr>
        <w:pStyle w:val="392"/>
        <w:keepNext w:val="0"/>
        <w:keepLines w:val="0"/>
        <w:pageBreakBefore w:val="0"/>
        <w:widowControl w:val="0"/>
        <w:kinsoku/>
        <w:wordWrap/>
        <w:overflowPunct/>
        <w:topLinePunct w:val="0"/>
        <w:autoSpaceDE/>
        <w:autoSpaceDN/>
        <w:bidi w:val="0"/>
        <w:adjustRightInd w:val="0"/>
        <w:spacing w:before="0"/>
        <w:ind w:firstLine="480" w:firstLineChars="0"/>
        <w:textAlignment w:val="auto"/>
        <w:rPr>
          <w:rFonts w:cs="Arial" w:asciiTheme="minorEastAsia" w:hAnsiTheme="minorEastAsia" w:eastAsiaTheme="minorEastAsia"/>
          <w:color w:val="auto"/>
          <w:kern w:val="0"/>
          <w:sz w:val="21"/>
          <w:szCs w:val="21"/>
          <w:highlight w:val="none"/>
        </w:rPr>
      </w:pPr>
      <w:r>
        <w:rPr>
          <w:rFonts w:hint="eastAsia" w:cs="Arial" w:asciiTheme="minorEastAsia" w:hAnsiTheme="minorEastAsia" w:eastAsiaTheme="minorEastAsia"/>
          <w:color w:val="auto"/>
          <w:kern w:val="0"/>
          <w:sz w:val="21"/>
          <w:szCs w:val="21"/>
          <w:highlight w:val="none"/>
        </w:rPr>
        <w:t>2.5与供应商有其他可能影响政府采购活动公平、公正进行的关系。</w:t>
      </w:r>
    </w:p>
    <w:p w14:paraId="579DB12D">
      <w:pPr>
        <w:snapToGrid w:val="0"/>
        <w:spacing w:line="360" w:lineRule="auto"/>
        <w:ind w:left="120" w:leftChars="57" w:firstLine="482" w:firstLineChars="150"/>
        <w:jc w:val="center"/>
        <w:rPr>
          <w:rFonts w:cs="仿宋_GB2312" w:asciiTheme="minorEastAsia" w:hAnsiTheme="minorEastAsia" w:eastAsiaTheme="minorEastAsia"/>
          <w:b/>
          <w:color w:val="auto"/>
          <w:sz w:val="32"/>
          <w:highlight w:val="none"/>
        </w:rPr>
      </w:pPr>
    </w:p>
    <w:p w14:paraId="2AB0051B">
      <w:pPr>
        <w:snapToGrid w:val="0"/>
        <w:spacing w:line="360" w:lineRule="auto"/>
        <w:ind w:left="120" w:leftChars="57" w:firstLine="482" w:firstLineChars="150"/>
        <w:jc w:val="center"/>
        <w:outlineLvl w:val="1"/>
        <w:rPr>
          <w:rFonts w:asciiTheme="minorEastAsia" w:hAnsiTheme="minorEastAsia" w:eastAsiaTheme="minorEastAsia"/>
          <w:b/>
          <w:color w:val="auto"/>
          <w:sz w:val="32"/>
          <w:szCs w:val="32"/>
          <w:highlight w:val="none"/>
        </w:rPr>
      </w:pPr>
      <w:r>
        <w:rPr>
          <w:rFonts w:hint="eastAsia" w:cs="仿宋_GB2312" w:asciiTheme="minorEastAsia" w:hAnsiTheme="minorEastAsia" w:eastAsiaTheme="minorEastAsia"/>
          <w:b/>
          <w:color w:val="auto"/>
          <w:sz w:val="32"/>
          <w:highlight w:val="none"/>
        </w:rPr>
        <w:t>三、谈判小组的职责</w:t>
      </w:r>
    </w:p>
    <w:p w14:paraId="3CC87E05">
      <w:pPr>
        <w:pStyle w:val="392"/>
        <w:spacing w:before="0"/>
        <w:ind w:firstLine="0" w:firstLineChars="0"/>
        <w:rPr>
          <w:rFonts w:cs="Arial" w:asciiTheme="minorEastAsia" w:hAnsiTheme="minorEastAsia" w:eastAsiaTheme="minorEastAsia"/>
          <w:b/>
          <w:color w:val="auto"/>
          <w:kern w:val="0"/>
          <w:sz w:val="21"/>
          <w:szCs w:val="21"/>
          <w:highlight w:val="none"/>
        </w:rPr>
      </w:pPr>
      <w:r>
        <w:rPr>
          <w:rFonts w:hint="eastAsia" w:cs="Arial" w:asciiTheme="minorEastAsia" w:hAnsiTheme="minorEastAsia" w:eastAsiaTheme="minorEastAsia"/>
          <w:b/>
          <w:color w:val="auto"/>
          <w:kern w:val="0"/>
          <w:sz w:val="21"/>
          <w:szCs w:val="21"/>
          <w:highlight w:val="none"/>
        </w:rPr>
        <w:t>1.谈判小组负责具体评审事务，并独立履行下列职责：</w:t>
      </w:r>
    </w:p>
    <w:p w14:paraId="50672015">
      <w:pPr>
        <w:pStyle w:val="392"/>
        <w:spacing w:before="0"/>
        <w:ind w:firstLine="48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1.1对供应商的资格进行审查；对响应文件的有效性、完整性和响应程度进行审查；</w:t>
      </w:r>
    </w:p>
    <w:p w14:paraId="363A20CD">
      <w:pPr>
        <w:pStyle w:val="392"/>
        <w:spacing w:before="0"/>
        <w:ind w:firstLine="48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1.2审查、评价响应文件是否符合谈判文件的商务、技术等实质性要求；</w:t>
      </w:r>
    </w:p>
    <w:p w14:paraId="5A898DD8">
      <w:pPr>
        <w:pStyle w:val="392"/>
        <w:spacing w:before="0"/>
        <w:ind w:firstLine="48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1.3要求供应商对响应文件有关事项作出澄清、说明或者更正；</w:t>
      </w:r>
    </w:p>
    <w:p w14:paraId="7EC2C3F8">
      <w:pPr>
        <w:pStyle w:val="392"/>
        <w:spacing w:before="0"/>
        <w:ind w:firstLine="48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1.4谈判小组集中与单一供应商分别进行谈判；</w:t>
      </w:r>
    </w:p>
    <w:p w14:paraId="57043065">
      <w:pPr>
        <w:pStyle w:val="392"/>
        <w:spacing w:before="0"/>
        <w:ind w:firstLine="48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1.5谈判小组根据谈判文件和谈判情况实质性变动采购需求中的技术、服务要求以及合同草案条款，并确定提交最后报价的供应商；</w:t>
      </w:r>
    </w:p>
    <w:p w14:paraId="0FBEA0B4">
      <w:pPr>
        <w:pStyle w:val="392"/>
        <w:spacing w:before="0"/>
        <w:ind w:firstLine="48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1.6根据谈判文件确定的评定标准对提交最后报价的供应商的响应文件和最后报价进行评定；</w:t>
      </w:r>
    </w:p>
    <w:p w14:paraId="34E1A935">
      <w:pPr>
        <w:pStyle w:val="392"/>
        <w:spacing w:before="0"/>
        <w:ind w:firstLine="48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1.7编制评审报告，确定成交候选人名单，以及根据采购人委托直接确定成交人；</w:t>
      </w:r>
    </w:p>
    <w:p w14:paraId="7ABD1368">
      <w:pPr>
        <w:pStyle w:val="392"/>
        <w:spacing w:before="0"/>
        <w:ind w:firstLine="48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1.8向采购人、采购代理机构或者有关部门报告评审中发现的违法行为；</w:t>
      </w:r>
    </w:p>
    <w:p w14:paraId="647D5F3E">
      <w:pPr>
        <w:pStyle w:val="392"/>
        <w:spacing w:before="0"/>
        <w:ind w:firstLine="48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1.9法律、法规、规章、谈判文件等规定的其它事项。</w:t>
      </w:r>
    </w:p>
    <w:p w14:paraId="739BA3BB">
      <w:pPr>
        <w:pStyle w:val="392"/>
        <w:spacing w:before="0"/>
        <w:ind w:firstLine="0" w:firstLineChars="0"/>
        <w:rPr>
          <w:rFonts w:cs="Arial" w:asciiTheme="minorEastAsia" w:hAnsiTheme="minorEastAsia" w:eastAsiaTheme="minorEastAsia"/>
          <w:b/>
          <w:color w:val="auto"/>
          <w:kern w:val="0"/>
          <w:sz w:val="21"/>
          <w:szCs w:val="21"/>
          <w:highlight w:val="none"/>
        </w:rPr>
      </w:pPr>
      <w:r>
        <w:rPr>
          <w:rFonts w:hint="eastAsia" w:cs="Arial" w:asciiTheme="minorEastAsia" w:hAnsiTheme="minorEastAsia" w:eastAsiaTheme="minorEastAsia"/>
          <w:b/>
          <w:color w:val="auto"/>
          <w:kern w:val="0"/>
          <w:sz w:val="21"/>
          <w:szCs w:val="21"/>
          <w:highlight w:val="none"/>
        </w:rPr>
        <w:t>2.谈判小组及其成员不得有下列行为：</w:t>
      </w:r>
    </w:p>
    <w:p w14:paraId="389E4203">
      <w:pPr>
        <w:pStyle w:val="392"/>
        <w:spacing w:before="0"/>
        <w:ind w:firstLine="48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2.1确定参与本项目至评审结束前私自接触供应商；</w:t>
      </w:r>
    </w:p>
    <w:p w14:paraId="5CEF4234">
      <w:pPr>
        <w:pStyle w:val="392"/>
        <w:spacing w:before="0"/>
        <w:ind w:firstLine="48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 xml:space="preserve">2.2接受供应商提出的“超出响应文件的范围或者改变响应文件的实质性内容”的澄清、说明或者更正； </w:t>
      </w:r>
    </w:p>
    <w:p w14:paraId="62B8B1AA">
      <w:pPr>
        <w:pStyle w:val="392"/>
        <w:spacing w:before="0"/>
        <w:ind w:firstLine="48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2.3违反评审纪律发表倾向性意见或者征询采购人的倾向性意见；</w:t>
      </w:r>
    </w:p>
    <w:p w14:paraId="7BA0EA72">
      <w:pPr>
        <w:pStyle w:val="392"/>
        <w:spacing w:before="0"/>
        <w:ind w:firstLine="48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2.4在评审过程中擅离职守，影响评审程序正常进行的；</w:t>
      </w:r>
    </w:p>
    <w:p w14:paraId="3237BFBB">
      <w:pPr>
        <w:pStyle w:val="392"/>
        <w:spacing w:before="0"/>
        <w:ind w:firstLine="48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2.5记录、复制或者带走任何评审资料；</w:t>
      </w:r>
    </w:p>
    <w:p w14:paraId="200775BA">
      <w:pPr>
        <w:pStyle w:val="392"/>
        <w:spacing w:before="0"/>
        <w:ind w:firstLine="48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2.6其他不遵守评审纪律的行为。</w:t>
      </w:r>
    </w:p>
    <w:p w14:paraId="5D6FACF8">
      <w:pPr>
        <w:pStyle w:val="392"/>
        <w:spacing w:before="0"/>
        <w:ind w:firstLine="48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谈判小组成员有2.1-2.4行为之一的，其评审意见无效，并不得获取评审劳务报酬和报销异地评审差旅费。</w:t>
      </w:r>
    </w:p>
    <w:p w14:paraId="43905D6A">
      <w:pPr>
        <w:pStyle w:val="392"/>
        <w:spacing w:before="0"/>
        <w:ind w:firstLine="0" w:firstLineChars="0"/>
        <w:rPr>
          <w:rFonts w:asciiTheme="minorEastAsia" w:hAnsiTheme="minorEastAsia" w:eastAsiaTheme="minorEastAsia"/>
          <w:b/>
          <w:color w:val="auto"/>
          <w:highlight w:val="none"/>
        </w:rPr>
      </w:pPr>
    </w:p>
    <w:p w14:paraId="7AF8FAD8">
      <w:pPr>
        <w:pStyle w:val="392"/>
        <w:spacing w:before="0"/>
        <w:ind w:firstLine="0" w:firstLineChars="0"/>
        <w:jc w:val="center"/>
        <w:outlineLvl w:val="1"/>
        <w:rPr>
          <w:rFonts w:cs="仿宋_GB2312" w:asciiTheme="minorEastAsia" w:hAnsiTheme="minorEastAsia" w:eastAsiaTheme="minorEastAsia"/>
          <w:b/>
          <w:color w:val="auto"/>
          <w:sz w:val="32"/>
          <w:highlight w:val="none"/>
        </w:rPr>
      </w:pPr>
      <w:r>
        <w:rPr>
          <w:rFonts w:hint="eastAsia" w:cs="仿宋_GB2312" w:asciiTheme="minorEastAsia" w:hAnsiTheme="minorEastAsia" w:eastAsiaTheme="minorEastAsia"/>
          <w:b/>
          <w:color w:val="auto"/>
          <w:sz w:val="32"/>
          <w:highlight w:val="none"/>
        </w:rPr>
        <w:t>四、评审程序</w:t>
      </w:r>
    </w:p>
    <w:p w14:paraId="623EE1A7">
      <w:pPr>
        <w:pStyle w:val="392"/>
        <w:spacing w:before="0"/>
        <w:ind w:firstLine="413" w:firstLineChars="196"/>
        <w:rPr>
          <w:rFonts w:asciiTheme="minorEastAsia" w:hAnsiTheme="minorEastAsia" w:eastAsiaTheme="minorEastAsia"/>
          <w:b/>
          <w:color w:val="auto"/>
          <w:sz w:val="21"/>
          <w:szCs w:val="21"/>
          <w:highlight w:val="none"/>
        </w:rPr>
      </w:pPr>
      <w:r>
        <w:rPr>
          <w:rFonts w:hint="eastAsia" w:asciiTheme="minorEastAsia" w:hAnsiTheme="minorEastAsia" w:eastAsiaTheme="minorEastAsia"/>
          <w:b/>
          <w:color w:val="auto"/>
          <w:sz w:val="21"/>
          <w:szCs w:val="21"/>
          <w:highlight w:val="none"/>
        </w:rPr>
        <w:t>详见谈判文件“第二部分 竞争性谈判流程”。</w:t>
      </w:r>
    </w:p>
    <w:p w14:paraId="00DFD002">
      <w:pPr>
        <w:pStyle w:val="392"/>
        <w:spacing w:before="0"/>
        <w:ind w:firstLine="0" w:firstLineChars="0"/>
        <w:rPr>
          <w:rFonts w:asciiTheme="minorEastAsia" w:hAnsiTheme="minorEastAsia" w:eastAsiaTheme="minorEastAsia"/>
          <w:b/>
          <w:color w:val="auto"/>
          <w:highlight w:val="none"/>
        </w:rPr>
      </w:pPr>
    </w:p>
    <w:p w14:paraId="22DBA59B">
      <w:pPr>
        <w:pStyle w:val="392"/>
        <w:spacing w:before="0"/>
        <w:ind w:firstLine="0" w:firstLineChars="0"/>
        <w:jc w:val="center"/>
        <w:outlineLvl w:val="1"/>
        <w:rPr>
          <w:rFonts w:cs="仿宋_GB2312" w:asciiTheme="minorEastAsia" w:hAnsiTheme="minorEastAsia" w:eastAsiaTheme="minorEastAsia"/>
          <w:b/>
          <w:color w:val="auto"/>
          <w:sz w:val="32"/>
          <w:highlight w:val="none"/>
        </w:rPr>
      </w:pPr>
      <w:r>
        <w:rPr>
          <w:rFonts w:hint="eastAsia" w:cs="仿宋_GB2312" w:asciiTheme="minorEastAsia" w:hAnsiTheme="minorEastAsia" w:eastAsiaTheme="minorEastAsia"/>
          <w:b/>
          <w:color w:val="auto"/>
          <w:sz w:val="32"/>
          <w:highlight w:val="none"/>
        </w:rPr>
        <w:t>五、评审须知</w:t>
      </w:r>
    </w:p>
    <w:p w14:paraId="5176A23C">
      <w:pPr>
        <w:pStyle w:val="392"/>
        <w:keepNext w:val="0"/>
        <w:keepLines w:val="0"/>
        <w:pageBreakBefore w:val="0"/>
        <w:widowControl w:val="0"/>
        <w:kinsoku/>
        <w:wordWrap/>
        <w:overflowPunct/>
        <w:topLinePunct w:val="0"/>
        <w:autoSpaceDE/>
        <w:autoSpaceDN/>
        <w:bidi w:val="0"/>
        <w:adjustRightInd w:val="0"/>
        <w:snapToGrid/>
        <w:spacing w:before="0"/>
        <w:ind w:firstLine="0" w:firstLineChars="0"/>
        <w:textAlignment w:val="auto"/>
        <w:rPr>
          <w:rFonts w:cs="仿宋_GB2312" w:asciiTheme="minorEastAsia" w:hAnsiTheme="minorEastAsia" w:eastAsiaTheme="minorEastAsia"/>
          <w:b/>
          <w:color w:val="auto"/>
          <w:sz w:val="21"/>
          <w:szCs w:val="21"/>
          <w:highlight w:val="none"/>
        </w:rPr>
      </w:pPr>
      <w:r>
        <w:rPr>
          <w:rFonts w:hint="eastAsia" w:asciiTheme="minorEastAsia" w:hAnsiTheme="minorEastAsia" w:eastAsiaTheme="minorEastAsia"/>
          <w:b/>
          <w:color w:val="auto"/>
          <w:sz w:val="21"/>
          <w:szCs w:val="21"/>
          <w:highlight w:val="none"/>
        </w:rPr>
        <w:t>1. 响应文件的澄清</w:t>
      </w:r>
    </w:p>
    <w:p w14:paraId="1B68204E">
      <w:pPr>
        <w:keepNext w:val="0"/>
        <w:keepLines w:val="0"/>
        <w:pageBreakBefore w:val="0"/>
        <w:widowControl w:val="0"/>
        <w:kinsoku/>
        <w:wordWrap/>
        <w:overflowPunct/>
        <w:topLinePunct w:val="0"/>
        <w:autoSpaceDE/>
        <w:autoSpaceDN/>
        <w:bidi w:val="0"/>
        <w:adjustRightInd w:val="0"/>
        <w:snapToGrid/>
        <w:spacing w:line="360" w:lineRule="auto"/>
        <w:ind w:firstLine="48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对于响应文件中含义不明确、同类问题表述不一致或者有明显文字和计算错误的内容需要供应商做出必要的澄清、说明或者补正的，谈判小组和供应商通过电子交易平台交换数据电文，供应商提交使用电子签名的相关数据电文或通过平台上传加盖公章的扫描件。给予供应商提交澄清、说明或补正的时间不得少于半小时，供应商已经明确表示澄清说明或补正完毕的除外。供应商的澄清、说明或者补正不得超出响应文件的范围或者改变响应文件的实质性内容。</w:t>
      </w:r>
    </w:p>
    <w:p w14:paraId="669F4610">
      <w:pPr>
        <w:pStyle w:val="392"/>
        <w:keepNext w:val="0"/>
        <w:keepLines w:val="0"/>
        <w:pageBreakBefore w:val="0"/>
        <w:widowControl w:val="0"/>
        <w:numPr>
          <w:ilvl w:val="0"/>
          <w:numId w:val="9"/>
        </w:numPr>
        <w:kinsoku/>
        <w:wordWrap/>
        <w:overflowPunct/>
        <w:topLinePunct w:val="0"/>
        <w:autoSpaceDE/>
        <w:autoSpaceDN/>
        <w:bidi w:val="0"/>
        <w:adjustRightInd w:val="0"/>
        <w:snapToGrid/>
        <w:spacing w:before="0"/>
        <w:ind w:firstLine="0" w:firstLineChars="0"/>
        <w:textAlignment w:val="auto"/>
        <w:rPr>
          <w:rFonts w:cs="仿宋_GB2312" w:asciiTheme="minorEastAsia" w:hAnsiTheme="minorEastAsia" w:eastAsiaTheme="minorEastAsia"/>
          <w:b/>
          <w:color w:val="auto"/>
          <w:sz w:val="21"/>
          <w:szCs w:val="21"/>
          <w:highlight w:val="none"/>
        </w:rPr>
      </w:pPr>
      <w:r>
        <w:rPr>
          <w:rFonts w:hint="eastAsia" w:asciiTheme="minorEastAsia" w:hAnsiTheme="minorEastAsia" w:eastAsiaTheme="minorEastAsia"/>
          <w:b/>
          <w:color w:val="auto"/>
          <w:sz w:val="21"/>
          <w:szCs w:val="21"/>
          <w:highlight w:val="none"/>
        </w:rPr>
        <w:t>最后报价的修正原则</w:t>
      </w:r>
    </w:p>
    <w:p w14:paraId="5FD08009">
      <w:pPr>
        <w:keepNext w:val="0"/>
        <w:keepLines w:val="0"/>
        <w:pageBreakBefore w:val="0"/>
        <w:widowControl w:val="0"/>
        <w:kinsoku/>
        <w:wordWrap/>
        <w:overflowPunct/>
        <w:topLinePunct w:val="0"/>
        <w:autoSpaceDE/>
        <w:autoSpaceDN/>
        <w:bidi w:val="0"/>
        <w:adjustRightInd w:val="0"/>
        <w:snapToGrid/>
        <w:spacing w:line="360" w:lineRule="auto"/>
        <w:ind w:firstLine="48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谈判小组对响应文件的最后报价进行审核，对发现计算、书写等错误的，按以下原则进行修正：</w:t>
      </w:r>
    </w:p>
    <w:p w14:paraId="2E725D81">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2.1《最后报价一览表》内容与响应文件中响应内容不一致的，以《最后报价一览表》为准;</w:t>
      </w:r>
    </w:p>
    <w:p w14:paraId="2858E8EB">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2.2大写金额和小写金额不一致的，以大写金额为准;</w:t>
      </w:r>
    </w:p>
    <w:p w14:paraId="4B2502F8">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2.3单价金额小数点或者百分比有明显错位的，以《最后报价一览表》的总价为准，并修改单价;</w:t>
      </w:r>
    </w:p>
    <w:p w14:paraId="5F9C1DA5">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2.4总价金额与按单价汇总金额不一致的，以单价金额计算结果为准。</w:t>
      </w:r>
    </w:p>
    <w:p w14:paraId="232BAF45">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2.5同时出现两种以上不一致的，按照前款规定的顺序修正。</w:t>
      </w:r>
    </w:p>
    <w:p w14:paraId="6EFBDF40">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2.6以修正后的总价作为最后报价。</w:t>
      </w:r>
    </w:p>
    <w:p w14:paraId="348371F6">
      <w:pPr>
        <w:keepNext w:val="0"/>
        <w:keepLines w:val="0"/>
        <w:pageBreakBefore w:val="0"/>
        <w:widowControl w:val="0"/>
        <w:kinsoku/>
        <w:wordWrap/>
        <w:overflowPunct/>
        <w:topLinePunct w:val="0"/>
        <w:autoSpaceDE/>
        <w:autoSpaceDN/>
        <w:bidi w:val="0"/>
        <w:adjustRightInd w:val="0"/>
        <w:snapToGrid/>
        <w:spacing w:line="360" w:lineRule="auto"/>
        <w:textAlignment w:val="auto"/>
        <w:rPr>
          <w:rFonts w:cs="仿宋_GB2312" w:asciiTheme="minorEastAsia" w:hAnsiTheme="minorEastAsia" w:eastAsiaTheme="minorEastAsia"/>
          <w:b/>
          <w:bCs/>
          <w:color w:val="auto"/>
          <w:sz w:val="21"/>
          <w:szCs w:val="21"/>
          <w:highlight w:val="none"/>
        </w:rPr>
      </w:pPr>
      <w:r>
        <w:rPr>
          <w:rFonts w:hint="eastAsia" w:cs="仿宋_GB2312" w:asciiTheme="minorEastAsia" w:hAnsiTheme="minorEastAsia" w:eastAsiaTheme="minorEastAsia"/>
          <w:bCs/>
          <w:color w:val="auto"/>
          <w:sz w:val="21"/>
          <w:szCs w:val="21"/>
          <w:highlight w:val="none"/>
        </w:rPr>
        <w:t>▲</w:t>
      </w:r>
      <w:r>
        <w:rPr>
          <w:rFonts w:hint="eastAsia" w:cs="仿宋_GB2312" w:asciiTheme="minorEastAsia" w:hAnsiTheme="minorEastAsia" w:eastAsiaTheme="minorEastAsia"/>
          <w:b/>
          <w:bCs/>
          <w:color w:val="auto"/>
          <w:sz w:val="21"/>
          <w:szCs w:val="21"/>
          <w:highlight w:val="none"/>
        </w:rPr>
        <w:t>供应商对根据修正原则修正后的最后报价不确认的，响应无效。</w:t>
      </w:r>
    </w:p>
    <w:p w14:paraId="6E1F4B9A">
      <w:pPr>
        <w:pStyle w:val="392"/>
        <w:keepNext w:val="0"/>
        <w:keepLines w:val="0"/>
        <w:pageBreakBefore w:val="0"/>
        <w:widowControl w:val="0"/>
        <w:numPr>
          <w:ilvl w:val="0"/>
          <w:numId w:val="9"/>
        </w:numPr>
        <w:kinsoku/>
        <w:wordWrap/>
        <w:overflowPunct/>
        <w:topLinePunct w:val="0"/>
        <w:autoSpaceDE/>
        <w:autoSpaceDN/>
        <w:bidi w:val="0"/>
        <w:adjustRightInd w:val="0"/>
        <w:snapToGrid/>
        <w:spacing w:before="0"/>
        <w:ind w:left="0" w:leftChars="0" w:firstLine="0" w:firstLineChars="0"/>
        <w:textAlignment w:val="auto"/>
        <w:rPr>
          <w:rFonts w:cs="仿宋_GB2312" w:asciiTheme="minorEastAsia" w:hAnsiTheme="minorEastAsia" w:eastAsiaTheme="minorEastAsia"/>
          <w:b/>
          <w:color w:val="auto"/>
          <w:sz w:val="21"/>
          <w:szCs w:val="21"/>
          <w:highlight w:val="none"/>
        </w:rPr>
      </w:pPr>
      <w:r>
        <w:rPr>
          <w:rFonts w:hint="eastAsia" w:asciiTheme="minorEastAsia" w:hAnsiTheme="minorEastAsia" w:eastAsiaTheme="minorEastAsia"/>
          <w:b/>
          <w:color w:val="auto"/>
          <w:spacing w:val="20"/>
          <w:sz w:val="21"/>
          <w:szCs w:val="21"/>
          <w:highlight w:val="none"/>
        </w:rPr>
        <w:t>响应无效</w:t>
      </w:r>
    </w:p>
    <w:p w14:paraId="0C34535F">
      <w:pPr>
        <w:pStyle w:val="23"/>
        <w:keepNext w:val="0"/>
        <w:keepLines w:val="0"/>
        <w:pageBreakBefore w:val="0"/>
        <w:widowControl w:val="0"/>
        <w:kinsoku/>
        <w:wordWrap/>
        <w:overflowPunct/>
        <w:topLinePunct w:val="0"/>
        <w:autoSpaceDE/>
        <w:autoSpaceDN/>
        <w:bidi w:val="0"/>
        <w:adjustRightInd w:val="0"/>
        <w:snapToGrid/>
        <w:spacing w:line="360" w:lineRule="auto"/>
        <w:ind w:left="0" w:leftChars="0" w:firstLine="420" w:firstLineChars="200"/>
        <w:textAlignment w:val="auto"/>
        <w:rPr>
          <w:rFonts w:asciiTheme="minorEastAsia" w:hAnsiTheme="minorEastAsia" w:eastAsiaTheme="minorEastAsia"/>
          <w:color w:val="auto"/>
          <w:sz w:val="21"/>
          <w:szCs w:val="21"/>
          <w:highlight w:val="none"/>
        </w:rPr>
      </w:pPr>
      <w:r>
        <w:rPr>
          <w:rFonts w:hint="eastAsia" w:cs="仿宋_GB2312" w:asciiTheme="minorEastAsia" w:hAnsiTheme="minorEastAsia" w:eastAsiaTheme="minorEastAsia"/>
          <w:color w:val="auto"/>
          <w:sz w:val="21"/>
          <w:szCs w:val="21"/>
          <w:highlight w:val="none"/>
        </w:rPr>
        <w:t>有下列情况之一的，响应无效</w:t>
      </w:r>
      <w:r>
        <w:rPr>
          <w:rFonts w:hint="eastAsia" w:asciiTheme="minorEastAsia" w:hAnsiTheme="minorEastAsia" w:eastAsiaTheme="minorEastAsia"/>
          <w:color w:val="auto"/>
          <w:sz w:val="21"/>
          <w:szCs w:val="21"/>
          <w:highlight w:val="none"/>
        </w:rPr>
        <w:t>：</w:t>
      </w:r>
    </w:p>
    <w:p w14:paraId="093900E9">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cs="仿宋_GB2312"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3.1</w:t>
      </w:r>
      <w:r>
        <w:rPr>
          <w:rFonts w:hint="eastAsia" w:cs="仿宋_GB2312" w:asciiTheme="minorEastAsia" w:hAnsiTheme="minorEastAsia" w:eastAsiaTheme="minorEastAsia"/>
          <w:color w:val="auto"/>
          <w:sz w:val="21"/>
          <w:szCs w:val="21"/>
          <w:highlight w:val="none"/>
        </w:rPr>
        <w:t>单位负责人为同一人或者存在直接控股、管理关系的不同供应商参加同一合同项下的政府采购活动的（均无效）；</w:t>
      </w:r>
    </w:p>
    <w:p w14:paraId="46B07402">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 xml:space="preserve">3.2为采购项目提供整体设计、规范编制或者项目管理、监理、检测等服务的供应商再参加该采购项目的其他采购活动的； </w:t>
      </w:r>
    </w:p>
    <w:p w14:paraId="1F794D8B">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3.3供应商不具备谈判文件中规定的资格要求的（供应商未提供有效的资格证明文件的，视为供应商不具备谈判文件中规定的资格要求）；</w:t>
      </w:r>
    </w:p>
    <w:p w14:paraId="52111D9C">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3.4如以联合体形式参加政府采购活动的，联合协议不符合谈判文件规定的联合协议要求的；</w:t>
      </w:r>
    </w:p>
    <w:p w14:paraId="58D4E812">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3.5响应文件未按谈判文件的澄清、修改的内容编制，又不符合实质性要求的；</w:t>
      </w:r>
    </w:p>
    <w:p w14:paraId="30B05AD0">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3.6响应文件组成漏项，内容不全或内容字迹模糊辨认不清的；</w:t>
      </w:r>
    </w:p>
    <w:p w14:paraId="0D49F657">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3.7响应文件中法人授权书所载内容与本项目内容有异的；</w:t>
      </w:r>
    </w:p>
    <w:p w14:paraId="6DE74655">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3.8响应文件未按照谈判文件要求签署、盖章的；</w:t>
      </w:r>
    </w:p>
    <w:p w14:paraId="059CA23B">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3.9</w:t>
      </w:r>
      <w:r>
        <w:rPr>
          <w:rFonts w:hint="eastAsia" w:ascii="宋体" w:hAnsi="宋体" w:cs="宋体"/>
          <w:color w:val="auto"/>
          <w:kern w:val="0"/>
          <w:sz w:val="21"/>
          <w:szCs w:val="21"/>
          <w:highlight w:val="none"/>
        </w:rPr>
        <w:t>采购人拟采购的产品属于政府强制采购的节能产品品目清单范围的，供应商相应的响应产品未获得国家确定的认证机构出具的、处于有效期之内的节能产品认证证书的；</w:t>
      </w:r>
    </w:p>
    <w:p w14:paraId="06ED81A2">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3.10响应文件含有采购人不能接受的附加条件的；</w:t>
      </w:r>
    </w:p>
    <w:p w14:paraId="19C1436A">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3.11响应文件中承诺的响应有效期少于谈判文件中载明的响应有效期的；</w:t>
      </w:r>
    </w:p>
    <w:p w14:paraId="6ACFD298">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3.12供应商所投内容不符合谈判文件中实质性要求的；</w:t>
      </w:r>
    </w:p>
    <w:p w14:paraId="77C01D48">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3.13所提交的《最后报价一览表》中出现不是唯一的、有选择性的报价的;</w:t>
      </w:r>
    </w:p>
    <w:p w14:paraId="5BB21E1C">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3.14最后报价高于本项目采购预算或者最高限价的;</w:t>
      </w:r>
    </w:p>
    <w:p w14:paraId="5B2C61C5">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3.15《最后报价一览表》填写不完整或字迹不能辨认或有漏项的；</w:t>
      </w:r>
    </w:p>
    <w:p w14:paraId="0739B55B">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3.16供应商对根据修正原则修正后的最后报价不确认的；</w:t>
      </w:r>
    </w:p>
    <w:p w14:paraId="3383594A">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3.17供应商提供虚假材料响应的（包括但不限于以下情节）；</w:t>
      </w:r>
    </w:p>
    <w:p w14:paraId="638A17A4">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3.17.1使用伪造、变造的许可证件；</w:t>
      </w:r>
    </w:p>
    <w:p w14:paraId="57A5AAF8">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3.17.2提供虚假的财务状况或者业绩；</w:t>
      </w:r>
    </w:p>
    <w:p w14:paraId="65377B40">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3.17.3提供虚假的项目负责人或者主要技术人员简历、劳动关系证明；</w:t>
      </w:r>
    </w:p>
    <w:p w14:paraId="51C4EB70">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3.17.4提供虚假的信用状况；</w:t>
      </w:r>
    </w:p>
    <w:p w14:paraId="43335A3E">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3.17.5其他弄虚作假的行为。</w:t>
      </w:r>
    </w:p>
    <w:p w14:paraId="3036D3E4">
      <w:pPr>
        <w:keepNext w:val="0"/>
        <w:keepLines w:val="0"/>
        <w:pageBreakBefore w:val="0"/>
        <w:widowControl w:val="0"/>
        <w:kinsoku/>
        <w:wordWrap/>
        <w:overflowPunct/>
        <w:topLinePunct w:val="0"/>
        <w:autoSpaceDE/>
        <w:autoSpaceDN/>
        <w:bidi w:val="0"/>
        <w:adjustRightInd w:val="0"/>
        <w:snapToGrid/>
        <w:spacing w:line="360" w:lineRule="auto"/>
        <w:ind w:firstLine="48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3.18供应商有恶意串通、妨碍其他供应商的竞争行为、损害采购人或者其他供应商的合法权益情形的。</w:t>
      </w:r>
    </w:p>
    <w:p w14:paraId="134D9B73">
      <w:pPr>
        <w:keepNext w:val="0"/>
        <w:keepLines w:val="0"/>
        <w:pageBreakBefore w:val="0"/>
        <w:widowControl w:val="0"/>
        <w:kinsoku/>
        <w:wordWrap/>
        <w:overflowPunct/>
        <w:topLinePunct w:val="0"/>
        <w:autoSpaceDE/>
        <w:autoSpaceDN/>
        <w:bidi w:val="0"/>
        <w:adjustRightInd w:val="0"/>
        <w:snapToGrid/>
        <w:spacing w:line="360" w:lineRule="auto"/>
        <w:ind w:firstLine="48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有下列情形之一的，属于或视为恶意串通，其响应无效：</w:t>
      </w:r>
    </w:p>
    <w:p w14:paraId="19B6B7B9">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3.18.1供应商直接或者间接从采购人或者采购代理机构处获得其他供应商的相关情况并修改其响应文件；</w:t>
      </w:r>
    </w:p>
    <w:p w14:paraId="0F78FBAB">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3.18.2供应商按照采购人或者采购代理机构的授意撤换、修改投标文件或者响应文件；</w:t>
      </w:r>
    </w:p>
    <w:p w14:paraId="60BDA969">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3.18.3供应商之间协商报价、技术方案等投标文件或者响应文件的实质性内容；</w:t>
      </w:r>
    </w:p>
    <w:p w14:paraId="2C4847A2">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3.18.4属于同一集团、协会、商会等组织成员的供应商按照该组织要求协同参加政府采购活动；</w:t>
      </w:r>
    </w:p>
    <w:p w14:paraId="22374D7D">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3.18.5供应商之间事先约定由某一特定供应商中标、成交；</w:t>
      </w:r>
    </w:p>
    <w:p w14:paraId="5B2361ED">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3.18.6供应商之间商定部分供应商放弃参加政府采购活动或者放弃中标、成交；</w:t>
      </w:r>
    </w:p>
    <w:p w14:paraId="70432833">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3.18.7供应商与采购人或者采购代理机构之间、供应商相互之间，为谋求特定供应商中标、成交或者排斥其他供应商的其他串通行为。</w:t>
      </w:r>
    </w:p>
    <w:p w14:paraId="31C99796">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3.18.8不同供应商的响应文件由同一单位或者个人编制；</w:t>
      </w:r>
    </w:p>
    <w:p w14:paraId="75C0E421">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3.18.9不同供应商委托同一单位或者个人办理响应事宜；</w:t>
      </w:r>
    </w:p>
    <w:p w14:paraId="3B4AE13E">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3.18.10不同供应商的响应文件载明的项目管理成员或者联系人员为同一人；</w:t>
      </w:r>
    </w:p>
    <w:p w14:paraId="0F29C0DC">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3.18.11不同供应商的响应文件异常一致或者最后报价呈规律性差异。</w:t>
      </w:r>
    </w:p>
    <w:p w14:paraId="009D0CA1">
      <w:pPr>
        <w:keepNext w:val="0"/>
        <w:keepLines w:val="0"/>
        <w:pageBreakBefore w:val="0"/>
        <w:widowControl w:val="0"/>
        <w:kinsoku/>
        <w:wordWrap/>
        <w:overflowPunct/>
        <w:topLinePunct w:val="0"/>
        <w:autoSpaceDE/>
        <w:autoSpaceDN/>
        <w:bidi w:val="0"/>
        <w:adjustRightInd w:val="0"/>
        <w:snapToGrid/>
        <w:spacing w:line="360" w:lineRule="auto"/>
        <w:ind w:firstLine="422" w:firstLineChars="200"/>
        <w:textAlignment w:val="auto"/>
        <w:rPr>
          <w:rFonts w:asciiTheme="minorEastAsia" w:hAnsiTheme="minorEastAsia" w:eastAsiaTheme="minorEastAsia"/>
          <w:b/>
          <w:color w:val="auto"/>
          <w:sz w:val="21"/>
          <w:szCs w:val="21"/>
          <w:highlight w:val="none"/>
        </w:rPr>
      </w:pPr>
      <w:r>
        <w:rPr>
          <w:rFonts w:hint="eastAsia" w:asciiTheme="minorEastAsia" w:hAnsiTheme="minorEastAsia" w:eastAsiaTheme="minorEastAsia"/>
          <w:b/>
          <w:color w:val="auto"/>
          <w:sz w:val="21"/>
          <w:szCs w:val="21"/>
          <w:highlight w:val="none"/>
        </w:rPr>
        <w:t>3.19供应商仅提交备份响应文件，没有在电子交易平台传输提交响应文件的，响应无效；</w:t>
      </w:r>
    </w:p>
    <w:p w14:paraId="0412EA1D">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3.20法律、法规、规章（适用本市的）及省级以上规范性文件（适用本市的）规定的其他无效情形。</w:t>
      </w:r>
    </w:p>
    <w:p w14:paraId="63C57E40">
      <w:pPr>
        <w:pStyle w:val="392"/>
        <w:keepNext w:val="0"/>
        <w:keepLines w:val="0"/>
        <w:pageBreakBefore w:val="0"/>
        <w:widowControl w:val="0"/>
        <w:kinsoku/>
        <w:wordWrap/>
        <w:overflowPunct/>
        <w:topLinePunct w:val="0"/>
        <w:autoSpaceDE/>
        <w:autoSpaceDN/>
        <w:bidi w:val="0"/>
        <w:adjustRightInd w:val="0"/>
        <w:snapToGrid/>
        <w:spacing w:before="0"/>
        <w:ind w:firstLine="0" w:firstLineChars="0"/>
        <w:textAlignment w:val="auto"/>
        <w:rPr>
          <w:rFonts w:asciiTheme="minorEastAsia" w:hAnsiTheme="minorEastAsia" w:eastAsiaTheme="minorEastAsia"/>
          <w:b/>
          <w:color w:val="auto"/>
          <w:sz w:val="21"/>
          <w:szCs w:val="21"/>
          <w:highlight w:val="none"/>
        </w:rPr>
      </w:pPr>
      <w:r>
        <w:rPr>
          <w:rFonts w:hint="eastAsia" w:asciiTheme="minorEastAsia" w:hAnsiTheme="minorEastAsia" w:eastAsiaTheme="minorEastAsia"/>
          <w:b/>
          <w:color w:val="auto"/>
          <w:sz w:val="21"/>
          <w:szCs w:val="21"/>
          <w:highlight w:val="none"/>
        </w:rPr>
        <w:t>4. 重新开展采购活动</w:t>
      </w:r>
    </w:p>
    <w:p w14:paraId="0823557A">
      <w:pPr>
        <w:keepNext w:val="0"/>
        <w:keepLines w:val="0"/>
        <w:pageBreakBefore w:val="0"/>
        <w:widowControl w:val="0"/>
        <w:kinsoku/>
        <w:wordWrap/>
        <w:overflowPunct/>
        <w:topLinePunct w:val="0"/>
        <w:autoSpaceDE/>
        <w:autoSpaceDN/>
        <w:bidi w:val="0"/>
        <w:adjustRightInd w:val="0"/>
        <w:snapToGrid/>
        <w:spacing w:line="360" w:lineRule="auto"/>
        <w:ind w:firstLine="407" w:firstLineChars="194"/>
        <w:textAlignment w:val="auto"/>
        <w:rPr>
          <w:rFonts w:asciiTheme="minorEastAsia" w:hAnsiTheme="minorEastAsia" w:eastAsiaTheme="minorEastAsia"/>
          <w:color w:val="auto"/>
          <w:sz w:val="21"/>
          <w:szCs w:val="21"/>
          <w:highlight w:val="none"/>
        </w:rPr>
      </w:pPr>
      <w:r>
        <w:rPr>
          <w:rFonts w:hint="eastAsia" w:cs="Arial" w:asciiTheme="minorEastAsia" w:hAnsiTheme="minorEastAsia" w:eastAsiaTheme="minorEastAsia"/>
          <w:color w:val="auto"/>
          <w:sz w:val="21"/>
          <w:szCs w:val="21"/>
          <w:highlight w:val="none"/>
        </w:rPr>
        <w:t xml:space="preserve"> </w:t>
      </w:r>
      <w:r>
        <w:rPr>
          <w:rFonts w:hint="eastAsia" w:asciiTheme="minorEastAsia" w:hAnsiTheme="minorEastAsia" w:eastAsiaTheme="minorEastAsia"/>
          <w:color w:val="auto"/>
          <w:sz w:val="21"/>
          <w:szCs w:val="21"/>
          <w:highlight w:val="none"/>
        </w:rPr>
        <w:t>出现下列情形之一的，采购代理机构应当终止竞争性谈判采购活动，通过电子交易平台发布项目终止公告并说明原因，重新开展采购活动：</w:t>
      </w:r>
    </w:p>
    <w:p w14:paraId="5D12D321">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（1）因情况变化，不再符合规定的竞争性谈判采购方式适用情形的；</w:t>
      </w:r>
    </w:p>
    <w:p w14:paraId="02EB3C96">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（2）出现影响采购公正的违法、违规行为的；</w:t>
      </w:r>
    </w:p>
    <w:p w14:paraId="76E81DE9">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（3）在采购过程中符合竞争要求的供应商或者报价未超过采购预算的供应商不足3家的，但《政府采购非招标采购方式管理办法》第二十七条第二款规定的情形除外。</w:t>
      </w:r>
    </w:p>
    <w:p w14:paraId="616D502D">
      <w:pPr>
        <w:pStyle w:val="392"/>
        <w:keepNext w:val="0"/>
        <w:keepLines w:val="0"/>
        <w:pageBreakBefore w:val="0"/>
        <w:widowControl w:val="0"/>
        <w:kinsoku/>
        <w:wordWrap/>
        <w:overflowPunct/>
        <w:topLinePunct w:val="0"/>
        <w:autoSpaceDE/>
        <w:autoSpaceDN/>
        <w:bidi w:val="0"/>
        <w:adjustRightInd w:val="0"/>
        <w:snapToGrid/>
        <w:spacing w:before="0"/>
        <w:ind w:firstLine="0" w:firstLineChars="0"/>
        <w:textAlignment w:val="auto"/>
        <w:rPr>
          <w:rFonts w:asciiTheme="minorEastAsia" w:hAnsiTheme="minorEastAsia" w:eastAsiaTheme="minorEastAsia"/>
          <w:b/>
          <w:color w:val="auto"/>
          <w:sz w:val="21"/>
          <w:szCs w:val="21"/>
          <w:highlight w:val="none"/>
        </w:rPr>
      </w:pPr>
      <w:r>
        <w:rPr>
          <w:rFonts w:hint="eastAsia" w:asciiTheme="minorEastAsia" w:hAnsiTheme="minorEastAsia" w:eastAsiaTheme="minorEastAsia"/>
          <w:b/>
          <w:color w:val="auto"/>
          <w:sz w:val="21"/>
          <w:szCs w:val="21"/>
          <w:highlight w:val="none"/>
        </w:rPr>
        <w:t>5. 终止采购活动</w:t>
      </w:r>
    </w:p>
    <w:p w14:paraId="38E40132">
      <w:pPr>
        <w:keepNext w:val="0"/>
        <w:keepLines w:val="0"/>
        <w:pageBreakBefore w:val="0"/>
        <w:widowControl w:val="0"/>
        <w:kinsoku/>
        <w:wordWrap/>
        <w:overflowPunct/>
        <w:topLinePunct w:val="0"/>
        <w:autoSpaceDE/>
        <w:autoSpaceDN/>
        <w:bidi w:val="0"/>
        <w:adjustRightInd w:val="0"/>
        <w:snapToGrid/>
        <w:spacing w:line="360" w:lineRule="auto"/>
        <w:ind w:firstLine="407" w:firstLineChars="194"/>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在采购活动中因重大变故，采购任务取消的，采购代理机构将终止采购活动，通过电子交易平台通知所有参加采购活动的供应商，并将项目实施情况和采购任务取消原因报送本级财政部门。</w:t>
      </w:r>
    </w:p>
    <w:p w14:paraId="3E98DFC8">
      <w:pPr>
        <w:keepNext w:val="0"/>
        <w:keepLines w:val="0"/>
        <w:pageBreakBefore w:val="0"/>
        <w:widowControl w:val="0"/>
        <w:kinsoku/>
        <w:wordWrap/>
        <w:overflowPunct/>
        <w:topLinePunct w:val="0"/>
        <w:autoSpaceDE/>
        <w:autoSpaceDN/>
        <w:bidi w:val="0"/>
        <w:adjustRightInd w:val="0"/>
        <w:snapToGrid/>
        <w:spacing w:line="360" w:lineRule="auto"/>
        <w:textAlignment w:val="auto"/>
        <w:rPr>
          <w:rFonts w:hint="default" w:asciiTheme="minorEastAsia" w:hAnsiTheme="minorEastAsia" w:eastAsiaTheme="minorEastAsia"/>
          <w:b/>
          <w:color w:val="auto"/>
          <w:sz w:val="21"/>
          <w:szCs w:val="21"/>
          <w:highlight w:val="none"/>
          <w:lang w:val="en-US" w:eastAsia="zh-CN"/>
        </w:rPr>
      </w:pPr>
      <w:r>
        <w:rPr>
          <w:rFonts w:asciiTheme="minorEastAsia" w:hAnsiTheme="minorEastAsia" w:eastAsiaTheme="minorEastAsia"/>
          <w:b/>
          <w:color w:val="auto"/>
          <w:sz w:val="21"/>
          <w:szCs w:val="21"/>
          <w:highlight w:val="none"/>
        </w:rPr>
        <w:t xml:space="preserve">6. </w:t>
      </w:r>
      <w:r>
        <w:rPr>
          <w:rFonts w:hint="eastAsia" w:asciiTheme="minorEastAsia" w:hAnsiTheme="minorEastAsia" w:eastAsiaTheme="minorEastAsia"/>
          <w:b/>
          <w:color w:val="auto"/>
          <w:sz w:val="21"/>
          <w:szCs w:val="21"/>
          <w:highlight w:val="none"/>
          <w:lang w:val="en-US" w:eastAsia="zh-CN"/>
        </w:rPr>
        <w:t>合规性审查</w:t>
      </w:r>
    </w:p>
    <w:p w14:paraId="3E23308B">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cs="仿宋_GB2312" w:asciiTheme="minorEastAsia" w:hAnsiTheme="minorEastAsia" w:eastAsiaTheme="minorEastAsia"/>
          <w:color w:val="auto"/>
          <w:sz w:val="21"/>
          <w:szCs w:val="21"/>
          <w:highlight w:val="none"/>
        </w:rPr>
      </w:pPr>
      <w:r>
        <w:rPr>
          <w:rFonts w:hint="eastAsia" w:cs="仿宋_GB2312" w:asciiTheme="minorEastAsia" w:hAnsiTheme="minorEastAsia" w:eastAsiaTheme="minorEastAsia"/>
          <w:b w:val="0"/>
          <w:bCs/>
          <w:color w:val="auto"/>
          <w:sz w:val="21"/>
          <w:szCs w:val="21"/>
          <w:highlight w:val="none"/>
        </w:rPr>
        <w:t>采购代理机构有权对谈判小组各成员的评审情况和评审意见进行合理性和合规性审查，</w:t>
      </w:r>
      <w:r>
        <w:rPr>
          <w:rFonts w:hint="eastAsia" w:cs="仿宋_GB2312" w:asciiTheme="minorEastAsia" w:hAnsiTheme="minorEastAsia" w:eastAsiaTheme="minorEastAsia"/>
          <w:color w:val="auto"/>
          <w:sz w:val="21"/>
          <w:szCs w:val="21"/>
          <w:highlight w:val="none"/>
        </w:rPr>
        <w:t>如发现谈判小组成员的评审意见带有明显倾向性，或不按规定程序和标准评审，谈判小组成员应进行书面澄清和说明；谈判小组成员拒不接受采购代理机构审查的，采购代理机构将向同级政府采购监督管理部门报告并予以处理。</w:t>
      </w:r>
    </w:p>
    <w:p w14:paraId="363164F8">
      <w:pPr>
        <w:pStyle w:val="392"/>
        <w:spacing w:before="0"/>
        <w:ind w:firstLine="0" w:firstLineChars="0"/>
        <w:rPr>
          <w:rFonts w:cs="仿宋_GB2312" w:asciiTheme="minorEastAsia" w:hAnsiTheme="minorEastAsia" w:eastAsiaTheme="minorEastAsia"/>
          <w:b/>
          <w:color w:val="auto"/>
          <w:highlight w:val="none"/>
        </w:rPr>
      </w:pPr>
    </w:p>
    <w:p w14:paraId="0A300F8C">
      <w:pPr>
        <w:snapToGrid w:val="0"/>
        <w:spacing w:line="360" w:lineRule="auto"/>
        <w:ind w:left="120" w:leftChars="57" w:firstLine="482" w:firstLineChars="150"/>
        <w:jc w:val="center"/>
        <w:outlineLvl w:val="1"/>
        <w:rPr>
          <w:rFonts w:cs="仿宋_GB2312" w:asciiTheme="minorEastAsia" w:hAnsiTheme="minorEastAsia" w:eastAsiaTheme="minorEastAsia"/>
          <w:b/>
          <w:color w:val="auto"/>
          <w:sz w:val="32"/>
          <w:highlight w:val="none"/>
        </w:rPr>
      </w:pPr>
      <w:r>
        <w:rPr>
          <w:rFonts w:hint="eastAsia" w:cs="仿宋_GB2312" w:asciiTheme="minorEastAsia" w:hAnsiTheme="minorEastAsia" w:eastAsiaTheme="minorEastAsia"/>
          <w:b/>
          <w:color w:val="auto"/>
          <w:sz w:val="32"/>
          <w:highlight w:val="none"/>
        </w:rPr>
        <w:t>六、评审过程的保密与录像</w:t>
      </w:r>
    </w:p>
    <w:p w14:paraId="6D33641E">
      <w:pPr>
        <w:widowControl/>
        <w:spacing w:line="360" w:lineRule="auto"/>
        <w:ind w:firstLine="422" w:firstLineChars="200"/>
        <w:rPr>
          <w:rFonts w:cs="仿宋_GB2312" w:asciiTheme="minorEastAsia" w:hAnsiTheme="minorEastAsia" w:eastAsiaTheme="minorEastAsia"/>
          <w:color w:val="auto"/>
          <w:sz w:val="21"/>
          <w:szCs w:val="21"/>
          <w:highlight w:val="none"/>
        </w:rPr>
      </w:pPr>
      <w:r>
        <w:rPr>
          <w:rFonts w:hint="eastAsia" w:cs="仿宋_GB2312" w:asciiTheme="minorEastAsia" w:hAnsiTheme="minorEastAsia" w:eastAsiaTheme="minorEastAsia"/>
          <w:b/>
          <w:color w:val="auto"/>
          <w:sz w:val="21"/>
          <w:szCs w:val="21"/>
          <w:highlight w:val="none"/>
        </w:rPr>
        <w:t>1.保密。</w:t>
      </w:r>
      <w:r>
        <w:rPr>
          <w:rFonts w:hint="eastAsia" w:cs="仿宋_GB2312" w:asciiTheme="minorEastAsia" w:hAnsiTheme="minorEastAsia" w:eastAsiaTheme="minorEastAsia"/>
          <w:color w:val="auto"/>
          <w:sz w:val="21"/>
          <w:szCs w:val="21"/>
          <w:highlight w:val="none"/>
        </w:rPr>
        <w:t>评审活动在严格保密的情况下进行。评审过程中凡是与响应文件评审和比较、成交人推荐等评审有关的情况，以及涉及国家秘密和商业秘密等信息，谈判小组成员、采购人和采购代理机构工作人员、相关监督人员等与评审有关的人员应当予以保密。</w:t>
      </w:r>
    </w:p>
    <w:p w14:paraId="4B8D9A2F">
      <w:pPr>
        <w:widowControl/>
        <w:spacing w:line="360" w:lineRule="auto"/>
        <w:ind w:firstLine="422" w:firstLineChars="200"/>
        <w:rPr>
          <w:rFonts w:cs="仿宋_GB2312" w:asciiTheme="minorEastAsia" w:hAnsiTheme="minorEastAsia" w:eastAsiaTheme="minorEastAsia"/>
          <w:color w:val="auto"/>
          <w:sz w:val="21"/>
          <w:szCs w:val="21"/>
          <w:highlight w:val="none"/>
        </w:rPr>
      </w:pPr>
      <w:r>
        <w:rPr>
          <w:rFonts w:hint="eastAsia" w:cs="仿宋_GB2312" w:asciiTheme="minorEastAsia" w:hAnsiTheme="minorEastAsia" w:eastAsiaTheme="minorEastAsia"/>
          <w:b/>
          <w:color w:val="auto"/>
          <w:sz w:val="21"/>
          <w:szCs w:val="21"/>
          <w:highlight w:val="none"/>
        </w:rPr>
        <w:t>2.录音录像。</w:t>
      </w:r>
      <w:r>
        <w:rPr>
          <w:rFonts w:hint="eastAsia" w:cs="仿宋_GB2312" w:asciiTheme="minorEastAsia" w:hAnsiTheme="minorEastAsia" w:eastAsiaTheme="minorEastAsia"/>
          <w:color w:val="auto"/>
          <w:sz w:val="21"/>
          <w:szCs w:val="21"/>
          <w:highlight w:val="none"/>
        </w:rPr>
        <w:t>采购代理机构对评审工作现场进行全过程录音录像，录音录像资料作为采购项目文件随其他文件一并存档。</w:t>
      </w:r>
    </w:p>
    <w:p w14:paraId="5D9ED0E0">
      <w:pPr>
        <w:widowControl/>
        <w:adjustRightInd/>
        <w:jc w:val="left"/>
        <w:rPr>
          <w:rFonts w:cs="仿宋_GB2312" w:asciiTheme="minorEastAsia" w:hAnsiTheme="minorEastAsia" w:eastAsiaTheme="minorEastAsia"/>
          <w:b/>
          <w:color w:val="auto"/>
          <w:sz w:val="36"/>
          <w:szCs w:val="36"/>
          <w:highlight w:val="none"/>
        </w:rPr>
      </w:pPr>
      <w:r>
        <w:rPr>
          <w:rFonts w:cs="仿宋_GB2312" w:asciiTheme="minorEastAsia" w:hAnsiTheme="minorEastAsia" w:eastAsiaTheme="minorEastAsia"/>
          <w:b/>
          <w:color w:val="auto"/>
          <w:sz w:val="36"/>
          <w:szCs w:val="36"/>
          <w:highlight w:val="none"/>
        </w:rPr>
        <w:br w:type="page"/>
      </w:r>
    </w:p>
    <w:p w14:paraId="23A60F70">
      <w:pPr>
        <w:spacing w:line="360" w:lineRule="auto"/>
        <w:jc w:val="center"/>
        <w:outlineLvl w:val="0"/>
        <w:rPr>
          <w:rFonts w:cs="仿宋_GB2312" w:asciiTheme="minorEastAsia" w:hAnsiTheme="minorEastAsia" w:eastAsiaTheme="minorEastAsia"/>
          <w:b/>
          <w:color w:val="auto"/>
          <w:sz w:val="36"/>
          <w:szCs w:val="36"/>
          <w:highlight w:val="none"/>
        </w:rPr>
      </w:pPr>
      <w:bookmarkStart w:id="73" w:name="_Toc31982"/>
      <w:r>
        <w:rPr>
          <w:rFonts w:hint="eastAsia" w:cs="仿宋_GB2312" w:asciiTheme="minorEastAsia" w:hAnsiTheme="minorEastAsia" w:eastAsiaTheme="minorEastAsia"/>
          <w:b/>
          <w:color w:val="auto"/>
          <w:sz w:val="36"/>
          <w:szCs w:val="36"/>
          <w:highlight w:val="none"/>
        </w:rPr>
        <w:t>第六部分</w:t>
      </w:r>
      <w:bookmarkEnd w:id="72"/>
      <w:r>
        <w:rPr>
          <w:rFonts w:hint="eastAsia" w:cs="仿宋_GB2312" w:asciiTheme="minorEastAsia" w:hAnsiTheme="minorEastAsia" w:eastAsiaTheme="minorEastAsia"/>
          <w:b/>
          <w:color w:val="auto"/>
          <w:sz w:val="36"/>
          <w:szCs w:val="36"/>
          <w:highlight w:val="none"/>
        </w:rPr>
        <w:t xml:space="preserve">  拟签订的合同文本</w:t>
      </w:r>
      <w:bookmarkEnd w:id="73"/>
    </w:p>
    <w:p w14:paraId="09D49D92">
      <w:pPr>
        <w:spacing w:line="480" w:lineRule="auto"/>
        <w:jc w:val="center"/>
        <w:rPr>
          <w:rFonts w:ascii="宋体" w:hAnsi="宋体" w:cs="宋体"/>
          <w:b/>
          <w:color w:val="auto"/>
          <w:sz w:val="24"/>
          <w:highlight w:val="none"/>
        </w:rPr>
      </w:pPr>
      <w:bookmarkStart w:id="74" w:name="第五部分"/>
      <w:bookmarkStart w:id="75" w:name="_Toc86217003"/>
    </w:p>
    <w:p w14:paraId="3762577C">
      <w:pPr>
        <w:adjustRightInd/>
        <w:spacing w:line="600" w:lineRule="exact"/>
        <w:ind w:firstLine="1044"/>
        <w:rPr>
          <w:rFonts w:ascii="宋体" w:hAnsi="宋体" w:cs="宋体"/>
          <w:b/>
          <w:color w:val="auto"/>
          <w:kern w:val="0"/>
          <w:sz w:val="52"/>
          <w:szCs w:val="52"/>
          <w:highlight w:val="none"/>
        </w:rPr>
      </w:pPr>
    </w:p>
    <w:p w14:paraId="71D91A10">
      <w:pPr>
        <w:adjustRightInd/>
        <w:jc w:val="center"/>
        <w:rPr>
          <w:rFonts w:ascii="宋体" w:hAnsi="宋体" w:cs="宋体"/>
          <w:b/>
          <w:bCs/>
          <w:color w:val="auto"/>
          <w:spacing w:val="-20"/>
          <w:kern w:val="44"/>
          <w:sz w:val="48"/>
          <w:szCs w:val="48"/>
          <w:highlight w:val="none"/>
        </w:rPr>
      </w:pPr>
      <w:bookmarkStart w:id="76" w:name="_Toc3995"/>
      <w:r>
        <w:rPr>
          <w:rFonts w:hint="eastAsia" w:ascii="宋体" w:hAnsi="宋体" w:cs="宋体"/>
          <w:b/>
          <w:bCs/>
          <w:color w:val="auto"/>
          <w:spacing w:val="-20"/>
          <w:kern w:val="44"/>
          <w:sz w:val="48"/>
          <w:szCs w:val="48"/>
          <w:highlight w:val="none"/>
        </w:rPr>
        <w:t>北海市政府采购合同</w:t>
      </w:r>
    </w:p>
    <w:p w14:paraId="3B78531C">
      <w:pPr>
        <w:adjustRightInd/>
        <w:jc w:val="center"/>
        <w:rPr>
          <w:rFonts w:ascii="宋体" w:hAnsi="宋体" w:cs="宋体"/>
          <w:b/>
          <w:bCs/>
          <w:color w:val="auto"/>
          <w:spacing w:val="-20"/>
          <w:kern w:val="44"/>
          <w:sz w:val="36"/>
          <w:szCs w:val="36"/>
          <w:highlight w:val="none"/>
        </w:rPr>
      </w:pPr>
    </w:p>
    <w:p w14:paraId="2DC21247">
      <w:pPr>
        <w:adjustRightInd/>
        <w:jc w:val="center"/>
        <w:rPr>
          <w:rFonts w:ascii="宋体" w:hAnsi="宋体" w:cs="宋体"/>
          <w:b/>
          <w:bCs/>
          <w:color w:val="auto"/>
          <w:spacing w:val="-20"/>
          <w:kern w:val="44"/>
          <w:sz w:val="36"/>
          <w:szCs w:val="36"/>
          <w:highlight w:val="none"/>
        </w:rPr>
      </w:pPr>
      <w:r>
        <w:rPr>
          <w:rFonts w:hint="eastAsia" w:ascii="宋体" w:hAnsi="宋体" w:cs="宋体"/>
          <w:b/>
          <w:bCs/>
          <w:color w:val="auto"/>
          <w:spacing w:val="-20"/>
          <w:kern w:val="44"/>
          <w:sz w:val="36"/>
          <w:szCs w:val="36"/>
          <w:highlight w:val="none"/>
        </w:rPr>
        <w:t>（货物类）</w:t>
      </w:r>
    </w:p>
    <w:p w14:paraId="5EDAD2C3">
      <w:pPr>
        <w:adjustRightInd/>
        <w:rPr>
          <w:rFonts w:ascii="宋体" w:hAnsi="宋体" w:cs="宋体"/>
          <w:b/>
          <w:bCs/>
          <w:color w:val="auto"/>
          <w:spacing w:val="-20"/>
          <w:kern w:val="44"/>
          <w:sz w:val="40"/>
          <w:szCs w:val="40"/>
          <w:highlight w:val="none"/>
        </w:rPr>
      </w:pPr>
    </w:p>
    <w:p w14:paraId="50266762">
      <w:pPr>
        <w:adjustRightInd/>
        <w:rPr>
          <w:rFonts w:ascii="宋体" w:hAnsi="宋体" w:cs="宋体"/>
          <w:b/>
          <w:bCs/>
          <w:color w:val="auto"/>
          <w:spacing w:val="-20"/>
          <w:kern w:val="44"/>
          <w:sz w:val="40"/>
          <w:szCs w:val="40"/>
          <w:highlight w:val="none"/>
        </w:rPr>
      </w:pPr>
    </w:p>
    <w:p w14:paraId="6B3E4DE7">
      <w:pPr>
        <w:adjustRightInd/>
        <w:rPr>
          <w:rFonts w:ascii="宋体" w:hAnsi="宋体" w:cs="宋体"/>
          <w:b/>
          <w:bCs/>
          <w:color w:val="auto"/>
          <w:spacing w:val="-20"/>
          <w:kern w:val="44"/>
          <w:sz w:val="40"/>
          <w:szCs w:val="40"/>
          <w:highlight w:val="none"/>
        </w:rPr>
      </w:pPr>
    </w:p>
    <w:p w14:paraId="3D37227B">
      <w:pPr>
        <w:adjustRightInd/>
        <w:spacing w:line="360" w:lineRule="auto"/>
        <w:ind w:left="1680" w:leftChars="800"/>
        <w:rPr>
          <w:color w:val="auto"/>
          <w:sz w:val="32"/>
          <w:szCs w:val="32"/>
          <w:highlight w:val="none"/>
        </w:rPr>
      </w:pPr>
      <w:r>
        <w:rPr>
          <w:rFonts w:hint="eastAsia" w:ascii="宋体" w:hAnsi="宋体" w:cs="宋体"/>
          <w:color w:val="auto"/>
          <w:kern w:val="0"/>
          <w:sz w:val="32"/>
          <w:szCs w:val="32"/>
          <w:highlight w:val="none"/>
        </w:rPr>
        <w:t>项目名称：</w:t>
      </w:r>
      <w:r>
        <w:rPr>
          <w:color w:val="auto"/>
          <w:sz w:val="32"/>
          <w:szCs w:val="32"/>
          <w:highlight w:val="none"/>
          <w:u w:val="single"/>
        </w:rPr>
        <w:t xml:space="preserve">                             </w:t>
      </w:r>
    </w:p>
    <w:p w14:paraId="7AB09BAE">
      <w:pPr>
        <w:adjustRightInd/>
        <w:spacing w:line="360" w:lineRule="auto"/>
        <w:ind w:left="1680" w:leftChars="800"/>
        <w:rPr>
          <w:color w:val="auto"/>
          <w:sz w:val="32"/>
          <w:szCs w:val="32"/>
          <w:highlight w:val="none"/>
          <w:u w:val="single"/>
        </w:rPr>
      </w:pPr>
      <w:r>
        <w:rPr>
          <w:rFonts w:hint="eastAsia"/>
          <w:color w:val="auto"/>
          <w:sz w:val="32"/>
          <w:szCs w:val="32"/>
          <w:highlight w:val="none"/>
        </w:rPr>
        <w:t>合同编号：</w:t>
      </w:r>
      <w:r>
        <w:rPr>
          <w:color w:val="auto"/>
          <w:sz w:val="32"/>
          <w:szCs w:val="32"/>
          <w:highlight w:val="none"/>
          <w:u w:val="single"/>
        </w:rPr>
        <w:t xml:space="preserve">                             </w:t>
      </w:r>
    </w:p>
    <w:p w14:paraId="7A584316">
      <w:pPr>
        <w:adjustRightInd/>
        <w:spacing w:line="360" w:lineRule="auto"/>
        <w:ind w:left="1680" w:leftChars="800"/>
        <w:rPr>
          <w:color w:val="auto"/>
          <w:sz w:val="32"/>
          <w:szCs w:val="32"/>
          <w:highlight w:val="none"/>
        </w:rPr>
      </w:pPr>
      <w:r>
        <w:rPr>
          <w:rFonts w:hint="eastAsia"/>
          <w:color w:val="auto"/>
          <w:sz w:val="32"/>
          <w:szCs w:val="32"/>
          <w:highlight w:val="none"/>
        </w:rPr>
        <w:t>甲</w:t>
      </w:r>
      <w:r>
        <w:rPr>
          <w:color w:val="auto"/>
          <w:sz w:val="32"/>
          <w:szCs w:val="32"/>
          <w:highlight w:val="none"/>
        </w:rPr>
        <w:t xml:space="preserve">    </w:t>
      </w:r>
      <w:r>
        <w:rPr>
          <w:rFonts w:hint="eastAsia"/>
          <w:color w:val="auto"/>
          <w:sz w:val="32"/>
          <w:szCs w:val="32"/>
          <w:highlight w:val="none"/>
        </w:rPr>
        <w:t>方：</w:t>
      </w:r>
      <w:r>
        <w:rPr>
          <w:color w:val="auto"/>
          <w:sz w:val="32"/>
          <w:szCs w:val="32"/>
          <w:highlight w:val="none"/>
          <w:u w:val="single"/>
        </w:rPr>
        <w:t xml:space="preserve">                             </w:t>
      </w:r>
    </w:p>
    <w:p w14:paraId="31FAF6DA">
      <w:pPr>
        <w:adjustRightInd/>
        <w:spacing w:line="360" w:lineRule="auto"/>
        <w:ind w:left="1680" w:leftChars="800"/>
        <w:rPr>
          <w:color w:val="auto"/>
          <w:sz w:val="32"/>
          <w:szCs w:val="32"/>
          <w:highlight w:val="none"/>
          <w:u w:val="single"/>
        </w:rPr>
      </w:pPr>
      <w:r>
        <w:rPr>
          <w:rFonts w:hint="eastAsia"/>
          <w:color w:val="auto"/>
          <w:sz w:val="32"/>
          <w:szCs w:val="32"/>
          <w:highlight w:val="none"/>
        </w:rPr>
        <w:t>乙</w:t>
      </w:r>
      <w:r>
        <w:rPr>
          <w:color w:val="auto"/>
          <w:sz w:val="32"/>
          <w:szCs w:val="32"/>
          <w:highlight w:val="none"/>
        </w:rPr>
        <w:t xml:space="preserve">    </w:t>
      </w:r>
      <w:r>
        <w:rPr>
          <w:rFonts w:hint="eastAsia"/>
          <w:color w:val="auto"/>
          <w:sz w:val="32"/>
          <w:szCs w:val="32"/>
          <w:highlight w:val="none"/>
        </w:rPr>
        <w:t>方：</w:t>
      </w:r>
      <w:r>
        <w:rPr>
          <w:color w:val="auto"/>
          <w:sz w:val="32"/>
          <w:szCs w:val="32"/>
          <w:highlight w:val="none"/>
          <w:u w:val="single"/>
        </w:rPr>
        <w:t xml:space="preserve">                             </w:t>
      </w:r>
    </w:p>
    <w:p w14:paraId="3A5F780D">
      <w:pPr>
        <w:adjustRightInd/>
        <w:spacing w:line="360" w:lineRule="auto"/>
        <w:ind w:left="1680" w:leftChars="800"/>
        <w:rPr>
          <w:color w:val="auto"/>
          <w:sz w:val="32"/>
          <w:szCs w:val="32"/>
          <w:highlight w:val="none"/>
        </w:rPr>
      </w:pPr>
      <w:r>
        <w:rPr>
          <w:rFonts w:hint="eastAsia"/>
          <w:color w:val="auto"/>
          <w:sz w:val="32"/>
          <w:szCs w:val="32"/>
          <w:highlight w:val="none"/>
        </w:rPr>
        <w:t>签订时间：</w:t>
      </w:r>
      <w:r>
        <w:rPr>
          <w:color w:val="auto"/>
          <w:sz w:val="32"/>
          <w:szCs w:val="32"/>
          <w:highlight w:val="none"/>
          <w:u w:val="single"/>
        </w:rPr>
        <w:t xml:space="preserve">                             </w:t>
      </w:r>
    </w:p>
    <w:p w14:paraId="504AF4D0">
      <w:pPr>
        <w:adjustRightInd/>
        <w:rPr>
          <w:color w:val="auto"/>
          <w:highlight w:val="none"/>
        </w:rPr>
      </w:pPr>
    </w:p>
    <w:p w14:paraId="7C1A86E1">
      <w:pPr>
        <w:adjustRightInd/>
        <w:jc w:val="center"/>
        <w:outlineLvl w:val="1"/>
        <w:rPr>
          <w:rFonts w:ascii="黑体" w:hAnsi="黑体" w:eastAsia="黑体"/>
          <w:color w:val="auto"/>
          <w:sz w:val="28"/>
          <w:szCs w:val="28"/>
          <w:highlight w:val="none"/>
        </w:rPr>
      </w:pPr>
      <w:r>
        <w:rPr>
          <w:rFonts w:eastAsia="黑体"/>
          <w:color w:val="auto"/>
          <w:sz w:val="44"/>
          <w:szCs w:val="44"/>
          <w:highlight w:val="none"/>
        </w:rPr>
        <w:br w:type="page"/>
      </w:r>
      <w:bookmarkEnd w:id="76"/>
      <w:r>
        <w:rPr>
          <w:rFonts w:hint="eastAsia" w:ascii="黑体" w:hAnsi="黑体" w:eastAsia="黑体"/>
          <w:color w:val="auto"/>
          <w:sz w:val="28"/>
          <w:szCs w:val="28"/>
          <w:highlight w:val="none"/>
        </w:rPr>
        <w:t>第一节 政府采购合同协议书</w:t>
      </w:r>
    </w:p>
    <w:p w14:paraId="12171D59">
      <w:pPr>
        <w:pStyle w:val="631"/>
        <w:rPr>
          <w:color w:val="auto"/>
          <w:highlight w:val="none"/>
        </w:rPr>
      </w:pPr>
    </w:p>
    <w:p w14:paraId="41508F87">
      <w:pPr>
        <w:pStyle w:val="631"/>
        <w:ind w:firstLine="0"/>
        <w:rPr>
          <w:color w:val="auto"/>
          <w:sz w:val="21"/>
          <w:szCs w:val="21"/>
          <w:highlight w:val="none"/>
        </w:rPr>
      </w:pPr>
      <w:r>
        <w:rPr>
          <w:rFonts w:hint="eastAsia"/>
          <w:color w:val="auto"/>
          <w:sz w:val="21"/>
          <w:szCs w:val="21"/>
          <w:highlight w:val="none"/>
        </w:rPr>
        <w:t>甲方（全称）：</w:t>
      </w:r>
      <w:r>
        <w:rPr>
          <w:rFonts w:hint="eastAsia"/>
          <w:color w:val="auto"/>
          <w:sz w:val="21"/>
          <w:szCs w:val="21"/>
          <w:highlight w:val="none"/>
          <w:u w:val="single"/>
        </w:rPr>
        <w:t xml:space="preserve">                        </w:t>
      </w:r>
      <w:r>
        <w:rPr>
          <w:rFonts w:hint="eastAsia"/>
          <w:color w:val="auto"/>
          <w:sz w:val="21"/>
          <w:szCs w:val="21"/>
          <w:highlight w:val="none"/>
        </w:rPr>
        <w:t>（采购人）</w:t>
      </w:r>
    </w:p>
    <w:p w14:paraId="457AD325">
      <w:pPr>
        <w:pStyle w:val="631"/>
        <w:ind w:firstLine="0"/>
        <w:rPr>
          <w:color w:val="auto"/>
          <w:sz w:val="21"/>
          <w:szCs w:val="21"/>
          <w:highlight w:val="none"/>
        </w:rPr>
      </w:pPr>
      <w:r>
        <w:rPr>
          <w:rFonts w:hint="eastAsia"/>
          <w:color w:val="auto"/>
          <w:sz w:val="21"/>
          <w:szCs w:val="21"/>
          <w:highlight w:val="none"/>
        </w:rPr>
        <w:t>乙方（全称）：</w:t>
      </w:r>
      <w:r>
        <w:rPr>
          <w:rFonts w:hint="eastAsia"/>
          <w:color w:val="auto"/>
          <w:sz w:val="21"/>
          <w:szCs w:val="21"/>
          <w:highlight w:val="none"/>
          <w:u w:val="single"/>
        </w:rPr>
        <w:t xml:space="preserve">                       </w:t>
      </w:r>
      <w:r>
        <w:rPr>
          <w:rFonts w:hint="eastAsia"/>
          <w:color w:val="auto"/>
          <w:sz w:val="21"/>
          <w:szCs w:val="21"/>
          <w:highlight w:val="none"/>
        </w:rPr>
        <w:t>（供应商）</w:t>
      </w:r>
    </w:p>
    <w:p w14:paraId="02A5CD34">
      <w:pPr>
        <w:adjustRightInd/>
        <w:spacing w:line="400" w:lineRule="exact"/>
        <w:rPr>
          <w:color w:val="auto"/>
          <w:sz w:val="21"/>
          <w:szCs w:val="21"/>
          <w:highlight w:val="none"/>
        </w:rPr>
      </w:pPr>
    </w:p>
    <w:p w14:paraId="264BD48D">
      <w:pPr>
        <w:pStyle w:val="631"/>
        <w:ind w:firstLine="420" w:firstLineChars="200"/>
        <w:rPr>
          <w:color w:val="auto"/>
          <w:sz w:val="21"/>
          <w:szCs w:val="21"/>
          <w:highlight w:val="none"/>
        </w:rPr>
      </w:pPr>
      <w:r>
        <w:rPr>
          <w:rFonts w:hint="eastAsia"/>
          <w:color w:val="auto"/>
          <w:sz w:val="21"/>
          <w:szCs w:val="21"/>
          <w:highlight w:val="none"/>
        </w:rPr>
        <w:t xml:space="preserve">依据《中华人民共和国民法典》、《中华人民共和国政府采购法》等有关的法律法规，以及本采购项目的谈判文件等采购文件、乙方的《响应文件》及《成交通知书》，甲乙双方同意签订本合同。具体情况及要求如下：     </w:t>
      </w:r>
    </w:p>
    <w:p w14:paraId="7CEC48FF">
      <w:pPr>
        <w:pStyle w:val="631"/>
        <w:ind w:firstLine="0"/>
        <w:rPr>
          <w:b/>
          <w:color w:val="auto"/>
          <w:sz w:val="21"/>
          <w:szCs w:val="21"/>
          <w:highlight w:val="none"/>
        </w:rPr>
      </w:pPr>
      <w:r>
        <w:rPr>
          <w:rFonts w:hint="eastAsia"/>
          <w:b/>
          <w:color w:val="auto"/>
          <w:sz w:val="21"/>
          <w:szCs w:val="21"/>
          <w:highlight w:val="none"/>
        </w:rPr>
        <w:t>1.项目信息</w:t>
      </w:r>
    </w:p>
    <w:p w14:paraId="443E35F3">
      <w:pPr>
        <w:pStyle w:val="631"/>
        <w:ind w:firstLine="420" w:firstLineChars="200"/>
        <w:rPr>
          <w:rFonts w:hint="eastAsia"/>
          <w:color w:val="auto"/>
          <w:sz w:val="21"/>
          <w:szCs w:val="21"/>
          <w:highlight w:val="none"/>
          <w:u w:val="single"/>
        </w:rPr>
      </w:pPr>
      <w:r>
        <w:rPr>
          <w:rFonts w:hint="eastAsia"/>
          <w:color w:val="auto"/>
          <w:sz w:val="21"/>
          <w:szCs w:val="21"/>
          <w:highlight w:val="none"/>
        </w:rPr>
        <w:t>（1）采购项目名称：</w:t>
      </w:r>
      <w:r>
        <w:rPr>
          <w:rFonts w:hint="eastAsia"/>
          <w:color w:val="auto"/>
          <w:sz w:val="21"/>
          <w:szCs w:val="21"/>
          <w:highlight w:val="none"/>
          <w:u w:val="single"/>
        </w:rPr>
        <w:t xml:space="preserve"> 广西壮族自治区第十六届运动会柔道、跆拳道、摔跤、拳击赛事设备设施采购项目</w:t>
      </w:r>
    </w:p>
    <w:p w14:paraId="1FED4F2F">
      <w:pPr>
        <w:pStyle w:val="631"/>
        <w:ind w:firstLine="945" w:firstLineChars="450"/>
        <w:rPr>
          <w:color w:val="auto"/>
          <w:sz w:val="21"/>
          <w:szCs w:val="21"/>
          <w:highlight w:val="none"/>
        </w:rPr>
      </w:pPr>
      <w:r>
        <w:rPr>
          <w:rFonts w:hint="eastAsia"/>
          <w:color w:val="auto"/>
          <w:sz w:val="21"/>
          <w:szCs w:val="21"/>
          <w:highlight w:val="none"/>
        </w:rPr>
        <w:t>采购项目编号：</w:t>
      </w:r>
      <w:r>
        <w:rPr>
          <w:rFonts w:hint="eastAsia"/>
          <w:color w:val="auto"/>
          <w:sz w:val="21"/>
          <w:szCs w:val="21"/>
          <w:highlight w:val="none"/>
          <w:u w:val="single"/>
        </w:rPr>
        <w:t xml:space="preserve">                                          </w:t>
      </w:r>
    </w:p>
    <w:p w14:paraId="1D44F321">
      <w:pPr>
        <w:pStyle w:val="631"/>
        <w:ind w:firstLine="420" w:firstLineChars="200"/>
        <w:rPr>
          <w:color w:val="auto"/>
          <w:sz w:val="21"/>
          <w:szCs w:val="21"/>
          <w:highlight w:val="none"/>
        </w:rPr>
      </w:pPr>
      <w:r>
        <w:rPr>
          <w:rFonts w:hint="eastAsia"/>
          <w:color w:val="auto"/>
          <w:sz w:val="21"/>
          <w:szCs w:val="21"/>
          <w:highlight w:val="none"/>
        </w:rPr>
        <w:t>（2）采购计划编号：</w:t>
      </w:r>
      <w:r>
        <w:rPr>
          <w:rFonts w:hint="eastAsia"/>
          <w:color w:val="auto"/>
          <w:sz w:val="21"/>
          <w:szCs w:val="21"/>
          <w:highlight w:val="none"/>
          <w:u w:val="single"/>
        </w:rPr>
        <w:t xml:space="preserve">                                          </w:t>
      </w:r>
      <w:r>
        <w:rPr>
          <w:rFonts w:hint="eastAsia"/>
          <w:color w:val="auto"/>
          <w:sz w:val="21"/>
          <w:szCs w:val="21"/>
          <w:highlight w:val="none"/>
        </w:rPr>
        <w:t xml:space="preserve"> </w:t>
      </w:r>
    </w:p>
    <w:p w14:paraId="7E009386">
      <w:pPr>
        <w:pStyle w:val="631"/>
        <w:ind w:firstLine="420" w:firstLineChars="200"/>
        <w:rPr>
          <w:rFonts w:hint="eastAsia"/>
          <w:color w:val="auto"/>
          <w:sz w:val="21"/>
          <w:szCs w:val="21"/>
          <w:highlight w:val="none"/>
        </w:rPr>
      </w:pPr>
      <w:r>
        <w:rPr>
          <w:rFonts w:hint="eastAsia"/>
          <w:color w:val="auto"/>
          <w:sz w:val="21"/>
          <w:szCs w:val="21"/>
          <w:highlight w:val="none"/>
        </w:rPr>
        <w:t>（3）项目内容：本项目为广西壮族自治区第十六届运动会柔道、跆拳道、摔跤、拳击四项赛事提供全套设备设施供货、定制生产、运输装卸、现场安装铺设、调试校准、赛前试运行、赛事全程保障、人员培训、质保期售后服务等全部工作</w:t>
      </w:r>
      <w:r>
        <w:rPr>
          <w:rFonts w:hint="eastAsia"/>
          <w:color w:val="auto"/>
          <w:sz w:val="21"/>
          <w:szCs w:val="21"/>
          <w:highlight w:val="none"/>
          <w:lang w:eastAsia="zh-CN"/>
        </w:rPr>
        <w:t>。</w:t>
      </w:r>
      <w:r>
        <w:rPr>
          <w:rFonts w:hint="eastAsia"/>
          <w:color w:val="auto"/>
          <w:sz w:val="21"/>
          <w:szCs w:val="21"/>
          <w:highlight w:val="none"/>
        </w:rPr>
        <w:t>采购标的、规格参数、材质性能、技术标准、赛事适配要求严格按照采购需求及乙方响应承诺执行</w:t>
      </w:r>
      <w:r>
        <w:rPr>
          <w:rFonts w:hint="eastAsia"/>
          <w:color w:val="auto"/>
          <w:sz w:val="21"/>
          <w:szCs w:val="21"/>
          <w:highlight w:val="none"/>
          <w:lang w:eastAsia="zh-CN"/>
        </w:rPr>
        <w:t>。</w:t>
      </w:r>
      <w:r>
        <w:rPr>
          <w:rFonts w:hint="eastAsia"/>
          <w:color w:val="auto"/>
          <w:sz w:val="21"/>
          <w:szCs w:val="21"/>
          <w:highlight w:val="none"/>
        </w:rPr>
        <w:t>核心产品为比赛垫子(含保护区）（柔道项目）。具体采购清单、技术参数、质量标准详见本合同附件及采购需求全文。</w:t>
      </w:r>
    </w:p>
    <w:p w14:paraId="766FF8E9">
      <w:pPr>
        <w:pStyle w:val="631"/>
        <w:ind w:firstLine="420" w:firstLineChars="200"/>
        <w:rPr>
          <w:rFonts w:cs="宋体"/>
          <w:color w:val="auto"/>
          <w:sz w:val="21"/>
          <w:szCs w:val="21"/>
          <w:highlight w:val="none"/>
        </w:rPr>
      </w:pPr>
      <w:r>
        <w:rPr>
          <w:rFonts w:hint="eastAsia" w:cs="宋体"/>
          <w:color w:val="auto"/>
          <w:sz w:val="21"/>
          <w:szCs w:val="21"/>
          <w:highlight w:val="none"/>
        </w:rPr>
        <w:t>（</w:t>
      </w:r>
      <w:r>
        <w:rPr>
          <w:rFonts w:hint="eastAsia" w:cs="宋体"/>
          <w:color w:val="auto"/>
          <w:sz w:val="21"/>
          <w:szCs w:val="21"/>
          <w:highlight w:val="none"/>
          <w:lang w:val="en"/>
        </w:rPr>
        <w:t>4</w:t>
      </w:r>
      <w:r>
        <w:rPr>
          <w:rFonts w:hint="eastAsia" w:cs="宋体"/>
          <w:color w:val="auto"/>
          <w:sz w:val="21"/>
          <w:szCs w:val="21"/>
          <w:highlight w:val="none"/>
        </w:rPr>
        <w:t>）政府采购组织形式：</w:t>
      </w:r>
      <w:r>
        <w:rPr>
          <w:rFonts w:cs="宋体"/>
          <w:color w:val="auto"/>
          <w:sz w:val="21"/>
          <w:szCs w:val="21"/>
          <w:highlight w:val="none"/>
        </w:rPr>
        <w:sym w:font="Wingdings" w:char="F0A8"/>
      </w:r>
      <w:r>
        <w:rPr>
          <w:rFonts w:hint="eastAsia" w:cs="宋体"/>
          <w:color w:val="auto"/>
          <w:sz w:val="21"/>
          <w:szCs w:val="21"/>
          <w:highlight w:val="none"/>
        </w:rPr>
        <w:t xml:space="preserve">政府集中采购  </w:t>
      </w:r>
      <w:r>
        <w:rPr>
          <w:rFonts w:cs="宋体"/>
          <w:color w:val="auto"/>
          <w:sz w:val="21"/>
          <w:szCs w:val="21"/>
          <w:highlight w:val="none"/>
        </w:rPr>
        <w:sym w:font="Wingdings" w:char="F0A8"/>
      </w:r>
      <w:r>
        <w:rPr>
          <w:rFonts w:hint="eastAsia" w:cs="宋体"/>
          <w:color w:val="auto"/>
          <w:sz w:val="21"/>
          <w:szCs w:val="21"/>
          <w:highlight w:val="none"/>
        </w:rPr>
        <w:t xml:space="preserve">部门集中采购  </w:t>
      </w:r>
      <w:r>
        <w:rPr>
          <w:rFonts w:cs="宋体"/>
          <w:color w:val="auto"/>
          <w:sz w:val="21"/>
          <w:szCs w:val="21"/>
          <w:highlight w:val="none"/>
        </w:rPr>
        <w:sym w:font="Wingdings" w:char="00FE"/>
      </w:r>
      <w:r>
        <w:rPr>
          <w:rFonts w:hint="eastAsia" w:cs="宋体"/>
          <w:color w:val="auto"/>
          <w:sz w:val="21"/>
          <w:szCs w:val="21"/>
          <w:highlight w:val="none"/>
        </w:rPr>
        <w:t>分散采购</w:t>
      </w:r>
    </w:p>
    <w:p w14:paraId="5CE7B37C">
      <w:pPr>
        <w:pStyle w:val="631"/>
        <w:ind w:firstLine="420" w:firstLineChars="200"/>
        <w:rPr>
          <w:rFonts w:cs="宋体"/>
          <w:color w:val="auto"/>
          <w:sz w:val="21"/>
          <w:szCs w:val="21"/>
          <w:highlight w:val="none"/>
        </w:rPr>
      </w:pPr>
      <w:r>
        <w:rPr>
          <w:rFonts w:hint="eastAsia" w:cs="宋体"/>
          <w:color w:val="auto"/>
          <w:sz w:val="21"/>
          <w:szCs w:val="21"/>
          <w:highlight w:val="none"/>
        </w:rPr>
        <w:t>（</w:t>
      </w:r>
      <w:r>
        <w:rPr>
          <w:rFonts w:hint="eastAsia" w:cs="宋体"/>
          <w:color w:val="auto"/>
          <w:sz w:val="21"/>
          <w:szCs w:val="21"/>
          <w:highlight w:val="none"/>
          <w:lang w:val="en"/>
        </w:rPr>
        <w:t>5</w:t>
      </w:r>
      <w:r>
        <w:rPr>
          <w:rFonts w:hint="eastAsia" w:cs="宋体"/>
          <w:color w:val="auto"/>
          <w:sz w:val="21"/>
          <w:szCs w:val="21"/>
          <w:highlight w:val="none"/>
        </w:rPr>
        <w:t>）政府采购方式：</w:t>
      </w:r>
      <w:r>
        <w:rPr>
          <w:rFonts w:cs="宋体"/>
          <w:color w:val="auto"/>
          <w:sz w:val="21"/>
          <w:szCs w:val="21"/>
          <w:highlight w:val="none"/>
        </w:rPr>
        <w:sym w:font="Wingdings" w:char="F0A8"/>
      </w:r>
      <w:r>
        <w:rPr>
          <w:rFonts w:hint="eastAsia" w:cs="宋体"/>
          <w:color w:val="auto"/>
          <w:sz w:val="21"/>
          <w:szCs w:val="21"/>
          <w:highlight w:val="none"/>
        </w:rPr>
        <w:t xml:space="preserve">公开招标 </w:t>
      </w:r>
      <w:r>
        <w:rPr>
          <w:rFonts w:cs="宋体"/>
          <w:color w:val="auto"/>
          <w:sz w:val="21"/>
          <w:szCs w:val="21"/>
          <w:highlight w:val="none"/>
        </w:rPr>
        <w:sym w:font="Wingdings" w:char="F0A8"/>
      </w:r>
      <w:r>
        <w:rPr>
          <w:rFonts w:hint="eastAsia" w:cs="宋体"/>
          <w:color w:val="auto"/>
          <w:sz w:val="21"/>
          <w:szCs w:val="21"/>
          <w:highlight w:val="none"/>
        </w:rPr>
        <w:t xml:space="preserve">邀请招标 </w:t>
      </w:r>
      <w:r>
        <w:rPr>
          <w:rFonts w:cs="宋体"/>
          <w:color w:val="auto"/>
          <w:sz w:val="21"/>
          <w:szCs w:val="21"/>
          <w:highlight w:val="none"/>
        </w:rPr>
        <w:sym w:font="Wingdings" w:char="00FE"/>
      </w:r>
      <w:r>
        <w:rPr>
          <w:rFonts w:hint="eastAsia" w:cs="宋体"/>
          <w:color w:val="auto"/>
          <w:sz w:val="21"/>
          <w:szCs w:val="21"/>
          <w:highlight w:val="none"/>
        </w:rPr>
        <w:t xml:space="preserve">竞争性谈判 </w:t>
      </w:r>
      <w:r>
        <w:rPr>
          <w:rFonts w:cs="宋体"/>
          <w:color w:val="auto"/>
          <w:sz w:val="21"/>
          <w:szCs w:val="21"/>
          <w:highlight w:val="none"/>
        </w:rPr>
        <w:sym w:font="Wingdings" w:char="F0A8"/>
      </w:r>
      <w:r>
        <w:rPr>
          <w:rFonts w:hint="eastAsia" w:cs="宋体"/>
          <w:color w:val="auto"/>
          <w:sz w:val="21"/>
          <w:szCs w:val="21"/>
          <w:highlight w:val="none"/>
        </w:rPr>
        <w:t>竞争性磋商</w:t>
      </w:r>
    </w:p>
    <w:p w14:paraId="6769BD1E">
      <w:pPr>
        <w:pStyle w:val="631"/>
        <w:ind w:firstLine="420" w:firstLineChars="200"/>
        <w:rPr>
          <w:rFonts w:cs="宋体"/>
          <w:color w:val="auto"/>
          <w:sz w:val="21"/>
          <w:szCs w:val="21"/>
          <w:highlight w:val="none"/>
          <w:u w:val="single"/>
        </w:rPr>
      </w:pPr>
      <w:r>
        <w:rPr>
          <w:rFonts w:hint="eastAsia" w:eastAsia="华文楷体" w:cs="宋体"/>
          <w:color w:val="auto"/>
          <w:sz w:val="21"/>
          <w:szCs w:val="21"/>
          <w:highlight w:val="none"/>
        </w:rPr>
        <w:t xml:space="preserve">                     </w:t>
      </w:r>
      <w:r>
        <w:rPr>
          <w:rFonts w:cs="宋体"/>
          <w:color w:val="auto"/>
          <w:sz w:val="21"/>
          <w:szCs w:val="21"/>
          <w:highlight w:val="none"/>
        </w:rPr>
        <w:sym w:font="Wingdings" w:char="F0A8"/>
      </w:r>
      <w:r>
        <w:rPr>
          <w:rFonts w:hint="eastAsia" w:cs="宋体"/>
          <w:color w:val="auto"/>
          <w:sz w:val="21"/>
          <w:szCs w:val="21"/>
          <w:highlight w:val="none"/>
        </w:rPr>
        <w:t xml:space="preserve">询价 </w:t>
      </w:r>
      <w:r>
        <w:rPr>
          <w:rFonts w:cs="宋体"/>
          <w:color w:val="auto"/>
          <w:sz w:val="21"/>
          <w:szCs w:val="21"/>
          <w:highlight w:val="none"/>
        </w:rPr>
        <w:sym w:font="Wingdings" w:char="F0A8"/>
      </w:r>
      <w:r>
        <w:rPr>
          <w:rFonts w:hint="eastAsia" w:cs="宋体"/>
          <w:color w:val="auto"/>
          <w:sz w:val="21"/>
          <w:szCs w:val="21"/>
          <w:highlight w:val="none"/>
        </w:rPr>
        <w:t xml:space="preserve">单一来源 </w:t>
      </w:r>
      <w:r>
        <w:rPr>
          <w:rFonts w:cs="宋体"/>
          <w:color w:val="auto"/>
          <w:sz w:val="21"/>
          <w:szCs w:val="21"/>
          <w:highlight w:val="none"/>
        </w:rPr>
        <w:sym w:font="Wingdings" w:char="F0A8"/>
      </w:r>
      <w:r>
        <w:rPr>
          <w:rFonts w:hint="eastAsia" w:cs="宋体"/>
          <w:color w:val="auto"/>
          <w:sz w:val="21"/>
          <w:szCs w:val="21"/>
          <w:highlight w:val="none"/>
        </w:rPr>
        <w:t xml:space="preserve">框架协议 </w:t>
      </w:r>
      <w:r>
        <w:rPr>
          <w:rFonts w:cs="宋体"/>
          <w:color w:val="auto"/>
          <w:sz w:val="21"/>
          <w:szCs w:val="21"/>
          <w:highlight w:val="none"/>
        </w:rPr>
        <w:sym w:font="Wingdings" w:char="F0A8"/>
      </w:r>
      <w:r>
        <w:rPr>
          <w:rFonts w:hint="eastAsia" w:cs="宋体"/>
          <w:color w:val="auto"/>
          <w:sz w:val="21"/>
          <w:szCs w:val="21"/>
          <w:highlight w:val="none"/>
        </w:rPr>
        <w:t>其他：</w:t>
      </w:r>
      <w:r>
        <w:rPr>
          <w:rFonts w:hint="eastAsia" w:cs="宋体"/>
          <w:color w:val="auto"/>
          <w:sz w:val="21"/>
          <w:szCs w:val="21"/>
          <w:highlight w:val="none"/>
          <w:u w:val="single"/>
        </w:rPr>
        <w:t xml:space="preserve">          </w:t>
      </w:r>
    </w:p>
    <w:p w14:paraId="570ABC0C">
      <w:pPr>
        <w:pStyle w:val="631"/>
        <w:ind w:firstLine="420" w:firstLineChars="200"/>
        <w:rPr>
          <w:color w:val="auto"/>
          <w:sz w:val="21"/>
          <w:szCs w:val="21"/>
          <w:highlight w:val="none"/>
        </w:rPr>
      </w:pPr>
      <w:r>
        <w:rPr>
          <w:rFonts w:hint="eastAsia" w:eastAsia="华文楷体" w:cs="华文楷体"/>
          <w:color w:val="auto"/>
          <w:sz w:val="21"/>
          <w:szCs w:val="21"/>
          <w:highlight w:val="none"/>
        </w:rPr>
        <w:t>（</w:t>
      </w:r>
      <w:r>
        <w:rPr>
          <w:rFonts w:hint="eastAsia" w:eastAsia="华文楷体" w:cs="华文楷体"/>
          <w:color w:val="auto"/>
          <w:sz w:val="21"/>
          <w:szCs w:val="21"/>
          <w:highlight w:val="none"/>
          <w:lang w:val="en"/>
        </w:rPr>
        <w:t>6</w:t>
      </w:r>
      <w:r>
        <w:rPr>
          <w:rFonts w:hint="eastAsia" w:eastAsia="华文楷体" w:cs="华文楷体"/>
          <w:color w:val="auto"/>
          <w:sz w:val="21"/>
          <w:szCs w:val="21"/>
          <w:highlight w:val="none"/>
        </w:rPr>
        <w:t>）</w:t>
      </w:r>
      <w:r>
        <w:rPr>
          <w:rFonts w:hint="eastAsia"/>
          <w:color w:val="auto"/>
          <w:sz w:val="21"/>
          <w:szCs w:val="21"/>
          <w:highlight w:val="none"/>
        </w:rPr>
        <w:t>中标（成交）采购标的制造商是否为中小企业：</w:t>
      </w:r>
      <w:r>
        <w:rPr>
          <w:color w:val="auto"/>
          <w:sz w:val="21"/>
          <w:szCs w:val="21"/>
          <w:highlight w:val="none"/>
        </w:rPr>
        <w:sym w:font="Wingdings" w:char="F0A8"/>
      </w:r>
      <w:r>
        <w:rPr>
          <w:rFonts w:hint="eastAsia"/>
          <w:color w:val="auto"/>
          <w:sz w:val="21"/>
          <w:szCs w:val="21"/>
          <w:highlight w:val="none"/>
        </w:rPr>
        <w:t xml:space="preserve">是      </w:t>
      </w:r>
      <w:r>
        <w:rPr>
          <w:color w:val="auto"/>
          <w:sz w:val="21"/>
          <w:szCs w:val="21"/>
          <w:highlight w:val="none"/>
        </w:rPr>
        <w:sym w:font="Wingdings" w:char="00A8"/>
      </w:r>
      <w:r>
        <w:rPr>
          <w:rFonts w:hint="eastAsia"/>
          <w:color w:val="auto"/>
          <w:sz w:val="21"/>
          <w:szCs w:val="21"/>
          <w:highlight w:val="none"/>
        </w:rPr>
        <w:t>否</w:t>
      </w:r>
    </w:p>
    <w:p w14:paraId="49EFAFA0">
      <w:pPr>
        <w:pStyle w:val="631"/>
        <w:ind w:firstLine="420" w:firstLineChars="200"/>
        <w:rPr>
          <w:iCs/>
          <w:color w:val="auto"/>
          <w:sz w:val="21"/>
          <w:szCs w:val="21"/>
          <w:highlight w:val="none"/>
        </w:rPr>
      </w:pPr>
      <w:r>
        <w:rPr>
          <w:rFonts w:hint="eastAsia"/>
          <w:color w:val="auto"/>
          <w:sz w:val="21"/>
          <w:szCs w:val="21"/>
          <w:highlight w:val="none"/>
        </w:rPr>
        <w:t>本合同是否为专门面向中小企业的采购合同（中小企业预留合同）：</w:t>
      </w:r>
      <w:r>
        <w:rPr>
          <w:iCs/>
          <w:color w:val="auto"/>
          <w:sz w:val="21"/>
          <w:szCs w:val="21"/>
          <w:highlight w:val="none"/>
        </w:rPr>
        <w:sym w:font="Wingdings" w:char="F0A8"/>
      </w:r>
      <w:r>
        <w:rPr>
          <w:rFonts w:hint="eastAsia"/>
          <w:iCs/>
          <w:color w:val="auto"/>
          <w:sz w:val="21"/>
          <w:szCs w:val="21"/>
          <w:highlight w:val="none"/>
        </w:rPr>
        <w:t xml:space="preserve">是    </w:t>
      </w:r>
      <w:r>
        <w:rPr>
          <w:iCs/>
          <w:color w:val="auto"/>
          <w:sz w:val="21"/>
          <w:szCs w:val="21"/>
          <w:highlight w:val="none"/>
        </w:rPr>
        <w:sym w:font="Wingdings" w:char="00FE"/>
      </w:r>
      <w:r>
        <w:rPr>
          <w:rFonts w:hint="eastAsia"/>
          <w:iCs/>
          <w:color w:val="auto"/>
          <w:sz w:val="21"/>
          <w:szCs w:val="21"/>
          <w:highlight w:val="none"/>
        </w:rPr>
        <w:t>否</w:t>
      </w:r>
    </w:p>
    <w:p w14:paraId="75E40722">
      <w:pPr>
        <w:pStyle w:val="631"/>
        <w:ind w:firstLine="420" w:firstLineChars="200"/>
        <w:rPr>
          <w:iCs/>
          <w:color w:val="auto"/>
          <w:sz w:val="21"/>
          <w:szCs w:val="21"/>
          <w:highlight w:val="none"/>
        </w:rPr>
      </w:pPr>
      <w:r>
        <w:rPr>
          <w:rFonts w:hint="eastAsia"/>
          <w:color w:val="auto"/>
          <w:sz w:val="21"/>
          <w:szCs w:val="21"/>
          <w:highlight w:val="none"/>
        </w:rPr>
        <w:t>若本项目不专门面向中小企业采购，是否给予小微企业评审优惠：</w:t>
      </w:r>
      <w:r>
        <w:rPr>
          <w:iCs/>
          <w:color w:val="auto"/>
          <w:sz w:val="21"/>
          <w:szCs w:val="21"/>
          <w:highlight w:val="none"/>
        </w:rPr>
        <w:sym w:font="Wingdings" w:char="00FE"/>
      </w:r>
      <w:r>
        <w:rPr>
          <w:rFonts w:hint="eastAsia"/>
          <w:iCs/>
          <w:color w:val="auto"/>
          <w:sz w:val="21"/>
          <w:szCs w:val="21"/>
          <w:highlight w:val="none"/>
        </w:rPr>
        <w:t xml:space="preserve">是   </w:t>
      </w:r>
      <w:r>
        <w:rPr>
          <w:iCs/>
          <w:color w:val="auto"/>
          <w:sz w:val="21"/>
          <w:szCs w:val="21"/>
          <w:highlight w:val="none"/>
        </w:rPr>
        <w:sym w:font="Wingdings" w:char="F0A8"/>
      </w:r>
      <w:r>
        <w:rPr>
          <w:rFonts w:hint="eastAsia"/>
          <w:iCs/>
          <w:color w:val="auto"/>
          <w:sz w:val="21"/>
          <w:szCs w:val="21"/>
          <w:highlight w:val="none"/>
        </w:rPr>
        <w:t>否</w:t>
      </w:r>
    </w:p>
    <w:p w14:paraId="7CC59DC7">
      <w:pPr>
        <w:pStyle w:val="631"/>
        <w:ind w:firstLine="420" w:firstLineChars="200"/>
        <w:rPr>
          <w:iCs/>
          <w:color w:val="auto"/>
          <w:sz w:val="21"/>
          <w:szCs w:val="21"/>
          <w:highlight w:val="none"/>
        </w:rPr>
      </w:pPr>
      <w:r>
        <w:rPr>
          <w:rFonts w:hint="eastAsia"/>
          <w:color w:val="auto"/>
          <w:sz w:val="21"/>
          <w:szCs w:val="21"/>
          <w:highlight w:val="none"/>
        </w:rPr>
        <w:t>中标（成交）采购标的制造商是否为残疾人福利性单位：</w:t>
      </w:r>
      <w:r>
        <w:rPr>
          <w:iCs/>
          <w:color w:val="auto"/>
          <w:sz w:val="21"/>
          <w:szCs w:val="21"/>
          <w:highlight w:val="none"/>
        </w:rPr>
        <w:sym w:font="Wingdings" w:char="F0A8"/>
      </w:r>
      <w:r>
        <w:rPr>
          <w:rFonts w:hint="eastAsia"/>
          <w:iCs/>
          <w:color w:val="auto"/>
          <w:sz w:val="21"/>
          <w:szCs w:val="21"/>
          <w:highlight w:val="none"/>
        </w:rPr>
        <w:t xml:space="preserve">是   </w:t>
      </w:r>
      <w:r>
        <w:rPr>
          <w:iCs/>
          <w:color w:val="auto"/>
          <w:sz w:val="21"/>
          <w:szCs w:val="21"/>
          <w:highlight w:val="none"/>
        </w:rPr>
        <w:sym w:font="Wingdings" w:char="F0A8"/>
      </w:r>
      <w:r>
        <w:rPr>
          <w:rFonts w:hint="eastAsia"/>
          <w:iCs/>
          <w:color w:val="auto"/>
          <w:sz w:val="21"/>
          <w:szCs w:val="21"/>
          <w:highlight w:val="none"/>
        </w:rPr>
        <w:t>否</w:t>
      </w:r>
    </w:p>
    <w:p w14:paraId="6D5B4DD0">
      <w:pPr>
        <w:pStyle w:val="631"/>
        <w:ind w:firstLine="420" w:firstLineChars="200"/>
        <w:rPr>
          <w:color w:val="auto"/>
          <w:sz w:val="21"/>
          <w:szCs w:val="21"/>
          <w:highlight w:val="none"/>
        </w:rPr>
      </w:pPr>
      <w:r>
        <w:rPr>
          <w:rFonts w:hint="eastAsia"/>
          <w:color w:val="auto"/>
          <w:sz w:val="21"/>
          <w:szCs w:val="21"/>
          <w:highlight w:val="none"/>
        </w:rPr>
        <w:t>中标（成交）采购标的制造商是否为监狱企业：</w:t>
      </w:r>
      <w:r>
        <w:rPr>
          <w:iCs/>
          <w:color w:val="auto"/>
          <w:sz w:val="21"/>
          <w:szCs w:val="21"/>
          <w:highlight w:val="none"/>
        </w:rPr>
        <w:sym w:font="Wingdings" w:char="F0A8"/>
      </w:r>
      <w:r>
        <w:rPr>
          <w:rFonts w:hint="eastAsia"/>
          <w:iCs/>
          <w:color w:val="auto"/>
          <w:sz w:val="21"/>
          <w:szCs w:val="21"/>
          <w:highlight w:val="none"/>
        </w:rPr>
        <w:t xml:space="preserve">是       </w:t>
      </w:r>
      <w:r>
        <w:rPr>
          <w:iCs/>
          <w:color w:val="auto"/>
          <w:sz w:val="21"/>
          <w:szCs w:val="21"/>
          <w:highlight w:val="none"/>
        </w:rPr>
        <w:sym w:font="Wingdings" w:char="F0A8"/>
      </w:r>
      <w:r>
        <w:rPr>
          <w:rFonts w:hint="eastAsia"/>
          <w:iCs/>
          <w:color w:val="auto"/>
          <w:sz w:val="21"/>
          <w:szCs w:val="21"/>
          <w:highlight w:val="none"/>
        </w:rPr>
        <w:t>否</w:t>
      </w:r>
    </w:p>
    <w:p w14:paraId="1BDD7464">
      <w:pPr>
        <w:pStyle w:val="631"/>
        <w:ind w:firstLine="420" w:firstLineChars="200"/>
        <w:rPr>
          <w:color w:val="auto"/>
          <w:sz w:val="21"/>
          <w:szCs w:val="21"/>
          <w:highlight w:val="none"/>
        </w:rPr>
      </w:pPr>
      <w:r>
        <w:rPr>
          <w:rFonts w:hint="eastAsia"/>
          <w:color w:val="auto"/>
          <w:sz w:val="21"/>
          <w:szCs w:val="21"/>
          <w:highlight w:val="none"/>
        </w:rPr>
        <w:t>（</w:t>
      </w:r>
      <w:r>
        <w:rPr>
          <w:rFonts w:hint="eastAsia"/>
          <w:color w:val="auto"/>
          <w:sz w:val="21"/>
          <w:szCs w:val="21"/>
          <w:highlight w:val="none"/>
          <w:lang w:val="en"/>
        </w:rPr>
        <w:t>7</w:t>
      </w:r>
      <w:r>
        <w:rPr>
          <w:rFonts w:hint="eastAsia"/>
          <w:color w:val="auto"/>
          <w:sz w:val="21"/>
          <w:szCs w:val="21"/>
          <w:highlight w:val="none"/>
        </w:rPr>
        <w:t>）合同是否分包：</w:t>
      </w:r>
      <w:r>
        <w:rPr>
          <w:iCs/>
          <w:color w:val="auto"/>
          <w:sz w:val="21"/>
          <w:szCs w:val="21"/>
          <w:highlight w:val="none"/>
        </w:rPr>
        <w:sym w:font="Wingdings" w:char="F0A8"/>
      </w:r>
      <w:r>
        <w:rPr>
          <w:rFonts w:hint="eastAsia"/>
          <w:iCs/>
          <w:color w:val="auto"/>
          <w:sz w:val="21"/>
          <w:szCs w:val="21"/>
          <w:highlight w:val="none"/>
        </w:rPr>
        <w:t xml:space="preserve">是       </w:t>
      </w:r>
      <w:r>
        <w:rPr>
          <w:iCs/>
          <w:color w:val="auto"/>
          <w:sz w:val="21"/>
          <w:szCs w:val="21"/>
          <w:highlight w:val="none"/>
        </w:rPr>
        <w:sym w:font="Wingdings" w:char="00FE"/>
      </w:r>
      <w:r>
        <w:rPr>
          <w:rFonts w:hint="eastAsia"/>
          <w:iCs/>
          <w:color w:val="auto"/>
          <w:sz w:val="21"/>
          <w:szCs w:val="21"/>
          <w:highlight w:val="none"/>
        </w:rPr>
        <w:t>否</w:t>
      </w:r>
    </w:p>
    <w:p w14:paraId="23AB753A">
      <w:pPr>
        <w:pStyle w:val="631"/>
        <w:ind w:firstLine="420" w:firstLineChars="200"/>
        <w:rPr>
          <w:rFonts w:hint="eastAsia" w:cs="宋体"/>
          <w:color w:val="auto"/>
          <w:sz w:val="21"/>
          <w:szCs w:val="21"/>
          <w:highlight w:val="none"/>
        </w:rPr>
      </w:pPr>
      <w:r>
        <w:rPr>
          <w:rFonts w:hint="eastAsia" w:cs="宋体"/>
          <w:color w:val="auto"/>
          <w:sz w:val="21"/>
          <w:szCs w:val="21"/>
          <w:highlight w:val="none"/>
        </w:rPr>
        <w:t>本项目严禁转包、违法分包、挂靠履约，一经查实，甲方有权单方解除合同、追究全部违约责任。</w:t>
      </w:r>
    </w:p>
    <w:p w14:paraId="324A184A">
      <w:pPr>
        <w:pStyle w:val="631"/>
        <w:ind w:firstLine="420" w:firstLineChars="200"/>
        <w:rPr>
          <w:rFonts w:cs="宋体"/>
          <w:iCs/>
          <w:color w:val="auto"/>
          <w:sz w:val="21"/>
          <w:szCs w:val="21"/>
          <w:highlight w:val="none"/>
        </w:rPr>
      </w:pPr>
      <w:r>
        <w:rPr>
          <w:rFonts w:hint="eastAsia" w:cs="宋体"/>
          <w:color w:val="auto"/>
          <w:sz w:val="21"/>
          <w:szCs w:val="21"/>
          <w:highlight w:val="none"/>
        </w:rPr>
        <w:t>（</w:t>
      </w:r>
      <w:r>
        <w:rPr>
          <w:rFonts w:hint="eastAsia" w:cs="宋体"/>
          <w:color w:val="auto"/>
          <w:sz w:val="21"/>
          <w:szCs w:val="21"/>
          <w:highlight w:val="none"/>
          <w:lang w:val="en"/>
        </w:rPr>
        <w:t>8</w:t>
      </w:r>
      <w:r>
        <w:rPr>
          <w:rFonts w:hint="eastAsia" w:cs="宋体"/>
          <w:color w:val="auto"/>
          <w:sz w:val="21"/>
          <w:szCs w:val="21"/>
          <w:highlight w:val="none"/>
        </w:rPr>
        <w:t>）中标（成交）供应商是否为外商投资企业：</w:t>
      </w:r>
      <w:r>
        <w:rPr>
          <w:rFonts w:cs="宋体"/>
          <w:iCs/>
          <w:color w:val="auto"/>
          <w:sz w:val="21"/>
          <w:szCs w:val="21"/>
          <w:highlight w:val="none"/>
        </w:rPr>
        <w:sym w:font="Wingdings" w:char="F0A8"/>
      </w:r>
      <w:r>
        <w:rPr>
          <w:rFonts w:hint="eastAsia" w:cs="宋体"/>
          <w:iCs/>
          <w:color w:val="auto"/>
          <w:sz w:val="21"/>
          <w:szCs w:val="21"/>
          <w:highlight w:val="none"/>
        </w:rPr>
        <w:t xml:space="preserve">是       </w:t>
      </w:r>
      <w:r>
        <w:rPr>
          <w:rFonts w:cs="宋体"/>
          <w:iCs/>
          <w:color w:val="auto"/>
          <w:sz w:val="21"/>
          <w:szCs w:val="21"/>
          <w:highlight w:val="none"/>
        </w:rPr>
        <w:sym w:font="Wingdings" w:char="F0A8"/>
      </w:r>
      <w:r>
        <w:rPr>
          <w:rFonts w:hint="eastAsia" w:cs="宋体"/>
          <w:iCs/>
          <w:color w:val="auto"/>
          <w:sz w:val="21"/>
          <w:szCs w:val="21"/>
          <w:highlight w:val="none"/>
        </w:rPr>
        <w:t>否</w:t>
      </w:r>
    </w:p>
    <w:p w14:paraId="5C42226E">
      <w:pPr>
        <w:pStyle w:val="631"/>
        <w:ind w:firstLine="420" w:firstLineChars="200"/>
        <w:rPr>
          <w:rFonts w:cs="宋体"/>
          <w:color w:val="auto"/>
          <w:sz w:val="21"/>
          <w:szCs w:val="21"/>
          <w:highlight w:val="none"/>
          <w:u w:val="single"/>
        </w:rPr>
      </w:pPr>
      <w:r>
        <w:rPr>
          <w:rFonts w:hint="eastAsia" w:cs="宋体"/>
          <w:color w:val="auto"/>
          <w:sz w:val="21"/>
          <w:szCs w:val="21"/>
          <w:highlight w:val="none"/>
        </w:rPr>
        <w:t xml:space="preserve">     外商投资企业类型：</w:t>
      </w:r>
      <w:r>
        <w:rPr>
          <w:rFonts w:cs="宋体"/>
          <w:iCs/>
          <w:color w:val="auto"/>
          <w:sz w:val="21"/>
          <w:szCs w:val="21"/>
          <w:highlight w:val="none"/>
        </w:rPr>
        <w:sym w:font="Wingdings" w:char="F0A8"/>
      </w:r>
      <w:r>
        <w:rPr>
          <w:rFonts w:hint="eastAsia" w:cs="宋体"/>
          <w:color w:val="auto"/>
          <w:sz w:val="21"/>
          <w:szCs w:val="21"/>
          <w:highlight w:val="none"/>
        </w:rPr>
        <w:t xml:space="preserve">全部由外国投资者投资  </w:t>
      </w:r>
      <w:r>
        <w:rPr>
          <w:rFonts w:cs="宋体"/>
          <w:iCs/>
          <w:color w:val="auto"/>
          <w:sz w:val="21"/>
          <w:szCs w:val="21"/>
          <w:highlight w:val="none"/>
        </w:rPr>
        <w:sym w:font="Wingdings" w:char="F0A8"/>
      </w:r>
      <w:r>
        <w:rPr>
          <w:rFonts w:hint="eastAsia" w:cs="宋体"/>
          <w:iCs/>
          <w:color w:val="auto"/>
          <w:sz w:val="21"/>
          <w:szCs w:val="21"/>
          <w:highlight w:val="none"/>
        </w:rPr>
        <w:t>部分由外国投资者投资</w:t>
      </w:r>
    </w:p>
    <w:p w14:paraId="42961FAF">
      <w:pPr>
        <w:pStyle w:val="631"/>
        <w:ind w:firstLine="420" w:firstLineChars="200"/>
        <w:rPr>
          <w:rFonts w:cs="宋体"/>
          <w:color w:val="auto"/>
          <w:sz w:val="21"/>
          <w:szCs w:val="21"/>
          <w:highlight w:val="none"/>
        </w:rPr>
      </w:pPr>
      <w:r>
        <w:rPr>
          <w:rFonts w:hint="eastAsia" w:cs="宋体"/>
          <w:color w:val="auto"/>
          <w:sz w:val="21"/>
          <w:szCs w:val="21"/>
          <w:highlight w:val="none"/>
        </w:rPr>
        <w:t>（</w:t>
      </w:r>
      <w:r>
        <w:rPr>
          <w:rFonts w:hint="eastAsia" w:cs="宋体"/>
          <w:color w:val="auto"/>
          <w:sz w:val="21"/>
          <w:szCs w:val="21"/>
          <w:highlight w:val="none"/>
          <w:lang w:val="en"/>
        </w:rPr>
        <w:t>9</w:t>
      </w:r>
      <w:r>
        <w:rPr>
          <w:rFonts w:hint="eastAsia" w:cs="宋体"/>
          <w:color w:val="auto"/>
          <w:sz w:val="21"/>
          <w:szCs w:val="21"/>
          <w:highlight w:val="none"/>
        </w:rPr>
        <w:t>）是否涉及进口产品：</w:t>
      </w:r>
    </w:p>
    <w:p w14:paraId="62281BE7">
      <w:pPr>
        <w:pStyle w:val="631"/>
        <w:ind w:firstLine="420" w:firstLineChars="200"/>
        <w:rPr>
          <w:rFonts w:cs="宋体"/>
          <w:color w:val="auto"/>
          <w:sz w:val="21"/>
          <w:szCs w:val="21"/>
          <w:highlight w:val="none"/>
          <w:u w:val="single"/>
        </w:rPr>
      </w:pPr>
      <w:r>
        <w:rPr>
          <w:rFonts w:cs="宋体"/>
          <w:color w:val="auto"/>
          <w:sz w:val="21"/>
          <w:szCs w:val="21"/>
          <w:highlight w:val="none"/>
        </w:rPr>
        <w:sym w:font="Wingdings" w:char="F0A8"/>
      </w:r>
      <w:r>
        <w:rPr>
          <w:rFonts w:hint="eastAsia" w:cs="宋体"/>
          <w:color w:val="auto"/>
          <w:sz w:val="21"/>
          <w:szCs w:val="21"/>
          <w:highlight w:val="none"/>
        </w:rPr>
        <w:t>是，《政府采购品目分类目录》底级品目名称：</w:t>
      </w:r>
      <w:r>
        <w:rPr>
          <w:rFonts w:hint="eastAsia" w:cs="宋体"/>
          <w:color w:val="auto"/>
          <w:sz w:val="21"/>
          <w:szCs w:val="21"/>
          <w:highlight w:val="none"/>
          <w:u w:val="single"/>
        </w:rPr>
        <w:t xml:space="preserve">         </w:t>
      </w:r>
      <w:r>
        <w:rPr>
          <w:rFonts w:hint="eastAsia" w:cs="宋体"/>
          <w:color w:val="auto"/>
          <w:sz w:val="21"/>
          <w:szCs w:val="21"/>
          <w:highlight w:val="none"/>
        </w:rPr>
        <w:t xml:space="preserve"> 金额：</w:t>
      </w:r>
      <w:r>
        <w:rPr>
          <w:rFonts w:hint="eastAsia" w:cs="宋体"/>
          <w:color w:val="auto"/>
          <w:sz w:val="21"/>
          <w:szCs w:val="21"/>
          <w:highlight w:val="none"/>
          <w:u w:val="single"/>
        </w:rPr>
        <w:t xml:space="preserve">        </w:t>
      </w:r>
    </w:p>
    <w:p w14:paraId="0FA5D833">
      <w:pPr>
        <w:pStyle w:val="631"/>
        <w:ind w:firstLine="420" w:firstLineChars="200"/>
        <w:rPr>
          <w:color w:val="auto"/>
          <w:sz w:val="21"/>
          <w:szCs w:val="21"/>
          <w:highlight w:val="none"/>
        </w:rPr>
      </w:pPr>
      <w:r>
        <w:rPr>
          <w:rFonts w:hint="eastAsia" w:cs="宋体"/>
          <w:color w:val="auto"/>
          <w:sz w:val="21"/>
          <w:szCs w:val="21"/>
          <w:highlight w:val="none"/>
        </w:rPr>
        <w:t xml:space="preserve">        国别：</w:t>
      </w:r>
      <w:r>
        <w:rPr>
          <w:rFonts w:hint="eastAsia" w:cs="宋体"/>
          <w:color w:val="auto"/>
          <w:sz w:val="21"/>
          <w:szCs w:val="21"/>
          <w:highlight w:val="none"/>
          <w:u w:val="single"/>
        </w:rPr>
        <w:t xml:space="preserve">        </w:t>
      </w:r>
      <w:r>
        <w:rPr>
          <w:rFonts w:hint="eastAsia" w:cs="宋体"/>
          <w:color w:val="auto"/>
          <w:sz w:val="21"/>
          <w:szCs w:val="21"/>
          <w:highlight w:val="none"/>
        </w:rPr>
        <w:t xml:space="preserve"> 品牌：</w:t>
      </w:r>
      <w:r>
        <w:rPr>
          <w:rFonts w:hint="eastAsia" w:cs="宋体"/>
          <w:color w:val="auto"/>
          <w:sz w:val="21"/>
          <w:szCs w:val="21"/>
          <w:highlight w:val="none"/>
          <w:u w:val="single"/>
        </w:rPr>
        <w:t xml:space="preserve">        </w:t>
      </w:r>
      <w:r>
        <w:rPr>
          <w:rFonts w:hint="eastAsia" w:cs="宋体"/>
          <w:color w:val="auto"/>
          <w:sz w:val="21"/>
          <w:szCs w:val="21"/>
          <w:highlight w:val="none"/>
        </w:rPr>
        <w:t xml:space="preserve"> 规格型号：</w:t>
      </w:r>
      <w:r>
        <w:rPr>
          <w:rFonts w:hint="eastAsia" w:cs="宋体"/>
          <w:color w:val="auto"/>
          <w:sz w:val="21"/>
          <w:szCs w:val="21"/>
          <w:highlight w:val="none"/>
          <w:u w:val="single"/>
        </w:rPr>
        <w:t xml:space="preserve">        </w:t>
      </w:r>
      <w:r>
        <w:rPr>
          <w:rFonts w:hint="eastAsia"/>
          <w:color w:val="auto"/>
          <w:sz w:val="21"/>
          <w:szCs w:val="21"/>
          <w:highlight w:val="none"/>
        </w:rPr>
        <w:t xml:space="preserve">      </w:t>
      </w:r>
    </w:p>
    <w:p w14:paraId="37FEC47F">
      <w:pPr>
        <w:pStyle w:val="631"/>
        <w:ind w:firstLine="420" w:firstLineChars="200"/>
        <w:rPr>
          <w:rFonts w:hint="eastAsia"/>
          <w:color w:val="auto"/>
          <w:sz w:val="21"/>
          <w:szCs w:val="21"/>
          <w:highlight w:val="none"/>
        </w:rPr>
      </w:pPr>
      <w:r>
        <w:rPr>
          <w:color w:val="auto"/>
          <w:sz w:val="21"/>
          <w:szCs w:val="21"/>
          <w:highlight w:val="none"/>
        </w:rPr>
        <w:sym w:font="Wingdings" w:char="00FE"/>
      </w:r>
      <w:r>
        <w:rPr>
          <w:rFonts w:hint="eastAsia"/>
          <w:color w:val="auto"/>
          <w:sz w:val="21"/>
          <w:szCs w:val="21"/>
          <w:highlight w:val="none"/>
        </w:rPr>
        <w:t>否</w:t>
      </w:r>
    </w:p>
    <w:p w14:paraId="0B62645F">
      <w:pPr>
        <w:pStyle w:val="631"/>
        <w:ind w:firstLine="420" w:firstLineChars="200"/>
        <w:rPr>
          <w:rFonts w:hint="eastAsia"/>
          <w:color w:val="auto"/>
          <w:sz w:val="21"/>
          <w:szCs w:val="21"/>
          <w:highlight w:val="none"/>
        </w:rPr>
      </w:pPr>
      <w:r>
        <w:rPr>
          <w:rFonts w:hint="eastAsia"/>
          <w:color w:val="auto"/>
          <w:sz w:val="21"/>
          <w:szCs w:val="21"/>
          <w:highlight w:val="none"/>
        </w:rPr>
        <w:t>本项目全部货物均为中国境内生产的本国产品，完全符合国办发〔2025〕34号本国产品认定标准，严禁提供进口产品。</w:t>
      </w:r>
    </w:p>
    <w:p w14:paraId="3F8E8EDD">
      <w:pPr>
        <w:pStyle w:val="631"/>
        <w:ind w:firstLine="420" w:firstLineChars="200"/>
        <w:rPr>
          <w:color w:val="auto"/>
          <w:sz w:val="21"/>
          <w:szCs w:val="21"/>
          <w:highlight w:val="none"/>
        </w:rPr>
      </w:pPr>
      <w:r>
        <w:rPr>
          <w:rFonts w:hint="eastAsia"/>
          <w:color w:val="auto"/>
          <w:sz w:val="21"/>
          <w:szCs w:val="21"/>
          <w:highlight w:val="none"/>
        </w:rPr>
        <w:t>（1</w:t>
      </w:r>
      <w:r>
        <w:rPr>
          <w:rFonts w:hint="eastAsia"/>
          <w:color w:val="auto"/>
          <w:sz w:val="21"/>
          <w:szCs w:val="21"/>
          <w:highlight w:val="none"/>
          <w:lang w:val="en"/>
        </w:rPr>
        <w:t>0</w:t>
      </w:r>
      <w:r>
        <w:rPr>
          <w:rFonts w:hint="eastAsia"/>
          <w:color w:val="auto"/>
          <w:sz w:val="21"/>
          <w:szCs w:val="21"/>
          <w:highlight w:val="none"/>
        </w:rPr>
        <w:t>）是否涉及节能产品：</w:t>
      </w:r>
    </w:p>
    <w:p w14:paraId="54D392A0">
      <w:pPr>
        <w:pStyle w:val="631"/>
        <w:ind w:firstLine="420" w:firstLineChars="200"/>
        <w:rPr>
          <w:rFonts w:hint="eastAsia"/>
          <w:color w:val="auto"/>
          <w:sz w:val="21"/>
          <w:szCs w:val="21"/>
          <w:highlight w:val="none"/>
        </w:rPr>
      </w:pPr>
      <w:r>
        <w:rPr>
          <w:rFonts w:hint="eastAsia"/>
          <w:color w:val="auto"/>
          <w:sz w:val="21"/>
          <w:szCs w:val="21"/>
          <w:highlight w:val="none"/>
        </w:rPr>
        <w:t>按政府采购绿色发展政策落实，优先采用节能、环保、绿色包装、绿色建材相关产品，全部货物符合环保安全国标要求。</w:t>
      </w:r>
    </w:p>
    <w:p w14:paraId="29E507DC">
      <w:pPr>
        <w:pStyle w:val="631"/>
        <w:ind w:firstLine="420" w:firstLineChars="200"/>
        <w:rPr>
          <w:color w:val="auto"/>
          <w:sz w:val="21"/>
          <w:szCs w:val="21"/>
          <w:highlight w:val="none"/>
        </w:rPr>
      </w:pPr>
      <w:r>
        <w:rPr>
          <w:rFonts w:hint="eastAsia"/>
          <w:color w:val="auto"/>
          <w:sz w:val="21"/>
          <w:szCs w:val="21"/>
          <w:highlight w:val="none"/>
        </w:rPr>
        <w:t>（1</w:t>
      </w:r>
      <w:r>
        <w:rPr>
          <w:rFonts w:hint="eastAsia"/>
          <w:color w:val="auto"/>
          <w:sz w:val="21"/>
          <w:szCs w:val="21"/>
          <w:highlight w:val="none"/>
          <w:lang w:val="en"/>
        </w:rPr>
        <w:t>1</w:t>
      </w:r>
      <w:r>
        <w:rPr>
          <w:rFonts w:hint="eastAsia"/>
          <w:color w:val="auto"/>
          <w:sz w:val="21"/>
          <w:szCs w:val="21"/>
          <w:highlight w:val="none"/>
        </w:rPr>
        <w:t>）涉及商品包装和快递包装的，是否参考《商品包装政府采购需求标准（试行）》、《快递包装政府采购需求标准（试行）》明确产品及相关快递服务的具体包装要求：</w:t>
      </w:r>
    </w:p>
    <w:p w14:paraId="62EB9BAB">
      <w:pPr>
        <w:pStyle w:val="631"/>
        <w:ind w:firstLine="420" w:firstLineChars="200"/>
        <w:rPr>
          <w:color w:val="auto"/>
          <w:sz w:val="21"/>
          <w:szCs w:val="21"/>
          <w:highlight w:val="none"/>
        </w:rPr>
      </w:pPr>
      <w:r>
        <w:rPr>
          <w:color w:val="auto"/>
          <w:sz w:val="21"/>
          <w:szCs w:val="21"/>
          <w:highlight w:val="none"/>
        </w:rPr>
        <w:sym w:font="Wingdings" w:char="F0A8"/>
      </w:r>
      <w:r>
        <w:rPr>
          <w:rFonts w:hint="eastAsia"/>
          <w:color w:val="auto"/>
          <w:sz w:val="21"/>
          <w:szCs w:val="21"/>
          <w:highlight w:val="none"/>
        </w:rPr>
        <w:t xml:space="preserve">是       </w:t>
      </w:r>
      <w:r>
        <w:rPr>
          <w:color w:val="auto"/>
          <w:sz w:val="21"/>
          <w:szCs w:val="21"/>
          <w:highlight w:val="none"/>
        </w:rPr>
        <w:sym w:font="Wingdings" w:char="F0A8"/>
      </w:r>
      <w:r>
        <w:rPr>
          <w:rFonts w:hint="eastAsia"/>
          <w:color w:val="auto"/>
          <w:sz w:val="21"/>
          <w:szCs w:val="21"/>
          <w:highlight w:val="none"/>
        </w:rPr>
        <w:t xml:space="preserve">否      </w:t>
      </w:r>
      <w:r>
        <w:rPr>
          <w:color w:val="auto"/>
          <w:sz w:val="21"/>
          <w:szCs w:val="21"/>
          <w:highlight w:val="none"/>
        </w:rPr>
        <w:sym w:font="Wingdings" w:char="00FE"/>
      </w:r>
      <w:r>
        <w:rPr>
          <w:rFonts w:hint="eastAsia"/>
          <w:color w:val="auto"/>
          <w:sz w:val="21"/>
          <w:szCs w:val="21"/>
          <w:highlight w:val="none"/>
        </w:rPr>
        <w:t>不涉及</w:t>
      </w:r>
    </w:p>
    <w:p w14:paraId="619EF3F3">
      <w:pPr>
        <w:pStyle w:val="631"/>
        <w:ind w:firstLineChars="200"/>
        <w:rPr>
          <w:b/>
          <w:color w:val="auto"/>
          <w:sz w:val="21"/>
          <w:szCs w:val="21"/>
          <w:highlight w:val="none"/>
        </w:rPr>
      </w:pPr>
      <w:r>
        <w:rPr>
          <w:rFonts w:hint="eastAsia"/>
          <w:b/>
          <w:color w:val="auto"/>
          <w:sz w:val="21"/>
          <w:szCs w:val="21"/>
          <w:highlight w:val="none"/>
        </w:rPr>
        <w:t>2.合同金额</w:t>
      </w:r>
    </w:p>
    <w:p w14:paraId="1606BD92">
      <w:pPr>
        <w:pStyle w:val="631"/>
        <w:ind w:firstLine="420" w:firstLineChars="200"/>
        <w:rPr>
          <w:color w:val="auto"/>
          <w:sz w:val="21"/>
          <w:szCs w:val="21"/>
          <w:highlight w:val="none"/>
        </w:rPr>
      </w:pPr>
      <w:r>
        <w:rPr>
          <w:rFonts w:hint="eastAsia"/>
          <w:color w:val="auto"/>
          <w:sz w:val="21"/>
          <w:szCs w:val="21"/>
          <w:highlight w:val="none"/>
        </w:rPr>
        <w:t>（1）合同金额小写：</w:t>
      </w:r>
      <w:r>
        <w:rPr>
          <w:rFonts w:hint="eastAsia"/>
          <w:color w:val="auto"/>
          <w:sz w:val="21"/>
          <w:szCs w:val="21"/>
          <w:highlight w:val="none"/>
          <w:u w:val="single"/>
        </w:rPr>
        <w:t xml:space="preserve">                           </w:t>
      </w:r>
    </w:p>
    <w:p w14:paraId="67652BE1">
      <w:pPr>
        <w:pStyle w:val="631"/>
        <w:ind w:firstLine="420" w:firstLineChars="200"/>
        <w:rPr>
          <w:color w:val="auto"/>
          <w:sz w:val="21"/>
          <w:szCs w:val="21"/>
          <w:highlight w:val="none"/>
          <w:u w:val="single"/>
        </w:rPr>
      </w:pPr>
      <w:r>
        <w:rPr>
          <w:rFonts w:hint="eastAsia"/>
          <w:color w:val="auto"/>
          <w:sz w:val="21"/>
          <w:szCs w:val="21"/>
          <w:highlight w:val="none"/>
        </w:rPr>
        <w:t xml:space="preserve">             大写：</w:t>
      </w:r>
      <w:r>
        <w:rPr>
          <w:rFonts w:hint="eastAsia"/>
          <w:color w:val="auto"/>
          <w:sz w:val="21"/>
          <w:szCs w:val="21"/>
          <w:highlight w:val="none"/>
          <w:u w:val="single"/>
        </w:rPr>
        <w:t xml:space="preserve">                           </w:t>
      </w:r>
    </w:p>
    <w:p w14:paraId="1A27469A">
      <w:pPr>
        <w:pStyle w:val="631"/>
        <w:ind w:firstLine="420" w:firstLineChars="200"/>
        <w:rPr>
          <w:color w:val="auto"/>
          <w:sz w:val="21"/>
          <w:szCs w:val="21"/>
          <w:highlight w:val="none"/>
        </w:rPr>
      </w:pPr>
      <w:r>
        <w:rPr>
          <w:rFonts w:hint="eastAsia"/>
          <w:color w:val="auto"/>
          <w:sz w:val="21"/>
          <w:szCs w:val="21"/>
          <w:highlight w:val="none"/>
        </w:rPr>
        <w:t>（2）合同定价方式（采用组合定价方式的，可以勾选多项）：</w:t>
      </w:r>
    </w:p>
    <w:p w14:paraId="4EEE8518">
      <w:pPr>
        <w:pStyle w:val="631"/>
        <w:ind w:firstLine="420" w:firstLineChars="200"/>
        <w:rPr>
          <w:color w:val="auto"/>
          <w:sz w:val="21"/>
          <w:szCs w:val="21"/>
          <w:highlight w:val="none"/>
        </w:rPr>
      </w:pPr>
      <w:r>
        <w:rPr>
          <w:iCs/>
          <w:color w:val="auto"/>
          <w:sz w:val="21"/>
          <w:szCs w:val="21"/>
          <w:highlight w:val="none"/>
        </w:rPr>
        <w:sym w:font="Wingdings" w:char="00FE"/>
      </w:r>
      <w:r>
        <w:rPr>
          <w:rFonts w:hint="eastAsia"/>
          <w:iCs/>
          <w:color w:val="auto"/>
          <w:sz w:val="21"/>
          <w:szCs w:val="21"/>
          <w:highlight w:val="none"/>
        </w:rPr>
        <w:t xml:space="preserve">固定总价 </w:t>
      </w:r>
      <w:r>
        <w:rPr>
          <w:iCs/>
          <w:color w:val="auto"/>
          <w:sz w:val="21"/>
          <w:szCs w:val="21"/>
          <w:highlight w:val="none"/>
        </w:rPr>
        <w:sym w:font="Wingdings" w:char="00A8"/>
      </w:r>
      <w:r>
        <w:rPr>
          <w:rFonts w:hint="eastAsia"/>
          <w:iCs/>
          <w:color w:val="auto"/>
          <w:sz w:val="21"/>
          <w:szCs w:val="21"/>
          <w:highlight w:val="none"/>
        </w:rPr>
        <w:t xml:space="preserve">固定单价 </w:t>
      </w:r>
      <w:r>
        <w:rPr>
          <w:iCs/>
          <w:color w:val="auto"/>
          <w:sz w:val="21"/>
          <w:szCs w:val="21"/>
          <w:highlight w:val="none"/>
        </w:rPr>
        <w:sym w:font="Wingdings" w:char="F0A8"/>
      </w:r>
      <w:r>
        <w:rPr>
          <w:rFonts w:hint="eastAsia"/>
          <w:iCs/>
          <w:color w:val="auto"/>
          <w:sz w:val="21"/>
          <w:szCs w:val="21"/>
          <w:highlight w:val="none"/>
        </w:rPr>
        <w:t xml:space="preserve">固定费率 </w:t>
      </w:r>
      <w:r>
        <w:rPr>
          <w:iCs/>
          <w:color w:val="auto"/>
          <w:sz w:val="21"/>
          <w:szCs w:val="21"/>
          <w:highlight w:val="none"/>
        </w:rPr>
        <w:sym w:font="Wingdings" w:char="F0A8"/>
      </w:r>
      <w:r>
        <w:rPr>
          <w:rFonts w:hint="eastAsia"/>
          <w:iCs/>
          <w:color w:val="auto"/>
          <w:sz w:val="21"/>
          <w:szCs w:val="21"/>
          <w:highlight w:val="none"/>
        </w:rPr>
        <w:t xml:space="preserve">成本补偿 </w:t>
      </w:r>
      <w:r>
        <w:rPr>
          <w:iCs/>
          <w:color w:val="auto"/>
          <w:sz w:val="21"/>
          <w:szCs w:val="21"/>
          <w:highlight w:val="none"/>
        </w:rPr>
        <w:sym w:font="Wingdings" w:char="F0A8"/>
      </w:r>
      <w:r>
        <w:rPr>
          <w:rFonts w:hint="eastAsia"/>
          <w:iCs/>
          <w:color w:val="auto"/>
          <w:sz w:val="21"/>
          <w:szCs w:val="21"/>
          <w:highlight w:val="none"/>
        </w:rPr>
        <w:t xml:space="preserve">绩效激励 </w:t>
      </w:r>
      <w:r>
        <w:rPr>
          <w:iCs/>
          <w:color w:val="auto"/>
          <w:sz w:val="21"/>
          <w:szCs w:val="21"/>
          <w:highlight w:val="none"/>
        </w:rPr>
        <w:sym w:font="Wingdings" w:char="F0A8"/>
      </w:r>
      <w:r>
        <w:rPr>
          <w:rFonts w:hint="eastAsia"/>
          <w:iCs/>
          <w:color w:val="auto"/>
          <w:sz w:val="21"/>
          <w:szCs w:val="21"/>
          <w:highlight w:val="none"/>
        </w:rPr>
        <w:t>其他</w:t>
      </w:r>
      <w:r>
        <w:rPr>
          <w:rFonts w:hint="eastAsia"/>
          <w:color w:val="auto"/>
          <w:sz w:val="21"/>
          <w:szCs w:val="21"/>
          <w:highlight w:val="none"/>
          <w:u w:val="single"/>
        </w:rPr>
        <w:t xml:space="preserve">       </w:t>
      </w:r>
    </w:p>
    <w:p w14:paraId="4BE153A4">
      <w:pPr>
        <w:pStyle w:val="631"/>
        <w:ind w:firstLine="420" w:firstLineChars="200"/>
        <w:rPr>
          <w:color w:val="auto"/>
          <w:sz w:val="21"/>
          <w:szCs w:val="21"/>
          <w:highlight w:val="none"/>
        </w:rPr>
      </w:pPr>
      <w:r>
        <w:rPr>
          <w:rFonts w:hint="eastAsia"/>
          <w:color w:val="auto"/>
          <w:sz w:val="21"/>
          <w:szCs w:val="21"/>
          <w:highlight w:val="none"/>
        </w:rPr>
        <w:t>（3）付款方式（按项目实际勾选填写）：</w:t>
      </w:r>
    </w:p>
    <w:p w14:paraId="215A7BFF">
      <w:pPr>
        <w:pStyle w:val="631"/>
        <w:ind w:firstLine="420" w:firstLineChars="200"/>
        <w:rPr>
          <w:color w:val="auto"/>
          <w:sz w:val="21"/>
          <w:szCs w:val="21"/>
          <w:highlight w:val="none"/>
          <w:u w:val="single"/>
        </w:rPr>
      </w:pPr>
      <w:r>
        <w:rPr>
          <w:color w:val="auto"/>
          <w:sz w:val="21"/>
          <w:szCs w:val="21"/>
          <w:highlight w:val="none"/>
        </w:rPr>
        <w:sym w:font="Wingdings" w:char="F0A8"/>
      </w:r>
      <w:r>
        <w:rPr>
          <w:rFonts w:hint="eastAsia"/>
          <w:color w:val="auto"/>
          <w:sz w:val="21"/>
          <w:szCs w:val="21"/>
          <w:highlight w:val="none"/>
        </w:rPr>
        <w:t>全额付款：</w:t>
      </w:r>
      <w:r>
        <w:rPr>
          <w:rFonts w:hint="eastAsia"/>
          <w:color w:val="auto"/>
          <w:sz w:val="21"/>
          <w:szCs w:val="21"/>
          <w:highlight w:val="none"/>
          <w:u w:val="single"/>
        </w:rPr>
        <w:t xml:space="preserve">     （应明确一次性支付合同款项的条件）                    </w:t>
      </w:r>
    </w:p>
    <w:p w14:paraId="51B2FA44">
      <w:pPr>
        <w:pStyle w:val="631"/>
        <w:ind w:firstLine="420" w:firstLineChars="200"/>
        <w:rPr>
          <w:rFonts w:hint="eastAsia"/>
          <w:color w:val="auto"/>
          <w:sz w:val="21"/>
          <w:szCs w:val="21"/>
          <w:highlight w:val="none"/>
        </w:rPr>
      </w:pPr>
      <w:r>
        <w:rPr>
          <w:color w:val="auto"/>
          <w:sz w:val="21"/>
          <w:szCs w:val="21"/>
          <w:highlight w:val="none"/>
        </w:rPr>
        <w:sym w:font="Wingdings" w:char="00FE"/>
      </w:r>
      <w:r>
        <w:rPr>
          <w:rFonts w:hint="eastAsia"/>
          <w:color w:val="auto"/>
          <w:sz w:val="21"/>
          <w:szCs w:val="21"/>
          <w:highlight w:val="none"/>
        </w:rPr>
        <w:t>分期付款：</w:t>
      </w:r>
    </w:p>
    <w:p w14:paraId="3F5A7372">
      <w:pPr>
        <w:pStyle w:val="631"/>
        <w:ind w:firstLine="420" w:firstLineChars="200"/>
        <w:rPr>
          <w:rFonts w:hint="eastAsia"/>
          <w:color w:val="auto"/>
          <w:sz w:val="21"/>
          <w:szCs w:val="21"/>
          <w:highlight w:val="none"/>
          <w:lang w:val="en-US" w:eastAsia="zh-CN"/>
        </w:rPr>
      </w:pPr>
      <w:r>
        <w:rPr>
          <w:rFonts w:hint="eastAsia"/>
          <w:color w:val="auto"/>
          <w:sz w:val="21"/>
          <w:szCs w:val="21"/>
          <w:highlight w:val="none"/>
          <w:lang w:val="en-US" w:eastAsia="zh-CN"/>
        </w:rPr>
        <w:t>1、预付款：合同经甲乙双方签字生效后，甲方于5个工作日内支付合同金额的50%作为预付款。</w:t>
      </w:r>
    </w:p>
    <w:p w14:paraId="4EB16128">
      <w:pPr>
        <w:pStyle w:val="631"/>
        <w:ind w:firstLine="420" w:firstLineChars="200"/>
        <w:rPr>
          <w:rFonts w:hint="eastAsia"/>
          <w:color w:val="auto"/>
          <w:sz w:val="21"/>
          <w:szCs w:val="21"/>
          <w:highlight w:val="none"/>
          <w:lang w:val="en-US" w:eastAsia="zh-CN"/>
        </w:rPr>
      </w:pPr>
      <w:r>
        <w:rPr>
          <w:rFonts w:hint="eastAsia"/>
          <w:color w:val="auto"/>
          <w:sz w:val="21"/>
          <w:szCs w:val="21"/>
          <w:highlight w:val="none"/>
          <w:lang w:val="en-US" w:eastAsia="zh-CN"/>
        </w:rPr>
        <w:t>2、验收合格付款：项目全部赛事结束、整体验收合格，乙方提交完整合规发票及全套结算资料后，甲方在15个工作日内支付合同尾款。</w:t>
      </w:r>
    </w:p>
    <w:p w14:paraId="1B093400">
      <w:pPr>
        <w:pStyle w:val="631"/>
        <w:ind w:firstLine="420" w:firstLineChars="200"/>
        <w:rPr>
          <w:rFonts w:hint="eastAsia"/>
          <w:color w:val="auto"/>
          <w:sz w:val="21"/>
          <w:szCs w:val="21"/>
          <w:highlight w:val="none"/>
          <w:lang w:val="en-US" w:eastAsia="zh-CN"/>
        </w:rPr>
      </w:pPr>
      <w:r>
        <w:rPr>
          <w:rFonts w:hint="eastAsia"/>
          <w:color w:val="auto"/>
          <w:sz w:val="21"/>
          <w:szCs w:val="21"/>
          <w:highlight w:val="none"/>
          <w:lang w:val="en-US" w:eastAsia="zh-CN"/>
        </w:rPr>
        <w:t>3、付款前提：每阶段付款乙方需按要求提供合规票据及完整资料，待财政资金拔付到位后，履行资金拔付程序，因财政资金拔付流程导致的付款延误，不视为甲方违约。</w:t>
      </w:r>
    </w:p>
    <w:p w14:paraId="55C37472">
      <w:pPr>
        <w:pStyle w:val="631"/>
        <w:ind w:firstLine="420" w:firstLineChars="200"/>
        <w:rPr>
          <w:color w:val="auto"/>
          <w:sz w:val="21"/>
          <w:szCs w:val="21"/>
          <w:highlight w:val="none"/>
          <w:u w:val="single"/>
        </w:rPr>
      </w:pPr>
      <w:r>
        <w:rPr>
          <w:color w:val="auto"/>
          <w:sz w:val="21"/>
          <w:szCs w:val="21"/>
          <w:highlight w:val="none"/>
        </w:rPr>
        <w:sym w:font="Wingdings" w:char="F0A8"/>
      </w:r>
      <w:r>
        <w:rPr>
          <w:rFonts w:hint="eastAsia"/>
          <w:color w:val="auto"/>
          <w:sz w:val="21"/>
          <w:szCs w:val="21"/>
          <w:highlight w:val="none"/>
        </w:rPr>
        <w:t>成本补偿：</w:t>
      </w:r>
      <w:r>
        <w:rPr>
          <w:rFonts w:hint="eastAsia"/>
          <w:color w:val="auto"/>
          <w:sz w:val="21"/>
          <w:szCs w:val="21"/>
          <w:highlight w:val="none"/>
          <w:u w:val="single"/>
        </w:rPr>
        <w:t xml:space="preserve">      （应明确按照成本补偿方式的支付方式和支付条件）   </w:t>
      </w:r>
    </w:p>
    <w:p w14:paraId="0727E7A4">
      <w:pPr>
        <w:pStyle w:val="631"/>
        <w:ind w:firstLine="420" w:firstLineChars="200"/>
        <w:rPr>
          <w:color w:val="auto"/>
          <w:sz w:val="21"/>
          <w:szCs w:val="21"/>
          <w:highlight w:val="none"/>
        </w:rPr>
      </w:pPr>
      <w:r>
        <w:rPr>
          <w:color w:val="auto"/>
          <w:sz w:val="21"/>
          <w:szCs w:val="21"/>
          <w:highlight w:val="none"/>
        </w:rPr>
        <w:sym w:font="Wingdings" w:char="F0A8"/>
      </w:r>
      <w:r>
        <w:rPr>
          <w:rFonts w:hint="eastAsia"/>
          <w:color w:val="auto"/>
          <w:sz w:val="21"/>
          <w:szCs w:val="21"/>
          <w:highlight w:val="none"/>
        </w:rPr>
        <w:t>绩效激励：</w:t>
      </w:r>
      <w:r>
        <w:rPr>
          <w:rFonts w:hint="eastAsia"/>
          <w:color w:val="auto"/>
          <w:sz w:val="21"/>
          <w:szCs w:val="21"/>
          <w:highlight w:val="none"/>
          <w:u w:val="single"/>
        </w:rPr>
        <w:t xml:space="preserve">      （应明确按照绩效激励方式的支付方式和支付条件）   </w:t>
      </w:r>
    </w:p>
    <w:p w14:paraId="02466513">
      <w:pPr>
        <w:pStyle w:val="631"/>
        <w:ind w:firstLineChars="200"/>
        <w:rPr>
          <w:b/>
          <w:color w:val="auto"/>
          <w:sz w:val="21"/>
          <w:szCs w:val="21"/>
          <w:highlight w:val="none"/>
          <w:u w:val="single"/>
        </w:rPr>
      </w:pPr>
      <w:r>
        <w:rPr>
          <w:rFonts w:hint="eastAsia"/>
          <w:b/>
          <w:color w:val="auto"/>
          <w:sz w:val="21"/>
          <w:szCs w:val="21"/>
          <w:highlight w:val="none"/>
        </w:rPr>
        <w:t>3.合同履行</w:t>
      </w:r>
    </w:p>
    <w:p w14:paraId="6A0761AE">
      <w:pPr>
        <w:pStyle w:val="631"/>
        <w:ind w:firstLine="420" w:firstLineChars="200"/>
        <w:rPr>
          <w:rFonts w:hint="eastAsia" w:cs="宋体"/>
          <w:color w:val="auto"/>
          <w:sz w:val="21"/>
          <w:szCs w:val="21"/>
          <w:highlight w:val="none"/>
        </w:rPr>
      </w:pPr>
      <w:r>
        <w:rPr>
          <w:rFonts w:hint="eastAsia" w:cs="宋体"/>
          <w:color w:val="auto"/>
          <w:sz w:val="21"/>
          <w:szCs w:val="21"/>
          <w:highlight w:val="none"/>
        </w:rPr>
        <w:t>（1）起始日期：合同签订生效之日起；完成日期：全部赛事结束、项目整体竣工验收合格、质保服务履约完毕之日止。</w:t>
      </w:r>
    </w:p>
    <w:p w14:paraId="27E8329C">
      <w:pPr>
        <w:pStyle w:val="631"/>
        <w:ind w:firstLine="420" w:firstLineChars="200"/>
        <w:rPr>
          <w:rFonts w:cs="宋体"/>
          <w:color w:val="auto"/>
          <w:sz w:val="21"/>
          <w:szCs w:val="21"/>
          <w:highlight w:val="none"/>
          <w:u w:val="single"/>
        </w:rPr>
      </w:pPr>
      <w:r>
        <w:rPr>
          <w:rFonts w:hint="eastAsia" w:cs="宋体"/>
          <w:color w:val="auto"/>
          <w:sz w:val="21"/>
          <w:szCs w:val="21"/>
          <w:highlight w:val="none"/>
        </w:rPr>
        <w:t>（2）履约地点</w:t>
      </w:r>
      <w:r>
        <w:rPr>
          <w:rFonts w:hint="eastAsia" w:cs="宋体"/>
          <w:bCs/>
          <w:color w:val="auto"/>
          <w:sz w:val="21"/>
          <w:szCs w:val="21"/>
          <w:highlight w:val="none"/>
        </w:rPr>
        <w:t>：</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甲方指定地点</w:t>
      </w:r>
      <w:r>
        <w:rPr>
          <w:rFonts w:hint="eastAsia" w:cs="宋体"/>
          <w:color w:val="auto"/>
          <w:sz w:val="21"/>
          <w:szCs w:val="21"/>
          <w:highlight w:val="none"/>
          <w:u w:val="single"/>
        </w:rPr>
        <w:t xml:space="preserve"> </w:t>
      </w:r>
    </w:p>
    <w:p w14:paraId="10AE738B">
      <w:pPr>
        <w:pStyle w:val="631"/>
        <w:ind w:firstLine="420" w:firstLineChars="200"/>
        <w:rPr>
          <w:rFonts w:cs="宋体"/>
          <w:color w:val="auto"/>
          <w:sz w:val="21"/>
          <w:szCs w:val="21"/>
          <w:highlight w:val="none"/>
        </w:rPr>
      </w:pPr>
      <w:r>
        <w:rPr>
          <w:rFonts w:hint="eastAsia" w:cs="宋体"/>
          <w:bCs/>
          <w:color w:val="auto"/>
          <w:sz w:val="21"/>
          <w:szCs w:val="21"/>
          <w:highlight w:val="none"/>
        </w:rPr>
        <w:t>（3）履约担保：</w:t>
      </w:r>
      <w:r>
        <w:rPr>
          <w:rFonts w:hint="eastAsia" w:cs="宋体"/>
          <w:color w:val="auto"/>
          <w:sz w:val="21"/>
          <w:szCs w:val="21"/>
          <w:highlight w:val="none"/>
        </w:rPr>
        <w:t>是否收取履约保证金：</w:t>
      </w:r>
      <w:r>
        <w:rPr>
          <w:rFonts w:cs="宋体"/>
          <w:color w:val="auto"/>
          <w:sz w:val="21"/>
          <w:szCs w:val="21"/>
          <w:highlight w:val="none"/>
        </w:rPr>
        <w:sym w:font="Wingdings" w:char="F0A8"/>
      </w:r>
      <w:r>
        <w:rPr>
          <w:rFonts w:hint="eastAsia" w:cs="宋体"/>
          <w:color w:val="auto"/>
          <w:sz w:val="21"/>
          <w:szCs w:val="21"/>
          <w:highlight w:val="none"/>
        </w:rPr>
        <w:t xml:space="preserve">是    </w:t>
      </w:r>
      <w:r>
        <w:rPr>
          <w:rFonts w:cs="宋体"/>
          <w:color w:val="auto"/>
          <w:sz w:val="21"/>
          <w:szCs w:val="21"/>
          <w:highlight w:val="none"/>
        </w:rPr>
        <w:sym w:font="Wingdings" w:char="00FE"/>
      </w:r>
      <w:r>
        <w:rPr>
          <w:rFonts w:hint="eastAsia" w:cs="宋体"/>
          <w:color w:val="auto"/>
          <w:sz w:val="21"/>
          <w:szCs w:val="21"/>
          <w:highlight w:val="none"/>
        </w:rPr>
        <w:t>否</w:t>
      </w:r>
    </w:p>
    <w:p w14:paraId="4775CC7C">
      <w:pPr>
        <w:pStyle w:val="631"/>
        <w:ind w:firstLine="420" w:firstLineChars="200"/>
        <w:rPr>
          <w:rFonts w:cs="宋体"/>
          <w:color w:val="auto"/>
          <w:sz w:val="21"/>
          <w:szCs w:val="21"/>
          <w:highlight w:val="none"/>
        </w:rPr>
      </w:pPr>
      <w:r>
        <w:rPr>
          <w:rFonts w:hint="eastAsia" w:cs="宋体"/>
          <w:color w:val="auto"/>
          <w:sz w:val="21"/>
          <w:szCs w:val="21"/>
          <w:highlight w:val="none"/>
        </w:rPr>
        <w:t>收取履约保证金形式：</w:t>
      </w:r>
      <w:r>
        <w:rPr>
          <w:rFonts w:hint="eastAsia" w:cs="宋体"/>
          <w:bCs/>
          <w:color w:val="auto"/>
          <w:sz w:val="21"/>
          <w:szCs w:val="21"/>
          <w:highlight w:val="none"/>
          <w:u w:val="single"/>
        </w:rPr>
        <w:t xml:space="preserve">                            </w:t>
      </w:r>
    </w:p>
    <w:p w14:paraId="13CAF4C2">
      <w:pPr>
        <w:pStyle w:val="631"/>
        <w:ind w:firstLine="420" w:firstLineChars="200"/>
        <w:rPr>
          <w:rFonts w:cs="宋体"/>
          <w:color w:val="auto"/>
          <w:sz w:val="21"/>
          <w:szCs w:val="21"/>
          <w:highlight w:val="none"/>
        </w:rPr>
      </w:pPr>
      <w:r>
        <w:rPr>
          <w:rFonts w:hint="eastAsia" w:cs="宋体"/>
          <w:color w:val="auto"/>
          <w:sz w:val="21"/>
          <w:szCs w:val="21"/>
          <w:highlight w:val="none"/>
        </w:rPr>
        <w:t>收取履约保证金金额：</w:t>
      </w:r>
      <w:r>
        <w:rPr>
          <w:rFonts w:hint="eastAsia" w:cs="宋体"/>
          <w:bCs/>
          <w:color w:val="auto"/>
          <w:sz w:val="21"/>
          <w:szCs w:val="21"/>
          <w:highlight w:val="none"/>
          <w:u w:val="single"/>
        </w:rPr>
        <w:t xml:space="preserve">                            </w:t>
      </w:r>
    </w:p>
    <w:p w14:paraId="5CC17951">
      <w:pPr>
        <w:pStyle w:val="631"/>
        <w:ind w:firstLine="420" w:firstLineChars="200"/>
        <w:rPr>
          <w:rFonts w:cs="宋体"/>
          <w:color w:val="auto"/>
          <w:sz w:val="21"/>
          <w:szCs w:val="21"/>
          <w:highlight w:val="none"/>
        </w:rPr>
      </w:pPr>
      <w:r>
        <w:rPr>
          <w:rFonts w:hint="eastAsia" w:cs="宋体"/>
          <w:bCs/>
          <w:color w:val="auto"/>
          <w:sz w:val="21"/>
          <w:szCs w:val="21"/>
          <w:highlight w:val="none"/>
        </w:rPr>
        <w:t>履约担保期限：</w:t>
      </w:r>
      <w:r>
        <w:rPr>
          <w:rFonts w:hint="eastAsia" w:cs="宋体"/>
          <w:bCs/>
          <w:color w:val="auto"/>
          <w:sz w:val="21"/>
          <w:szCs w:val="21"/>
          <w:highlight w:val="none"/>
          <w:u w:val="single"/>
        </w:rPr>
        <w:t xml:space="preserve">                                  </w:t>
      </w:r>
    </w:p>
    <w:p w14:paraId="265CF634">
      <w:pPr>
        <w:pStyle w:val="631"/>
        <w:ind w:firstLine="420" w:firstLineChars="200"/>
        <w:rPr>
          <w:rFonts w:hint="eastAsia" w:cs="宋体"/>
          <w:bCs/>
          <w:color w:val="auto"/>
          <w:sz w:val="21"/>
          <w:szCs w:val="21"/>
          <w:highlight w:val="none"/>
          <w:u w:val="single"/>
        </w:rPr>
      </w:pPr>
      <w:r>
        <w:rPr>
          <w:rFonts w:hint="eastAsia" w:cs="宋体"/>
          <w:bCs/>
          <w:color w:val="auto"/>
          <w:sz w:val="21"/>
          <w:szCs w:val="21"/>
          <w:highlight w:val="none"/>
        </w:rPr>
        <w:t>（4）分期履行要求：</w:t>
      </w:r>
      <w:r>
        <w:rPr>
          <w:rFonts w:hint="eastAsia" w:cs="宋体"/>
          <w:bCs/>
          <w:color w:val="auto"/>
          <w:sz w:val="21"/>
          <w:szCs w:val="21"/>
          <w:highlight w:val="none"/>
          <w:u w:val="single"/>
        </w:rPr>
        <w:t xml:space="preserve"> 乙方严格按照各赛事报到时间节点分期完成供货、安装、调试、试运行，确保各赛事按期保障，具体节点严格贴合采购需求赛事日程。</w:t>
      </w:r>
    </w:p>
    <w:p w14:paraId="10572156">
      <w:pPr>
        <w:pStyle w:val="631"/>
        <w:ind w:firstLine="420" w:firstLineChars="200"/>
        <w:rPr>
          <w:rFonts w:cs="宋体"/>
          <w:color w:val="auto"/>
          <w:sz w:val="21"/>
          <w:szCs w:val="21"/>
          <w:highlight w:val="none"/>
          <w:u w:val="single"/>
        </w:rPr>
      </w:pPr>
      <w:r>
        <w:rPr>
          <w:rFonts w:hint="eastAsia" w:cs="宋体"/>
          <w:bCs/>
          <w:color w:val="auto"/>
          <w:sz w:val="21"/>
          <w:szCs w:val="21"/>
          <w:highlight w:val="none"/>
        </w:rPr>
        <w:t>（5）风险处置措施和替代方案：</w:t>
      </w:r>
      <w:r>
        <w:rPr>
          <w:rFonts w:hint="eastAsia" w:cs="宋体"/>
          <w:color w:val="auto"/>
          <w:sz w:val="21"/>
          <w:szCs w:val="21"/>
          <w:highlight w:val="none"/>
          <w:u w:val="single"/>
        </w:rPr>
        <w:t xml:space="preserve"> 赛事期间设备出现故障、性能偏差、破损等问题，乙方1小时内到场处置，无法现场修复的立即提供同等规格、同等性能备用设备，保障赛事正常开展；履约过程中出现质量、工期、服务问题，乙方无条件限期整改并承担全部损失。 </w:t>
      </w:r>
    </w:p>
    <w:p w14:paraId="7DFEE3FE">
      <w:pPr>
        <w:pStyle w:val="631"/>
        <w:ind w:firstLineChars="200"/>
        <w:rPr>
          <w:b/>
          <w:color w:val="auto"/>
          <w:sz w:val="21"/>
          <w:szCs w:val="21"/>
          <w:highlight w:val="none"/>
        </w:rPr>
      </w:pPr>
      <w:r>
        <w:rPr>
          <w:rFonts w:hint="eastAsia"/>
          <w:b/>
          <w:color w:val="auto"/>
          <w:sz w:val="21"/>
          <w:szCs w:val="21"/>
          <w:highlight w:val="none"/>
        </w:rPr>
        <w:t>4.合同验收</w:t>
      </w:r>
    </w:p>
    <w:p w14:paraId="020B03CB">
      <w:pPr>
        <w:pStyle w:val="631"/>
        <w:ind w:firstLine="420" w:firstLineChars="200"/>
        <w:rPr>
          <w:bCs/>
          <w:color w:val="auto"/>
          <w:sz w:val="21"/>
          <w:szCs w:val="21"/>
          <w:highlight w:val="none"/>
        </w:rPr>
      </w:pPr>
      <w:r>
        <w:rPr>
          <w:rFonts w:hint="eastAsia"/>
          <w:bCs/>
          <w:color w:val="auto"/>
          <w:sz w:val="21"/>
          <w:szCs w:val="21"/>
          <w:highlight w:val="none"/>
        </w:rPr>
        <w:t>验收组织方式：</w:t>
      </w:r>
      <w:r>
        <w:rPr>
          <w:rFonts w:cs="宋体"/>
          <w:color w:val="auto"/>
          <w:sz w:val="21"/>
          <w:szCs w:val="21"/>
          <w:highlight w:val="none"/>
        </w:rPr>
        <w:sym w:font="Wingdings" w:char="00FE"/>
      </w:r>
      <w:r>
        <w:rPr>
          <w:rFonts w:hint="eastAsia"/>
          <w:bCs/>
          <w:color w:val="auto"/>
          <w:sz w:val="21"/>
          <w:szCs w:val="21"/>
          <w:highlight w:val="none"/>
        </w:rPr>
        <w:t xml:space="preserve">自行组织 </w:t>
      </w:r>
      <w:r>
        <w:rPr>
          <w:rFonts w:cs="宋体"/>
          <w:color w:val="auto"/>
          <w:sz w:val="21"/>
          <w:szCs w:val="21"/>
          <w:highlight w:val="none"/>
        </w:rPr>
        <w:sym w:font="Wingdings" w:char="F0A8"/>
      </w:r>
      <w:r>
        <w:rPr>
          <w:rFonts w:hint="eastAsia"/>
          <w:bCs/>
          <w:color w:val="auto"/>
          <w:sz w:val="21"/>
          <w:szCs w:val="21"/>
          <w:highlight w:val="none"/>
        </w:rPr>
        <w:t>委托第三方组织</w:t>
      </w:r>
    </w:p>
    <w:p w14:paraId="69D90845">
      <w:pPr>
        <w:pStyle w:val="631"/>
        <w:ind w:firstLine="420" w:firstLineChars="200"/>
        <w:rPr>
          <w:bCs/>
          <w:color w:val="auto"/>
          <w:sz w:val="21"/>
          <w:szCs w:val="21"/>
          <w:highlight w:val="none"/>
        </w:rPr>
      </w:pPr>
      <w:r>
        <w:rPr>
          <w:rFonts w:hint="eastAsia"/>
          <w:bCs/>
          <w:color w:val="auto"/>
          <w:sz w:val="21"/>
          <w:szCs w:val="21"/>
          <w:highlight w:val="none"/>
        </w:rPr>
        <w:t>验收主体：</w:t>
      </w:r>
      <w:r>
        <w:rPr>
          <w:rFonts w:hint="eastAsia"/>
          <w:bCs/>
          <w:color w:val="auto"/>
          <w:sz w:val="21"/>
          <w:szCs w:val="21"/>
          <w:highlight w:val="none"/>
          <w:u w:val="single"/>
        </w:rPr>
        <w:t xml:space="preserve"> 甲方组建专项验收小组开展履约验收 </w:t>
      </w:r>
    </w:p>
    <w:p w14:paraId="0AB38C61">
      <w:pPr>
        <w:pStyle w:val="631"/>
        <w:ind w:firstLine="420" w:firstLineChars="200"/>
        <w:rPr>
          <w:bCs/>
          <w:color w:val="auto"/>
          <w:sz w:val="21"/>
          <w:szCs w:val="21"/>
          <w:highlight w:val="none"/>
        </w:rPr>
      </w:pPr>
      <w:r>
        <w:rPr>
          <w:rFonts w:hint="eastAsia"/>
          <w:bCs/>
          <w:color w:val="auto"/>
          <w:sz w:val="21"/>
          <w:szCs w:val="21"/>
          <w:highlight w:val="none"/>
        </w:rPr>
        <w:t>是否邀请本项目的其他供应商参加验收：</w:t>
      </w:r>
      <w:r>
        <w:rPr>
          <w:rFonts w:cs="宋体"/>
          <w:color w:val="auto"/>
          <w:sz w:val="21"/>
          <w:szCs w:val="21"/>
          <w:highlight w:val="none"/>
        </w:rPr>
        <w:sym w:font="Wingdings" w:char="F0A8"/>
      </w:r>
      <w:r>
        <w:rPr>
          <w:rFonts w:hint="eastAsia"/>
          <w:bCs/>
          <w:color w:val="auto"/>
          <w:sz w:val="21"/>
          <w:szCs w:val="21"/>
          <w:highlight w:val="none"/>
        </w:rPr>
        <w:t xml:space="preserve">是  </w:t>
      </w:r>
      <w:r>
        <w:rPr>
          <w:rFonts w:cs="宋体"/>
          <w:color w:val="auto"/>
          <w:sz w:val="21"/>
          <w:szCs w:val="21"/>
          <w:highlight w:val="none"/>
        </w:rPr>
        <w:sym w:font="Wingdings" w:char="00A8"/>
      </w:r>
      <w:r>
        <w:rPr>
          <w:rFonts w:hint="eastAsia"/>
          <w:bCs/>
          <w:color w:val="auto"/>
          <w:sz w:val="21"/>
          <w:szCs w:val="21"/>
          <w:highlight w:val="none"/>
        </w:rPr>
        <w:t>否</w:t>
      </w:r>
    </w:p>
    <w:p w14:paraId="0C0FF779">
      <w:pPr>
        <w:pStyle w:val="631"/>
        <w:ind w:firstLine="420" w:firstLineChars="200"/>
        <w:rPr>
          <w:bCs/>
          <w:color w:val="auto"/>
          <w:sz w:val="21"/>
          <w:szCs w:val="21"/>
          <w:highlight w:val="none"/>
        </w:rPr>
      </w:pPr>
      <w:r>
        <w:rPr>
          <w:rFonts w:hint="eastAsia"/>
          <w:bCs/>
          <w:color w:val="auto"/>
          <w:sz w:val="21"/>
          <w:szCs w:val="21"/>
          <w:highlight w:val="none"/>
        </w:rPr>
        <w:t>是否邀请专家参加验收：</w:t>
      </w:r>
      <w:r>
        <w:rPr>
          <w:rFonts w:cs="宋体"/>
          <w:color w:val="auto"/>
          <w:sz w:val="21"/>
          <w:szCs w:val="21"/>
          <w:highlight w:val="none"/>
        </w:rPr>
        <w:sym w:font="Wingdings" w:char="00A8"/>
      </w:r>
      <w:r>
        <w:rPr>
          <w:rFonts w:hint="eastAsia"/>
          <w:bCs/>
          <w:color w:val="auto"/>
          <w:sz w:val="21"/>
          <w:szCs w:val="21"/>
          <w:highlight w:val="none"/>
        </w:rPr>
        <w:t xml:space="preserve">是  </w:t>
      </w:r>
      <w:r>
        <w:rPr>
          <w:rFonts w:cs="宋体"/>
          <w:color w:val="auto"/>
          <w:sz w:val="21"/>
          <w:szCs w:val="21"/>
          <w:highlight w:val="none"/>
        </w:rPr>
        <w:sym w:font="Wingdings" w:char="F0A8"/>
      </w:r>
      <w:r>
        <w:rPr>
          <w:rFonts w:hint="eastAsia"/>
          <w:bCs/>
          <w:color w:val="auto"/>
          <w:sz w:val="21"/>
          <w:szCs w:val="21"/>
          <w:highlight w:val="none"/>
        </w:rPr>
        <w:t>否</w:t>
      </w:r>
    </w:p>
    <w:p w14:paraId="3978BFCC">
      <w:pPr>
        <w:pStyle w:val="631"/>
        <w:ind w:firstLine="420" w:firstLineChars="200"/>
        <w:rPr>
          <w:bCs/>
          <w:color w:val="auto"/>
          <w:sz w:val="21"/>
          <w:szCs w:val="21"/>
          <w:highlight w:val="none"/>
        </w:rPr>
      </w:pPr>
      <w:r>
        <w:rPr>
          <w:rFonts w:hint="eastAsia"/>
          <w:bCs/>
          <w:color w:val="auto"/>
          <w:sz w:val="21"/>
          <w:szCs w:val="21"/>
          <w:highlight w:val="none"/>
        </w:rPr>
        <w:t>是否邀请服务对象参加验收：</w:t>
      </w:r>
      <w:r>
        <w:rPr>
          <w:rFonts w:cs="宋体"/>
          <w:color w:val="auto"/>
          <w:sz w:val="21"/>
          <w:szCs w:val="21"/>
          <w:highlight w:val="none"/>
        </w:rPr>
        <w:sym w:font="Wingdings" w:char="00A8"/>
      </w:r>
      <w:r>
        <w:rPr>
          <w:rFonts w:hint="eastAsia"/>
          <w:bCs/>
          <w:color w:val="auto"/>
          <w:sz w:val="21"/>
          <w:szCs w:val="21"/>
          <w:highlight w:val="none"/>
        </w:rPr>
        <w:t xml:space="preserve">是  </w:t>
      </w:r>
      <w:r>
        <w:rPr>
          <w:rFonts w:cs="宋体"/>
          <w:color w:val="auto"/>
          <w:sz w:val="21"/>
          <w:szCs w:val="21"/>
          <w:highlight w:val="none"/>
        </w:rPr>
        <w:sym w:font="Wingdings" w:char="F0A8"/>
      </w:r>
      <w:r>
        <w:rPr>
          <w:rFonts w:hint="eastAsia"/>
          <w:bCs/>
          <w:color w:val="auto"/>
          <w:sz w:val="21"/>
          <w:szCs w:val="21"/>
          <w:highlight w:val="none"/>
        </w:rPr>
        <w:t>否</w:t>
      </w:r>
    </w:p>
    <w:p w14:paraId="6CB5BA1C">
      <w:pPr>
        <w:pStyle w:val="631"/>
        <w:ind w:firstLine="420" w:firstLineChars="200"/>
        <w:rPr>
          <w:bCs/>
          <w:color w:val="auto"/>
          <w:sz w:val="21"/>
          <w:szCs w:val="21"/>
          <w:highlight w:val="none"/>
        </w:rPr>
      </w:pPr>
      <w:r>
        <w:rPr>
          <w:rFonts w:hint="eastAsia"/>
          <w:bCs/>
          <w:color w:val="auto"/>
          <w:sz w:val="21"/>
          <w:szCs w:val="21"/>
          <w:highlight w:val="none"/>
        </w:rPr>
        <w:t>是否邀请第三方检测机构参加验收：</w:t>
      </w:r>
      <w:r>
        <w:rPr>
          <w:rFonts w:cs="宋体"/>
          <w:color w:val="auto"/>
          <w:sz w:val="21"/>
          <w:szCs w:val="21"/>
          <w:highlight w:val="none"/>
        </w:rPr>
        <w:sym w:font="Wingdings" w:char="00FE"/>
      </w:r>
      <w:r>
        <w:rPr>
          <w:rFonts w:hint="eastAsia"/>
          <w:bCs/>
          <w:color w:val="auto"/>
          <w:sz w:val="21"/>
          <w:szCs w:val="21"/>
          <w:highlight w:val="none"/>
        </w:rPr>
        <w:t xml:space="preserve">是  </w:t>
      </w:r>
      <w:r>
        <w:rPr>
          <w:rFonts w:cs="宋体"/>
          <w:color w:val="auto"/>
          <w:sz w:val="21"/>
          <w:szCs w:val="21"/>
          <w:highlight w:val="none"/>
        </w:rPr>
        <w:sym w:font="Wingdings" w:char="F0A8"/>
      </w:r>
      <w:r>
        <w:rPr>
          <w:rFonts w:hint="eastAsia"/>
          <w:bCs/>
          <w:color w:val="auto"/>
          <w:sz w:val="21"/>
          <w:szCs w:val="21"/>
          <w:highlight w:val="none"/>
        </w:rPr>
        <w:t>否</w:t>
      </w:r>
    </w:p>
    <w:p w14:paraId="18C082F5">
      <w:pPr>
        <w:pStyle w:val="631"/>
        <w:ind w:firstLine="420" w:firstLineChars="200"/>
        <w:rPr>
          <w:rFonts w:hint="eastAsia"/>
          <w:bCs/>
          <w:color w:val="auto"/>
          <w:sz w:val="21"/>
          <w:szCs w:val="21"/>
          <w:highlight w:val="none"/>
        </w:rPr>
      </w:pPr>
      <w:r>
        <w:rPr>
          <w:rFonts w:hint="eastAsia"/>
          <w:bCs/>
          <w:color w:val="auto"/>
          <w:sz w:val="21"/>
          <w:szCs w:val="21"/>
          <w:highlight w:val="none"/>
        </w:rPr>
        <w:t>甲方有权委托第三方机构对产品材质、性能、环保指标、冲击参数等进行抽检复检。</w:t>
      </w:r>
    </w:p>
    <w:p w14:paraId="4F5C091A">
      <w:pPr>
        <w:spacing w:before="120" w:after="120" w:line="288" w:lineRule="auto"/>
        <w:ind w:left="0"/>
        <w:jc w:val="left"/>
        <w:rPr>
          <w:rFonts w:hint="eastAsia" w:ascii="宋体" w:hAnsi="宋体" w:eastAsia="宋体" w:cs="Times New Roman"/>
          <w:bCs/>
          <w:color w:val="auto"/>
          <w:kern w:val="0"/>
          <w:sz w:val="21"/>
          <w:szCs w:val="21"/>
          <w:highlight w:val="none"/>
          <w:lang w:val="en-US" w:eastAsia="zh-CN" w:bidi="ar-SA"/>
        </w:rPr>
      </w:pPr>
      <w:r>
        <w:rPr>
          <w:rFonts w:hint="eastAsia"/>
          <w:bCs/>
          <w:color w:val="auto"/>
          <w:sz w:val="21"/>
          <w:szCs w:val="21"/>
          <w:highlight w:val="none"/>
        </w:rPr>
        <w:t>是否进行抽查检测：</w:t>
      </w:r>
      <w:r>
        <w:rPr>
          <w:rFonts w:cs="宋体"/>
          <w:color w:val="auto"/>
          <w:sz w:val="21"/>
          <w:szCs w:val="21"/>
          <w:highlight w:val="none"/>
        </w:rPr>
        <w:sym w:font="Wingdings" w:char="00FE"/>
      </w:r>
      <w:r>
        <w:rPr>
          <w:rFonts w:hint="eastAsia"/>
          <w:bCs/>
          <w:color w:val="auto"/>
          <w:sz w:val="21"/>
          <w:szCs w:val="21"/>
          <w:highlight w:val="none"/>
        </w:rPr>
        <w:t>是，</w:t>
      </w:r>
      <w:r>
        <w:rPr>
          <w:rFonts w:hint="eastAsia" w:ascii="宋体" w:hAnsi="宋体" w:eastAsia="宋体" w:cs="Times New Roman"/>
          <w:bCs/>
          <w:color w:val="auto"/>
          <w:kern w:val="0"/>
          <w:sz w:val="21"/>
          <w:szCs w:val="21"/>
          <w:highlight w:val="none"/>
          <w:lang w:val="en-US" w:eastAsia="zh-CN" w:bidi="ar-SA"/>
        </w:rPr>
        <w:t>随机抽查核心参数、材质结构、环保标准，不合格直接判定履约违约。</w:t>
      </w:r>
    </w:p>
    <w:p w14:paraId="5E3612AD">
      <w:pPr>
        <w:pStyle w:val="631"/>
        <w:ind w:firstLine="420" w:firstLineChars="200"/>
        <w:rPr>
          <w:rFonts w:hint="eastAsia" w:ascii="宋体" w:hAnsi="宋体" w:eastAsia="宋体" w:cs="Times New Roman"/>
          <w:bCs/>
          <w:color w:val="auto"/>
          <w:kern w:val="0"/>
          <w:sz w:val="21"/>
          <w:szCs w:val="21"/>
          <w:highlight w:val="none"/>
          <w:lang w:val="en-US" w:eastAsia="zh-CN" w:bidi="ar-SA"/>
        </w:rPr>
      </w:pPr>
      <w:r>
        <w:rPr>
          <w:rFonts w:hint="eastAsia" w:ascii="宋体" w:hAnsi="宋体" w:eastAsia="宋体" w:cs="Times New Roman"/>
          <w:bCs/>
          <w:color w:val="auto"/>
          <w:kern w:val="0"/>
          <w:sz w:val="21"/>
          <w:szCs w:val="21"/>
          <w:highlight w:val="none"/>
          <w:lang w:val="en-US" w:eastAsia="zh-CN" w:bidi="ar-SA"/>
        </w:rPr>
        <w:t>是否存在破坏性检测：</w:t>
      </w:r>
      <w:r>
        <w:rPr>
          <w:rFonts w:hint="eastAsia" w:ascii="宋体" w:hAnsi="宋体" w:eastAsia="宋体" w:cs="Times New Roman"/>
          <w:bCs/>
          <w:color w:val="auto"/>
          <w:kern w:val="0"/>
          <w:sz w:val="21"/>
          <w:szCs w:val="21"/>
          <w:highlight w:val="none"/>
          <w:lang w:val="en-US" w:eastAsia="zh-CN" w:bidi="ar-SA"/>
        </w:rPr>
        <w:sym w:font="Wingdings" w:char="F0A8"/>
      </w:r>
      <w:r>
        <w:rPr>
          <w:rFonts w:hint="eastAsia" w:ascii="宋体" w:hAnsi="宋体" w:eastAsia="宋体" w:cs="Times New Roman"/>
          <w:bCs/>
          <w:color w:val="auto"/>
          <w:kern w:val="0"/>
          <w:sz w:val="21"/>
          <w:szCs w:val="21"/>
          <w:highlight w:val="none"/>
          <w:lang w:val="en-US" w:eastAsia="zh-CN" w:bidi="ar-SA"/>
        </w:rPr>
        <w:t>是，（应明确对被破坏的检测产品的处理方式）</w:t>
      </w:r>
    </w:p>
    <w:p w14:paraId="6573BCBC">
      <w:pPr>
        <w:pStyle w:val="631"/>
        <w:ind w:firstLine="420" w:firstLineChars="200"/>
        <w:rPr>
          <w:bCs/>
          <w:color w:val="auto"/>
          <w:sz w:val="21"/>
          <w:szCs w:val="21"/>
          <w:highlight w:val="none"/>
        </w:rPr>
      </w:pPr>
      <w:r>
        <w:rPr>
          <w:rFonts w:hint="eastAsia"/>
          <w:bCs/>
          <w:color w:val="auto"/>
          <w:sz w:val="21"/>
          <w:szCs w:val="21"/>
          <w:highlight w:val="none"/>
        </w:rPr>
        <w:t xml:space="preserve">                    </w:t>
      </w:r>
      <w:r>
        <w:rPr>
          <w:rFonts w:cs="宋体"/>
          <w:color w:val="auto"/>
          <w:sz w:val="21"/>
          <w:szCs w:val="21"/>
          <w:highlight w:val="none"/>
        </w:rPr>
        <w:sym w:font="Wingdings" w:char="F0A8"/>
      </w:r>
      <w:r>
        <w:rPr>
          <w:rFonts w:hint="eastAsia"/>
          <w:bCs/>
          <w:color w:val="auto"/>
          <w:sz w:val="21"/>
          <w:szCs w:val="21"/>
          <w:highlight w:val="none"/>
        </w:rPr>
        <w:t>否</w:t>
      </w:r>
    </w:p>
    <w:p w14:paraId="502708CE">
      <w:pPr>
        <w:pStyle w:val="631"/>
        <w:ind w:firstLine="420" w:firstLineChars="200"/>
        <w:rPr>
          <w:bCs/>
          <w:color w:val="auto"/>
          <w:sz w:val="21"/>
          <w:szCs w:val="21"/>
          <w:highlight w:val="none"/>
          <w:u w:val="single"/>
        </w:rPr>
      </w:pPr>
      <w:r>
        <w:rPr>
          <w:rFonts w:hint="eastAsia"/>
          <w:bCs/>
          <w:color w:val="auto"/>
          <w:sz w:val="21"/>
          <w:szCs w:val="21"/>
          <w:highlight w:val="none"/>
        </w:rPr>
        <w:t>验收组织的其他事项：</w:t>
      </w:r>
      <w:r>
        <w:rPr>
          <w:rFonts w:hint="eastAsia"/>
          <w:bCs/>
          <w:color w:val="auto"/>
          <w:sz w:val="21"/>
          <w:szCs w:val="21"/>
          <w:highlight w:val="none"/>
          <w:u w:val="single"/>
        </w:rPr>
        <w:t xml:space="preserve">                </w:t>
      </w:r>
    </w:p>
    <w:p w14:paraId="5C00D9A8">
      <w:pPr>
        <w:pStyle w:val="631"/>
        <w:ind w:firstLine="420" w:firstLineChars="200"/>
        <w:rPr>
          <w:rFonts w:hint="eastAsia"/>
          <w:bCs/>
          <w:color w:val="auto"/>
          <w:sz w:val="21"/>
          <w:szCs w:val="21"/>
          <w:highlight w:val="none"/>
          <w:u w:val="single"/>
        </w:rPr>
      </w:pPr>
      <w:r>
        <w:rPr>
          <w:rFonts w:hint="eastAsia"/>
          <w:bCs/>
          <w:color w:val="auto"/>
          <w:sz w:val="21"/>
          <w:szCs w:val="21"/>
          <w:highlight w:val="none"/>
        </w:rPr>
        <w:t>（2）履约验收时间：</w:t>
      </w:r>
      <w:r>
        <w:rPr>
          <w:rFonts w:hint="eastAsia"/>
          <w:bCs/>
          <w:color w:val="auto"/>
          <w:sz w:val="21"/>
          <w:szCs w:val="21"/>
          <w:highlight w:val="none"/>
          <w:u w:val="single"/>
        </w:rPr>
        <w:t>分阶段验收，单项目设备安装调试完成后3个工作日内完成进场初验；赛事期间同步开展试运行验收；全部赛事结束后3个工作日内完成项目整体竣工验收。</w:t>
      </w:r>
    </w:p>
    <w:p w14:paraId="31349AF1">
      <w:pPr>
        <w:pStyle w:val="631"/>
        <w:ind w:firstLine="420" w:firstLineChars="200"/>
        <w:rPr>
          <w:bCs/>
          <w:color w:val="auto"/>
          <w:sz w:val="21"/>
          <w:szCs w:val="21"/>
          <w:highlight w:val="none"/>
        </w:rPr>
      </w:pPr>
      <w:r>
        <w:rPr>
          <w:rFonts w:hint="eastAsia"/>
          <w:bCs/>
          <w:color w:val="auto"/>
          <w:sz w:val="21"/>
          <w:szCs w:val="21"/>
          <w:highlight w:val="none"/>
        </w:rPr>
        <w:t>（3）履约验收方式：</w:t>
      </w:r>
      <w:r>
        <w:rPr>
          <w:rFonts w:cs="宋体"/>
          <w:color w:val="auto"/>
          <w:sz w:val="21"/>
          <w:szCs w:val="21"/>
          <w:highlight w:val="none"/>
        </w:rPr>
        <w:sym w:font="Wingdings" w:char="F0A8"/>
      </w:r>
      <w:r>
        <w:rPr>
          <w:rFonts w:hint="eastAsia"/>
          <w:bCs/>
          <w:color w:val="auto"/>
          <w:sz w:val="21"/>
          <w:szCs w:val="21"/>
          <w:highlight w:val="none"/>
        </w:rPr>
        <w:t xml:space="preserve">一次性验收         </w:t>
      </w:r>
    </w:p>
    <w:p w14:paraId="0F4042ED">
      <w:pPr>
        <w:pStyle w:val="631"/>
        <w:ind w:firstLine="420" w:firstLineChars="200"/>
        <w:rPr>
          <w:rFonts w:hint="eastAsia"/>
          <w:bCs/>
          <w:color w:val="auto"/>
          <w:sz w:val="21"/>
          <w:szCs w:val="21"/>
          <w:highlight w:val="none"/>
          <w:u w:val="single"/>
        </w:rPr>
      </w:pPr>
      <w:r>
        <w:rPr>
          <w:rFonts w:hint="eastAsia"/>
          <w:bCs/>
          <w:color w:val="auto"/>
          <w:sz w:val="21"/>
          <w:szCs w:val="21"/>
          <w:highlight w:val="none"/>
        </w:rPr>
        <w:t xml:space="preserve">                   </w:t>
      </w:r>
      <w:r>
        <w:rPr>
          <w:rFonts w:cs="宋体"/>
          <w:color w:val="auto"/>
          <w:sz w:val="21"/>
          <w:szCs w:val="21"/>
          <w:highlight w:val="none"/>
        </w:rPr>
        <w:sym w:font="Wingdings" w:char="00FE"/>
      </w:r>
      <w:r>
        <w:rPr>
          <w:rFonts w:hint="eastAsia"/>
          <w:bCs/>
          <w:color w:val="auto"/>
          <w:sz w:val="21"/>
          <w:szCs w:val="21"/>
          <w:highlight w:val="none"/>
        </w:rPr>
        <w:t>分期/分项验收：</w:t>
      </w:r>
      <w:r>
        <w:rPr>
          <w:rFonts w:hint="eastAsia"/>
          <w:bCs/>
          <w:color w:val="auto"/>
          <w:sz w:val="21"/>
          <w:szCs w:val="21"/>
          <w:highlight w:val="none"/>
          <w:u w:val="single"/>
        </w:rPr>
        <w:t xml:space="preserve"> 分项分期验收+整体终验，以采购需求技术参数、样品标准、国标行标、赛事竞赛标准为唯一验收依据。</w:t>
      </w:r>
    </w:p>
    <w:p w14:paraId="0EF14982">
      <w:pPr>
        <w:pStyle w:val="631"/>
        <w:ind w:firstLine="420" w:firstLineChars="200"/>
        <w:rPr>
          <w:bCs/>
          <w:color w:val="auto"/>
          <w:sz w:val="21"/>
          <w:szCs w:val="21"/>
          <w:highlight w:val="none"/>
        </w:rPr>
      </w:pPr>
      <w:r>
        <w:rPr>
          <w:rFonts w:hint="eastAsia"/>
          <w:bCs/>
          <w:color w:val="auto"/>
          <w:sz w:val="21"/>
          <w:szCs w:val="21"/>
          <w:highlight w:val="none"/>
        </w:rPr>
        <w:t>（4）履约验收程序：</w:t>
      </w:r>
      <w:r>
        <w:rPr>
          <w:rFonts w:hint="eastAsia"/>
          <w:bCs/>
          <w:color w:val="auto"/>
          <w:sz w:val="21"/>
          <w:szCs w:val="21"/>
          <w:highlight w:val="none"/>
          <w:u w:val="single"/>
        </w:rPr>
        <w:t xml:space="preserve">                                         </w:t>
      </w:r>
    </w:p>
    <w:p w14:paraId="1B1D4582">
      <w:pPr>
        <w:pStyle w:val="631"/>
        <w:ind w:firstLine="420" w:firstLineChars="200"/>
        <w:rPr>
          <w:rFonts w:hint="eastAsia"/>
          <w:bCs/>
          <w:color w:val="auto"/>
          <w:sz w:val="21"/>
          <w:szCs w:val="21"/>
          <w:highlight w:val="none"/>
          <w:u w:val="single"/>
        </w:rPr>
      </w:pPr>
      <w:r>
        <w:rPr>
          <w:rFonts w:hint="eastAsia"/>
          <w:bCs/>
          <w:color w:val="auto"/>
          <w:sz w:val="21"/>
          <w:szCs w:val="21"/>
          <w:highlight w:val="none"/>
        </w:rPr>
        <w:t>（5）履约验收的内容：</w:t>
      </w:r>
      <w:r>
        <w:rPr>
          <w:rFonts w:hint="eastAsia"/>
          <w:bCs/>
          <w:color w:val="auto"/>
          <w:sz w:val="21"/>
          <w:szCs w:val="21"/>
          <w:highlight w:val="none"/>
          <w:u w:val="single"/>
        </w:rPr>
        <w:t xml:space="preserve"> 货物数量、规格尺寸、材质结构、物理性能、冲击减震指标、环保参数、检测报告、样品一致性、安装质量、赛事运行稳定性、售后服务、政策落实情况等全部履约内容。</w:t>
      </w:r>
    </w:p>
    <w:p w14:paraId="7A95AB79">
      <w:pPr>
        <w:pStyle w:val="631"/>
        <w:ind w:firstLine="420" w:firstLineChars="200"/>
        <w:rPr>
          <w:rFonts w:hint="eastAsia"/>
          <w:bCs/>
          <w:color w:val="auto"/>
          <w:sz w:val="21"/>
          <w:szCs w:val="21"/>
          <w:highlight w:val="none"/>
          <w:u w:val="single"/>
        </w:rPr>
      </w:pPr>
      <w:r>
        <w:rPr>
          <w:rFonts w:hint="eastAsia"/>
          <w:bCs/>
          <w:color w:val="auto"/>
          <w:sz w:val="21"/>
          <w:szCs w:val="21"/>
          <w:highlight w:val="none"/>
        </w:rPr>
        <w:t>（6）履约验收标准：</w:t>
      </w:r>
      <w:r>
        <w:rPr>
          <w:rFonts w:hint="eastAsia"/>
          <w:bCs/>
          <w:color w:val="auto"/>
          <w:sz w:val="21"/>
          <w:szCs w:val="21"/>
          <w:highlight w:val="none"/>
          <w:u w:val="single"/>
        </w:rPr>
        <w:t xml:space="preserve">  100%满足采购需求全部技术、商务、样品、检测要求，符合GB/T 30419、GB/T 36793、GB/T 34288-2017、GB/T 42941.1-2023、TY/T 3701.5-2019等国标行标及柔联、摔联赛事标准，与投标样品结构、材质、工艺、性能完全一致。</w:t>
      </w:r>
    </w:p>
    <w:p w14:paraId="4E63B74A">
      <w:pPr>
        <w:pStyle w:val="631"/>
        <w:ind w:firstLine="420" w:firstLineChars="200"/>
        <w:rPr>
          <w:rFonts w:cs="宋体"/>
          <w:color w:val="auto"/>
          <w:sz w:val="21"/>
          <w:szCs w:val="21"/>
          <w:highlight w:val="none"/>
        </w:rPr>
      </w:pPr>
      <w:r>
        <w:rPr>
          <w:rFonts w:hint="eastAsia" w:cs="宋体"/>
          <w:bCs/>
          <w:color w:val="auto"/>
          <w:sz w:val="21"/>
          <w:szCs w:val="21"/>
          <w:highlight w:val="none"/>
        </w:rPr>
        <w:t>（7）是否以采购活动中供应商提供的样品作为参考：</w:t>
      </w:r>
      <w:r>
        <w:rPr>
          <w:rFonts w:cs="宋体"/>
          <w:color w:val="auto"/>
          <w:sz w:val="21"/>
          <w:szCs w:val="21"/>
          <w:highlight w:val="none"/>
        </w:rPr>
        <w:sym w:font="Wingdings" w:char="00FE"/>
      </w:r>
      <w:r>
        <w:rPr>
          <w:rFonts w:hint="eastAsia" w:cs="宋体"/>
          <w:bCs/>
          <w:color w:val="auto"/>
          <w:sz w:val="21"/>
          <w:szCs w:val="21"/>
          <w:highlight w:val="none"/>
        </w:rPr>
        <w:t xml:space="preserve">是  </w:t>
      </w:r>
      <w:r>
        <w:rPr>
          <w:rFonts w:cs="宋体"/>
          <w:color w:val="auto"/>
          <w:sz w:val="21"/>
          <w:szCs w:val="21"/>
          <w:highlight w:val="none"/>
        </w:rPr>
        <w:sym w:font="Wingdings" w:char="F0A8"/>
      </w:r>
      <w:r>
        <w:rPr>
          <w:rFonts w:hint="eastAsia" w:cs="宋体"/>
          <w:bCs/>
          <w:color w:val="auto"/>
          <w:sz w:val="21"/>
          <w:szCs w:val="21"/>
          <w:highlight w:val="none"/>
        </w:rPr>
        <w:t>否</w:t>
      </w:r>
    </w:p>
    <w:p w14:paraId="2A5271D1">
      <w:pPr>
        <w:pStyle w:val="631"/>
        <w:ind w:firstLine="420" w:firstLineChars="200"/>
        <w:rPr>
          <w:rFonts w:hint="eastAsia" w:cs="宋体"/>
          <w:bCs/>
          <w:color w:val="auto"/>
          <w:sz w:val="21"/>
          <w:szCs w:val="21"/>
          <w:highlight w:val="none"/>
          <w:u w:val="single"/>
        </w:rPr>
      </w:pPr>
      <w:r>
        <w:rPr>
          <w:rFonts w:hint="eastAsia" w:cs="宋体"/>
          <w:bCs/>
          <w:color w:val="auto"/>
          <w:sz w:val="21"/>
          <w:szCs w:val="21"/>
          <w:highlight w:val="none"/>
        </w:rPr>
        <w:t>（8）履约验收其他事项：</w:t>
      </w:r>
      <w:r>
        <w:rPr>
          <w:rFonts w:hint="eastAsia" w:cs="宋体"/>
          <w:bCs/>
          <w:color w:val="auto"/>
          <w:sz w:val="21"/>
          <w:szCs w:val="21"/>
          <w:highlight w:val="none"/>
          <w:u w:val="single"/>
        </w:rPr>
        <w:t xml:space="preserve"> 本项目投标样品作为核心验收参考依据，成品与样品不一致视为验收不合格。</w:t>
      </w:r>
    </w:p>
    <w:p w14:paraId="1E0AD4B9">
      <w:pPr>
        <w:pStyle w:val="631"/>
        <w:ind w:firstLineChars="200"/>
        <w:rPr>
          <w:b/>
          <w:color w:val="auto"/>
          <w:sz w:val="21"/>
          <w:szCs w:val="21"/>
          <w:highlight w:val="none"/>
        </w:rPr>
      </w:pPr>
      <w:r>
        <w:rPr>
          <w:rFonts w:hint="eastAsia"/>
          <w:b/>
          <w:color w:val="auto"/>
          <w:sz w:val="21"/>
          <w:szCs w:val="21"/>
          <w:highlight w:val="none"/>
        </w:rPr>
        <w:t>5.组成合同的文件</w:t>
      </w:r>
    </w:p>
    <w:p w14:paraId="0FD6DC62">
      <w:pPr>
        <w:pStyle w:val="631"/>
        <w:ind w:firstLine="420" w:firstLineChars="200"/>
        <w:rPr>
          <w:color w:val="auto"/>
          <w:sz w:val="21"/>
          <w:szCs w:val="21"/>
          <w:highlight w:val="none"/>
        </w:rPr>
      </w:pPr>
      <w:r>
        <w:rPr>
          <w:rFonts w:hint="eastAsia"/>
          <w:color w:val="auto"/>
          <w:sz w:val="21"/>
          <w:szCs w:val="21"/>
          <w:highlight w:val="none"/>
        </w:rPr>
        <w:t>本协议书与下列文件一起构成合同文件，如下述文件之间有任何抵触、矛盾或歧义，应按以下顺序解释：</w:t>
      </w:r>
    </w:p>
    <w:p w14:paraId="78EC5C74">
      <w:pPr>
        <w:pStyle w:val="631"/>
        <w:ind w:firstLine="420" w:firstLineChars="200"/>
        <w:rPr>
          <w:color w:val="auto"/>
          <w:sz w:val="21"/>
          <w:szCs w:val="21"/>
          <w:highlight w:val="none"/>
        </w:rPr>
      </w:pPr>
      <w:r>
        <w:rPr>
          <w:rFonts w:hint="eastAsia"/>
          <w:color w:val="auto"/>
          <w:sz w:val="21"/>
          <w:szCs w:val="21"/>
          <w:highlight w:val="none"/>
        </w:rPr>
        <w:t>（1）政府采购合同协议书及其变更、补充协议</w:t>
      </w:r>
    </w:p>
    <w:p w14:paraId="4F63384B">
      <w:pPr>
        <w:pStyle w:val="631"/>
        <w:ind w:firstLine="420" w:firstLineChars="200"/>
        <w:rPr>
          <w:color w:val="auto"/>
          <w:sz w:val="21"/>
          <w:szCs w:val="21"/>
          <w:highlight w:val="none"/>
        </w:rPr>
      </w:pPr>
      <w:r>
        <w:rPr>
          <w:rFonts w:hint="eastAsia"/>
          <w:color w:val="auto"/>
          <w:sz w:val="21"/>
          <w:szCs w:val="21"/>
          <w:highlight w:val="none"/>
        </w:rPr>
        <w:t>（2）政府采购合同专用条款</w:t>
      </w:r>
    </w:p>
    <w:p w14:paraId="2D666C9F">
      <w:pPr>
        <w:pStyle w:val="631"/>
        <w:ind w:firstLine="420" w:firstLineChars="200"/>
        <w:rPr>
          <w:color w:val="auto"/>
          <w:sz w:val="21"/>
          <w:szCs w:val="21"/>
          <w:highlight w:val="none"/>
        </w:rPr>
      </w:pPr>
      <w:r>
        <w:rPr>
          <w:rFonts w:hint="eastAsia"/>
          <w:color w:val="auto"/>
          <w:sz w:val="21"/>
          <w:szCs w:val="21"/>
          <w:highlight w:val="none"/>
        </w:rPr>
        <w:t>（3）政府采购合同通用条款</w:t>
      </w:r>
    </w:p>
    <w:p w14:paraId="31D3479B">
      <w:pPr>
        <w:pStyle w:val="631"/>
        <w:ind w:firstLine="420" w:firstLineChars="200"/>
        <w:rPr>
          <w:color w:val="auto"/>
          <w:sz w:val="21"/>
          <w:szCs w:val="21"/>
          <w:highlight w:val="none"/>
        </w:rPr>
      </w:pPr>
      <w:r>
        <w:rPr>
          <w:rFonts w:hint="eastAsia"/>
          <w:color w:val="auto"/>
          <w:sz w:val="21"/>
          <w:szCs w:val="21"/>
          <w:highlight w:val="none"/>
        </w:rPr>
        <w:t>（4）中标（成交）通知书</w:t>
      </w:r>
    </w:p>
    <w:p w14:paraId="30ACB7EC">
      <w:pPr>
        <w:pStyle w:val="631"/>
        <w:ind w:firstLine="420" w:firstLineChars="200"/>
        <w:rPr>
          <w:color w:val="auto"/>
          <w:sz w:val="21"/>
          <w:szCs w:val="21"/>
          <w:highlight w:val="none"/>
        </w:rPr>
      </w:pPr>
      <w:r>
        <w:rPr>
          <w:rFonts w:hint="eastAsia"/>
          <w:color w:val="auto"/>
          <w:sz w:val="21"/>
          <w:szCs w:val="21"/>
          <w:highlight w:val="none"/>
        </w:rPr>
        <w:t>（5）投标（响应）文件</w:t>
      </w:r>
    </w:p>
    <w:p w14:paraId="49F5BD01">
      <w:pPr>
        <w:pStyle w:val="631"/>
        <w:ind w:firstLine="420" w:firstLineChars="200"/>
        <w:rPr>
          <w:color w:val="auto"/>
          <w:sz w:val="21"/>
          <w:szCs w:val="21"/>
          <w:highlight w:val="none"/>
        </w:rPr>
      </w:pPr>
      <w:r>
        <w:rPr>
          <w:rFonts w:hint="eastAsia"/>
          <w:color w:val="auto"/>
          <w:sz w:val="21"/>
          <w:szCs w:val="21"/>
          <w:highlight w:val="none"/>
        </w:rPr>
        <w:t>（6）采购文件</w:t>
      </w:r>
    </w:p>
    <w:p w14:paraId="0CF97FC6">
      <w:pPr>
        <w:pStyle w:val="631"/>
        <w:ind w:firstLine="420" w:firstLineChars="200"/>
        <w:rPr>
          <w:color w:val="auto"/>
          <w:sz w:val="21"/>
          <w:szCs w:val="21"/>
          <w:highlight w:val="none"/>
        </w:rPr>
      </w:pPr>
      <w:r>
        <w:rPr>
          <w:rFonts w:hint="eastAsia"/>
          <w:color w:val="auto"/>
          <w:sz w:val="21"/>
          <w:szCs w:val="21"/>
          <w:highlight w:val="none"/>
        </w:rPr>
        <w:t>（7）有关技术文件，图纸</w:t>
      </w:r>
    </w:p>
    <w:p w14:paraId="289BEE6F">
      <w:pPr>
        <w:pStyle w:val="631"/>
        <w:ind w:firstLine="420" w:firstLineChars="200"/>
        <w:rPr>
          <w:rFonts w:cs="宋体"/>
          <w:color w:val="auto"/>
          <w:sz w:val="21"/>
          <w:szCs w:val="21"/>
          <w:highlight w:val="none"/>
        </w:rPr>
      </w:pPr>
      <w:r>
        <w:rPr>
          <w:rFonts w:hint="eastAsia" w:cs="宋体"/>
          <w:color w:val="auto"/>
          <w:sz w:val="21"/>
          <w:szCs w:val="21"/>
          <w:highlight w:val="none"/>
        </w:rPr>
        <w:t>（8）国家法律、行政法规和规章制度规定或合同约定的作为合同组成部分的其他文件</w:t>
      </w:r>
    </w:p>
    <w:p w14:paraId="4F60CB92">
      <w:pPr>
        <w:pStyle w:val="631"/>
        <w:ind w:firstLineChars="200"/>
        <w:rPr>
          <w:b/>
          <w:color w:val="auto"/>
          <w:sz w:val="21"/>
          <w:szCs w:val="21"/>
          <w:highlight w:val="none"/>
        </w:rPr>
      </w:pPr>
      <w:r>
        <w:rPr>
          <w:rFonts w:hint="eastAsia"/>
          <w:b/>
          <w:color w:val="auto"/>
          <w:sz w:val="21"/>
          <w:szCs w:val="21"/>
          <w:highlight w:val="none"/>
        </w:rPr>
        <w:t>6.合同生效</w:t>
      </w:r>
    </w:p>
    <w:p w14:paraId="11EBC034">
      <w:pPr>
        <w:pStyle w:val="631"/>
        <w:ind w:firstLine="420" w:firstLineChars="200"/>
        <w:rPr>
          <w:color w:val="auto"/>
          <w:sz w:val="21"/>
          <w:szCs w:val="21"/>
          <w:highlight w:val="none"/>
        </w:rPr>
      </w:pPr>
      <w:r>
        <w:rPr>
          <w:rFonts w:hint="eastAsia"/>
          <w:color w:val="auto"/>
          <w:sz w:val="21"/>
          <w:szCs w:val="21"/>
          <w:highlight w:val="none"/>
        </w:rPr>
        <w:t>本合同自</w:t>
      </w:r>
      <w:r>
        <w:rPr>
          <w:rFonts w:hint="eastAsia"/>
          <w:color w:val="auto"/>
          <w:sz w:val="21"/>
          <w:szCs w:val="21"/>
          <w:highlight w:val="none"/>
          <w:u w:val="single"/>
        </w:rPr>
        <w:t xml:space="preserve"> 甲乙双方法定代表人或授权代理人签字并加盖公章之日起 </w:t>
      </w:r>
      <w:r>
        <w:rPr>
          <w:rFonts w:hint="eastAsia"/>
          <w:color w:val="auto"/>
          <w:sz w:val="21"/>
          <w:szCs w:val="21"/>
          <w:highlight w:val="none"/>
        </w:rPr>
        <w:t>生效。</w:t>
      </w:r>
    </w:p>
    <w:p w14:paraId="2447796D">
      <w:pPr>
        <w:pStyle w:val="631"/>
        <w:ind w:firstLineChars="200"/>
        <w:rPr>
          <w:b/>
          <w:color w:val="auto"/>
          <w:sz w:val="21"/>
          <w:szCs w:val="21"/>
          <w:highlight w:val="none"/>
        </w:rPr>
      </w:pPr>
      <w:r>
        <w:rPr>
          <w:rFonts w:hint="eastAsia"/>
          <w:b/>
          <w:color w:val="auto"/>
          <w:sz w:val="21"/>
          <w:szCs w:val="21"/>
          <w:highlight w:val="none"/>
        </w:rPr>
        <w:t>7.合同份数</w:t>
      </w:r>
    </w:p>
    <w:p w14:paraId="6627709F">
      <w:pPr>
        <w:pStyle w:val="631"/>
        <w:ind w:firstLine="420" w:firstLineChars="200"/>
        <w:rPr>
          <w:color w:val="auto"/>
          <w:sz w:val="21"/>
          <w:szCs w:val="21"/>
          <w:highlight w:val="none"/>
        </w:rPr>
      </w:pPr>
      <w:r>
        <w:rPr>
          <w:rFonts w:hint="eastAsia"/>
          <w:color w:val="auto"/>
          <w:sz w:val="21"/>
          <w:szCs w:val="21"/>
          <w:highlight w:val="none"/>
        </w:rPr>
        <w:t>本合同一式</w:t>
      </w:r>
      <w:r>
        <w:rPr>
          <w:rFonts w:hint="eastAsia"/>
          <w:color w:val="auto"/>
          <w:sz w:val="21"/>
          <w:szCs w:val="21"/>
          <w:highlight w:val="none"/>
          <w:u w:val="single"/>
        </w:rPr>
        <w:t xml:space="preserve">    </w:t>
      </w:r>
      <w:r>
        <w:rPr>
          <w:rFonts w:hint="eastAsia"/>
          <w:color w:val="auto"/>
          <w:sz w:val="21"/>
          <w:szCs w:val="21"/>
          <w:highlight w:val="none"/>
        </w:rPr>
        <w:t>份，甲方执</w:t>
      </w:r>
      <w:r>
        <w:rPr>
          <w:rFonts w:hint="eastAsia"/>
          <w:color w:val="auto"/>
          <w:sz w:val="21"/>
          <w:szCs w:val="21"/>
          <w:highlight w:val="none"/>
          <w:u w:val="single"/>
        </w:rPr>
        <w:t xml:space="preserve">    </w:t>
      </w:r>
      <w:r>
        <w:rPr>
          <w:rFonts w:hint="eastAsia"/>
          <w:color w:val="auto"/>
          <w:sz w:val="21"/>
          <w:szCs w:val="21"/>
          <w:highlight w:val="none"/>
        </w:rPr>
        <w:t>份，乙方执</w:t>
      </w:r>
      <w:r>
        <w:rPr>
          <w:rFonts w:hint="eastAsia"/>
          <w:color w:val="auto"/>
          <w:sz w:val="21"/>
          <w:szCs w:val="21"/>
          <w:highlight w:val="none"/>
          <w:u w:val="single"/>
        </w:rPr>
        <w:t xml:space="preserve">    </w:t>
      </w:r>
      <w:r>
        <w:rPr>
          <w:rFonts w:hint="eastAsia"/>
          <w:color w:val="auto"/>
          <w:sz w:val="21"/>
          <w:szCs w:val="21"/>
          <w:highlight w:val="none"/>
        </w:rPr>
        <w:t>份，均具有同等法律效力。</w:t>
      </w:r>
    </w:p>
    <w:p w14:paraId="1EA20D4E">
      <w:pPr>
        <w:pStyle w:val="631"/>
        <w:ind w:firstLine="420" w:firstLineChars="200"/>
        <w:rPr>
          <w:color w:val="auto"/>
          <w:sz w:val="21"/>
          <w:szCs w:val="21"/>
          <w:highlight w:val="none"/>
        </w:rPr>
      </w:pPr>
      <w:r>
        <w:rPr>
          <w:rFonts w:hint="eastAsia"/>
          <w:color w:val="auto"/>
          <w:sz w:val="21"/>
          <w:szCs w:val="21"/>
          <w:highlight w:val="none"/>
        </w:rPr>
        <w:t>合同订立时间：</w:t>
      </w:r>
      <w:r>
        <w:rPr>
          <w:rFonts w:hint="eastAsia"/>
          <w:color w:val="auto"/>
          <w:sz w:val="21"/>
          <w:szCs w:val="21"/>
          <w:highlight w:val="none"/>
          <w:u w:val="single"/>
        </w:rPr>
        <w:t xml:space="preserve">         </w:t>
      </w:r>
      <w:r>
        <w:rPr>
          <w:rFonts w:hint="eastAsia"/>
          <w:color w:val="auto"/>
          <w:sz w:val="21"/>
          <w:szCs w:val="21"/>
          <w:highlight w:val="none"/>
        </w:rPr>
        <w:t>年</w:t>
      </w:r>
      <w:r>
        <w:rPr>
          <w:rFonts w:hint="eastAsia"/>
          <w:color w:val="auto"/>
          <w:sz w:val="21"/>
          <w:szCs w:val="21"/>
          <w:highlight w:val="none"/>
          <w:u w:val="single"/>
        </w:rPr>
        <w:t xml:space="preserve">      </w:t>
      </w:r>
      <w:r>
        <w:rPr>
          <w:rFonts w:hint="eastAsia"/>
          <w:color w:val="auto"/>
          <w:sz w:val="21"/>
          <w:szCs w:val="21"/>
          <w:highlight w:val="none"/>
        </w:rPr>
        <w:t>月</w:t>
      </w:r>
      <w:r>
        <w:rPr>
          <w:rFonts w:hint="eastAsia"/>
          <w:color w:val="auto"/>
          <w:sz w:val="21"/>
          <w:szCs w:val="21"/>
          <w:highlight w:val="none"/>
          <w:u w:val="single"/>
        </w:rPr>
        <w:t xml:space="preserve">      </w:t>
      </w:r>
      <w:r>
        <w:rPr>
          <w:rFonts w:hint="eastAsia"/>
          <w:color w:val="auto"/>
          <w:sz w:val="21"/>
          <w:szCs w:val="21"/>
          <w:highlight w:val="none"/>
        </w:rPr>
        <w:t>日</w:t>
      </w:r>
    </w:p>
    <w:p w14:paraId="319C24FF">
      <w:pPr>
        <w:pStyle w:val="631"/>
        <w:ind w:firstLine="420" w:firstLineChars="200"/>
        <w:rPr>
          <w:color w:val="auto"/>
          <w:sz w:val="21"/>
          <w:szCs w:val="21"/>
          <w:highlight w:val="none"/>
        </w:rPr>
      </w:pPr>
      <w:r>
        <w:rPr>
          <w:rFonts w:hint="eastAsia"/>
          <w:color w:val="auto"/>
          <w:sz w:val="21"/>
          <w:szCs w:val="21"/>
          <w:highlight w:val="none"/>
        </w:rPr>
        <w:t>合同订立地点：</w:t>
      </w:r>
      <w:r>
        <w:rPr>
          <w:rFonts w:hint="eastAsia"/>
          <w:color w:val="auto"/>
          <w:sz w:val="21"/>
          <w:szCs w:val="21"/>
          <w:highlight w:val="none"/>
          <w:u w:val="single"/>
        </w:rPr>
        <w:t xml:space="preserve">                           </w:t>
      </w:r>
    </w:p>
    <w:p w14:paraId="753375C6">
      <w:pPr>
        <w:pStyle w:val="631"/>
        <w:ind w:firstLine="420" w:firstLineChars="200"/>
        <w:rPr>
          <w:color w:val="auto"/>
          <w:sz w:val="21"/>
          <w:szCs w:val="21"/>
          <w:highlight w:val="none"/>
        </w:rPr>
      </w:pPr>
      <w:r>
        <w:rPr>
          <w:rFonts w:hint="eastAsia"/>
          <w:color w:val="auto"/>
          <w:sz w:val="21"/>
          <w:szCs w:val="21"/>
          <w:highlight w:val="none"/>
        </w:rPr>
        <w:t>附件：具体标的及其技术要求和商务要求、联合协议、分包意向协议等。</w:t>
      </w:r>
    </w:p>
    <w:p w14:paraId="3D8D17D5">
      <w:pPr>
        <w:adjustRightInd/>
        <w:rPr>
          <w:color w:val="auto"/>
          <w:sz w:val="21"/>
          <w:szCs w:val="21"/>
          <w:highlight w:val="none"/>
        </w:rPr>
      </w:pPr>
    </w:p>
    <w:p w14:paraId="795ED24C">
      <w:pPr>
        <w:adjustRightInd/>
        <w:ind w:firstLine="420" w:firstLineChars="200"/>
        <w:rPr>
          <w:color w:val="auto"/>
          <w:sz w:val="21"/>
          <w:szCs w:val="21"/>
          <w:highlight w:val="none"/>
        </w:rPr>
      </w:pPr>
    </w:p>
    <w:tbl>
      <w:tblPr>
        <w:tblStyle w:val="60"/>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2061"/>
        <w:gridCol w:w="2628"/>
        <w:gridCol w:w="2156"/>
        <w:gridCol w:w="2307"/>
      </w:tblGrid>
      <w:tr w14:paraId="0E5A0E6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62" w:type="pct"/>
            <w:gridSpan w:val="2"/>
            <w:tcBorders>
              <w:top w:val="single" w:color="auto" w:sz="4" w:space="0"/>
              <w:left w:val="single" w:color="auto" w:sz="4" w:space="0"/>
              <w:bottom w:val="single" w:color="auto" w:sz="2" w:space="0"/>
              <w:right w:val="single" w:color="auto" w:sz="2" w:space="0"/>
            </w:tcBorders>
            <w:vAlign w:val="center"/>
          </w:tcPr>
          <w:p w14:paraId="2ECF1DB1">
            <w:pPr>
              <w:snapToGrid w:val="0"/>
              <w:spacing w:line="360" w:lineRule="auto"/>
              <w:jc w:val="center"/>
              <w:rPr>
                <w:rFonts w:ascii="Calibri" w:hAnsi="Calibri"/>
                <w:color w:val="auto"/>
                <w:sz w:val="21"/>
                <w:szCs w:val="21"/>
                <w:highlight w:val="none"/>
              </w:rPr>
            </w:pPr>
            <w:r>
              <w:rPr>
                <w:rFonts w:hint="eastAsia" w:ascii="Calibri" w:hAnsi="Calibri"/>
                <w:color w:val="auto"/>
                <w:sz w:val="21"/>
                <w:szCs w:val="21"/>
                <w:highlight w:val="none"/>
              </w:rPr>
              <w:t>甲方（采购人</w:t>
            </w:r>
            <w:r>
              <w:rPr>
                <w:rFonts w:hint="eastAsia" w:ascii="宋体" w:hAnsi="宋体"/>
                <w:color w:val="auto"/>
                <w:sz w:val="21"/>
                <w:szCs w:val="21"/>
                <w:highlight w:val="none"/>
              </w:rPr>
              <w:t>、受采购人委托签订合同的单位或</w:t>
            </w:r>
            <w:r>
              <w:rPr>
                <w:rFonts w:hint="eastAsia" w:ascii="Calibri" w:hAnsi="Calibri"/>
                <w:color w:val="auto"/>
                <w:sz w:val="21"/>
                <w:szCs w:val="21"/>
                <w:highlight w:val="none"/>
              </w:rPr>
              <w:t>采购文件约定的合同甲方）</w:t>
            </w:r>
          </w:p>
        </w:tc>
        <w:tc>
          <w:tcPr>
            <w:tcW w:w="2437" w:type="pct"/>
            <w:gridSpan w:val="2"/>
            <w:tcBorders>
              <w:top w:val="single" w:color="auto" w:sz="4" w:space="0"/>
              <w:left w:val="single" w:color="auto" w:sz="2" w:space="0"/>
              <w:bottom w:val="single" w:color="auto" w:sz="2" w:space="0"/>
              <w:right w:val="single" w:color="auto" w:sz="4" w:space="0"/>
            </w:tcBorders>
            <w:vAlign w:val="center"/>
          </w:tcPr>
          <w:p w14:paraId="01065BE5">
            <w:pPr>
              <w:snapToGrid w:val="0"/>
              <w:spacing w:line="360" w:lineRule="auto"/>
              <w:jc w:val="center"/>
              <w:rPr>
                <w:rFonts w:ascii="Calibri" w:hAnsi="Calibri"/>
                <w:color w:val="auto"/>
                <w:sz w:val="21"/>
                <w:szCs w:val="21"/>
                <w:highlight w:val="none"/>
              </w:rPr>
            </w:pPr>
            <w:r>
              <w:rPr>
                <w:rFonts w:hint="eastAsia" w:ascii="Calibri" w:hAnsi="Calibri"/>
                <w:color w:val="auto"/>
                <w:sz w:val="21"/>
                <w:szCs w:val="21"/>
                <w:highlight w:val="none"/>
              </w:rPr>
              <w:t>乙方（供应商）</w:t>
            </w:r>
          </w:p>
        </w:tc>
      </w:tr>
      <w:tr w14:paraId="4F83E38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126" w:type="pct"/>
            <w:tcBorders>
              <w:top w:val="single" w:color="auto" w:sz="2" w:space="0"/>
              <w:left w:val="single" w:color="auto" w:sz="4" w:space="0"/>
              <w:bottom w:val="single" w:color="auto" w:sz="2" w:space="0"/>
              <w:right w:val="single" w:color="auto" w:sz="2" w:space="0"/>
            </w:tcBorders>
            <w:vAlign w:val="center"/>
          </w:tcPr>
          <w:p w14:paraId="29A8A2C8">
            <w:pPr>
              <w:snapToGrid w:val="0"/>
              <w:spacing w:line="360" w:lineRule="auto"/>
              <w:jc w:val="center"/>
              <w:rPr>
                <w:rFonts w:ascii="Calibri" w:hAnsi="Calibri"/>
                <w:color w:val="auto"/>
                <w:sz w:val="21"/>
                <w:szCs w:val="21"/>
                <w:highlight w:val="none"/>
              </w:rPr>
            </w:pPr>
            <w:r>
              <w:rPr>
                <w:rFonts w:hint="eastAsia" w:ascii="Calibri" w:hAnsi="Calibri"/>
                <w:color w:val="auto"/>
                <w:sz w:val="21"/>
                <w:szCs w:val="21"/>
                <w:highlight w:val="none"/>
              </w:rPr>
              <w:t>单位名称（公章或合同章）</w:t>
            </w:r>
          </w:p>
        </w:tc>
        <w:tc>
          <w:tcPr>
            <w:tcW w:w="1436" w:type="pct"/>
            <w:tcBorders>
              <w:top w:val="single" w:color="auto" w:sz="2" w:space="0"/>
              <w:left w:val="single" w:color="auto" w:sz="2" w:space="0"/>
              <w:bottom w:val="single" w:color="auto" w:sz="2" w:space="0"/>
              <w:right w:val="single" w:color="auto" w:sz="2" w:space="0"/>
            </w:tcBorders>
            <w:vAlign w:val="center"/>
          </w:tcPr>
          <w:p w14:paraId="5AFA1E8E">
            <w:pPr>
              <w:snapToGrid w:val="0"/>
              <w:spacing w:line="360" w:lineRule="auto"/>
              <w:jc w:val="center"/>
              <w:rPr>
                <w:rFonts w:ascii="Calibri" w:hAnsi="Calibri"/>
                <w:color w:val="auto"/>
                <w:sz w:val="21"/>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3BBAB6B5">
            <w:pPr>
              <w:snapToGrid w:val="0"/>
              <w:spacing w:line="360" w:lineRule="auto"/>
              <w:jc w:val="center"/>
              <w:rPr>
                <w:rFonts w:ascii="Calibri" w:hAnsi="Calibri"/>
                <w:color w:val="auto"/>
                <w:sz w:val="21"/>
                <w:szCs w:val="21"/>
                <w:highlight w:val="none"/>
              </w:rPr>
            </w:pPr>
            <w:r>
              <w:rPr>
                <w:rFonts w:hint="eastAsia" w:ascii="Calibri" w:hAnsi="Calibri"/>
                <w:color w:val="auto"/>
                <w:sz w:val="21"/>
                <w:szCs w:val="21"/>
                <w:highlight w:val="none"/>
              </w:rPr>
              <w:t>单位名称（公章或合同章）</w:t>
            </w:r>
          </w:p>
        </w:tc>
        <w:tc>
          <w:tcPr>
            <w:tcW w:w="1259" w:type="pct"/>
            <w:tcBorders>
              <w:top w:val="single" w:color="auto" w:sz="2" w:space="0"/>
              <w:left w:val="single" w:color="auto" w:sz="2" w:space="0"/>
              <w:bottom w:val="single" w:color="auto" w:sz="2" w:space="0"/>
              <w:right w:val="single" w:color="auto" w:sz="4" w:space="0"/>
            </w:tcBorders>
            <w:vAlign w:val="center"/>
          </w:tcPr>
          <w:p w14:paraId="5DCCEDB3">
            <w:pPr>
              <w:snapToGrid w:val="0"/>
              <w:spacing w:line="360" w:lineRule="auto"/>
              <w:jc w:val="center"/>
              <w:rPr>
                <w:rFonts w:ascii="Calibri" w:hAnsi="Calibri"/>
                <w:color w:val="auto"/>
                <w:spacing w:val="20"/>
                <w:sz w:val="21"/>
                <w:szCs w:val="21"/>
                <w:highlight w:val="none"/>
              </w:rPr>
            </w:pPr>
          </w:p>
        </w:tc>
      </w:tr>
      <w:tr w14:paraId="590E0D9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126" w:type="pct"/>
            <w:vMerge w:val="restart"/>
            <w:tcBorders>
              <w:top w:val="single" w:color="auto" w:sz="2" w:space="0"/>
              <w:left w:val="single" w:color="auto" w:sz="4" w:space="0"/>
              <w:bottom w:val="single" w:color="auto" w:sz="2" w:space="0"/>
              <w:right w:val="single" w:color="auto" w:sz="2" w:space="0"/>
            </w:tcBorders>
            <w:vAlign w:val="center"/>
          </w:tcPr>
          <w:p w14:paraId="448BB015">
            <w:pPr>
              <w:snapToGrid w:val="0"/>
              <w:spacing w:line="360" w:lineRule="auto"/>
              <w:jc w:val="center"/>
              <w:rPr>
                <w:rFonts w:ascii="Calibri" w:hAnsi="Calibri"/>
                <w:color w:val="auto"/>
                <w:sz w:val="21"/>
                <w:szCs w:val="21"/>
                <w:highlight w:val="none"/>
              </w:rPr>
            </w:pPr>
            <w:r>
              <w:rPr>
                <w:rFonts w:hint="eastAsia" w:ascii="Calibri" w:hAnsi="Calibri"/>
                <w:color w:val="auto"/>
                <w:sz w:val="21"/>
                <w:szCs w:val="21"/>
                <w:highlight w:val="none"/>
              </w:rPr>
              <w:t>法定代表人</w:t>
            </w:r>
          </w:p>
          <w:p w14:paraId="3D88A53A">
            <w:pPr>
              <w:snapToGrid w:val="0"/>
              <w:spacing w:line="360" w:lineRule="auto"/>
              <w:ind w:firstLine="100" w:firstLineChars="48"/>
              <w:jc w:val="center"/>
              <w:rPr>
                <w:rFonts w:ascii="Calibri" w:hAnsi="Calibri"/>
                <w:color w:val="auto"/>
                <w:sz w:val="21"/>
                <w:szCs w:val="21"/>
                <w:highlight w:val="none"/>
              </w:rPr>
            </w:pPr>
            <w:r>
              <w:rPr>
                <w:rFonts w:hint="eastAsia" w:ascii="Calibri" w:hAnsi="Calibri"/>
                <w:color w:val="auto"/>
                <w:sz w:val="21"/>
                <w:szCs w:val="21"/>
                <w:highlight w:val="none"/>
              </w:rPr>
              <w:t>或其委托代理人（签章）</w:t>
            </w:r>
          </w:p>
        </w:tc>
        <w:tc>
          <w:tcPr>
            <w:tcW w:w="1436" w:type="pct"/>
            <w:vMerge w:val="restart"/>
            <w:tcBorders>
              <w:top w:val="single" w:color="auto" w:sz="2" w:space="0"/>
              <w:left w:val="single" w:color="auto" w:sz="2" w:space="0"/>
              <w:bottom w:val="single" w:color="auto" w:sz="2" w:space="0"/>
              <w:right w:val="single" w:color="auto" w:sz="2" w:space="0"/>
            </w:tcBorders>
            <w:vAlign w:val="center"/>
          </w:tcPr>
          <w:p w14:paraId="20FCA6A1">
            <w:pPr>
              <w:snapToGrid w:val="0"/>
              <w:spacing w:line="360" w:lineRule="auto"/>
              <w:jc w:val="center"/>
              <w:rPr>
                <w:rFonts w:ascii="Calibri" w:hAnsi="Calibri"/>
                <w:color w:val="auto"/>
                <w:sz w:val="21"/>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7CD3681F">
            <w:pPr>
              <w:snapToGrid w:val="0"/>
              <w:spacing w:line="360" w:lineRule="auto"/>
              <w:jc w:val="center"/>
              <w:rPr>
                <w:rFonts w:ascii="Calibri" w:hAnsi="Calibri"/>
                <w:color w:val="auto"/>
                <w:sz w:val="21"/>
                <w:szCs w:val="21"/>
                <w:highlight w:val="none"/>
              </w:rPr>
            </w:pPr>
            <w:r>
              <w:rPr>
                <w:rFonts w:hint="eastAsia" w:ascii="Calibri" w:hAnsi="Calibri"/>
                <w:color w:val="auto"/>
                <w:sz w:val="21"/>
                <w:szCs w:val="21"/>
                <w:highlight w:val="none"/>
              </w:rPr>
              <w:t>法定代表人</w:t>
            </w:r>
          </w:p>
          <w:p w14:paraId="468957CE">
            <w:pPr>
              <w:snapToGrid w:val="0"/>
              <w:spacing w:line="360" w:lineRule="auto"/>
              <w:jc w:val="center"/>
              <w:rPr>
                <w:rFonts w:ascii="Calibri" w:hAnsi="Calibri"/>
                <w:color w:val="auto"/>
                <w:sz w:val="21"/>
                <w:szCs w:val="21"/>
                <w:highlight w:val="none"/>
              </w:rPr>
            </w:pPr>
            <w:r>
              <w:rPr>
                <w:rFonts w:hint="eastAsia" w:ascii="Calibri" w:hAnsi="Calibri"/>
                <w:color w:val="auto"/>
                <w:sz w:val="21"/>
                <w:szCs w:val="21"/>
                <w:highlight w:val="none"/>
              </w:rPr>
              <w:t>或其委托代理人（签章）</w:t>
            </w:r>
          </w:p>
        </w:tc>
        <w:tc>
          <w:tcPr>
            <w:tcW w:w="1259" w:type="pct"/>
            <w:tcBorders>
              <w:top w:val="single" w:color="auto" w:sz="2" w:space="0"/>
              <w:left w:val="single" w:color="auto" w:sz="2" w:space="0"/>
              <w:bottom w:val="single" w:color="auto" w:sz="2" w:space="0"/>
              <w:right w:val="single" w:color="auto" w:sz="4" w:space="0"/>
            </w:tcBorders>
            <w:vAlign w:val="center"/>
          </w:tcPr>
          <w:p w14:paraId="1B58B9AD">
            <w:pPr>
              <w:snapToGrid w:val="0"/>
              <w:spacing w:line="360" w:lineRule="auto"/>
              <w:jc w:val="center"/>
              <w:rPr>
                <w:rFonts w:ascii="Calibri" w:hAnsi="Calibri"/>
                <w:color w:val="auto"/>
                <w:sz w:val="21"/>
                <w:szCs w:val="21"/>
                <w:highlight w:val="none"/>
              </w:rPr>
            </w:pPr>
          </w:p>
        </w:tc>
      </w:tr>
      <w:tr w14:paraId="7E31DC6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0" w:type="auto"/>
            <w:vMerge w:val="continue"/>
            <w:tcBorders>
              <w:top w:val="single" w:color="auto" w:sz="2" w:space="0"/>
              <w:left w:val="single" w:color="auto" w:sz="4" w:space="0"/>
              <w:bottom w:val="single" w:color="auto" w:sz="2" w:space="0"/>
              <w:right w:val="single" w:color="auto" w:sz="2" w:space="0"/>
            </w:tcBorders>
            <w:vAlign w:val="center"/>
          </w:tcPr>
          <w:p w14:paraId="17B3D86B">
            <w:pPr>
              <w:widowControl/>
              <w:adjustRightInd/>
              <w:spacing w:line="360" w:lineRule="auto"/>
              <w:jc w:val="left"/>
              <w:rPr>
                <w:rFonts w:ascii="Calibri" w:hAnsi="Calibri"/>
                <w:color w:val="auto"/>
                <w:sz w:val="21"/>
                <w:szCs w:val="21"/>
                <w:highlight w:val="none"/>
              </w:rPr>
            </w:pPr>
          </w:p>
        </w:tc>
        <w:tc>
          <w:tcPr>
            <w:tcW w:w="0" w:type="auto"/>
            <w:vMerge w:val="continue"/>
            <w:tcBorders>
              <w:top w:val="single" w:color="auto" w:sz="2" w:space="0"/>
              <w:left w:val="single" w:color="auto" w:sz="2" w:space="0"/>
              <w:bottom w:val="single" w:color="auto" w:sz="2" w:space="0"/>
              <w:right w:val="single" w:color="auto" w:sz="2" w:space="0"/>
            </w:tcBorders>
            <w:vAlign w:val="center"/>
          </w:tcPr>
          <w:p w14:paraId="66A9D52C">
            <w:pPr>
              <w:widowControl/>
              <w:adjustRightInd/>
              <w:spacing w:line="360" w:lineRule="auto"/>
              <w:jc w:val="left"/>
              <w:rPr>
                <w:rFonts w:ascii="Calibri" w:hAnsi="Calibri"/>
                <w:color w:val="auto"/>
                <w:sz w:val="21"/>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6B988B46">
            <w:pPr>
              <w:snapToGrid w:val="0"/>
              <w:spacing w:line="360" w:lineRule="auto"/>
              <w:jc w:val="center"/>
              <w:rPr>
                <w:rFonts w:ascii="Calibri" w:hAnsi="Calibri"/>
                <w:color w:val="auto"/>
                <w:sz w:val="21"/>
                <w:szCs w:val="21"/>
                <w:highlight w:val="none"/>
              </w:rPr>
            </w:pPr>
            <w:r>
              <w:rPr>
                <w:rFonts w:hint="eastAsia" w:ascii="Calibri" w:hAnsi="Calibri"/>
                <w:color w:val="auto"/>
                <w:sz w:val="21"/>
                <w:szCs w:val="21"/>
                <w:highlight w:val="none"/>
              </w:rPr>
              <w:t>拥有者性别</w:t>
            </w:r>
          </w:p>
        </w:tc>
        <w:tc>
          <w:tcPr>
            <w:tcW w:w="1259" w:type="pct"/>
            <w:tcBorders>
              <w:top w:val="single" w:color="auto" w:sz="2" w:space="0"/>
              <w:left w:val="single" w:color="auto" w:sz="2" w:space="0"/>
              <w:bottom w:val="single" w:color="auto" w:sz="2" w:space="0"/>
              <w:right w:val="single" w:color="auto" w:sz="4" w:space="0"/>
            </w:tcBorders>
            <w:vAlign w:val="center"/>
          </w:tcPr>
          <w:p w14:paraId="729CCA92">
            <w:pPr>
              <w:snapToGrid w:val="0"/>
              <w:spacing w:line="360" w:lineRule="auto"/>
              <w:jc w:val="center"/>
              <w:rPr>
                <w:rFonts w:ascii="Calibri" w:hAnsi="Calibri"/>
                <w:color w:val="auto"/>
                <w:spacing w:val="20"/>
                <w:sz w:val="21"/>
                <w:szCs w:val="21"/>
                <w:highlight w:val="none"/>
              </w:rPr>
            </w:pPr>
          </w:p>
        </w:tc>
      </w:tr>
      <w:tr w14:paraId="54E8759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7396DED0">
            <w:pPr>
              <w:snapToGrid w:val="0"/>
              <w:spacing w:line="360" w:lineRule="auto"/>
              <w:jc w:val="center"/>
              <w:rPr>
                <w:rFonts w:ascii="Calibri" w:hAnsi="Calibri"/>
                <w:color w:val="auto"/>
                <w:sz w:val="21"/>
                <w:szCs w:val="21"/>
                <w:highlight w:val="none"/>
              </w:rPr>
            </w:pPr>
            <w:r>
              <w:rPr>
                <w:rFonts w:hint="eastAsia" w:ascii="Calibri" w:hAnsi="Calibri"/>
                <w:color w:val="auto"/>
                <w:sz w:val="21"/>
                <w:szCs w:val="21"/>
                <w:highlight w:val="none"/>
              </w:rPr>
              <w:t>住</w:t>
            </w:r>
            <w:r>
              <w:rPr>
                <w:rFonts w:ascii="Calibri" w:hAnsi="Calibri"/>
                <w:color w:val="auto"/>
                <w:sz w:val="21"/>
                <w:szCs w:val="21"/>
                <w:highlight w:val="none"/>
              </w:rPr>
              <w:t xml:space="preserve">  </w:t>
            </w:r>
            <w:r>
              <w:rPr>
                <w:rFonts w:hint="eastAsia" w:ascii="Calibri" w:hAnsi="Calibri"/>
                <w:color w:val="auto"/>
                <w:sz w:val="21"/>
                <w:szCs w:val="21"/>
                <w:highlight w:val="none"/>
              </w:rPr>
              <w:t>所</w:t>
            </w:r>
          </w:p>
        </w:tc>
        <w:tc>
          <w:tcPr>
            <w:tcW w:w="1436" w:type="pct"/>
            <w:tcBorders>
              <w:top w:val="single" w:color="auto" w:sz="2" w:space="0"/>
              <w:left w:val="single" w:color="auto" w:sz="2" w:space="0"/>
              <w:bottom w:val="single" w:color="auto" w:sz="2" w:space="0"/>
              <w:right w:val="single" w:color="auto" w:sz="2" w:space="0"/>
            </w:tcBorders>
            <w:vAlign w:val="center"/>
          </w:tcPr>
          <w:p w14:paraId="2AE0EC2C">
            <w:pPr>
              <w:snapToGrid w:val="0"/>
              <w:spacing w:line="360" w:lineRule="auto"/>
              <w:jc w:val="center"/>
              <w:rPr>
                <w:rFonts w:ascii="Calibri" w:hAnsi="Calibri"/>
                <w:color w:val="auto"/>
                <w:sz w:val="21"/>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5F0F8B74">
            <w:pPr>
              <w:snapToGrid w:val="0"/>
              <w:spacing w:line="360" w:lineRule="auto"/>
              <w:jc w:val="center"/>
              <w:rPr>
                <w:rFonts w:ascii="Calibri" w:hAnsi="Calibri"/>
                <w:color w:val="auto"/>
                <w:sz w:val="21"/>
                <w:szCs w:val="21"/>
                <w:highlight w:val="none"/>
              </w:rPr>
            </w:pPr>
            <w:r>
              <w:rPr>
                <w:rFonts w:hint="eastAsia" w:ascii="Calibri" w:hAnsi="Calibri"/>
                <w:color w:val="auto"/>
                <w:sz w:val="21"/>
                <w:szCs w:val="21"/>
                <w:highlight w:val="none"/>
              </w:rPr>
              <w:t>住</w:t>
            </w:r>
            <w:r>
              <w:rPr>
                <w:rFonts w:ascii="Calibri" w:hAnsi="Calibri"/>
                <w:color w:val="auto"/>
                <w:sz w:val="21"/>
                <w:szCs w:val="21"/>
                <w:highlight w:val="none"/>
              </w:rPr>
              <w:t xml:space="preserve">  </w:t>
            </w:r>
            <w:r>
              <w:rPr>
                <w:rFonts w:hint="eastAsia" w:ascii="Calibri" w:hAnsi="Calibri"/>
                <w:color w:val="auto"/>
                <w:sz w:val="21"/>
                <w:szCs w:val="21"/>
                <w:highlight w:val="none"/>
              </w:rPr>
              <w:t>所</w:t>
            </w:r>
          </w:p>
        </w:tc>
        <w:tc>
          <w:tcPr>
            <w:tcW w:w="1259" w:type="pct"/>
            <w:tcBorders>
              <w:top w:val="single" w:color="auto" w:sz="2" w:space="0"/>
              <w:left w:val="single" w:color="auto" w:sz="2" w:space="0"/>
              <w:bottom w:val="single" w:color="auto" w:sz="2" w:space="0"/>
              <w:right w:val="single" w:color="auto" w:sz="4" w:space="0"/>
            </w:tcBorders>
            <w:vAlign w:val="center"/>
          </w:tcPr>
          <w:p w14:paraId="689ADBF4">
            <w:pPr>
              <w:snapToGrid w:val="0"/>
              <w:spacing w:line="360" w:lineRule="auto"/>
              <w:jc w:val="center"/>
              <w:rPr>
                <w:rFonts w:ascii="Calibri" w:hAnsi="Calibri"/>
                <w:color w:val="auto"/>
                <w:spacing w:val="20"/>
                <w:sz w:val="21"/>
                <w:szCs w:val="21"/>
                <w:highlight w:val="none"/>
              </w:rPr>
            </w:pPr>
          </w:p>
        </w:tc>
      </w:tr>
      <w:tr w14:paraId="4CD4860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535C35AA">
            <w:pPr>
              <w:snapToGrid w:val="0"/>
              <w:spacing w:line="360" w:lineRule="auto"/>
              <w:jc w:val="center"/>
              <w:rPr>
                <w:rFonts w:ascii="Calibri" w:hAnsi="Calibri"/>
                <w:color w:val="auto"/>
                <w:sz w:val="21"/>
                <w:szCs w:val="21"/>
                <w:highlight w:val="none"/>
              </w:rPr>
            </w:pPr>
            <w:r>
              <w:rPr>
                <w:rFonts w:hint="eastAsia" w:ascii="Calibri" w:hAnsi="Calibri"/>
                <w:color w:val="auto"/>
                <w:sz w:val="21"/>
                <w:szCs w:val="21"/>
                <w:highlight w:val="none"/>
              </w:rPr>
              <w:t>联</w:t>
            </w:r>
            <w:r>
              <w:rPr>
                <w:rFonts w:ascii="Calibri" w:hAnsi="Calibri"/>
                <w:color w:val="auto"/>
                <w:sz w:val="21"/>
                <w:szCs w:val="21"/>
                <w:highlight w:val="none"/>
              </w:rPr>
              <w:t xml:space="preserve"> </w:t>
            </w:r>
            <w:r>
              <w:rPr>
                <w:rFonts w:hint="eastAsia" w:ascii="Calibri" w:hAnsi="Calibri"/>
                <w:color w:val="auto"/>
                <w:sz w:val="21"/>
                <w:szCs w:val="21"/>
                <w:highlight w:val="none"/>
              </w:rPr>
              <w:t>系</w:t>
            </w:r>
            <w:r>
              <w:rPr>
                <w:rFonts w:ascii="Calibri" w:hAnsi="Calibri"/>
                <w:color w:val="auto"/>
                <w:sz w:val="21"/>
                <w:szCs w:val="21"/>
                <w:highlight w:val="none"/>
              </w:rPr>
              <w:t xml:space="preserve"> </w:t>
            </w:r>
            <w:r>
              <w:rPr>
                <w:rFonts w:hint="eastAsia" w:ascii="Calibri" w:hAnsi="Calibri"/>
                <w:color w:val="auto"/>
                <w:sz w:val="21"/>
                <w:szCs w:val="21"/>
                <w:highlight w:val="none"/>
              </w:rPr>
              <w:t>人</w:t>
            </w:r>
          </w:p>
        </w:tc>
        <w:tc>
          <w:tcPr>
            <w:tcW w:w="1436" w:type="pct"/>
            <w:tcBorders>
              <w:top w:val="single" w:color="auto" w:sz="2" w:space="0"/>
              <w:left w:val="single" w:color="auto" w:sz="2" w:space="0"/>
              <w:bottom w:val="single" w:color="auto" w:sz="2" w:space="0"/>
              <w:right w:val="single" w:color="auto" w:sz="2" w:space="0"/>
            </w:tcBorders>
            <w:vAlign w:val="center"/>
          </w:tcPr>
          <w:p w14:paraId="3B2AB4AE">
            <w:pPr>
              <w:snapToGrid w:val="0"/>
              <w:spacing w:line="360" w:lineRule="auto"/>
              <w:jc w:val="center"/>
              <w:rPr>
                <w:rFonts w:ascii="Calibri" w:hAnsi="Calibri"/>
                <w:color w:val="auto"/>
                <w:sz w:val="21"/>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334DC701">
            <w:pPr>
              <w:snapToGrid w:val="0"/>
              <w:spacing w:line="360" w:lineRule="auto"/>
              <w:jc w:val="center"/>
              <w:rPr>
                <w:rFonts w:ascii="Calibri" w:hAnsi="Calibri"/>
                <w:color w:val="auto"/>
                <w:sz w:val="21"/>
                <w:szCs w:val="21"/>
                <w:highlight w:val="none"/>
              </w:rPr>
            </w:pPr>
            <w:r>
              <w:rPr>
                <w:rFonts w:hint="eastAsia" w:ascii="Calibri" w:hAnsi="Calibri"/>
                <w:color w:val="auto"/>
                <w:sz w:val="21"/>
                <w:szCs w:val="21"/>
                <w:highlight w:val="none"/>
              </w:rPr>
              <w:t>联</w:t>
            </w:r>
            <w:r>
              <w:rPr>
                <w:rFonts w:ascii="Calibri" w:hAnsi="Calibri"/>
                <w:color w:val="auto"/>
                <w:sz w:val="21"/>
                <w:szCs w:val="21"/>
                <w:highlight w:val="none"/>
              </w:rPr>
              <w:t xml:space="preserve"> </w:t>
            </w:r>
            <w:r>
              <w:rPr>
                <w:rFonts w:hint="eastAsia" w:ascii="Calibri" w:hAnsi="Calibri"/>
                <w:color w:val="auto"/>
                <w:sz w:val="21"/>
                <w:szCs w:val="21"/>
                <w:highlight w:val="none"/>
              </w:rPr>
              <w:t>系</w:t>
            </w:r>
            <w:r>
              <w:rPr>
                <w:rFonts w:ascii="Calibri" w:hAnsi="Calibri"/>
                <w:color w:val="auto"/>
                <w:sz w:val="21"/>
                <w:szCs w:val="21"/>
                <w:highlight w:val="none"/>
              </w:rPr>
              <w:t xml:space="preserve"> </w:t>
            </w:r>
            <w:r>
              <w:rPr>
                <w:rFonts w:hint="eastAsia" w:ascii="Calibri" w:hAnsi="Calibri"/>
                <w:color w:val="auto"/>
                <w:sz w:val="21"/>
                <w:szCs w:val="21"/>
                <w:highlight w:val="none"/>
              </w:rPr>
              <w:t>人</w:t>
            </w:r>
          </w:p>
        </w:tc>
        <w:tc>
          <w:tcPr>
            <w:tcW w:w="1259" w:type="pct"/>
            <w:tcBorders>
              <w:top w:val="single" w:color="auto" w:sz="2" w:space="0"/>
              <w:left w:val="single" w:color="auto" w:sz="2" w:space="0"/>
              <w:bottom w:val="single" w:color="auto" w:sz="2" w:space="0"/>
              <w:right w:val="single" w:color="auto" w:sz="4" w:space="0"/>
            </w:tcBorders>
            <w:vAlign w:val="center"/>
          </w:tcPr>
          <w:p w14:paraId="2C058983">
            <w:pPr>
              <w:snapToGrid w:val="0"/>
              <w:spacing w:line="360" w:lineRule="auto"/>
              <w:jc w:val="center"/>
              <w:rPr>
                <w:rFonts w:ascii="Calibri" w:hAnsi="Calibri"/>
                <w:color w:val="auto"/>
                <w:spacing w:val="20"/>
                <w:sz w:val="21"/>
                <w:szCs w:val="21"/>
                <w:highlight w:val="none"/>
              </w:rPr>
            </w:pPr>
          </w:p>
        </w:tc>
      </w:tr>
      <w:tr w14:paraId="6D3A281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2AFB1039">
            <w:pPr>
              <w:snapToGrid w:val="0"/>
              <w:spacing w:line="360" w:lineRule="auto"/>
              <w:jc w:val="center"/>
              <w:rPr>
                <w:rFonts w:ascii="Calibri" w:hAnsi="Calibri"/>
                <w:color w:val="auto"/>
                <w:sz w:val="21"/>
                <w:szCs w:val="21"/>
                <w:highlight w:val="none"/>
              </w:rPr>
            </w:pPr>
            <w:r>
              <w:rPr>
                <w:rFonts w:hint="eastAsia" w:ascii="Calibri" w:hAnsi="Calibri"/>
                <w:color w:val="auto"/>
                <w:sz w:val="21"/>
                <w:szCs w:val="21"/>
                <w:highlight w:val="none"/>
              </w:rPr>
              <w:t>联系电话</w:t>
            </w:r>
          </w:p>
        </w:tc>
        <w:tc>
          <w:tcPr>
            <w:tcW w:w="1436" w:type="pct"/>
            <w:tcBorders>
              <w:top w:val="single" w:color="auto" w:sz="2" w:space="0"/>
              <w:left w:val="single" w:color="auto" w:sz="2" w:space="0"/>
              <w:bottom w:val="single" w:color="auto" w:sz="2" w:space="0"/>
              <w:right w:val="single" w:color="auto" w:sz="2" w:space="0"/>
            </w:tcBorders>
            <w:vAlign w:val="center"/>
          </w:tcPr>
          <w:p w14:paraId="1A3CCD3A">
            <w:pPr>
              <w:snapToGrid w:val="0"/>
              <w:spacing w:line="360" w:lineRule="auto"/>
              <w:jc w:val="center"/>
              <w:rPr>
                <w:rFonts w:ascii="Calibri" w:hAnsi="Calibri"/>
                <w:color w:val="auto"/>
                <w:sz w:val="21"/>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2A6EFBAD">
            <w:pPr>
              <w:snapToGrid w:val="0"/>
              <w:spacing w:line="360" w:lineRule="auto"/>
              <w:jc w:val="center"/>
              <w:rPr>
                <w:rFonts w:ascii="Calibri" w:hAnsi="Calibri"/>
                <w:color w:val="auto"/>
                <w:sz w:val="21"/>
                <w:szCs w:val="21"/>
                <w:highlight w:val="none"/>
              </w:rPr>
            </w:pPr>
            <w:r>
              <w:rPr>
                <w:rFonts w:hint="eastAsia" w:ascii="Calibri" w:hAnsi="Calibri"/>
                <w:color w:val="auto"/>
                <w:sz w:val="21"/>
                <w:szCs w:val="21"/>
                <w:highlight w:val="none"/>
              </w:rPr>
              <w:t>联系电话</w:t>
            </w:r>
          </w:p>
        </w:tc>
        <w:tc>
          <w:tcPr>
            <w:tcW w:w="1259" w:type="pct"/>
            <w:tcBorders>
              <w:top w:val="single" w:color="auto" w:sz="2" w:space="0"/>
              <w:left w:val="single" w:color="auto" w:sz="2" w:space="0"/>
              <w:bottom w:val="single" w:color="auto" w:sz="2" w:space="0"/>
              <w:right w:val="single" w:color="auto" w:sz="4" w:space="0"/>
            </w:tcBorders>
            <w:vAlign w:val="center"/>
          </w:tcPr>
          <w:p w14:paraId="7AB4D5B5">
            <w:pPr>
              <w:snapToGrid w:val="0"/>
              <w:spacing w:line="360" w:lineRule="auto"/>
              <w:jc w:val="center"/>
              <w:rPr>
                <w:rFonts w:ascii="Calibri" w:hAnsi="Calibri"/>
                <w:color w:val="auto"/>
                <w:spacing w:val="20"/>
                <w:sz w:val="21"/>
                <w:szCs w:val="21"/>
                <w:highlight w:val="none"/>
              </w:rPr>
            </w:pPr>
          </w:p>
        </w:tc>
      </w:tr>
      <w:tr w14:paraId="617CBB4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54820B3E">
            <w:pPr>
              <w:snapToGrid w:val="0"/>
              <w:spacing w:line="360" w:lineRule="auto"/>
              <w:jc w:val="center"/>
              <w:rPr>
                <w:rFonts w:ascii="Calibri" w:hAnsi="Calibri"/>
                <w:color w:val="auto"/>
                <w:sz w:val="21"/>
                <w:szCs w:val="21"/>
                <w:highlight w:val="none"/>
              </w:rPr>
            </w:pPr>
            <w:r>
              <w:rPr>
                <w:rFonts w:hint="eastAsia" w:ascii="Calibri" w:hAnsi="Calibri"/>
                <w:color w:val="auto"/>
                <w:sz w:val="21"/>
                <w:szCs w:val="21"/>
                <w:highlight w:val="none"/>
              </w:rPr>
              <w:t>通信地址</w:t>
            </w:r>
          </w:p>
        </w:tc>
        <w:tc>
          <w:tcPr>
            <w:tcW w:w="1436" w:type="pct"/>
            <w:tcBorders>
              <w:top w:val="single" w:color="auto" w:sz="2" w:space="0"/>
              <w:left w:val="single" w:color="auto" w:sz="2" w:space="0"/>
              <w:bottom w:val="single" w:color="auto" w:sz="2" w:space="0"/>
              <w:right w:val="single" w:color="auto" w:sz="2" w:space="0"/>
            </w:tcBorders>
            <w:vAlign w:val="center"/>
          </w:tcPr>
          <w:p w14:paraId="5255A7F4">
            <w:pPr>
              <w:snapToGrid w:val="0"/>
              <w:spacing w:line="360" w:lineRule="auto"/>
              <w:jc w:val="center"/>
              <w:rPr>
                <w:rFonts w:ascii="Calibri" w:hAnsi="Calibri"/>
                <w:color w:val="auto"/>
                <w:sz w:val="21"/>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4D7B4108">
            <w:pPr>
              <w:snapToGrid w:val="0"/>
              <w:spacing w:line="360" w:lineRule="auto"/>
              <w:jc w:val="center"/>
              <w:rPr>
                <w:rFonts w:ascii="Calibri" w:hAnsi="Calibri"/>
                <w:color w:val="auto"/>
                <w:sz w:val="21"/>
                <w:szCs w:val="21"/>
                <w:highlight w:val="none"/>
              </w:rPr>
            </w:pPr>
            <w:r>
              <w:rPr>
                <w:rFonts w:hint="eastAsia" w:ascii="Calibri" w:hAnsi="Calibri"/>
                <w:color w:val="auto"/>
                <w:sz w:val="21"/>
                <w:szCs w:val="21"/>
                <w:highlight w:val="none"/>
              </w:rPr>
              <w:t>通信地址</w:t>
            </w:r>
          </w:p>
        </w:tc>
        <w:tc>
          <w:tcPr>
            <w:tcW w:w="1259" w:type="pct"/>
            <w:tcBorders>
              <w:top w:val="single" w:color="auto" w:sz="2" w:space="0"/>
              <w:left w:val="single" w:color="auto" w:sz="2" w:space="0"/>
              <w:bottom w:val="single" w:color="auto" w:sz="2" w:space="0"/>
              <w:right w:val="single" w:color="auto" w:sz="4" w:space="0"/>
            </w:tcBorders>
            <w:vAlign w:val="center"/>
          </w:tcPr>
          <w:p w14:paraId="0CE63B76">
            <w:pPr>
              <w:snapToGrid w:val="0"/>
              <w:spacing w:line="360" w:lineRule="auto"/>
              <w:jc w:val="center"/>
              <w:rPr>
                <w:rFonts w:ascii="Calibri" w:hAnsi="Calibri"/>
                <w:color w:val="auto"/>
                <w:spacing w:val="20"/>
                <w:sz w:val="21"/>
                <w:szCs w:val="21"/>
                <w:highlight w:val="none"/>
              </w:rPr>
            </w:pPr>
          </w:p>
        </w:tc>
      </w:tr>
      <w:tr w14:paraId="0FE3E4A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39ED6862">
            <w:pPr>
              <w:snapToGrid w:val="0"/>
              <w:spacing w:line="360" w:lineRule="auto"/>
              <w:jc w:val="center"/>
              <w:rPr>
                <w:rFonts w:ascii="Calibri" w:hAnsi="Calibri"/>
                <w:color w:val="auto"/>
                <w:sz w:val="21"/>
                <w:szCs w:val="21"/>
                <w:highlight w:val="none"/>
              </w:rPr>
            </w:pPr>
            <w:r>
              <w:rPr>
                <w:rFonts w:hint="eastAsia" w:ascii="Calibri" w:hAnsi="Calibri"/>
                <w:color w:val="auto"/>
                <w:sz w:val="21"/>
                <w:szCs w:val="21"/>
                <w:highlight w:val="none"/>
              </w:rPr>
              <w:t>邮政编码</w:t>
            </w:r>
          </w:p>
        </w:tc>
        <w:tc>
          <w:tcPr>
            <w:tcW w:w="1436" w:type="pct"/>
            <w:tcBorders>
              <w:top w:val="single" w:color="auto" w:sz="2" w:space="0"/>
              <w:left w:val="single" w:color="auto" w:sz="2" w:space="0"/>
              <w:bottom w:val="single" w:color="auto" w:sz="2" w:space="0"/>
              <w:right w:val="single" w:color="auto" w:sz="2" w:space="0"/>
            </w:tcBorders>
            <w:vAlign w:val="center"/>
          </w:tcPr>
          <w:p w14:paraId="41C37444">
            <w:pPr>
              <w:snapToGrid w:val="0"/>
              <w:spacing w:line="360" w:lineRule="auto"/>
              <w:jc w:val="center"/>
              <w:rPr>
                <w:rFonts w:ascii="Calibri" w:hAnsi="Calibri"/>
                <w:color w:val="auto"/>
                <w:sz w:val="21"/>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542B7D40">
            <w:pPr>
              <w:snapToGrid w:val="0"/>
              <w:spacing w:line="360" w:lineRule="auto"/>
              <w:jc w:val="center"/>
              <w:rPr>
                <w:rFonts w:ascii="Calibri" w:hAnsi="Calibri"/>
                <w:color w:val="auto"/>
                <w:sz w:val="21"/>
                <w:szCs w:val="21"/>
                <w:highlight w:val="none"/>
              </w:rPr>
            </w:pPr>
            <w:r>
              <w:rPr>
                <w:rFonts w:hint="eastAsia" w:ascii="Calibri" w:hAnsi="Calibri"/>
                <w:color w:val="auto"/>
                <w:sz w:val="21"/>
                <w:szCs w:val="21"/>
                <w:highlight w:val="none"/>
              </w:rPr>
              <w:t>邮政编码</w:t>
            </w:r>
          </w:p>
        </w:tc>
        <w:tc>
          <w:tcPr>
            <w:tcW w:w="1259" w:type="pct"/>
            <w:tcBorders>
              <w:top w:val="single" w:color="auto" w:sz="2" w:space="0"/>
              <w:left w:val="single" w:color="auto" w:sz="2" w:space="0"/>
              <w:bottom w:val="single" w:color="auto" w:sz="2" w:space="0"/>
              <w:right w:val="single" w:color="auto" w:sz="4" w:space="0"/>
            </w:tcBorders>
            <w:vAlign w:val="center"/>
          </w:tcPr>
          <w:p w14:paraId="73AB14A7">
            <w:pPr>
              <w:snapToGrid w:val="0"/>
              <w:spacing w:line="360" w:lineRule="auto"/>
              <w:jc w:val="center"/>
              <w:rPr>
                <w:rFonts w:ascii="Calibri" w:hAnsi="Calibri"/>
                <w:color w:val="auto"/>
                <w:spacing w:val="20"/>
                <w:sz w:val="21"/>
                <w:szCs w:val="21"/>
                <w:highlight w:val="none"/>
              </w:rPr>
            </w:pPr>
          </w:p>
        </w:tc>
      </w:tr>
      <w:tr w14:paraId="41388CF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2138AFC7">
            <w:pPr>
              <w:snapToGrid w:val="0"/>
              <w:spacing w:line="360" w:lineRule="auto"/>
              <w:jc w:val="center"/>
              <w:rPr>
                <w:rFonts w:ascii="Calibri" w:hAnsi="Calibri"/>
                <w:color w:val="auto"/>
                <w:sz w:val="21"/>
                <w:szCs w:val="21"/>
                <w:highlight w:val="none"/>
              </w:rPr>
            </w:pPr>
            <w:r>
              <w:rPr>
                <w:rFonts w:hint="eastAsia" w:ascii="Calibri" w:hAnsi="Calibri"/>
                <w:color w:val="auto"/>
                <w:sz w:val="21"/>
                <w:szCs w:val="21"/>
                <w:highlight w:val="none"/>
              </w:rPr>
              <w:t>电子邮箱</w:t>
            </w:r>
          </w:p>
        </w:tc>
        <w:tc>
          <w:tcPr>
            <w:tcW w:w="1436" w:type="pct"/>
            <w:tcBorders>
              <w:top w:val="single" w:color="auto" w:sz="2" w:space="0"/>
              <w:left w:val="single" w:color="auto" w:sz="2" w:space="0"/>
              <w:bottom w:val="single" w:color="auto" w:sz="2" w:space="0"/>
              <w:right w:val="single" w:color="auto" w:sz="2" w:space="0"/>
            </w:tcBorders>
            <w:vAlign w:val="center"/>
          </w:tcPr>
          <w:p w14:paraId="1D7B8E99">
            <w:pPr>
              <w:snapToGrid w:val="0"/>
              <w:spacing w:line="360" w:lineRule="auto"/>
              <w:jc w:val="center"/>
              <w:rPr>
                <w:rFonts w:ascii="Calibri" w:hAnsi="Calibri"/>
                <w:color w:val="auto"/>
                <w:sz w:val="21"/>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61DC2974">
            <w:pPr>
              <w:snapToGrid w:val="0"/>
              <w:spacing w:line="360" w:lineRule="auto"/>
              <w:jc w:val="center"/>
              <w:rPr>
                <w:rFonts w:ascii="Calibri" w:hAnsi="Calibri"/>
                <w:color w:val="auto"/>
                <w:sz w:val="21"/>
                <w:szCs w:val="21"/>
                <w:highlight w:val="none"/>
              </w:rPr>
            </w:pPr>
            <w:r>
              <w:rPr>
                <w:rFonts w:hint="eastAsia" w:ascii="Calibri" w:hAnsi="Calibri"/>
                <w:color w:val="auto"/>
                <w:sz w:val="21"/>
                <w:szCs w:val="21"/>
                <w:highlight w:val="none"/>
              </w:rPr>
              <w:t>电子邮箱</w:t>
            </w:r>
          </w:p>
        </w:tc>
        <w:tc>
          <w:tcPr>
            <w:tcW w:w="1259" w:type="pct"/>
            <w:tcBorders>
              <w:top w:val="single" w:color="auto" w:sz="2" w:space="0"/>
              <w:left w:val="single" w:color="auto" w:sz="2" w:space="0"/>
              <w:bottom w:val="single" w:color="auto" w:sz="2" w:space="0"/>
              <w:right w:val="single" w:color="auto" w:sz="4" w:space="0"/>
            </w:tcBorders>
            <w:vAlign w:val="center"/>
          </w:tcPr>
          <w:p w14:paraId="41F261D8">
            <w:pPr>
              <w:snapToGrid w:val="0"/>
              <w:spacing w:line="360" w:lineRule="auto"/>
              <w:jc w:val="center"/>
              <w:rPr>
                <w:rFonts w:ascii="Calibri" w:hAnsi="Calibri"/>
                <w:color w:val="auto"/>
                <w:spacing w:val="20"/>
                <w:sz w:val="21"/>
                <w:szCs w:val="21"/>
                <w:highlight w:val="none"/>
              </w:rPr>
            </w:pPr>
          </w:p>
        </w:tc>
      </w:tr>
      <w:tr w14:paraId="5F2BE5C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6605878C">
            <w:pPr>
              <w:snapToGrid w:val="0"/>
              <w:spacing w:line="360" w:lineRule="auto"/>
              <w:jc w:val="center"/>
              <w:rPr>
                <w:rFonts w:ascii="Calibri" w:hAnsi="Calibri"/>
                <w:color w:val="auto"/>
                <w:sz w:val="21"/>
                <w:szCs w:val="21"/>
                <w:highlight w:val="none"/>
              </w:rPr>
            </w:pPr>
            <w:r>
              <w:rPr>
                <w:rFonts w:hint="eastAsia" w:ascii="Calibri" w:hAnsi="Calibri"/>
                <w:color w:val="auto"/>
                <w:sz w:val="21"/>
                <w:szCs w:val="21"/>
                <w:highlight w:val="none"/>
              </w:rPr>
              <w:t>统一社会信用代码</w:t>
            </w:r>
          </w:p>
        </w:tc>
        <w:tc>
          <w:tcPr>
            <w:tcW w:w="1436" w:type="pct"/>
            <w:tcBorders>
              <w:top w:val="single" w:color="auto" w:sz="2" w:space="0"/>
              <w:left w:val="single" w:color="auto" w:sz="2" w:space="0"/>
              <w:bottom w:val="single" w:color="auto" w:sz="2" w:space="0"/>
              <w:right w:val="single" w:color="auto" w:sz="2" w:space="0"/>
            </w:tcBorders>
            <w:vAlign w:val="center"/>
          </w:tcPr>
          <w:p w14:paraId="1CFC6DFF">
            <w:pPr>
              <w:snapToGrid w:val="0"/>
              <w:spacing w:line="360" w:lineRule="auto"/>
              <w:jc w:val="center"/>
              <w:rPr>
                <w:rFonts w:ascii="Calibri" w:hAnsi="Calibri"/>
                <w:color w:val="auto"/>
                <w:sz w:val="21"/>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37FCEB90">
            <w:pPr>
              <w:snapToGrid w:val="0"/>
              <w:spacing w:line="360" w:lineRule="auto"/>
              <w:jc w:val="center"/>
              <w:rPr>
                <w:rFonts w:ascii="Calibri" w:hAnsi="Calibri"/>
                <w:color w:val="auto"/>
                <w:sz w:val="21"/>
                <w:szCs w:val="21"/>
                <w:highlight w:val="none"/>
              </w:rPr>
            </w:pPr>
            <w:r>
              <w:rPr>
                <w:rFonts w:hint="eastAsia" w:ascii="Calibri" w:hAnsi="Calibri"/>
                <w:color w:val="auto"/>
                <w:sz w:val="21"/>
                <w:szCs w:val="21"/>
                <w:highlight w:val="none"/>
              </w:rPr>
              <w:t>统一社会信用代码</w:t>
            </w:r>
          </w:p>
        </w:tc>
        <w:tc>
          <w:tcPr>
            <w:tcW w:w="1259" w:type="pct"/>
            <w:tcBorders>
              <w:top w:val="single" w:color="auto" w:sz="2" w:space="0"/>
              <w:left w:val="single" w:color="auto" w:sz="2" w:space="0"/>
              <w:bottom w:val="single" w:color="auto" w:sz="2" w:space="0"/>
              <w:right w:val="single" w:color="auto" w:sz="4" w:space="0"/>
            </w:tcBorders>
            <w:vAlign w:val="center"/>
          </w:tcPr>
          <w:p w14:paraId="5C72D27D">
            <w:pPr>
              <w:snapToGrid w:val="0"/>
              <w:spacing w:line="360" w:lineRule="auto"/>
              <w:jc w:val="center"/>
              <w:rPr>
                <w:rFonts w:ascii="Calibri" w:hAnsi="Calibri"/>
                <w:color w:val="auto"/>
                <w:spacing w:val="20"/>
                <w:sz w:val="21"/>
                <w:szCs w:val="21"/>
                <w:highlight w:val="none"/>
              </w:rPr>
            </w:pPr>
          </w:p>
        </w:tc>
      </w:tr>
      <w:tr w14:paraId="443CD4E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79B2D160">
            <w:pPr>
              <w:snapToGrid w:val="0"/>
              <w:spacing w:line="360" w:lineRule="auto"/>
              <w:jc w:val="center"/>
              <w:rPr>
                <w:rFonts w:ascii="Calibri" w:hAnsi="Calibri"/>
                <w:color w:val="auto"/>
                <w:sz w:val="21"/>
                <w:szCs w:val="21"/>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14:paraId="4D2A9C97">
            <w:pPr>
              <w:snapToGrid w:val="0"/>
              <w:spacing w:line="360" w:lineRule="auto"/>
              <w:jc w:val="center"/>
              <w:rPr>
                <w:rFonts w:ascii="Calibri" w:hAnsi="Calibri"/>
                <w:color w:val="auto"/>
                <w:sz w:val="21"/>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08175DD5">
            <w:pPr>
              <w:snapToGrid w:val="0"/>
              <w:spacing w:line="360" w:lineRule="auto"/>
              <w:jc w:val="center"/>
              <w:rPr>
                <w:rFonts w:ascii="Calibri" w:hAnsi="Calibri"/>
                <w:color w:val="auto"/>
                <w:sz w:val="21"/>
                <w:szCs w:val="21"/>
                <w:highlight w:val="none"/>
              </w:rPr>
            </w:pPr>
            <w:r>
              <w:rPr>
                <w:rFonts w:hint="eastAsia" w:ascii="Calibri" w:hAnsi="Calibri"/>
                <w:color w:val="auto"/>
                <w:sz w:val="21"/>
                <w:szCs w:val="21"/>
                <w:highlight w:val="none"/>
              </w:rPr>
              <w:t>开户名称</w:t>
            </w:r>
          </w:p>
        </w:tc>
        <w:tc>
          <w:tcPr>
            <w:tcW w:w="1259" w:type="pct"/>
            <w:tcBorders>
              <w:top w:val="single" w:color="auto" w:sz="2" w:space="0"/>
              <w:left w:val="single" w:color="auto" w:sz="2" w:space="0"/>
              <w:bottom w:val="single" w:color="auto" w:sz="2" w:space="0"/>
              <w:right w:val="single" w:color="auto" w:sz="4" w:space="0"/>
            </w:tcBorders>
            <w:vAlign w:val="center"/>
          </w:tcPr>
          <w:p w14:paraId="0F43AB3B">
            <w:pPr>
              <w:snapToGrid w:val="0"/>
              <w:spacing w:line="360" w:lineRule="auto"/>
              <w:jc w:val="center"/>
              <w:rPr>
                <w:rFonts w:ascii="Calibri" w:hAnsi="Calibri"/>
                <w:color w:val="auto"/>
                <w:spacing w:val="20"/>
                <w:sz w:val="21"/>
                <w:szCs w:val="21"/>
                <w:highlight w:val="none"/>
              </w:rPr>
            </w:pPr>
          </w:p>
        </w:tc>
      </w:tr>
      <w:tr w14:paraId="1FDBBC0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18E3D352">
            <w:pPr>
              <w:snapToGrid w:val="0"/>
              <w:spacing w:line="360" w:lineRule="auto"/>
              <w:jc w:val="center"/>
              <w:rPr>
                <w:rFonts w:ascii="Calibri" w:hAnsi="Calibri"/>
                <w:color w:val="auto"/>
                <w:sz w:val="21"/>
                <w:szCs w:val="21"/>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14:paraId="6DBD0C52">
            <w:pPr>
              <w:snapToGrid w:val="0"/>
              <w:spacing w:line="360" w:lineRule="auto"/>
              <w:jc w:val="center"/>
              <w:rPr>
                <w:rFonts w:ascii="Calibri" w:hAnsi="Calibri"/>
                <w:color w:val="auto"/>
                <w:sz w:val="21"/>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5EBA84CD">
            <w:pPr>
              <w:snapToGrid w:val="0"/>
              <w:spacing w:line="360" w:lineRule="auto"/>
              <w:jc w:val="center"/>
              <w:rPr>
                <w:rFonts w:ascii="Calibri" w:hAnsi="Calibri"/>
                <w:color w:val="auto"/>
                <w:sz w:val="21"/>
                <w:szCs w:val="21"/>
                <w:highlight w:val="none"/>
              </w:rPr>
            </w:pPr>
            <w:r>
              <w:rPr>
                <w:rFonts w:hint="eastAsia" w:ascii="Calibri" w:hAnsi="Calibri"/>
                <w:color w:val="auto"/>
                <w:sz w:val="21"/>
                <w:szCs w:val="21"/>
                <w:highlight w:val="none"/>
              </w:rPr>
              <w:t>开户银行</w:t>
            </w:r>
          </w:p>
        </w:tc>
        <w:tc>
          <w:tcPr>
            <w:tcW w:w="1259" w:type="pct"/>
            <w:tcBorders>
              <w:top w:val="single" w:color="auto" w:sz="2" w:space="0"/>
              <w:left w:val="single" w:color="auto" w:sz="2" w:space="0"/>
              <w:bottom w:val="single" w:color="auto" w:sz="2" w:space="0"/>
              <w:right w:val="single" w:color="auto" w:sz="4" w:space="0"/>
            </w:tcBorders>
            <w:vAlign w:val="center"/>
          </w:tcPr>
          <w:p w14:paraId="0A77151E">
            <w:pPr>
              <w:snapToGrid w:val="0"/>
              <w:spacing w:line="360" w:lineRule="auto"/>
              <w:jc w:val="center"/>
              <w:rPr>
                <w:rFonts w:ascii="Calibri" w:hAnsi="Calibri"/>
                <w:color w:val="auto"/>
                <w:spacing w:val="20"/>
                <w:sz w:val="21"/>
                <w:szCs w:val="21"/>
                <w:highlight w:val="none"/>
              </w:rPr>
            </w:pPr>
          </w:p>
        </w:tc>
      </w:tr>
      <w:tr w14:paraId="7D8A21D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6E41200D">
            <w:pPr>
              <w:snapToGrid w:val="0"/>
              <w:spacing w:line="360" w:lineRule="auto"/>
              <w:jc w:val="center"/>
              <w:rPr>
                <w:rFonts w:ascii="Calibri" w:hAnsi="Calibri"/>
                <w:color w:val="auto"/>
                <w:sz w:val="21"/>
                <w:szCs w:val="21"/>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14:paraId="3DDC7A90">
            <w:pPr>
              <w:snapToGrid w:val="0"/>
              <w:spacing w:line="360" w:lineRule="auto"/>
              <w:jc w:val="center"/>
              <w:rPr>
                <w:rFonts w:ascii="Calibri" w:hAnsi="Calibri"/>
                <w:color w:val="auto"/>
                <w:sz w:val="21"/>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47A75DB6">
            <w:pPr>
              <w:snapToGrid w:val="0"/>
              <w:spacing w:line="360" w:lineRule="auto"/>
              <w:jc w:val="center"/>
              <w:rPr>
                <w:rFonts w:ascii="Calibri" w:hAnsi="Calibri"/>
                <w:color w:val="auto"/>
                <w:sz w:val="21"/>
                <w:szCs w:val="21"/>
                <w:highlight w:val="none"/>
              </w:rPr>
            </w:pPr>
            <w:r>
              <w:rPr>
                <w:rFonts w:hint="eastAsia" w:ascii="Calibri" w:hAnsi="Calibri"/>
                <w:color w:val="auto"/>
                <w:sz w:val="21"/>
                <w:szCs w:val="21"/>
                <w:highlight w:val="none"/>
              </w:rPr>
              <w:t>银行账号</w:t>
            </w:r>
          </w:p>
        </w:tc>
        <w:tc>
          <w:tcPr>
            <w:tcW w:w="1259" w:type="pct"/>
            <w:tcBorders>
              <w:top w:val="single" w:color="auto" w:sz="2" w:space="0"/>
              <w:left w:val="single" w:color="auto" w:sz="2" w:space="0"/>
              <w:bottom w:val="single" w:color="auto" w:sz="2" w:space="0"/>
              <w:right w:val="single" w:color="auto" w:sz="4" w:space="0"/>
            </w:tcBorders>
            <w:vAlign w:val="center"/>
          </w:tcPr>
          <w:p w14:paraId="3D7072C4">
            <w:pPr>
              <w:snapToGrid w:val="0"/>
              <w:spacing w:line="360" w:lineRule="auto"/>
              <w:jc w:val="center"/>
              <w:rPr>
                <w:rFonts w:ascii="Calibri" w:hAnsi="Calibri"/>
                <w:color w:val="auto"/>
                <w:spacing w:val="20"/>
                <w:sz w:val="21"/>
                <w:szCs w:val="21"/>
                <w:highlight w:val="none"/>
              </w:rPr>
            </w:pPr>
          </w:p>
        </w:tc>
      </w:tr>
      <w:tr w14:paraId="0325A49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left w:val="single" w:color="auto" w:sz="4" w:space="0"/>
              <w:bottom w:val="single" w:color="auto" w:sz="4" w:space="0"/>
              <w:right w:val="single" w:color="auto" w:sz="4" w:space="0"/>
            </w:tcBorders>
            <w:vAlign w:val="center"/>
          </w:tcPr>
          <w:p w14:paraId="4ADCD934">
            <w:pPr>
              <w:snapToGrid w:val="0"/>
              <w:spacing w:line="360" w:lineRule="auto"/>
              <w:jc w:val="left"/>
              <w:rPr>
                <w:rFonts w:ascii="Calibri" w:hAnsi="Calibri"/>
                <w:color w:val="auto"/>
                <w:spacing w:val="20"/>
                <w:sz w:val="21"/>
                <w:szCs w:val="21"/>
                <w:highlight w:val="none"/>
              </w:rPr>
            </w:pPr>
            <w:r>
              <w:rPr>
                <w:rFonts w:hint="eastAsia" w:ascii="宋体" w:hAnsi="宋体"/>
                <w:color w:val="auto"/>
                <w:sz w:val="21"/>
                <w:szCs w:val="21"/>
                <w:highlight w:val="none"/>
              </w:rPr>
              <w:t>注：涉及联合体或其他合同主体的信息应按上表格式加列。</w:t>
            </w:r>
          </w:p>
        </w:tc>
      </w:tr>
    </w:tbl>
    <w:p w14:paraId="349305FE">
      <w:pPr>
        <w:keepNext/>
        <w:keepLines/>
        <w:snapToGrid w:val="0"/>
        <w:spacing w:before="120" w:beforeLines="50" w:line="360" w:lineRule="auto"/>
        <w:jc w:val="center"/>
        <w:outlineLvl w:val="1"/>
        <w:rPr>
          <w:rFonts w:ascii="黑体" w:hAnsi="黑体" w:eastAsia="黑体"/>
          <w:b/>
          <w:bCs/>
          <w:color w:val="auto"/>
          <w:sz w:val="28"/>
          <w:szCs w:val="28"/>
          <w:highlight w:val="none"/>
        </w:rPr>
      </w:pPr>
      <w:r>
        <w:rPr>
          <w:rFonts w:hint="eastAsia" w:ascii="宋体" w:hAnsi="宋体"/>
          <w:b/>
          <w:bCs/>
          <w:color w:val="auto"/>
          <w:szCs w:val="21"/>
          <w:highlight w:val="none"/>
          <w:u w:val="single"/>
        </w:rPr>
        <w:br w:type="page"/>
      </w:r>
      <w:bookmarkStart w:id="77" w:name="_Toc27624"/>
      <w:r>
        <w:rPr>
          <w:rFonts w:hint="eastAsia" w:ascii="黑体" w:hAnsi="黑体" w:eastAsia="黑体"/>
          <w:color w:val="auto"/>
          <w:sz w:val="28"/>
          <w:szCs w:val="28"/>
          <w:highlight w:val="none"/>
        </w:rPr>
        <w:t>第二节 政府采购合同通用条款</w:t>
      </w:r>
      <w:bookmarkEnd w:id="77"/>
    </w:p>
    <w:p w14:paraId="45507129">
      <w:pPr>
        <w:tabs>
          <w:tab w:val="left" w:pos="8820"/>
          <w:tab w:val="left" w:pos="9345"/>
          <w:tab w:val="left" w:pos="9765"/>
        </w:tabs>
        <w:snapToGrid w:val="0"/>
        <w:spacing w:line="360" w:lineRule="auto"/>
        <w:jc w:val="left"/>
        <w:rPr>
          <w:rFonts w:ascii="宋体" w:hAnsi="宋体"/>
          <w:b/>
          <w:bCs/>
          <w:color w:val="auto"/>
          <w:sz w:val="21"/>
          <w:szCs w:val="21"/>
          <w:highlight w:val="none"/>
        </w:rPr>
      </w:pPr>
      <w:r>
        <w:rPr>
          <w:rFonts w:hint="eastAsia" w:ascii="宋体" w:hAnsi="宋体"/>
          <w:b/>
          <w:color w:val="auto"/>
          <w:sz w:val="21"/>
          <w:szCs w:val="21"/>
          <w:highlight w:val="none"/>
        </w:rPr>
        <w:t xml:space="preserve">1. </w:t>
      </w:r>
      <w:r>
        <w:rPr>
          <w:rFonts w:hint="eastAsia" w:ascii="宋体" w:hAnsi="宋体"/>
          <w:b/>
          <w:bCs/>
          <w:color w:val="auto"/>
          <w:sz w:val="21"/>
          <w:szCs w:val="21"/>
          <w:highlight w:val="none"/>
        </w:rPr>
        <w:t>定义</w:t>
      </w:r>
    </w:p>
    <w:p w14:paraId="5DCF0564">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1.1合同当事人</w:t>
      </w:r>
    </w:p>
    <w:p w14:paraId="0AC1A77F">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（1）采购人（以下称甲方）是指使用财政性资金，通过政府采购方式向供应商购买货物及其相关服务的国家机关、事业单位、团体组织。</w:t>
      </w:r>
    </w:p>
    <w:p w14:paraId="1BE4D6F6">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（2）供应商（以下称乙方）是指参加政府采购活动并且中标（成交），向采购人提供合同约定的货物及其相关服务的法人、非法人组织或者自然人。</w:t>
      </w:r>
    </w:p>
    <w:p w14:paraId="583F550B">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（3）其他合同主体是指除采购人和供应商以外，</w:t>
      </w:r>
      <w:r>
        <w:rPr>
          <w:rFonts w:hint="eastAsia" w:ascii="宋体" w:hAnsi="宋体" w:cs="宋体"/>
          <w:bCs/>
          <w:color w:val="auto"/>
          <w:sz w:val="21"/>
          <w:szCs w:val="21"/>
          <w:highlight w:val="none"/>
        </w:rPr>
        <w:t>依法参与合同缔结或履行，享有权利、承担义务的合同当事人</w:t>
      </w:r>
      <w:r>
        <w:rPr>
          <w:rFonts w:hint="eastAsia" w:ascii="宋体" w:hAnsi="宋体"/>
          <w:color w:val="auto"/>
          <w:sz w:val="21"/>
          <w:szCs w:val="21"/>
          <w:highlight w:val="none"/>
        </w:rPr>
        <w:t>。</w:t>
      </w:r>
    </w:p>
    <w:p w14:paraId="4CC072D1">
      <w:pPr>
        <w:tabs>
          <w:tab w:val="left" w:pos="570"/>
          <w:tab w:val="left" w:pos="9240"/>
          <w:tab w:val="left" w:pos="9555"/>
        </w:tabs>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1.2本合同下列术语应解释为：</w:t>
      </w:r>
    </w:p>
    <w:p w14:paraId="5CB36630">
      <w:pPr>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（1）“合同”系指</w:t>
      </w:r>
      <w:r>
        <w:rPr>
          <w:rFonts w:hint="eastAsia" w:ascii="宋体" w:hAnsi="宋体" w:cs="宋体"/>
          <w:bCs/>
          <w:color w:val="auto"/>
          <w:sz w:val="21"/>
          <w:szCs w:val="21"/>
          <w:highlight w:val="none"/>
        </w:rPr>
        <w:t>合同当事人意思表示达成一致的任何协议，包括签署的</w:t>
      </w:r>
      <w:r>
        <w:rPr>
          <w:rFonts w:hint="eastAsia" w:ascii="宋体" w:hAnsi="宋体"/>
          <w:color w:val="auto"/>
          <w:sz w:val="21"/>
          <w:szCs w:val="21"/>
          <w:highlight w:val="none"/>
        </w:rPr>
        <w:t>政府采购合同协议书及其变更、补充协议，政府采购合同专用条款，政府采购合同通用条款，中标（成交）通知书，投标（响应）文件，采购文件，有关技术文件和图纸，以及</w:t>
      </w:r>
      <w:r>
        <w:rPr>
          <w:rFonts w:hint="eastAsia" w:ascii="宋体" w:hAnsi="宋体" w:cs="宋体"/>
          <w:color w:val="auto"/>
          <w:sz w:val="21"/>
          <w:szCs w:val="21"/>
          <w:highlight w:val="none"/>
        </w:rPr>
        <w:t>国家法律、行政法规和规章制度规定或合同约定的作为合同组成部分的其他文件</w:t>
      </w:r>
      <w:r>
        <w:rPr>
          <w:rFonts w:hint="eastAsia" w:ascii="宋体" w:hAnsi="宋体"/>
          <w:color w:val="auto"/>
          <w:sz w:val="21"/>
          <w:szCs w:val="21"/>
          <w:highlight w:val="none"/>
        </w:rPr>
        <w:t>。</w:t>
      </w:r>
    </w:p>
    <w:p w14:paraId="54B673CD">
      <w:pPr>
        <w:tabs>
          <w:tab w:val="left" w:pos="570"/>
          <w:tab w:val="left" w:pos="9240"/>
          <w:tab w:val="left" w:pos="9555"/>
        </w:tabs>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（2）“合同价款”系指根据本合同规定乙方在全面履行合同义务后甲方应支付给乙方的价款。</w:t>
      </w:r>
    </w:p>
    <w:p w14:paraId="7C083433">
      <w:pPr>
        <w:tabs>
          <w:tab w:val="left" w:pos="570"/>
          <w:tab w:val="left" w:pos="9240"/>
          <w:tab w:val="left" w:pos="9555"/>
        </w:tabs>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（3）“货物”系指乙方根据本合同规定须向甲方提供的各种形态和种类的物品，包括原材料、设备、产品（包括软件）及相关的其备品备件、工具、手册及</w:t>
      </w:r>
      <w:r>
        <w:rPr>
          <w:rFonts w:hint="eastAsia" w:ascii="宋体" w:hAnsi="宋体"/>
          <w:color w:val="auto"/>
          <w:sz w:val="21"/>
          <w:szCs w:val="21"/>
          <w:highlight w:val="none"/>
          <w:lang w:val="en"/>
        </w:rPr>
        <w:t>其他</w:t>
      </w:r>
      <w:r>
        <w:rPr>
          <w:rFonts w:hint="eastAsia" w:ascii="宋体" w:hAnsi="宋体"/>
          <w:color w:val="auto"/>
          <w:sz w:val="21"/>
          <w:szCs w:val="21"/>
          <w:highlight w:val="none"/>
        </w:rPr>
        <w:t>技术资料和材料等。</w:t>
      </w:r>
    </w:p>
    <w:p w14:paraId="0EBFB1F1">
      <w:pPr>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（4）“相关服务”系指根据合同规定，乙方应提供的与货物有关的技术、管理和</w:t>
      </w:r>
      <w:r>
        <w:rPr>
          <w:rFonts w:hint="eastAsia" w:ascii="宋体" w:hAnsi="宋体"/>
          <w:color w:val="auto"/>
          <w:sz w:val="21"/>
          <w:szCs w:val="21"/>
          <w:highlight w:val="none"/>
          <w:lang w:val="en"/>
        </w:rPr>
        <w:t>其他</w:t>
      </w:r>
      <w:r>
        <w:rPr>
          <w:rFonts w:hint="eastAsia" w:ascii="宋体" w:hAnsi="宋体"/>
          <w:color w:val="auto"/>
          <w:sz w:val="21"/>
          <w:szCs w:val="21"/>
          <w:highlight w:val="none"/>
        </w:rPr>
        <w:t>服务，包括但不限于：管理和质量保证、运输、保险、检验、现场准备、安装、集成、调试、培训、维修、废弃处置、技术支持等以及合同中规定乙方应承担的</w:t>
      </w:r>
      <w:r>
        <w:rPr>
          <w:rFonts w:hint="eastAsia" w:ascii="宋体" w:hAnsi="宋体"/>
          <w:color w:val="auto"/>
          <w:sz w:val="21"/>
          <w:szCs w:val="21"/>
          <w:highlight w:val="none"/>
          <w:lang w:val="en"/>
        </w:rPr>
        <w:t>其他</w:t>
      </w:r>
      <w:r>
        <w:rPr>
          <w:rFonts w:hint="eastAsia" w:ascii="宋体" w:hAnsi="宋体"/>
          <w:color w:val="auto"/>
          <w:sz w:val="21"/>
          <w:szCs w:val="21"/>
          <w:highlight w:val="none"/>
        </w:rPr>
        <w:t>义务。</w:t>
      </w:r>
    </w:p>
    <w:p w14:paraId="4E39574B">
      <w:pPr>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（5）“分包”系指中标（成交）供应商按采购文件、投标（响应）文件的规定，根据分包意向协议，将中标（成交）项目中的部分履约内容，分给具有相应资质条件的供应商履行合同的行为。</w:t>
      </w:r>
    </w:p>
    <w:p w14:paraId="5D677DBE">
      <w:pPr>
        <w:tabs>
          <w:tab w:val="left" w:pos="570"/>
          <w:tab w:val="left" w:pos="9240"/>
          <w:tab w:val="left" w:pos="9555"/>
        </w:tabs>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6）“联合体”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hint="eastAsia" w:ascii="宋体" w:hAnsi="宋体"/>
          <w:b/>
          <w:bCs/>
          <w:color w:val="auto"/>
          <w:sz w:val="21"/>
          <w:szCs w:val="21"/>
          <w:highlight w:val="none"/>
        </w:rPr>
        <w:t>政府采购合同专用条款</w:t>
      </w:r>
      <w:r>
        <w:rPr>
          <w:rFonts w:hint="eastAsia" w:ascii="宋体" w:hAnsi="宋体"/>
          <w:color w:val="auto"/>
          <w:sz w:val="21"/>
          <w:szCs w:val="21"/>
          <w:highlight w:val="none"/>
        </w:rPr>
        <w:t>】。</w:t>
      </w:r>
    </w:p>
    <w:p w14:paraId="27F09130">
      <w:pPr>
        <w:tabs>
          <w:tab w:val="left" w:pos="570"/>
          <w:tab w:val="left" w:pos="9240"/>
          <w:tab w:val="left" w:pos="9555"/>
        </w:tabs>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（7）其他术语解释，见【</w:t>
      </w:r>
      <w:r>
        <w:rPr>
          <w:rFonts w:hint="eastAsia" w:ascii="宋体" w:hAnsi="宋体"/>
          <w:b/>
          <w:bCs/>
          <w:color w:val="auto"/>
          <w:sz w:val="21"/>
          <w:szCs w:val="21"/>
          <w:highlight w:val="none"/>
        </w:rPr>
        <w:t>政府采购合同专用条款</w:t>
      </w:r>
      <w:r>
        <w:rPr>
          <w:rFonts w:hint="eastAsia" w:ascii="宋体" w:hAnsi="宋体"/>
          <w:color w:val="auto"/>
          <w:sz w:val="21"/>
          <w:szCs w:val="21"/>
          <w:highlight w:val="none"/>
        </w:rPr>
        <w:t>】。</w:t>
      </w:r>
    </w:p>
    <w:p w14:paraId="1F3C887D">
      <w:pPr>
        <w:tabs>
          <w:tab w:val="left" w:pos="8820"/>
          <w:tab w:val="left" w:pos="9345"/>
          <w:tab w:val="left" w:pos="9765"/>
        </w:tabs>
        <w:snapToGrid w:val="0"/>
        <w:spacing w:line="360" w:lineRule="auto"/>
        <w:jc w:val="left"/>
        <w:rPr>
          <w:rFonts w:ascii="宋体" w:hAnsi="宋体"/>
          <w:b/>
          <w:color w:val="auto"/>
          <w:sz w:val="21"/>
          <w:szCs w:val="21"/>
          <w:highlight w:val="none"/>
        </w:rPr>
      </w:pPr>
      <w:r>
        <w:rPr>
          <w:rFonts w:hint="eastAsia" w:ascii="宋体" w:hAnsi="宋体"/>
          <w:b/>
          <w:color w:val="auto"/>
          <w:sz w:val="21"/>
          <w:szCs w:val="21"/>
          <w:highlight w:val="none"/>
        </w:rPr>
        <w:t>2. 合同标的及金额</w:t>
      </w:r>
    </w:p>
    <w:p w14:paraId="501C5367">
      <w:pPr>
        <w:autoSpaceDE w:val="0"/>
        <w:autoSpaceDN w:val="0"/>
        <w:snapToGrid w:val="0"/>
        <w:spacing w:line="360" w:lineRule="auto"/>
        <w:ind w:firstLine="420" w:firstLineChars="200"/>
        <w:jc w:val="left"/>
        <w:rPr>
          <w:rFonts w:ascii="宋体" w:hAnsi="宋体"/>
          <w:b/>
          <w:bCs/>
          <w:i/>
          <w:iCs/>
          <w:color w:val="auto"/>
          <w:sz w:val="21"/>
          <w:szCs w:val="21"/>
          <w:highlight w:val="none"/>
        </w:rPr>
      </w:pPr>
      <w:r>
        <w:rPr>
          <w:rFonts w:hint="eastAsia" w:ascii="宋体" w:hAnsi="宋体"/>
          <w:color w:val="auto"/>
          <w:sz w:val="21"/>
          <w:szCs w:val="21"/>
          <w:highlight w:val="none"/>
        </w:rPr>
        <w:t>2.1 合同标的及金额应与中标（成交）结果一致。乙方为履行本合同而发生的所有费用均应包含在合同价款中，甲方不再另行支付</w:t>
      </w:r>
      <w:r>
        <w:rPr>
          <w:rFonts w:hint="eastAsia" w:ascii="宋体" w:hAnsi="宋体"/>
          <w:color w:val="auto"/>
          <w:sz w:val="21"/>
          <w:szCs w:val="21"/>
          <w:highlight w:val="none"/>
          <w:lang w:val="en"/>
        </w:rPr>
        <w:t>其他</w:t>
      </w:r>
      <w:r>
        <w:rPr>
          <w:rFonts w:hint="eastAsia" w:ascii="宋体" w:hAnsi="宋体"/>
          <w:color w:val="auto"/>
          <w:sz w:val="21"/>
          <w:szCs w:val="21"/>
          <w:highlight w:val="none"/>
        </w:rPr>
        <w:t>任何费用。</w:t>
      </w:r>
    </w:p>
    <w:p w14:paraId="60B2186B">
      <w:pPr>
        <w:snapToGrid w:val="0"/>
        <w:spacing w:line="360" w:lineRule="auto"/>
        <w:jc w:val="left"/>
        <w:rPr>
          <w:rFonts w:ascii="宋体" w:hAnsi="宋体"/>
          <w:b/>
          <w:color w:val="auto"/>
          <w:sz w:val="21"/>
          <w:szCs w:val="21"/>
          <w:highlight w:val="none"/>
        </w:rPr>
      </w:pPr>
      <w:r>
        <w:rPr>
          <w:rFonts w:hint="eastAsia" w:ascii="宋体" w:hAnsi="宋体"/>
          <w:b/>
          <w:color w:val="auto"/>
          <w:sz w:val="21"/>
          <w:szCs w:val="21"/>
          <w:highlight w:val="none"/>
        </w:rPr>
        <w:t>3. 履行合同的时间、地点和方式</w:t>
      </w:r>
    </w:p>
    <w:p w14:paraId="6136A655">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 xml:space="preserve">3.1 </w:t>
      </w:r>
      <w:r>
        <w:rPr>
          <w:rFonts w:hint="eastAsia" w:ascii="宋体" w:hAnsi="宋体" w:cs="宋体"/>
          <w:color w:val="auto"/>
          <w:sz w:val="21"/>
          <w:szCs w:val="21"/>
          <w:highlight w:val="none"/>
        </w:rPr>
        <w:t>乙方应当在约定的时间、地点，按照约定方式履行合同。</w:t>
      </w:r>
    </w:p>
    <w:p w14:paraId="2C3720E6">
      <w:pPr>
        <w:autoSpaceDE w:val="0"/>
        <w:autoSpaceDN w:val="0"/>
        <w:snapToGrid w:val="0"/>
        <w:spacing w:line="360" w:lineRule="auto"/>
        <w:jc w:val="left"/>
        <w:rPr>
          <w:rFonts w:ascii="宋体" w:hAnsi="宋体"/>
          <w:b/>
          <w:bCs/>
          <w:color w:val="auto"/>
          <w:sz w:val="21"/>
          <w:szCs w:val="21"/>
          <w:highlight w:val="none"/>
        </w:rPr>
      </w:pPr>
      <w:r>
        <w:rPr>
          <w:rFonts w:hint="eastAsia" w:ascii="宋体" w:hAnsi="宋体"/>
          <w:b/>
          <w:bCs/>
          <w:color w:val="auto"/>
          <w:sz w:val="21"/>
          <w:szCs w:val="21"/>
          <w:highlight w:val="none"/>
        </w:rPr>
        <w:t>4. 甲方的权利和义务</w:t>
      </w:r>
    </w:p>
    <w:p w14:paraId="224F32C2">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4.1 签署合同后，甲方应确定项目负责人（或项目联系人），负责与本合同有关的事务。甲方有权对乙方的履约行为进行检查，并及时确认乙方提交的事项。甲方应当配合乙方完成相关项目实施工作。</w:t>
      </w:r>
    </w:p>
    <w:p w14:paraId="306847BE">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4.2 甲方有权要求乙方按时提交各阶段有关安排计划，并有权定期核对乙方提供货物数量、规格、质量等内容。甲方有权督促乙方工作并要求乙方更换不符合要求的货物。</w:t>
      </w:r>
    </w:p>
    <w:p w14:paraId="052CA951">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4.3 甲方有权要求乙方对缺陷部分予以修复，并按合同约定享有货物保修及其他合同约定的权利。</w:t>
      </w:r>
    </w:p>
    <w:p w14:paraId="71A116C2">
      <w:pPr>
        <w:adjustRightInd/>
        <w:snapToGrid w:val="0"/>
        <w:spacing w:line="360" w:lineRule="auto"/>
        <w:ind w:firstLine="420" w:firstLineChars="200"/>
        <w:rPr>
          <w:rFonts w:eastAsia="华文楷体"/>
          <w:color w:val="auto"/>
          <w:sz w:val="21"/>
          <w:szCs w:val="21"/>
          <w:highlight w:val="none"/>
        </w:rPr>
      </w:pPr>
      <w:r>
        <w:rPr>
          <w:rFonts w:hint="eastAsia" w:ascii="宋体" w:hAnsi="宋体"/>
          <w:color w:val="auto"/>
          <w:sz w:val="21"/>
          <w:szCs w:val="21"/>
          <w:highlight w:val="none"/>
        </w:rPr>
        <w:t>4.4 甲方应当按照合同约定及时对交付的货物进行验收，</w:t>
      </w:r>
      <w:r>
        <w:rPr>
          <w:rFonts w:hint="eastAsia" w:ascii="宋体" w:hAnsi="宋体" w:cs="宋体"/>
          <w:color w:val="auto"/>
          <w:sz w:val="21"/>
          <w:szCs w:val="21"/>
          <w:highlight w:val="none"/>
        </w:rPr>
        <w:t>未</w:t>
      </w:r>
      <w:r>
        <w:rPr>
          <w:rFonts w:hint="eastAsia" w:ascii="宋体" w:hAnsi="宋体"/>
          <w:color w:val="auto"/>
          <w:sz w:val="21"/>
          <w:szCs w:val="21"/>
          <w:highlight w:val="none"/>
        </w:rPr>
        <w:t>在</w:t>
      </w:r>
      <w:r>
        <w:rPr>
          <w:rFonts w:hint="eastAsia" w:ascii="宋体" w:hAnsi="宋体" w:cs="宋体"/>
          <w:b/>
          <w:bCs/>
          <w:color w:val="auto"/>
          <w:sz w:val="21"/>
          <w:szCs w:val="21"/>
          <w:highlight w:val="none"/>
        </w:rPr>
        <w:t>【政府采购合同专用条款】</w:t>
      </w:r>
      <w:r>
        <w:rPr>
          <w:rFonts w:hint="eastAsia" w:ascii="宋体" w:hAnsi="宋体" w:cs="宋体"/>
          <w:color w:val="auto"/>
          <w:sz w:val="21"/>
          <w:szCs w:val="21"/>
          <w:highlight w:val="none"/>
        </w:rPr>
        <w:t>约定的期限内对乙方履约提出任何异议或者向乙方作出任何说明的，</w:t>
      </w:r>
      <w:r>
        <w:rPr>
          <w:rFonts w:hint="eastAsia" w:ascii="宋体" w:hAnsi="宋体"/>
          <w:color w:val="auto"/>
          <w:sz w:val="21"/>
          <w:szCs w:val="21"/>
          <w:highlight w:val="none"/>
        </w:rPr>
        <w:t>视为验收通过。</w:t>
      </w:r>
    </w:p>
    <w:p w14:paraId="2A3B2D60">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4.5 甲方应当根据合同约定及时向乙方支付合同价款，不得以内部人员变更、履行内部付款流程等为由，拒绝或迟延支付。</w:t>
      </w:r>
    </w:p>
    <w:p w14:paraId="4945DFC1">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4.6 国家法律法规规定及</w:t>
      </w:r>
      <w:r>
        <w:rPr>
          <w:rFonts w:hint="eastAsia" w:ascii="宋体" w:hAnsi="宋体" w:cs="宋体"/>
          <w:b/>
          <w:bCs/>
          <w:color w:val="auto"/>
          <w:sz w:val="21"/>
          <w:szCs w:val="21"/>
          <w:highlight w:val="none"/>
        </w:rPr>
        <w:t>【政府采购合同专用条款】</w:t>
      </w:r>
      <w:r>
        <w:rPr>
          <w:rFonts w:hint="eastAsia" w:ascii="宋体" w:hAnsi="宋体"/>
          <w:color w:val="auto"/>
          <w:sz w:val="21"/>
          <w:szCs w:val="21"/>
          <w:highlight w:val="none"/>
        </w:rPr>
        <w:t>约定应由甲方承担的其他义务和责任。</w:t>
      </w:r>
    </w:p>
    <w:p w14:paraId="3FDE82EE">
      <w:pPr>
        <w:autoSpaceDE w:val="0"/>
        <w:autoSpaceDN w:val="0"/>
        <w:snapToGrid w:val="0"/>
        <w:spacing w:line="360" w:lineRule="auto"/>
        <w:jc w:val="left"/>
        <w:rPr>
          <w:rFonts w:ascii="宋体" w:hAnsi="宋体"/>
          <w:b/>
          <w:bCs/>
          <w:color w:val="auto"/>
          <w:sz w:val="21"/>
          <w:szCs w:val="21"/>
          <w:highlight w:val="none"/>
        </w:rPr>
      </w:pPr>
      <w:r>
        <w:rPr>
          <w:rFonts w:hint="eastAsia" w:ascii="宋体" w:hAnsi="宋体"/>
          <w:b/>
          <w:bCs/>
          <w:color w:val="auto"/>
          <w:sz w:val="21"/>
          <w:szCs w:val="21"/>
          <w:highlight w:val="none"/>
        </w:rPr>
        <w:t>5. 乙方的权利和义务</w:t>
      </w:r>
    </w:p>
    <w:p w14:paraId="36C35646">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5.1 签署合同后，乙方应确定项目负责人（或项目联系人），负责与本合同有关的事务。</w:t>
      </w:r>
    </w:p>
    <w:p w14:paraId="7F20C139">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5.2 乙方应按照合同要求履约，充分合理安排，确保提供的货物及相关服务符合合同有关要求。接受项目行业管理部门及政府有关部门的指导，配合甲方的履约检查及验收，并负责项目实施过程中的所有协调工作。</w:t>
      </w:r>
    </w:p>
    <w:p w14:paraId="6BC42E36">
      <w:pPr>
        <w:adjustRightInd/>
        <w:spacing w:line="360" w:lineRule="auto"/>
        <w:ind w:firstLine="369" w:firstLineChars="176"/>
        <w:rPr>
          <w:rFonts w:ascii="宋体" w:hAnsi="宋体" w:cs="宋体"/>
          <w:color w:val="auto"/>
          <w:sz w:val="21"/>
          <w:szCs w:val="21"/>
          <w:highlight w:val="none"/>
        </w:rPr>
      </w:pPr>
      <w:r>
        <w:rPr>
          <w:rFonts w:hint="eastAsia" w:ascii="宋体" w:hAnsi="宋体"/>
          <w:color w:val="auto"/>
          <w:sz w:val="21"/>
          <w:szCs w:val="21"/>
          <w:highlight w:val="none"/>
        </w:rPr>
        <w:t>5.3乙方有权</w:t>
      </w:r>
      <w:r>
        <w:rPr>
          <w:rFonts w:hint="eastAsia" w:ascii="宋体" w:hAnsi="宋体" w:cs="宋体"/>
          <w:color w:val="auto"/>
          <w:sz w:val="21"/>
          <w:szCs w:val="21"/>
          <w:highlight w:val="none"/>
        </w:rPr>
        <w:t>根据合同约定向甲方收取合同价款。</w:t>
      </w:r>
    </w:p>
    <w:p w14:paraId="18D5C90F">
      <w:pPr>
        <w:adjustRightInd/>
        <w:spacing w:line="360" w:lineRule="auto"/>
        <w:ind w:firstLine="369" w:firstLineChars="176"/>
        <w:rPr>
          <w:rFonts w:ascii="宋体" w:hAnsi="宋体" w:cs="宋体"/>
          <w:color w:val="auto"/>
          <w:sz w:val="21"/>
          <w:szCs w:val="21"/>
          <w:highlight w:val="none"/>
        </w:rPr>
      </w:pPr>
      <w:r>
        <w:rPr>
          <w:rFonts w:hint="eastAsia" w:ascii="宋体" w:hAnsi="宋体"/>
          <w:color w:val="auto"/>
          <w:sz w:val="21"/>
          <w:szCs w:val="21"/>
          <w:highlight w:val="none"/>
        </w:rPr>
        <w:t>5.4</w:t>
      </w:r>
      <w:r>
        <w:rPr>
          <w:rFonts w:hint="eastAsia" w:ascii="宋体" w:hAnsi="宋体" w:cs="宋体"/>
          <w:color w:val="auto"/>
          <w:sz w:val="21"/>
          <w:szCs w:val="21"/>
          <w:highlight w:val="none"/>
        </w:rPr>
        <w:t>国家法律法规规定</w:t>
      </w:r>
      <w:r>
        <w:rPr>
          <w:rFonts w:hint="eastAsia" w:ascii="宋体" w:hAnsi="宋体"/>
          <w:color w:val="auto"/>
          <w:sz w:val="21"/>
          <w:szCs w:val="21"/>
          <w:highlight w:val="none"/>
        </w:rPr>
        <w:t>及</w:t>
      </w:r>
      <w:r>
        <w:rPr>
          <w:rFonts w:hint="eastAsia" w:ascii="宋体" w:hAnsi="宋体" w:cs="宋体"/>
          <w:b/>
          <w:bCs/>
          <w:color w:val="auto"/>
          <w:sz w:val="21"/>
          <w:szCs w:val="21"/>
          <w:highlight w:val="none"/>
        </w:rPr>
        <w:t>【政府采购合同专用条款】</w:t>
      </w:r>
      <w:r>
        <w:rPr>
          <w:rFonts w:hint="eastAsia" w:ascii="宋体" w:hAnsi="宋体" w:cs="宋体"/>
          <w:color w:val="auto"/>
          <w:sz w:val="21"/>
          <w:szCs w:val="21"/>
          <w:highlight w:val="none"/>
        </w:rPr>
        <w:t>约定应由乙方承担的其他义务和责任。</w:t>
      </w:r>
    </w:p>
    <w:p w14:paraId="69660CAC">
      <w:pPr>
        <w:autoSpaceDE w:val="0"/>
        <w:autoSpaceDN w:val="0"/>
        <w:snapToGrid w:val="0"/>
        <w:spacing w:line="360" w:lineRule="auto"/>
        <w:jc w:val="left"/>
        <w:rPr>
          <w:rFonts w:ascii="宋体" w:hAnsi="宋体"/>
          <w:b/>
          <w:bCs/>
          <w:color w:val="auto"/>
          <w:sz w:val="21"/>
          <w:szCs w:val="21"/>
          <w:highlight w:val="none"/>
        </w:rPr>
      </w:pPr>
      <w:r>
        <w:rPr>
          <w:rFonts w:hint="eastAsia" w:ascii="宋体" w:hAnsi="宋体"/>
          <w:b/>
          <w:bCs/>
          <w:color w:val="auto"/>
          <w:sz w:val="21"/>
          <w:szCs w:val="21"/>
          <w:highlight w:val="none"/>
        </w:rPr>
        <w:t>6.合同履行</w:t>
      </w:r>
    </w:p>
    <w:p w14:paraId="0E4A327F">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6.1 甲乙双方应当按照</w:t>
      </w:r>
      <w:r>
        <w:rPr>
          <w:rFonts w:hint="eastAsia" w:ascii="宋体" w:hAnsi="宋体" w:cs="宋体"/>
          <w:b/>
          <w:bCs/>
          <w:color w:val="auto"/>
          <w:sz w:val="21"/>
          <w:szCs w:val="21"/>
          <w:highlight w:val="none"/>
        </w:rPr>
        <w:t>【政府采购合同专用条款】</w:t>
      </w:r>
      <w:r>
        <w:rPr>
          <w:rFonts w:hint="eastAsia" w:ascii="宋体" w:hAnsi="宋体"/>
          <w:color w:val="auto"/>
          <w:sz w:val="21"/>
          <w:szCs w:val="21"/>
          <w:highlight w:val="none"/>
        </w:rPr>
        <w:t>约定顺序履行合同义务；如果没有先后顺序的，应当同时履行。</w:t>
      </w:r>
    </w:p>
    <w:p w14:paraId="316FAC10">
      <w:pPr>
        <w:autoSpaceDE w:val="0"/>
        <w:autoSpaceDN w:val="0"/>
        <w:snapToGrid w:val="0"/>
        <w:spacing w:line="360" w:lineRule="auto"/>
        <w:ind w:firstLine="420" w:firstLineChars="200"/>
        <w:jc w:val="left"/>
        <w:rPr>
          <w:color w:val="auto"/>
          <w:sz w:val="21"/>
          <w:szCs w:val="21"/>
          <w:highlight w:val="none"/>
        </w:rPr>
      </w:pPr>
      <w:r>
        <w:rPr>
          <w:rFonts w:hint="eastAsia" w:ascii="宋体" w:hAnsi="宋体"/>
          <w:color w:val="auto"/>
          <w:sz w:val="21"/>
          <w:szCs w:val="21"/>
          <w:highlight w:val="none"/>
        </w:rPr>
        <w:t>6.2 甲乙双方按照合同约定顺序履行合同义务时，应当先履行一方未履行的，后履行一方有权拒绝其履行请求。先履行一方履行不符合约定的，后履行一方有权拒绝其相应的履行请求。</w:t>
      </w:r>
    </w:p>
    <w:p w14:paraId="1C857BD9">
      <w:pPr>
        <w:snapToGrid w:val="0"/>
        <w:spacing w:line="360" w:lineRule="auto"/>
        <w:jc w:val="left"/>
        <w:rPr>
          <w:rFonts w:ascii="宋体" w:hAnsi="宋体"/>
          <w:b/>
          <w:bCs/>
          <w:color w:val="auto"/>
          <w:sz w:val="21"/>
          <w:szCs w:val="21"/>
          <w:highlight w:val="none"/>
        </w:rPr>
      </w:pPr>
      <w:r>
        <w:rPr>
          <w:rFonts w:hint="eastAsia" w:ascii="宋体" w:hAnsi="宋体"/>
          <w:b/>
          <w:bCs/>
          <w:color w:val="auto"/>
          <w:sz w:val="21"/>
          <w:szCs w:val="21"/>
          <w:highlight w:val="none"/>
        </w:rPr>
        <w:t>7. 货物包装、运输、保险和交付要求</w:t>
      </w:r>
    </w:p>
    <w:p w14:paraId="37DE02F2">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7.1 本合同</w:t>
      </w:r>
      <w:r>
        <w:rPr>
          <w:rFonts w:hint="eastAsia" w:ascii="宋体" w:hAnsi="宋体"/>
          <w:bCs/>
          <w:color w:val="auto"/>
          <w:sz w:val="21"/>
          <w:szCs w:val="21"/>
          <w:highlight w:val="none"/>
        </w:rPr>
        <w:t>涉及商品包装、快递包装的，</w:t>
      </w:r>
      <w:r>
        <w:rPr>
          <w:rFonts w:hint="eastAsia" w:ascii="宋体" w:hAnsi="宋体"/>
          <w:color w:val="auto"/>
          <w:sz w:val="21"/>
          <w:szCs w:val="21"/>
          <w:highlight w:val="none"/>
        </w:rPr>
        <w:t>除</w:t>
      </w:r>
      <w:r>
        <w:rPr>
          <w:rFonts w:hint="eastAsia" w:ascii="宋体" w:hAnsi="宋体"/>
          <w:b/>
          <w:color w:val="auto"/>
          <w:sz w:val="21"/>
          <w:szCs w:val="21"/>
          <w:highlight w:val="none"/>
        </w:rPr>
        <w:t>【政府采购合同专用条款】</w:t>
      </w:r>
      <w:r>
        <w:rPr>
          <w:rFonts w:hint="eastAsia" w:ascii="宋体" w:hAnsi="宋体"/>
          <w:bCs/>
          <w:color w:val="auto"/>
          <w:sz w:val="21"/>
          <w:szCs w:val="21"/>
          <w:highlight w:val="none"/>
        </w:rPr>
        <w:t>另有约定外，</w:t>
      </w:r>
      <w:r>
        <w:rPr>
          <w:rFonts w:hint="eastAsia" w:ascii="宋体" w:hAnsi="宋体"/>
          <w:color w:val="auto"/>
          <w:sz w:val="21"/>
          <w:szCs w:val="21"/>
          <w:highlight w:val="none"/>
        </w:rPr>
        <w:t>包装应适应远距离运输、防潮、防震、防锈和防野蛮装卸等要求，确保货物安全无损地运抵</w:t>
      </w:r>
      <w:r>
        <w:rPr>
          <w:rFonts w:hint="eastAsia" w:ascii="宋体" w:hAnsi="宋体"/>
          <w:b/>
          <w:color w:val="auto"/>
          <w:sz w:val="21"/>
          <w:szCs w:val="21"/>
          <w:highlight w:val="none"/>
        </w:rPr>
        <w:t>【政府采购合同专用条款】</w:t>
      </w:r>
      <w:r>
        <w:rPr>
          <w:rFonts w:hint="eastAsia" w:ascii="宋体" w:hAnsi="宋体"/>
          <w:bCs/>
          <w:color w:val="auto"/>
          <w:sz w:val="21"/>
          <w:szCs w:val="21"/>
          <w:highlight w:val="none"/>
        </w:rPr>
        <w:t>约定的</w:t>
      </w:r>
      <w:r>
        <w:rPr>
          <w:rFonts w:hint="eastAsia" w:ascii="宋体" w:hAnsi="宋体"/>
          <w:color w:val="auto"/>
          <w:sz w:val="21"/>
          <w:szCs w:val="21"/>
          <w:highlight w:val="none"/>
        </w:rPr>
        <w:t>指定现场。</w:t>
      </w:r>
    </w:p>
    <w:p w14:paraId="65539A89">
      <w:pPr>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7.2 除</w:t>
      </w:r>
      <w:r>
        <w:rPr>
          <w:rFonts w:hint="eastAsia" w:ascii="宋体" w:hAnsi="宋体"/>
          <w:b/>
          <w:color w:val="auto"/>
          <w:sz w:val="21"/>
          <w:szCs w:val="21"/>
          <w:highlight w:val="none"/>
        </w:rPr>
        <w:t>【政府采购合同专用条款】</w:t>
      </w:r>
      <w:r>
        <w:rPr>
          <w:rFonts w:hint="eastAsia" w:ascii="宋体" w:hAnsi="宋体"/>
          <w:bCs/>
          <w:color w:val="auto"/>
          <w:sz w:val="21"/>
          <w:szCs w:val="21"/>
          <w:highlight w:val="none"/>
        </w:rPr>
        <w:t>另有约定外，</w:t>
      </w:r>
      <w:r>
        <w:rPr>
          <w:rFonts w:hint="eastAsia" w:ascii="宋体" w:hAnsi="宋体"/>
          <w:color w:val="auto"/>
          <w:sz w:val="21"/>
          <w:szCs w:val="21"/>
          <w:highlight w:val="none"/>
        </w:rPr>
        <w:t>乙方负责办理将货物运抵本合同规定的交货地点，并装卸、交付至甲方的一切运输事项，相关费用应包含在合同价款中。</w:t>
      </w:r>
    </w:p>
    <w:p w14:paraId="2B2E56FE">
      <w:pPr>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7.3 货物保险要求按</w:t>
      </w:r>
      <w:r>
        <w:rPr>
          <w:rFonts w:hint="eastAsia" w:ascii="宋体" w:hAnsi="宋体"/>
          <w:b/>
          <w:color w:val="auto"/>
          <w:sz w:val="21"/>
          <w:szCs w:val="21"/>
          <w:highlight w:val="none"/>
        </w:rPr>
        <w:t>【政府采购合同专用条款】</w:t>
      </w:r>
      <w:r>
        <w:rPr>
          <w:rFonts w:hint="eastAsia" w:ascii="宋体" w:hAnsi="宋体"/>
          <w:bCs/>
          <w:color w:val="auto"/>
          <w:sz w:val="21"/>
          <w:szCs w:val="21"/>
          <w:highlight w:val="none"/>
        </w:rPr>
        <w:t>规定执行</w:t>
      </w:r>
      <w:r>
        <w:rPr>
          <w:rFonts w:hint="eastAsia" w:ascii="宋体" w:hAnsi="宋体"/>
          <w:color w:val="auto"/>
          <w:sz w:val="21"/>
          <w:szCs w:val="21"/>
          <w:highlight w:val="none"/>
        </w:rPr>
        <w:t>。</w:t>
      </w:r>
    </w:p>
    <w:p w14:paraId="0FE81199">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14:paraId="1C41BFC0">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 xml:space="preserve">7.5 </w:t>
      </w:r>
      <w:r>
        <w:rPr>
          <w:rFonts w:hint="eastAsia" w:ascii="宋体" w:hAnsi="宋体" w:cs="宋体"/>
          <w:color w:val="auto"/>
          <w:sz w:val="21"/>
          <w:szCs w:val="21"/>
          <w:highlight w:val="none"/>
        </w:rPr>
        <w:t>乙方在运输到达之前应提前通知甲方，并提示货物运输装卸的注意事项，甲方配合乙方做好货物的接收工作。</w:t>
      </w:r>
    </w:p>
    <w:p w14:paraId="6DC17699">
      <w:pPr>
        <w:widowControl/>
        <w:autoSpaceDE w:val="0"/>
        <w:autoSpaceDN w:val="0"/>
        <w:spacing w:line="360" w:lineRule="auto"/>
        <w:ind w:firstLine="420" w:firstLineChars="200"/>
        <w:jc w:val="left"/>
        <w:rPr>
          <w:rFonts w:ascii="华文楷体" w:hAnsi="华文楷体" w:eastAsia="华文楷体" w:cs="华文楷体"/>
          <w:color w:val="auto"/>
          <w:kern w:val="0"/>
          <w:sz w:val="21"/>
          <w:szCs w:val="21"/>
          <w:highlight w:val="none"/>
        </w:rPr>
      </w:pPr>
      <w:r>
        <w:rPr>
          <w:rFonts w:hint="eastAsia" w:ascii="宋体" w:hAnsi="宋体"/>
          <w:color w:val="auto"/>
          <w:sz w:val="21"/>
          <w:szCs w:val="21"/>
          <w:highlight w:val="none"/>
        </w:rPr>
        <w:t>7.6 如因包装、运输问题导致货物损毁、丢失或者品质下降，甲方有权要求降价、换货、拒收部分或整批货物，由此产生的费用和损失，均由乙方承担。</w:t>
      </w:r>
    </w:p>
    <w:p w14:paraId="60E11C98">
      <w:pPr>
        <w:snapToGrid w:val="0"/>
        <w:spacing w:line="360" w:lineRule="auto"/>
        <w:jc w:val="left"/>
        <w:rPr>
          <w:rFonts w:ascii="宋体" w:hAnsi="宋体"/>
          <w:b/>
          <w:color w:val="auto"/>
          <w:sz w:val="21"/>
          <w:szCs w:val="21"/>
          <w:highlight w:val="none"/>
        </w:rPr>
      </w:pPr>
      <w:r>
        <w:rPr>
          <w:rFonts w:hint="eastAsia" w:ascii="宋体" w:hAnsi="宋体"/>
          <w:b/>
          <w:color w:val="auto"/>
          <w:sz w:val="21"/>
          <w:szCs w:val="21"/>
          <w:highlight w:val="none"/>
        </w:rPr>
        <w:t>8. 质量标准和保证</w:t>
      </w:r>
    </w:p>
    <w:p w14:paraId="213F8598">
      <w:pPr>
        <w:snapToGrid w:val="0"/>
        <w:spacing w:line="360" w:lineRule="auto"/>
        <w:ind w:firstLine="420" w:firstLineChars="200"/>
        <w:jc w:val="left"/>
        <w:rPr>
          <w:rFonts w:ascii="宋体" w:hAnsi="宋体" w:cs="Courier New"/>
          <w:b/>
          <w:color w:val="auto"/>
          <w:sz w:val="21"/>
          <w:szCs w:val="21"/>
          <w:highlight w:val="none"/>
        </w:rPr>
      </w:pPr>
      <w:r>
        <w:rPr>
          <w:rFonts w:hint="eastAsia" w:ascii="宋体" w:hAnsi="宋体" w:cs="Courier New"/>
          <w:color w:val="auto"/>
          <w:sz w:val="21"/>
          <w:szCs w:val="21"/>
          <w:highlight w:val="none"/>
        </w:rPr>
        <w:t>8.1 质量标准</w:t>
      </w:r>
    </w:p>
    <w:p w14:paraId="7D14A290">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（1）本合同下提供的货物应符合合同</w:t>
      </w:r>
      <w:r>
        <w:rPr>
          <w:rFonts w:hint="eastAsia" w:ascii="宋体" w:hAnsi="宋体" w:cs="宋体"/>
          <w:color w:val="auto"/>
          <w:sz w:val="21"/>
          <w:szCs w:val="21"/>
          <w:highlight w:val="none"/>
        </w:rPr>
        <w:t>约定的品牌、规格型号、技术性能、配置、质量、数量等要求。</w:t>
      </w:r>
      <w:r>
        <w:rPr>
          <w:rFonts w:hint="eastAsia" w:ascii="宋体" w:hAnsi="宋体"/>
          <w:color w:val="auto"/>
          <w:sz w:val="21"/>
          <w:szCs w:val="21"/>
          <w:highlight w:val="none"/>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61D262AB">
      <w:pPr>
        <w:snapToGrid w:val="0"/>
        <w:spacing w:line="360" w:lineRule="auto"/>
        <w:ind w:firstLine="420" w:firstLineChars="200"/>
        <w:jc w:val="left"/>
        <w:rPr>
          <w:rFonts w:ascii="宋体" w:hAnsi="宋体" w:cs="Courier New"/>
          <w:color w:val="auto"/>
          <w:sz w:val="21"/>
          <w:szCs w:val="21"/>
          <w:highlight w:val="none"/>
        </w:rPr>
      </w:pPr>
      <w:r>
        <w:rPr>
          <w:rFonts w:hint="eastAsia" w:ascii="宋体" w:hAnsi="宋体" w:cs="Courier New"/>
          <w:color w:val="auto"/>
          <w:sz w:val="21"/>
          <w:szCs w:val="21"/>
          <w:highlight w:val="none"/>
        </w:rPr>
        <w:t>（2）采用中华人民共和国法定计量单位。</w:t>
      </w:r>
    </w:p>
    <w:p w14:paraId="735879F8">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（3）乙方所提供的货物应符合国家有关安全、环保、卫生的规定。</w:t>
      </w:r>
    </w:p>
    <w:p w14:paraId="3E4A4330">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（4）乙方应向甲方提交所提供货物的技术文件，包括相应的中文技术文件，如：产品目录、图纸、操作手册、使用说明、维护手册或服务指南等。上述文件应包装好随货物一同发运。</w:t>
      </w:r>
    </w:p>
    <w:p w14:paraId="701EDF1F">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8.2 保证</w:t>
      </w:r>
    </w:p>
    <w:p w14:paraId="14E0E2AC">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（1）乙方应保证提供的货物完全符合合同规定的质量、规格和性能要求。乙方应保证货物在正确安装、正常使用和保养条件下，</w:t>
      </w:r>
      <w:r>
        <w:rPr>
          <w:rFonts w:hint="eastAsia" w:ascii="宋体" w:hAnsi="宋体" w:cs="宋体"/>
          <w:color w:val="auto"/>
          <w:sz w:val="21"/>
          <w:szCs w:val="21"/>
          <w:highlight w:val="none"/>
        </w:rPr>
        <w:t>在其使用寿命期内具备合同约定的性能</w:t>
      </w:r>
      <w:r>
        <w:rPr>
          <w:rFonts w:hint="eastAsia" w:ascii="宋体" w:hAnsi="宋体"/>
          <w:color w:val="auto"/>
          <w:sz w:val="21"/>
          <w:szCs w:val="21"/>
          <w:highlight w:val="none"/>
        </w:rPr>
        <w:t>。存在质量保证期的，货物最终交付验收合格后在</w:t>
      </w:r>
      <w:r>
        <w:rPr>
          <w:rFonts w:hint="eastAsia" w:ascii="宋体" w:hAnsi="宋体"/>
          <w:b/>
          <w:color w:val="auto"/>
          <w:sz w:val="21"/>
          <w:szCs w:val="21"/>
          <w:highlight w:val="none"/>
        </w:rPr>
        <w:t>【政府采购合同专用条款】</w:t>
      </w:r>
      <w:r>
        <w:rPr>
          <w:rFonts w:hint="eastAsia" w:ascii="宋体" w:hAnsi="宋体"/>
          <w:color w:val="auto"/>
          <w:sz w:val="21"/>
          <w:szCs w:val="21"/>
          <w:highlight w:val="none"/>
        </w:rPr>
        <w:t>规定或乙方书面承诺（两者以较长的为准）的质量保证期内，本保证保持有效。</w:t>
      </w:r>
    </w:p>
    <w:p w14:paraId="65E672B9">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（2）在质量保证期内所发现的缺陷，甲方应尽快以书面形式通知乙方。</w:t>
      </w:r>
    </w:p>
    <w:p w14:paraId="54F882EE">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（3）乙方收到通知后，应在</w:t>
      </w:r>
      <w:r>
        <w:rPr>
          <w:rFonts w:hint="eastAsia" w:ascii="宋体" w:hAnsi="宋体"/>
          <w:b/>
          <w:color w:val="auto"/>
          <w:sz w:val="21"/>
          <w:szCs w:val="21"/>
          <w:highlight w:val="none"/>
        </w:rPr>
        <w:t>【政府采购合同专用条款】</w:t>
      </w:r>
      <w:r>
        <w:rPr>
          <w:rFonts w:hint="eastAsia" w:ascii="宋体" w:hAnsi="宋体"/>
          <w:color w:val="auto"/>
          <w:sz w:val="21"/>
          <w:szCs w:val="21"/>
          <w:highlight w:val="none"/>
        </w:rPr>
        <w:t>规定的响应时间内以合理的速度免费维修或更换有缺陷的货物或部件。</w:t>
      </w:r>
    </w:p>
    <w:p w14:paraId="6D110E2D">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（4）在质量保证期内，如果货物的质量或规格与合同不符，或证实货物是有缺陷的，包括潜在的缺陷或使用不符合要求的材料等，甲方可以根据本合同第15.1条规定以书面形式追究乙方的违约责任。</w:t>
      </w:r>
    </w:p>
    <w:p w14:paraId="20097C37">
      <w:pPr>
        <w:snapToGrid w:val="0"/>
        <w:spacing w:line="360" w:lineRule="auto"/>
        <w:ind w:firstLine="420" w:firstLineChars="200"/>
        <w:jc w:val="left"/>
        <w:rPr>
          <w:color w:val="auto"/>
          <w:sz w:val="21"/>
          <w:szCs w:val="21"/>
          <w:highlight w:val="none"/>
        </w:rPr>
      </w:pPr>
      <w:r>
        <w:rPr>
          <w:rFonts w:hint="eastAsia" w:ascii="宋体" w:hAnsi="宋体"/>
          <w:color w:val="auto"/>
          <w:sz w:val="21"/>
          <w:szCs w:val="21"/>
          <w:highlight w:val="none"/>
        </w:rPr>
        <w:t>（5）乙方在约定的时间内未能弥补缺陷，甲方可采取必要的补救措施，但其风险和费用将由乙方承担，甲方根据合同约定对乙方行使的其他权利不受影响。</w:t>
      </w:r>
    </w:p>
    <w:p w14:paraId="1905D474">
      <w:pPr>
        <w:snapToGrid w:val="0"/>
        <w:spacing w:line="360" w:lineRule="auto"/>
        <w:jc w:val="left"/>
        <w:rPr>
          <w:rFonts w:ascii="宋体" w:hAnsi="宋体"/>
          <w:b/>
          <w:bCs/>
          <w:color w:val="auto"/>
          <w:sz w:val="21"/>
          <w:szCs w:val="21"/>
          <w:highlight w:val="none"/>
        </w:rPr>
      </w:pPr>
      <w:r>
        <w:rPr>
          <w:rFonts w:hint="eastAsia" w:ascii="宋体" w:hAnsi="宋体"/>
          <w:b/>
          <w:bCs/>
          <w:color w:val="auto"/>
          <w:sz w:val="21"/>
          <w:szCs w:val="21"/>
          <w:highlight w:val="none"/>
        </w:rPr>
        <w:t>9. 权利瑕疵担保</w:t>
      </w:r>
    </w:p>
    <w:p w14:paraId="61E29EB0">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9.1 乙方保证对其出售的货物享有合法的权利。</w:t>
      </w:r>
    </w:p>
    <w:p w14:paraId="6CD013BA">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 xml:space="preserve">9.2 </w:t>
      </w:r>
      <w:r>
        <w:rPr>
          <w:rFonts w:hint="eastAsia" w:ascii="宋体" w:hAnsi="宋体" w:cs="宋体"/>
          <w:color w:val="auto"/>
          <w:sz w:val="21"/>
          <w:szCs w:val="21"/>
          <w:highlight w:val="none"/>
        </w:rPr>
        <w:t>乙方保证在交付的货物上不存在抵押权等担保物权。</w:t>
      </w:r>
    </w:p>
    <w:p w14:paraId="04C3AB1B">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9.3 如甲方使用上述货物构成对第三人侵权的，则由乙方承担全部责任。</w:t>
      </w:r>
    </w:p>
    <w:p w14:paraId="27FEE716">
      <w:pPr>
        <w:autoSpaceDE w:val="0"/>
        <w:autoSpaceDN w:val="0"/>
        <w:snapToGrid w:val="0"/>
        <w:spacing w:line="360" w:lineRule="auto"/>
        <w:jc w:val="left"/>
        <w:rPr>
          <w:rFonts w:ascii="宋体" w:hAnsi="宋体"/>
          <w:b/>
          <w:bCs/>
          <w:color w:val="auto"/>
          <w:sz w:val="21"/>
          <w:szCs w:val="21"/>
          <w:highlight w:val="none"/>
        </w:rPr>
      </w:pPr>
      <w:r>
        <w:rPr>
          <w:rFonts w:hint="eastAsia" w:ascii="宋体" w:hAnsi="宋体"/>
          <w:b/>
          <w:bCs/>
          <w:color w:val="auto"/>
          <w:sz w:val="21"/>
          <w:szCs w:val="21"/>
          <w:highlight w:val="none"/>
        </w:rPr>
        <w:t>10. 知识产权保护</w:t>
      </w:r>
    </w:p>
    <w:p w14:paraId="7A79A3F0">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10.1 乙方对其所销售的货物应当享有知识产权或经权利人合法授权，保证没有侵犯任何第三人的知识产权等权利。</w:t>
      </w:r>
      <w:bookmarkStart w:id="78" w:name="_Hlk163047038"/>
      <w:r>
        <w:rPr>
          <w:rFonts w:hint="eastAsia" w:ascii="宋体" w:hAnsi="宋体" w:cs="宋体"/>
          <w:color w:val="auto"/>
          <w:sz w:val="21"/>
          <w:szCs w:val="21"/>
          <w:highlight w:val="none"/>
        </w:rPr>
        <w:t>因违反前述约定对第三人构成侵权的，应当由乙方向第三人承担法律责任；甲方依法向第三人赔偿后，有权向乙方追偿。甲方有其他损失的，乙方应当赔偿</w:t>
      </w:r>
      <w:bookmarkEnd w:id="78"/>
      <w:r>
        <w:rPr>
          <w:rFonts w:hint="eastAsia" w:ascii="宋体" w:hAnsi="宋体"/>
          <w:color w:val="auto"/>
          <w:sz w:val="21"/>
          <w:szCs w:val="21"/>
          <w:highlight w:val="none"/>
        </w:rPr>
        <w:t>。</w:t>
      </w:r>
    </w:p>
    <w:p w14:paraId="119DC7D2">
      <w:pPr>
        <w:autoSpaceDE w:val="0"/>
        <w:autoSpaceDN w:val="0"/>
        <w:snapToGrid w:val="0"/>
        <w:spacing w:line="360" w:lineRule="auto"/>
        <w:jc w:val="left"/>
        <w:rPr>
          <w:rFonts w:ascii="宋体" w:hAnsi="宋体"/>
          <w:b/>
          <w:bCs/>
          <w:color w:val="auto"/>
          <w:sz w:val="21"/>
          <w:szCs w:val="21"/>
          <w:highlight w:val="none"/>
        </w:rPr>
      </w:pPr>
      <w:r>
        <w:rPr>
          <w:rFonts w:hint="eastAsia" w:ascii="宋体" w:hAnsi="宋体"/>
          <w:b/>
          <w:bCs/>
          <w:color w:val="auto"/>
          <w:sz w:val="21"/>
          <w:szCs w:val="21"/>
          <w:highlight w:val="none"/>
        </w:rPr>
        <w:t>11. 保密义务</w:t>
      </w:r>
    </w:p>
    <w:p w14:paraId="6503D140">
      <w:pPr>
        <w:autoSpaceDE w:val="0"/>
        <w:autoSpaceDN w:val="0"/>
        <w:snapToGrid w:val="0"/>
        <w:spacing w:line="360" w:lineRule="auto"/>
        <w:ind w:firstLine="420" w:firstLineChars="200"/>
        <w:jc w:val="left"/>
        <w:rPr>
          <w:rFonts w:ascii="宋体" w:hAnsi="宋体" w:cs="宋体"/>
          <w:color w:val="auto"/>
          <w:sz w:val="21"/>
          <w:szCs w:val="21"/>
          <w:highlight w:val="none"/>
        </w:rPr>
      </w:pPr>
      <w:r>
        <w:rPr>
          <w:rFonts w:hint="eastAsia" w:ascii="宋体" w:hAnsi="宋体" w:cs="宋体"/>
          <w:color w:val="auto"/>
          <w:sz w:val="21"/>
          <w:szCs w:val="21"/>
          <w:highlight w:val="none"/>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hint="eastAsia" w:ascii="宋体" w:hAnsi="宋体" w:cs="宋体"/>
          <w:b/>
          <w:bCs/>
          <w:color w:val="auto"/>
          <w:sz w:val="21"/>
          <w:szCs w:val="21"/>
          <w:highlight w:val="none"/>
        </w:rPr>
        <w:t>【政府采购合同专用条款】</w:t>
      </w:r>
      <w:r>
        <w:rPr>
          <w:rFonts w:hint="eastAsia" w:ascii="宋体" w:hAnsi="宋体" w:cs="宋体"/>
          <w:color w:val="auto"/>
          <w:sz w:val="21"/>
          <w:szCs w:val="21"/>
          <w:highlight w:val="none"/>
        </w:rPr>
        <w:t>中约定。</w:t>
      </w:r>
    </w:p>
    <w:p w14:paraId="5D622925">
      <w:pPr>
        <w:autoSpaceDE w:val="0"/>
        <w:autoSpaceDN w:val="0"/>
        <w:snapToGrid w:val="0"/>
        <w:spacing w:line="360" w:lineRule="auto"/>
        <w:jc w:val="left"/>
        <w:rPr>
          <w:rFonts w:ascii="宋体" w:hAnsi="宋体"/>
          <w:b/>
          <w:bCs/>
          <w:color w:val="auto"/>
          <w:sz w:val="21"/>
          <w:szCs w:val="21"/>
          <w:highlight w:val="none"/>
        </w:rPr>
      </w:pPr>
      <w:r>
        <w:rPr>
          <w:rFonts w:hint="eastAsia" w:ascii="宋体" w:hAnsi="宋体"/>
          <w:b/>
          <w:bCs/>
          <w:color w:val="auto"/>
          <w:sz w:val="21"/>
          <w:szCs w:val="21"/>
          <w:highlight w:val="none"/>
        </w:rPr>
        <w:t>12. 合同价款支付</w:t>
      </w:r>
    </w:p>
    <w:p w14:paraId="2DE7A1D2">
      <w:pPr>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12.1 合同价款支付按照国库集中支付制度及财政管理相关规定执行。</w:t>
      </w:r>
    </w:p>
    <w:p w14:paraId="257495E4">
      <w:pPr>
        <w:keepNext/>
        <w:keepLines/>
        <w:adjustRightInd/>
        <w:spacing w:line="360" w:lineRule="auto"/>
        <w:ind w:firstLine="420" w:firstLineChars="200"/>
        <w:rPr>
          <w:rFonts w:ascii="Arial" w:hAnsi="Arial"/>
          <w:b/>
          <w:bCs/>
          <w:color w:val="auto"/>
          <w:sz w:val="21"/>
          <w:szCs w:val="21"/>
          <w:highlight w:val="none"/>
        </w:rPr>
      </w:pPr>
      <w:r>
        <w:rPr>
          <w:rFonts w:hint="eastAsia" w:ascii="宋体" w:hAnsi="宋体"/>
          <w:color w:val="auto"/>
          <w:sz w:val="21"/>
          <w:szCs w:val="21"/>
          <w:highlight w:val="none"/>
        </w:rPr>
        <w:t>12.2 对于满足合同约定支付条件的，甲方原则上应当自收到发票后5个工作日内将资金支付到合同约定的乙方账户，不得以机构变动、人员更替、政策调整等为由迟延付款，不得将采购文件和合同中未规定的义务作为向乙方付款的条件。具体合同价款支付时间在【</w:t>
      </w:r>
      <w:r>
        <w:rPr>
          <w:rFonts w:hint="eastAsia" w:ascii="宋体" w:hAnsi="宋体"/>
          <w:b/>
          <w:bCs/>
          <w:color w:val="auto"/>
          <w:sz w:val="21"/>
          <w:szCs w:val="21"/>
          <w:highlight w:val="none"/>
        </w:rPr>
        <w:t>政府采购合同专用条款</w:t>
      </w:r>
      <w:r>
        <w:rPr>
          <w:rFonts w:hint="eastAsia" w:ascii="宋体" w:hAnsi="宋体"/>
          <w:color w:val="auto"/>
          <w:sz w:val="21"/>
          <w:szCs w:val="21"/>
          <w:highlight w:val="none"/>
        </w:rPr>
        <w:t>】中约定。</w:t>
      </w:r>
    </w:p>
    <w:p w14:paraId="049A32A8">
      <w:pPr>
        <w:adjustRightInd/>
        <w:spacing w:line="360" w:lineRule="auto"/>
        <w:rPr>
          <w:rFonts w:ascii="宋体" w:hAnsi="宋体"/>
          <w:b/>
          <w:bCs/>
          <w:color w:val="auto"/>
          <w:sz w:val="21"/>
          <w:szCs w:val="21"/>
          <w:highlight w:val="none"/>
        </w:rPr>
      </w:pPr>
      <w:r>
        <w:rPr>
          <w:rFonts w:hint="eastAsia" w:ascii="宋体" w:hAnsi="宋体"/>
          <w:b/>
          <w:bCs/>
          <w:color w:val="auto"/>
          <w:sz w:val="21"/>
          <w:szCs w:val="21"/>
          <w:highlight w:val="none"/>
        </w:rPr>
        <w:t>13. 履约保证金</w:t>
      </w:r>
    </w:p>
    <w:p w14:paraId="2B160B29">
      <w:pPr>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 xml:space="preserve">13.1 </w:t>
      </w:r>
      <w:r>
        <w:rPr>
          <w:rFonts w:hint="eastAsia" w:ascii="宋体" w:hAnsi="宋体" w:cs="宋体"/>
          <w:color w:val="auto"/>
          <w:sz w:val="21"/>
          <w:szCs w:val="21"/>
          <w:highlight w:val="none"/>
        </w:rPr>
        <w:t>乙方应当以支票、汇票、本票或者金融机构、担保机构出具的保函等非现金形式提交。</w:t>
      </w:r>
    </w:p>
    <w:p w14:paraId="5D0A09DE">
      <w:pPr>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13.2 如果乙方出现</w:t>
      </w:r>
      <w:r>
        <w:rPr>
          <w:rFonts w:hint="eastAsia" w:ascii="宋体" w:hAnsi="宋体" w:cs="宋体"/>
          <w:b/>
          <w:bCs/>
          <w:color w:val="auto"/>
          <w:sz w:val="21"/>
          <w:szCs w:val="21"/>
          <w:highlight w:val="none"/>
        </w:rPr>
        <w:t>【政府采购合同专用条款】</w:t>
      </w:r>
      <w:r>
        <w:rPr>
          <w:rFonts w:hint="eastAsia" w:ascii="宋体" w:hAnsi="宋体" w:cs="宋体"/>
          <w:color w:val="auto"/>
          <w:sz w:val="21"/>
          <w:szCs w:val="21"/>
          <w:highlight w:val="none"/>
        </w:rPr>
        <w:t>约定情形的</w:t>
      </w:r>
      <w:r>
        <w:rPr>
          <w:rFonts w:hint="eastAsia" w:ascii="宋体" w:hAnsi="宋体"/>
          <w:color w:val="auto"/>
          <w:sz w:val="21"/>
          <w:szCs w:val="21"/>
          <w:highlight w:val="none"/>
        </w:rPr>
        <w:t>，履约保证金不予退还；如果乙方未能按合同约定全面履行义务，甲方有权从履约保证金中取得补偿或赔偿，且不影响甲方要求乙方承担合同约定的超过履约保证金的违约责任的权利。</w:t>
      </w:r>
    </w:p>
    <w:p w14:paraId="039C1F74">
      <w:pPr>
        <w:adjustRightInd/>
        <w:spacing w:line="360" w:lineRule="auto"/>
        <w:ind w:firstLine="420"/>
        <w:rPr>
          <w:color w:val="auto"/>
          <w:sz w:val="21"/>
          <w:szCs w:val="21"/>
          <w:highlight w:val="none"/>
        </w:rPr>
      </w:pPr>
      <w:r>
        <w:rPr>
          <w:rFonts w:hint="eastAsia" w:ascii="宋体" w:hAnsi="宋体"/>
          <w:color w:val="auto"/>
          <w:sz w:val="21"/>
          <w:szCs w:val="21"/>
          <w:highlight w:val="none"/>
        </w:rPr>
        <w:t>13.3 甲方在项目通过验收后按照</w:t>
      </w:r>
      <w:r>
        <w:rPr>
          <w:rFonts w:hint="eastAsia" w:ascii="宋体" w:hAnsi="宋体"/>
          <w:b/>
          <w:color w:val="auto"/>
          <w:sz w:val="21"/>
          <w:szCs w:val="21"/>
          <w:highlight w:val="none"/>
        </w:rPr>
        <w:t>【政府采购合同专用条款】</w:t>
      </w:r>
      <w:r>
        <w:rPr>
          <w:rFonts w:hint="eastAsia" w:ascii="宋体" w:hAnsi="宋体"/>
          <w:color w:val="auto"/>
          <w:sz w:val="21"/>
          <w:szCs w:val="21"/>
          <w:highlight w:val="none"/>
        </w:rPr>
        <w:t>规定的时间内将履约保证金退还乙方；逾期退还的，乙方可要求甲方支付违约金，违约金按照</w:t>
      </w:r>
      <w:r>
        <w:rPr>
          <w:rFonts w:hint="eastAsia" w:ascii="宋体" w:hAnsi="宋体"/>
          <w:b/>
          <w:color w:val="auto"/>
          <w:sz w:val="21"/>
          <w:szCs w:val="21"/>
          <w:highlight w:val="none"/>
        </w:rPr>
        <w:t>【政府采购合同专用条款】</w:t>
      </w:r>
      <w:r>
        <w:rPr>
          <w:rFonts w:hint="eastAsia" w:ascii="宋体" w:hAnsi="宋体"/>
          <w:color w:val="auto"/>
          <w:sz w:val="21"/>
          <w:szCs w:val="21"/>
          <w:highlight w:val="none"/>
        </w:rPr>
        <w:t>规定支付。</w:t>
      </w:r>
    </w:p>
    <w:p w14:paraId="0ACE85D1">
      <w:pPr>
        <w:autoSpaceDE w:val="0"/>
        <w:autoSpaceDN w:val="0"/>
        <w:snapToGrid w:val="0"/>
        <w:spacing w:line="360" w:lineRule="auto"/>
        <w:jc w:val="left"/>
        <w:rPr>
          <w:rFonts w:ascii="宋体" w:hAnsi="宋体"/>
          <w:b/>
          <w:color w:val="auto"/>
          <w:sz w:val="21"/>
          <w:szCs w:val="21"/>
          <w:highlight w:val="none"/>
        </w:rPr>
      </w:pPr>
      <w:r>
        <w:rPr>
          <w:rFonts w:hint="eastAsia" w:ascii="宋体" w:hAnsi="宋体"/>
          <w:b/>
          <w:bCs/>
          <w:color w:val="auto"/>
          <w:sz w:val="21"/>
          <w:szCs w:val="21"/>
          <w:highlight w:val="none"/>
        </w:rPr>
        <w:t xml:space="preserve">14. </w:t>
      </w:r>
      <w:r>
        <w:rPr>
          <w:rFonts w:hint="eastAsia"/>
          <w:b/>
          <w:color w:val="auto"/>
          <w:sz w:val="21"/>
          <w:szCs w:val="21"/>
          <w:highlight w:val="none"/>
        </w:rPr>
        <w:t>售后</w:t>
      </w:r>
      <w:r>
        <w:rPr>
          <w:rFonts w:hint="eastAsia" w:ascii="宋体" w:hAnsi="宋体"/>
          <w:b/>
          <w:color w:val="auto"/>
          <w:sz w:val="21"/>
          <w:szCs w:val="21"/>
          <w:highlight w:val="none"/>
        </w:rPr>
        <w:t>服务</w:t>
      </w:r>
    </w:p>
    <w:p w14:paraId="6F4E8F11">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14.1 除项目不涉及或采购活动中明确约定无须承担外，乙方还应提供下列服务：</w:t>
      </w:r>
    </w:p>
    <w:p w14:paraId="3AB44382">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（1）货物的现场移动、安装、调试、启动监督及技术支持；</w:t>
      </w:r>
    </w:p>
    <w:p w14:paraId="3DC2C7DA">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（2）提供货物组装和维修所需的专用工具和辅助材料；</w:t>
      </w:r>
    </w:p>
    <w:p w14:paraId="59DD7DEB">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（3）在</w:t>
      </w:r>
      <w:r>
        <w:rPr>
          <w:rFonts w:hint="eastAsia" w:ascii="宋体" w:hAnsi="宋体" w:cs="宋体"/>
          <w:b/>
          <w:bCs/>
          <w:color w:val="auto"/>
          <w:sz w:val="21"/>
          <w:szCs w:val="21"/>
          <w:highlight w:val="none"/>
        </w:rPr>
        <w:t>【政府采购合同专用条款】</w:t>
      </w:r>
      <w:r>
        <w:rPr>
          <w:rFonts w:hint="eastAsia" w:ascii="宋体" w:hAnsi="宋体"/>
          <w:color w:val="auto"/>
          <w:sz w:val="21"/>
          <w:szCs w:val="21"/>
          <w:highlight w:val="none"/>
        </w:rPr>
        <w:t>约定的期限内对所有的货物实施运行监督、维修，但前提条件是该服务并不能免除乙方在质量保证期内所承担的义务；</w:t>
      </w:r>
    </w:p>
    <w:p w14:paraId="10BF81CD">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（4）在制造商所在地或指定现场就货物的安装、启动、运营、维护、废弃处置等对甲方操作人员进行培训</w:t>
      </w:r>
      <w:r>
        <w:rPr>
          <w:rFonts w:hint="eastAsia" w:ascii="宋体" w:hAnsi="宋体" w:cs="宋体"/>
          <w:color w:val="auto"/>
          <w:sz w:val="21"/>
          <w:szCs w:val="21"/>
          <w:highlight w:val="none"/>
        </w:rPr>
        <w:t>；</w:t>
      </w:r>
    </w:p>
    <w:p w14:paraId="59F15C2C">
      <w:pPr>
        <w:widowControl/>
        <w:autoSpaceDE w:val="0"/>
        <w:autoSpaceDN w:val="0"/>
        <w:spacing w:line="360" w:lineRule="auto"/>
        <w:ind w:firstLine="420" w:firstLineChars="200"/>
        <w:jc w:val="left"/>
        <w:rPr>
          <w:rFonts w:ascii="宋体" w:hAnsi="宋体" w:cs="宋体"/>
          <w:color w:val="auto"/>
          <w:kern w:val="0"/>
          <w:sz w:val="21"/>
          <w:szCs w:val="21"/>
          <w:highlight w:val="none"/>
        </w:rPr>
      </w:pPr>
      <w:r>
        <w:rPr>
          <w:rFonts w:hint="eastAsia" w:ascii="宋体" w:hAnsi="宋体" w:cs="宋体"/>
          <w:color w:val="auto"/>
          <w:kern w:val="0"/>
          <w:sz w:val="21"/>
          <w:szCs w:val="21"/>
          <w:highlight w:val="none"/>
        </w:rPr>
        <w:t>（5）依照法律、行政法规的规定或者按照</w:t>
      </w:r>
      <w:r>
        <w:rPr>
          <w:rFonts w:hint="eastAsia" w:ascii="宋体" w:hAnsi="宋体" w:cs="宋体"/>
          <w:b/>
          <w:bCs/>
          <w:color w:val="auto"/>
          <w:kern w:val="0"/>
          <w:sz w:val="21"/>
          <w:szCs w:val="21"/>
          <w:highlight w:val="none"/>
        </w:rPr>
        <w:t>【政府采购合同专用条款】</w:t>
      </w:r>
      <w:r>
        <w:rPr>
          <w:rFonts w:hint="eastAsia" w:ascii="宋体" w:hAnsi="宋体" w:cs="宋体"/>
          <w:color w:val="auto"/>
          <w:kern w:val="0"/>
          <w:sz w:val="21"/>
          <w:szCs w:val="21"/>
          <w:highlight w:val="none"/>
        </w:rPr>
        <w:t>约定，货物在有效使用年限届满后应予回收的，乙方负有自行或者委托第三人对货物予以回收的义务；</w:t>
      </w:r>
    </w:p>
    <w:p w14:paraId="7DA5706E">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（6）</w:t>
      </w:r>
      <w:r>
        <w:rPr>
          <w:rFonts w:hint="eastAsia" w:ascii="宋体" w:hAnsi="宋体"/>
          <w:b/>
          <w:color w:val="auto"/>
          <w:sz w:val="21"/>
          <w:szCs w:val="21"/>
          <w:highlight w:val="none"/>
        </w:rPr>
        <w:t>【政府采购合同专用条款】</w:t>
      </w:r>
      <w:r>
        <w:rPr>
          <w:rFonts w:hint="eastAsia" w:ascii="宋体" w:hAnsi="宋体"/>
          <w:color w:val="auto"/>
          <w:sz w:val="21"/>
          <w:szCs w:val="21"/>
          <w:highlight w:val="none"/>
        </w:rPr>
        <w:t>规定由乙方提供的其他服务。</w:t>
      </w:r>
    </w:p>
    <w:p w14:paraId="3194E0E8">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14.2 乙方提供的售后服务的费用已包含在合同价款中，甲方不再另行支付。</w:t>
      </w:r>
    </w:p>
    <w:p w14:paraId="2F3185A3">
      <w:pPr>
        <w:snapToGrid w:val="0"/>
        <w:spacing w:line="360" w:lineRule="auto"/>
        <w:jc w:val="left"/>
        <w:rPr>
          <w:rFonts w:ascii="宋体" w:hAnsi="宋体"/>
          <w:b/>
          <w:bCs/>
          <w:color w:val="auto"/>
          <w:sz w:val="21"/>
          <w:szCs w:val="21"/>
          <w:highlight w:val="none"/>
        </w:rPr>
      </w:pPr>
      <w:r>
        <w:rPr>
          <w:rFonts w:hint="eastAsia" w:ascii="宋体" w:hAnsi="宋体"/>
          <w:b/>
          <w:bCs/>
          <w:color w:val="auto"/>
          <w:sz w:val="21"/>
          <w:szCs w:val="21"/>
          <w:highlight w:val="none"/>
        </w:rPr>
        <w:t>15. 违约责任</w:t>
      </w:r>
    </w:p>
    <w:p w14:paraId="0C0F67AA">
      <w:pPr>
        <w:snapToGrid w:val="0"/>
        <w:spacing w:line="360" w:lineRule="auto"/>
        <w:ind w:firstLine="420" w:firstLineChars="200"/>
        <w:jc w:val="left"/>
        <w:rPr>
          <w:rFonts w:ascii="宋体" w:hAnsi="宋体"/>
          <w:bCs/>
          <w:color w:val="auto"/>
          <w:sz w:val="21"/>
          <w:szCs w:val="21"/>
          <w:highlight w:val="none"/>
        </w:rPr>
      </w:pPr>
      <w:r>
        <w:rPr>
          <w:rFonts w:hint="eastAsia" w:ascii="宋体" w:hAnsi="宋体"/>
          <w:bCs/>
          <w:color w:val="auto"/>
          <w:sz w:val="21"/>
          <w:szCs w:val="21"/>
          <w:highlight w:val="none"/>
        </w:rPr>
        <w:t>15.1质量瑕疵的违约责任</w:t>
      </w:r>
    </w:p>
    <w:p w14:paraId="3020D2BD">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乙方提供的产品不符合合同约定的质量标准或存在产品质量缺陷，甲方有权要求乙方根据</w:t>
      </w:r>
      <w:r>
        <w:rPr>
          <w:rFonts w:hint="eastAsia" w:ascii="宋体" w:hAnsi="宋体"/>
          <w:b/>
          <w:color w:val="auto"/>
          <w:sz w:val="21"/>
          <w:szCs w:val="21"/>
          <w:highlight w:val="none"/>
        </w:rPr>
        <w:t>【政府采购合同专用条款】</w:t>
      </w:r>
      <w:r>
        <w:rPr>
          <w:rFonts w:hint="eastAsia" w:ascii="宋体" w:hAnsi="宋体"/>
          <w:bCs/>
          <w:color w:val="auto"/>
          <w:sz w:val="21"/>
          <w:szCs w:val="21"/>
          <w:highlight w:val="none"/>
        </w:rPr>
        <w:t>要求</w:t>
      </w:r>
      <w:r>
        <w:rPr>
          <w:rFonts w:hint="eastAsia" w:ascii="宋体" w:hAnsi="宋体"/>
          <w:color w:val="auto"/>
          <w:sz w:val="21"/>
          <w:szCs w:val="21"/>
          <w:highlight w:val="none"/>
        </w:rPr>
        <w:t>及时修理、重作、更换，并承担由此给甲方造成的损失。</w:t>
      </w:r>
    </w:p>
    <w:p w14:paraId="5FCE85D1">
      <w:pPr>
        <w:autoSpaceDE w:val="0"/>
        <w:autoSpaceDN w:val="0"/>
        <w:snapToGrid w:val="0"/>
        <w:spacing w:line="360" w:lineRule="auto"/>
        <w:ind w:firstLine="420" w:firstLineChars="200"/>
        <w:jc w:val="left"/>
        <w:rPr>
          <w:rFonts w:ascii="宋体" w:hAnsi="宋体"/>
          <w:bCs/>
          <w:color w:val="auto"/>
          <w:sz w:val="21"/>
          <w:szCs w:val="21"/>
          <w:highlight w:val="none"/>
        </w:rPr>
      </w:pPr>
      <w:r>
        <w:rPr>
          <w:rFonts w:hint="eastAsia" w:ascii="宋体" w:hAnsi="宋体"/>
          <w:bCs/>
          <w:color w:val="auto"/>
          <w:sz w:val="21"/>
          <w:szCs w:val="21"/>
          <w:highlight w:val="none"/>
        </w:rPr>
        <w:t>15.2 迟延交货的违约责任</w:t>
      </w:r>
    </w:p>
    <w:p w14:paraId="00D1259D">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3483F2FE">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（2）如果乙方没有按照合同规定的时间交货和提供相关服务，甲方有权从货款中扣除误期赔偿费而不影响合同项下的其他补救方法，赔偿费按</w:t>
      </w:r>
      <w:r>
        <w:rPr>
          <w:rFonts w:hint="eastAsia" w:ascii="宋体" w:hAnsi="宋体"/>
          <w:b/>
          <w:color w:val="auto"/>
          <w:sz w:val="21"/>
          <w:szCs w:val="21"/>
          <w:highlight w:val="none"/>
        </w:rPr>
        <w:t>【政府采购合同专用条款】</w:t>
      </w:r>
      <w:r>
        <w:rPr>
          <w:rFonts w:hint="eastAsia" w:ascii="宋体" w:hAnsi="宋体"/>
          <w:color w:val="auto"/>
          <w:sz w:val="21"/>
          <w:szCs w:val="21"/>
          <w:highlight w:val="none"/>
        </w:rPr>
        <w:t>规定执行。如果涉及公共利益，且赔偿金额无法弥补公共利益损失，甲方可要求继续履行或者采取其他补救措施。</w:t>
      </w:r>
    </w:p>
    <w:p w14:paraId="4EE2CADC">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15.3 迟延支付的违约责任</w:t>
      </w:r>
    </w:p>
    <w:p w14:paraId="66BE429E">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甲方存在迟延支付乙方合同款项的，应当承担</w:t>
      </w:r>
      <w:r>
        <w:rPr>
          <w:rFonts w:hint="eastAsia" w:ascii="宋体" w:hAnsi="宋体"/>
          <w:b/>
          <w:bCs/>
          <w:color w:val="auto"/>
          <w:sz w:val="21"/>
          <w:szCs w:val="21"/>
          <w:highlight w:val="none"/>
        </w:rPr>
        <w:t>【政府采购合同专用条款】</w:t>
      </w:r>
      <w:r>
        <w:rPr>
          <w:rFonts w:hint="eastAsia" w:ascii="宋体" w:hAnsi="宋体"/>
          <w:color w:val="auto"/>
          <w:sz w:val="21"/>
          <w:szCs w:val="21"/>
          <w:highlight w:val="none"/>
        </w:rPr>
        <w:t>规定的逾期付款利息。</w:t>
      </w:r>
    </w:p>
    <w:p w14:paraId="0858CA12">
      <w:pPr>
        <w:snapToGrid w:val="0"/>
        <w:spacing w:line="360" w:lineRule="auto"/>
        <w:ind w:firstLine="420" w:firstLineChars="200"/>
        <w:jc w:val="left"/>
        <w:rPr>
          <w:rFonts w:ascii="宋体" w:hAnsi="宋体"/>
          <w:color w:val="auto"/>
          <w:sz w:val="21"/>
          <w:szCs w:val="21"/>
          <w:highlight w:val="none"/>
        </w:rPr>
      </w:pPr>
      <w:r>
        <w:rPr>
          <w:rFonts w:hint="eastAsia" w:ascii="宋体" w:hAnsi="宋体"/>
          <w:bCs/>
          <w:color w:val="auto"/>
          <w:sz w:val="21"/>
          <w:szCs w:val="21"/>
          <w:highlight w:val="none"/>
        </w:rPr>
        <w:t>15.4其他违约责任根据项目实际需要按</w:t>
      </w:r>
      <w:r>
        <w:rPr>
          <w:rFonts w:hint="eastAsia" w:ascii="宋体" w:hAnsi="宋体"/>
          <w:b/>
          <w:bCs/>
          <w:color w:val="auto"/>
          <w:sz w:val="21"/>
          <w:szCs w:val="21"/>
          <w:highlight w:val="none"/>
        </w:rPr>
        <w:t>【政府采购合同专用条款】</w:t>
      </w:r>
      <w:r>
        <w:rPr>
          <w:rFonts w:hint="eastAsia" w:ascii="宋体" w:hAnsi="宋体"/>
          <w:color w:val="auto"/>
          <w:sz w:val="21"/>
          <w:szCs w:val="21"/>
          <w:highlight w:val="none"/>
        </w:rPr>
        <w:t>规定执行。</w:t>
      </w:r>
    </w:p>
    <w:p w14:paraId="2F442239">
      <w:pPr>
        <w:snapToGrid w:val="0"/>
        <w:spacing w:line="360" w:lineRule="auto"/>
        <w:jc w:val="left"/>
        <w:rPr>
          <w:rFonts w:ascii="宋体" w:hAnsi="宋体"/>
          <w:b/>
          <w:bCs/>
          <w:color w:val="auto"/>
          <w:sz w:val="21"/>
          <w:szCs w:val="21"/>
          <w:highlight w:val="none"/>
        </w:rPr>
      </w:pPr>
      <w:r>
        <w:rPr>
          <w:rFonts w:hint="eastAsia" w:ascii="宋体" w:hAnsi="宋体"/>
          <w:b/>
          <w:bCs/>
          <w:color w:val="auto"/>
          <w:sz w:val="21"/>
          <w:szCs w:val="21"/>
          <w:highlight w:val="none"/>
        </w:rPr>
        <w:t>16. 合同变更、中止与终止</w:t>
      </w:r>
    </w:p>
    <w:p w14:paraId="72B02DE5">
      <w:p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rPr>
        <w:t xml:space="preserve">    16.1合同的变更</w:t>
      </w:r>
    </w:p>
    <w:p w14:paraId="2E547185">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政府采购合同履行中，在不改变合同其他条款的前提下，甲方可以在合同价款10%的范围内追加与合同标的相同的货物，并就此与乙方协商一致后签订补充协议。</w:t>
      </w:r>
    </w:p>
    <w:p w14:paraId="7EAE4C91">
      <w:pPr>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16.2合同的中止</w:t>
      </w:r>
    </w:p>
    <w:p w14:paraId="5BA86638">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（1）合同履行过程中因供应商就采购文件、采购过程或结果提起投诉的，甲方认为有必要的，可以中止合同的履行。</w:t>
      </w:r>
    </w:p>
    <w:p w14:paraId="23860511">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1BAAD8BC">
      <w:pPr>
        <w:widowControl/>
        <w:autoSpaceDE w:val="0"/>
        <w:autoSpaceDN w:val="0"/>
        <w:spacing w:line="360" w:lineRule="auto"/>
        <w:ind w:firstLine="420" w:firstLineChars="200"/>
        <w:rPr>
          <w:rFonts w:ascii="华文楷体" w:hAnsi="华文楷体" w:eastAsia="华文楷体" w:cs="华文楷体"/>
          <w:color w:val="auto"/>
          <w:kern w:val="0"/>
          <w:sz w:val="21"/>
          <w:szCs w:val="21"/>
          <w:highlight w:val="none"/>
        </w:rPr>
      </w:pPr>
      <w:r>
        <w:rPr>
          <w:rFonts w:hint="eastAsia" w:ascii="宋体" w:hAnsi="宋体" w:cs="宋体"/>
          <w:color w:val="auto"/>
          <w:kern w:val="0"/>
          <w:sz w:val="21"/>
          <w:szCs w:val="21"/>
          <w:highlight w:val="none"/>
        </w:rPr>
        <w:t>（3）乙方分立、合并或者变更住所的，应当及时以书面形式告知甲方。乙方没有及时告知甲方，致使合同履行发生困难的，甲方可以中止合同履行并要求乙方承担由此给甲方造成的损失。</w:t>
      </w:r>
    </w:p>
    <w:p w14:paraId="3EDD27B7">
      <w:pPr>
        <w:adjustRightInd/>
        <w:snapToGrid w:val="0"/>
        <w:spacing w:line="360" w:lineRule="auto"/>
        <w:ind w:firstLine="420" w:firstLineChars="200"/>
        <w:jc w:val="left"/>
        <w:rPr>
          <w:color w:val="auto"/>
          <w:sz w:val="21"/>
          <w:szCs w:val="21"/>
          <w:highlight w:val="none"/>
        </w:rPr>
      </w:pPr>
      <w:r>
        <w:rPr>
          <w:rFonts w:hint="eastAsia" w:ascii="宋体" w:hAnsi="宋体"/>
          <w:color w:val="auto"/>
          <w:sz w:val="21"/>
          <w:szCs w:val="21"/>
          <w:highlight w:val="none"/>
        </w:rPr>
        <w:t>（4）甲方不得以行政区划调整、政府换届、机构或者职能调整以及相关责任人更替为由中止合同。</w:t>
      </w:r>
    </w:p>
    <w:p w14:paraId="0ADB19FE">
      <w:pPr>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16.3合同的终止</w:t>
      </w:r>
    </w:p>
    <w:p w14:paraId="354AED97">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（1）合同因有效期限届满而终止；</w:t>
      </w:r>
    </w:p>
    <w:p w14:paraId="305DA942">
      <w:pPr>
        <w:adjustRightInd/>
        <w:snapToGrid w:val="0"/>
        <w:spacing w:line="360" w:lineRule="auto"/>
        <w:ind w:firstLine="420" w:firstLineChars="200"/>
        <w:rPr>
          <w:rFonts w:ascii="宋体" w:hAnsi="宋体" w:cs="宋体"/>
          <w:color w:val="auto"/>
          <w:sz w:val="21"/>
          <w:szCs w:val="21"/>
          <w:highlight w:val="none"/>
        </w:rPr>
      </w:pPr>
      <w:r>
        <w:rPr>
          <w:rFonts w:hint="eastAsia" w:ascii="宋体" w:hAnsi="宋体"/>
          <w:color w:val="auto"/>
          <w:sz w:val="21"/>
          <w:szCs w:val="21"/>
          <w:highlight w:val="none"/>
        </w:rPr>
        <w:t>（2）乙方未按合同约定履行，构成根本性违约的，甲方有权终止合同，</w:t>
      </w:r>
      <w:r>
        <w:rPr>
          <w:rFonts w:hint="eastAsia" w:ascii="宋体" w:hAnsi="宋体" w:cs="宋体"/>
          <w:color w:val="auto"/>
          <w:sz w:val="21"/>
          <w:szCs w:val="21"/>
          <w:highlight w:val="none"/>
        </w:rPr>
        <w:t>并追究乙方的违约责任</w:t>
      </w:r>
      <w:r>
        <w:rPr>
          <w:rFonts w:hint="eastAsia" w:ascii="宋体" w:hAnsi="宋体"/>
          <w:color w:val="auto"/>
          <w:sz w:val="21"/>
          <w:szCs w:val="21"/>
          <w:highlight w:val="none"/>
        </w:rPr>
        <w:t>。</w:t>
      </w:r>
    </w:p>
    <w:p w14:paraId="6777BE10">
      <w:pPr>
        <w:widowControl/>
        <w:autoSpaceDE w:val="0"/>
        <w:autoSpaceDN w:val="0"/>
        <w:spacing w:line="360" w:lineRule="auto"/>
        <w:ind w:firstLine="420" w:firstLineChars="200"/>
        <w:jc w:val="left"/>
        <w:rPr>
          <w:rFonts w:ascii="宋体" w:hAnsi="宋体" w:eastAsia="华文楷体" w:cs="华文楷体"/>
          <w:color w:val="auto"/>
          <w:kern w:val="0"/>
          <w:sz w:val="21"/>
          <w:szCs w:val="21"/>
          <w:highlight w:val="none"/>
        </w:rPr>
      </w:pPr>
      <w:r>
        <w:rPr>
          <w:rFonts w:hint="eastAsia" w:ascii="宋体" w:hAnsi="宋体" w:eastAsia="华文楷体" w:cs="华文楷体"/>
          <w:color w:val="auto"/>
          <w:kern w:val="0"/>
          <w:sz w:val="21"/>
          <w:szCs w:val="21"/>
          <w:highlight w:val="none"/>
        </w:rPr>
        <w:t xml:space="preserve">16.4 </w:t>
      </w:r>
      <w:r>
        <w:rPr>
          <w:rFonts w:hint="eastAsia" w:ascii="宋体" w:hAnsi="宋体"/>
          <w:color w:val="auto"/>
          <w:sz w:val="21"/>
          <w:szCs w:val="21"/>
          <w:highlight w:val="none"/>
        </w:rPr>
        <w:t>涉及国家利益、社会公共利益的情形</w:t>
      </w:r>
    </w:p>
    <w:p w14:paraId="5A03379D">
      <w:pPr>
        <w:widowControl/>
        <w:autoSpaceDE w:val="0"/>
        <w:autoSpaceDN w:val="0"/>
        <w:spacing w:line="360" w:lineRule="auto"/>
        <w:ind w:firstLine="420" w:firstLineChars="200"/>
        <w:rPr>
          <w:rFonts w:ascii="华文楷体" w:hAnsi="华文楷体" w:eastAsia="华文楷体" w:cs="华文楷体"/>
          <w:color w:val="auto"/>
          <w:kern w:val="0"/>
          <w:sz w:val="21"/>
          <w:szCs w:val="21"/>
          <w:highlight w:val="none"/>
        </w:rPr>
      </w:pPr>
      <w:r>
        <w:rPr>
          <w:rFonts w:hint="eastAsia" w:ascii="宋体" w:hAnsi="宋体" w:cs="宋体"/>
          <w:color w:val="auto"/>
          <w:kern w:val="0"/>
          <w:sz w:val="21"/>
          <w:szCs w:val="21"/>
          <w:highlight w:val="none"/>
        </w:rPr>
        <w:t>政府采购合同继续履行将损害国家利益和社会公共利益的，双方当事人应当变更、中止或者终止合同。有过错的一方应当承担赔偿责任，双方都有过错的，各自承担相应的责任。</w:t>
      </w:r>
    </w:p>
    <w:p w14:paraId="0E7E6467">
      <w:pPr>
        <w:autoSpaceDE w:val="0"/>
        <w:autoSpaceDN w:val="0"/>
        <w:snapToGrid w:val="0"/>
        <w:spacing w:line="360" w:lineRule="auto"/>
        <w:jc w:val="left"/>
        <w:rPr>
          <w:rFonts w:ascii="宋体" w:hAnsi="宋体"/>
          <w:b/>
          <w:bCs/>
          <w:color w:val="auto"/>
          <w:sz w:val="21"/>
          <w:szCs w:val="21"/>
          <w:highlight w:val="none"/>
        </w:rPr>
      </w:pPr>
      <w:r>
        <w:rPr>
          <w:rFonts w:hint="eastAsia" w:ascii="宋体" w:hAnsi="宋体"/>
          <w:b/>
          <w:bCs/>
          <w:color w:val="auto"/>
          <w:sz w:val="21"/>
          <w:szCs w:val="21"/>
          <w:highlight w:val="none"/>
        </w:rPr>
        <w:t>17. 合同分包</w:t>
      </w:r>
    </w:p>
    <w:p w14:paraId="275A2E23">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17.1 乙方不得将合同转包给其他供应商。涉及合同分包的，乙方应根据采购文件和投标（响应）文件规定进行合同分包。</w:t>
      </w:r>
    </w:p>
    <w:p w14:paraId="49E4844E">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17.2 乙方执行政府采购政策向中小企业依法分包的，乙方应当按采购文件和投标（响应）文件签订分包意向协议，分包意向协议属于本合同组成部分。</w:t>
      </w:r>
    </w:p>
    <w:p w14:paraId="257F4928">
      <w:pPr>
        <w:autoSpaceDE w:val="0"/>
        <w:autoSpaceDN w:val="0"/>
        <w:snapToGrid w:val="0"/>
        <w:spacing w:line="360" w:lineRule="auto"/>
        <w:jc w:val="left"/>
        <w:rPr>
          <w:rFonts w:ascii="宋体" w:hAnsi="宋体"/>
          <w:b/>
          <w:bCs/>
          <w:color w:val="auto"/>
          <w:sz w:val="21"/>
          <w:szCs w:val="21"/>
          <w:highlight w:val="none"/>
        </w:rPr>
      </w:pPr>
      <w:r>
        <w:rPr>
          <w:rFonts w:hint="eastAsia" w:ascii="宋体" w:hAnsi="宋体"/>
          <w:b/>
          <w:bCs/>
          <w:color w:val="auto"/>
          <w:sz w:val="21"/>
          <w:szCs w:val="21"/>
          <w:highlight w:val="none"/>
        </w:rPr>
        <w:t>18. 不可抗力</w:t>
      </w:r>
    </w:p>
    <w:p w14:paraId="2CDDA09A">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18.1 不可抗力是指合同双方不能预见、不能避免且不能克服的客观情况。</w:t>
      </w:r>
    </w:p>
    <w:p w14:paraId="6C8C0C2A">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18.2 任何一方对由于不可抗力造成的部分或全部不能履行合同不承担违约责任。但迟延履行后发生不可抗力的，不能免除责任。</w:t>
      </w:r>
    </w:p>
    <w:p w14:paraId="18B1339B">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14:paraId="6777689D">
      <w:pPr>
        <w:autoSpaceDE w:val="0"/>
        <w:autoSpaceDN w:val="0"/>
        <w:snapToGrid w:val="0"/>
        <w:spacing w:line="360" w:lineRule="auto"/>
        <w:jc w:val="left"/>
        <w:rPr>
          <w:rFonts w:ascii="宋体" w:hAnsi="宋体"/>
          <w:b/>
          <w:bCs/>
          <w:color w:val="auto"/>
          <w:sz w:val="21"/>
          <w:szCs w:val="21"/>
          <w:highlight w:val="none"/>
        </w:rPr>
      </w:pPr>
      <w:r>
        <w:rPr>
          <w:rFonts w:hint="eastAsia" w:ascii="宋体" w:hAnsi="宋体"/>
          <w:b/>
          <w:bCs/>
          <w:color w:val="auto"/>
          <w:sz w:val="21"/>
          <w:szCs w:val="21"/>
          <w:highlight w:val="none"/>
        </w:rPr>
        <w:t>19. 解决争议的方法</w:t>
      </w:r>
    </w:p>
    <w:p w14:paraId="15F16CBA">
      <w:pPr>
        <w:widowControl/>
        <w:autoSpaceDE w:val="0"/>
        <w:autoSpaceDN w:val="0"/>
        <w:spacing w:line="360" w:lineRule="auto"/>
        <w:ind w:firstLine="420" w:firstLineChars="200"/>
        <w:rPr>
          <w:rFonts w:ascii="宋体" w:hAnsi="宋体" w:cs="宋体"/>
          <w:color w:val="auto"/>
          <w:kern w:val="0"/>
          <w:sz w:val="21"/>
          <w:szCs w:val="21"/>
          <w:highlight w:val="none"/>
        </w:rPr>
      </w:pPr>
      <w:r>
        <w:rPr>
          <w:rFonts w:hint="eastAsia" w:ascii="宋体" w:hAnsi="宋体" w:cs="宋体"/>
          <w:color w:val="auto"/>
          <w:kern w:val="0"/>
          <w:sz w:val="21"/>
          <w:szCs w:val="21"/>
          <w:highlight w:val="none"/>
        </w:rPr>
        <w:t>19.1 因本合同及合同有关事项发生的争议，由甲乙双方友好协商解决。协商不成时，可以向有关组织申请调解。合同一方或双方不愿调解或调解不成的，可以通过仲裁或诉讼的方式解决争议。</w:t>
      </w:r>
    </w:p>
    <w:p w14:paraId="3F3AF62F">
      <w:pPr>
        <w:widowControl/>
        <w:autoSpaceDE w:val="0"/>
        <w:autoSpaceDN w:val="0"/>
        <w:spacing w:line="360" w:lineRule="auto"/>
        <w:ind w:firstLine="420" w:firstLineChars="200"/>
        <w:rPr>
          <w:rFonts w:ascii="宋体" w:hAnsi="宋体" w:cs="宋体"/>
          <w:color w:val="auto"/>
          <w:kern w:val="0"/>
          <w:sz w:val="21"/>
          <w:szCs w:val="21"/>
          <w:highlight w:val="none"/>
        </w:rPr>
      </w:pPr>
      <w:r>
        <w:rPr>
          <w:rFonts w:hint="eastAsia" w:ascii="宋体" w:hAnsi="宋体" w:cs="宋体"/>
          <w:color w:val="auto"/>
          <w:kern w:val="0"/>
          <w:sz w:val="21"/>
          <w:szCs w:val="21"/>
          <w:highlight w:val="none"/>
        </w:rPr>
        <w:t>19.2 选择仲裁的，应在</w:t>
      </w:r>
      <w:r>
        <w:rPr>
          <w:rFonts w:hint="eastAsia" w:ascii="宋体" w:hAnsi="宋体" w:cs="宋体"/>
          <w:b/>
          <w:bCs/>
          <w:color w:val="auto"/>
          <w:kern w:val="0"/>
          <w:sz w:val="21"/>
          <w:szCs w:val="21"/>
          <w:highlight w:val="none"/>
        </w:rPr>
        <w:t>【政府采购合同专用条款】</w:t>
      </w:r>
      <w:r>
        <w:rPr>
          <w:rFonts w:hint="eastAsia" w:ascii="宋体" w:hAnsi="宋体" w:cs="宋体"/>
          <w:color w:val="auto"/>
          <w:kern w:val="0"/>
          <w:sz w:val="21"/>
          <w:szCs w:val="21"/>
          <w:highlight w:val="none"/>
        </w:rPr>
        <w:t>中明确仲裁机构及仲裁地；通过诉讼方式解决的，可以在</w:t>
      </w:r>
      <w:r>
        <w:rPr>
          <w:rFonts w:hint="eastAsia" w:ascii="宋体" w:hAnsi="宋体" w:cs="宋体"/>
          <w:b/>
          <w:bCs/>
          <w:color w:val="auto"/>
          <w:kern w:val="0"/>
          <w:sz w:val="21"/>
          <w:szCs w:val="21"/>
          <w:highlight w:val="none"/>
        </w:rPr>
        <w:t>【政府采购合同专用条款】</w:t>
      </w:r>
      <w:r>
        <w:rPr>
          <w:rFonts w:hint="eastAsia" w:ascii="宋体" w:hAnsi="宋体" w:cs="宋体"/>
          <w:color w:val="auto"/>
          <w:kern w:val="0"/>
          <w:sz w:val="21"/>
          <w:szCs w:val="21"/>
          <w:highlight w:val="none"/>
        </w:rPr>
        <w:t>中进一步约定选择与争议有实际联系的地点的人民法院管辖，但管辖法院的约定不得违反级别管辖和专属管辖的规定。</w:t>
      </w:r>
    </w:p>
    <w:p w14:paraId="01CF3CB6">
      <w:pPr>
        <w:widowControl/>
        <w:autoSpaceDE w:val="0"/>
        <w:autoSpaceDN w:val="0"/>
        <w:spacing w:line="360" w:lineRule="auto"/>
        <w:ind w:firstLine="420" w:firstLineChars="200"/>
        <w:rPr>
          <w:rFonts w:ascii="宋体" w:hAnsi="宋体" w:cs="宋体"/>
          <w:color w:val="auto"/>
          <w:kern w:val="0"/>
          <w:sz w:val="21"/>
          <w:szCs w:val="21"/>
          <w:highlight w:val="none"/>
        </w:rPr>
      </w:pPr>
      <w:r>
        <w:rPr>
          <w:rFonts w:hint="eastAsia" w:ascii="宋体" w:hAnsi="宋体" w:cs="宋体"/>
          <w:color w:val="auto"/>
          <w:kern w:val="0"/>
          <w:sz w:val="21"/>
          <w:szCs w:val="21"/>
          <w:highlight w:val="none"/>
        </w:rPr>
        <w:t>19.3 如甲乙双方有争议的事项不影响合同其他部分的履行，在争议解决期间，合同其他部分应当继续履行。</w:t>
      </w:r>
    </w:p>
    <w:p w14:paraId="18C341E6">
      <w:pPr>
        <w:autoSpaceDE w:val="0"/>
        <w:autoSpaceDN w:val="0"/>
        <w:snapToGrid w:val="0"/>
        <w:spacing w:line="360" w:lineRule="auto"/>
        <w:jc w:val="left"/>
        <w:rPr>
          <w:rFonts w:ascii="宋体" w:hAnsi="宋体"/>
          <w:color w:val="auto"/>
          <w:sz w:val="21"/>
          <w:szCs w:val="21"/>
          <w:highlight w:val="none"/>
        </w:rPr>
      </w:pPr>
      <w:r>
        <w:rPr>
          <w:rFonts w:hint="eastAsia" w:ascii="宋体" w:hAnsi="宋体"/>
          <w:b/>
          <w:color w:val="auto"/>
          <w:sz w:val="21"/>
          <w:szCs w:val="21"/>
          <w:highlight w:val="none"/>
        </w:rPr>
        <w:t>20. 政府采购政策</w:t>
      </w:r>
    </w:p>
    <w:p w14:paraId="690A9CD5">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 xml:space="preserve">20.1 </w:t>
      </w:r>
      <w:r>
        <w:rPr>
          <w:rFonts w:hint="eastAsia" w:ascii="宋体" w:hAnsi="宋体" w:cs="宋体"/>
          <w:color w:val="auto"/>
          <w:sz w:val="21"/>
          <w:szCs w:val="21"/>
          <w:highlight w:val="none"/>
          <w:lang w:val="en-GB"/>
        </w:rPr>
        <w:t>本合同应当按照规定执行政府采购政策。</w:t>
      </w:r>
    </w:p>
    <w:p w14:paraId="5B8C0558">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20.2 本合同依法执行政府采购政策的方式和内容，属于合同履约验收的范围。</w:t>
      </w:r>
      <w:r>
        <w:rPr>
          <w:rFonts w:hint="eastAsia" w:ascii="宋体" w:hAnsi="宋体" w:cs="宋体"/>
          <w:color w:val="auto"/>
          <w:sz w:val="21"/>
          <w:szCs w:val="21"/>
          <w:highlight w:val="none"/>
        </w:rPr>
        <w:t>甲乙双方</w:t>
      </w:r>
      <w:r>
        <w:rPr>
          <w:rFonts w:hint="eastAsia" w:ascii="宋体" w:hAnsi="宋体" w:cs="宋体"/>
          <w:color w:val="auto"/>
          <w:sz w:val="21"/>
          <w:szCs w:val="21"/>
          <w:highlight w:val="none"/>
          <w:lang w:val="en-GB"/>
        </w:rPr>
        <w:t>未按规定要求执行政府采购政策造成损失的</w:t>
      </w:r>
      <w:r>
        <w:rPr>
          <w:rFonts w:hint="eastAsia" w:ascii="宋体" w:hAnsi="宋体"/>
          <w:color w:val="auto"/>
          <w:sz w:val="21"/>
          <w:szCs w:val="21"/>
          <w:highlight w:val="none"/>
        </w:rPr>
        <w:t>，有过错的一方应当承担赔偿责任，双方都有过错的，各自承担相应的责任。</w:t>
      </w:r>
    </w:p>
    <w:p w14:paraId="1526EE55">
      <w:pPr>
        <w:adjustRightInd/>
        <w:spacing w:line="360" w:lineRule="auto"/>
        <w:ind w:firstLine="420" w:firstLineChars="200"/>
        <w:rPr>
          <w:rFonts w:ascii="Calibri" w:hAnsi="Calibri"/>
          <w:color w:val="auto"/>
          <w:sz w:val="21"/>
          <w:szCs w:val="21"/>
          <w:highlight w:val="none"/>
        </w:rPr>
      </w:pPr>
      <w:r>
        <w:rPr>
          <w:rFonts w:hint="eastAsia" w:ascii="宋体" w:hAnsi="宋体"/>
          <w:color w:val="auto"/>
          <w:sz w:val="21"/>
          <w:szCs w:val="21"/>
          <w:highlight w:val="none"/>
        </w:rPr>
        <w:t>20.3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6776CB52">
      <w:pPr>
        <w:autoSpaceDE w:val="0"/>
        <w:autoSpaceDN w:val="0"/>
        <w:snapToGrid w:val="0"/>
        <w:spacing w:line="360" w:lineRule="auto"/>
        <w:jc w:val="left"/>
        <w:rPr>
          <w:rFonts w:ascii="宋体" w:hAnsi="宋体"/>
          <w:b/>
          <w:color w:val="auto"/>
          <w:sz w:val="21"/>
          <w:szCs w:val="21"/>
          <w:highlight w:val="none"/>
        </w:rPr>
      </w:pPr>
      <w:r>
        <w:rPr>
          <w:rFonts w:hint="eastAsia" w:ascii="宋体" w:hAnsi="宋体"/>
          <w:b/>
          <w:color w:val="auto"/>
          <w:sz w:val="21"/>
          <w:szCs w:val="21"/>
          <w:highlight w:val="none"/>
        </w:rPr>
        <w:t>21. 法律适用</w:t>
      </w:r>
    </w:p>
    <w:p w14:paraId="1710F4D3">
      <w:pPr>
        <w:widowControl/>
        <w:autoSpaceDE w:val="0"/>
        <w:autoSpaceDN w:val="0"/>
        <w:spacing w:line="360" w:lineRule="auto"/>
        <w:ind w:firstLine="420" w:firstLineChars="200"/>
        <w:rPr>
          <w:rFonts w:ascii="宋体" w:hAnsi="宋体" w:cs="宋体"/>
          <w:color w:val="auto"/>
          <w:kern w:val="0"/>
          <w:sz w:val="21"/>
          <w:szCs w:val="21"/>
          <w:highlight w:val="none"/>
        </w:rPr>
      </w:pPr>
      <w:r>
        <w:rPr>
          <w:rFonts w:hint="eastAsia" w:ascii="宋体" w:hAnsi="宋体" w:cs="宋体"/>
          <w:color w:val="auto"/>
          <w:kern w:val="0"/>
          <w:sz w:val="21"/>
          <w:szCs w:val="21"/>
          <w:highlight w:val="none"/>
        </w:rPr>
        <w:t>21.1 本合同的订立、生效、解释、履行及与本合同有关的争议解决，均适用法律、行政法规。</w:t>
      </w:r>
    </w:p>
    <w:p w14:paraId="62C9A7F7">
      <w:pPr>
        <w:widowControl/>
        <w:autoSpaceDE w:val="0"/>
        <w:autoSpaceDN w:val="0"/>
        <w:spacing w:line="360" w:lineRule="auto"/>
        <w:ind w:firstLine="420" w:firstLineChars="200"/>
        <w:rPr>
          <w:rFonts w:ascii="宋体" w:hAnsi="宋体" w:cs="宋体"/>
          <w:color w:val="auto"/>
          <w:kern w:val="0"/>
          <w:sz w:val="21"/>
          <w:szCs w:val="21"/>
          <w:highlight w:val="none"/>
        </w:rPr>
      </w:pPr>
      <w:r>
        <w:rPr>
          <w:rFonts w:hint="eastAsia" w:ascii="宋体" w:hAnsi="宋体" w:cs="宋体"/>
          <w:color w:val="auto"/>
          <w:kern w:val="0"/>
          <w:sz w:val="21"/>
          <w:szCs w:val="21"/>
          <w:highlight w:val="none"/>
        </w:rPr>
        <w:t>21.2 本合同条款与法律、行政法规的强制性规定不一致的，双方当事人应按照法律、行政法规的强制性规定修改本合同的相关条款。</w:t>
      </w:r>
    </w:p>
    <w:p w14:paraId="149D136C">
      <w:pPr>
        <w:autoSpaceDE w:val="0"/>
        <w:autoSpaceDN w:val="0"/>
        <w:snapToGrid w:val="0"/>
        <w:spacing w:line="360" w:lineRule="auto"/>
        <w:jc w:val="left"/>
        <w:rPr>
          <w:rFonts w:ascii="宋体" w:hAnsi="宋体"/>
          <w:b/>
          <w:color w:val="auto"/>
          <w:sz w:val="21"/>
          <w:szCs w:val="21"/>
          <w:highlight w:val="none"/>
        </w:rPr>
      </w:pPr>
      <w:r>
        <w:rPr>
          <w:rFonts w:hint="eastAsia" w:ascii="宋体" w:hAnsi="宋体"/>
          <w:b/>
          <w:color w:val="auto"/>
          <w:sz w:val="21"/>
          <w:szCs w:val="21"/>
          <w:highlight w:val="none"/>
        </w:rPr>
        <w:t>22. 通知</w:t>
      </w:r>
    </w:p>
    <w:p w14:paraId="5E7B6387">
      <w:pPr>
        <w:widowControl/>
        <w:autoSpaceDE w:val="0"/>
        <w:autoSpaceDN w:val="0"/>
        <w:spacing w:line="360" w:lineRule="auto"/>
        <w:ind w:firstLine="420" w:firstLineChars="200"/>
        <w:rPr>
          <w:rFonts w:ascii="宋体" w:hAnsi="宋体" w:cs="宋体"/>
          <w:color w:val="auto"/>
          <w:kern w:val="0"/>
          <w:sz w:val="21"/>
          <w:szCs w:val="21"/>
          <w:highlight w:val="none"/>
        </w:rPr>
      </w:pPr>
      <w:r>
        <w:rPr>
          <w:rFonts w:hint="eastAsia" w:ascii="宋体" w:hAnsi="宋体" w:cs="宋体"/>
          <w:color w:val="auto"/>
          <w:kern w:val="0"/>
          <w:sz w:val="21"/>
          <w:szCs w:val="21"/>
          <w:highlight w:val="none"/>
        </w:rPr>
        <w:t>22.1 本合同任何一方向对方发出的通知、信件、数据电文等，应当发送至本合同第一部分《政府采购合同协议书》所约定的通讯地址、联系人、联系电话或电子邮箱。</w:t>
      </w:r>
    </w:p>
    <w:p w14:paraId="7E97C628">
      <w:pPr>
        <w:widowControl/>
        <w:autoSpaceDE w:val="0"/>
        <w:autoSpaceDN w:val="0"/>
        <w:spacing w:line="360" w:lineRule="auto"/>
        <w:rPr>
          <w:rFonts w:ascii="华文楷体" w:hAnsi="华文楷体" w:eastAsia="华文楷体" w:cs="华文楷体"/>
          <w:color w:val="auto"/>
          <w:kern w:val="0"/>
          <w:sz w:val="21"/>
          <w:szCs w:val="21"/>
          <w:highlight w:val="none"/>
        </w:rPr>
      </w:pPr>
      <w:r>
        <w:rPr>
          <w:rFonts w:hint="eastAsia" w:ascii="宋体" w:hAnsi="宋体" w:cs="宋体"/>
          <w:color w:val="auto"/>
          <w:kern w:val="0"/>
          <w:sz w:val="21"/>
          <w:szCs w:val="21"/>
          <w:highlight w:val="none"/>
        </w:rPr>
        <w:t xml:space="preserve">    22.2 一方当事人变更名称、住所、联系人、联系电话或电子邮箱等信息的，应当在变更后3日内及时书面通知对方，对方实际收到变更通知前的送达仍为有效送达。</w:t>
      </w:r>
    </w:p>
    <w:p w14:paraId="3DEEB6FF">
      <w:pPr>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22.3本合同一方给另一方的通知均应采用书面形式，传真或快递送到本合同中规定的对方的地址和办理签收手续。</w:t>
      </w:r>
    </w:p>
    <w:p w14:paraId="2D77F829">
      <w:pPr>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22.4通知以送达之日或通知书中规定的生效之日起生效，两者中以较迟之日为准。</w:t>
      </w:r>
    </w:p>
    <w:p w14:paraId="18C378FB">
      <w:pPr>
        <w:autoSpaceDE w:val="0"/>
        <w:autoSpaceDN w:val="0"/>
        <w:snapToGrid w:val="0"/>
        <w:spacing w:line="360" w:lineRule="auto"/>
        <w:jc w:val="left"/>
        <w:rPr>
          <w:rFonts w:ascii="宋体" w:hAnsi="宋体"/>
          <w:b/>
          <w:color w:val="auto"/>
          <w:sz w:val="21"/>
          <w:szCs w:val="21"/>
          <w:highlight w:val="none"/>
        </w:rPr>
      </w:pPr>
      <w:r>
        <w:rPr>
          <w:rFonts w:hint="eastAsia" w:ascii="宋体" w:hAnsi="宋体"/>
          <w:b/>
          <w:color w:val="auto"/>
          <w:sz w:val="21"/>
          <w:szCs w:val="21"/>
          <w:highlight w:val="none"/>
        </w:rPr>
        <w:t>23. 合同未尽事项</w:t>
      </w:r>
    </w:p>
    <w:p w14:paraId="31906BB4">
      <w:pPr>
        <w:snapToGrid w:val="0"/>
        <w:spacing w:line="360" w:lineRule="auto"/>
        <w:ind w:firstLine="420" w:firstLineChars="200"/>
        <w:jc w:val="left"/>
        <w:rPr>
          <w:rFonts w:ascii="宋体" w:hAnsi="宋体"/>
          <w:bCs/>
          <w:color w:val="auto"/>
          <w:sz w:val="21"/>
          <w:szCs w:val="21"/>
          <w:highlight w:val="none"/>
        </w:rPr>
      </w:pPr>
      <w:r>
        <w:rPr>
          <w:rFonts w:hint="eastAsia" w:ascii="宋体" w:hAnsi="宋体"/>
          <w:bCs/>
          <w:color w:val="auto"/>
          <w:sz w:val="21"/>
          <w:szCs w:val="21"/>
          <w:highlight w:val="none"/>
        </w:rPr>
        <w:t>23.1合同未尽事项见</w:t>
      </w:r>
      <w:r>
        <w:rPr>
          <w:rFonts w:hint="eastAsia" w:ascii="宋体" w:hAnsi="宋体"/>
          <w:b/>
          <w:color w:val="auto"/>
          <w:sz w:val="21"/>
          <w:szCs w:val="21"/>
          <w:highlight w:val="none"/>
        </w:rPr>
        <w:t>【政府采购合同专用条款】</w:t>
      </w:r>
      <w:r>
        <w:rPr>
          <w:rFonts w:hint="eastAsia" w:ascii="宋体" w:hAnsi="宋体"/>
          <w:bCs/>
          <w:color w:val="auto"/>
          <w:sz w:val="21"/>
          <w:szCs w:val="21"/>
          <w:highlight w:val="none"/>
        </w:rPr>
        <w:t>。</w:t>
      </w:r>
    </w:p>
    <w:p w14:paraId="19639FC8">
      <w:pPr>
        <w:snapToGrid w:val="0"/>
        <w:spacing w:line="360" w:lineRule="auto"/>
        <w:jc w:val="left"/>
        <w:rPr>
          <w:rFonts w:ascii="黑体" w:hAnsi="华文中宋" w:eastAsia="黑体"/>
          <w:color w:val="auto"/>
          <w:sz w:val="24"/>
          <w:highlight w:val="none"/>
        </w:rPr>
      </w:pPr>
      <w:r>
        <w:rPr>
          <w:rFonts w:hint="eastAsia" w:ascii="宋体" w:hAnsi="宋体"/>
          <w:bCs/>
          <w:color w:val="auto"/>
          <w:sz w:val="21"/>
          <w:szCs w:val="21"/>
          <w:highlight w:val="none"/>
        </w:rPr>
        <w:t xml:space="preserve">    23.2 合同附件与合同正文具有同等的法律效力。</w:t>
      </w:r>
      <w:bookmarkStart w:id="79" w:name="_Toc20313"/>
      <w:r>
        <w:rPr>
          <w:rFonts w:hint="eastAsia" w:ascii="黑体" w:hAnsi="华文中宋" w:eastAsia="黑体"/>
          <w:color w:val="auto"/>
          <w:sz w:val="24"/>
          <w:highlight w:val="none"/>
        </w:rPr>
        <w:br w:type="page"/>
      </w:r>
    </w:p>
    <w:p w14:paraId="4C288B7D">
      <w:pPr>
        <w:keepNext/>
        <w:keepLines/>
        <w:snapToGrid w:val="0"/>
        <w:spacing w:line="360" w:lineRule="auto"/>
        <w:jc w:val="center"/>
        <w:outlineLvl w:val="1"/>
        <w:rPr>
          <w:rFonts w:ascii="黑体" w:hAnsi="华文中宋" w:eastAsia="黑体"/>
          <w:color w:val="auto"/>
          <w:sz w:val="24"/>
          <w:highlight w:val="none"/>
        </w:rPr>
      </w:pPr>
      <w:r>
        <w:rPr>
          <w:rFonts w:hint="eastAsia" w:ascii="黑体" w:hAnsi="华文中宋" w:eastAsia="黑体"/>
          <w:color w:val="auto"/>
          <w:sz w:val="24"/>
          <w:highlight w:val="none"/>
        </w:rPr>
        <w:t>第三节 政府采购合同专用条款</w:t>
      </w:r>
      <w:bookmarkEnd w:id="79"/>
    </w:p>
    <w:tbl>
      <w:tblPr>
        <w:tblStyle w:val="60"/>
        <w:tblW w:w="8520"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1"/>
      </w:tblGrid>
      <w:tr w14:paraId="03B9215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double" w:color="auto" w:sz="4" w:space="0"/>
              <w:left w:val="double" w:color="auto" w:sz="4" w:space="0"/>
              <w:bottom w:val="single" w:color="auto" w:sz="6" w:space="0"/>
              <w:right w:val="single" w:color="auto" w:sz="6" w:space="0"/>
            </w:tcBorders>
            <w:vAlign w:val="center"/>
          </w:tcPr>
          <w:p w14:paraId="5AE236E7">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第二节</w:t>
            </w:r>
          </w:p>
          <w:p w14:paraId="6BE82C46">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第1.2（6）项</w:t>
            </w:r>
          </w:p>
        </w:tc>
        <w:tc>
          <w:tcPr>
            <w:tcW w:w="1742" w:type="dxa"/>
            <w:tcBorders>
              <w:top w:val="double" w:color="auto" w:sz="4" w:space="0"/>
              <w:left w:val="single" w:color="auto" w:sz="6" w:space="0"/>
              <w:bottom w:val="single" w:color="auto" w:sz="6" w:space="0"/>
              <w:right w:val="single" w:color="auto" w:sz="6" w:space="0"/>
            </w:tcBorders>
            <w:vAlign w:val="center"/>
          </w:tcPr>
          <w:p w14:paraId="20E845AD">
            <w:p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rPr>
              <w:t>联合体具体要求</w:t>
            </w:r>
          </w:p>
        </w:tc>
        <w:tc>
          <w:tcPr>
            <w:tcW w:w="5171" w:type="dxa"/>
            <w:tcBorders>
              <w:top w:val="double" w:color="auto" w:sz="4" w:space="0"/>
              <w:left w:val="single" w:color="auto" w:sz="6" w:space="0"/>
              <w:bottom w:val="single" w:color="auto" w:sz="6" w:space="0"/>
              <w:right w:val="double" w:color="auto" w:sz="4" w:space="0"/>
            </w:tcBorders>
            <w:vAlign w:val="center"/>
          </w:tcPr>
          <w:p w14:paraId="53E6A5CF">
            <w:pPr>
              <w:snapToGrid w:val="0"/>
              <w:spacing w:line="360" w:lineRule="auto"/>
              <w:jc w:val="left"/>
              <w:rPr>
                <w:rFonts w:hint="default" w:ascii="宋体" w:hAnsi="宋体" w:eastAsia="宋体"/>
                <w:color w:val="auto"/>
                <w:sz w:val="21"/>
                <w:szCs w:val="21"/>
                <w:highlight w:val="none"/>
                <w:lang w:val="en-US" w:eastAsia="zh-CN"/>
              </w:rPr>
            </w:pPr>
            <w:r>
              <w:rPr>
                <w:rFonts w:hint="default" w:ascii="宋体" w:hAnsi="宋体" w:eastAsia="宋体"/>
                <w:color w:val="auto"/>
                <w:sz w:val="21"/>
                <w:szCs w:val="21"/>
                <w:highlight w:val="none"/>
                <w:lang w:val="en-US" w:eastAsia="zh-CN"/>
              </w:rPr>
              <w:t>本项目不接受联合体</w:t>
            </w:r>
            <w:r>
              <w:rPr>
                <w:rFonts w:hint="eastAsia" w:ascii="宋体" w:hAnsi="宋体"/>
                <w:color w:val="auto"/>
                <w:sz w:val="21"/>
                <w:szCs w:val="21"/>
                <w:highlight w:val="none"/>
                <w:lang w:val="en-US" w:eastAsia="zh-CN"/>
              </w:rPr>
              <w:t>竞标</w:t>
            </w:r>
            <w:r>
              <w:rPr>
                <w:rFonts w:hint="default" w:ascii="宋体" w:hAnsi="宋体" w:eastAsia="宋体"/>
                <w:color w:val="auto"/>
                <w:sz w:val="21"/>
                <w:szCs w:val="21"/>
                <w:highlight w:val="none"/>
                <w:lang w:val="en-US" w:eastAsia="zh-CN"/>
              </w:rPr>
              <w:t>，无联合体主体。</w:t>
            </w:r>
          </w:p>
        </w:tc>
      </w:tr>
      <w:tr w14:paraId="2A1458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tcBorders>
              <w:top w:val="single" w:color="auto" w:sz="6" w:space="0"/>
              <w:left w:val="double" w:color="auto" w:sz="4" w:space="0"/>
              <w:bottom w:val="single" w:color="auto" w:sz="6" w:space="0"/>
              <w:right w:val="single" w:color="auto" w:sz="6" w:space="0"/>
            </w:tcBorders>
            <w:vAlign w:val="center"/>
          </w:tcPr>
          <w:p w14:paraId="08C8433A">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第二节</w:t>
            </w:r>
          </w:p>
          <w:p w14:paraId="1FBBF170">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第1.2（7）项</w:t>
            </w:r>
          </w:p>
        </w:tc>
        <w:tc>
          <w:tcPr>
            <w:tcW w:w="1742" w:type="dxa"/>
            <w:tcBorders>
              <w:top w:val="single" w:color="auto" w:sz="6" w:space="0"/>
              <w:left w:val="single" w:color="auto" w:sz="6" w:space="0"/>
              <w:bottom w:val="single" w:color="auto" w:sz="6" w:space="0"/>
              <w:right w:val="single" w:color="auto" w:sz="6" w:space="0"/>
            </w:tcBorders>
            <w:vAlign w:val="center"/>
          </w:tcPr>
          <w:p w14:paraId="7ECF655A">
            <w:p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rPr>
              <w:t>其他术语解释</w:t>
            </w:r>
          </w:p>
        </w:tc>
        <w:tc>
          <w:tcPr>
            <w:tcW w:w="5171" w:type="dxa"/>
            <w:tcBorders>
              <w:top w:val="single" w:color="auto" w:sz="6" w:space="0"/>
              <w:left w:val="single" w:color="auto" w:sz="6" w:space="0"/>
              <w:bottom w:val="single" w:color="auto" w:sz="6" w:space="0"/>
              <w:right w:val="double" w:color="auto" w:sz="4" w:space="0"/>
            </w:tcBorders>
            <w:vAlign w:val="center"/>
          </w:tcPr>
          <w:p w14:paraId="2870E80E">
            <w:pPr>
              <w:numPr>
                <w:ilvl w:val="0"/>
                <w:numId w:val="0"/>
              </w:numPr>
              <w:snapToGrid w:val="0"/>
              <w:spacing w:line="360" w:lineRule="auto"/>
              <w:jc w:val="left"/>
              <w:rPr>
                <w:rFonts w:hint="eastAsia"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1.赛事保障期：指本项目四项赛事全部竞赛举办周期；2.质保期：自项目整体竣工验收合格之日起计算的免费售后质保周期；3.样品一致性：交付成品材质、结构、工艺、参数、性能与投标提交20×20cm核心样品完全一致；4.赛事驻点值守：赛事竞赛全程技术人员在岗待命、实时处置故障。</w:t>
            </w:r>
          </w:p>
        </w:tc>
      </w:tr>
      <w:tr w14:paraId="61043D1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1251C65D">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第二节</w:t>
            </w:r>
          </w:p>
          <w:p w14:paraId="2D2C5B26">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第4.4款</w:t>
            </w:r>
          </w:p>
        </w:tc>
        <w:tc>
          <w:tcPr>
            <w:tcW w:w="1742" w:type="dxa"/>
            <w:tcBorders>
              <w:top w:val="single" w:color="auto" w:sz="6" w:space="0"/>
              <w:left w:val="single" w:color="auto" w:sz="6" w:space="0"/>
              <w:bottom w:val="single" w:color="auto" w:sz="6" w:space="0"/>
              <w:right w:val="single" w:color="auto" w:sz="6" w:space="0"/>
            </w:tcBorders>
            <w:vAlign w:val="center"/>
          </w:tcPr>
          <w:p w14:paraId="27E8351E">
            <w:p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rPr>
              <w:t>履约验收中甲方提出异议或作出说明的期限</w:t>
            </w:r>
          </w:p>
        </w:tc>
        <w:tc>
          <w:tcPr>
            <w:tcW w:w="5171" w:type="dxa"/>
            <w:tcBorders>
              <w:top w:val="single" w:color="auto" w:sz="6" w:space="0"/>
              <w:left w:val="single" w:color="auto" w:sz="6" w:space="0"/>
              <w:bottom w:val="single" w:color="auto" w:sz="6" w:space="0"/>
              <w:right w:val="double" w:color="auto" w:sz="4" w:space="0"/>
            </w:tcBorders>
            <w:vAlign w:val="center"/>
          </w:tcPr>
          <w:p w14:paraId="43559680">
            <w:pPr>
              <w:numPr>
                <w:ilvl w:val="0"/>
                <w:numId w:val="0"/>
              </w:numPr>
              <w:snapToGrid w:val="0"/>
              <w:spacing w:line="360" w:lineRule="auto"/>
              <w:jc w:val="left"/>
              <w:rPr>
                <w:rFonts w:ascii="宋体" w:hAnsi="宋体"/>
                <w:color w:val="auto"/>
                <w:sz w:val="21"/>
                <w:szCs w:val="21"/>
                <w:highlight w:val="none"/>
              </w:rPr>
            </w:pPr>
            <w:r>
              <w:rPr>
                <w:rFonts w:ascii="宋体" w:hAnsi="宋体"/>
                <w:color w:val="auto"/>
                <w:sz w:val="21"/>
                <w:szCs w:val="21"/>
                <w:highlight w:val="none"/>
              </w:rPr>
              <w:t>乙方提交验收申请及全套资料后，甲方在7个工作日内完成验收审核、出具验收意见，逾期未提出书面异议的，视为阶段性验收合格，但不免除乙方质保期质量责任。</w:t>
            </w:r>
          </w:p>
        </w:tc>
      </w:tr>
      <w:tr w14:paraId="5F745FA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46CE3635">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第二节</w:t>
            </w:r>
          </w:p>
          <w:p w14:paraId="151CF2A3">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第4.6款</w:t>
            </w:r>
          </w:p>
        </w:tc>
        <w:tc>
          <w:tcPr>
            <w:tcW w:w="1742" w:type="dxa"/>
            <w:tcBorders>
              <w:top w:val="single" w:color="auto" w:sz="6" w:space="0"/>
              <w:left w:val="single" w:color="auto" w:sz="6" w:space="0"/>
              <w:bottom w:val="single" w:color="auto" w:sz="6" w:space="0"/>
              <w:right w:val="single" w:color="auto" w:sz="6" w:space="0"/>
            </w:tcBorders>
            <w:vAlign w:val="center"/>
          </w:tcPr>
          <w:p w14:paraId="2F2F88A7">
            <w:p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rPr>
              <w:t>约定甲方承担的其他义务和责任</w:t>
            </w:r>
          </w:p>
        </w:tc>
        <w:tc>
          <w:tcPr>
            <w:tcW w:w="5171" w:type="dxa"/>
            <w:tcBorders>
              <w:top w:val="single" w:color="auto" w:sz="6" w:space="0"/>
              <w:left w:val="single" w:color="auto" w:sz="6" w:space="0"/>
              <w:bottom w:val="single" w:color="auto" w:sz="6" w:space="0"/>
              <w:right w:val="double" w:color="auto" w:sz="4" w:space="0"/>
            </w:tcBorders>
            <w:vAlign w:val="center"/>
          </w:tcPr>
          <w:p w14:paraId="3CC6EE06">
            <w:pPr>
              <w:numPr>
                <w:ilvl w:val="0"/>
                <w:numId w:val="0"/>
              </w:numPr>
              <w:snapToGrid w:val="0"/>
              <w:spacing w:line="360" w:lineRule="auto"/>
              <w:jc w:val="left"/>
              <w:rPr>
                <w:rFonts w:ascii="宋体" w:hAnsi="宋体"/>
                <w:color w:val="auto"/>
                <w:sz w:val="21"/>
                <w:szCs w:val="21"/>
                <w:highlight w:val="none"/>
              </w:rPr>
            </w:pPr>
            <w:r>
              <w:rPr>
                <w:rFonts w:ascii="宋体" w:hAnsi="宋体"/>
                <w:color w:val="auto"/>
                <w:sz w:val="21"/>
                <w:szCs w:val="21"/>
                <w:highlight w:val="none"/>
              </w:rPr>
              <w:t>1.及时配合乙方完成场地对接、进场施工、验收核对工作；2.按合同约定及财政资金拨付流程按时支付款项；3.及时向乙方告知赛事时间、场地调整等相关信息；4.依法依规开展履约验收、信用评价及资料归档工作。</w:t>
            </w:r>
          </w:p>
        </w:tc>
      </w:tr>
      <w:tr w14:paraId="51D4AE3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2856FA20">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第二节</w:t>
            </w:r>
          </w:p>
          <w:p w14:paraId="095BCE8C">
            <w:pPr>
              <w:adjustRightInd/>
              <w:snapToGrid w:val="0"/>
              <w:spacing w:line="360" w:lineRule="auto"/>
              <w:jc w:val="center"/>
              <w:rPr>
                <w:rFonts w:ascii="Calibri" w:hAnsi="Calibri"/>
                <w:color w:val="auto"/>
                <w:sz w:val="21"/>
                <w:szCs w:val="21"/>
                <w:highlight w:val="none"/>
              </w:rPr>
            </w:pPr>
            <w:r>
              <w:rPr>
                <w:rFonts w:hint="eastAsia" w:ascii="宋体" w:hAnsi="宋体"/>
                <w:color w:val="auto"/>
                <w:sz w:val="21"/>
                <w:szCs w:val="21"/>
                <w:highlight w:val="none"/>
              </w:rPr>
              <w:t>第5.4款</w:t>
            </w:r>
          </w:p>
        </w:tc>
        <w:tc>
          <w:tcPr>
            <w:tcW w:w="1742" w:type="dxa"/>
            <w:tcBorders>
              <w:top w:val="single" w:color="auto" w:sz="6" w:space="0"/>
              <w:left w:val="single" w:color="auto" w:sz="6" w:space="0"/>
              <w:bottom w:val="single" w:color="auto" w:sz="6" w:space="0"/>
              <w:right w:val="single" w:color="auto" w:sz="6" w:space="0"/>
            </w:tcBorders>
            <w:vAlign w:val="center"/>
          </w:tcPr>
          <w:p w14:paraId="60139BC9">
            <w:p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rPr>
              <w:t>约定乙方承担的其他义务和责任</w:t>
            </w:r>
          </w:p>
        </w:tc>
        <w:tc>
          <w:tcPr>
            <w:tcW w:w="5171" w:type="dxa"/>
            <w:tcBorders>
              <w:top w:val="single" w:color="auto" w:sz="6" w:space="0"/>
              <w:left w:val="single" w:color="auto" w:sz="6" w:space="0"/>
              <w:bottom w:val="single" w:color="auto" w:sz="6" w:space="0"/>
              <w:right w:val="double" w:color="auto" w:sz="4" w:space="0"/>
            </w:tcBorders>
            <w:vAlign w:val="center"/>
          </w:tcPr>
          <w:p w14:paraId="36699FC6">
            <w:pPr>
              <w:numPr>
                <w:ilvl w:val="0"/>
                <w:numId w:val="0"/>
              </w:numPr>
              <w:snapToGrid w:val="0"/>
              <w:spacing w:line="360" w:lineRule="auto"/>
              <w:jc w:val="left"/>
              <w:rPr>
                <w:rFonts w:ascii="宋体" w:hAnsi="宋体"/>
                <w:color w:val="auto"/>
                <w:sz w:val="21"/>
                <w:szCs w:val="21"/>
                <w:highlight w:val="none"/>
              </w:rPr>
            </w:pPr>
            <w:r>
              <w:rPr>
                <w:rFonts w:ascii="宋体" w:hAnsi="宋体"/>
                <w:color w:val="auto"/>
                <w:sz w:val="21"/>
                <w:szCs w:val="21"/>
                <w:highlight w:val="none"/>
              </w:rPr>
              <w:t>1.严格贴合各赛事节点完成供货、安装、调试、试运行，不得延误赛事筹备；2.严格落实样品一致性、检测合规、环保安全、赛事专属保障要求；3.全程配合甲方验收、抽检、归档、培训、台账记录工作；4.履约全程遵守场地安全管理规定，承担全部安全责任；5.严禁转包、分包、挂靠，严禁更换材质、降级参数、替换配件；6.全程落实政府采购绿色、节能、本国产品、中小企业扶持等政策要求；7.赛事期间无条件服从赛事组委会、甲方现场管理调度。</w:t>
            </w:r>
          </w:p>
        </w:tc>
      </w:tr>
      <w:tr w14:paraId="1326186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36BEE0DD">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第二节</w:t>
            </w:r>
          </w:p>
          <w:p w14:paraId="38107682">
            <w:pPr>
              <w:adjustRightInd/>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第6.1款</w:t>
            </w:r>
          </w:p>
        </w:tc>
        <w:tc>
          <w:tcPr>
            <w:tcW w:w="1742" w:type="dxa"/>
            <w:tcBorders>
              <w:top w:val="single" w:color="auto" w:sz="6" w:space="0"/>
              <w:left w:val="single" w:color="auto" w:sz="6" w:space="0"/>
              <w:bottom w:val="single" w:color="auto" w:sz="6" w:space="0"/>
              <w:right w:val="single" w:color="auto" w:sz="6" w:space="0"/>
            </w:tcBorders>
            <w:vAlign w:val="center"/>
          </w:tcPr>
          <w:p w14:paraId="2752861D">
            <w:p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rPr>
              <w:t>履行合同义务的顺序</w:t>
            </w:r>
          </w:p>
        </w:tc>
        <w:tc>
          <w:tcPr>
            <w:tcW w:w="5171" w:type="dxa"/>
            <w:tcBorders>
              <w:top w:val="single" w:color="auto" w:sz="6" w:space="0"/>
              <w:left w:val="single" w:color="auto" w:sz="6" w:space="0"/>
              <w:bottom w:val="single" w:color="auto" w:sz="6" w:space="0"/>
              <w:right w:val="double" w:color="auto" w:sz="4" w:space="0"/>
            </w:tcBorders>
            <w:vAlign w:val="center"/>
          </w:tcPr>
          <w:p w14:paraId="048A6E90">
            <w:pPr>
              <w:snapToGrid w:val="0"/>
              <w:spacing w:line="360" w:lineRule="auto"/>
              <w:jc w:val="left"/>
              <w:rPr>
                <w:rFonts w:ascii="宋体" w:hAnsi="宋体"/>
                <w:color w:val="auto"/>
                <w:sz w:val="21"/>
                <w:szCs w:val="21"/>
                <w:highlight w:val="none"/>
              </w:rPr>
            </w:pPr>
            <w:r>
              <w:rPr>
                <w:rFonts w:ascii="宋体" w:hAnsi="宋体"/>
                <w:color w:val="auto"/>
                <w:sz w:val="21"/>
                <w:szCs w:val="21"/>
                <w:highlight w:val="none"/>
              </w:rPr>
              <w:t>合同生效→预付款支付→乙方分期供货安装调试→赛前试运行→赛事驻点保障→分阶段验收→整体竣工验收→尾款支付→质保期全程售后→质保期满履约终结。</w:t>
            </w:r>
          </w:p>
        </w:tc>
      </w:tr>
      <w:tr w14:paraId="48255F3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tcBorders>
              <w:top w:val="single" w:color="auto" w:sz="6" w:space="0"/>
              <w:left w:val="double" w:color="auto" w:sz="4" w:space="0"/>
              <w:bottom w:val="single" w:color="auto" w:sz="6" w:space="0"/>
              <w:right w:val="single" w:color="auto" w:sz="6" w:space="0"/>
            </w:tcBorders>
            <w:vAlign w:val="center"/>
          </w:tcPr>
          <w:p w14:paraId="27ECE23B">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第二节</w:t>
            </w:r>
          </w:p>
          <w:p w14:paraId="4933EEF3">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第7.1款</w:t>
            </w:r>
          </w:p>
        </w:tc>
        <w:tc>
          <w:tcPr>
            <w:tcW w:w="1742" w:type="dxa"/>
            <w:tcBorders>
              <w:top w:val="single" w:color="auto" w:sz="6" w:space="0"/>
              <w:left w:val="single" w:color="auto" w:sz="6" w:space="0"/>
              <w:bottom w:val="single" w:color="auto" w:sz="6" w:space="0"/>
              <w:right w:val="single" w:color="auto" w:sz="6" w:space="0"/>
            </w:tcBorders>
            <w:vAlign w:val="center"/>
          </w:tcPr>
          <w:p w14:paraId="06C0D23E">
            <w:p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rPr>
              <w:t>包装特殊要求</w:t>
            </w:r>
          </w:p>
        </w:tc>
        <w:tc>
          <w:tcPr>
            <w:tcW w:w="5171" w:type="dxa"/>
            <w:tcBorders>
              <w:top w:val="single" w:color="auto" w:sz="6" w:space="0"/>
              <w:left w:val="single" w:color="auto" w:sz="6" w:space="0"/>
              <w:bottom w:val="single" w:color="auto" w:sz="6" w:space="0"/>
              <w:right w:val="double" w:color="auto" w:sz="4" w:space="0"/>
            </w:tcBorders>
            <w:vAlign w:val="center"/>
          </w:tcPr>
          <w:p w14:paraId="49316880">
            <w:pPr>
              <w:adjustRightInd/>
              <w:spacing w:line="360" w:lineRule="auto"/>
              <w:rPr>
                <w:rFonts w:ascii="Calibri" w:hAnsi="Calibri"/>
                <w:color w:val="auto"/>
                <w:sz w:val="21"/>
                <w:szCs w:val="21"/>
                <w:highlight w:val="none"/>
              </w:rPr>
            </w:pPr>
            <w:r>
              <w:rPr>
                <w:rFonts w:ascii="Calibri" w:hAnsi="Calibri"/>
                <w:color w:val="auto"/>
                <w:sz w:val="21"/>
                <w:szCs w:val="21"/>
                <w:highlight w:val="none"/>
              </w:rPr>
              <w:t>全部货物采用绿色环保包装、防震防潮耐磨包装，无过度包装，符合政府采购绿色包装标准；包装标注产品名称、规格、材质、厂家、合格标识，确保长途运输无破损、无变形、无受潮，包装费用全部包含在合同总价内。</w:t>
            </w:r>
          </w:p>
        </w:tc>
      </w:tr>
      <w:tr w14:paraId="3FEAAC8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tcBorders>
              <w:top w:val="single" w:color="auto" w:sz="6" w:space="0"/>
              <w:left w:val="double" w:color="auto" w:sz="4" w:space="0"/>
              <w:bottom w:val="single" w:color="auto" w:sz="6" w:space="0"/>
              <w:right w:val="single" w:color="auto" w:sz="6" w:space="0"/>
            </w:tcBorders>
            <w:vAlign w:val="center"/>
          </w:tcPr>
          <w:p w14:paraId="109B06E1">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第二节</w:t>
            </w:r>
          </w:p>
          <w:p w14:paraId="28EEF21A">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第7.2款</w:t>
            </w:r>
          </w:p>
        </w:tc>
        <w:tc>
          <w:tcPr>
            <w:tcW w:w="1742" w:type="dxa"/>
            <w:tcBorders>
              <w:top w:val="single" w:color="auto" w:sz="6" w:space="0"/>
              <w:left w:val="single" w:color="auto" w:sz="6" w:space="0"/>
              <w:bottom w:val="single" w:color="auto" w:sz="6" w:space="0"/>
              <w:right w:val="single" w:color="auto" w:sz="6" w:space="0"/>
            </w:tcBorders>
            <w:vAlign w:val="center"/>
          </w:tcPr>
          <w:p w14:paraId="3E764947">
            <w:p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rPr>
              <w:t>运输特殊要求</w:t>
            </w:r>
          </w:p>
        </w:tc>
        <w:tc>
          <w:tcPr>
            <w:tcW w:w="5171" w:type="dxa"/>
            <w:tcBorders>
              <w:top w:val="single" w:color="auto" w:sz="6" w:space="0"/>
              <w:left w:val="single" w:color="auto" w:sz="6" w:space="0"/>
              <w:bottom w:val="single" w:color="auto" w:sz="6" w:space="0"/>
              <w:right w:val="double" w:color="auto" w:sz="4" w:space="0"/>
            </w:tcBorders>
            <w:vAlign w:val="center"/>
          </w:tcPr>
          <w:p w14:paraId="13F76977">
            <w:pPr>
              <w:numPr>
                <w:ilvl w:val="0"/>
                <w:numId w:val="0"/>
              </w:numPr>
              <w:adjustRightInd/>
              <w:spacing w:line="360" w:lineRule="auto"/>
              <w:rPr>
                <w:rFonts w:ascii="Calibri" w:hAnsi="Calibri"/>
                <w:color w:val="auto"/>
                <w:sz w:val="21"/>
                <w:szCs w:val="21"/>
                <w:highlight w:val="none"/>
              </w:rPr>
            </w:pPr>
            <w:r>
              <w:rPr>
                <w:rFonts w:ascii="Calibri" w:hAnsi="Calibri"/>
                <w:color w:val="auto"/>
                <w:sz w:val="21"/>
                <w:szCs w:val="21"/>
                <w:highlight w:val="none"/>
              </w:rPr>
              <w:t>乙方负责全程运输、装卸、上楼、就位，运输过程做好防护，杜绝磕碰、破损、受潮、变形；运输、装卸、就位过程产生的一切损耗、安全事故、财产损失由乙方全权承担。</w:t>
            </w:r>
          </w:p>
        </w:tc>
      </w:tr>
      <w:tr w14:paraId="25E6CB4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tcBorders>
              <w:top w:val="single" w:color="auto" w:sz="6" w:space="0"/>
              <w:left w:val="double" w:color="auto" w:sz="4" w:space="0"/>
              <w:bottom w:val="single" w:color="auto" w:sz="6" w:space="0"/>
              <w:right w:val="single" w:color="auto" w:sz="6" w:space="0"/>
            </w:tcBorders>
            <w:vAlign w:val="center"/>
          </w:tcPr>
          <w:p w14:paraId="35B1D73D">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第二节</w:t>
            </w:r>
          </w:p>
          <w:p w14:paraId="4468F9F4">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第7.3款</w:t>
            </w:r>
          </w:p>
        </w:tc>
        <w:tc>
          <w:tcPr>
            <w:tcW w:w="1742" w:type="dxa"/>
            <w:tcBorders>
              <w:top w:val="single" w:color="auto" w:sz="6" w:space="0"/>
              <w:left w:val="single" w:color="auto" w:sz="6" w:space="0"/>
              <w:bottom w:val="single" w:color="auto" w:sz="6" w:space="0"/>
              <w:right w:val="single" w:color="auto" w:sz="6" w:space="0"/>
            </w:tcBorders>
            <w:vAlign w:val="center"/>
          </w:tcPr>
          <w:p w14:paraId="749A8256">
            <w:p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rPr>
              <w:t>保险要求</w:t>
            </w:r>
          </w:p>
        </w:tc>
        <w:tc>
          <w:tcPr>
            <w:tcW w:w="5171" w:type="dxa"/>
            <w:tcBorders>
              <w:top w:val="single" w:color="auto" w:sz="6" w:space="0"/>
              <w:left w:val="single" w:color="auto" w:sz="6" w:space="0"/>
              <w:bottom w:val="single" w:color="auto" w:sz="6" w:space="0"/>
              <w:right w:val="double" w:color="auto" w:sz="4" w:space="0"/>
            </w:tcBorders>
            <w:vAlign w:val="center"/>
          </w:tcPr>
          <w:p w14:paraId="5DC0BC62">
            <w:pPr>
              <w:adjustRightInd/>
              <w:spacing w:line="360" w:lineRule="auto"/>
              <w:rPr>
                <w:rFonts w:ascii="Calibri" w:hAnsi="Calibri"/>
                <w:color w:val="auto"/>
                <w:sz w:val="21"/>
                <w:szCs w:val="21"/>
                <w:highlight w:val="none"/>
              </w:rPr>
            </w:pPr>
            <w:r>
              <w:rPr>
                <w:rFonts w:ascii="Calibri" w:hAnsi="Calibri"/>
                <w:color w:val="auto"/>
                <w:sz w:val="21"/>
                <w:szCs w:val="21"/>
                <w:highlight w:val="none"/>
              </w:rPr>
              <w:t>乙方自行购买货物运输险、施工现场意外险，履约全过程人身、财产、货物损毁风险由乙方自行承担。</w:t>
            </w:r>
          </w:p>
        </w:tc>
      </w:tr>
      <w:tr w14:paraId="5BCB89B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656815E5">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第二节</w:t>
            </w:r>
          </w:p>
          <w:p w14:paraId="4CCF3473">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第8.2（1）项</w:t>
            </w:r>
          </w:p>
        </w:tc>
        <w:tc>
          <w:tcPr>
            <w:tcW w:w="1742" w:type="dxa"/>
            <w:tcBorders>
              <w:top w:val="single" w:color="auto" w:sz="6" w:space="0"/>
              <w:left w:val="single" w:color="auto" w:sz="6" w:space="0"/>
              <w:bottom w:val="single" w:color="auto" w:sz="6" w:space="0"/>
              <w:right w:val="single" w:color="auto" w:sz="6" w:space="0"/>
            </w:tcBorders>
            <w:vAlign w:val="center"/>
          </w:tcPr>
          <w:p w14:paraId="42772225">
            <w:p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rPr>
              <w:t>质量保证期</w:t>
            </w:r>
          </w:p>
        </w:tc>
        <w:tc>
          <w:tcPr>
            <w:tcW w:w="5171" w:type="dxa"/>
            <w:tcBorders>
              <w:top w:val="single" w:color="auto" w:sz="6" w:space="0"/>
              <w:left w:val="single" w:color="auto" w:sz="6" w:space="0"/>
              <w:bottom w:val="single" w:color="auto" w:sz="6" w:space="0"/>
              <w:right w:val="double" w:color="auto" w:sz="4" w:space="0"/>
            </w:tcBorders>
            <w:vAlign w:val="center"/>
          </w:tcPr>
          <w:p w14:paraId="3068463D">
            <w:pPr>
              <w:numPr>
                <w:ilvl w:val="0"/>
                <w:numId w:val="0"/>
              </w:numPr>
              <w:autoSpaceDE w:val="0"/>
              <w:autoSpaceDN w:val="0"/>
              <w:snapToGrid w:val="0"/>
              <w:spacing w:line="360" w:lineRule="auto"/>
              <w:jc w:val="left"/>
              <w:rPr>
                <w:rFonts w:ascii="宋体" w:hAnsi="宋体"/>
                <w:color w:val="auto"/>
                <w:sz w:val="21"/>
                <w:szCs w:val="21"/>
                <w:highlight w:val="none"/>
              </w:rPr>
            </w:pPr>
            <w:r>
              <w:rPr>
                <w:rFonts w:ascii="宋体" w:hAnsi="宋体"/>
                <w:color w:val="auto"/>
                <w:sz w:val="21"/>
                <w:szCs w:val="21"/>
                <w:highlight w:val="none"/>
              </w:rPr>
              <w:t>本项目全部设备整体免费质保期</w:t>
            </w:r>
            <w:r>
              <w:rPr>
                <w:rFonts w:hint="eastAsia" w:ascii="宋体" w:hAnsi="宋体"/>
                <w:color w:val="auto"/>
                <w:sz w:val="21"/>
                <w:szCs w:val="21"/>
                <w:highlight w:val="none"/>
                <w:u w:val="single"/>
                <w:lang w:val="en-US" w:eastAsia="zh-CN"/>
              </w:rPr>
              <w:t xml:space="preserve">       </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不少于1年），</w:t>
            </w:r>
            <w:r>
              <w:rPr>
                <w:rFonts w:ascii="宋体" w:hAnsi="宋体"/>
                <w:color w:val="auto"/>
                <w:sz w:val="21"/>
                <w:szCs w:val="21"/>
                <w:highlight w:val="none"/>
              </w:rPr>
              <w:t>自项目全部赛事结束、整体竣工验收合格之日起正式起算。国家、行业标准、产品规范有更长质保年限的，按就高不就低原则执行；乙方投标承诺更长质保期的，以投标承诺为准。质保期内更换的全新零部件单独质保期</w:t>
            </w:r>
            <w:r>
              <w:rPr>
                <w:rFonts w:hint="eastAsia" w:ascii="宋体" w:hAnsi="宋体"/>
                <w:color w:val="auto"/>
                <w:sz w:val="21"/>
                <w:szCs w:val="21"/>
                <w:highlight w:val="none"/>
                <w:u w:val="single"/>
                <w:lang w:val="en-US" w:eastAsia="zh-CN"/>
              </w:rPr>
              <w:t xml:space="preserve">           （不少于1年）</w:t>
            </w:r>
            <w:r>
              <w:rPr>
                <w:rFonts w:ascii="宋体" w:hAnsi="宋体"/>
                <w:color w:val="auto"/>
                <w:sz w:val="21"/>
                <w:szCs w:val="21"/>
                <w:highlight w:val="none"/>
              </w:rPr>
              <w:t>，设备维修、更换后质保期自动顺延。</w:t>
            </w:r>
          </w:p>
        </w:tc>
      </w:tr>
      <w:tr w14:paraId="2654887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5AE11DEE">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第二节</w:t>
            </w:r>
          </w:p>
          <w:p w14:paraId="267245DA">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第8.2（3）项</w:t>
            </w:r>
          </w:p>
        </w:tc>
        <w:tc>
          <w:tcPr>
            <w:tcW w:w="1742" w:type="dxa"/>
            <w:tcBorders>
              <w:top w:val="single" w:color="auto" w:sz="6" w:space="0"/>
              <w:left w:val="single" w:color="auto" w:sz="6" w:space="0"/>
              <w:bottom w:val="single" w:color="auto" w:sz="6" w:space="0"/>
              <w:right w:val="single" w:color="auto" w:sz="6" w:space="0"/>
            </w:tcBorders>
            <w:vAlign w:val="center"/>
          </w:tcPr>
          <w:p w14:paraId="748F7952">
            <w:p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rPr>
              <w:t>货物质量缺陷</w:t>
            </w:r>
          </w:p>
          <w:p w14:paraId="39CAC5DA">
            <w:p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rPr>
              <w:t>响应时间</w:t>
            </w:r>
          </w:p>
        </w:tc>
        <w:tc>
          <w:tcPr>
            <w:tcW w:w="5171" w:type="dxa"/>
            <w:tcBorders>
              <w:top w:val="single" w:color="auto" w:sz="6" w:space="0"/>
              <w:left w:val="single" w:color="auto" w:sz="6" w:space="0"/>
              <w:bottom w:val="single" w:color="auto" w:sz="6" w:space="0"/>
              <w:right w:val="double" w:color="auto" w:sz="4" w:space="0"/>
            </w:tcBorders>
            <w:vAlign w:val="center"/>
          </w:tcPr>
          <w:p w14:paraId="6E39792B">
            <w:pPr>
              <w:numPr>
                <w:ilvl w:val="0"/>
                <w:numId w:val="0"/>
              </w:numPr>
              <w:snapToGrid w:val="0"/>
              <w:spacing w:line="360" w:lineRule="auto"/>
              <w:jc w:val="left"/>
              <w:rPr>
                <w:rFonts w:ascii="宋体" w:hAnsi="宋体"/>
                <w:color w:val="auto"/>
                <w:sz w:val="21"/>
                <w:szCs w:val="21"/>
                <w:highlight w:val="none"/>
              </w:rPr>
            </w:pPr>
            <w:r>
              <w:rPr>
                <w:rFonts w:ascii="宋体" w:hAnsi="宋体"/>
                <w:color w:val="auto"/>
                <w:sz w:val="21"/>
                <w:szCs w:val="21"/>
                <w:highlight w:val="none"/>
              </w:rPr>
              <w:t>1.日常质保故障：1小时响应、2小时到场、12小时完成修复；2.赛事期间突发故障：1小时内到场、即刻处置，无法现场修复的，立即提供同等规格、同等性能备用设备，零延迟保障赛事；3.7×24小时售后服务热线全天候值守。</w:t>
            </w:r>
          </w:p>
        </w:tc>
      </w:tr>
      <w:tr w14:paraId="4F2A6AB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0A471BE8">
            <w:pPr>
              <w:adjustRightInd/>
              <w:snapToGrid w:val="0"/>
              <w:spacing w:line="360" w:lineRule="auto"/>
              <w:jc w:val="center"/>
              <w:rPr>
                <w:rFonts w:ascii="宋体" w:hAnsi="宋体" w:cs="宋体"/>
                <w:color w:val="auto"/>
                <w:sz w:val="21"/>
                <w:szCs w:val="21"/>
                <w:highlight w:val="none"/>
              </w:rPr>
            </w:pPr>
            <w:r>
              <w:rPr>
                <w:rFonts w:hint="eastAsia" w:ascii="宋体" w:hAnsi="宋体" w:cs="宋体"/>
                <w:color w:val="auto"/>
                <w:sz w:val="21"/>
                <w:szCs w:val="21"/>
                <w:highlight w:val="none"/>
              </w:rPr>
              <w:t>第二节</w:t>
            </w:r>
          </w:p>
          <w:p w14:paraId="1CDF8CE0">
            <w:pPr>
              <w:widowControl/>
              <w:autoSpaceDE w:val="0"/>
              <w:autoSpaceDN w:val="0"/>
              <w:spacing w:line="360" w:lineRule="auto"/>
              <w:jc w:val="center"/>
              <w:rPr>
                <w:rFonts w:ascii="华文楷体" w:hAnsi="华文楷体" w:eastAsia="华文楷体" w:cs="华文楷体"/>
                <w:color w:val="auto"/>
                <w:kern w:val="0"/>
                <w:sz w:val="21"/>
                <w:szCs w:val="21"/>
                <w:highlight w:val="none"/>
              </w:rPr>
            </w:pPr>
            <w:r>
              <w:rPr>
                <w:rFonts w:hint="eastAsia" w:ascii="宋体" w:hAnsi="宋体" w:cs="宋体"/>
                <w:color w:val="auto"/>
                <w:kern w:val="0"/>
                <w:sz w:val="21"/>
                <w:szCs w:val="21"/>
                <w:highlight w:val="none"/>
              </w:rPr>
              <w:t>第11.1款</w:t>
            </w:r>
          </w:p>
        </w:tc>
        <w:tc>
          <w:tcPr>
            <w:tcW w:w="1742" w:type="dxa"/>
            <w:tcBorders>
              <w:top w:val="single" w:color="auto" w:sz="6" w:space="0"/>
              <w:left w:val="single" w:color="auto" w:sz="6" w:space="0"/>
              <w:bottom w:val="single" w:color="auto" w:sz="6" w:space="0"/>
              <w:right w:val="single" w:color="auto" w:sz="6" w:space="0"/>
            </w:tcBorders>
            <w:vAlign w:val="center"/>
          </w:tcPr>
          <w:p w14:paraId="0827E007">
            <w:pPr>
              <w:snapToGrid w:val="0"/>
              <w:spacing w:line="360" w:lineRule="auto"/>
              <w:rPr>
                <w:rFonts w:ascii="宋体" w:hAnsi="宋体"/>
                <w:color w:val="auto"/>
                <w:sz w:val="21"/>
                <w:szCs w:val="21"/>
                <w:highlight w:val="none"/>
              </w:rPr>
            </w:pPr>
            <w:r>
              <w:rPr>
                <w:rFonts w:hint="eastAsia" w:ascii="宋体" w:hAnsi="宋体"/>
                <w:color w:val="auto"/>
                <w:sz w:val="21"/>
                <w:szCs w:val="21"/>
                <w:highlight w:val="none"/>
              </w:rPr>
              <w:t>其他应当保密的信息</w:t>
            </w:r>
          </w:p>
        </w:tc>
        <w:tc>
          <w:tcPr>
            <w:tcW w:w="5171" w:type="dxa"/>
            <w:tcBorders>
              <w:top w:val="single" w:color="auto" w:sz="6" w:space="0"/>
              <w:left w:val="single" w:color="auto" w:sz="6" w:space="0"/>
              <w:bottom w:val="single" w:color="auto" w:sz="6" w:space="0"/>
              <w:right w:val="double" w:color="auto" w:sz="4" w:space="0"/>
            </w:tcBorders>
            <w:vAlign w:val="center"/>
          </w:tcPr>
          <w:p w14:paraId="5437EDF6">
            <w:pPr>
              <w:snapToGrid w:val="0"/>
              <w:spacing w:line="360" w:lineRule="auto"/>
              <w:jc w:val="left"/>
              <w:rPr>
                <w:rFonts w:ascii="宋体" w:hAnsi="宋体"/>
                <w:color w:val="auto"/>
                <w:sz w:val="21"/>
                <w:szCs w:val="21"/>
                <w:highlight w:val="none"/>
              </w:rPr>
            </w:pPr>
            <w:r>
              <w:rPr>
                <w:rFonts w:ascii="宋体" w:hAnsi="宋体"/>
                <w:color w:val="auto"/>
                <w:sz w:val="21"/>
                <w:szCs w:val="21"/>
                <w:highlight w:val="none"/>
              </w:rPr>
              <w:t>甲乙双方对本项目采购参数、赛事保障方案、样品资料、检测数据、合同信息、履约台账等涉密信息负有永久保密义务，不得擅自对外泄露、传播。</w:t>
            </w:r>
          </w:p>
        </w:tc>
      </w:tr>
      <w:tr w14:paraId="10D0444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tcBorders>
              <w:top w:val="single" w:color="auto" w:sz="6" w:space="0"/>
              <w:left w:val="double" w:color="auto" w:sz="4" w:space="0"/>
              <w:bottom w:val="single" w:color="auto" w:sz="6" w:space="0"/>
              <w:right w:val="single" w:color="auto" w:sz="6" w:space="0"/>
            </w:tcBorders>
            <w:vAlign w:val="center"/>
          </w:tcPr>
          <w:p w14:paraId="53200B8B">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第二节</w:t>
            </w:r>
          </w:p>
          <w:p w14:paraId="022C83EE">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第12.2款</w:t>
            </w:r>
          </w:p>
        </w:tc>
        <w:tc>
          <w:tcPr>
            <w:tcW w:w="1742" w:type="dxa"/>
            <w:tcBorders>
              <w:top w:val="single" w:color="auto" w:sz="6" w:space="0"/>
              <w:left w:val="single" w:color="auto" w:sz="6" w:space="0"/>
              <w:bottom w:val="single" w:color="auto" w:sz="6" w:space="0"/>
              <w:right w:val="single" w:color="auto" w:sz="6" w:space="0"/>
            </w:tcBorders>
            <w:vAlign w:val="center"/>
          </w:tcPr>
          <w:p w14:paraId="2AB0471C">
            <w:p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rPr>
              <w:t>合同价款支付时间</w:t>
            </w:r>
          </w:p>
        </w:tc>
        <w:tc>
          <w:tcPr>
            <w:tcW w:w="5171" w:type="dxa"/>
            <w:tcBorders>
              <w:top w:val="single" w:color="auto" w:sz="6" w:space="0"/>
              <w:left w:val="single" w:color="auto" w:sz="6" w:space="0"/>
              <w:bottom w:val="single" w:color="auto" w:sz="6" w:space="0"/>
              <w:right w:val="double" w:color="auto" w:sz="4" w:space="0"/>
            </w:tcBorders>
            <w:vAlign w:val="center"/>
          </w:tcPr>
          <w:p w14:paraId="5C92D05A">
            <w:pPr>
              <w:snapToGrid w:val="0"/>
              <w:spacing w:line="360" w:lineRule="auto"/>
              <w:jc w:val="left"/>
              <w:rPr>
                <w:rFonts w:ascii="宋体" w:hAnsi="宋体"/>
                <w:color w:val="auto"/>
                <w:sz w:val="21"/>
                <w:szCs w:val="21"/>
                <w:highlight w:val="none"/>
              </w:rPr>
            </w:pPr>
            <w:r>
              <w:rPr>
                <w:rFonts w:ascii="宋体" w:hAnsi="宋体"/>
                <w:color w:val="auto"/>
                <w:sz w:val="21"/>
                <w:szCs w:val="21"/>
                <w:highlight w:val="none"/>
              </w:rPr>
              <w:t>1.预付款：合同生效后5个工作日内，支付合同总金额的50%；2.尾款：全部赛事结束、项目整体竣工验收合格，乙方提交合规发票、全套结算及归档资料后15个工作日内，支付剩余合同尾款；3.付款前提：财政资金拨付到位，因财政流程导致的付款顺延，不视为甲方违约；乙方需提前提供合法有效增值税发票及全套履约资料，否则甲方有权顺延付款。</w:t>
            </w:r>
          </w:p>
        </w:tc>
      </w:tr>
      <w:tr w14:paraId="7F103F8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tcBorders>
              <w:top w:val="single" w:color="auto" w:sz="6" w:space="0"/>
              <w:left w:val="double" w:color="auto" w:sz="4" w:space="0"/>
              <w:bottom w:val="single" w:color="auto" w:sz="6" w:space="0"/>
              <w:right w:val="single" w:color="auto" w:sz="6" w:space="0"/>
            </w:tcBorders>
            <w:vAlign w:val="center"/>
          </w:tcPr>
          <w:p w14:paraId="19053E11">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第二节</w:t>
            </w:r>
          </w:p>
          <w:p w14:paraId="48CD395C">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第13.2款</w:t>
            </w:r>
          </w:p>
        </w:tc>
        <w:tc>
          <w:tcPr>
            <w:tcW w:w="1742" w:type="dxa"/>
            <w:tcBorders>
              <w:top w:val="single" w:color="auto" w:sz="6" w:space="0"/>
              <w:left w:val="single" w:color="auto" w:sz="6" w:space="0"/>
              <w:bottom w:val="single" w:color="auto" w:sz="6" w:space="0"/>
              <w:right w:val="single" w:color="auto" w:sz="6" w:space="0"/>
            </w:tcBorders>
            <w:vAlign w:val="center"/>
          </w:tcPr>
          <w:p w14:paraId="68AF2C10">
            <w:p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rPr>
              <w:t>履约保证金不予退还的情形</w:t>
            </w:r>
          </w:p>
        </w:tc>
        <w:tc>
          <w:tcPr>
            <w:tcW w:w="5171" w:type="dxa"/>
            <w:tcBorders>
              <w:top w:val="single" w:color="auto" w:sz="6" w:space="0"/>
              <w:left w:val="single" w:color="auto" w:sz="6" w:space="0"/>
              <w:bottom w:val="single" w:color="auto" w:sz="6" w:space="0"/>
              <w:right w:val="double" w:color="auto" w:sz="4" w:space="0"/>
            </w:tcBorders>
            <w:vAlign w:val="center"/>
          </w:tcPr>
          <w:p w14:paraId="642500ED">
            <w:pPr>
              <w:numPr>
                <w:ilvl w:val="0"/>
                <w:numId w:val="0"/>
              </w:numPr>
              <w:snapToGrid w:val="0"/>
              <w:spacing w:line="360" w:lineRule="auto"/>
              <w:jc w:val="left"/>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本项目不要求缴纳履约保证金。</w:t>
            </w:r>
          </w:p>
        </w:tc>
      </w:tr>
      <w:tr w14:paraId="469FCE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665AB23E">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第二节</w:t>
            </w:r>
          </w:p>
          <w:p w14:paraId="04B51B73">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第13.3款</w:t>
            </w:r>
          </w:p>
        </w:tc>
        <w:tc>
          <w:tcPr>
            <w:tcW w:w="1742" w:type="dxa"/>
            <w:tcBorders>
              <w:top w:val="single" w:color="auto" w:sz="6" w:space="0"/>
              <w:left w:val="single" w:color="auto" w:sz="6" w:space="0"/>
              <w:bottom w:val="single" w:color="auto" w:sz="6" w:space="0"/>
              <w:right w:val="single" w:color="auto" w:sz="6" w:space="0"/>
            </w:tcBorders>
            <w:vAlign w:val="center"/>
          </w:tcPr>
          <w:p w14:paraId="48E30F2F">
            <w:p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rPr>
              <w:t>履约保证金退还时间及逾期退还的违约金</w:t>
            </w:r>
          </w:p>
        </w:tc>
        <w:tc>
          <w:tcPr>
            <w:tcW w:w="5171" w:type="dxa"/>
            <w:tcBorders>
              <w:top w:val="single" w:color="auto" w:sz="6" w:space="0"/>
              <w:left w:val="single" w:color="auto" w:sz="6" w:space="0"/>
              <w:bottom w:val="single" w:color="auto" w:sz="6" w:space="0"/>
              <w:right w:val="double" w:color="auto" w:sz="4" w:space="0"/>
            </w:tcBorders>
            <w:vAlign w:val="center"/>
          </w:tcPr>
          <w:p w14:paraId="6E91B5FC">
            <w:pPr>
              <w:numPr>
                <w:ilvl w:val="0"/>
                <w:numId w:val="0"/>
              </w:num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lang w:val="en-US" w:eastAsia="zh-CN"/>
              </w:rPr>
              <w:t>本项目不要求缴纳履约保证金。</w:t>
            </w:r>
          </w:p>
        </w:tc>
      </w:tr>
      <w:tr w14:paraId="3C8D435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tcBorders>
              <w:top w:val="single" w:color="auto" w:sz="6" w:space="0"/>
              <w:left w:val="double" w:color="auto" w:sz="4" w:space="0"/>
              <w:bottom w:val="single" w:color="auto" w:sz="6" w:space="0"/>
              <w:right w:val="single" w:color="auto" w:sz="6" w:space="0"/>
            </w:tcBorders>
            <w:vAlign w:val="center"/>
          </w:tcPr>
          <w:p w14:paraId="1381DBF7">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第二节</w:t>
            </w:r>
          </w:p>
          <w:p w14:paraId="32463839">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第14.1（3）项</w:t>
            </w:r>
          </w:p>
        </w:tc>
        <w:tc>
          <w:tcPr>
            <w:tcW w:w="1742" w:type="dxa"/>
            <w:tcBorders>
              <w:top w:val="single" w:color="auto" w:sz="6" w:space="0"/>
              <w:left w:val="single" w:color="auto" w:sz="6" w:space="0"/>
              <w:bottom w:val="single" w:color="auto" w:sz="6" w:space="0"/>
              <w:right w:val="single" w:color="auto" w:sz="6" w:space="0"/>
            </w:tcBorders>
            <w:vAlign w:val="center"/>
          </w:tcPr>
          <w:p w14:paraId="3D52FA26">
            <w:p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rPr>
              <w:t>运行监督、维修期限</w:t>
            </w:r>
          </w:p>
        </w:tc>
        <w:tc>
          <w:tcPr>
            <w:tcW w:w="5171" w:type="dxa"/>
            <w:tcBorders>
              <w:top w:val="single" w:color="auto" w:sz="6" w:space="0"/>
              <w:left w:val="single" w:color="auto" w:sz="6" w:space="0"/>
              <w:bottom w:val="single" w:color="auto" w:sz="6" w:space="0"/>
              <w:right w:val="double" w:color="auto" w:sz="4" w:space="0"/>
            </w:tcBorders>
            <w:vAlign w:val="center"/>
          </w:tcPr>
          <w:p w14:paraId="67F73BA3">
            <w:pPr>
              <w:snapToGrid w:val="0"/>
              <w:spacing w:line="360" w:lineRule="auto"/>
              <w:jc w:val="left"/>
              <w:rPr>
                <w:rFonts w:ascii="宋体" w:hAnsi="宋体"/>
                <w:color w:val="auto"/>
                <w:sz w:val="21"/>
                <w:szCs w:val="21"/>
                <w:highlight w:val="none"/>
              </w:rPr>
            </w:pPr>
            <w:r>
              <w:rPr>
                <w:rFonts w:ascii="宋体" w:hAnsi="宋体"/>
                <w:color w:val="auto"/>
                <w:sz w:val="21"/>
                <w:szCs w:val="21"/>
                <w:highlight w:val="none"/>
              </w:rPr>
              <w:t>质保期全程提供免费运行监督、巡检校准、故障维修；赛事期间全程运行保障，质保期满后提供终身技术支持、配件优惠供应服务。</w:t>
            </w:r>
          </w:p>
        </w:tc>
      </w:tr>
      <w:tr w14:paraId="53C51ED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tcBorders>
              <w:top w:val="single" w:color="auto" w:sz="6" w:space="0"/>
              <w:left w:val="double" w:color="auto" w:sz="4" w:space="0"/>
              <w:bottom w:val="single" w:color="auto" w:sz="6" w:space="0"/>
              <w:right w:val="single" w:color="auto" w:sz="6" w:space="0"/>
            </w:tcBorders>
            <w:vAlign w:val="center"/>
          </w:tcPr>
          <w:p w14:paraId="10146C45">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第二节</w:t>
            </w:r>
          </w:p>
          <w:p w14:paraId="29F5B2EE">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第14.1（5）项</w:t>
            </w:r>
          </w:p>
        </w:tc>
        <w:tc>
          <w:tcPr>
            <w:tcW w:w="1742" w:type="dxa"/>
            <w:tcBorders>
              <w:top w:val="single" w:color="auto" w:sz="6" w:space="0"/>
              <w:left w:val="single" w:color="auto" w:sz="6" w:space="0"/>
              <w:bottom w:val="single" w:color="auto" w:sz="6" w:space="0"/>
              <w:right w:val="single" w:color="auto" w:sz="6" w:space="0"/>
            </w:tcBorders>
            <w:vAlign w:val="center"/>
          </w:tcPr>
          <w:p w14:paraId="79F9ADAF">
            <w:p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rPr>
              <w:t>货物回收的约定</w:t>
            </w:r>
          </w:p>
        </w:tc>
        <w:tc>
          <w:tcPr>
            <w:tcW w:w="5171" w:type="dxa"/>
            <w:tcBorders>
              <w:top w:val="single" w:color="auto" w:sz="6" w:space="0"/>
              <w:left w:val="single" w:color="auto" w:sz="6" w:space="0"/>
              <w:bottom w:val="single" w:color="auto" w:sz="6" w:space="0"/>
              <w:right w:val="double" w:color="auto" w:sz="4" w:space="0"/>
            </w:tcBorders>
            <w:vAlign w:val="center"/>
          </w:tcPr>
          <w:p w14:paraId="23112725">
            <w:pPr>
              <w:snapToGrid w:val="0"/>
              <w:spacing w:line="360" w:lineRule="auto"/>
              <w:jc w:val="left"/>
              <w:rPr>
                <w:rFonts w:ascii="宋体" w:hAnsi="宋体"/>
                <w:color w:val="auto"/>
                <w:sz w:val="21"/>
                <w:szCs w:val="21"/>
                <w:highlight w:val="none"/>
              </w:rPr>
            </w:pPr>
            <w:r>
              <w:rPr>
                <w:rFonts w:ascii="宋体" w:hAnsi="宋体"/>
                <w:color w:val="auto"/>
                <w:sz w:val="21"/>
                <w:szCs w:val="21"/>
                <w:highlight w:val="none"/>
              </w:rPr>
              <w:t>质保期满、设备达到使用年限后，乙方可有偿回收废旧设备，无条件配合甲方完成设备处置、场地清理工作，杜绝环境污染。</w:t>
            </w:r>
          </w:p>
        </w:tc>
      </w:tr>
      <w:tr w14:paraId="2076E24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37AA5738">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第二节</w:t>
            </w:r>
          </w:p>
          <w:p w14:paraId="6A46C08E">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第14.1（6）项</w:t>
            </w:r>
          </w:p>
        </w:tc>
        <w:tc>
          <w:tcPr>
            <w:tcW w:w="1742" w:type="dxa"/>
            <w:tcBorders>
              <w:top w:val="single" w:color="auto" w:sz="6" w:space="0"/>
              <w:left w:val="single" w:color="auto" w:sz="6" w:space="0"/>
              <w:bottom w:val="single" w:color="auto" w:sz="6" w:space="0"/>
              <w:right w:val="single" w:color="auto" w:sz="6" w:space="0"/>
            </w:tcBorders>
            <w:vAlign w:val="center"/>
          </w:tcPr>
          <w:p w14:paraId="4796BA71">
            <w:p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rPr>
              <w:t>乙方提供的其他服务</w:t>
            </w:r>
          </w:p>
        </w:tc>
        <w:tc>
          <w:tcPr>
            <w:tcW w:w="5171" w:type="dxa"/>
            <w:tcBorders>
              <w:top w:val="single" w:color="auto" w:sz="6" w:space="0"/>
              <w:left w:val="single" w:color="auto" w:sz="6" w:space="0"/>
              <w:bottom w:val="single" w:color="auto" w:sz="6" w:space="0"/>
              <w:right w:val="double" w:color="auto" w:sz="4" w:space="0"/>
            </w:tcBorders>
            <w:vAlign w:val="center"/>
          </w:tcPr>
          <w:p w14:paraId="39E30BC6">
            <w:pPr>
              <w:numPr>
                <w:ilvl w:val="0"/>
                <w:numId w:val="0"/>
              </w:numPr>
              <w:snapToGrid w:val="0"/>
              <w:spacing w:line="360" w:lineRule="auto"/>
              <w:ind w:leftChars="0"/>
              <w:jc w:val="left"/>
              <w:rPr>
                <w:rFonts w:ascii="宋体" w:hAnsi="宋体"/>
                <w:color w:val="auto"/>
                <w:sz w:val="21"/>
                <w:szCs w:val="21"/>
                <w:highlight w:val="none"/>
              </w:rPr>
            </w:pPr>
            <w:r>
              <w:rPr>
                <w:rFonts w:ascii="宋体" w:hAnsi="宋体"/>
                <w:color w:val="auto"/>
                <w:sz w:val="21"/>
                <w:szCs w:val="21"/>
                <w:highlight w:val="none"/>
              </w:rPr>
              <w:t>1.赛前专项排查校准、压力测试、试运行服务；2.赛事全程驻点值守保障服务；3.免费人员操作、运维、收纳、故障排查培训服务，提供书面运维手册及培训台账；4.质保期定期巡检、保养、性能校准服务，留存巡检记录；5.配合甲方完成政府采购履约归档、信用评价、抽检复检全部工作。</w:t>
            </w:r>
          </w:p>
        </w:tc>
      </w:tr>
      <w:tr w14:paraId="42E2B27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546436D2">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第二节</w:t>
            </w:r>
          </w:p>
          <w:p w14:paraId="7BFE352C">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第15.1款</w:t>
            </w:r>
          </w:p>
        </w:tc>
        <w:tc>
          <w:tcPr>
            <w:tcW w:w="1742" w:type="dxa"/>
            <w:tcBorders>
              <w:top w:val="single" w:color="auto" w:sz="6" w:space="0"/>
              <w:left w:val="single" w:color="auto" w:sz="6" w:space="0"/>
              <w:bottom w:val="single" w:color="auto" w:sz="6" w:space="0"/>
              <w:right w:val="single" w:color="auto" w:sz="6" w:space="0"/>
            </w:tcBorders>
            <w:vAlign w:val="center"/>
          </w:tcPr>
          <w:p w14:paraId="2C24FB61">
            <w:p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rPr>
              <w:t>修理、重作、更换相关具体规定</w:t>
            </w:r>
          </w:p>
        </w:tc>
        <w:tc>
          <w:tcPr>
            <w:tcW w:w="5171" w:type="dxa"/>
            <w:tcBorders>
              <w:top w:val="single" w:color="auto" w:sz="6" w:space="0"/>
              <w:left w:val="single" w:color="auto" w:sz="6" w:space="0"/>
              <w:bottom w:val="single" w:color="auto" w:sz="6" w:space="0"/>
              <w:right w:val="double" w:color="auto" w:sz="4" w:space="0"/>
            </w:tcBorders>
            <w:vAlign w:val="center"/>
          </w:tcPr>
          <w:p w14:paraId="0A1475D6">
            <w:pPr>
              <w:numPr>
                <w:ilvl w:val="0"/>
                <w:numId w:val="0"/>
              </w:numPr>
              <w:snapToGrid w:val="0"/>
              <w:spacing w:line="360" w:lineRule="auto"/>
              <w:jc w:val="left"/>
              <w:rPr>
                <w:rFonts w:ascii="宋体" w:hAnsi="宋体"/>
                <w:color w:val="auto"/>
                <w:sz w:val="21"/>
                <w:szCs w:val="21"/>
                <w:highlight w:val="none"/>
              </w:rPr>
            </w:pPr>
            <w:r>
              <w:rPr>
                <w:rFonts w:ascii="宋体" w:hAnsi="宋体"/>
                <w:color w:val="auto"/>
                <w:sz w:val="21"/>
                <w:szCs w:val="21"/>
                <w:highlight w:val="none"/>
              </w:rPr>
              <w:t>1.货物参数不达标、材质不符、性能缺陷、与样品不一致、检测不合格的，乙方必须无条件免费更换全新合格货物；2.设备轻微故障免费维修、校准，严重缺陷直接整机更换；3.所有整改、更换工作必须在甲方规定时限内完成，逾期未整改的，甲方有权委托第三方整改，费用全部由乙方承担，并追究违约责任；4.整改更换后重新验收，直至100%达标。</w:t>
            </w:r>
          </w:p>
        </w:tc>
      </w:tr>
      <w:tr w14:paraId="4B3F8FC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2041" w:hRule="atLeast"/>
        </w:trPr>
        <w:tc>
          <w:tcPr>
            <w:tcW w:w="1607" w:type="dxa"/>
            <w:tcBorders>
              <w:top w:val="single" w:color="auto" w:sz="6" w:space="0"/>
              <w:left w:val="double" w:color="auto" w:sz="4" w:space="0"/>
              <w:bottom w:val="single" w:color="auto" w:sz="6" w:space="0"/>
              <w:right w:val="single" w:color="auto" w:sz="6" w:space="0"/>
            </w:tcBorders>
            <w:vAlign w:val="center"/>
          </w:tcPr>
          <w:p w14:paraId="0052402F">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第二节</w:t>
            </w:r>
          </w:p>
          <w:p w14:paraId="2BE6210D">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第15.2（2）项</w:t>
            </w:r>
          </w:p>
        </w:tc>
        <w:tc>
          <w:tcPr>
            <w:tcW w:w="1742" w:type="dxa"/>
            <w:tcBorders>
              <w:top w:val="single" w:color="auto" w:sz="6" w:space="0"/>
              <w:left w:val="single" w:color="auto" w:sz="6" w:space="0"/>
              <w:bottom w:val="single" w:color="auto" w:sz="6" w:space="0"/>
              <w:right w:val="single" w:color="auto" w:sz="6" w:space="0"/>
            </w:tcBorders>
            <w:vAlign w:val="center"/>
          </w:tcPr>
          <w:p w14:paraId="31514481">
            <w:pPr>
              <w:snapToGrid w:val="0"/>
              <w:spacing w:line="360" w:lineRule="auto"/>
              <w:jc w:val="left"/>
              <w:rPr>
                <w:rFonts w:ascii="宋体" w:hAnsi="宋体"/>
                <w:color w:val="auto"/>
                <w:sz w:val="21"/>
                <w:szCs w:val="21"/>
                <w:highlight w:val="none"/>
                <w:u w:val="none"/>
              </w:rPr>
            </w:pPr>
            <w:r>
              <w:rPr>
                <w:rFonts w:hint="eastAsia" w:ascii="宋体" w:hAnsi="宋体"/>
                <w:color w:val="auto"/>
                <w:sz w:val="21"/>
                <w:szCs w:val="21"/>
                <w:highlight w:val="none"/>
                <w:u w:val="none"/>
              </w:rPr>
              <w:t>迟延交货赔偿费</w:t>
            </w:r>
          </w:p>
        </w:tc>
        <w:tc>
          <w:tcPr>
            <w:tcW w:w="5171" w:type="dxa"/>
            <w:tcBorders>
              <w:top w:val="single" w:color="auto" w:sz="6" w:space="0"/>
              <w:left w:val="single" w:color="auto" w:sz="6" w:space="0"/>
              <w:bottom w:val="single" w:color="auto" w:sz="6" w:space="0"/>
              <w:right w:val="double" w:color="auto" w:sz="4" w:space="0"/>
            </w:tcBorders>
            <w:vAlign w:val="center"/>
          </w:tcPr>
          <w:p w14:paraId="4753C73A">
            <w:pPr>
              <w:snapToGrid w:val="0"/>
              <w:spacing w:line="360" w:lineRule="auto"/>
              <w:jc w:val="left"/>
              <w:rPr>
                <w:rFonts w:ascii="宋体" w:hAnsi="宋体"/>
                <w:color w:val="auto"/>
                <w:sz w:val="21"/>
                <w:szCs w:val="21"/>
                <w:highlight w:val="none"/>
                <w:u w:val="none"/>
              </w:rPr>
            </w:pPr>
            <w:r>
              <w:rPr>
                <w:rFonts w:ascii="宋体" w:hAnsi="宋体"/>
                <w:color w:val="auto"/>
                <w:sz w:val="21"/>
                <w:szCs w:val="21"/>
                <w:highlight w:val="none"/>
                <w:u w:val="none"/>
              </w:rPr>
              <w:t>乙方未按赛事节点按期完成供货、安装、调试、试运行的，每逾期1日历天，按合同总金额0.5%支付违约金，逾期超过3天，甲方有权单方解除合同、没收履约保证金、追偿全部损失；造成赛事延误、损失的，乙方承担全部赔偿责任。</w:t>
            </w:r>
          </w:p>
        </w:tc>
      </w:tr>
      <w:tr w14:paraId="6EE85F9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0B09010D">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第二节</w:t>
            </w:r>
          </w:p>
          <w:p w14:paraId="0F42DBDB">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第15.3款</w:t>
            </w:r>
          </w:p>
        </w:tc>
        <w:tc>
          <w:tcPr>
            <w:tcW w:w="1742" w:type="dxa"/>
            <w:tcBorders>
              <w:top w:val="single" w:color="auto" w:sz="6" w:space="0"/>
              <w:left w:val="single" w:color="auto" w:sz="6" w:space="0"/>
              <w:bottom w:val="single" w:color="auto" w:sz="6" w:space="0"/>
              <w:right w:val="single" w:color="auto" w:sz="6" w:space="0"/>
            </w:tcBorders>
            <w:vAlign w:val="center"/>
          </w:tcPr>
          <w:p w14:paraId="3F03E40F">
            <w:p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rPr>
              <w:t>逾期付款利息</w:t>
            </w:r>
          </w:p>
        </w:tc>
        <w:tc>
          <w:tcPr>
            <w:tcW w:w="5171" w:type="dxa"/>
            <w:tcBorders>
              <w:top w:val="single" w:color="auto" w:sz="6" w:space="0"/>
              <w:left w:val="single" w:color="auto" w:sz="6" w:space="0"/>
              <w:bottom w:val="single" w:color="auto" w:sz="6" w:space="0"/>
              <w:right w:val="double" w:color="auto" w:sz="4" w:space="0"/>
            </w:tcBorders>
            <w:vAlign w:val="center"/>
          </w:tcPr>
          <w:p w14:paraId="69179765">
            <w:pPr>
              <w:snapToGrid w:val="0"/>
              <w:spacing w:line="360" w:lineRule="auto"/>
              <w:jc w:val="left"/>
              <w:rPr>
                <w:rFonts w:ascii="宋体" w:hAnsi="宋体"/>
                <w:color w:val="auto"/>
                <w:sz w:val="21"/>
                <w:szCs w:val="21"/>
                <w:highlight w:val="none"/>
                <w:u w:val="single"/>
              </w:rPr>
            </w:pPr>
            <w:r>
              <w:rPr>
                <w:rFonts w:ascii="宋体" w:hAnsi="宋体"/>
                <w:color w:val="auto"/>
                <w:sz w:val="21"/>
                <w:szCs w:val="21"/>
                <w:highlight w:val="none"/>
                <w:u w:val="none"/>
              </w:rPr>
              <w:t>甲方无正当理由逾期付款的，按当期应付未付金额，参照全国银行间同业拆借中心LPR计算逾期付款利息。因财政资金拨付流程、乙方资料不全、发票不合规导致的顺延，不计算逾期利息。</w:t>
            </w:r>
          </w:p>
        </w:tc>
      </w:tr>
      <w:tr w14:paraId="38954F3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top w:val="single" w:color="auto" w:sz="6" w:space="0"/>
              <w:left w:val="double" w:color="auto" w:sz="4" w:space="0"/>
              <w:bottom w:val="single" w:color="auto" w:sz="2" w:space="0"/>
              <w:right w:val="single" w:color="auto" w:sz="2" w:space="0"/>
            </w:tcBorders>
            <w:vAlign w:val="center"/>
          </w:tcPr>
          <w:p w14:paraId="0D92E9CD">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第二节</w:t>
            </w:r>
          </w:p>
          <w:p w14:paraId="10CFB09C">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第15.4款</w:t>
            </w:r>
          </w:p>
        </w:tc>
        <w:tc>
          <w:tcPr>
            <w:tcW w:w="1742" w:type="dxa"/>
            <w:tcBorders>
              <w:top w:val="single" w:color="auto" w:sz="6" w:space="0"/>
              <w:left w:val="single" w:color="auto" w:sz="2" w:space="0"/>
              <w:bottom w:val="single" w:color="auto" w:sz="2" w:space="0"/>
              <w:right w:val="single" w:color="auto" w:sz="2" w:space="0"/>
            </w:tcBorders>
            <w:vAlign w:val="center"/>
          </w:tcPr>
          <w:p w14:paraId="495DCAE2">
            <w:p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rPr>
              <w:t>其他违约责任</w:t>
            </w:r>
          </w:p>
        </w:tc>
        <w:tc>
          <w:tcPr>
            <w:tcW w:w="5171" w:type="dxa"/>
            <w:tcBorders>
              <w:top w:val="single" w:color="auto" w:sz="6" w:space="0"/>
              <w:left w:val="single" w:color="auto" w:sz="2" w:space="0"/>
              <w:bottom w:val="single" w:color="auto" w:sz="2" w:space="0"/>
              <w:right w:val="double" w:color="auto" w:sz="4" w:space="0"/>
            </w:tcBorders>
            <w:vAlign w:val="center"/>
          </w:tcPr>
          <w:p w14:paraId="60738813">
            <w:pPr>
              <w:snapToGrid w:val="0"/>
              <w:spacing w:line="360" w:lineRule="auto"/>
              <w:jc w:val="left"/>
              <w:rPr>
                <w:rFonts w:ascii="宋体" w:hAnsi="宋体"/>
                <w:color w:val="auto"/>
                <w:sz w:val="21"/>
                <w:szCs w:val="21"/>
                <w:highlight w:val="none"/>
                <w:u w:val="single"/>
              </w:rPr>
            </w:pPr>
            <w:r>
              <w:rPr>
                <w:rFonts w:ascii="宋体" w:hAnsi="宋体"/>
                <w:color w:val="auto"/>
                <w:sz w:val="21"/>
                <w:szCs w:val="21"/>
                <w:highlight w:val="none"/>
                <w:u w:val="none"/>
              </w:rPr>
              <w:t>1.样品与成品不一致、参数降级、材质替换、工艺简化的，乙方承担合同总金额20%违约金，无条件退换货；2.赛事保障缺位、驻点无人、故障处置不及时影响赛事的，每次承担合同总金额10%违约金；3.检测报告缺项、造假、参数不符的，直接判定违约，甲方解除合同并上报政府采购监管部门；4.售后拒不履约、整改逾期、巡检缺位的，甲方有权扣除全部质保相关费用，并纳入政府采购不良信用记录；5.乙方违约造成甲方赛事损失、舆情风险、财政损失的，乙方全额赔偿。</w:t>
            </w:r>
          </w:p>
        </w:tc>
      </w:tr>
      <w:tr w14:paraId="2B9B213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left w:val="double" w:color="auto" w:sz="4" w:space="0"/>
              <w:bottom w:val="single" w:color="auto" w:sz="6" w:space="0"/>
              <w:right w:val="single" w:color="auto" w:sz="2" w:space="0"/>
            </w:tcBorders>
            <w:vAlign w:val="center"/>
          </w:tcPr>
          <w:p w14:paraId="28CB3F8B">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第二节</w:t>
            </w:r>
          </w:p>
          <w:p w14:paraId="18D31AF0">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第19.2款</w:t>
            </w:r>
          </w:p>
        </w:tc>
        <w:tc>
          <w:tcPr>
            <w:tcW w:w="1742" w:type="dxa"/>
            <w:tcBorders>
              <w:top w:val="single" w:color="auto" w:sz="2" w:space="0"/>
              <w:left w:val="single" w:color="auto" w:sz="2" w:space="0"/>
              <w:bottom w:val="single" w:color="auto" w:sz="6" w:space="0"/>
              <w:right w:val="single" w:color="auto" w:sz="2" w:space="0"/>
            </w:tcBorders>
            <w:vAlign w:val="center"/>
          </w:tcPr>
          <w:p w14:paraId="45B6E7EA">
            <w:p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rPr>
              <w:t>解决争议的方法</w:t>
            </w:r>
          </w:p>
        </w:tc>
        <w:tc>
          <w:tcPr>
            <w:tcW w:w="5171" w:type="dxa"/>
            <w:tcBorders>
              <w:top w:val="single" w:color="auto" w:sz="2" w:space="0"/>
              <w:left w:val="single" w:color="auto" w:sz="2" w:space="0"/>
              <w:bottom w:val="single" w:color="auto" w:sz="6" w:space="0"/>
              <w:right w:val="double" w:color="auto" w:sz="4" w:space="0"/>
            </w:tcBorders>
            <w:vAlign w:val="center"/>
          </w:tcPr>
          <w:p w14:paraId="1909E777">
            <w:pPr>
              <w:snapToGrid w:val="0"/>
              <w:spacing w:line="360" w:lineRule="auto"/>
              <w:jc w:val="left"/>
              <w:rPr>
                <w:rFonts w:ascii="宋体" w:hAnsi="宋体"/>
                <w:color w:val="auto"/>
                <w:sz w:val="21"/>
                <w:szCs w:val="21"/>
                <w:highlight w:val="none"/>
                <w:u w:val="single"/>
              </w:rPr>
            </w:pPr>
            <w:r>
              <w:rPr>
                <w:rFonts w:ascii="宋体" w:hAnsi="宋体"/>
                <w:color w:val="auto"/>
                <w:sz w:val="21"/>
                <w:szCs w:val="21"/>
                <w:highlight w:val="none"/>
                <w:u w:val="none"/>
              </w:rPr>
              <w:t>双方友好协商解决；协商不成的，依法向</w:t>
            </w:r>
            <w:r>
              <w:rPr>
                <w:rFonts w:hint="eastAsia" w:ascii="宋体" w:hAnsi="宋体"/>
                <w:color w:val="auto"/>
                <w:sz w:val="21"/>
                <w:szCs w:val="21"/>
                <w:highlight w:val="none"/>
                <w:u w:val="none"/>
                <w:lang w:val="en-US" w:eastAsia="zh-CN"/>
              </w:rPr>
              <w:t>甲方</w:t>
            </w:r>
            <w:r>
              <w:rPr>
                <w:rFonts w:ascii="宋体" w:hAnsi="宋体"/>
                <w:color w:val="auto"/>
                <w:sz w:val="21"/>
                <w:szCs w:val="21"/>
                <w:highlight w:val="none"/>
                <w:u w:val="none"/>
              </w:rPr>
              <w:t>所在地人民法院提起诉讼。</w:t>
            </w:r>
          </w:p>
        </w:tc>
      </w:tr>
      <w:tr w14:paraId="425770E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tcBorders>
              <w:top w:val="single" w:color="auto" w:sz="6" w:space="0"/>
              <w:left w:val="double" w:color="auto" w:sz="4" w:space="0"/>
              <w:bottom w:val="double" w:color="auto" w:sz="4" w:space="0"/>
              <w:right w:val="single" w:color="auto" w:sz="6" w:space="0"/>
            </w:tcBorders>
            <w:vAlign w:val="center"/>
          </w:tcPr>
          <w:p w14:paraId="10D1B380">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第二节</w:t>
            </w:r>
          </w:p>
          <w:p w14:paraId="5D15B5DF">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第23.1款</w:t>
            </w:r>
          </w:p>
        </w:tc>
        <w:tc>
          <w:tcPr>
            <w:tcW w:w="1742" w:type="dxa"/>
            <w:tcBorders>
              <w:top w:val="single" w:color="auto" w:sz="6" w:space="0"/>
              <w:left w:val="single" w:color="auto" w:sz="6" w:space="0"/>
              <w:bottom w:val="double" w:color="auto" w:sz="4" w:space="0"/>
              <w:right w:val="single" w:color="auto" w:sz="6" w:space="0"/>
            </w:tcBorders>
            <w:vAlign w:val="center"/>
          </w:tcPr>
          <w:p w14:paraId="149DCEB7">
            <w:pPr>
              <w:snapToGrid w:val="0"/>
              <w:spacing w:line="360" w:lineRule="auto"/>
              <w:jc w:val="left"/>
              <w:rPr>
                <w:rFonts w:ascii="宋体" w:hAnsi="宋体"/>
                <w:color w:val="auto"/>
                <w:sz w:val="21"/>
                <w:szCs w:val="21"/>
                <w:highlight w:val="none"/>
              </w:rPr>
            </w:pPr>
            <w:r>
              <w:rPr>
                <w:rFonts w:hint="eastAsia" w:ascii="宋体" w:hAnsi="宋体"/>
                <w:bCs/>
                <w:color w:val="auto"/>
                <w:sz w:val="21"/>
                <w:szCs w:val="21"/>
                <w:highlight w:val="none"/>
              </w:rPr>
              <w:t>其他专用条款</w:t>
            </w:r>
          </w:p>
        </w:tc>
        <w:tc>
          <w:tcPr>
            <w:tcW w:w="5171" w:type="dxa"/>
            <w:tcBorders>
              <w:top w:val="single" w:color="auto" w:sz="6" w:space="0"/>
              <w:left w:val="single" w:color="auto" w:sz="6" w:space="0"/>
              <w:bottom w:val="double" w:color="auto" w:sz="4" w:space="0"/>
              <w:right w:val="double" w:color="auto" w:sz="4" w:space="0"/>
            </w:tcBorders>
            <w:vAlign w:val="center"/>
          </w:tcPr>
          <w:p w14:paraId="0991C907">
            <w:pPr>
              <w:numPr>
                <w:ilvl w:val="0"/>
                <w:numId w:val="10"/>
              </w:numPr>
              <w:snapToGrid w:val="0"/>
              <w:spacing w:line="360" w:lineRule="auto"/>
              <w:jc w:val="left"/>
              <w:rPr>
                <w:rFonts w:hint="eastAsia" w:ascii="宋体" w:hAnsi="宋体"/>
                <w:color w:val="auto"/>
                <w:sz w:val="21"/>
                <w:szCs w:val="21"/>
                <w:highlight w:val="none"/>
                <w:lang w:eastAsia="zh-CN"/>
              </w:rPr>
            </w:pPr>
            <w:r>
              <w:rPr>
                <w:rFonts w:hint="eastAsia" w:ascii="宋体" w:hAnsi="宋体"/>
                <w:color w:val="auto"/>
                <w:sz w:val="21"/>
                <w:szCs w:val="21"/>
                <w:highlight w:val="none"/>
              </w:rPr>
              <w:t>赛事节点履约硬性约定</w:t>
            </w:r>
            <w:r>
              <w:rPr>
                <w:rFonts w:hint="eastAsia" w:ascii="宋体" w:hAnsi="宋体"/>
                <w:color w:val="auto"/>
                <w:sz w:val="21"/>
                <w:szCs w:val="21"/>
                <w:highlight w:val="none"/>
                <w:lang w:eastAsia="zh-CN"/>
              </w:rPr>
              <w:t>：</w:t>
            </w:r>
          </w:p>
          <w:p w14:paraId="19CBE0EF">
            <w:pPr>
              <w:numPr>
                <w:ilvl w:val="0"/>
                <w:numId w:val="11"/>
              </w:numPr>
              <w:snapToGrid w:val="0"/>
              <w:spacing w:line="360" w:lineRule="auto"/>
              <w:jc w:val="left"/>
              <w:rPr>
                <w:rFonts w:hint="eastAsia" w:ascii="宋体" w:hAnsi="宋体"/>
                <w:color w:val="auto"/>
                <w:sz w:val="21"/>
                <w:szCs w:val="21"/>
                <w:highlight w:val="none"/>
              </w:rPr>
            </w:pPr>
            <w:r>
              <w:rPr>
                <w:rFonts w:hint="eastAsia" w:ascii="宋体" w:hAnsi="宋体"/>
                <w:color w:val="auto"/>
                <w:sz w:val="21"/>
                <w:szCs w:val="21"/>
                <w:highlight w:val="none"/>
              </w:rPr>
              <w:t>拳击项目：2026年9月10日报到前完成全部交付调试；</w:t>
            </w:r>
          </w:p>
          <w:p w14:paraId="09F6B4D1">
            <w:pPr>
              <w:numPr>
                <w:ilvl w:val="0"/>
                <w:numId w:val="11"/>
              </w:num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rPr>
              <w:t>摔跤项目：2026年9月11日报到前完成全部交付调试；</w:t>
            </w:r>
          </w:p>
          <w:p w14:paraId="4AA19FDE">
            <w:pPr>
              <w:numPr>
                <w:ilvl w:val="0"/>
                <w:numId w:val="11"/>
              </w:num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rPr>
              <w:t>跆拳道项目：2026年9月18日报到前完成全部交付调试；</w:t>
            </w:r>
          </w:p>
          <w:p w14:paraId="5404A943">
            <w:pPr>
              <w:numPr>
                <w:ilvl w:val="0"/>
                <w:numId w:val="11"/>
              </w:num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rPr>
              <w:t>柔道项目：2026年9月19日报到前完成全部交付调试；所有设备交付后必须完成试运行，达到赛事竞赛标准方可投入使用。</w:t>
            </w:r>
          </w:p>
          <w:p w14:paraId="0DC5B90E">
            <w:pPr>
              <w:numPr>
                <w:ilvl w:val="0"/>
                <w:numId w:val="10"/>
              </w:numPr>
              <w:snapToGrid w:val="0"/>
              <w:spacing w:line="360" w:lineRule="auto"/>
              <w:ind w:left="0" w:leftChars="0" w:firstLine="0" w:firstLineChars="0"/>
              <w:jc w:val="left"/>
              <w:rPr>
                <w:rFonts w:hint="eastAsia" w:ascii="宋体" w:hAnsi="宋体"/>
                <w:color w:val="auto"/>
                <w:sz w:val="21"/>
                <w:szCs w:val="21"/>
                <w:highlight w:val="none"/>
                <w:lang w:eastAsia="zh-CN"/>
              </w:rPr>
            </w:pPr>
            <w:r>
              <w:rPr>
                <w:rFonts w:hint="eastAsia" w:ascii="宋体" w:hAnsi="宋体"/>
                <w:color w:val="auto"/>
                <w:sz w:val="21"/>
                <w:szCs w:val="21"/>
                <w:highlight w:val="none"/>
              </w:rPr>
              <w:t>样品与检测硬性约定</w:t>
            </w:r>
            <w:r>
              <w:rPr>
                <w:rFonts w:hint="eastAsia" w:ascii="宋体" w:hAnsi="宋体"/>
                <w:color w:val="auto"/>
                <w:sz w:val="21"/>
                <w:szCs w:val="21"/>
                <w:highlight w:val="none"/>
                <w:lang w:eastAsia="zh-CN"/>
              </w:rPr>
              <w:t>：</w:t>
            </w:r>
          </w:p>
          <w:p w14:paraId="5766606D">
            <w:pPr>
              <w:numPr>
                <w:ilvl w:val="0"/>
                <w:numId w:val="12"/>
              </w:numPr>
              <w:snapToGrid w:val="0"/>
              <w:spacing w:line="360" w:lineRule="auto"/>
              <w:ind w:leftChars="0"/>
              <w:jc w:val="left"/>
              <w:rPr>
                <w:rFonts w:hint="eastAsia" w:ascii="宋体" w:hAnsi="宋体"/>
                <w:color w:val="auto"/>
                <w:sz w:val="21"/>
                <w:szCs w:val="21"/>
                <w:highlight w:val="none"/>
              </w:rPr>
            </w:pPr>
            <w:r>
              <w:rPr>
                <w:rFonts w:hint="eastAsia" w:ascii="宋体" w:hAnsi="宋体"/>
                <w:color w:val="auto"/>
                <w:sz w:val="21"/>
                <w:szCs w:val="21"/>
                <w:highlight w:val="none"/>
              </w:rPr>
              <w:t>投标样品为成品验收唯一参照标准，成品必须完整复刻样品全部层级结构、材质配比、工艺参数；</w:t>
            </w:r>
          </w:p>
          <w:p w14:paraId="76EAEE42">
            <w:pPr>
              <w:numPr>
                <w:ilvl w:val="0"/>
                <w:numId w:val="12"/>
              </w:numPr>
              <w:snapToGrid w:val="0"/>
              <w:spacing w:line="360" w:lineRule="auto"/>
              <w:ind w:left="0" w:leftChars="0" w:firstLine="0" w:firstLineChars="0"/>
              <w:jc w:val="left"/>
              <w:rPr>
                <w:rFonts w:hint="eastAsia" w:ascii="宋体" w:hAnsi="宋体"/>
                <w:color w:val="auto"/>
                <w:sz w:val="21"/>
                <w:szCs w:val="21"/>
                <w:highlight w:val="none"/>
              </w:rPr>
            </w:pPr>
            <w:r>
              <w:rPr>
                <w:rFonts w:hint="eastAsia" w:ascii="宋体" w:hAnsi="宋体"/>
                <w:color w:val="auto"/>
                <w:sz w:val="21"/>
                <w:szCs w:val="21"/>
                <w:highlight w:val="none"/>
              </w:rPr>
              <w:t>交货必须提供完整第三方检测报告原件，覆盖全部技术参数、物理性能、冲击指标、环保标准，依据GB/T 30419、GB/T 36793国标检测且全部合格；</w:t>
            </w:r>
          </w:p>
          <w:p w14:paraId="366BE380">
            <w:pPr>
              <w:numPr>
                <w:ilvl w:val="0"/>
                <w:numId w:val="12"/>
              </w:numPr>
              <w:snapToGrid w:val="0"/>
              <w:spacing w:line="360" w:lineRule="auto"/>
              <w:ind w:left="0" w:leftChars="0" w:firstLine="0" w:firstLineChars="0"/>
              <w:jc w:val="left"/>
              <w:rPr>
                <w:rFonts w:hint="eastAsia" w:ascii="宋体" w:hAnsi="宋体"/>
                <w:color w:val="auto"/>
                <w:sz w:val="21"/>
                <w:szCs w:val="21"/>
                <w:highlight w:val="none"/>
              </w:rPr>
            </w:pPr>
            <w:r>
              <w:rPr>
                <w:rFonts w:hint="eastAsia" w:ascii="宋体" w:hAnsi="宋体"/>
                <w:color w:val="auto"/>
                <w:sz w:val="21"/>
                <w:szCs w:val="21"/>
                <w:highlight w:val="none"/>
              </w:rPr>
              <w:t>甲方有权随机抽检、复检，检测不合格无条件退换货并追责。</w:t>
            </w:r>
          </w:p>
          <w:p w14:paraId="113000A2">
            <w:pPr>
              <w:numPr>
                <w:ilvl w:val="0"/>
                <w:numId w:val="10"/>
              </w:numPr>
              <w:snapToGrid w:val="0"/>
              <w:spacing w:line="360" w:lineRule="auto"/>
              <w:ind w:left="0" w:leftChars="0" w:firstLine="0" w:firstLineChars="0"/>
              <w:jc w:val="left"/>
              <w:rPr>
                <w:rFonts w:hint="eastAsia" w:ascii="宋体" w:hAnsi="宋体"/>
                <w:color w:val="auto"/>
                <w:sz w:val="21"/>
                <w:szCs w:val="21"/>
                <w:highlight w:val="none"/>
              </w:rPr>
            </w:pPr>
            <w:r>
              <w:rPr>
                <w:rFonts w:hint="eastAsia" w:ascii="宋体" w:hAnsi="宋体"/>
                <w:color w:val="auto"/>
                <w:sz w:val="21"/>
                <w:szCs w:val="21"/>
                <w:highlight w:val="none"/>
              </w:rPr>
              <w:t>本国产品与政策落实约定本项目全部货物均为境内生产本国产品，不接受进口产品，严格落实中小企业扶持、绿色环保、节能采购、创新产品优先采购等政府采购政策，政策落实情况纳入履约验收。</w:t>
            </w:r>
          </w:p>
          <w:p w14:paraId="4AAF64DF">
            <w:pPr>
              <w:numPr>
                <w:ilvl w:val="0"/>
                <w:numId w:val="10"/>
              </w:numPr>
              <w:snapToGrid w:val="0"/>
              <w:spacing w:line="360" w:lineRule="auto"/>
              <w:ind w:left="0" w:leftChars="0" w:firstLine="0" w:firstLineChars="0"/>
              <w:jc w:val="left"/>
              <w:rPr>
                <w:rFonts w:hint="eastAsia" w:ascii="宋体" w:hAnsi="宋体"/>
                <w:color w:val="auto"/>
                <w:sz w:val="21"/>
                <w:szCs w:val="21"/>
                <w:highlight w:val="none"/>
              </w:rPr>
            </w:pPr>
            <w:r>
              <w:rPr>
                <w:rFonts w:hint="eastAsia" w:ascii="宋体" w:hAnsi="宋体"/>
                <w:color w:val="auto"/>
                <w:sz w:val="21"/>
                <w:szCs w:val="21"/>
                <w:highlight w:val="none"/>
              </w:rPr>
              <w:t>禁止偏离约定本项目采购需求全部技术、商务、样品、质保、赛事保障条款均为实质性条款，乙方无任何负偏离，全部响应履约，任何偏离均视为无效履约、构成根本性违约。</w:t>
            </w:r>
          </w:p>
          <w:p w14:paraId="660BF43B">
            <w:pPr>
              <w:numPr>
                <w:ilvl w:val="0"/>
                <w:numId w:val="0"/>
              </w:numPr>
              <w:snapToGrid w:val="0"/>
              <w:spacing w:line="360" w:lineRule="auto"/>
              <w:ind w:leftChars="0"/>
              <w:jc w:val="left"/>
              <w:rPr>
                <w:rFonts w:ascii="宋体" w:hAnsi="宋体"/>
                <w:color w:val="auto"/>
                <w:sz w:val="21"/>
                <w:szCs w:val="21"/>
                <w:highlight w:val="none"/>
              </w:rPr>
            </w:pPr>
            <w:r>
              <w:rPr>
                <w:rFonts w:hint="eastAsia" w:ascii="宋体" w:hAnsi="宋体"/>
                <w:color w:val="auto"/>
                <w:sz w:val="21"/>
                <w:szCs w:val="21"/>
                <w:highlight w:val="none"/>
              </w:rPr>
              <w:t>五、资料归档约定乙方须全程配合甲方完成政府采购履约归档，按时提交样品资料、检测报告、验收台账、培训记录、维保台账、质保承诺书等全套资料，资料不全不予验收、不予付款。</w:t>
            </w:r>
          </w:p>
        </w:tc>
      </w:tr>
    </w:tbl>
    <w:p w14:paraId="0B234B2C">
      <w:pPr>
        <w:adjustRightInd/>
        <w:rPr>
          <w:color w:val="auto"/>
          <w:highlight w:val="none"/>
        </w:rPr>
      </w:pPr>
    </w:p>
    <w:p w14:paraId="1E4A5885">
      <w:pPr>
        <w:adjustRightInd/>
        <w:rPr>
          <w:color w:val="auto"/>
          <w:highlight w:val="none"/>
        </w:rPr>
      </w:pPr>
    </w:p>
    <w:p w14:paraId="561736B8">
      <w:pPr>
        <w:pStyle w:val="631"/>
        <w:rPr>
          <w:color w:val="auto"/>
          <w:highlight w:val="none"/>
        </w:rPr>
      </w:pPr>
    </w:p>
    <w:p w14:paraId="5B810E12">
      <w:pPr>
        <w:spacing w:line="360" w:lineRule="auto"/>
        <w:ind w:firstLine="562" w:firstLineChars="200"/>
        <w:jc w:val="center"/>
        <w:rPr>
          <w:rFonts w:asciiTheme="minorEastAsia" w:hAnsiTheme="minorEastAsia" w:eastAsiaTheme="minorEastAsia"/>
          <w:b/>
          <w:color w:val="auto"/>
          <w:sz w:val="28"/>
          <w:szCs w:val="28"/>
          <w:highlight w:val="none"/>
        </w:rPr>
      </w:pPr>
      <w:r>
        <w:rPr>
          <w:rFonts w:asciiTheme="minorEastAsia" w:hAnsiTheme="minorEastAsia" w:eastAsiaTheme="minorEastAsia"/>
          <w:b/>
          <w:color w:val="auto"/>
          <w:sz w:val="28"/>
          <w:szCs w:val="28"/>
          <w:highlight w:val="none"/>
        </w:rPr>
        <w:br w:type="page"/>
      </w:r>
    </w:p>
    <w:p w14:paraId="6A761C30">
      <w:pPr>
        <w:spacing w:line="360" w:lineRule="auto"/>
        <w:ind w:firstLine="562" w:firstLineChars="200"/>
        <w:jc w:val="center"/>
        <w:rPr>
          <w:rFonts w:asciiTheme="minorEastAsia" w:hAnsiTheme="minorEastAsia" w:eastAsiaTheme="minorEastAsia"/>
          <w:b/>
          <w:color w:val="auto"/>
          <w:sz w:val="28"/>
          <w:szCs w:val="28"/>
          <w:highlight w:val="none"/>
        </w:rPr>
      </w:pPr>
    </w:p>
    <w:p w14:paraId="0E43ED6F">
      <w:pPr>
        <w:snapToGrid w:val="0"/>
        <w:spacing w:line="360" w:lineRule="auto"/>
        <w:jc w:val="center"/>
        <w:outlineLvl w:val="0"/>
        <w:rPr>
          <w:rFonts w:cs="仿宋_GB2312" w:asciiTheme="minorEastAsia" w:hAnsiTheme="minorEastAsia" w:eastAsiaTheme="minorEastAsia"/>
          <w:b/>
          <w:color w:val="auto"/>
          <w:sz w:val="36"/>
          <w:szCs w:val="20"/>
          <w:highlight w:val="none"/>
        </w:rPr>
      </w:pPr>
      <w:bookmarkStart w:id="80" w:name="_Toc26858"/>
      <w:r>
        <w:rPr>
          <w:rFonts w:hint="eastAsia" w:cs="仿宋_GB2312" w:asciiTheme="minorEastAsia" w:hAnsiTheme="minorEastAsia" w:eastAsiaTheme="minorEastAsia"/>
          <w:b/>
          <w:color w:val="auto"/>
          <w:sz w:val="36"/>
          <w:szCs w:val="20"/>
          <w:highlight w:val="none"/>
        </w:rPr>
        <w:t>第七部分</w:t>
      </w:r>
      <w:bookmarkEnd w:id="74"/>
      <w:r>
        <w:rPr>
          <w:rFonts w:hint="eastAsia" w:cs="仿宋_GB2312" w:asciiTheme="minorEastAsia" w:hAnsiTheme="minorEastAsia" w:eastAsiaTheme="minorEastAsia"/>
          <w:b/>
          <w:color w:val="auto"/>
          <w:sz w:val="36"/>
          <w:szCs w:val="20"/>
          <w:highlight w:val="none"/>
        </w:rPr>
        <w:t xml:space="preserve">  </w:t>
      </w:r>
      <w:bookmarkEnd w:id="75"/>
      <w:r>
        <w:rPr>
          <w:rFonts w:hint="eastAsia" w:cs="仿宋_GB2312" w:asciiTheme="minorEastAsia" w:hAnsiTheme="minorEastAsia" w:eastAsiaTheme="minorEastAsia"/>
          <w:b/>
          <w:color w:val="auto"/>
          <w:sz w:val="36"/>
          <w:szCs w:val="20"/>
          <w:highlight w:val="none"/>
        </w:rPr>
        <w:t>应提交的有关格式范例</w:t>
      </w:r>
      <w:bookmarkEnd w:id="80"/>
    </w:p>
    <w:p w14:paraId="430FF4ED">
      <w:pPr>
        <w:spacing w:line="360" w:lineRule="auto"/>
        <w:ind w:firstLine="420" w:firstLineChars="200"/>
        <w:rPr>
          <w:rFonts w:hint="eastAsia" w:cs="仿宋_GB2312" w:asciiTheme="minorEastAsia" w:hAnsiTheme="minorEastAsia" w:eastAsiaTheme="minorEastAsia"/>
          <w:color w:val="auto"/>
          <w:sz w:val="21"/>
          <w:szCs w:val="21"/>
          <w:highlight w:val="none"/>
        </w:rPr>
      </w:pPr>
      <w:r>
        <w:rPr>
          <w:rFonts w:hint="eastAsia" w:cs="仿宋_GB2312" w:asciiTheme="minorEastAsia" w:hAnsiTheme="minorEastAsia" w:eastAsiaTheme="minorEastAsia"/>
          <w:color w:val="auto"/>
          <w:sz w:val="21"/>
          <w:szCs w:val="21"/>
          <w:highlight w:val="none"/>
        </w:rPr>
        <w:t>供应商按照以下格式编制响应文件。</w:t>
      </w:r>
    </w:p>
    <w:p w14:paraId="5F3668FF">
      <w:pPr>
        <w:spacing w:line="360" w:lineRule="auto"/>
        <w:rPr>
          <w:rFonts w:hint="eastAsia" w:cs="仿宋_GB2312" w:asciiTheme="minorEastAsia" w:hAnsiTheme="minorEastAsia" w:eastAsiaTheme="minorEastAsia"/>
          <w:color w:val="auto"/>
          <w:sz w:val="21"/>
          <w:szCs w:val="21"/>
          <w:highlight w:val="none"/>
        </w:rPr>
      </w:pPr>
    </w:p>
    <w:p w14:paraId="7DF58BB0">
      <w:pPr>
        <w:spacing w:line="360" w:lineRule="auto"/>
        <w:ind w:firstLine="480" w:firstLineChars="200"/>
        <w:rPr>
          <w:rFonts w:cs="仿宋_GB2312" w:asciiTheme="minorEastAsia" w:hAnsiTheme="minorEastAsia" w:eastAsiaTheme="minorEastAsia"/>
          <w:color w:val="auto"/>
          <w:sz w:val="24"/>
          <w:highlight w:val="none"/>
        </w:rPr>
      </w:pPr>
    </w:p>
    <w:p w14:paraId="7719AE6B">
      <w:pPr>
        <w:rPr>
          <w:rFonts w:hint="eastAsia" w:cs="仿宋_GB2312" w:asciiTheme="minorEastAsia" w:hAnsiTheme="minorEastAsia" w:eastAsiaTheme="minorEastAsia"/>
          <w:b/>
          <w:color w:val="auto"/>
          <w:kern w:val="0"/>
          <w:sz w:val="32"/>
          <w:szCs w:val="32"/>
          <w:highlight w:val="none"/>
        </w:rPr>
      </w:pPr>
      <w:r>
        <w:rPr>
          <w:rFonts w:hint="eastAsia" w:cs="仿宋_GB2312" w:asciiTheme="minorEastAsia" w:hAnsiTheme="minorEastAsia" w:eastAsiaTheme="minorEastAsia"/>
          <w:b/>
          <w:color w:val="auto"/>
          <w:kern w:val="0"/>
          <w:sz w:val="32"/>
          <w:szCs w:val="32"/>
          <w:highlight w:val="none"/>
        </w:rPr>
        <w:br w:type="page"/>
      </w:r>
    </w:p>
    <w:p w14:paraId="7EDA7695">
      <w:pPr>
        <w:pStyle w:val="31"/>
        <w:numPr>
          <w:ilvl w:val="0"/>
          <w:numId w:val="13"/>
        </w:numPr>
        <w:spacing w:line="360" w:lineRule="auto"/>
        <w:rPr>
          <w:rFonts w:hint="eastAsia" w:cs="宋体" w:asciiTheme="minorEastAsia" w:hAnsiTheme="minorEastAsia" w:eastAsiaTheme="minorEastAsia"/>
          <w:b/>
          <w:bCs/>
          <w:color w:val="auto"/>
          <w:sz w:val="24"/>
          <w:highlight w:val="none"/>
        </w:rPr>
      </w:pPr>
      <w:r>
        <w:rPr>
          <w:rFonts w:hint="eastAsia" w:cs="宋体" w:asciiTheme="minorEastAsia" w:hAnsiTheme="minorEastAsia" w:eastAsiaTheme="minorEastAsia"/>
          <w:b/>
          <w:bCs/>
          <w:color w:val="auto"/>
          <w:sz w:val="24"/>
          <w:highlight w:val="none"/>
          <w:lang w:val="en-US" w:eastAsia="zh-CN"/>
        </w:rPr>
        <w:t>资格文件格式</w:t>
      </w:r>
    </w:p>
    <w:p w14:paraId="79C3DC5C">
      <w:pPr>
        <w:pStyle w:val="31"/>
        <w:numPr>
          <w:ilvl w:val="0"/>
          <w:numId w:val="0"/>
        </w:numPr>
        <w:spacing w:line="360" w:lineRule="auto"/>
        <w:rPr>
          <w:rFonts w:hint="eastAsia" w:cs="宋体" w:asciiTheme="minorEastAsia" w:hAnsiTheme="minorEastAsia" w:eastAsiaTheme="minorEastAsia"/>
          <w:b/>
          <w:bCs/>
          <w:color w:val="auto"/>
          <w:sz w:val="24"/>
          <w:highlight w:val="none"/>
        </w:rPr>
      </w:pPr>
    </w:p>
    <w:p w14:paraId="35478D4C">
      <w:pPr>
        <w:pStyle w:val="31"/>
        <w:numPr>
          <w:ilvl w:val="0"/>
          <w:numId w:val="0"/>
        </w:numPr>
        <w:spacing w:line="360" w:lineRule="auto"/>
        <w:rPr>
          <w:rFonts w:hint="eastAsia" w:cs="宋体" w:asciiTheme="minorEastAsia" w:hAnsiTheme="minorEastAsia" w:eastAsiaTheme="minorEastAsia"/>
          <w:b/>
          <w:bCs/>
          <w:color w:val="auto"/>
          <w:sz w:val="24"/>
          <w:highlight w:val="none"/>
        </w:rPr>
      </w:pPr>
      <w:r>
        <w:rPr>
          <w:rFonts w:hint="eastAsia" w:cs="宋体" w:asciiTheme="minorEastAsia" w:hAnsiTheme="minorEastAsia" w:eastAsiaTheme="minorEastAsia"/>
          <w:b/>
          <w:bCs/>
          <w:color w:val="auto"/>
          <w:sz w:val="24"/>
          <w:highlight w:val="none"/>
          <w:lang w:val="en-US" w:eastAsia="zh-CN"/>
        </w:rPr>
        <w:t>1、</w:t>
      </w:r>
      <w:r>
        <w:rPr>
          <w:rFonts w:hint="eastAsia" w:cs="宋体" w:asciiTheme="minorEastAsia" w:hAnsiTheme="minorEastAsia" w:eastAsiaTheme="minorEastAsia"/>
          <w:b/>
          <w:bCs/>
          <w:color w:val="auto"/>
          <w:sz w:val="24"/>
          <w:highlight w:val="none"/>
        </w:rPr>
        <w:t>北海市政府采购供应商信用承诺函</w:t>
      </w:r>
    </w:p>
    <w:p w14:paraId="0C180762">
      <w:pPr>
        <w:pStyle w:val="31"/>
        <w:numPr>
          <w:ilvl w:val="0"/>
          <w:numId w:val="0"/>
        </w:numPr>
        <w:spacing w:line="360" w:lineRule="auto"/>
        <w:rPr>
          <w:rFonts w:hint="eastAsia" w:cs="宋体" w:asciiTheme="minorEastAsia" w:hAnsiTheme="minorEastAsia" w:eastAsiaTheme="minorEastAsia"/>
          <w:color w:val="auto"/>
          <w:sz w:val="24"/>
          <w:highlight w:val="none"/>
          <w:lang w:eastAsia="zh-CN"/>
        </w:rPr>
      </w:pPr>
    </w:p>
    <w:p w14:paraId="6EDB30F9">
      <w:pPr>
        <w:snapToGrid w:val="0"/>
        <w:spacing w:line="360" w:lineRule="auto"/>
        <w:ind w:right="480"/>
        <w:jc w:val="center"/>
        <w:rPr>
          <w:rFonts w:ascii="宋体" w:hAnsi="宋体" w:cs="宋体"/>
          <w:color w:val="auto"/>
          <w:sz w:val="24"/>
          <w:highlight w:val="none"/>
        </w:rPr>
      </w:pPr>
      <w:r>
        <w:rPr>
          <w:rFonts w:hint="eastAsia" w:ascii="宋体" w:hAnsi="宋体" w:cs="宋体"/>
          <w:color w:val="auto"/>
          <w:sz w:val="24"/>
          <w:highlight w:val="none"/>
        </w:rPr>
        <w:t>北海市政府采购供应商信用承诺函（格式）</w:t>
      </w:r>
    </w:p>
    <w:p w14:paraId="058E075F">
      <w:pPr>
        <w:snapToGrid w:val="0"/>
        <w:spacing w:line="360" w:lineRule="auto"/>
        <w:rPr>
          <w:rFonts w:ascii="宋体" w:hAnsi="宋体" w:cs="宋体"/>
          <w:color w:val="auto"/>
          <w:sz w:val="24"/>
          <w:highlight w:val="none"/>
        </w:rPr>
      </w:pPr>
    </w:p>
    <w:p w14:paraId="529949F0">
      <w:pPr>
        <w:snapToGrid w:val="0"/>
        <w:spacing w:line="360" w:lineRule="auto"/>
        <w:ind w:right="480"/>
        <w:rPr>
          <w:rFonts w:ascii="宋体" w:hAnsi="宋体" w:cs="宋体"/>
          <w:color w:val="auto"/>
          <w:sz w:val="21"/>
          <w:szCs w:val="21"/>
          <w:highlight w:val="none"/>
        </w:rPr>
      </w:pPr>
      <w:r>
        <w:rPr>
          <w:rFonts w:hint="eastAsia" w:ascii="宋体" w:hAnsi="宋体" w:cs="宋体"/>
          <w:color w:val="auto"/>
          <w:sz w:val="21"/>
          <w:szCs w:val="21"/>
          <w:highlight w:val="none"/>
        </w:rPr>
        <w:t>（采购人）、（采购代理机构） ：</w:t>
      </w:r>
    </w:p>
    <w:p w14:paraId="088275A1">
      <w:pPr>
        <w:snapToGrid w:val="0"/>
        <w:spacing w:line="360" w:lineRule="auto"/>
        <w:ind w:right="480"/>
        <w:rPr>
          <w:rFonts w:ascii="宋体" w:hAnsi="宋体" w:cs="宋体"/>
          <w:color w:val="auto"/>
          <w:sz w:val="21"/>
          <w:szCs w:val="21"/>
          <w:highlight w:val="none"/>
        </w:rPr>
      </w:pPr>
      <w:r>
        <w:rPr>
          <w:rFonts w:hint="eastAsia" w:ascii="宋体" w:hAnsi="宋体" w:cs="宋体"/>
          <w:color w:val="auto"/>
          <w:sz w:val="21"/>
          <w:szCs w:val="21"/>
          <w:highlight w:val="none"/>
        </w:rPr>
        <w:t>供应商名称：</w:t>
      </w:r>
    </w:p>
    <w:p w14:paraId="3F9C3CA0">
      <w:pPr>
        <w:snapToGrid w:val="0"/>
        <w:spacing w:line="360" w:lineRule="auto"/>
        <w:ind w:right="480"/>
        <w:rPr>
          <w:rFonts w:ascii="宋体" w:hAnsi="宋体" w:cs="宋体"/>
          <w:color w:val="auto"/>
          <w:sz w:val="21"/>
          <w:szCs w:val="21"/>
          <w:highlight w:val="none"/>
        </w:rPr>
      </w:pPr>
      <w:r>
        <w:rPr>
          <w:rFonts w:hint="eastAsia" w:ascii="宋体" w:hAnsi="宋体" w:cs="宋体"/>
          <w:color w:val="auto"/>
          <w:sz w:val="21"/>
          <w:szCs w:val="21"/>
          <w:highlight w:val="none"/>
        </w:rPr>
        <w:t>统一社会信用代码：</w:t>
      </w:r>
    </w:p>
    <w:p w14:paraId="021856EA">
      <w:pPr>
        <w:snapToGrid w:val="0"/>
        <w:spacing w:line="360" w:lineRule="auto"/>
        <w:ind w:right="480"/>
        <w:rPr>
          <w:rFonts w:ascii="宋体" w:hAnsi="宋体" w:cs="宋体"/>
          <w:color w:val="auto"/>
          <w:sz w:val="21"/>
          <w:szCs w:val="21"/>
          <w:highlight w:val="none"/>
        </w:rPr>
      </w:pPr>
      <w:r>
        <w:rPr>
          <w:rFonts w:hint="eastAsia" w:ascii="宋体" w:hAnsi="宋体" w:cs="宋体"/>
          <w:color w:val="auto"/>
          <w:sz w:val="21"/>
          <w:szCs w:val="21"/>
          <w:highlight w:val="none"/>
        </w:rPr>
        <w:t>供应商地址：</w:t>
      </w:r>
    </w:p>
    <w:p w14:paraId="2E2608F3">
      <w:pPr>
        <w:snapToGrid w:val="0"/>
        <w:spacing w:line="360" w:lineRule="auto"/>
        <w:ind w:right="482"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我单位自愿参加本次政府采购活动，严格遵守《中华人民共和国政府采购法》及相关法律法规，依法诚信经营，无条件遵守本次政府采购活动的各项规定。我单位郑重承诺，本单位符合《中华人民共和国政府采购法》第二十二条规定的条件：</w:t>
      </w:r>
    </w:p>
    <w:p w14:paraId="4EECC883">
      <w:pPr>
        <w:snapToGrid w:val="0"/>
        <w:spacing w:line="360" w:lineRule="auto"/>
        <w:ind w:right="482"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1.我单位具有符合采购文件资格要求独立承担民事责任的能力。</w:t>
      </w:r>
    </w:p>
    <w:p w14:paraId="4B9039B6">
      <w:pPr>
        <w:snapToGrid w:val="0"/>
        <w:spacing w:line="360" w:lineRule="auto"/>
        <w:ind w:right="482"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2.我单位具有符合采购文件资格要求的财务状况报告。</w:t>
      </w:r>
    </w:p>
    <w:p w14:paraId="789CF432">
      <w:pPr>
        <w:snapToGrid w:val="0"/>
        <w:spacing w:line="360" w:lineRule="auto"/>
        <w:ind w:right="482"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3.我单位具有符合采购文件资格要求的依法缴纳税收和社会保障记录的良好记录。</w:t>
      </w:r>
    </w:p>
    <w:p w14:paraId="5482B2C8">
      <w:pPr>
        <w:snapToGrid w:val="0"/>
        <w:spacing w:line="360" w:lineRule="auto"/>
        <w:ind w:right="482"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4.我单位具有符合采购文件资格要求履行合同所必需的设备和专业技术能力。</w:t>
      </w:r>
    </w:p>
    <w:p w14:paraId="6B00F679">
      <w:pPr>
        <w:snapToGrid w:val="0"/>
        <w:spacing w:line="360" w:lineRule="auto"/>
        <w:ind w:right="482"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5.参加政府采购活动前三年内，在经营活动中没有重大违法记录。</w:t>
      </w:r>
    </w:p>
    <w:p w14:paraId="35A4772B">
      <w:pPr>
        <w:snapToGrid w:val="0"/>
        <w:spacing w:line="360" w:lineRule="auto"/>
        <w:ind w:right="482"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若我单位承诺不实，自愿承担提供虚假材料谋取中标、成交的法律责任。</w:t>
      </w:r>
    </w:p>
    <w:p w14:paraId="58F3F010">
      <w:pPr>
        <w:snapToGrid w:val="0"/>
        <w:spacing w:line="360" w:lineRule="auto"/>
        <w:ind w:right="480"/>
        <w:rPr>
          <w:rFonts w:ascii="宋体" w:hAnsi="宋体" w:cs="宋体"/>
          <w:color w:val="auto"/>
          <w:sz w:val="21"/>
          <w:szCs w:val="21"/>
          <w:highlight w:val="none"/>
        </w:rPr>
      </w:pPr>
    </w:p>
    <w:p w14:paraId="2D14373D">
      <w:pPr>
        <w:spacing w:line="360" w:lineRule="auto"/>
        <w:ind w:firstLine="3150" w:firstLineChars="1500"/>
        <w:rPr>
          <w:rFonts w:ascii="宋体" w:hAnsi="宋体" w:cs="宋体"/>
          <w:color w:val="auto"/>
          <w:sz w:val="21"/>
          <w:szCs w:val="21"/>
          <w:highlight w:val="none"/>
        </w:rPr>
      </w:pPr>
      <w:r>
        <w:rPr>
          <w:rFonts w:hint="eastAsia" w:ascii="宋体" w:hAnsi="宋体" w:cs="宋体"/>
          <w:color w:val="auto"/>
          <w:sz w:val="21"/>
          <w:szCs w:val="21"/>
          <w:highlight w:val="none"/>
        </w:rPr>
        <w:t>谈判供应商名称（公章）：</w:t>
      </w:r>
    </w:p>
    <w:p w14:paraId="4580BAEE">
      <w:pPr>
        <w:spacing w:line="360" w:lineRule="auto"/>
        <w:ind w:firstLine="3150" w:firstLineChars="1500"/>
        <w:rPr>
          <w:rFonts w:ascii="宋体" w:hAnsi="宋体" w:cs="宋体"/>
          <w:color w:val="auto"/>
          <w:sz w:val="21"/>
          <w:szCs w:val="21"/>
          <w:highlight w:val="none"/>
        </w:rPr>
      </w:pPr>
      <w:r>
        <w:rPr>
          <w:rFonts w:hint="eastAsia" w:ascii="宋体" w:hAnsi="宋体" w:cs="宋体"/>
          <w:color w:val="auto"/>
          <w:sz w:val="21"/>
          <w:szCs w:val="21"/>
          <w:highlight w:val="none"/>
        </w:rPr>
        <w:t xml:space="preserve">法定代表人（负责人）或委托代理人(签名)：                          </w:t>
      </w:r>
    </w:p>
    <w:p w14:paraId="303B670B">
      <w:pPr>
        <w:spacing w:line="360" w:lineRule="auto"/>
        <w:jc w:val="center"/>
        <w:rPr>
          <w:rFonts w:ascii="宋体" w:hAnsi="宋体" w:cs="宋体"/>
          <w:color w:val="auto"/>
          <w:sz w:val="21"/>
          <w:szCs w:val="21"/>
          <w:highlight w:val="none"/>
        </w:rPr>
      </w:pPr>
      <w:r>
        <w:rPr>
          <w:rFonts w:hint="eastAsia" w:ascii="宋体" w:hAnsi="宋体" w:cs="宋体"/>
          <w:color w:val="auto"/>
          <w:sz w:val="21"/>
          <w:szCs w:val="21"/>
          <w:highlight w:val="none"/>
        </w:rPr>
        <w:t xml:space="preserve">     日期：  年   月   日</w:t>
      </w:r>
    </w:p>
    <w:p w14:paraId="46018E8E">
      <w:pPr>
        <w:pStyle w:val="31"/>
        <w:spacing w:line="360" w:lineRule="auto"/>
        <w:ind w:firstLine="480" w:firstLineChars="200"/>
        <w:rPr>
          <w:rFonts w:hint="eastAsia" w:cs="宋体" w:asciiTheme="minorEastAsia" w:hAnsiTheme="minorEastAsia" w:eastAsiaTheme="minorEastAsia"/>
          <w:color w:val="auto"/>
          <w:sz w:val="24"/>
          <w:highlight w:val="none"/>
        </w:rPr>
      </w:pPr>
    </w:p>
    <w:p w14:paraId="1A619919">
      <w:pPr>
        <w:pStyle w:val="31"/>
        <w:spacing w:line="360" w:lineRule="auto"/>
        <w:ind w:firstLine="480" w:firstLineChars="200"/>
        <w:rPr>
          <w:rFonts w:hint="eastAsia" w:cs="宋体" w:asciiTheme="minorEastAsia" w:hAnsiTheme="minorEastAsia" w:eastAsiaTheme="minorEastAsia"/>
          <w:color w:val="auto"/>
          <w:sz w:val="24"/>
          <w:highlight w:val="none"/>
          <w:lang w:val="en-US" w:eastAsia="zh-CN"/>
        </w:rPr>
      </w:pPr>
    </w:p>
    <w:p w14:paraId="058CB672">
      <w:pPr>
        <w:pStyle w:val="31"/>
        <w:spacing w:line="360" w:lineRule="auto"/>
        <w:ind w:firstLine="480" w:firstLineChars="200"/>
        <w:rPr>
          <w:rFonts w:hint="eastAsia" w:cs="宋体" w:asciiTheme="minorEastAsia" w:hAnsiTheme="minorEastAsia" w:eastAsiaTheme="minorEastAsia"/>
          <w:color w:val="auto"/>
          <w:sz w:val="24"/>
          <w:highlight w:val="none"/>
          <w:lang w:val="en-US" w:eastAsia="zh-CN"/>
        </w:rPr>
      </w:pPr>
    </w:p>
    <w:p w14:paraId="0A2CA116">
      <w:pPr>
        <w:rPr>
          <w:rFonts w:hint="eastAsia" w:cs="宋体" w:asciiTheme="minorEastAsia" w:hAnsiTheme="minorEastAsia" w:eastAsiaTheme="minorEastAsia"/>
          <w:color w:val="auto"/>
          <w:sz w:val="24"/>
          <w:highlight w:val="none"/>
          <w:lang w:val="en-US" w:eastAsia="zh-CN"/>
        </w:rPr>
      </w:pPr>
      <w:r>
        <w:rPr>
          <w:rFonts w:hint="eastAsia" w:cs="宋体" w:asciiTheme="minorEastAsia" w:hAnsiTheme="minorEastAsia" w:eastAsiaTheme="minorEastAsia"/>
          <w:color w:val="auto"/>
          <w:sz w:val="24"/>
          <w:highlight w:val="none"/>
          <w:lang w:val="en-US" w:eastAsia="zh-CN"/>
        </w:rPr>
        <w:br w:type="page"/>
      </w:r>
      <w:r>
        <w:rPr>
          <w:rFonts w:hint="eastAsia" w:cs="宋体" w:asciiTheme="minorEastAsia" w:hAnsiTheme="minorEastAsia" w:eastAsiaTheme="minorEastAsia"/>
          <w:color w:val="auto"/>
          <w:sz w:val="24"/>
          <w:highlight w:val="none"/>
          <w:lang w:val="en-US" w:eastAsia="zh-CN"/>
        </w:rPr>
        <w:t>2、</w:t>
      </w:r>
      <w:r>
        <w:rPr>
          <w:rFonts w:hint="eastAsia" w:cs="宋体" w:asciiTheme="minorEastAsia" w:hAnsiTheme="minorEastAsia" w:eastAsiaTheme="minorEastAsia"/>
          <w:b/>
          <w:bCs/>
          <w:color w:val="auto"/>
          <w:sz w:val="24"/>
          <w:highlight w:val="none"/>
          <w:lang w:val="en-US" w:eastAsia="zh-CN"/>
        </w:rPr>
        <w:t>供应商直接控股股东及出资信息表</w:t>
      </w:r>
    </w:p>
    <w:p w14:paraId="48B22731">
      <w:pPr>
        <w:snapToGrid w:val="0"/>
        <w:spacing w:before="120" w:beforeLines="50" w:after="50"/>
        <w:jc w:val="center"/>
        <w:rPr>
          <w:rFonts w:hint="eastAsia" w:ascii="宋体" w:hAnsi="宋体" w:eastAsia="宋体" w:cs="宋体"/>
          <w:b/>
          <w:color w:val="auto"/>
          <w:sz w:val="32"/>
          <w:szCs w:val="32"/>
          <w:highlight w:val="none"/>
        </w:rPr>
      </w:pPr>
    </w:p>
    <w:p w14:paraId="0544971B">
      <w:pPr>
        <w:snapToGrid w:val="0"/>
        <w:spacing w:before="120" w:beforeLines="50" w:after="50"/>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供应商直接控股、管理关系信息表</w:t>
      </w:r>
    </w:p>
    <w:p w14:paraId="0EE06B79">
      <w:pPr>
        <w:snapToGrid w:val="0"/>
        <w:spacing w:before="120" w:beforeLines="50" w:after="50"/>
        <w:jc w:val="center"/>
        <w:rPr>
          <w:rFonts w:hint="eastAsia" w:ascii="宋体" w:hAnsi="宋体" w:eastAsia="宋体" w:cs="宋体"/>
          <w:b/>
          <w:color w:val="auto"/>
          <w:sz w:val="28"/>
          <w:szCs w:val="28"/>
          <w:highlight w:val="none"/>
        </w:rPr>
      </w:pPr>
    </w:p>
    <w:tbl>
      <w:tblPr>
        <w:tblStyle w:val="60"/>
        <w:tblW w:w="9879" w:type="dxa"/>
        <w:jc w:val="center"/>
        <w:shd w:val="clear" w:color="auto" w:fill="auto"/>
        <w:tblLayout w:type="fixed"/>
        <w:tblCellMar>
          <w:top w:w="0" w:type="dxa"/>
          <w:left w:w="0" w:type="dxa"/>
          <w:bottom w:w="0" w:type="dxa"/>
          <w:right w:w="0" w:type="dxa"/>
        </w:tblCellMar>
      </w:tblPr>
      <w:tblGrid>
        <w:gridCol w:w="856"/>
        <w:gridCol w:w="2585"/>
        <w:gridCol w:w="1417"/>
        <w:gridCol w:w="4175"/>
        <w:gridCol w:w="846"/>
      </w:tblGrid>
      <w:tr w14:paraId="15A60DF2">
        <w:tblPrEx>
          <w:shd w:val="clear" w:color="auto" w:fill="auto"/>
          <w:tblCellMar>
            <w:top w:w="0" w:type="dxa"/>
            <w:left w:w="0" w:type="dxa"/>
            <w:bottom w:w="0" w:type="dxa"/>
            <w:right w:w="0" w:type="dxa"/>
          </w:tblCellMar>
        </w:tblPrEx>
        <w:trPr>
          <w:tblHeader/>
          <w:jc w:val="center"/>
        </w:trPr>
        <w:tc>
          <w:tcPr>
            <w:tcW w:w="856"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BA6D27F">
            <w:pPr>
              <w:widowControl/>
              <w:spacing w:line="360" w:lineRule="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序号</w:t>
            </w:r>
          </w:p>
        </w:tc>
        <w:tc>
          <w:tcPr>
            <w:tcW w:w="258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89C4090">
            <w:pPr>
              <w:widowControl/>
              <w:spacing w:line="360" w:lineRule="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直接控股股东名称</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FD4D128">
            <w:pPr>
              <w:widowControl/>
              <w:spacing w:line="360" w:lineRule="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出资比例</w:t>
            </w:r>
          </w:p>
        </w:tc>
        <w:tc>
          <w:tcPr>
            <w:tcW w:w="417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BD5D198">
            <w:pPr>
              <w:widowControl/>
              <w:spacing w:line="360" w:lineRule="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身份证号码或者统一社会信用代码</w:t>
            </w:r>
          </w:p>
        </w:tc>
        <w:tc>
          <w:tcPr>
            <w:tcW w:w="846"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7B20CF8">
            <w:pPr>
              <w:widowControl/>
              <w:spacing w:line="360" w:lineRule="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备注</w:t>
            </w:r>
          </w:p>
        </w:tc>
      </w:tr>
      <w:tr w14:paraId="7C30ADDC">
        <w:tblPrEx>
          <w:shd w:val="clear" w:color="auto" w:fill="auto"/>
          <w:tblCellMar>
            <w:top w:w="0" w:type="dxa"/>
            <w:left w:w="0" w:type="dxa"/>
            <w:bottom w:w="0" w:type="dxa"/>
            <w:right w:w="0" w:type="dxa"/>
          </w:tblCellMar>
        </w:tblPrEx>
        <w:trPr>
          <w:jc w:val="center"/>
        </w:trPr>
        <w:tc>
          <w:tcPr>
            <w:tcW w:w="856"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8709F7A">
            <w:pPr>
              <w:widowControl/>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p>
        </w:tc>
        <w:tc>
          <w:tcPr>
            <w:tcW w:w="258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4E5B533">
            <w:pPr>
              <w:widowControl/>
              <w:spacing w:line="360" w:lineRule="auto"/>
              <w:jc w:val="center"/>
              <w:rPr>
                <w:rFonts w:hint="eastAsia" w:ascii="宋体" w:hAnsi="宋体" w:eastAsia="宋体" w:cs="宋体"/>
                <w:color w:val="auto"/>
                <w:kern w:val="0"/>
                <w:sz w:val="21"/>
                <w:szCs w:val="21"/>
                <w:highlight w:val="none"/>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E9BC2FA">
            <w:pPr>
              <w:widowControl/>
              <w:spacing w:line="360" w:lineRule="auto"/>
              <w:jc w:val="center"/>
              <w:rPr>
                <w:rFonts w:hint="eastAsia" w:ascii="宋体" w:hAnsi="宋体" w:eastAsia="宋体" w:cs="宋体"/>
                <w:color w:val="auto"/>
                <w:kern w:val="0"/>
                <w:sz w:val="28"/>
                <w:szCs w:val="28"/>
                <w:highlight w:val="none"/>
              </w:rPr>
            </w:pPr>
          </w:p>
        </w:tc>
        <w:tc>
          <w:tcPr>
            <w:tcW w:w="417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D7439D6">
            <w:pPr>
              <w:widowControl/>
              <w:spacing w:line="360" w:lineRule="auto"/>
              <w:jc w:val="center"/>
              <w:rPr>
                <w:rFonts w:hint="eastAsia" w:ascii="宋体" w:hAnsi="宋体" w:eastAsia="宋体" w:cs="宋体"/>
                <w:color w:val="auto"/>
                <w:kern w:val="0"/>
                <w:sz w:val="28"/>
                <w:szCs w:val="28"/>
                <w:highlight w:val="none"/>
              </w:rPr>
            </w:pPr>
          </w:p>
        </w:tc>
        <w:tc>
          <w:tcPr>
            <w:tcW w:w="846"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48DB5D4">
            <w:pPr>
              <w:widowControl/>
              <w:spacing w:line="360" w:lineRule="auto"/>
              <w:jc w:val="center"/>
              <w:rPr>
                <w:rFonts w:hint="eastAsia" w:ascii="宋体" w:hAnsi="宋体" w:eastAsia="宋体" w:cs="宋体"/>
                <w:color w:val="auto"/>
                <w:kern w:val="0"/>
                <w:sz w:val="28"/>
                <w:szCs w:val="28"/>
                <w:highlight w:val="none"/>
              </w:rPr>
            </w:pPr>
          </w:p>
        </w:tc>
      </w:tr>
      <w:tr w14:paraId="60AE8412">
        <w:tblPrEx>
          <w:shd w:val="clear" w:color="auto" w:fill="auto"/>
          <w:tblCellMar>
            <w:top w:w="0" w:type="dxa"/>
            <w:left w:w="0" w:type="dxa"/>
            <w:bottom w:w="0" w:type="dxa"/>
            <w:right w:w="0" w:type="dxa"/>
          </w:tblCellMar>
        </w:tblPrEx>
        <w:trPr>
          <w:jc w:val="center"/>
        </w:trPr>
        <w:tc>
          <w:tcPr>
            <w:tcW w:w="856"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56974C1">
            <w:pPr>
              <w:widowControl/>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w:t>
            </w:r>
          </w:p>
        </w:tc>
        <w:tc>
          <w:tcPr>
            <w:tcW w:w="258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9D16D3A">
            <w:pPr>
              <w:widowControl/>
              <w:spacing w:line="360" w:lineRule="auto"/>
              <w:jc w:val="center"/>
              <w:rPr>
                <w:rFonts w:hint="eastAsia" w:ascii="宋体" w:hAnsi="宋体" w:eastAsia="宋体" w:cs="宋体"/>
                <w:color w:val="auto"/>
                <w:kern w:val="0"/>
                <w:sz w:val="21"/>
                <w:szCs w:val="21"/>
                <w:highlight w:val="none"/>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10856D2">
            <w:pPr>
              <w:widowControl/>
              <w:spacing w:line="360" w:lineRule="auto"/>
              <w:jc w:val="center"/>
              <w:rPr>
                <w:rFonts w:hint="eastAsia" w:ascii="宋体" w:hAnsi="宋体" w:eastAsia="宋体" w:cs="宋体"/>
                <w:color w:val="auto"/>
                <w:kern w:val="0"/>
                <w:sz w:val="28"/>
                <w:szCs w:val="28"/>
                <w:highlight w:val="none"/>
              </w:rPr>
            </w:pPr>
          </w:p>
        </w:tc>
        <w:tc>
          <w:tcPr>
            <w:tcW w:w="417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7DA9318">
            <w:pPr>
              <w:widowControl/>
              <w:spacing w:line="360" w:lineRule="auto"/>
              <w:jc w:val="center"/>
              <w:rPr>
                <w:rFonts w:hint="eastAsia" w:ascii="宋体" w:hAnsi="宋体" w:eastAsia="宋体" w:cs="宋体"/>
                <w:color w:val="auto"/>
                <w:kern w:val="0"/>
                <w:sz w:val="28"/>
                <w:szCs w:val="28"/>
                <w:highlight w:val="none"/>
              </w:rPr>
            </w:pPr>
          </w:p>
        </w:tc>
        <w:tc>
          <w:tcPr>
            <w:tcW w:w="846"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155FD46">
            <w:pPr>
              <w:widowControl/>
              <w:spacing w:line="360" w:lineRule="auto"/>
              <w:jc w:val="center"/>
              <w:rPr>
                <w:rFonts w:hint="eastAsia" w:ascii="宋体" w:hAnsi="宋体" w:eastAsia="宋体" w:cs="宋体"/>
                <w:color w:val="auto"/>
                <w:kern w:val="0"/>
                <w:sz w:val="28"/>
                <w:szCs w:val="28"/>
                <w:highlight w:val="none"/>
              </w:rPr>
            </w:pPr>
          </w:p>
        </w:tc>
      </w:tr>
      <w:tr w14:paraId="76B73562">
        <w:tblPrEx>
          <w:shd w:val="clear" w:color="auto" w:fill="auto"/>
          <w:tblCellMar>
            <w:top w:w="0" w:type="dxa"/>
            <w:left w:w="0" w:type="dxa"/>
            <w:bottom w:w="0" w:type="dxa"/>
            <w:right w:w="0" w:type="dxa"/>
          </w:tblCellMar>
        </w:tblPrEx>
        <w:trPr>
          <w:jc w:val="center"/>
        </w:trPr>
        <w:tc>
          <w:tcPr>
            <w:tcW w:w="856"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634CC00">
            <w:pPr>
              <w:widowControl/>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w:t>
            </w:r>
          </w:p>
        </w:tc>
        <w:tc>
          <w:tcPr>
            <w:tcW w:w="258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DFFEB89">
            <w:pPr>
              <w:widowControl/>
              <w:spacing w:line="360" w:lineRule="auto"/>
              <w:jc w:val="center"/>
              <w:rPr>
                <w:rFonts w:hint="eastAsia" w:ascii="宋体" w:hAnsi="宋体" w:eastAsia="宋体" w:cs="宋体"/>
                <w:color w:val="auto"/>
                <w:kern w:val="0"/>
                <w:sz w:val="21"/>
                <w:szCs w:val="21"/>
                <w:highlight w:val="none"/>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0A39D7B">
            <w:pPr>
              <w:widowControl/>
              <w:spacing w:line="360" w:lineRule="auto"/>
              <w:jc w:val="center"/>
              <w:rPr>
                <w:rFonts w:hint="eastAsia" w:ascii="宋体" w:hAnsi="宋体" w:eastAsia="宋体" w:cs="宋体"/>
                <w:color w:val="auto"/>
                <w:kern w:val="0"/>
                <w:sz w:val="28"/>
                <w:szCs w:val="28"/>
                <w:highlight w:val="none"/>
              </w:rPr>
            </w:pPr>
          </w:p>
        </w:tc>
        <w:tc>
          <w:tcPr>
            <w:tcW w:w="417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6ABE8AB">
            <w:pPr>
              <w:widowControl/>
              <w:spacing w:line="360" w:lineRule="auto"/>
              <w:jc w:val="center"/>
              <w:rPr>
                <w:rFonts w:hint="eastAsia" w:ascii="宋体" w:hAnsi="宋体" w:eastAsia="宋体" w:cs="宋体"/>
                <w:color w:val="auto"/>
                <w:kern w:val="0"/>
                <w:sz w:val="28"/>
                <w:szCs w:val="28"/>
                <w:highlight w:val="none"/>
              </w:rPr>
            </w:pPr>
          </w:p>
        </w:tc>
        <w:tc>
          <w:tcPr>
            <w:tcW w:w="846"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23308BF">
            <w:pPr>
              <w:widowControl/>
              <w:spacing w:line="360" w:lineRule="auto"/>
              <w:jc w:val="center"/>
              <w:rPr>
                <w:rFonts w:hint="eastAsia" w:ascii="宋体" w:hAnsi="宋体" w:eastAsia="宋体" w:cs="宋体"/>
                <w:color w:val="auto"/>
                <w:kern w:val="0"/>
                <w:sz w:val="28"/>
                <w:szCs w:val="28"/>
                <w:highlight w:val="none"/>
              </w:rPr>
            </w:pPr>
          </w:p>
        </w:tc>
      </w:tr>
      <w:tr w14:paraId="24263105">
        <w:tblPrEx>
          <w:shd w:val="clear" w:color="auto" w:fill="auto"/>
          <w:tblCellMar>
            <w:top w:w="0" w:type="dxa"/>
            <w:left w:w="0" w:type="dxa"/>
            <w:bottom w:w="0" w:type="dxa"/>
            <w:right w:w="0" w:type="dxa"/>
          </w:tblCellMar>
        </w:tblPrEx>
        <w:trPr>
          <w:jc w:val="center"/>
        </w:trPr>
        <w:tc>
          <w:tcPr>
            <w:tcW w:w="856"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9D08CBF">
            <w:pPr>
              <w:widowControl/>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w:t>
            </w:r>
          </w:p>
        </w:tc>
        <w:tc>
          <w:tcPr>
            <w:tcW w:w="258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9F87B21">
            <w:pPr>
              <w:widowControl/>
              <w:spacing w:line="360" w:lineRule="auto"/>
              <w:jc w:val="center"/>
              <w:rPr>
                <w:rFonts w:hint="eastAsia" w:ascii="宋体" w:hAnsi="宋体" w:eastAsia="宋体" w:cs="宋体"/>
                <w:color w:val="auto"/>
                <w:kern w:val="0"/>
                <w:sz w:val="21"/>
                <w:szCs w:val="21"/>
                <w:highlight w:val="none"/>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35F9253">
            <w:pPr>
              <w:widowControl/>
              <w:spacing w:line="360" w:lineRule="auto"/>
              <w:jc w:val="center"/>
              <w:rPr>
                <w:rFonts w:hint="eastAsia" w:ascii="宋体" w:hAnsi="宋体" w:eastAsia="宋体" w:cs="宋体"/>
                <w:color w:val="auto"/>
                <w:kern w:val="0"/>
                <w:sz w:val="28"/>
                <w:szCs w:val="28"/>
                <w:highlight w:val="none"/>
              </w:rPr>
            </w:pPr>
          </w:p>
        </w:tc>
        <w:tc>
          <w:tcPr>
            <w:tcW w:w="417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A3DE351">
            <w:pPr>
              <w:widowControl/>
              <w:spacing w:line="360" w:lineRule="auto"/>
              <w:jc w:val="center"/>
              <w:rPr>
                <w:rFonts w:hint="eastAsia" w:ascii="宋体" w:hAnsi="宋体" w:eastAsia="宋体" w:cs="宋体"/>
                <w:color w:val="auto"/>
                <w:kern w:val="0"/>
                <w:sz w:val="28"/>
                <w:szCs w:val="28"/>
                <w:highlight w:val="none"/>
              </w:rPr>
            </w:pPr>
          </w:p>
        </w:tc>
        <w:tc>
          <w:tcPr>
            <w:tcW w:w="846"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68A0CB1">
            <w:pPr>
              <w:widowControl/>
              <w:spacing w:line="360" w:lineRule="auto"/>
              <w:jc w:val="center"/>
              <w:rPr>
                <w:rFonts w:hint="eastAsia" w:ascii="宋体" w:hAnsi="宋体" w:eastAsia="宋体" w:cs="宋体"/>
                <w:color w:val="auto"/>
                <w:kern w:val="0"/>
                <w:sz w:val="28"/>
                <w:szCs w:val="28"/>
                <w:highlight w:val="none"/>
              </w:rPr>
            </w:pPr>
          </w:p>
        </w:tc>
      </w:tr>
    </w:tbl>
    <w:p w14:paraId="5D42DAB7">
      <w:pPr>
        <w:spacing w:line="360" w:lineRule="auto"/>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w:t>
      </w:r>
    </w:p>
    <w:p w14:paraId="6FD6ECEE">
      <w:pPr>
        <w:spacing w:line="360" w:lineRule="auto"/>
        <w:ind w:firstLine="420" w:firstLineChars="200"/>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2216F05D">
      <w:pPr>
        <w:spacing w:line="360" w:lineRule="auto"/>
        <w:ind w:firstLine="420" w:firstLineChars="200"/>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2.本表所指的控股关系仅限于直接控股关系，不包括间接的控股关系。公司实际控制人与公司之间的关系不属于本表所指的直接控股关系。</w:t>
      </w:r>
    </w:p>
    <w:p w14:paraId="2391BC8C">
      <w:pPr>
        <w:spacing w:line="360" w:lineRule="auto"/>
        <w:ind w:firstLine="420" w:firstLineChars="200"/>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3.供应商不存在直接控股股东的，则填“无”。</w:t>
      </w:r>
    </w:p>
    <w:p w14:paraId="5A639C3F">
      <w:pPr>
        <w:spacing w:line="360" w:lineRule="auto"/>
        <w:ind w:firstLine="420" w:firstLineChars="200"/>
        <w:contextualSpacing/>
        <w:jc w:val="left"/>
        <w:rPr>
          <w:rFonts w:hint="eastAsia" w:ascii="宋体" w:hAnsi="宋体" w:eastAsia="宋体" w:cs="宋体"/>
          <w:color w:val="auto"/>
          <w:szCs w:val="21"/>
          <w:highlight w:val="none"/>
        </w:rPr>
      </w:pPr>
    </w:p>
    <w:p w14:paraId="349C4AAD">
      <w:pPr>
        <w:spacing w:line="360" w:lineRule="auto"/>
        <w:ind w:firstLine="560" w:firstLineChars="200"/>
        <w:contextualSpacing/>
        <w:jc w:val="left"/>
        <w:rPr>
          <w:rFonts w:hint="eastAsia" w:ascii="宋体" w:hAnsi="宋体" w:eastAsia="宋体" w:cs="宋体"/>
          <w:color w:val="auto"/>
          <w:sz w:val="28"/>
          <w:szCs w:val="28"/>
          <w:highlight w:val="none"/>
        </w:rPr>
      </w:pPr>
    </w:p>
    <w:p w14:paraId="35A18587">
      <w:pPr>
        <w:spacing w:line="360" w:lineRule="auto"/>
        <w:ind w:firstLine="3600" w:firstLineChars="1500"/>
        <w:rPr>
          <w:rFonts w:hint="eastAsia" w:ascii="宋体" w:hAnsi="宋体" w:eastAsia="宋体" w:cs="宋体"/>
          <w:color w:val="auto"/>
          <w:sz w:val="21"/>
          <w:szCs w:val="21"/>
          <w:highlight w:val="none"/>
        </w:rPr>
      </w:pPr>
      <w:r>
        <w:rPr>
          <w:rFonts w:hint="eastAsia" w:ascii="宋体" w:hAnsi="宋体" w:eastAsia="宋体" w:cs="宋体"/>
          <w:color w:val="auto"/>
          <w:sz w:val="24"/>
          <w:highlight w:val="none"/>
        </w:rPr>
        <w:t xml:space="preserve">        </w:t>
      </w:r>
      <w:r>
        <w:rPr>
          <w:rFonts w:hint="eastAsia" w:ascii="宋体" w:hAnsi="宋体" w:eastAsia="宋体" w:cs="宋体"/>
          <w:color w:val="auto"/>
          <w:sz w:val="21"/>
          <w:szCs w:val="21"/>
          <w:highlight w:val="none"/>
        </w:rPr>
        <w:t>谈判供应商名称（公章）：</w:t>
      </w:r>
    </w:p>
    <w:p w14:paraId="0138FA8E">
      <w:pPr>
        <w:spacing w:line="360" w:lineRule="auto"/>
        <w:ind w:right="480" w:firstLine="2625" w:firstLineChars="1250"/>
        <w:contextualSpacing/>
        <w:rPr>
          <w:rFonts w:hint="eastAsia" w:ascii="宋体" w:hAnsi="宋体" w:eastAsia="宋体" w:cs="宋体"/>
          <w:color w:val="auto"/>
          <w:sz w:val="24"/>
          <w:highlight w:val="none"/>
          <w:u w:val="single"/>
        </w:rPr>
      </w:pPr>
      <w:r>
        <w:rPr>
          <w:rFonts w:hint="eastAsia" w:ascii="宋体" w:hAnsi="宋体" w:eastAsia="宋体" w:cs="宋体"/>
          <w:color w:val="auto"/>
          <w:sz w:val="21"/>
          <w:szCs w:val="21"/>
          <w:highlight w:val="none"/>
        </w:rPr>
        <w:t>法定代表人（负责人）或委托代理人(签名)：</w:t>
      </w:r>
    </w:p>
    <w:p w14:paraId="79AC69D2">
      <w:pPr>
        <w:spacing w:line="360" w:lineRule="auto"/>
        <w:ind w:right="480" w:firstLine="4620" w:firstLineChars="2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年    月    日</w:t>
      </w:r>
    </w:p>
    <w:p w14:paraId="76DA15EA">
      <w:pPr>
        <w:snapToGrid w:val="0"/>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br w:type="page"/>
      </w:r>
    </w:p>
    <w:p w14:paraId="5B258E62">
      <w:pPr>
        <w:snapToGrid w:val="0"/>
        <w:jc w:val="left"/>
        <w:rPr>
          <w:rFonts w:hint="eastAsia" w:ascii="宋体" w:hAnsi="宋体" w:eastAsia="宋体" w:cs="宋体"/>
          <w:b/>
          <w:bCs/>
          <w:color w:val="auto"/>
          <w:sz w:val="32"/>
          <w:szCs w:val="32"/>
          <w:highlight w:val="none"/>
        </w:rPr>
      </w:pPr>
      <w:r>
        <w:rPr>
          <w:rFonts w:hint="eastAsia" w:cs="宋体" w:asciiTheme="minorEastAsia" w:hAnsiTheme="minorEastAsia" w:eastAsiaTheme="minorEastAsia"/>
          <w:b/>
          <w:bCs/>
          <w:color w:val="auto"/>
          <w:sz w:val="24"/>
          <w:highlight w:val="none"/>
          <w:lang w:val="en-US" w:eastAsia="zh-CN"/>
        </w:rPr>
        <w:t>3、供应商直接管理关系信息表</w:t>
      </w:r>
    </w:p>
    <w:p w14:paraId="0254DE20">
      <w:pPr>
        <w:snapToGrid w:val="0"/>
        <w:jc w:val="center"/>
        <w:rPr>
          <w:rFonts w:hint="eastAsia" w:ascii="宋体" w:hAnsi="宋体" w:eastAsia="宋体" w:cs="宋体"/>
          <w:b/>
          <w:color w:val="auto"/>
          <w:sz w:val="32"/>
          <w:szCs w:val="32"/>
          <w:highlight w:val="none"/>
        </w:rPr>
      </w:pPr>
    </w:p>
    <w:p w14:paraId="51AC70AA">
      <w:pPr>
        <w:snapToGrid w:val="0"/>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供应商直接管理关系信息表</w:t>
      </w:r>
    </w:p>
    <w:p w14:paraId="5E03CEAF">
      <w:pPr>
        <w:snapToGrid w:val="0"/>
        <w:jc w:val="center"/>
        <w:rPr>
          <w:rFonts w:hint="eastAsia" w:ascii="宋体" w:hAnsi="宋体" w:eastAsia="宋体" w:cs="宋体"/>
          <w:b/>
          <w:color w:val="auto"/>
          <w:sz w:val="32"/>
          <w:szCs w:val="32"/>
          <w:highlight w:val="none"/>
        </w:rPr>
      </w:pPr>
    </w:p>
    <w:tbl>
      <w:tblPr>
        <w:tblStyle w:val="60"/>
        <w:tblW w:w="9883" w:type="dxa"/>
        <w:jc w:val="center"/>
        <w:shd w:val="clear" w:color="auto" w:fill="auto"/>
        <w:tblLayout w:type="fixed"/>
        <w:tblCellMar>
          <w:top w:w="0" w:type="dxa"/>
          <w:left w:w="0" w:type="dxa"/>
          <w:bottom w:w="0" w:type="dxa"/>
          <w:right w:w="0" w:type="dxa"/>
        </w:tblCellMar>
      </w:tblPr>
      <w:tblGrid>
        <w:gridCol w:w="826"/>
        <w:gridCol w:w="3687"/>
        <w:gridCol w:w="3641"/>
        <w:gridCol w:w="1729"/>
      </w:tblGrid>
      <w:tr w14:paraId="4A314021">
        <w:tblPrEx>
          <w:shd w:val="clear" w:color="auto" w:fill="auto"/>
          <w:tblCellMar>
            <w:top w:w="0" w:type="dxa"/>
            <w:left w:w="0" w:type="dxa"/>
            <w:bottom w:w="0" w:type="dxa"/>
            <w:right w:w="0" w:type="dxa"/>
          </w:tblCellMar>
        </w:tblPrEx>
        <w:trPr>
          <w:tblHeader/>
          <w:jc w:val="center"/>
        </w:trPr>
        <w:tc>
          <w:tcPr>
            <w:tcW w:w="826"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AE44297">
            <w:pPr>
              <w:widowControl/>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序号</w:t>
            </w:r>
          </w:p>
        </w:tc>
        <w:tc>
          <w:tcPr>
            <w:tcW w:w="36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62E0077">
            <w:pPr>
              <w:widowControl/>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直接管理关系单位名称</w:t>
            </w:r>
          </w:p>
        </w:tc>
        <w:tc>
          <w:tcPr>
            <w:tcW w:w="3641"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A0519E7">
            <w:pPr>
              <w:widowControl/>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统一社会信用代码</w:t>
            </w:r>
          </w:p>
        </w:tc>
        <w:tc>
          <w:tcPr>
            <w:tcW w:w="172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E1E837B">
            <w:pPr>
              <w:widowControl/>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备注</w:t>
            </w:r>
          </w:p>
        </w:tc>
      </w:tr>
      <w:tr w14:paraId="21C444FC">
        <w:tblPrEx>
          <w:shd w:val="clear" w:color="auto" w:fill="auto"/>
          <w:tblCellMar>
            <w:top w:w="0" w:type="dxa"/>
            <w:left w:w="0" w:type="dxa"/>
            <w:bottom w:w="0" w:type="dxa"/>
            <w:right w:w="0" w:type="dxa"/>
          </w:tblCellMar>
        </w:tblPrEx>
        <w:trPr>
          <w:jc w:val="center"/>
        </w:trPr>
        <w:tc>
          <w:tcPr>
            <w:tcW w:w="826"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D0ED550">
            <w:pPr>
              <w:widowControl/>
              <w:wordWrap w:val="0"/>
              <w:spacing w:line="200" w:lineRule="atLeast"/>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p>
        </w:tc>
        <w:tc>
          <w:tcPr>
            <w:tcW w:w="36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64CC659">
            <w:pPr>
              <w:widowControl/>
              <w:wordWrap w:val="0"/>
              <w:spacing w:line="200" w:lineRule="atLeast"/>
              <w:jc w:val="center"/>
              <w:rPr>
                <w:rFonts w:hint="eastAsia" w:ascii="宋体" w:hAnsi="宋体" w:eastAsia="宋体" w:cs="宋体"/>
                <w:color w:val="auto"/>
                <w:kern w:val="0"/>
                <w:sz w:val="21"/>
                <w:szCs w:val="21"/>
                <w:highlight w:val="none"/>
              </w:rPr>
            </w:pPr>
          </w:p>
        </w:tc>
        <w:tc>
          <w:tcPr>
            <w:tcW w:w="3641"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6529362">
            <w:pPr>
              <w:widowControl/>
              <w:wordWrap w:val="0"/>
              <w:spacing w:line="200" w:lineRule="atLeast"/>
              <w:jc w:val="center"/>
              <w:rPr>
                <w:rFonts w:hint="eastAsia" w:ascii="宋体" w:hAnsi="宋体" w:eastAsia="宋体" w:cs="宋体"/>
                <w:color w:val="auto"/>
                <w:kern w:val="0"/>
                <w:sz w:val="21"/>
                <w:szCs w:val="21"/>
                <w:highlight w:val="none"/>
              </w:rPr>
            </w:pPr>
          </w:p>
        </w:tc>
        <w:tc>
          <w:tcPr>
            <w:tcW w:w="172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A05B378">
            <w:pPr>
              <w:widowControl/>
              <w:wordWrap w:val="0"/>
              <w:spacing w:line="200" w:lineRule="atLeast"/>
              <w:jc w:val="center"/>
              <w:rPr>
                <w:rFonts w:hint="eastAsia" w:ascii="宋体" w:hAnsi="宋体" w:eastAsia="宋体" w:cs="宋体"/>
                <w:color w:val="auto"/>
                <w:kern w:val="0"/>
                <w:sz w:val="21"/>
                <w:szCs w:val="21"/>
                <w:highlight w:val="none"/>
              </w:rPr>
            </w:pPr>
          </w:p>
        </w:tc>
      </w:tr>
      <w:tr w14:paraId="7FF87F35">
        <w:tblPrEx>
          <w:shd w:val="clear" w:color="auto" w:fill="auto"/>
          <w:tblCellMar>
            <w:top w:w="0" w:type="dxa"/>
            <w:left w:w="0" w:type="dxa"/>
            <w:bottom w:w="0" w:type="dxa"/>
            <w:right w:w="0" w:type="dxa"/>
          </w:tblCellMar>
        </w:tblPrEx>
        <w:trPr>
          <w:jc w:val="center"/>
        </w:trPr>
        <w:tc>
          <w:tcPr>
            <w:tcW w:w="826"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82907A0">
            <w:pPr>
              <w:widowControl/>
              <w:wordWrap w:val="0"/>
              <w:spacing w:line="200" w:lineRule="atLeast"/>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w:t>
            </w:r>
          </w:p>
        </w:tc>
        <w:tc>
          <w:tcPr>
            <w:tcW w:w="36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C1B16AB">
            <w:pPr>
              <w:widowControl/>
              <w:wordWrap w:val="0"/>
              <w:spacing w:line="200" w:lineRule="atLeast"/>
              <w:jc w:val="center"/>
              <w:rPr>
                <w:rFonts w:hint="eastAsia" w:ascii="宋体" w:hAnsi="宋体" w:eastAsia="宋体" w:cs="宋体"/>
                <w:color w:val="auto"/>
                <w:kern w:val="0"/>
                <w:sz w:val="21"/>
                <w:szCs w:val="21"/>
                <w:highlight w:val="none"/>
              </w:rPr>
            </w:pPr>
          </w:p>
        </w:tc>
        <w:tc>
          <w:tcPr>
            <w:tcW w:w="3641"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E2BB2F4">
            <w:pPr>
              <w:widowControl/>
              <w:wordWrap w:val="0"/>
              <w:spacing w:line="200" w:lineRule="atLeast"/>
              <w:jc w:val="center"/>
              <w:rPr>
                <w:rFonts w:hint="eastAsia" w:ascii="宋体" w:hAnsi="宋体" w:eastAsia="宋体" w:cs="宋体"/>
                <w:color w:val="auto"/>
                <w:kern w:val="0"/>
                <w:sz w:val="21"/>
                <w:szCs w:val="21"/>
                <w:highlight w:val="none"/>
              </w:rPr>
            </w:pPr>
          </w:p>
        </w:tc>
        <w:tc>
          <w:tcPr>
            <w:tcW w:w="172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9F80A87">
            <w:pPr>
              <w:widowControl/>
              <w:wordWrap w:val="0"/>
              <w:spacing w:line="200" w:lineRule="atLeast"/>
              <w:jc w:val="center"/>
              <w:rPr>
                <w:rFonts w:hint="eastAsia" w:ascii="宋体" w:hAnsi="宋体" w:eastAsia="宋体" w:cs="宋体"/>
                <w:color w:val="auto"/>
                <w:kern w:val="0"/>
                <w:sz w:val="21"/>
                <w:szCs w:val="21"/>
                <w:highlight w:val="none"/>
              </w:rPr>
            </w:pPr>
          </w:p>
        </w:tc>
      </w:tr>
      <w:tr w14:paraId="2989D531">
        <w:tblPrEx>
          <w:shd w:val="clear" w:color="auto" w:fill="auto"/>
          <w:tblCellMar>
            <w:top w:w="0" w:type="dxa"/>
            <w:left w:w="0" w:type="dxa"/>
            <w:bottom w:w="0" w:type="dxa"/>
            <w:right w:w="0" w:type="dxa"/>
          </w:tblCellMar>
        </w:tblPrEx>
        <w:trPr>
          <w:jc w:val="center"/>
        </w:trPr>
        <w:tc>
          <w:tcPr>
            <w:tcW w:w="826"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E198000">
            <w:pPr>
              <w:widowControl/>
              <w:wordWrap w:val="0"/>
              <w:spacing w:line="200" w:lineRule="atLeast"/>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w:t>
            </w:r>
          </w:p>
        </w:tc>
        <w:tc>
          <w:tcPr>
            <w:tcW w:w="36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1369894">
            <w:pPr>
              <w:widowControl/>
              <w:wordWrap w:val="0"/>
              <w:spacing w:line="200" w:lineRule="atLeast"/>
              <w:jc w:val="center"/>
              <w:rPr>
                <w:rFonts w:hint="eastAsia" w:ascii="宋体" w:hAnsi="宋体" w:eastAsia="宋体" w:cs="宋体"/>
                <w:color w:val="auto"/>
                <w:kern w:val="0"/>
                <w:sz w:val="21"/>
                <w:szCs w:val="21"/>
                <w:highlight w:val="none"/>
              </w:rPr>
            </w:pPr>
          </w:p>
        </w:tc>
        <w:tc>
          <w:tcPr>
            <w:tcW w:w="3641"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9C4DD4E">
            <w:pPr>
              <w:widowControl/>
              <w:wordWrap w:val="0"/>
              <w:spacing w:line="200" w:lineRule="atLeast"/>
              <w:jc w:val="center"/>
              <w:rPr>
                <w:rFonts w:hint="eastAsia" w:ascii="宋体" w:hAnsi="宋体" w:eastAsia="宋体" w:cs="宋体"/>
                <w:color w:val="auto"/>
                <w:kern w:val="0"/>
                <w:sz w:val="21"/>
                <w:szCs w:val="21"/>
                <w:highlight w:val="none"/>
              </w:rPr>
            </w:pPr>
          </w:p>
        </w:tc>
        <w:tc>
          <w:tcPr>
            <w:tcW w:w="172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1A98235">
            <w:pPr>
              <w:widowControl/>
              <w:wordWrap w:val="0"/>
              <w:spacing w:line="200" w:lineRule="atLeast"/>
              <w:jc w:val="center"/>
              <w:rPr>
                <w:rFonts w:hint="eastAsia" w:ascii="宋体" w:hAnsi="宋体" w:eastAsia="宋体" w:cs="宋体"/>
                <w:color w:val="auto"/>
                <w:kern w:val="0"/>
                <w:sz w:val="21"/>
                <w:szCs w:val="21"/>
                <w:highlight w:val="none"/>
              </w:rPr>
            </w:pPr>
          </w:p>
        </w:tc>
      </w:tr>
      <w:tr w14:paraId="44B624BB">
        <w:tblPrEx>
          <w:shd w:val="clear" w:color="auto" w:fill="auto"/>
          <w:tblCellMar>
            <w:top w:w="0" w:type="dxa"/>
            <w:left w:w="0" w:type="dxa"/>
            <w:bottom w:w="0" w:type="dxa"/>
            <w:right w:w="0" w:type="dxa"/>
          </w:tblCellMar>
        </w:tblPrEx>
        <w:trPr>
          <w:jc w:val="center"/>
        </w:trPr>
        <w:tc>
          <w:tcPr>
            <w:tcW w:w="826"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9533F60">
            <w:pPr>
              <w:widowControl/>
              <w:wordWrap w:val="0"/>
              <w:spacing w:line="200" w:lineRule="atLeast"/>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w:t>
            </w:r>
          </w:p>
        </w:tc>
        <w:tc>
          <w:tcPr>
            <w:tcW w:w="36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0057300">
            <w:pPr>
              <w:widowControl/>
              <w:wordWrap w:val="0"/>
              <w:spacing w:line="200" w:lineRule="atLeast"/>
              <w:jc w:val="center"/>
              <w:rPr>
                <w:rFonts w:hint="eastAsia" w:ascii="宋体" w:hAnsi="宋体" w:eastAsia="宋体" w:cs="宋体"/>
                <w:color w:val="auto"/>
                <w:kern w:val="0"/>
                <w:sz w:val="21"/>
                <w:szCs w:val="21"/>
                <w:highlight w:val="none"/>
              </w:rPr>
            </w:pPr>
          </w:p>
        </w:tc>
        <w:tc>
          <w:tcPr>
            <w:tcW w:w="3641"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B8E894D">
            <w:pPr>
              <w:widowControl/>
              <w:wordWrap w:val="0"/>
              <w:spacing w:line="200" w:lineRule="atLeast"/>
              <w:jc w:val="center"/>
              <w:rPr>
                <w:rFonts w:hint="eastAsia" w:ascii="宋体" w:hAnsi="宋体" w:eastAsia="宋体" w:cs="宋体"/>
                <w:color w:val="auto"/>
                <w:kern w:val="0"/>
                <w:sz w:val="21"/>
                <w:szCs w:val="21"/>
                <w:highlight w:val="none"/>
              </w:rPr>
            </w:pPr>
          </w:p>
        </w:tc>
        <w:tc>
          <w:tcPr>
            <w:tcW w:w="172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5561A33">
            <w:pPr>
              <w:widowControl/>
              <w:wordWrap w:val="0"/>
              <w:spacing w:line="200" w:lineRule="atLeast"/>
              <w:jc w:val="center"/>
              <w:rPr>
                <w:rFonts w:hint="eastAsia" w:ascii="宋体" w:hAnsi="宋体" w:eastAsia="宋体" w:cs="宋体"/>
                <w:color w:val="auto"/>
                <w:kern w:val="0"/>
                <w:sz w:val="21"/>
                <w:szCs w:val="21"/>
                <w:highlight w:val="none"/>
              </w:rPr>
            </w:pPr>
          </w:p>
        </w:tc>
      </w:tr>
    </w:tbl>
    <w:p w14:paraId="22C1E557">
      <w:pPr>
        <w:spacing w:line="360" w:lineRule="auto"/>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w:t>
      </w:r>
    </w:p>
    <w:p w14:paraId="6815D910">
      <w:pPr>
        <w:spacing w:line="360" w:lineRule="auto"/>
        <w:ind w:firstLine="420" w:firstLineChars="200"/>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1.管理关系：是指不具有出资持股关系的其他单位之间存在的管理与被管理关系，如一些上下级关系的事业单位和团体组织。</w:t>
      </w:r>
    </w:p>
    <w:p w14:paraId="1309B43B">
      <w:pPr>
        <w:spacing w:line="360" w:lineRule="auto"/>
        <w:ind w:firstLine="420" w:firstLineChars="200"/>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pacing w:val="-6"/>
          <w:szCs w:val="21"/>
          <w:highlight w:val="none"/>
        </w:rPr>
        <w:t>本表所指的管理关系仅限于直接管理关系，不包括间接的管理关系。</w:t>
      </w:r>
    </w:p>
    <w:p w14:paraId="2F818023">
      <w:pPr>
        <w:spacing w:line="360" w:lineRule="auto"/>
        <w:ind w:firstLine="420" w:firstLineChars="200"/>
        <w:contextualSpacing/>
        <w:jc w:val="left"/>
        <w:rPr>
          <w:rFonts w:hint="eastAsia" w:ascii="宋体" w:hAnsi="宋体" w:eastAsia="宋体" w:cs="宋体"/>
          <w:color w:val="auto"/>
          <w:sz w:val="28"/>
          <w:szCs w:val="28"/>
          <w:highlight w:val="none"/>
        </w:rPr>
      </w:pPr>
      <w:r>
        <w:rPr>
          <w:rFonts w:hint="eastAsia" w:ascii="宋体" w:hAnsi="宋体" w:eastAsia="宋体" w:cs="宋体"/>
          <w:color w:val="auto"/>
          <w:szCs w:val="21"/>
          <w:highlight w:val="none"/>
        </w:rPr>
        <w:t>3.供应商不存在直接管理关系的，则填“无”。</w:t>
      </w:r>
    </w:p>
    <w:p w14:paraId="4316D371">
      <w:pPr>
        <w:spacing w:line="360" w:lineRule="auto"/>
        <w:contextualSpacing/>
        <w:jc w:val="left"/>
        <w:rPr>
          <w:rFonts w:hint="eastAsia" w:ascii="宋体" w:hAnsi="宋体" w:eastAsia="宋体" w:cs="宋体"/>
          <w:color w:val="auto"/>
          <w:sz w:val="28"/>
          <w:szCs w:val="28"/>
          <w:highlight w:val="none"/>
        </w:rPr>
      </w:pPr>
    </w:p>
    <w:p w14:paraId="5570780C">
      <w:pPr>
        <w:spacing w:line="360" w:lineRule="auto"/>
        <w:contextualSpacing/>
        <w:jc w:val="left"/>
        <w:rPr>
          <w:rFonts w:hint="eastAsia" w:ascii="宋体" w:hAnsi="宋体" w:eastAsia="宋体" w:cs="宋体"/>
          <w:color w:val="auto"/>
          <w:sz w:val="28"/>
          <w:szCs w:val="28"/>
          <w:highlight w:val="none"/>
        </w:rPr>
      </w:pPr>
    </w:p>
    <w:p w14:paraId="0863AD0E">
      <w:pPr>
        <w:spacing w:line="360" w:lineRule="auto"/>
        <w:contextualSpacing/>
        <w:jc w:val="left"/>
        <w:rPr>
          <w:rFonts w:hint="eastAsia" w:ascii="宋体" w:hAnsi="宋体" w:eastAsia="宋体" w:cs="宋体"/>
          <w:color w:val="auto"/>
          <w:sz w:val="28"/>
          <w:szCs w:val="28"/>
          <w:highlight w:val="none"/>
        </w:rPr>
      </w:pPr>
    </w:p>
    <w:p w14:paraId="093A5C2D">
      <w:pPr>
        <w:spacing w:line="360" w:lineRule="auto"/>
        <w:contextualSpacing/>
        <w:jc w:val="left"/>
        <w:rPr>
          <w:rFonts w:hint="eastAsia" w:ascii="宋体" w:hAnsi="宋体" w:eastAsia="宋体" w:cs="宋体"/>
          <w:color w:val="auto"/>
          <w:sz w:val="28"/>
          <w:szCs w:val="28"/>
          <w:highlight w:val="none"/>
        </w:rPr>
      </w:pPr>
    </w:p>
    <w:p w14:paraId="545E6385">
      <w:pPr>
        <w:spacing w:line="360" w:lineRule="auto"/>
        <w:contextualSpacing/>
        <w:jc w:val="left"/>
        <w:rPr>
          <w:rFonts w:hint="eastAsia" w:ascii="宋体" w:hAnsi="宋体" w:eastAsia="宋体" w:cs="宋体"/>
          <w:color w:val="auto"/>
          <w:sz w:val="28"/>
          <w:szCs w:val="28"/>
          <w:highlight w:val="none"/>
        </w:rPr>
      </w:pPr>
    </w:p>
    <w:p w14:paraId="5DF4D453">
      <w:pPr>
        <w:spacing w:line="360" w:lineRule="auto"/>
        <w:contextualSpacing/>
        <w:jc w:val="left"/>
        <w:rPr>
          <w:rFonts w:hint="eastAsia" w:ascii="宋体" w:hAnsi="宋体" w:eastAsia="宋体" w:cs="宋体"/>
          <w:color w:val="auto"/>
          <w:sz w:val="21"/>
          <w:szCs w:val="21"/>
          <w:highlight w:val="none"/>
        </w:rPr>
      </w:pPr>
    </w:p>
    <w:p w14:paraId="266E5C5F">
      <w:pPr>
        <w:spacing w:line="360" w:lineRule="auto"/>
        <w:ind w:firstLine="3150" w:firstLineChars="15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谈判供应商名称（公章）：</w:t>
      </w:r>
    </w:p>
    <w:p w14:paraId="3920D639">
      <w:pPr>
        <w:spacing w:line="360" w:lineRule="auto"/>
        <w:ind w:right="480" w:firstLine="3150" w:firstLineChars="15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法定代表人（负责人）或委托代理人(签名)：</w:t>
      </w:r>
    </w:p>
    <w:p w14:paraId="53A3E7B0">
      <w:pPr>
        <w:spacing w:line="360" w:lineRule="auto"/>
        <w:ind w:right="480" w:firstLine="210" w:firstLineChars="100"/>
        <w:contextualSpacing/>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年    月    日</w:t>
      </w:r>
    </w:p>
    <w:p w14:paraId="7D24CC8C">
      <w:pPr>
        <w:pStyle w:val="31"/>
        <w:spacing w:line="360" w:lineRule="auto"/>
        <w:ind w:firstLine="480" w:firstLineChars="200"/>
        <w:rPr>
          <w:rFonts w:hint="eastAsia" w:cs="宋体" w:asciiTheme="minorEastAsia" w:hAnsiTheme="minorEastAsia" w:eastAsiaTheme="minorEastAsia"/>
          <w:color w:val="auto"/>
          <w:sz w:val="24"/>
          <w:highlight w:val="none"/>
        </w:rPr>
      </w:pPr>
    </w:p>
    <w:p w14:paraId="2D94112C">
      <w:pPr>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br w:type="page"/>
      </w:r>
    </w:p>
    <w:p w14:paraId="6FC21400">
      <w:pPr>
        <w:pStyle w:val="31"/>
        <w:spacing w:line="360" w:lineRule="auto"/>
        <w:jc w:val="left"/>
        <w:rPr>
          <w:rFonts w:hint="eastAsia" w:cs="宋体" w:asciiTheme="minorEastAsia" w:hAnsiTheme="minorEastAsia" w:eastAsiaTheme="minorEastAsia"/>
          <w:b/>
          <w:bCs/>
          <w:color w:val="auto"/>
          <w:sz w:val="24"/>
          <w:highlight w:val="none"/>
          <w:lang w:eastAsia="zh-CN"/>
        </w:rPr>
      </w:pPr>
      <w:r>
        <w:rPr>
          <w:rFonts w:hint="eastAsia" w:cs="宋体" w:asciiTheme="minorEastAsia" w:hAnsiTheme="minorEastAsia" w:eastAsiaTheme="minorEastAsia"/>
          <w:b/>
          <w:bCs/>
          <w:color w:val="auto"/>
          <w:sz w:val="24"/>
          <w:highlight w:val="none"/>
          <w:lang w:val="en-US" w:eastAsia="zh-CN"/>
        </w:rPr>
        <w:t>4、</w:t>
      </w:r>
      <w:r>
        <w:rPr>
          <w:rFonts w:hint="eastAsia" w:cs="宋体" w:asciiTheme="minorEastAsia" w:hAnsiTheme="minorEastAsia" w:eastAsiaTheme="minorEastAsia"/>
          <w:b/>
          <w:bCs/>
          <w:color w:val="auto"/>
          <w:sz w:val="24"/>
          <w:highlight w:val="none"/>
          <w:lang w:eastAsia="zh-CN"/>
        </w:rPr>
        <w:t>落实政府采购政策需满足的资格要求</w:t>
      </w:r>
    </w:p>
    <w:p w14:paraId="4D1229C7">
      <w:pPr>
        <w:spacing w:line="360" w:lineRule="auto"/>
        <w:jc w:val="center"/>
        <w:rPr>
          <w:rFonts w:hint="eastAsia" w:ascii="宋体" w:hAnsi="宋体" w:eastAsia="宋体" w:cs="宋体"/>
          <w:b/>
          <w:color w:val="auto"/>
          <w:sz w:val="32"/>
          <w:szCs w:val="32"/>
          <w:highlight w:val="none"/>
        </w:rPr>
      </w:pPr>
    </w:p>
    <w:p w14:paraId="3BA678D6">
      <w:pPr>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中小企业声明函（货物）</w:t>
      </w:r>
    </w:p>
    <w:p w14:paraId="3BCBA43C">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本公司（联合体）郑重声明，根据《政府采购促进中小企业发展管理办法》（财库﹝2020﹞46 号）的规定，本公司（联合体）参加 </w:t>
      </w:r>
      <w:r>
        <w:rPr>
          <w:rFonts w:hint="eastAsia" w:ascii="宋体" w:hAnsi="宋体" w:eastAsia="宋体" w:cs="宋体"/>
          <w:color w:val="auto"/>
          <w:sz w:val="21"/>
          <w:szCs w:val="21"/>
          <w:highlight w:val="none"/>
          <w:u w:val="single"/>
        </w:rPr>
        <w:t xml:space="preserve">（采购人） </w:t>
      </w:r>
      <w:r>
        <w:rPr>
          <w:rFonts w:hint="eastAsia" w:ascii="宋体" w:hAnsi="宋体" w:eastAsia="宋体" w:cs="宋体"/>
          <w:color w:val="auto"/>
          <w:sz w:val="21"/>
          <w:szCs w:val="21"/>
          <w:highlight w:val="none"/>
        </w:rPr>
        <w:t xml:space="preserve">的 </w:t>
      </w:r>
      <w:r>
        <w:rPr>
          <w:rFonts w:hint="eastAsia" w:ascii="宋体" w:hAnsi="宋体" w:eastAsia="宋体" w:cs="宋体"/>
          <w:color w:val="auto"/>
          <w:sz w:val="21"/>
          <w:szCs w:val="21"/>
          <w:highlight w:val="none"/>
          <w:u w:val="single"/>
        </w:rPr>
        <w:t>（项目名称）</w:t>
      </w:r>
      <w:r>
        <w:rPr>
          <w:rFonts w:hint="eastAsia" w:ascii="宋体" w:hAnsi="宋体" w:eastAsia="宋体" w:cs="宋体"/>
          <w:color w:val="auto"/>
          <w:sz w:val="21"/>
          <w:szCs w:val="21"/>
          <w:highlight w:val="none"/>
        </w:rPr>
        <w:t xml:space="preserve"> 采购活动，提供的货物全部由符合政策要求的中小企业制造。相关企业（含联合体中的中小企业、签订分包意向协议的中小企业）的具体情况如下：</w:t>
      </w:r>
    </w:p>
    <w:p w14:paraId="23655353">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 </w:t>
      </w:r>
      <w:r>
        <w:rPr>
          <w:rFonts w:hint="eastAsia" w:ascii="宋体" w:hAnsi="宋体" w:eastAsia="宋体" w:cs="宋体"/>
          <w:color w:val="auto"/>
          <w:sz w:val="21"/>
          <w:szCs w:val="21"/>
          <w:highlight w:val="none"/>
          <w:u w:val="single"/>
        </w:rPr>
        <w:t>（标的名称）</w:t>
      </w:r>
      <w:r>
        <w:rPr>
          <w:rFonts w:hint="eastAsia" w:ascii="宋体" w:hAnsi="宋体" w:eastAsia="宋体" w:cs="宋体"/>
          <w:color w:val="auto"/>
          <w:sz w:val="21"/>
          <w:szCs w:val="21"/>
          <w:highlight w:val="none"/>
        </w:rPr>
        <w:t xml:space="preserve"> ，属于 </w:t>
      </w:r>
      <w:r>
        <w:rPr>
          <w:rFonts w:hint="eastAsia" w:ascii="宋体" w:hAnsi="宋体" w:eastAsia="宋体" w:cs="宋体"/>
          <w:color w:val="auto"/>
          <w:sz w:val="21"/>
          <w:szCs w:val="21"/>
          <w:highlight w:val="none"/>
          <w:u w:val="single"/>
        </w:rPr>
        <w:t>（采购文件中明确的所属行业）</w:t>
      </w:r>
      <w:r>
        <w:rPr>
          <w:rFonts w:hint="eastAsia" w:ascii="宋体" w:hAnsi="宋体" w:eastAsia="宋体" w:cs="宋体"/>
          <w:color w:val="auto"/>
          <w:sz w:val="21"/>
          <w:szCs w:val="21"/>
          <w:highlight w:val="none"/>
        </w:rPr>
        <w:t>行业 ；制造商为</w:t>
      </w:r>
      <w:r>
        <w:rPr>
          <w:rFonts w:hint="eastAsia" w:ascii="宋体" w:hAnsi="宋体" w:eastAsia="宋体" w:cs="宋体"/>
          <w:color w:val="auto"/>
          <w:sz w:val="21"/>
          <w:szCs w:val="21"/>
          <w:highlight w:val="none"/>
          <w:u w:val="single"/>
        </w:rPr>
        <w:t xml:space="preserve"> （企业名称）</w:t>
      </w:r>
      <w:r>
        <w:rPr>
          <w:rFonts w:hint="eastAsia" w:ascii="宋体" w:hAnsi="宋体" w:eastAsia="宋体" w:cs="宋体"/>
          <w:color w:val="auto"/>
          <w:sz w:val="21"/>
          <w:szCs w:val="21"/>
          <w:highlight w:val="none"/>
        </w:rPr>
        <w:t xml:space="preserve"> ，从业人员</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人，营业收入为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万元，资产总额为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万元，属于</w:t>
      </w:r>
      <w:r>
        <w:rPr>
          <w:rFonts w:hint="eastAsia" w:ascii="宋体" w:hAnsi="宋体" w:eastAsia="宋体" w:cs="宋体"/>
          <w:color w:val="auto"/>
          <w:sz w:val="21"/>
          <w:szCs w:val="21"/>
          <w:highlight w:val="none"/>
          <w:u w:val="single"/>
        </w:rPr>
        <w:t xml:space="preserve"> （中型企业、小型企业、微型企业）</w:t>
      </w:r>
      <w:r>
        <w:rPr>
          <w:rFonts w:hint="eastAsia" w:ascii="宋体" w:hAnsi="宋体" w:eastAsia="宋体" w:cs="宋体"/>
          <w:color w:val="auto"/>
          <w:sz w:val="21"/>
          <w:szCs w:val="21"/>
          <w:highlight w:val="none"/>
        </w:rPr>
        <w:t xml:space="preserve"> ；</w:t>
      </w:r>
    </w:p>
    <w:p w14:paraId="4ADB7F02">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2. </w:t>
      </w:r>
      <w:r>
        <w:rPr>
          <w:rFonts w:hint="eastAsia" w:ascii="宋体" w:hAnsi="宋体" w:eastAsia="宋体" w:cs="宋体"/>
          <w:color w:val="auto"/>
          <w:sz w:val="21"/>
          <w:szCs w:val="21"/>
          <w:highlight w:val="none"/>
          <w:u w:val="single"/>
        </w:rPr>
        <w:t>（标的名称）</w:t>
      </w:r>
      <w:r>
        <w:rPr>
          <w:rFonts w:hint="eastAsia" w:ascii="宋体" w:hAnsi="宋体" w:eastAsia="宋体" w:cs="宋体"/>
          <w:color w:val="auto"/>
          <w:sz w:val="21"/>
          <w:szCs w:val="21"/>
          <w:highlight w:val="none"/>
        </w:rPr>
        <w:t xml:space="preserve"> ，属于 </w:t>
      </w:r>
      <w:r>
        <w:rPr>
          <w:rFonts w:hint="eastAsia" w:ascii="宋体" w:hAnsi="宋体" w:eastAsia="宋体" w:cs="宋体"/>
          <w:color w:val="auto"/>
          <w:sz w:val="21"/>
          <w:szCs w:val="21"/>
          <w:highlight w:val="none"/>
          <w:u w:val="single"/>
        </w:rPr>
        <w:t>（采购文件中明确的所属行业）</w:t>
      </w:r>
      <w:r>
        <w:rPr>
          <w:rFonts w:hint="eastAsia" w:ascii="宋体" w:hAnsi="宋体" w:eastAsia="宋体" w:cs="宋体"/>
          <w:color w:val="auto"/>
          <w:sz w:val="21"/>
          <w:szCs w:val="21"/>
          <w:highlight w:val="none"/>
        </w:rPr>
        <w:t>行业 ；制造商为</w:t>
      </w:r>
      <w:r>
        <w:rPr>
          <w:rFonts w:hint="eastAsia" w:ascii="宋体" w:hAnsi="宋体" w:eastAsia="宋体" w:cs="宋体"/>
          <w:color w:val="auto"/>
          <w:sz w:val="21"/>
          <w:szCs w:val="21"/>
          <w:highlight w:val="none"/>
          <w:u w:val="single"/>
        </w:rPr>
        <w:t xml:space="preserve"> （企业名称）</w:t>
      </w:r>
      <w:r>
        <w:rPr>
          <w:rFonts w:hint="eastAsia" w:ascii="宋体" w:hAnsi="宋体" w:eastAsia="宋体" w:cs="宋体"/>
          <w:color w:val="auto"/>
          <w:sz w:val="21"/>
          <w:szCs w:val="21"/>
          <w:highlight w:val="none"/>
        </w:rPr>
        <w:t xml:space="preserve"> ，从业人员</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人，营业收入为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万元，资产总额为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万元，属于</w:t>
      </w:r>
      <w:r>
        <w:rPr>
          <w:rFonts w:hint="eastAsia" w:ascii="宋体" w:hAnsi="宋体" w:eastAsia="宋体" w:cs="宋体"/>
          <w:color w:val="auto"/>
          <w:sz w:val="21"/>
          <w:szCs w:val="21"/>
          <w:highlight w:val="none"/>
          <w:u w:val="single"/>
        </w:rPr>
        <w:t xml:space="preserve"> （中型企业、小型企业、微型企业）</w:t>
      </w:r>
      <w:r>
        <w:rPr>
          <w:rFonts w:hint="eastAsia" w:ascii="宋体" w:hAnsi="宋体" w:eastAsia="宋体" w:cs="宋体"/>
          <w:color w:val="auto"/>
          <w:sz w:val="21"/>
          <w:szCs w:val="21"/>
          <w:highlight w:val="none"/>
        </w:rPr>
        <w:t xml:space="preserve"> ；</w:t>
      </w:r>
    </w:p>
    <w:p w14:paraId="06954AF8">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p w14:paraId="0E0339E9">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以上企业，不属于大企业的分支机构，不存在控股股东为大企业的情形，也不存在与大企业的负责人为同一人的情形。</w:t>
      </w:r>
    </w:p>
    <w:p w14:paraId="2B194883">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本企业对上述声明内容的真实性负责。如有虚假，将依法承担相应责任。</w:t>
      </w:r>
    </w:p>
    <w:p w14:paraId="65F6EFD1">
      <w:pPr>
        <w:snapToGrid w:val="0"/>
        <w:spacing w:line="360" w:lineRule="auto"/>
        <w:ind w:firstLine="4515" w:firstLineChars="215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zh-CN"/>
        </w:rPr>
        <w:t>谈判供应商名称(公章)</w:t>
      </w:r>
      <w:r>
        <w:rPr>
          <w:rFonts w:hint="eastAsia" w:ascii="宋体" w:hAnsi="宋体" w:eastAsia="宋体" w:cs="宋体"/>
          <w:color w:val="auto"/>
          <w:kern w:val="0"/>
          <w:sz w:val="21"/>
          <w:szCs w:val="21"/>
          <w:highlight w:val="none"/>
        </w:rPr>
        <w:t>：</w:t>
      </w:r>
    </w:p>
    <w:p w14:paraId="25989736">
      <w:pPr>
        <w:snapToGrid w:val="0"/>
        <w:spacing w:line="360" w:lineRule="auto"/>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 xml:space="preserve">                                           日期</w:t>
      </w:r>
      <w:r>
        <w:rPr>
          <w:rFonts w:hint="eastAsia" w:ascii="宋体" w:hAnsi="宋体" w:eastAsia="宋体" w:cs="宋体"/>
          <w:color w:val="auto"/>
          <w:kern w:val="0"/>
          <w:sz w:val="21"/>
          <w:szCs w:val="21"/>
          <w:highlight w:val="none"/>
        </w:rPr>
        <w:t xml:space="preserve">：  年  </w:t>
      </w:r>
      <w:r>
        <w:rPr>
          <w:rFonts w:hint="eastAsia" w:ascii="宋体" w:hAnsi="宋体" w:eastAsia="宋体" w:cs="宋体"/>
          <w:color w:val="auto"/>
          <w:kern w:val="0"/>
          <w:sz w:val="21"/>
          <w:szCs w:val="21"/>
          <w:highlight w:val="none"/>
          <w:lang w:val="zh-CN"/>
        </w:rPr>
        <w:t>月</w:t>
      </w:r>
      <w:r>
        <w:rPr>
          <w:rFonts w:hint="eastAsia" w:ascii="宋体" w:hAnsi="宋体" w:eastAsia="宋体" w:cs="宋体"/>
          <w:color w:val="auto"/>
          <w:kern w:val="0"/>
          <w:sz w:val="21"/>
          <w:szCs w:val="21"/>
          <w:highlight w:val="none"/>
        </w:rPr>
        <w:t xml:space="preserve">   </w:t>
      </w:r>
      <w:r>
        <w:rPr>
          <w:rFonts w:hint="eastAsia" w:ascii="宋体" w:hAnsi="宋体" w:eastAsia="宋体" w:cs="宋体"/>
          <w:color w:val="auto"/>
          <w:kern w:val="0"/>
          <w:sz w:val="21"/>
          <w:szCs w:val="21"/>
          <w:highlight w:val="none"/>
          <w:lang w:val="zh-CN"/>
        </w:rPr>
        <w:t>日</w:t>
      </w:r>
    </w:p>
    <w:p w14:paraId="10D4D742">
      <w:pPr>
        <w:spacing w:line="360" w:lineRule="auto"/>
        <w:ind w:right="42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w:t>
      </w:r>
    </w:p>
    <w:p w14:paraId="6EC5B0A5">
      <w:pPr>
        <w:spacing w:line="360" w:lineRule="auto"/>
        <w:ind w:right="42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填写要求：①“标的名称”、“采购文件中明确的所属行业”依据谈判文件第三部分供应商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供应商提供的《中小企业声明函》与实际情况不符的或者未按以上要求填写的，中小企业声明函无效，不享受中小企业扶持政策。声明内容不实的，属于提供虚假材料谋取中标、成交的，依法承担法律责任。</w:t>
      </w:r>
    </w:p>
    <w:p w14:paraId="034E21E6">
      <w:pPr>
        <w:spacing w:line="360" w:lineRule="auto"/>
        <w:ind w:right="42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供应商提供由省级以上监狱管理局、戒毒管理局（含新疆生产建设兵团）出具的属于监狱企业证明文件的，视同为小型和微型企业。</w:t>
      </w:r>
    </w:p>
    <w:p w14:paraId="3A5FC7FD">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p>
    <w:p w14:paraId="1E996DA4">
      <w:pPr>
        <w:rPr>
          <w:rFonts w:hint="eastAsia" w:ascii="宋体" w:hAnsi="宋体" w:eastAsia="宋体" w:cs="宋体"/>
          <w:color w:val="auto"/>
          <w:sz w:val="21"/>
          <w:szCs w:val="21"/>
          <w:highlight w:val="none"/>
        </w:rPr>
      </w:pPr>
    </w:p>
    <w:p w14:paraId="12CF8CBD">
      <w:pPr>
        <w:spacing w:line="360" w:lineRule="auto"/>
        <w:jc w:val="center"/>
        <w:rPr>
          <w:rFonts w:asciiTheme="minorEastAsia" w:hAnsiTheme="minorEastAsia" w:eastAsiaTheme="minorEastAsia"/>
          <w:b/>
          <w:color w:val="auto"/>
          <w:spacing w:val="6"/>
          <w:sz w:val="32"/>
          <w:szCs w:val="32"/>
          <w:highlight w:val="none"/>
        </w:rPr>
      </w:pPr>
      <w:r>
        <w:rPr>
          <w:rFonts w:hint="eastAsia" w:asciiTheme="minorEastAsia" w:hAnsiTheme="minorEastAsia" w:eastAsiaTheme="minorEastAsia"/>
          <w:b/>
          <w:color w:val="auto"/>
          <w:spacing w:val="6"/>
          <w:sz w:val="32"/>
          <w:szCs w:val="32"/>
          <w:highlight w:val="none"/>
        </w:rPr>
        <w:t>残疾人福利性单位声明函</w:t>
      </w:r>
    </w:p>
    <w:p w14:paraId="501ADA21">
      <w:pPr>
        <w:spacing w:line="360" w:lineRule="auto"/>
        <w:rPr>
          <w:rFonts w:asciiTheme="minorEastAsia" w:hAnsiTheme="minorEastAsia" w:eastAsiaTheme="minorEastAsia"/>
          <w:b/>
          <w:color w:val="auto"/>
          <w:spacing w:val="6"/>
          <w:sz w:val="30"/>
          <w:szCs w:val="30"/>
          <w:highlight w:val="none"/>
        </w:rPr>
      </w:pPr>
    </w:p>
    <w:p w14:paraId="24856F6D">
      <w:pPr>
        <w:spacing w:line="360" w:lineRule="auto"/>
        <w:ind w:firstLine="420" w:firstLineChars="200"/>
        <w:rPr>
          <w:rFonts w:cs="仿宋_GB2312" w:asciiTheme="minorEastAsia" w:hAnsiTheme="minorEastAsia" w:eastAsiaTheme="minorEastAsia"/>
          <w:color w:val="auto"/>
          <w:sz w:val="21"/>
          <w:szCs w:val="21"/>
          <w:highlight w:val="none"/>
        </w:rPr>
      </w:pPr>
      <w:r>
        <w:rPr>
          <w:rFonts w:hint="eastAsia" w:cs="仿宋_GB2312" w:asciiTheme="minorEastAsia" w:hAnsiTheme="minorEastAsia" w:eastAsiaTheme="minorEastAsia"/>
          <w:color w:val="auto"/>
          <w:sz w:val="21"/>
          <w:szCs w:val="21"/>
          <w:highlight w:val="none"/>
        </w:rPr>
        <w:t>本单位郑重声明，根据《财政部 民政部 中国残疾人联合会关于促进残疾人就业政府采购政策的通知》（财库〔2017〕 141号）的规定，本单位为符合条件的残疾人福利性单位，且本单位参加</w:t>
      </w:r>
      <w:r>
        <w:rPr>
          <w:rFonts w:hint="eastAsia" w:cs="仿宋_GB2312" w:asciiTheme="minorEastAsia" w:hAnsiTheme="minorEastAsia" w:eastAsiaTheme="minorEastAsia"/>
          <w:color w:val="auto"/>
          <w:sz w:val="21"/>
          <w:szCs w:val="21"/>
          <w:highlight w:val="none"/>
          <w:u w:val="single"/>
        </w:rPr>
        <w:t xml:space="preserve">   （采购人）    </w:t>
      </w:r>
      <w:r>
        <w:rPr>
          <w:rFonts w:hint="eastAsia" w:cs="仿宋_GB2312" w:asciiTheme="minorEastAsia" w:hAnsiTheme="minorEastAsia" w:eastAsiaTheme="minorEastAsia"/>
          <w:color w:val="auto"/>
          <w:sz w:val="21"/>
          <w:szCs w:val="21"/>
          <w:highlight w:val="none"/>
        </w:rPr>
        <w:t>单位的</w:t>
      </w:r>
      <w:r>
        <w:rPr>
          <w:rFonts w:hint="eastAsia" w:cs="仿宋_GB2312" w:asciiTheme="minorEastAsia" w:hAnsiTheme="minorEastAsia" w:eastAsiaTheme="minorEastAsia"/>
          <w:color w:val="auto"/>
          <w:sz w:val="21"/>
          <w:szCs w:val="21"/>
          <w:highlight w:val="none"/>
          <w:u w:val="single"/>
        </w:rPr>
        <w:t xml:space="preserve">     （项目名称）    </w:t>
      </w:r>
      <w:r>
        <w:rPr>
          <w:rFonts w:hint="eastAsia" w:cs="仿宋_GB2312" w:asciiTheme="minorEastAsia" w:hAnsiTheme="minorEastAsia" w:eastAsiaTheme="minorEastAsia"/>
          <w:color w:val="auto"/>
          <w:sz w:val="21"/>
          <w:szCs w:val="21"/>
          <w:highlight w:val="none"/>
        </w:rPr>
        <w:t>项目采购活动提供本单位制造的货物（由本单位承担工程/提供服务），或者提供其他残疾人福利性单位制造的货物（不包括使用非残疾人福利性单位注册商标的货物）。</w:t>
      </w:r>
    </w:p>
    <w:p w14:paraId="652025C8">
      <w:pPr>
        <w:spacing w:line="360" w:lineRule="auto"/>
        <w:ind w:firstLine="420" w:firstLineChars="200"/>
        <w:rPr>
          <w:rFonts w:cs="仿宋_GB2312" w:asciiTheme="minorEastAsia" w:hAnsiTheme="minorEastAsia" w:eastAsiaTheme="minorEastAsia"/>
          <w:color w:val="auto"/>
          <w:sz w:val="21"/>
          <w:szCs w:val="21"/>
          <w:highlight w:val="none"/>
        </w:rPr>
      </w:pPr>
      <w:r>
        <w:rPr>
          <w:rFonts w:hint="eastAsia" w:cs="仿宋_GB2312" w:asciiTheme="minorEastAsia" w:hAnsiTheme="minorEastAsia" w:eastAsiaTheme="minorEastAsia"/>
          <w:color w:val="auto"/>
          <w:sz w:val="21"/>
          <w:szCs w:val="21"/>
          <w:highlight w:val="none"/>
        </w:rPr>
        <w:t>本单位对上述声明的真实性负责。如有虚假，将依法承担相应责任。</w:t>
      </w:r>
    </w:p>
    <w:p w14:paraId="5985D186">
      <w:pPr>
        <w:spacing w:line="360" w:lineRule="auto"/>
        <w:ind w:firstLine="420" w:firstLineChars="200"/>
        <w:rPr>
          <w:rFonts w:cs="仿宋_GB2312" w:asciiTheme="minorEastAsia" w:hAnsiTheme="minorEastAsia" w:eastAsiaTheme="minorEastAsia"/>
          <w:color w:val="auto"/>
          <w:sz w:val="21"/>
          <w:szCs w:val="21"/>
          <w:highlight w:val="none"/>
        </w:rPr>
      </w:pPr>
    </w:p>
    <w:p w14:paraId="11431158">
      <w:pPr>
        <w:spacing w:line="360" w:lineRule="auto"/>
        <w:ind w:firstLine="420" w:firstLineChars="200"/>
        <w:rPr>
          <w:rFonts w:cs="仿宋_GB2312" w:asciiTheme="minorEastAsia" w:hAnsiTheme="minorEastAsia" w:eastAsiaTheme="minorEastAsia"/>
          <w:color w:val="auto"/>
          <w:sz w:val="21"/>
          <w:szCs w:val="21"/>
          <w:highlight w:val="none"/>
        </w:rPr>
      </w:pPr>
    </w:p>
    <w:p w14:paraId="1E957F60">
      <w:pPr>
        <w:tabs>
          <w:tab w:val="left" w:pos="4860"/>
        </w:tabs>
        <w:spacing w:line="360" w:lineRule="auto"/>
        <w:ind w:right="1560" w:firstLine="420" w:firstLineChars="200"/>
        <w:jc w:val="center"/>
        <w:rPr>
          <w:rFonts w:cs="仿宋_GB2312" w:asciiTheme="minorEastAsia" w:hAnsiTheme="minorEastAsia" w:eastAsiaTheme="minorEastAsia"/>
          <w:color w:val="auto"/>
          <w:sz w:val="21"/>
          <w:szCs w:val="21"/>
          <w:highlight w:val="none"/>
        </w:rPr>
      </w:pPr>
      <w:r>
        <w:rPr>
          <w:rFonts w:hint="eastAsia" w:cs="仿宋_GB2312" w:asciiTheme="minorEastAsia" w:hAnsiTheme="minorEastAsia" w:eastAsiaTheme="minorEastAsia"/>
          <w:color w:val="auto"/>
          <w:sz w:val="21"/>
          <w:szCs w:val="21"/>
          <w:highlight w:val="none"/>
        </w:rPr>
        <w:t xml:space="preserve">               </w:t>
      </w:r>
      <w:r>
        <w:rPr>
          <w:rFonts w:hint="eastAsia" w:cs="宋体" w:asciiTheme="minorEastAsia" w:hAnsiTheme="minorEastAsia" w:eastAsiaTheme="minorEastAsia"/>
          <w:color w:val="auto"/>
          <w:kern w:val="0"/>
          <w:sz w:val="21"/>
          <w:szCs w:val="21"/>
          <w:highlight w:val="none"/>
          <w:lang w:val="zh-CN"/>
        </w:rPr>
        <w:t>谈判供应商名称(公章)</w:t>
      </w:r>
      <w:r>
        <w:rPr>
          <w:rFonts w:hint="eastAsia" w:cs="仿宋_GB2312" w:asciiTheme="minorEastAsia" w:hAnsiTheme="minorEastAsia" w:eastAsiaTheme="minorEastAsia"/>
          <w:color w:val="auto"/>
          <w:kern w:val="0"/>
          <w:sz w:val="21"/>
          <w:szCs w:val="21"/>
          <w:highlight w:val="none"/>
        </w:rPr>
        <w:t>：</w:t>
      </w:r>
      <w:r>
        <w:rPr>
          <w:rFonts w:hint="eastAsia" w:cs="仿宋_GB2312" w:asciiTheme="minorEastAsia" w:hAnsiTheme="minorEastAsia" w:eastAsiaTheme="minorEastAsia"/>
          <w:color w:val="auto"/>
          <w:sz w:val="21"/>
          <w:szCs w:val="21"/>
          <w:highlight w:val="none"/>
        </w:rPr>
        <w:t>：</w:t>
      </w:r>
    </w:p>
    <w:p w14:paraId="25F289B2">
      <w:pPr>
        <w:tabs>
          <w:tab w:val="left" w:pos="4860"/>
        </w:tabs>
        <w:spacing w:line="360" w:lineRule="auto"/>
        <w:ind w:right="1560" w:firstLine="420" w:firstLineChars="200"/>
        <w:jc w:val="center"/>
        <w:rPr>
          <w:rFonts w:cs="仿宋_GB2312" w:asciiTheme="minorEastAsia" w:hAnsiTheme="minorEastAsia" w:eastAsiaTheme="minorEastAsia"/>
          <w:color w:val="auto"/>
          <w:sz w:val="21"/>
          <w:szCs w:val="21"/>
          <w:highlight w:val="none"/>
        </w:rPr>
      </w:pPr>
      <w:r>
        <w:rPr>
          <w:rFonts w:hint="eastAsia" w:cs="仿宋_GB2312" w:asciiTheme="minorEastAsia" w:hAnsiTheme="minorEastAsia" w:eastAsiaTheme="minorEastAsia"/>
          <w:color w:val="auto"/>
          <w:sz w:val="21"/>
          <w:szCs w:val="21"/>
          <w:highlight w:val="none"/>
        </w:rPr>
        <w:t xml:space="preserve">       日  期：</w:t>
      </w:r>
    </w:p>
    <w:p w14:paraId="4B72E48E">
      <w:pPr>
        <w:pStyle w:val="98"/>
        <w:rPr>
          <w:rFonts w:hint="eastAsia"/>
          <w:color w:val="auto"/>
          <w:highlight w:val="none"/>
        </w:rPr>
      </w:pPr>
    </w:p>
    <w:p w14:paraId="427D9E1B">
      <w:pPr>
        <w:spacing w:line="360" w:lineRule="auto"/>
        <w:rPr>
          <w:rFonts w:hint="eastAsia" w:ascii="宋体" w:hAnsi="宋体" w:eastAsia="宋体" w:cs="宋体"/>
          <w:b/>
          <w:color w:val="auto"/>
          <w:sz w:val="24"/>
          <w:highlight w:val="none"/>
        </w:rPr>
      </w:pPr>
    </w:p>
    <w:p w14:paraId="1C7AA001">
      <w:pPr>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br w:type="page"/>
      </w:r>
    </w:p>
    <w:p w14:paraId="7AE94B34">
      <w:pPr>
        <w:pStyle w:val="22"/>
        <w:spacing w:before="91" w:line="221" w:lineRule="auto"/>
        <w:rPr>
          <w:b/>
          <w:bCs/>
          <w:color w:val="auto"/>
          <w:sz w:val="21"/>
          <w:szCs w:val="21"/>
          <w:highlight w:val="none"/>
        </w:rPr>
      </w:pPr>
      <w:r>
        <w:rPr>
          <w:rFonts w:hint="eastAsia"/>
          <w:b/>
          <w:bCs/>
          <w:color w:val="auto"/>
          <w:spacing w:val="-1"/>
          <w:sz w:val="21"/>
          <w:szCs w:val="21"/>
          <w:highlight w:val="none"/>
          <w:lang w:val="en-US" w:eastAsia="zh-CN"/>
        </w:rPr>
        <w:t>二</w:t>
      </w:r>
      <w:r>
        <w:rPr>
          <w:b/>
          <w:bCs/>
          <w:color w:val="auto"/>
          <w:spacing w:val="-1"/>
          <w:sz w:val="21"/>
          <w:szCs w:val="21"/>
          <w:highlight w:val="none"/>
        </w:rPr>
        <w:t>、</w:t>
      </w:r>
      <w:r>
        <w:rPr>
          <w:rFonts w:hint="eastAsia"/>
          <w:b/>
          <w:bCs/>
          <w:color w:val="auto"/>
          <w:spacing w:val="-1"/>
          <w:sz w:val="21"/>
          <w:szCs w:val="21"/>
          <w:highlight w:val="none"/>
          <w:lang w:val="en-US" w:eastAsia="zh-CN"/>
        </w:rPr>
        <w:t>报价文</w:t>
      </w:r>
      <w:r>
        <w:rPr>
          <w:b/>
          <w:bCs/>
          <w:color w:val="auto"/>
          <w:spacing w:val="-1"/>
          <w:sz w:val="21"/>
          <w:szCs w:val="21"/>
          <w:highlight w:val="none"/>
        </w:rPr>
        <w:t>件格式</w:t>
      </w:r>
    </w:p>
    <w:p w14:paraId="76304082">
      <w:pPr>
        <w:rPr>
          <w:rFonts w:hint="eastAsia" w:cs="宋体" w:asciiTheme="minorEastAsia" w:hAnsiTheme="minorEastAsia" w:eastAsiaTheme="minorEastAsia"/>
          <w:color w:val="auto"/>
          <w:sz w:val="24"/>
          <w:highlight w:val="none"/>
        </w:rPr>
      </w:pPr>
    </w:p>
    <w:p w14:paraId="46F402AA">
      <w:pPr>
        <w:pStyle w:val="31"/>
        <w:spacing w:line="360" w:lineRule="auto"/>
        <w:jc w:val="center"/>
        <w:rPr>
          <w:rFonts w:hint="eastAsia" w:cs="宋体" w:asciiTheme="minorEastAsia" w:hAnsiTheme="minorEastAsia" w:eastAsiaTheme="minorEastAsia"/>
          <w:b/>
          <w:bCs/>
          <w:color w:val="auto"/>
          <w:sz w:val="28"/>
          <w:szCs w:val="28"/>
          <w:highlight w:val="none"/>
          <w:lang w:val="en-US" w:eastAsia="zh-CN"/>
        </w:rPr>
      </w:pPr>
      <w:r>
        <w:rPr>
          <w:rFonts w:hint="eastAsia" w:cs="宋体" w:asciiTheme="minorEastAsia" w:hAnsiTheme="minorEastAsia" w:eastAsiaTheme="minorEastAsia"/>
          <w:b/>
          <w:bCs/>
          <w:color w:val="auto"/>
          <w:sz w:val="28"/>
          <w:szCs w:val="28"/>
          <w:highlight w:val="none"/>
          <w:lang w:val="en-US" w:eastAsia="zh-CN"/>
        </w:rPr>
        <w:t>报价一览表</w:t>
      </w:r>
    </w:p>
    <w:p w14:paraId="774FD951">
      <w:pPr>
        <w:snapToGrid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（采购人）、（采购代理机构）</w:t>
      </w:r>
      <w:r>
        <w:rPr>
          <w:rFonts w:hint="eastAsia" w:ascii="宋体" w:hAnsi="宋体" w:eastAsia="宋体" w:cs="宋体"/>
          <w:color w:val="auto"/>
          <w:kern w:val="0"/>
          <w:sz w:val="21"/>
          <w:szCs w:val="21"/>
          <w:highlight w:val="none"/>
          <w:lang w:val="zh-CN"/>
        </w:rPr>
        <w:t>：</w:t>
      </w:r>
    </w:p>
    <w:p w14:paraId="53C33A40">
      <w:pPr>
        <w:snapToGrid w:val="0"/>
        <w:spacing w:line="360" w:lineRule="auto"/>
        <w:ind w:firstLine="482"/>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我方承诺按照如下报价一览表的价格完成</w:t>
      </w:r>
      <w:r>
        <w:rPr>
          <w:rFonts w:hint="eastAsia" w:ascii="宋体" w:hAnsi="宋体" w:cs="宋体"/>
          <w:color w:val="auto"/>
          <w:kern w:val="0"/>
          <w:sz w:val="21"/>
          <w:szCs w:val="21"/>
          <w:highlight w:val="none"/>
          <w:lang w:val="zh-CN" w:eastAsia="zh-CN"/>
        </w:rPr>
        <w:t>广西壮族自治区第十六届运动会(柔道、跆拳道、摔跤、拳击)设施设备采购项目（</w:t>
      </w:r>
      <w:r>
        <w:rPr>
          <w:rFonts w:hint="eastAsia" w:ascii="宋体" w:hAnsi="宋体" w:cs="宋体"/>
          <w:color w:val="auto"/>
          <w:kern w:val="0"/>
          <w:sz w:val="21"/>
          <w:szCs w:val="21"/>
          <w:highlight w:val="none"/>
          <w:lang w:val="en-US" w:eastAsia="zh-CN"/>
        </w:rPr>
        <w:t>项目</w:t>
      </w:r>
      <w:r>
        <w:rPr>
          <w:rFonts w:hint="eastAsia" w:ascii="宋体" w:hAnsi="宋体" w:eastAsia="宋体" w:cs="宋体"/>
          <w:color w:val="auto"/>
          <w:kern w:val="0"/>
          <w:sz w:val="21"/>
          <w:szCs w:val="21"/>
          <w:highlight w:val="none"/>
          <w:lang w:val="zh-CN"/>
        </w:rPr>
        <w:t>编号：</w:t>
      </w:r>
      <w:r>
        <w:rPr>
          <w:rFonts w:hint="eastAsia" w:ascii="宋体" w:hAnsi="宋体" w:cs="宋体"/>
          <w:color w:val="auto"/>
          <w:sz w:val="21"/>
          <w:szCs w:val="21"/>
          <w:highlight w:val="none"/>
          <w:lang w:eastAsia="zh-CN"/>
        </w:rPr>
        <w:t>BHZC2026-J1-990266-BBWH）</w:t>
      </w:r>
      <w:r>
        <w:rPr>
          <w:rFonts w:hint="eastAsia" w:ascii="宋体" w:hAnsi="宋体" w:eastAsia="宋体" w:cs="宋体"/>
          <w:color w:val="auto"/>
          <w:sz w:val="21"/>
          <w:szCs w:val="21"/>
          <w:highlight w:val="none"/>
        </w:rPr>
        <w:t>的实施</w:t>
      </w:r>
      <w:r>
        <w:rPr>
          <w:rFonts w:hint="eastAsia" w:ascii="宋体" w:hAnsi="宋体" w:eastAsia="宋体" w:cs="宋体"/>
          <w:color w:val="auto"/>
          <w:kern w:val="0"/>
          <w:sz w:val="21"/>
          <w:szCs w:val="21"/>
          <w:highlight w:val="none"/>
          <w:lang w:val="zh-CN"/>
        </w:rPr>
        <w:t>。</w:t>
      </w:r>
    </w:p>
    <w:p w14:paraId="0E1AE5C9">
      <w:pPr>
        <w:pStyle w:val="631"/>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val="zh-CN"/>
        </w:rPr>
        <w:t>报价一览表(单位均为人民币元)</w:t>
      </w:r>
    </w:p>
    <w:tbl>
      <w:tblPr>
        <w:tblStyle w:val="60"/>
        <w:tblW w:w="98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1144"/>
        <w:gridCol w:w="1415"/>
        <w:gridCol w:w="1890"/>
        <w:gridCol w:w="770"/>
        <w:gridCol w:w="1121"/>
        <w:gridCol w:w="1211"/>
        <w:gridCol w:w="1626"/>
      </w:tblGrid>
      <w:tr w14:paraId="318F6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jc w:val="center"/>
        </w:trPr>
        <w:tc>
          <w:tcPr>
            <w:tcW w:w="676" w:type="dxa"/>
            <w:vAlign w:val="center"/>
          </w:tcPr>
          <w:p w14:paraId="477B41A4">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序号</w:t>
            </w:r>
          </w:p>
        </w:tc>
        <w:tc>
          <w:tcPr>
            <w:tcW w:w="1144" w:type="dxa"/>
            <w:vAlign w:val="center"/>
          </w:tcPr>
          <w:p w14:paraId="13733C72">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名称</w:t>
            </w:r>
          </w:p>
        </w:tc>
        <w:tc>
          <w:tcPr>
            <w:tcW w:w="1415" w:type="dxa"/>
            <w:vAlign w:val="center"/>
          </w:tcPr>
          <w:p w14:paraId="01A2E5D0">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生产厂家、</w:t>
            </w:r>
          </w:p>
          <w:p w14:paraId="0E1F96D7">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品牌（如果有）</w:t>
            </w:r>
          </w:p>
        </w:tc>
        <w:tc>
          <w:tcPr>
            <w:tcW w:w="1890" w:type="dxa"/>
            <w:vAlign w:val="center"/>
          </w:tcPr>
          <w:p w14:paraId="72F60A64">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规格型号</w:t>
            </w:r>
          </w:p>
        </w:tc>
        <w:tc>
          <w:tcPr>
            <w:tcW w:w="770" w:type="dxa"/>
            <w:vAlign w:val="center"/>
          </w:tcPr>
          <w:p w14:paraId="5F219C92">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数量</w:t>
            </w:r>
          </w:p>
        </w:tc>
        <w:tc>
          <w:tcPr>
            <w:tcW w:w="1121" w:type="dxa"/>
            <w:vAlign w:val="center"/>
          </w:tcPr>
          <w:p w14:paraId="7B083AF0">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单价</w:t>
            </w:r>
          </w:p>
        </w:tc>
        <w:tc>
          <w:tcPr>
            <w:tcW w:w="1211" w:type="dxa"/>
            <w:vAlign w:val="center"/>
          </w:tcPr>
          <w:p w14:paraId="022C9544">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合计</w:t>
            </w:r>
          </w:p>
        </w:tc>
        <w:tc>
          <w:tcPr>
            <w:tcW w:w="1626" w:type="dxa"/>
            <w:vAlign w:val="center"/>
          </w:tcPr>
          <w:p w14:paraId="1DE5A70E">
            <w:pPr>
              <w:spacing w:line="360" w:lineRule="auto"/>
              <w:jc w:val="center"/>
              <w:rPr>
                <w:rFonts w:hint="eastAsia" w:ascii="宋体" w:hAnsi="宋体" w:eastAsia="宋体" w:cs="宋体"/>
                <w:b/>
                <w:color w:val="auto"/>
                <w:sz w:val="21"/>
                <w:szCs w:val="21"/>
                <w:highlight w:val="none"/>
              </w:rPr>
            </w:pPr>
          </w:p>
          <w:p w14:paraId="502344BC">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备注（如果有）</w:t>
            </w:r>
          </w:p>
          <w:p w14:paraId="51561E09">
            <w:pPr>
              <w:spacing w:line="360" w:lineRule="auto"/>
              <w:jc w:val="center"/>
              <w:rPr>
                <w:rFonts w:hint="eastAsia" w:ascii="宋体" w:hAnsi="宋体" w:eastAsia="宋体" w:cs="宋体"/>
                <w:b/>
                <w:color w:val="auto"/>
                <w:sz w:val="21"/>
                <w:szCs w:val="21"/>
                <w:highlight w:val="none"/>
              </w:rPr>
            </w:pPr>
          </w:p>
        </w:tc>
      </w:tr>
      <w:tr w14:paraId="47776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676" w:type="dxa"/>
            <w:vAlign w:val="center"/>
          </w:tcPr>
          <w:p w14:paraId="3BECE55D">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144" w:type="dxa"/>
            <w:vAlign w:val="center"/>
          </w:tcPr>
          <w:p w14:paraId="1AC9BB7C">
            <w:pPr>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XX</w:t>
            </w:r>
          </w:p>
        </w:tc>
        <w:tc>
          <w:tcPr>
            <w:tcW w:w="1415" w:type="dxa"/>
            <w:vAlign w:val="center"/>
          </w:tcPr>
          <w:p w14:paraId="3614E485">
            <w:pPr>
              <w:snapToGrid w:val="0"/>
              <w:spacing w:line="360" w:lineRule="auto"/>
              <w:jc w:val="center"/>
              <w:rPr>
                <w:rFonts w:hint="eastAsia" w:ascii="宋体" w:hAnsi="宋体" w:eastAsia="宋体" w:cs="宋体"/>
                <w:color w:val="auto"/>
                <w:sz w:val="21"/>
                <w:szCs w:val="21"/>
                <w:highlight w:val="none"/>
              </w:rPr>
            </w:pPr>
          </w:p>
        </w:tc>
        <w:tc>
          <w:tcPr>
            <w:tcW w:w="1890" w:type="dxa"/>
            <w:vAlign w:val="center"/>
          </w:tcPr>
          <w:p w14:paraId="4848BF3A">
            <w:pPr>
              <w:snapToGrid w:val="0"/>
              <w:spacing w:line="360" w:lineRule="auto"/>
              <w:jc w:val="center"/>
              <w:rPr>
                <w:rFonts w:hint="eastAsia" w:ascii="宋体" w:hAnsi="宋体" w:eastAsia="宋体" w:cs="宋体"/>
                <w:color w:val="auto"/>
                <w:sz w:val="21"/>
                <w:szCs w:val="21"/>
                <w:highlight w:val="none"/>
              </w:rPr>
            </w:pPr>
          </w:p>
        </w:tc>
        <w:tc>
          <w:tcPr>
            <w:tcW w:w="770" w:type="dxa"/>
            <w:vAlign w:val="center"/>
          </w:tcPr>
          <w:p w14:paraId="7EBD06AC">
            <w:pPr>
              <w:snapToGrid w:val="0"/>
              <w:spacing w:line="360" w:lineRule="auto"/>
              <w:jc w:val="center"/>
              <w:rPr>
                <w:rFonts w:hint="eastAsia" w:ascii="宋体" w:hAnsi="宋体" w:eastAsia="宋体" w:cs="宋体"/>
                <w:color w:val="auto"/>
                <w:sz w:val="21"/>
                <w:szCs w:val="21"/>
                <w:highlight w:val="none"/>
              </w:rPr>
            </w:pPr>
          </w:p>
        </w:tc>
        <w:tc>
          <w:tcPr>
            <w:tcW w:w="1121" w:type="dxa"/>
            <w:vAlign w:val="center"/>
          </w:tcPr>
          <w:p w14:paraId="5B7A3249">
            <w:pPr>
              <w:spacing w:line="360" w:lineRule="auto"/>
              <w:jc w:val="center"/>
              <w:rPr>
                <w:rFonts w:hint="eastAsia" w:ascii="宋体" w:hAnsi="宋体" w:eastAsia="宋体" w:cs="宋体"/>
                <w:color w:val="auto"/>
                <w:sz w:val="21"/>
                <w:szCs w:val="21"/>
                <w:highlight w:val="none"/>
              </w:rPr>
            </w:pPr>
          </w:p>
        </w:tc>
        <w:tc>
          <w:tcPr>
            <w:tcW w:w="1211" w:type="dxa"/>
            <w:vAlign w:val="center"/>
          </w:tcPr>
          <w:p w14:paraId="18CB7884">
            <w:pPr>
              <w:spacing w:line="360" w:lineRule="auto"/>
              <w:jc w:val="center"/>
              <w:rPr>
                <w:rFonts w:hint="eastAsia" w:ascii="宋体" w:hAnsi="宋体" w:eastAsia="宋体" w:cs="宋体"/>
                <w:color w:val="auto"/>
                <w:sz w:val="21"/>
                <w:szCs w:val="21"/>
                <w:highlight w:val="none"/>
              </w:rPr>
            </w:pPr>
          </w:p>
        </w:tc>
        <w:tc>
          <w:tcPr>
            <w:tcW w:w="1626" w:type="dxa"/>
            <w:vAlign w:val="center"/>
          </w:tcPr>
          <w:p w14:paraId="65731AB6">
            <w:pPr>
              <w:spacing w:line="360" w:lineRule="auto"/>
              <w:jc w:val="center"/>
              <w:rPr>
                <w:rFonts w:hint="eastAsia" w:ascii="宋体" w:hAnsi="宋体" w:eastAsia="宋体" w:cs="宋体"/>
                <w:color w:val="auto"/>
                <w:sz w:val="21"/>
                <w:szCs w:val="21"/>
                <w:highlight w:val="none"/>
              </w:rPr>
            </w:pPr>
          </w:p>
        </w:tc>
      </w:tr>
      <w:tr w14:paraId="5108C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676" w:type="dxa"/>
            <w:vAlign w:val="center"/>
          </w:tcPr>
          <w:p w14:paraId="31020B17">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144" w:type="dxa"/>
            <w:vAlign w:val="center"/>
          </w:tcPr>
          <w:p w14:paraId="49D1EBF8">
            <w:pPr>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XX</w:t>
            </w:r>
          </w:p>
        </w:tc>
        <w:tc>
          <w:tcPr>
            <w:tcW w:w="1415" w:type="dxa"/>
            <w:vAlign w:val="center"/>
          </w:tcPr>
          <w:p w14:paraId="76246AD8">
            <w:pPr>
              <w:snapToGrid w:val="0"/>
              <w:spacing w:line="360" w:lineRule="auto"/>
              <w:jc w:val="center"/>
              <w:rPr>
                <w:rFonts w:hint="eastAsia" w:ascii="宋体" w:hAnsi="宋体" w:eastAsia="宋体" w:cs="宋体"/>
                <w:color w:val="auto"/>
                <w:sz w:val="21"/>
                <w:szCs w:val="21"/>
                <w:highlight w:val="none"/>
              </w:rPr>
            </w:pPr>
          </w:p>
        </w:tc>
        <w:tc>
          <w:tcPr>
            <w:tcW w:w="1890" w:type="dxa"/>
            <w:vAlign w:val="center"/>
          </w:tcPr>
          <w:p w14:paraId="5EC644B6">
            <w:pPr>
              <w:snapToGrid w:val="0"/>
              <w:spacing w:line="360" w:lineRule="auto"/>
              <w:jc w:val="center"/>
              <w:rPr>
                <w:rFonts w:hint="eastAsia" w:ascii="宋体" w:hAnsi="宋体" w:eastAsia="宋体" w:cs="宋体"/>
                <w:color w:val="auto"/>
                <w:sz w:val="21"/>
                <w:szCs w:val="21"/>
                <w:highlight w:val="none"/>
              </w:rPr>
            </w:pPr>
          </w:p>
        </w:tc>
        <w:tc>
          <w:tcPr>
            <w:tcW w:w="770" w:type="dxa"/>
            <w:vAlign w:val="center"/>
          </w:tcPr>
          <w:p w14:paraId="48430980">
            <w:pPr>
              <w:snapToGrid w:val="0"/>
              <w:spacing w:line="360" w:lineRule="auto"/>
              <w:jc w:val="center"/>
              <w:rPr>
                <w:rFonts w:hint="eastAsia" w:ascii="宋体" w:hAnsi="宋体" w:eastAsia="宋体" w:cs="宋体"/>
                <w:color w:val="auto"/>
                <w:sz w:val="21"/>
                <w:szCs w:val="21"/>
                <w:highlight w:val="none"/>
              </w:rPr>
            </w:pPr>
          </w:p>
        </w:tc>
        <w:tc>
          <w:tcPr>
            <w:tcW w:w="1121" w:type="dxa"/>
            <w:vAlign w:val="center"/>
          </w:tcPr>
          <w:p w14:paraId="5AA9DA72">
            <w:pPr>
              <w:spacing w:line="360" w:lineRule="auto"/>
              <w:jc w:val="center"/>
              <w:rPr>
                <w:rFonts w:hint="eastAsia" w:ascii="宋体" w:hAnsi="宋体" w:eastAsia="宋体" w:cs="宋体"/>
                <w:color w:val="auto"/>
                <w:sz w:val="21"/>
                <w:szCs w:val="21"/>
                <w:highlight w:val="none"/>
              </w:rPr>
            </w:pPr>
          </w:p>
        </w:tc>
        <w:tc>
          <w:tcPr>
            <w:tcW w:w="1211" w:type="dxa"/>
            <w:vAlign w:val="center"/>
          </w:tcPr>
          <w:p w14:paraId="44641853">
            <w:pPr>
              <w:spacing w:line="360" w:lineRule="auto"/>
              <w:jc w:val="center"/>
              <w:rPr>
                <w:rFonts w:hint="eastAsia" w:ascii="宋体" w:hAnsi="宋体" w:eastAsia="宋体" w:cs="宋体"/>
                <w:color w:val="auto"/>
                <w:sz w:val="21"/>
                <w:szCs w:val="21"/>
                <w:highlight w:val="none"/>
              </w:rPr>
            </w:pPr>
          </w:p>
        </w:tc>
        <w:tc>
          <w:tcPr>
            <w:tcW w:w="1626" w:type="dxa"/>
            <w:vAlign w:val="center"/>
          </w:tcPr>
          <w:p w14:paraId="4843474A">
            <w:pPr>
              <w:spacing w:line="360" w:lineRule="auto"/>
              <w:jc w:val="center"/>
              <w:rPr>
                <w:rFonts w:hint="eastAsia" w:ascii="宋体" w:hAnsi="宋体" w:eastAsia="宋体" w:cs="宋体"/>
                <w:color w:val="auto"/>
                <w:sz w:val="21"/>
                <w:szCs w:val="21"/>
                <w:highlight w:val="none"/>
              </w:rPr>
            </w:pPr>
          </w:p>
        </w:tc>
      </w:tr>
      <w:tr w14:paraId="20704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676" w:type="dxa"/>
            <w:vAlign w:val="center"/>
          </w:tcPr>
          <w:p w14:paraId="35678E8E">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144" w:type="dxa"/>
            <w:vAlign w:val="center"/>
          </w:tcPr>
          <w:p w14:paraId="1AA3CC5F">
            <w:pPr>
              <w:snapToGrid w:val="0"/>
              <w:spacing w:line="360" w:lineRule="auto"/>
              <w:jc w:val="center"/>
              <w:rPr>
                <w:rFonts w:hint="eastAsia" w:ascii="宋体" w:hAnsi="宋体" w:eastAsia="宋体" w:cs="宋体"/>
                <w:color w:val="auto"/>
                <w:sz w:val="21"/>
                <w:szCs w:val="21"/>
                <w:highlight w:val="none"/>
              </w:rPr>
            </w:pPr>
          </w:p>
        </w:tc>
        <w:tc>
          <w:tcPr>
            <w:tcW w:w="1415" w:type="dxa"/>
            <w:vAlign w:val="center"/>
          </w:tcPr>
          <w:p w14:paraId="4795BBED">
            <w:pPr>
              <w:snapToGrid w:val="0"/>
              <w:spacing w:line="360" w:lineRule="auto"/>
              <w:jc w:val="center"/>
              <w:rPr>
                <w:rFonts w:hint="eastAsia" w:ascii="宋体" w:hAnsi="宋体" w:eastAsia="宋体" w:cs="宋体"/>
                <w:color w:val="auto"/>
                <w:sz w:val="21"/>
                <w:szCs w:val="21"/>
                <w:highlight w:val="none"/>
              </w:rPr>
            </w:pPr>
          </w:p>
        </w:tc>
        <w:tc>
          <w:tcPr>
            <w:tcW w:w="1890" w:type="dxa"/>
            <w:vAlign w:val="center"/>
          </w:tcPr>
          <w:p w14:paraId="70D5B3DD">
            <w:pPr>
              <w:snapToGrid w:val="0"/>
              <w:spacing w:line="360" w:lineRule="auto"/>
              <w:jc w:val="center"/>
              <w:rPr>
                <w:rFonts w:hint="eastAsia" w:ascii="宋体" w:hAnsi="宋体" w:eastAsia="宋体" w:cs="宋体"/>
                <w:color w:val="auto"/>
                <w:sz w:val="21"/>
                <w:szCs w:val="21"/>
                <w:highlight w:val="none"/>
              </w:rPr>
            </w:pPr>
          </w:p>
        </w:tc>
        <w:tc>
          <w:tcPr>
            <w:tcW w:w="770" w:type="dxa"/>
            <w:vAlign w:val="center"/>
          </w:tcPr>
          <w:p w14:paraId="48ED0FA9">
            <w:pPr>
              <w:snapToGrid w:val="0"/>
              <w:spacing w:line="360" w:lineRule="auto"/>
              <w:jc w:val="center"/>
              <w:rPr>
                <w:rFonts w:hint="eastAsia" w:ascii="宋体" w:hAnsi="宋体" w:eastAsia="宋体" w:cs="宋体"/>
                <w:color w:val="auto"/>
                <w:sz w:val="21"/>
                <w:szCs w:val="21"/>
                <w:highlight w:val="none"/>
              </w:rPr>
            </w:pPr>
          </w:p>
        </w:tc>
        <w:tc>
          <w:tcPr>
            <w:tcW w:w="1121" w:type="dxa"/>
            <w:vAlign w:val="center"/>
          </w:tcPr>
          <w:p w14:paraId="62C80101">
            <w:pPr>
              <w:spacing w:line="360" w:lineRule="auto"/>
              <w:jc w:val="center"/>
              <w:rPr>
                <w:rFonts w:hint="eastAsia" w:ascii="宋体" w:hAnsi="宋体" w:eastAsia="宋体" w:cs="宋体"/>
                <w:color w:val="auto"/>
                <w:sz w:val="21"/>
                <w:szCs w:val="21"/>
                <w:highlight w:val="none"/>
              </w:rPr>
            </w:pPr>
          </w:p>
        </w:tc>
        <w:tc>
          <w:tcPr>
            <w:tcW w:w="1211" w:type="dxa"/>
            <w:vAlign w:val="center"/>
          </w:tcPr>
          <w:p w14:paraId="0FD66417">
            <w:pPr>
              <w:spacing w:line="360" w:lineRule="auto"/>
              <w:jc w:val="center"/>
              <w:rPr>
                <w:rFonts w:hint="eastAsia" w:ascii="宋体" w:hAnsi="宋体" w:eastAsia="宋体" w:cs="宋体"/>
                <w:color w:val="auto"/>
                <w:sz w:val="21"/>
                <w:szCs w:val="21"/>
                <w:highlight w:val="none"/>
              </w:rPr>
            </w:pPr>
          </w:p>
        </w:tc>
        <w:tc>
          <w:tcPr>
            <w:tcW w:w="1626" w:type="dxa"/>
            <w:vAlign w:val="center"/>
          </w:tcPr>
          <w:p w14:paraId="0A611A25">
            <w:pPr>
              <w:spacing w:line="360" w:lineRule="auto"/>
              <w:jc w:val="center"/>
              <w:rPr>
                <w:rFonts w:hint="eastAsia" w:ascii="宋体" w:hAnsi="宋体" w:eastAsia="宋体" w:cs="宋体"/>
                <w:color w:val="auto"/>
                <w:sz w:val="21"/>
                <w:szCs w:val="21"/>
                <w:highlight w:val="none"/>
              </w:rPr>
            </w:pPr>
          </w:p>
        </w:tc>
      </w:tr>
      <w:tr w14:paraId="1688F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676" w:type="dxa"/>
            <w:vAlign w:val="center"/>
          </w:tcPr>
          <w:p w14:paraId="79A956F1">
            <w:pPr>
              <w:spacing w:line="360" w:lineRule="auto"/>
              <w:jc w:val="center"/>
              <w:rPr>
                <w:rFonts w:hint="eastAsia" w:ascii="宋体" w:hAnsi="宋体" w:eastAsia="宋体" w:cs="宋体"/>
                <w:color w:val="auto"/>
                <w:sz w:val="21"/>
                <w:szCs w:val="21"/>
                <w:highlight w:val="none"/>
              </w:rPr>
            </w:pPr>
          </w:p>
        </w:tc>
        <w:tc>
          <w:tcPr>
            <w:tcW w:w="1144" w:type="dxa"/>
            <w:vAlign w:val="center"/>
          </w:tcPr>
          <w:p w14:paraId="6D9AC3AA">
            <w:pPr>
              <w:snapToGrid w:val="0"/>
              <w:spacing w:line="360" w:lineRule="auto"/>
              <w:jc w:val="center"/>
              <w:rPr>
                <w:rFonts w:hint="eastAsia" w:ascii="宋体" w:hAnsi="宋体" w:eastAsia="宋体" w:cs="宋体"/>
                <w:color w:val="auto"/>
                <w:sz w:val="21"/>
                <w:szCs w:val="21"/>
                <w:highlight w:val="none"/>
              </w:rPr>
            </w:pPr>
          </w:p>
        </w:tc>
        <w:tc>
          <w:tcPr>
            <w:tcW w:w="1415" w:type="dxa"/>
            <w:vAlign w:val="center"/>
          </w:tcPr>
          <w:p w14:paraId="0E30BE73">
            <w:pPr>
              <w:snapToGrid w:val="0"/>
              <w:spacing w:line="360" w:lineRule="auto"/>
              <w:jc w:val="center"/>
              <w:rPr>
                <w:rFonts w:hint="eastAsia" w:ascii="宋体" w:hAnsi="宋体" w:eastAsia="宋体" w:cs="宋体"/>
                <w:color w:val="auto"/>
                <w:sz w:val="21"/>
                <w:szCs w:val="21"/>
                <w:highlight w:val="none"/>
              </w:rPr>
            </w:pPr>
          </w:p>
        </w:tc>
        <w:tc>
          <w:tcPr>
            <w:tcW w:w="1890" w:type="dxa"/>
            <w:vAlign w:val="center"/>
          </w:tcPr>
          <w:p w14:paraId="7FFE0814">
            <w:pPr>
              <w:snapToGrid w:val="0"/>
              <w:spacing w:line="360" w:lineRule="auto"/>
              <w:jc w:val="center"/>
              <w:rPr>
                <w:rFonts w:hint="eastAsia" w:ascii="宋体" w:hAnsi="宋体" w:eastAsia="宋体" w:cs="宋体"/>
                <w:color w:val="auto"/>
                <w:sz w:val="21"/>
                <w:szCs w:val="21"/>
                <w:highlight w:val="none"/>
              </w:rPr>
            </w:pPr>
          </w:p>
        </w:tc>
        <w:tc>
          <w:tcPr>
            <w:tcW w:w="770" w:type="dxa"/>
            <w:vAlign w:val="center"/>
          </w:tcPr>
          <w:p w14:paraId="46231E00">
            <w:pPr>
              <w:snapToGrid w:val="0"/>
              <w:spacing w:line="360" w:lineRule="auto"/>
              <w:jc w:val="center"/>
              <w:rPr>
                <w:rFonts w:hint="eastAsia" w:ascii="宋体" w:hAnsi="宋体" w:eastAsia="宋体" w:cs="宋体"/>
                <w:color w:val="auto"/>
                <w:sz w:val="21"/>
                <w:szCs w:val="21"/>
                <w:highlight w:val="none"/>
              </w:rPr>
            </w:pPr>
          </w:p>
        </w:tc>
        <w:tc>
          <w:tcPr>
            <w:tcW w:w="1121" w:type="dxa"/>
            <w:vAlign w:val="center"/>
          </w:tcPr>
          <w:p w14:paraId="2395205E">
            <w:pPr>
              <w:spacing w:line="360" w:lineRule="auto"/>
              <w:jc w:val="center"/>
              <w:rPr>
                <w:rFonts w:hint="eastAsia" w:ascii="宋体" w:hAnsi="宋体" w:eastAsia="宋体" w:cs="宋体"/>
                <w:color w:val="auto"/>
                <w:sz w:val="21"/>
                <w:szCs w:val="21"/>
                <w:highlight w:val="none"/>
              </w:rPr>
            </w:pPr>
          </w:p>
        </w:tc>
        <w:tc>
          <w:tcPr>
            <w:tcW w:w="1211" w:type="dxa"/>
            <w:vAlign w:val="center"/>
          </w:tcPr>
          <w:p w14:paraId="252D196A">
            <w:pPr>
              <w:spacing w:line="360" w:lineRule="auto"/>
              <w:jc w:val="center"/>
              <w:rPr>
                <w:rFonts w:hint="eastAsia" w:ascii="宋体" w:hAnsi="宋体" w:eastAsia="宋体" w:cs="宋体"/>
                <w:color w:val="auto"/>
                <w:sz w:val="21"/>
                <w:szCs w:val="21"/>
                <w:highlight w:val="none"/>
              </w:rPr>
            </w:pPr>
          </w:p>
        </w:tc>
        <w:tc>
          <w:tcPr>
            <w:tcW w:w="1626" w:type="dxa"/>
            <w:vAlign w:val="center"/>
          </w:tcPr>
          <w:p w14:paraId="2524FC53">
            <w:pPr>
              <w:spacing w:line="360" w:lineRule="auto"/>
              <w:jc w:val="center"/>
              <w:rPr>
                <w:rFonts w:hint="eastAsia" w:ascii="宋体" w:hAnsi="宋体" w:eastAsia="宋体" w:cs="宋体"/>
                <w:color w:val="auto"/>
                <w:sz w:val="21"/>
                <w:szCs w:val="21"/>
                <w:highlight w:val="none"/>
              </w:rPr>
            </w:pPr>
          </w:p>
        </w:tc>
      </w:tr>
      <w:tr w14:paraId="41103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676" w:type="dxa"/>
            <w:vAlign w:val="center"/>
          </w:tcPr>
          <w:p w14:paraId="5C3EB0DA">
            <w:pPr>
              <w:spacing w:line="360" w:lineRule="auto"/>
              <w:jc w:val="center"/>
              <w:rPr>
                <w:rFonts w:hint="eastAsia" w:ascii="宋体" w:hAnsi="宋体" w:eastAsia="宋体" w:cs="宋体"/>
                <w:color w:val="auto"/>
                <w:sz w:val="21"/>
                <w:szCs w:val="21"/>
                <w:highlight w:val="none"/>
              </w:rPr>
            </w:pPr>
          </w:p>
        </w:tc>
        <w:tc>
          <w:tcPr>
            <w:tcW w:w="1144" w:type="dxa"/>
            <w:vAlign w:val="center"/>
          </w:tcPr>
          <w:p w14:paraId="1150F0AE">
            <w:pPr>
              <w:snapToGrid w:val="0"/>
              <w:spacing w:line="360" w:lineRule="auto"/>
              <w:jc w:val="center"/>
              <w:rPr>
                <w:rFonts w:hint="eastAsia" w:ascii="宋体" w:hAnsi="宋体" w:eastAsia="宋体" w:cs="宋体"/>
                <w:color w:val="auto"/>
                <w:sz w:val="21"/>
                <w:szCs w:val="21"/>
                <w:highlight w:val="none"/>
              </w:rPr>
            </w:pPr>
          </w:p>
        </w:tc>
        <w:tc>
          <w:tcPr>
            <w:tcW w:w="1415" w:type="dxa"/>
            <w:vAlign w:val="center"/>
          </w:tcPr>
          <w:p w14:paraId="2CC40792">
            <w:pPr>
              <w:snapToGrid w:val="0"/>
              <w:spacing w:line="360" w:lineRule="auto"/>
              <w:jc w:val="center"/>
              <w:rPr>
                <w:rFonts w:hint="eastAsia" w:ascii="宋体" w:hAnsi="宋体" w:eastAsia="宋体" w:cs="宋体"/>
                <w:color w:val="auto"/>
                <w:sz w:val="21"/>
                <w:szCs w:val="21"/>
                <w:highlight w:val="none"/>
              </w:rPr>
            </w:pPr>
          </w:p>
        </w:tc>
        <w:tc>
          <w:tcPr>
            <w:tcW w:w="1890" w:type="dxa"/>
            <w:vAlign w:val="center"/>
          </w:tcPr>
          <w:p w14:paraId="560577A6">
            <w:pPr>
              <w:snapToGrid w:val="0"/>
              <w:spacing w:line="360" w:lineRule="auto"/>
              <w:jc w:val="center"/>
              <w:rPr>
                <w:rFonts w:hint="eastAsia" w:ascii="宋体" w:hAnsi="宋体" w:eastAsia="宋体" w:cs="宋体"/>
                <w:color w:val="auto"/>
                <w:sz w:val="21"/>
                <w:szCs w:val="21"/>
                <w:highlight w:val="none"/>
              </w:rPr>
            </w:pPr>
          </w:p>
        </w:tc>
        <w:tc>
          <w:tcPr>
            <w:tcW w:w="770" w:type="dxa"/>
            <w:vAlign w:val="center"/>
          </w:tcPr>
          <w:p w14:paraId="59BBCAC3">
            <w:pPr>
              <w:snapToGrid w:val="0"/>
              <w:spacing w:line="360" w:lineRule="auto"/>
              <w:jc w:val="center"/>
              <w:rPr>
                <w:rFonts w:hint="eastAsia" w:ascii="宋体" w:hAnsi="宋体" w:eastAsia="宋体" w:cs="宋体"/>
                <w:color w:val="auto"/>
                <w:sz w:val="21"/>
                <w:szCs w:val="21"/>
                <w:highlight w:val="none"/>
              </w:rPr>
            </w:pPr>
          </w:p>
        </w:tc>
        <w:tc>
          <w:tcPr>
            <w:tcW w:w="1121" w:type="dxa"/>
            <w:vAlign w:val="center"/>
          </w:tcPr>
          <w:p w14:paraId="05016FB9">
            <w:pPr>
              <w:spacing w:line="360" w:lineRule="auto"/>
              <w:jc w:val="center"/>
              <w:rPr>
                <w:rFonts w:hint="eastAsia" w:ascii="宋体" w:hAnsi="宋体" w:eastAsia="宋体" w:cs="宋体"/>
                <w:color w:val="auto"/>
                <w:sz w:val="21"/>
                <w:szCs w:val="21"/>
                <w:highlight w:val="none"/>
              </w:rPr>
            </w:pPr>
          </w:p>
        </w:tc>
        <w:tc>
          <w:tcPr>
            <w:tcW w:w="1211" w:type="dxa"/>
            <w:vAlign w:val="center"/>
          </w:tcPr>
          <w:p w14:paraId="42C4CA58">
            <w:pPr>
              <w:spacing w:line="360" w:lineRule="auto"/>
              <w:jc w:val="center"/>
              <w:rPr>
                <w:rFonts w:hint="eastAsia" w:ascii="宋体" w:hAnsi="宋体" w:eastAsia="宋体" w:cs="宋体"/>
                <w:color w:val="auto"/>
                <w:sz w:val="21"/>
                <w:szCs w:val="21"/>
                <w:highlight w:val="none"/>
              </w:rPr>
            </w:pPr>
          </w:p>
        </w:tc>
        <w:tc>
          <w:tcPr>
            <w:tcW w:w="1626" w:type="dxa"/>
            <w:vAlign w:val="center"/>
          </w:tcPr>
          <w:p w14:paraId="4AADD0BE">
            <w:pPr>
              <w:spacing w:line="360" w:lineRule="auto"/>
              <w:jc w:val="center"/>
              <w:rPr>
                <w:rFonts w:hint="eastAsia" w:ascii="宋体" w:hAnsi="宋体" w:eastAsia="宋体" w:cs="宋体"/>
                <w:color w:val="auto"/>
                <w:sz w:val="21"/>
                <w:szCs w:val="21"/>
                <w:highlight w:val="none"/>
              </w:rPr>
            </w:pPr>
          </w:p>
        </w:tc>
      </w:tr>
      <w:tr w14:paraId="7412B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5125" w:type="dxa"/>
            <w:gridSpan w:val="4"/>
            <w:vAlign w:val="center"/>
          </w:tcPr>
          <w:p w14:paraId="149F3174">
            <w:pPr>
              <w:spacing w:line="360" w:lineRule="auto"/>
              <w:jc w:val="center"/>
              <w:rPr>
                <w:rFonts w:hint="eastAsia" w:ascii="宋体" w:hAnsi="宋体" w:eastAsia="宋体" w:cs="宋体"/>
                <w:b/>
                <w:color w:val="auto"/>
                <w:sz w:val="21"/>
                <w:szCs w:val="21"/>
                <w:highlight w:val="none"/>
              </w:rPr>
            </w:pPr>
            <w:r>
              <w:rPr>
                <w:rFonts w:hint="eastAsia" w:ascii="宋体" w:hAnsi="宋体" w:cs="宋体"/>
                <w:b/>
                <w:color w:val="auto"/>
                <w:sz w:val="21"/>
                <w:szCs w:val="21"/>
                <w:highlight w:val="none"/>
                <w:lang w:val="en-US" w:eastAsia="zh-CN"/>
              </w:rPr>
              <w:t>谈判</w:t>
            </w:r>
            <w:r>
              <w:rPr>
                <w:rFonts w:hint="eastAsia" w:ascii="宋体" w:hAnsi="宋体" w:eastAsia="宋体" w:cs="宋体"/>
                <w:b/>
                <w:color w:val="auto"/>
                <w:sz w:val="21"/>
                <w:szCs w:val="21"/>
                <w:highlight w:val="none"/>
              </w:rPr>
              <w:t>报价（小写）</w:t>
            </w:r>
          </w:p>
        </w:tc>
        <w:tc>
          <w:tcPr>
            <w:tcW w:w="4728" w:type="dxa"/>
            <w:gridSpan w:val="4"/>
            <w:vAlign w:val="center"/>
          </w:tcPr>
          <w:p w14:paraId="70194B63">
            <w:pPr>
              <w:spacing w:line="360" w:lineRule="auto"/>
              <w:jc w:val="center"/>
              <w:rPr>
                <w:rFonts w:hint="eastAsia" w:ascii="宋体" w:hAnsi="宋体" w:eastAsia="宋体" w:cs="宋体"/>
                <w:color w:val="auto"/>
                <w:sz w:val="21"/>
                <w:szCs w:val="21"/>
                <w:highlight w:val="none"/>
              </w:rPr>
            </w:pPr>
          </w:p>
        </w:tc>
      </w:tr>
      <w:tr w14:paraId="3087D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5125" w:type="dxa"/>
            <w:gridSpan w:val="4"/>
            <w:vAlign w:val="center"/>
          </w:tcPr>
          <w:p w14:paraId="5A5FD171">
            <w:pPr>
              <w:spacing w:line="360" w:lineRule="auto"/>
              <w:jc w:val="center"/>
              <w:rPr>
                <w:rFonts w:hint="eastAsia" w:ascii="宋体" w:hAnsi="宋体" w:eastAsia="宋体" w:cs="宋体"/>
                <w:b/>
                <w:color w:val="auto"/>
                <w:sz w:val="21"/>
                <w:szCs w:val="21"/>
                <w:highlight w:val="none"/>
              </w:rPr>
            </w:pPr>
            <w:r>
              <w:rPr>
                <w:rFonts w:hint="eastAsia" w:ascii="宋体" w:hAnsi="宋体" w:cs="宋体"/>
                <w:b/>
                <w:color w:val="auto"/>
                <w:sz w:val="21"/>
                <w:szCs w:val="21"/>
                <w:highlight w:val="none"/>
                <w:lang w:val="en-US" w:eastAsia="zh-CN"/>
              </w:rPr>
              <w:t>谈判</w:t>
            </w:r>
            <w:r>
              <w:rPr>
                <w:rFonts w:hint="eastAsia" w:ascii="宋体" w:hAnsi="宋体" w:eastAsia="宋体" w:cs="宋体"/>
                <w:b/>
                <w:color w:val="auto"/>
                <w:sz w:val="21"/>
                <w:szCs w:val="21"/>
                <w:highlight w:val="none"/>
              </w:rPr>
              <w:t>报价（大写）</w:t>
            </w:r>
          </w:p>
        </w:tc>
        <w:tc>
          <w:tcPr>
            <w:tcW w:w="4728" w:type="dxa"/>
            <w:gridSpan w:val="4"/>
            <w:vAlign w:val="center"/>
          </w:tcPr>
          <w:p w14:paraId="4B5793AB">
            <w:pPr>
              <w:spacing w:line="360" w:lineRule="auto"/>
              <w:jc w:val="center"/>
              <w:rPr>
                <w:rFonts w:hint="eastAsia" w:ascii="宋体" w:hAnsi="宋体" w:eastAsia="宋体" w:cs="宋体"/>
                <w:color w:val="auto"/>
                <w:sz w:val="21"/>
                <w:szCs w:val="21"/>
                <w:highlight w:val="none"/>
              </w:rPr>
            </w:pPr>
          </w:p>
        </w:tc>
      </w:tr>
    </w:tbl>
    <w:p w14:paraId="0F65FE67">
      <w:pPr>
        <w:snapToGrid w:val="0"/>
        <w:spacing w:line="360" w:lineRule="auto"/>
        <w:ind w:left="480"/>
        <w:rPr>
          <w:rFonts w:hint="eastAsia" w:ascii="宋体" w:hAnsi="宋体" w:eastAsia="宋体" w:cs="宋体"/>
          <w:b/>
          <w:color w:val="auto"/>
          <w:kern w:val="0"/>
          <w:sz w:val="21"/>
          <w:szCs w:val="21"/>
          <w:highlight w:val="none"/>
          <w:lang w:val="zh-CN"/>
        </w:rPr>
      </w:pPr>
      <w:r>
        <w:rPr>
          <w:rFonts w:hint="eastAsia" w:ascii="宋体" w:hAnsi="宋体" w:eastAsia="宋体" w:cs="宋体"/>
          <w:b/>
          <w:color w:val="auto"/>
          <w:kern w:val="0"/>
          <w:sz w:val="21"/>
          <w:szCs w:val="21"/>
          <w:highlight w:val="none"/>
          <w:lang w:val="zh-CN"/>
        </w:rPr>
        <w:t>注：</w:t>
      </w:r>
    </w:p>
    <w:p w14:paraId="793A3098">
      <w:pPr>
        <w:spacing w:line="360" w:lineRule="auto"/>
        <w:ind w:left="-2" w:leftChars="-1" w:firstLine="420" w:firstLineChars="200"/>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1、供应商需按本表格式填写</w:t>
      </w:r>
      <w:r>
        <w:rPr>
          <w:rFonts w:hint="eastAsia" w:ascii="宋体" w:hAnsi="宋体" w:eastAsia="宋体" w:cs="宋体"/>
          <w:b/>
          <w:color w:val="auto"/>
          <w:kern w:val="0"/>
          <w:sz w:val="21"/>
          <w:szCs w:val="21"/>
          <w:highlight w:val="none"/>
          <w:lang w:val="zh-CN"/>
        </w:rPr>
        <w:t>，</w:t>
      </w:r>
      <w:r>
        <w:rPr>
          <w:rFonts w:hint="eastAsia" w:ascii="宋体" w:hAnsi="宋体" w:eastAsia="宋体" w:cs="宋体"/>
          <w:b/>
          <w:color w:val="auto"/>
          <w:kern w:val="0"/>
          <w:sz w:val="21"/>
          <w:szCs w:val="21"/>
          <w:highlight w:val="none"/>
        </w:rPr>
        <w:t>否则视为</w:t>
      </w:r>
      <w:r>
        <w:rPr>
          <w:rFonts w:hint="eastAsia" w:ascii="宋体" w:hAnsi="宋体" w:eastAsia="宋体" w:cs="宋体"/>
          <w:b/>
          <w:color w:val="auto"/>
          <w:sz w:val="21"/>
          <w:szCs w:val="21"/>
          <w:highlight w:val="none"/>
        </w:rPr>
        <w:t>响应文件含有采购人不能接受的附加条件，</w:t>
      </w:r>
      <w:r>
        <w:rPr>
          <w:rFonts w:hint="eastAsia" w:ascii="宋体" w:hAnsi="宋体" w:cs="宋体"/>
          <w:b/>
          <w:color w:val="auto"/>
          <w:sz w:val="21"/>
          <w:szCs w:val="21"/>
          <w:highlight w:val="none"/>
          <w:lang w:val="en-US" w:eastAsia="zh-CN"/>
        </w:rPr>
        <w:t>响应</w:t>
      </w:r>
      <w:r>
        <w:rPr>
          <w:rFonts w:hint="eastAsia" w:ascii="宋体" w:hAnsi="宋体" w:eastAsia="宋体" w:cs="宋体"/>
          <w:b/>
          <w:color w:val="auto"/>
          <w:sz w:val="21"/>
          <w:szCs w:val="21"/>
          <w:highlight w:val="none"/>
        </w:rPr>
        <w:t>无效</w:t>
      </w:r>
      <w:r>
        <w:rPr>
          <w:rFonts w:hint="eastAsia" w:ascii="宋体" w:hAnsi="宋体" w:eastAsia="宋体" w:cs="宋体"/>
          <w:color w:val="auto"/>
          <w:kern w:val="0"/>
          <w:sz w:val="21"/>
          <w:szCs w:val="21"/>
          <w:highlight w:val="none"/>
          <w:lang w:val="zh-CN"/>
        </w:rPr>
        <w:t>。</w:t>
      </w:r>
    </w:p>
    <w:p w14:paraId="0885BB67">
      <w:pPr>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zh-CN"/>
        </w:rPr>
        <w:t>2、有关本项目实施所涉及的一切费用均计入报价。</w:t>
      </w:r>
      <w:r>
        <w:rPr>
          <w:rFonts w:hint="eastAsia" w:ascii="宋体" w:hAnsi="宋体" w:eastAsia="宋体" w:cs="宋体"/>
          <w:b/>
          <w:color w:val="auto"/>
          <w:kern w:val="0"/>
          <w:sz w:val="21"/>
          <w:szCs w:val="21"/>
          <w:highlight w:val="none"/>
          <w:lang w:val="zh-CN"/>
        </w:rPr>
        <w:t>采购人将以合同形式有偿取得货物或服务，不接受</w:t>
      </w:r>
      <w:r>
        <w:rPr>
          <w:rFonts w:hint="eastAsia" w:ascii="宋体" w:hAnsi="宋体" w:cs="宋体"/>
          <w:b/>
          <w:color w:val="auto"/>
          <w:kern w:val="0"/>
          <w:sz w:val="21"/>
          <w:szCs w:val="21"/>
          <w:highlight w:val="none"/>
          <w:lang w:val="zh-CN"/>
        </w:rPr>
        <w:t>供应商</w:t>
      </w:r>
      <w:r>
        <w:rPr>
          <w:rFonts w:hint="eastAsia" w:ascii="宋体" w:hAnsi="宋体" w:eastAsia="宋体" w:cs="宋体"/>
          <w:b/>
          <w:color w:val="auto"/>
          <w:kern w:val="0"/>
          <w:sz w:val="21"/>
          <w:szCs w:val="21"/>
          <w:highlight w:val="none"/>
          <w:lang w:val="zh-CN"/>
        </w:rPr>
        <w:t>给予的赠品、回扣或者与采购无关的其他商品、服务</w:t>
      </w:r>
      <w:r>
        <w:rPr>
          <w:rFonts w:hint="eastAsia" w:ascii="宋体" w:hAnsi="宋体" w:eastAsia="宋体" w:cs="宋体"/>
          <w:color w:val="auto"/>
          <w:kern w:val="0"/>
          <w:sz w:val="21"/>
          <w:szCs w:val="21"/>
          <w:highlight w:val="none"/>
          <w:lang w:val="zh-CN"/>
        </w:rPr>
        <w:t>，</w:t>
      </w:r>
      <w:r>
        <w:rPr>
          <w:rFonts w:hint="eastAsia" w:ascii="宋体" w:hAnsi="宋体" w:eastAsia="宋体" w:cs="宋体"/>
          <w:b/>
          <w:color w:val="auto"/>
          <w:kern w:val="0"/>
          <w:sz w:val="21"/>
          <w:szCs w:val="21"/>
          <w:highlight w:val="none"/>
          <w:lang w:val="zh-CN"/>
        </w:rPr>
        <w:t>不得出现“0元”“免费赠送”等形式的无偿报价，</w:t>
      </w:r>
      <w:r>
        <w:rPr>
          <w:rFonts w:hint="eastAsia" w:ascii="宋体" w:hAnsi="宋体" w:eastAsia="宋体" w:cs="宋体"/>
          <w:b/>
          <w:color w:val="auto"/>
          <w:kern w:val="0"/>
          <w:sz w:val="21"/>
          <w:szCs w:val="21"/>
          <w:highlight w:val="none"/>
        </w:rPr>
        <w:t>否则视为</w:t>
      </w:r>
      <w:r>
        <w:rPr>
          <w:rFonts w:hint="eastAsia" w:ascii="宋体" w:hAnsi="宋体" w:eastAsia="宋体" w:cs="宋体"/>
          <w:b/>
          <w:color w:val="auto"/>
          <w:sz w:val="21"/>
          <w:szCs w:val="21"/>
          <w:highlight w:val="none"/>
        </w:rPr>
        <w:t>响应文件含有采购人不能接受的附加条件，响应无效</w:t>
      </w:r>
      <w:r>
        <w:rPr>
          <w:rFonts w:hint="eastAsia" w:ascii="宋体" w:hAnsi="宋体" w:eastAsia="宋体" w:cs="宋体"/>
          <w:b/>
          <w:color w:val="auto"/>
          <w:kern w:val="0"/>
          <w:sz w:val="21"/>
          <w:szCs w:val="21"/>
          <w:highlight w:val="none"/>
          <w:lang w:val="zh-CN"/>
        </w:rPr>
        <w:t>；采购内容未包含在《</w:t>
      </w:r>
      <w:r>
        <w:rPr>
          <w:rFonts w:hint="eastAsia" w:ascii="宋体" w:hAnsi="宋体" w:eastAsia="宋体" w:cs="宋体"/>
          <w:b/>
          <w:color w:val="auto"/>
          <w:sz w:val="21"/>
          <w:szCs w:val="21"/>
          <w:highlight w:val="none"/>
          <w:lang w:val="zh-CN"/>
        </w:rPr>
        <w:t>报价一览表</w:t>
      </w:r>
      <w:r>
        <w:rPr>
          <w:rFonts w:hint="eastAsia" w:ascii="宋体" w:hAnsi="宋体" w:eastAsia="宋体" w:cs="宋体"/>
          <w:b/>
          <w:color w:val="auto"/>
          <w:kern w:val="0"/>
          <w:sz w:val="21"/>
          <w:szCs w:val="21"/>
          <w:highlight w:val="none"/>
          <w:lang w:val="zh-CN"/>
        </w:rPr>
        <w:t>》名称栏中，供应商不能作出合理解释的，</w:t>
      </w:r>
      <w:r>
        <w:rPr>
          <w:rFonts w:hint="eastAsia" w:ascii="宋体" w:hAnsi="宋体" w:eastAsia="宋体" w:cs="宋体"/>
          <w:b/>
          <w:color w:val="auto"/>
          <w:kern w:val="0"/>
          <w:sz w:val="21"/>
          <w:szCs w:val="21"/>
          <w:highlight w:val="none"/>
        </w:rPr>
        <w:t>视为</w:t>
      </w:r>
      <w:r>
        <w:rPr>
          <w:rFonts w:hint="eastAsia" w:ascii="宋体" w:hAnsi="宋体" w:eastAsia="宋体" w:cs="宋体"/>
          <w:b/>
          <w:color w:val="auto"/>
          <w:sz w:val="21"/>
          <w:szCs w:val="21"/>
          <w:highlight w:val="none"/>
        </w:rPr>
        <w:t>响应文件含有采购人不能接受的附加条件的，响应无效。</w:t>
      </w:r>
    </w:p>
    <w:p w14:paraId="1217F153">
      <w:pPr>
        <w:snapToGrid w:val="0"/>
        <w:spacing w:line="360" w:lineRule="auto"/>
        <w:ind w:firstLine="420" w:firstLineChars="200"/>
        <w:jc w:val="left"/>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3、特别提示：采购代理机构将对项目名称和项目编号，成交供应商名称、地址和中标金额，主要中标标的名称、品牌（如果有）、规格型号、数量、单价等予以公示。</w:t>
      </w:r>
    </w:p>
    <w:p w14:paraId="2761720A">
      <w:pPr>
        <w:snapToGrid w:val="0"/>
        <w:spacing w:line="360" w:lineRule="auto"/>
        <w:ind w:firstLine="420" w:firstLineChars="200"/>
        <w:jc w:val="left"/>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4、符合谈判文件中列明的可享受中小企业扶持政策的供应商，请填写中小企业声明函。注：供应商提供的中小企业声明函内容不实的，属于提供虚假材料谋取中标、成交，依照《中华人民共和国政府采购法》等国家有关规定追究相应责任。</w:t>
      </w:r>
    </w:p>
    <w:p w14:paraId="55696701">
      <w:pPr>
        <w:autoSpaceDE w:val="0"/>
        <w:autoSpaceDN w:val="0"/>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kern w:val="0"/>
          <w:sz w:val="21"/>
          <w:szCs w:val="21"/>
          <w:highlight w:val="none"/>
          <w:lang w:val="zh-CN"/>
        </w:rPr>
        <w:t>谈判供应商名称(公章)</w:t>
      </w:r>
      <w:r>
        <w:rPr>
          <w:rFonts w:hint="eastAsia" w:ascii="宋体" w:hAnsi="宋体" w:eastAsia="宋体" w:cs="宋体"/>
          <w:color w:val="auto"/>
          <w:kern w:val="0"/>
          <w:sz w:val="21"/>
          <w:szCs w:val="21"/>
          <w:highlight w:val="none"/>
        </w:rPr>
        <w:t>：</w:t>
      </w:r>
    </w:p>
    <w:p w14:paraId="11679A39">
      <w:pPr>
        <w:autoSpaceDE w:val="0"/>
        <w:autoSpaceDN w:val="0"/>
        <w:spacing w:line="360" w:lineRule="auto"/>
        <w:ind w:firstLine="4200" w:firstLineChars="2000"/>
        <w:jc w:val="left"/>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法定代表人（负责人）或委托代理人(签名)：</w:t>
      </w:r>
    </w:p>
    <w:p w14:paraId="46306BCF">
      <w:pPr>
        <w:autoSpaceDE w:val="0"/>
        <w:autoSpaceDN w:val="0"/>
        <w:spacing w:line="360" w:lineRule="auto"/>
        <w:ind w:firstLine="6090" w:firstLineChars="29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zh-CN"/>
        </w:rPr>
        <w:t>日期</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 w:val="21"/>
          <w:szCs w:val="21"/>
          <w:highlight w:val="none"/>
          <w:lang w:val="zh-CN"/>
        </w:rPr>
        <w:t xml:space="preserve">   年   月   日</w:t>
      </w:r>
    </w:p>
    <w:p w14:paraId="130581A6">
      <w:pPr>
        <w:pStyle w:val="22"/>
        <w:spacing w:before="91" w:line="221" w:lineRule="auto"/>
        <w:rPr>
          <w:rFonts w:hint="default"/>
          <w:b/>
          <w:bCs/>
          <w:color w:val="auto"/>
          <w:sz w:val="21"/>
          <w:szCs w:val="21"/>
          <w:highlight w:val="none"/>
          <w:lang w:val="en-US"/>
        </w:rPr>
      </w:pPr>
      <w:r>
        <w:rPr>
          <w:rFonts w:hint="eastAsia"/>
          <w:b/>
          <w:bCs/>
          <w:color w:val="auto"/>
          <w:spacing w:val="-1"/>
          <w:sz w:val="21"/>
          <w:szCs w:val="21"/>
          <w:highlight w:val="none"/>
          <w:lang w:val="en-US" w:eastAsia="zh-CN"/>
        </w:rPr>
        <w:t>三</w:t>
      </w:r>
      <w:r>
        <w:rPr>
          <w:b/>
          <w:bCs/>
          <w:color w:val="auto"/>
          <w:spacing w:val="-1"/>
          <w:sz w:val="21"/>
          <w:szCs w:val="21"/>
          <w:highlight w:val="none"/>
        </w:rPr>
        <w:t>、</w:t>
      </w:r>
      <w:r>
        <w:rPr>
          <w:rFonts w:hint="eastAsia"/>
          <w:b/>
          <w:bCs/>
          <w:color w:val="auto"/>
          <w:spacing w:val="-1"/>
          <w:sz w:val="21"/>
          <w:szCs w:val="21"/>
          <w:highlight w:val="none"/>
          <w:lang w:val="en-US" w:eastAsia="zh-CN"/>
        </w:rPr>
        <w:t>商务技术文件格式</w:t>
      </w:r>
    </w:p>
    <w:p w14:paraId="70DCD09F">
      <w:pPr>
        <w:spacing w:line="354" w:lineRule="auto"/>
        <w:rPr>
          <w:rFonts w:ascii="Arial"/>
          <w:b/>
          <w:bCs/>
          <w:color w:val="auto"/>
          <w:sz w:val="21"/>
          <w:highlight w:val="none"/>
        </w:rPr>
      </w:pPr>
    </w:p>
    <w:p w14:paraId="077B3446">
      <w:pPr>
        <w:pStyle w:val="31"/>
        <w:spacing w:line="360" w:lineRule="auto"/>
        <w:rPr>
          <w:rFonts w:hint="eastAsia" w:cs="宋体" w:asciiTheme="minorEastAsia" w:hAnsiTheme="minorEastAsia" w:eastAsiaTheme="minorEastAsia"/>
          <w:b/>
          <w:bCs/>
          <w:color w:val="auto"/>
          <w:sz w:val="21"/>
          <w:szCs w:val="21"/>
          <w:highlight w:val="none"/>
          <w:lang w:val="en-US" w:eastAsia="zh-CN"/>
        </w:rPr>
      </w:pPr>
      <w:r>
        <w:rPr>
          <w:rFonts w:hint="eastAsia" w:cs="宋体" w:asciiTheme="minorEastAsia" w:hAnsiTheme="minorEastAsia" w:eastAsiaTheme="minorEastAsia"/>
          <w:b/>
          <w:bCs/>
          <w:color w:val="auto"/>
          <w:sz w:val="21"/>
          <w:szCs w:val="21"/>
          <w:highlight w:val="none"/>
          <w:lang w:val="en-US" w:eastAsia="zh-CN"/>
        </w:rPr>
        <w:t>1、响应函</w:t>
      </w:r>
    </w:p>
    <w:p w14:paraId="2F80B427">
      <w:pPr>
        <w:spacing w:line="360" w:lineRule="auto"/>
        <w:jc w:val="center"/>
        <w:rPr>
          <w:rFonts w:cs="仿宋_GB2312" w:asciiTheme="minorEastAsia" w:hAnsiTheme="minorEastAsia" w:eastAsiaTheme="minorEastAsia"/>
          <w:b/>
          <w:bCs/>
          <w:color w:val="auto"/>
          <w:sz w:val="32"/>
          <w:szCs w:val="32"/>
          <w:highlight w:val="none"/>
        </w:rPr>
      </w:pPr>
      <w:r>
        <w:rPr>
          <w:rFonts w:hint="eastAsia" w:cs="仿宋_GB2312" w:asciiTheme="minorEastAsia" w:hAnsiTheme="minorEastAsia" w:eastAsiaTheme="minorEastAsia"/>
          <w:b/>
          <w:color w:val="auto"/>
          <w:kern w:val="0"/>
          <w:sz w:val="32"/>
          <w:szCs w:val="32"/>
          <w:highlight w:val="none"/>
        </w:rPr>
        <w:t>响应</w:t>
      </w:r>
      <w:r>
        <w:rPr>
          <w:rFonts w:hint="eastAsia" w:cs="仿宋_GB2312" w:asciiTheme="minorEastAsia" w:hAnsiTheme="minorEastAsia" w:eastAsiaTheme="minorEastAsia"/>
          <w:b/>
          <w:color w:val="auto"/>
          <w:sz w:val="32"/>
          <w:szCs w:val="32"/>
          <w:highlight w:val="none"/>
        </w:rPr>
        <w:t>函</w:t>
      </w:r>
    </w:p>
    <w:p w14:paraId="45F29B6C">
      <w:pPr>
        <w:spacing w:line="360" w:lineRule="auto"/>
        <w:rPr>
          <w:rFonts w:cs="仿宋_GB2312" w:asciiTheme="minorEastAsia" w:hAnsiTheme="minorEastAsia" w:eastAsiaTheme="minorEastAsia"/>
          <w:color w:val="auto"/>
          <w:sz w:val="21"/>
          <w:szCs w:val="21"/>
          <w:highlight w:val="none"/>
        </w:rPr>
      </w:pPr>
      <w:r>
        <w:rPr>
          <w:rFonts w:hint="eastAsia" w:cs="仿宋_GB2312" w:asciiTheme="minorEastAsia" w:hAnsiTheme="minorEastAsia" w:eastAsiaTheme="minorEastAsia"/>
          <w:color w:val="auto"/>
          <w:sz w:val="21"/>
          <w:szCs w:val="21"/>
          <w:highlight w:val="none"/>
        </w:rPr>
        <w:t>（采购人）、（采购代理机构）：</w:t>
      </w:r>
    </w:p>
    <w:p w14:paraId="7C1A7BE2">
      <w:pPr>
        <w:spacing w:line="360" w:lineRule="auto"/>
        <w:rPr>
          <w:rFonts w:cs="仿宋_GB2312" w:asciiTheme="minorEastAsia" w:hAnsiTheme="minorEastAsia" w:eastAsiaTheme="minorEastAsia"/>
          <w:color w:val="auto"/>
          <w:sz w:val="21"/>
          <w:szCs w:val="21"/>
          <w:highlight w:val="none"/>
        </w:rPr>
      </w:pPr>
      <w:r>
        <w:rPr>
          <w:rFonts w:hint="eastAsia" w:cs="仿宋_GB2312" w:asciiTheme="minorEastAsia" w:hAnsiTheme="minorEastAsia" w:eastAsiaTheme="minorEastAsia"/>
          <w:color w:val="auto"/>
          <w:kern w:val="0"/>
          <w:sz w:val="21"/>
          <w:szCs w:val="21"/>
          <w:highlight w:val="none"/>
          <w:u w:val="single"/>
          <w:lang w:val="zh-CN"/>
        </w:rPr>
        <w:t xml:space="preserve">                          </w:t>
      </w:r>
      <w:r>
        <w:rPr>
          <w:rFonts w:hint="eastAsia" w:cs="仿宋_GB2312" w:asciiTheme="minorEastAsia" w:hAnsiTheme="minorEastAsia" w:eastAsiaTheme="minorEastAsia"/>
          <w:color w:val="auto"/>
          <w:sz w:val="21"/>
          <w:szCs w:val="21"/>
          <w:highlight w:val="none"/>
        </w:rPr>
        <w:t>(供应商全称)授权</w:t>
      </w:r>
      <w:r>
        <w:rPr>
          <w:rFonts w:hint="eastAsia" w:cs="仿宋_GB2312" w:asciiTheme="minorEastAsia" w:hAnsiTheme="minorEastAsia" w:eastAsiaTheme="minorEastAsia"/>
          <w:color w:val="auto"/>
          <w:kern w:val="0"/>
          <w:sz w:val="21"/>
          <w:szCs w:val="21"/>
          <w:highlight w:val="none"/>
          <w:u w:val="single"/>
          <w:lang w:val="zh-CN"/>
        </w:rPr>
        <w:t xml:space="preserve">                      </w:t>
      </w:r>
      <w:r>
        <w:rPr>
          <w:rFonts w:hint="eastAsia" w:cs="仿宋_GB2312" w:asciiTheme="minorEastAsia" w:hAnsiTheme="minorEastAsia" w:eastAsiaTheme="minorEastAsia"/>
          <w:color w:val="auto"/>
          <w:sz w:val="21"/>
          <w:szCs w:val="21"/>
          <w:highlight w:val="none"/>
        </w:rPr>
        <w:t>(全权代表姓名)</w:t>
      </w:r>
      <w:r>
        <w:rPr>
          <w:rFonts w:hint="eastAsia" w:cs="仿宋_GB2312" w:asciiTheme="minorEastAsia" w:hAnsiTheme="minorEastAsia" w:eastAsiaTheme="minorEastAsia"/>
          <w:color w:val="auto"/>
          <w:kern w:val="0"/>
          <w:sz w:val="21"/>
          <w:szCs w:val="21"/>
          <w:highlight w:val="none"/>
          <w:u w:val="single"/>
          <w:lang w:val="zh-CN"/>
        </w:rPr>
        <w:t xml:space="preserve">          </w:t>
      </w:r>
      <w:r>
        <w:rPr>
          <w:rFonts w:hint="eastAsia" w:cs="仿宋_GB2312" w:asciiTheme="minorEastAsia" w:hAnsiTheme="minorEastAsia" w:eastAsiaTheme="minorEastAsia"/>
          <w:color w:val="auto"/>
          <w:sz w:val="21"/>
          <w:szCs w:val="21"/>
          <w:highlight w:val="none"/>
        </w:rPr>
        <w:t>(职务、职称)为全权代表，参加贵方组织的（项目名称）【项目编号：</w:t>
      </w:r>
      <w:r>
        <w:rPr>
          <w:rFonts w:hint="eastAsia" w:cs="仿宋_GB2312" w:asciiTheme="minorEastAsia" w:hAnsiTheme="minorEastAsia" w:eastAsiaTheme="minorEastAsia"/>
          <w:color w:val="auto"/>
          <w:sz w:val="21"/>
          <w:szCs w:val="21"/>
          <w:highlight w:val="none"/>
          <w:lang w:eastAsia="zh-CN"/>
        </w:rPr>
        <w:t>BHZC2026-J1-990266-BBWH</w:t>
      </w:r>
      <w:r>
        <w:rPr>
          <w:rFonts w:hint="eastAsia" w:cs="仿宋_GB2312" w:asciiTheme="minorEastAsia" w:hAnsiTheme="minorEastAsia" w:eastAsiaTheme="minorEastAsia"/>
          <w:color w:val="auto"/>
          <w:sz w:val="21"/>
          <w:szCs w:val="21"/>
          <w:highlight w:val="none"/>
        </w:rPr>
        <w:t>】的有关活动，并对此项目进行响应。为此：</w:t>
      </w:r>
    </w:p>
    <w:p w14:paraId="5DD77115">
      <w:pPr>
        <w:pStyle w:val="104"/>
        <w:numPr>
          <w:ilvl w:val="0"/>
          <w:numId w:val="14"/>
        </w:numPr>
        <w:snapToGrid w:val="0"/>
        <w:ind w:firstLineChars="0"/>
        <w:rPr>
          <w:rFonts w:cs="仿宋_GB2312" w:asciiTheme="minorEastAsia" w:hAnsiTheme="minorEastAsia" w:eastAsiaTheme="minorEastAsia"/>
          <w:color w:val="auto"/>
          <w:sz w:val="21"/>
          <w:szCs w:val="21"/>
          <w:highlight w:val="none"/>
        </w:rPr>
      </w:pPr>
      <w:r>
        <w:rPr>
          <w:rFonts w:hint="eastAsia" w:cs="仿宋_GB2312" w:asciiTheme="minorEastAsia" w:hAnsiTheme="minorEastAsia" w:eastAsiaTheme="minorEastAsia"/>
          <w:color w:val="auto"/>
          <w:sz w:val="21"/>
          <w:szCs w:val="21"/>
          <w:highlight w:val="none"/>
        </w:rPr>
        <w:t>我方承诺响应有效期从提交响应文件的截止之日起</w:t>
      </w:r>
      <w:r>
        <w:rPr>
          <w:rFonts w:hint="eastAsia" w:cs="仿宋_GB2312" w:asciiTheme="minorEastAsia" w:hAnsiTheme="minorEastAsia" w:eastAsiaTheme="minorEastAsia"/>
          <w:color w:val="auto"/>
          <w:sz w:val="21"/>
          <w:szCs w:val="21"/>
          <w:highlight w:val="none"/>
          <w:u w:val="single"/>
        </w:rPr>
        <w:t xml:space="preserve">     </w:t>
      </w:r>
      <w:r>
        <w:rPr>
          <w:rFonts w:hint="eastAsia" w:cs="仿宋_GB2312" w:asciiTheme="minorEastAsia" w:hAnsiTheme="minorEastAsia" w:eastAsiaTheme="minorEastAsia"/>
          <w:color w:val="auto"/>
          <w:sz w:val="21"/>
          <w:szCs w:val="21"/>
          <w:highlight w:val="none"/>
        </w:rPr>
        <w:t>天，</w:t>
      </w:r>
      <w:r>
        <w:rPr>
          <w:rFonts w:hint="eastAsia" w:cs="宋体" w:asciiTheme="minorEastAsia" w:hAnsiTheme="minorEastAsia" w:eastAsiaTheme="minorEastAsia"/>
          <w:color w:val="auto"/>
          <w:sz w:val="21"/>
          <w:szCs w:val="21"/>
          <w:highlight w:val="none"/>
        </w:rPr>
        <w:t>（不少于60天），</w:t>
      </w:r>
      <w:r>
        <w:rPr>
          <w:rFonts w:hint="eastAsia" w:cs="仿宋_GB2312" w:asciiTheme="minorEastAsia" w:hAnsiTheme="minorEastAsia" w:eastAsiaTheme="minorEastAsia"/>
          <w:color w:val="auto"/>
          <w:sz w:val="21"/>
          <w:szCs w:val="21"/>
          <w:highlight w:val="none"/>
        </w:rPr>
        <w:t>本响应文件在响应有效期满之前均具有约束力。</w:t>
      </w:r>
    </w:p>
    <w:p w14:paraId="033F660E">
      <w:pPr>
        <w:numPr>
          <w:ilvl w:val="0"/>
          <w:numId w:val="14"/>
        </w:numPr>
        <w:adjustRightInd/>
        <w:spacing w:line="360" w:lineRule="auto"/>
        <w:rPr>
          <w:rFonts w:cs="仿宋_GB2312" w:asciiTheme="minorEastAsia" w:hAnsiTheme="minorEastAsia" w:eastAsiaTheme="minorEastAsia"/>
          <w:color w:val="auto"/>
          <w:sz w:val="21"/>
          <w:szCs w:val="21"/>
          <w:highlight w:val="none"/>
        </w:rPr>
      </w:pPr>
      <w:r>
        <w:rPr>
          <w:rFonts w:hint="eastAsia" w:cs="仿宋_GB2312" w:asciiTheme="minorEastAsia" w:hAnsiTheme="minorEastAsia" w:eastAsiaTheme="minorEastAsia"/>
          <w:color w:val="auto"/>
          <w:sz w:val="21"/>
          <w:szCs w:val="21"/>
          <w:highlight w:val="none"/>
        </w:rPr>
        <w:t>提供</w:t>
      </w:r>
      <w:r>
        <w:rPr>
          <w:rFonts w:hint="eastAsia" w:cs="仿宋_GB2312" w:asciiTheme="minorEastAsia" w:hAnsiTheme="minorEastAsia" w:eastAsiaTheme="minorEastAsia"/>
          <w:bCs/>
          <w:color w:val="auto"/>
          <w:kern w:val="44"/>
          <w:sz w:val="21"/>
          <w:szCs w:val="21"/>
          <w:highlight w:val="none"/>
        </w:rPr>
        <w:t>谈判文件中</w:t>
      </w:r>
      <w:r>
        <w:rPr>
          <w:rFonts w:hint="eastAsia" w:cs="仿宋_GB2312" w:asciiTheme="minorEastAsia" w:hAnsiTheme="minorEastAsia" w:eastAsiaTheme="minorEastAsia"/>
          <w:color w:val="auto"/>
          <w:sz w:val="21"/>
          <w:szCs w:val="21"/>
          <w:highlight w:val="none"/>
        </w:rPr>
        <w:t>规定的全部响应文件。</w:t>
      </w:r>
    </w:p>
    <w:p w14:paraId="05516C0C">
      <w:pPr>
        <w:numPr>
          <w:ilvl w:val="0"/>
          <w:numId w:val="14"/>
        </w:numPr>
        <w:adjustRightInd/>
        <w:spacing w:line="360" w:lineRule="auto"/>
        <w:rPr>
          <w:rFonts w:cs="仿宋_GB2312"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我方承诺除响应文件列出的偏离外，我方响应谈判文件的全部要求。</w:t>
      </w:r>
    </w:p>
    <w:p w14:paraId="0D11BB52">
      <w:pPr>
        <w:numPr>
          <w:ilvl w:val="0"/>
          <w:numId w:val="14"/>
        </w:numPr>
        <w:adjustRightInd/>
        <w:spacing w:line="360" w:lineRule="auto"/>
        <w:rPr>
          <w:rFonts w:cs="仿宋_GB2312" w:asciiTheme="minorEastAsia" w:hAnsiTheme="minorEastAsia" w:eastAsiaTheme="minorEastAsia"/>
          <w:color w:val="auto"/>
          <w:sz w:val="21"/>
          <w:szCs w:val="21"/>
          <w:highlight w:val="none"/>
        </w:rPr>
      </w:pPr>
      <w:r>
        <w:rPr>
          <w:rFonts w:hint="eastAsia" w:cs="仿宋_GB2312" w:asciiTheme="minorEastAsia" w:hAnsiTheme="minorEastAsia" w:eastAsiaTheme="minorEastAsia"/>
          <w:color w:val="auto"/>
          <w:sz w:val="21"/>
          <w:szCs w:val="21"/>
          <w:highlight w:val="none"/>
        </w:rPr>
        <w:t>保证遵守谈判文件中的其他有关规定。</w:t>
      </w:r>
    </w:p>
    <w:p w14:paraId="359653C0">
      <w:pPr>
        <w:numPr>
          <w:ilvl w:val="0"/>
          <w:numId w:val="14"/>
        </w:numPr>
        <w:adjustRightInd/>
        <w:spacing w:line="360" w:lineRule="auto"/>
        <w:rPr>
          <w:rFonts w:cs="仿宋_GB2312" w:asciiTheme="minorEastAsia" w:hAnsiTheme="minorEastAsia" w:eastAsiaTheme="minorEastAsia"/>
          <w:color w:val="auto"/>
          <w:sz w:val="21"/>
          <w:szCs w:val="21"/>
          <w:highlight w:val="none"/>
        </w:rPr>
      </w:pPr>
      <w:r>
        <w:rPr>
          <w:rFonts w:hint="eastAsia" w:cs="仿宋_GB2312" w:asciiTheme="minorEastAsia" w:hAnsiTheme="minorEastAsia" w:eastAsiaTheme="minorEastAsia"/>
          <w:color w:val="auto"/>
          <w:sz w:val="21"/>
          <w:szCs w:val="21"/>
          <w:highlight w:val="none"/>
        </w:rPr>
        <w:t>我方愿意向贵方提供任何与该项目响应有关的数据、情况和技术资料。若贵方需要，我方愿意提供我方作出的一切承诺的证明材料。</w:t>
      </w:r>
    </w:p>
    <w:p w14:paraId="6D74D734">
      <w:pPr>
        <w:numPr>
          <w:ilvl w:val="0"/>
          <w:numId w:val="14"/>
        </w:numPr>
        <w:adjustRightInd/>
        <w:spacing w:line="360" w:lineRule="auto"/>
        <w:rPr>
          <w:rFonts w:cs="仿宋_GB2312" w:asciiTheme="minorEastAsia" w:hAnsiTheme="minorEastAsia" w:eastAsiaTheme="minorEastAsia"/>
          <w:color w:val="auto"/>
          <w:sz w:val="21"/>
          <w:szCs w:val="21"/>
          <w:highlight w:val="none"/>
        </w:rPr>
      </w:pPr>
      <w:r>
        <w:rPr>
          <w:rFonts w:hint="eastAsia" w:cs="仿宋_GB2312" w:asciiTheme="minorEastAsia" w:hAnsiTheme="minorEastAsia" w:eastAsiaTheme="minorEastAsia"/>
          <w:color w:val="auto"/>
          <w:sz w:val="21"/>
          <w:szCs w:val="21"/>
          <w:highlight w:val="none"/>
        </w:rPr>
        <w:t>我方已详细阅读全部谈判文件，包括谈判文件“更正（延期）公告”（如果有）、参考资料及有关附件，确认无误。</w:t>
      </w:r>
    </w:p>
    <w:p w14:paraId="0559D630">
      <w:pPr>
        <w:numPr>
          <w:ilvl w:val="0"/>
          <w:numId w:val="14"/>
        </w:numPr>
        <w:adjustRightInd/>
        <w:spacing w:line="360" w:lineRule="auto"/>
        <w:rPr>
          <w:rFonts w:cs="仿宋_GB2312"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如我方成交，我方承诺：</w:t>
      </w:r>
    </w:p>
    <w:p w14:paraId="73D120A6">
      <w:pPr>
        <w:snapToGrid w:val="0"/>
        <w:spacing w:line="360" w:lineRule="auto"/>
        <w:ind w:left="210" w:leftChars="100" w:firstLine="420"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 xml:space="preserve">7.1在收到成交通知书后，在成交通知书规定的期限内与你方签订合同； </w:t>
      </w:r>
    </w:p>
    <w:p w14:paraId="0C40A19F">
      <w:pPr>
        <w:snapToGrid w:val="0"/>
        <w:spacing w:line="360" w:lineRule="auto"/>
        <w:ind w:left="210" w:leftChars="100" w:firstLine="420"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 xml:space="preserve">7.2在签订合同时不向你方提出附加条件； </w:t>
      </w:r>
    </w:p>
    <w:p w14:paraId="241AF462">
      <w:pPr>
        <w:snapToGrid w:val="0"/>
        <w:spacing w:line="360" w:lineRule="auto"/>
        <w:ind w:left="210" w:leftChars="100" w:firstLine="420"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 xml:space="preserve">7.3按照谈判文件要求提交履约保证金； </w:t>
      </w:r>
    </w:p>
    <w:p w14:paraId="27ACD583">
      <w:pPr>
        <w:snapToGrid w:val="0"/>
        <w:spacing w:line="360" w:lineRule="auto"/>
        <w:ind w:left="210" w:leftChars="100" w:firstLine="420"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 xml:space="preserve">7.4在合同约定的期限内完成合同规定的全部义务。 </w:t>
      </w:r>
    </w:p>
    <w:p w14:paraId="7A85A61F">
      <w:pPr>
        <w:numPr>
          <w:ilvl w:val="0"/>
          <w:numId w:val="14"/>
        </w:numPr>
        <w:adjustRightInd/>
        <w:spacing w:line="360" w:lineRule="auto"/>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其他补充说明:                                        。</w:t>
      </w:r>
    </w:p>
    <w:p w14:paraId="1FC49BFD">
      <w:pPr>
        <w:autoSpaceDE w:val="0"/>
        <w:autoSpaceDN w:val="0"/>
        <w:spacing w:line="360" w:lineRule="auto"/>
        <w:ind w:firstLine="3465" w:firstLineChars="1650"/>
        <w:rPr>
          <w:rFonts w:cs="仿宋_GB2312" w:asciiTheme="minorEastAsia" w:hAnsiTheme="minorEastAsia" w:eastAsiaTheme="minorEastAsia"/>
          <w:color w:val="auto"/>
          <w:kern w:val="0"/>
          <w:sz w:val="21"/>
          <w:szCs w:val="21"/>
          <w:highlight w:val="none"/>
          <w:lang w:val="zh-CN"/>
        </w:rPr>
      </w:pPr>
    </w:p>
    <w:p w14:paraId="6D6943B9">
      <w:pPr>
        <w:spacing w:line="360" w:lineRule="auto"/>
        <w:ind w:firstLine="3150" w:firstLineChars="1500"/>
        <w:rPr>
          <w:rFonts w:ascii="宋体" w:hAnsi="宋体" w:cs="宋体"/>
          <w:color w:val="auto"/>
          <w:sz w:val="21"/>
          <w:szCs w:val="21"/>
          <w:highlight w:val="none"/>
        </w:rPr>
      </w:pPr>
      <w:r>
        <w:rPr>
          <w:rFonts w:hint="eastAsia" w:ascii="宋体" w:hAnsi="宋体" w:cs="宋体"/>
          <w:color w:val="auto"/>
          <w:sz w:val="21"/>
          <w:szCs w:val="21"/>
          <w:highlight w:val="none"/>
        </w:rPr>
        <w:t>谈判供应商名称（公章）：</w:t>
      </w:r>
    </w:p>
    <w:p w14:paraId="0F14D826">
      <w:pPr>
        <w:spacing w:line="360" w:lineRule="auto"/>
        <w:ind w:firstLine="3150" w:firstLineChars="1500"/>
        <w:rPr>
          <w:rFonts w:ascii="宋体" w:hAnsi="宋体" w:cs="宋体"/>
          <w:color w:val="auto"/>
          <w:sz w:val="21"/>
          <w:szCs w:val="21"/>
          <w:highlight w:val="none"/>
        </w:rPr>
      </w:pPr>
      <w:r>
        <w:rPr>
          <w:rFonts w:hint="eastAsia" w:ascii="宋体" w:hAnsi="宋体" w:cs="宋体"/>
          <w:color w:val="auto"/>
          <w:sz w:val="21"/>
          <w:szCs w:val="21"/>
          <w:highlight w:val="none"/>
        </w:rPr>
        <w:t xml:space="preserve">法定代表人（负责人）或委托代理人(签名)：                          </w:t>
      </w:r>
    </w:p>
    <w:p w14:paraId="52B57328">
      <w:pPr>
        <w:spacing w:line="360" w:lineRule="auto"/>
        <w:jc w:val="center"/>
        <w:rPr>
          <w:rFonts w:ascii="宋体" w:hAnsi="宋体" w:cs="宋体"/>
          <w:color w:val="auto"/>
          <w:sz w:val="21"/>
          <w:szCs w:val="21"/>
          <w:highlight w:val="none"/>
        </w:rPr>
      </w:pPr>
      <w:r>
        <w:rPr>
          <w:rFonts w:hint="eastAsia" w:ascii="宋体" w:hAnsi="宋体" w:cs="宋体"/>
          <w:color w:val="auto"/>
          <w:sz w:val="21"/>
          <w:szCs w:val="21"/>
          <w:highlight w:val="none"/>
        </w:rPr>
        <w:t xml:space="preserve">     日期：  年   月   日</w:t>
      </w:r>
    </w:p>
    <w:p w14:paraId="0E4468F1">
      <w:pPr>
        <w:spacing w:line="360" w:lineRule="auto"/>
        <w:ind w:right="42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注：按本格式和要求提供。</w:t>
      </w:r>
    </w:p>
    <w:p w14:paraId="23BC1BF6">
      <w:pPr>
        <w:pStyle w:val="31"/>
        <w:spacing w:line="360" w:lineRule="auto"/>
        <w:ind w:firstLine="480" w:firstLineChars="200"/>
        <w:rPr>
          <w:rFonts w:hint="eastAsia" w:cs="宋体" w:asciiTheme="minorEastAsia" w:hAnsiTheme="minorEastAsia" w:eastAsiaTheme="minorEastAsia"/>
          <w:color w:val="auto"/>
          <w:sz w:val="24"/>
          <w:highlight w:val="none"/>
        </w:rPr>
      </w:pPr>
    </w:p>
    <w:p w14:paraId="4BCD9623">
      <w:pPr>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br w:type="page"/>
      </w:r>
    </w:p>
    <w:p w14:paraId="34C976B8">
      <w:pPr>
        <w:pStyle w:val="31"/>
        <w:spacing w:line="360" w:lineRule="auto"/>
        <w:rPr>
          <w:rFonts w:hint="eastAsia" w:cs="宋体" w:asciiTheme="minorEastAsia" w:hAnsiTheme="minorEastAsia" w:eastAsiaTheme="minorEastAsia"/>
          <w:b/>
          <w:bCs/>
          <w:color w:val="auto"/>
          <w:sz w:val="21"/>
          <w:szCs w:val="21"/>
          <w:highlight w:val="none"/>
          <w:lang w:val="en-US" w:eastAsia="zh-CN"/>
        </w:rPr>
      </w:pPr>
      <w:r>
        <w:rPr>
          <w:rFonts w:hint="eastAsia" w:asciiTheme="minorEastAsia" w:hAnsiTheme="minorEastAsia" w:eastAsiaTheme="minorEastAsia"/>
          <w:b/>
          <w:bCs/>
          <w:color w:val="auto"/>
          <w:sz w:val="21"/>
          <w:szCs w:val="21"/>
          <w:highlight w:val="none"/>
          <w:lang w:val="en-US" w:eastAsia="zh-CN"/>
        </w:rPr>
        <w:t>2、</w:t>
      </w:r>
      <w:r>
        <w:rPr>
          <w:rFonts w:hint="eastAsia" w:asciiTheme="minorEastAsia" w:hAnsiTheme="minorEastAsia" w:eastAsiaTheme="minorEastAsia"/>
          <w:b/>
          <w:bCs/>
          <w:color w:val="auto"/>
          <w:sz w:val="21"/>
          <w:szCs w:val="21"/>
          <w:highlight w:val="none"/>
        </w:rPr>
        <w:t>承诺函</w:t>
      </w:r>
    </w:p>
    <w:p w14:paraId="38CF8FAE">
      <w:pPr>
        <w:jc w:val="center"/>
        <w:rPr>
          <w:rFonts w:ascii="宋体" w:hAnsi="宋体" w:cs="宋体"/>
          <w:b/>
          <w:color w:val="auto"/>
          <w:kern w:val="0"/>
          <w:sz w:val="32"/>
          <w:szCs w:val="21"/>
          <w:highlight w:val="none"/>
        </w:rPr>
      </w:pPr>
      <w:r>
        <w:rPr>
          <w:rFonts w:hint="eastAsia" w:ascii="宋体" w:hAnsi="宋体" w:cs="宋体"/>
          <w:b/>
          <w:color w:val="auto"/>
          <w:kern w:val="0"/>
          <w:sz w:val="32"/>
          <w:szCs w:val="21"/>
          <w:highlight w:val="none"/>
        </w:rPr>
        <w:t>承诺函</w:t>
      </w:r>
    </w:p>
    <w:p w14:paraId="1FC23A75">
      <w:pPr>
        <w:widowControl/>
        <w:adjustRightInd/>
        <w:ind w:firstLine="640" w:firstLineChars="200"/>
        <w:jc w:val="left"/>
        <w:rPr>
          <w:rFonts w:ascii="宋体" w:hAnsi="宋体" w:cs="宋体"/>
          <w:color w:val="auto"/>
          <w:kern w:val="0"/>
          <w:sz w:val="32"/>
          <w:szCs w:val="21"/>
          <w:highlight w:val="none"/>
        </w:rPr>
      </w:pPr>
    </w:p>
    <w:p w14:paraId="72FB1AA0">
      <w:pPr>
        <w:snapToGrid w:val="0"/>
        <w:spacing w:line="360" w:lineRule="auto"/>
        <w:rPr>
          <w:rFonts w:ascii="宋体" w:hAnsi="宋体" w:cs="宋体"/>
          <w:color w:val="auto"/>
          <w:kern w:val="0"/>
          <w:sz w:val="21"/>
          <w:szCs w:val="21"/>
          <w:highlight w:val="none"/>
        </w:rPr>
      </w:pPr>
      <w:r>
        <w:rPr>
          <w:rFonts w:hint="eastAsia" w:ascii="宋体" w:hAnsi="宋体" w:cs="宋体"/>
          <w:color w:val="auto"/>
          <w:sz w:val="21"/>
          <w:szCs w:val="21"/>
          <w:highlight w:val="none"/>
        </w:rPr>
        <w:t>（采购人）、（采购代理机构）</w:t>
      </w:r>
      <w:r>
        <w:rPr>
          <w:rFonts w:hint="eastAsia" w:ascii="宋体" w:hAnsi="宋体" w:cs="宋体"/>
          <w:color w:val="auto"/>
          <w:kern w:val="0"/>
          <w:sz w:val="21"/>
          <w:szCs w:val="21"/>
          <w:highlight w:val="none"/>
          <w:lang w:val="zh-CN"/>
        </w:rPr>
        <w:t>：</w:t>
      </w:r>
    </w:p>
    <w:p w14:paraId="7372ED13">
      <w:pPr>
        <w:widowControl/>
        <w:adjustRightInd/>
        <w:spacing w:line="360" w:lineRule="auto"/>
        <w:ind w:firstLine="420" w:firstLineChars="200"/>
        <w:jc w:val="left"/>
        <w:rPr>
          <w:rFonts w:ascii="宋体" w:hAnsi="宋体" w:cs="宋体"/>
          <w:color w:val="auto"/>
          <w:kern w:val="0"/>
          <w:sz w:val="21"/>
          <w:szCs w:val="21"/>
          <w:highlight w:val="none"/>
        </w:rPr>
      </w:pPr>
      <w:r>
        <w:rPr>
          <w:rFonts w:hint="eastAsia" w:ascii="宋体" w:hAnsi="宋体" w:cs="宋体"/>
          <w:color w:val="auto"/>
          <w:kern w:val="0"/>
          <w:sz w:val="21"/>
          <w:szCs w:val="21"/>
          <w:highlight w:val="none"/>
        </w:rPr>
        <w:t>我方作为本次采购项目的谈判供应商，根据谈判文件要求，现郑重承诺如下：</w:t>
      </w:r>
    </w:p>
    <w:p w14:paraId="3F79206E">
      <w:pPr>
        <w:widowControl/>
        <w:adjustRightInd/>
        <w:spacing w:line="360" w:lineRule="auto"/>
        <w:ind w:firstLine="420" w:firstLineChars="200"/>
        <w:jc w:val="left"/>
        <w:rPr>
          <w:rFonts w:ascii="宋体" w:hAnsi="宋体" w:cs="宋体"/>
          <w:color w:val="auto"/>
          <w:kern w:val="0"/>
          <w:sz w:val="21"/>
          <w:szCs w:val="21"/>
          <w:highlight w:val="none"/>
        </w:rPr>
      </w:pPr>
      <w:r>
        <w:rPr>
          <w:rFonts w:hint="eastAsia" w:ascii="宋体" w:hAnsi="宋体" w:cs="宋体"/>
          <w:color w:val="auto"/>
          <w:kern w:val="0"/>
          <w:sz w:val="21"/>
          <w:szCs w:val="21"/>
          <w:highlight w:val="none"/>
        </w:rPr>
        <w:t>一、我方已认真阅读并接受本项目谈判文件第三部分的全部实质性要求，如对谈判文件有异议，已依法进行维权救济，不存在对谈判文件有异议的同时又参加谈判以求侥幸成交或者为实现其他非法目的的行为。</w:t>
      </w:r>
    </w:p>
    <w:p w14:paraId="36628DED">
      <w:pPr>
        <w:widowControl/>
        <w:adjustRightInd/>
        <w:spacing w:line="360" w:lineRule="auto"/>
        <w:ind w:firstLine="420" w:firstLineChars="200"/>
        <w:jc w:val="left"/>
        <w:rPr>
          <w:rFonts w:ascii="宋体" w:hAnsi="宋体" w:cs="宋体"/>
          <w:color w:val="auto"/>
          <w:kern w:val="0"/>
          <w:sz w:val="21"/>
          <w:szCs w:val="21"/>
          <w:highlight w:val="none"/>
        </w:rPr>
      </w:pPr>
      <w:r>
        <w:rPr>
          <w:rFonts w:hint="eastAsia" w:ascii="宋体" w:hAnsi="宋体" w:cs="宋体"/>
          <w:color w:val="auto"/>
          <w:kern w:val="0"/>
          <w:sz w:val="21"/>
          <w:szCs w:val="21"/>
          <w:highlight w:val="none"/>
        </w:rPr>
        <w:t>二、参加本次谈判采购活动，不存在与单位负责人为同一人或者存在直接控股、管理关系的其他供应商参与同一合同项下的政府采购活动的行为。</w:t>
      </w:r>
    </w:p>
    <w:p w14:paraId="52062714">
      <w:pPr>
        <w:widowControl/>
        <w:adjustRightInd/>
        <w:spacing w:line="360" w:lineRule="auto"/>
        <w:ind w:firstLine="420" w:firstLineChars="200"/>
        <w:jc w:val="left"/>
        <w:rPr>
          <w:rFonts w:ascii="宋体" w:hAnsi="宋体" w:cs="宋体"/>
          <w:color w:val="auto"/>
          <w:kern w:val="0"/>
          <w:sz w:val="21"/>
          <w:szCs w:val="21"/>
          <w:highlight w:val="none"/>
        </w:rPr>
      </w:pPr>
      <w:r>
        <w:rPr>
          <w:rFonts w:hint="eastAsia" w:ascii="宋体" w:hAnsi="宋体" w:cs="宋体"/>
          <w:color w:val="auto"/>
          <w:kern w:val="0"/>
          <w:sz w:val="21"/>
          <w:szCs w:val="21"/>
          <w:highlight w:val="none"/>
        </w:rPr>
        <w:t>三、为采购项目提供整体设计、规范编制或者项目管理、监理、检测等服务的供应商，不得再参加该采购项目的其他采购活动，我方承诺不属于此类禁止参加本项目的供应商。</w:t>
      </w:r>
    </w:p>
    <w:p w14:paraId="14167C80">
      <w:pPr>
        <w:widowControl/>
        <w:adjustRightInd/>
        <w:spacing w:line="360" w:lineRule="auto"/>
        <w:ind w:firstLine="420" w:firstLineChars="200"/>
        <w:jc w:val="left"/>
        <w:rPr>
          <w:rFonts w:ascii="宋体" w:hAnsi="宋体" w:cs="宋体"/>
          <w:color w:val="auto"/>
          <w:kern w:val="0"/>
          <w:sz w:val="21"/>
          <w:szCs w:val="21"/>
          <w:highlight w:val="none"/>
        </w:rPr>
      </w:pPr>
      <w:r>
        <w:rPr>
          <w:rFonts w:hint="eastAsia" w:ascii="宋体" w:hAnsi="宋体" w:cs="宋体"/>
          <w:color w:val="auto"/>
          <w:kern w:val="0"/>
          <w:sz w:val="21"/>
          <w:szCs w:val="21"/>
          <w:highlight w:val="none"/>
        </w:rPr>
        <w:t>四、参加本次谈判采购活动，不存在和其他供应商在同一合同项下的采购项目中，同时委托同一个自然人、同一家庭的人员、同一单位的人员作为代理人的行为。</w:t>
      </w:r>
    </w:p>
    <w:p w14:paraId="5C28124E">
      <w:pPr>
        <w:widowControl/>
        <w:adjustRightInd/>
        <w:spacing w:line="360" w:lineRule="auto"/>
        <w:ind w:firstLine="420" w:firstLineChars="200"/>
        <w:jc w:val="left"/>
        <w:rPr>
          <w:rFonts w:ascii="宋体" w:hAnsi="宋体" w:cs="宋体"/>
          <w:color w:val="auto"/>
          <w:kern w:val="0"/>
          <w:sz w:val="21"/>
          <w:szCs w:val="21"/>
          <w:highlight w:val="none"/>
        </w:rPr>
      </w:pPr>
      <w:r>
        <w:rPr>
          <w:rFonts w:hint="eastAsia" w:ascii="宋体" w:hAnsi="宋体" w:cs="宋体"/>
          <w:color w:val="auto"/>
          <w:kern w:val="0"/>
          <w:sz w:val="21"/>
          <w:szCs w:val="21"/>
          <w:highlight w:val="none"/>
        </w:rPr>
        <w:t>五、响应文件中提供的能够给予我方带来优惠、好处的任何材料资料和技术、服务、商务、响应产品等响应承诺情况都是真实的、有效的、合法的。</w:t>
      </w:r>
    </w:p>
    <w:p w14:paraId="2AC86C3D">
      <w:pPr>
        <w:widowControl/>
        <w:adjustRightInd/>
        <w:spacing w:line="360" w:lineRule="auto"/>
        <w:ind w:firstLine="420" w:firstLineChars="200"/>
        <w:jc w:val="left"/>
        <w:rPr>
          <w:rFonts w:ascii="宋体" w:hAnsi="宋体" w:cs="宋体"/>
          <w:color w:val="auto"/>
          <w:kern w:val="0"/>
          <w:sz w:val="21"/>
          <w:szCs w:val="21"/>
          <w:highlight w:val="none"/>
        </w:rPr>
      </w:pPr>
      <w:r>
        <w:rPr>
          <w:rFonts w:hint="eastAsia" w:ascii="宋体" w:hAnsi="宋体" w:cs="宋体"/>
          <w:color w:val="auto"/>
          <w:kern w:val="0"/>
          <w:sz w:val="21"/>
          <w:szCs w:val="21"/>
          <w:highlight w:val="none"/>
        </w:rPr>
        <w:t>六、如本项目评审过程中需要提供样品，则我方提供的样品即为成交后将要提供的成交产品，我方对提供样品的性能和质量负责，因样品存在缺陷或者不符合谈判文件要求导致未能成交的，我方愿意承担相应不利后果。</w:t>
      </w:r>
    </w:p>
    <w:p w14:paraId="3E9D7A44">
      <w:pPr>
        <w:widowControl/>
        <w:adjustRightInd/>
        <w:spacing w:line="360" w:lineRule="auto"/>
        <w:ind w:firstLine="420" w:firstLineChars="200"/>
        <w:jc w:val="left"/>
        <w:rPr>
          <w:rFonts w:ascii="宋体" w:hAnsi="宋体" w:cs="宋体"/>
          <w:color w:val="auto"/>
          <w:kern w:val="0"/>
          <w:sz w:val="21"/>
          <w:szCs w:val="21"/>
          <w:highlight w:val="none"/>
        </w:rPr>
      </w:pPr>
      <w:r>
        <w:rPr>
          <w:rFonts w:hint="eastAsia" w:ascii="宋体" w:hAnsi="宋体" w:cs="宋体"/>
          <w:color w:val="auto"/>
          <w:kern w:val="0"/>
          <w:sz w:val="21"/>
          <w:szCs w:val="21"/>
          <w:highlight w:val="none"/>
        </w:rPr>
        <w:t>七、国家或行业主管部门对采购产品的技术标准、质量标准和资格资质条件等有强制性规定的，我方承诺符合其要求。</w:t>
      </w:r>
    </w:p>
    <w:p w14:paraId="05500169">
      <w:pPr>
        <w:widowControl/>
        <w:adjustRightInd/>
        <w:spacing w:line="360" w:lineRule="auto"/>
        <w:ind w:firstLine="420" w:firstLineChars="200"/>
        <w:jc w:val="left"/>
        <w:rPr>
          <w:rFonts w:ascii="宋体" w:hAnsi="宋体" w:cs="宋体"/>
          <w:color w:val="auto"/>
          <w:kern w:val="0"/>
          <w:sz w:val="21"/>
          <w:szCs w:val="21"/>
          <w:highlight w:val="none"/>
        </w:rPr>
      </w:pPr>
      <w:r>
        <w:rPr>
          <w:rFonts w:hint="eastAsia" w:ascii="宋体" w:hAnsi="宋体" w:cs="宋体"/>
          <w:color w:val="auto"/>
          <w:kern w:val="0"/>
          <w:sz w:val="21"/>
          <w:szCs w:val="21"/>
          <w:highlight w:val="none"/>
        </w:rPr>
        <w:t>八、参加本次谈判采购活动，我方完全同意谈判文件第三部分关于“谈判费用”、“合同分包”、“合同转包”、“履约保证金”的实质性要求，并承诺严格按照谈判文件要求履行。</w:t>
      </w:r>
    </w:p>
    <w:p w14:paraId="3CC078AC">
      <w:pPr>
        <w:widowControl/>
        <w:adjustRightInd/>
        <w:spacing w:line="360" w:lineRule="auto"/>
        <w:ind w:firstLine="420" w:firstLineChars="200"/>
        <w:jc w:val="left"/>
        <w:rPr>
          <w:rFonts w:ascii="宋体" w:hAnsi="宋体" w:cs="宋体"/>
          <w:color w:val="auto"/>
          <w:kern w:val="0"/>
          <w:sz w:val="21"/>
          <w:szCs w:val="21"/>
          <w:highlight w:val="none"/>
        </w:rPr>
      </w:pPr>
      <w:r>
        <w:rPr>
          <w:rFonts w:hint="eastAsia" w:ascii="宋体" w:hAnsi="宋体" w:cs="宋体"/>
          <w:color w:val="auto"/>
          <w:kern w:val="0"/>
          <w:sz w:val="21"/>
          <w:szCs w:val="21"/>
          <w:highlight w:val="none"/>
        </w:rPr>
        <w:t>九、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采购人享有本项目实施过程中产生的知识成果及知识产权。如我方在项目实施过程中采用自有知识成果，我方承诺提供开发接口和开发手册等技术文档，并提供无限期技术支持，采购人享有永久使用权（含采购人委托第三方在该项目后续开发的使用权）。如我方在项目实施过程中采用非自有的知识产权，则在响应报价中已包括合法获取该知识产权的相关费用。</w:t>
      </w:r>
    </w:p>
    <w:p w14:paraId="4DD1B974">
      <w:pPr>
        <w:widowControl/>
        <w:adjustRightInd/>
        <w:spacing w:line="360" w:lineRule="auto"/>
        <w:ind w:firstLine="420" w:firstLineChars="200"/>
        <w:jc w:val="left"/>
        <w:rPr>
          <w:rFonts w:ascii="宋体" w:hAnsi="宋体" w:cs="宋体"/>
          <w:color w:val="auto"/>
          <w:kern w:val="0"/>
          <w:sz w:val="21"/>
          <w:szCs w:val="21"/>
          <w:highlight w:val="none"/>
        </w:rPr>
      </w:pPr>
      <w:r>
        <w:rPr>
          <w:rFonts w:hint="eastAsia" w:ascii="宋体" w:hAnsi="宋体" w:cs="宋体"/>
          <w:color w:val="auto"/>
          <w:kern w:val="0"/>
          <w:sz w:val="21"/>
          <w:szCs w:val="21"/>
          <w:highlight w:val="none"/>
        </w:rPr>
        <w:t>我方对上述承诺的内容事项真实性负责。如经查实上述承诺的内容事项存在虚假，我方愿意接受以提供虚假材料谋取中标追究法律责任。</w:t>
      </w:r>
    </w:p>
    <w:p w14:paraId="0BC7368C">
      <w:pPr>
        <w:widowControl/>
        <w:adjustRightInd/>
        <w:spacing w:line="360" w:lineRule="auto"/>
        <w:ind w:firstLine="420" w:firstLineChars="200"/>
        <w:jc w:val="left"/>
        <w:rPr>
          <w:rFonts w:ascii="宋体" w:hAnsi="宋体" w:cs="宋体"/>
          <w:color w:val="auto"/>
          <w:kern w:val="0"/>
          <w:sz w:val="21"/>
          <w:szCs w:val="21"/>
          <w:highlight w:val="none"/>
        </w:rPr>
      </w:pPr>
    </w:p>
    <w:p w14:paraId="51E14B2E">
      <w:pPr>
        <w:autoSpaceDE w:val="0"/>
        <w:autoSpaceDN w:val="0"/>
        <w:spacing w:line="360" w:lineRule="auto"/>
        <w:ind w:left="2" w:leftChars="1" w:firstLine="3990" w:firstLineChars="1900"/>
        <w:jc w:val="left"/>
        <w:rPr>
          <w:rFonts w:cs="仿宋_GB2312" w:asciiTheme="minorEastAsia" w:hAnsiTheme="minorEastAsia" w:eastAsiaTheme="minorEastAsia"/>
          <w:color w:val="auto"/>
          <w:kern w:val="0"/>
          <w:sz w:val="21"/>
          <w:szCs w:val="21"/>
          <w:highlight w:val="none"/>
        </w:rPr>
      </w:pPr>
      <w:r>
        <w:rPr>
          <w:rFonts w:hint="eastAsia" w:cs="宋体" w:asciiTheme="minorEastAsia" w:hAnsiTheme="minorEastAsia" w:eastAsiaTheme="minorEastAsia"/>
          <w:color w:val="auto"/>
          <w:kern w:val="0"/>
          <w:sz w:val="21"/>
          <w:szCs w:val="21"/>
          <w:highlight w:val="none"/>
          <w:lang w:val="zh-CN"/>
        </w:rPr>
        <w:t>谈判供应商名称(公章)</w:t>
      </w:r>
      <w:r>
        <w:rPr>
          <w:rFonts w:hint="eastAsia" w:cs="仿宋_GB2312" w:asciiTheme="minorEastAsia" w:hAnsiTheme="minorEastAsia" w:eastAsiaTheme="minorEastAsia"/>
          <w:color w:val="auto"/>
          <w:kern w:val="0"/>
          <w:sz w:val="21"/>
          <w:szCs w:val="21"/>
          <w:highlight w:val="none"/>
        </w:rPr>
        <w:t>：</w:t>
      </w:r>
    </w:p>
    <w:p w14:paraId="063EAD4E">
      <w:pPr>
        <w:autoSpaceDE w:val="0"/>
        <w:autoSpaceDN w:val="0"/>
        <w:spacing w:line="360" w:lineRule="auto"/>
        <w:ind w:left="2" w:leftChars="1" w:firstLine="3990" w:firstLineChars="1900"/>
        <w:jc w:val="left"/>
        <w:rPr>
          <w:rFonts w:cs="仿宋_GB2312" w:asciiTheme="minorEastAsia" w:hAnsiTheme="minorEastAsia" w:eastAsiaTheme="minorEastAsia"/>
          <w:color w:val="auto"/>
          <w:kern w:val="0"/>
          <w:sz w:val="21"/>
          <w:szCs w:val="21"/>
          <w:highlight w:val="none"/>
          <w:lang w:val="zh-CN"/>
        </w:rPr>
      </w:pPr>
      <w:r>
        <w:rPr>
          <w:rFonts w:hint="eastAsia" w:cs="仿宋_GB2312" w:asciiTheme="minorEastAsia" w:hAnsiTheme="minorEastAsia" w:eastAsiaTheme="minorEastAsia"/>
          <w:color w:val="auto"/>
          <w:kern w:val="0"/>
          <w:sz w:val="21"/>
          <w:szCs w:val="21"/>
          <w:highlight w:val="none"/>
          <w:lang w:val="zh-CN"/>
        </w:rPr>
        <w:t xml:space="preserve">法定代表人（负责人）或委托代理人(签名)：                   </w:t>
      </w:r>
    </w:p>
    <w:p w14:paraId="7E42C95B">
      <w:pPr>
        <w:spacing w:line="360" w:lineRule="auto"/>
        <w:ind w:left="4620" w:leftChars="2200"/>
        <w:rPr>
          <w:rFonts w:asciiTheme="minorEastAsia" w:hAnsiTheme="minorEastAsia" w:eastAsiaTheme="minorEastAsia"/>
          <w:color w:val="auto"/>
          <w:sz w:val="21"/>
          <w:szCs w:val="21"/>
          <w:highlight w:val="none"/>
        </w:rPr>
      </w:pPr>
      <w:r>
        <w:rPr>
          <w:rFonts w:hint="eastAsia" w:cs="仿宋_GB2312" w:asciiTheme="minorEastAsia" w:hAnsiTheme="minorEastAsia" w:eastAsiaTheme="minorEastAsia"/>
          <w:color w:val="auto"/>
          <w:kern w:val="0"/>
          <w:sz w:val="21"/>
          <w:szCs w:val="21"/>
          <w:highlight w:val="none"/>
          <w:lang w:val="zh-CN"/>
        </w:rPr>
        <w:t>日期</w:t>
      </w:r>
      <w:r>
        <w:rPr>
          <w:rFonts w:hint="eastAsia" w:cs="仿宋_GB2312" w:asciiTheme="minorEastAsia" w:hAnsiTheme="minorEastAsia" w:eastAsiaTheme="minorEastAsia"/>
          <w:color w:val="auto"/>
          <w:kern w:val="0"/>
          <w:sz w:val="21"/>
          <w:szCs w:val="21"/>
          <w:highlight w:val="none"/>
        </w:rPr>
        <w:t>：</w:t>
      </w:r>
      <w:r>
        <w:rPr>
          <w:rFonts w:hint="eastAsia" w:cs="仿宋_GB2312" w:asciiTheme="minorEastAsia" w:hAnsiTheme="minorEastAsia" w:eastAsiaTheme="minorEastAsia"/>
          <w:color w:val="auto"/>
          <w:kern w:val="0"/>
          <w:sz w:val="21"/>
          <w:szCs w:val="21"/>
          <w:highlight w:val="none"/>
          <w:lang w:val="zh-CN"/>
        </w:rPr>
        <w:t xml:space="preserve">   年   月   日</w:t>
      </w:r>
    </w:p>
    <w:p w14:paraId="4C0AAEAC">
      <w:pPr>
        <w:spacing w:line="360" w:lineRule="auto"/>
        <w:ind w:right="420"/>
        <w:rPr>
          <w:rFonts w:ascii="宋体" w:hAnsi="宋体" w:cs="宋体"/>
          <w:color w:val="auto"/>
          <w:sz w:val="21"/>
          <w:szCs w:val="21"/>
          <w:highlight w:val="none"/>
        </w:rPr>
      </w:pPr>
      <w:r>
        <w:rPr>
          <w:rFonts w:hint="eastAsia" w:ascii="宋体" w:hAnsi="宋体" w:cs="宋体"/>
          <w:color w:val="auto"/>
          <w:sz w:val="21"/>
          <w:szCs w:val="21"/>
          <w:highlight w:val="none"/>
        </w:rPr>
        <w:t>注：按本格式和要求提供。</w:t>
      </w:r>
    </w:p>
    <w:p w14:paraId="3AB843E4">
      <w:pPr>
        <w:rPr>
          <w:rFonts w:hint="eastAsia" w:asciiTheme="minorEastAsia" w:hAnsiTheme="minorEastAsia" w:eastAsiaTheme="minorEastAsia"/>
          <w:b/>
          <w:bCs/>
          <w:color w:val="auto"/>
          <w:sz w:val="21"/>
          <w:szCs w:val="21"/>
          <w:highlight w:val="none"/>
          <w:lang w:val="en-US" w:eastAsia="zh-CN"/>
        </w:rPr>
      </w:pPr>
      <w:r>
        <w:rPr>
          <w:rFonts w:hint="eastAsia" w:asciiTheme="minorEastAsia" w:hAnsiTheme="minorEastAsia" w:eastAsiaTheme="minorEastAsia"/>
          <w:b/>
          <w:bCs/>
          <w:color w:val="auto"/>
          <w:sz w:val="21"/>
          <w:szCs w:val="21"/>
          <w:highlight w:val="none"/>
          <w:lang w:val="en-US" w:eastAsia="zh-CN"/>
        </w:rPr>
        <w:br w:type="page"/>
      </w:r>
    </w:p>
    <w:p w14:paraId="3D4F58C1">
      <w:pPr>
        <w:pStyle w:val="31"/>
        <w:spacing w:line="360" w:lineRule="auto"/>
        <w:rPr>
          <w:rFonts w:hint="eastAsia" w:cs="Times New Roman" w:asciiTheme="minorEastAsia" w:hAnsiTheme="minorEastAsia" w:eastAsiaTheme="minorEastAsia"/>
          <w:b/>
          <w:bCs/>
          <w:color w:val="auto"/>
          <w:sz w:val="21"/>
          <w:szCs w:val="21"/>
          <w:highlight w:val="none"/>
        </w:rPr>
      </w:pPr>
      <w:r>
        <w:rPr>
          <w:rFonts w:hint="eastAsia" w:asciiTheme="minorEastAsia" w:hAnsiTheme="minorEastAsia" w:eastAsiaTheme="minorEastAsia"/>
          <w:b/>
          <w:bCs/>
          <w:color w:val="auto"/>
          <w:sz w:val="21"/>
          <w:szCs w:val="21"/>
          <w:highlight w:val="none"/>
          <w:lang w:val="en-US" w:eastAsia="zh-CN"/>
        </w:rPr>
        <w:t>3、</w:t>
      </w:r>
      <w:r>
        <w:rPr>
          <w:rFonts w:hint="eastAsia" w:cs="Times New Roman" w:asciiTheme="minorEastAsia" w:hAnsiTheme="minorEastAsia" w:eastAsiaTheme="minorEastAsia"/>
          <w:b/>
          <w:bCs/>
          <w:color w:val="auto"/>
          <w:sz w:val="21"/>
          <w:szCs w:val="21"/>
          <w:highlight w:val="none"/>
          <w:lang w:val="zh-CN"/>
        </w:rPr>
        <w:t>政府采购供应商廉洁自律承诺书</w:t>
      </w:r>
    </w:p>
    <w:p w14:paraId="4BE2AC49">
      <w:pPr>
        <w:tabs>
          <w:tab w:val="left" w:pos="0"/>
        </w:tabs>
        <w:autoSpaceDE w:val="0"/>
        <w:autoSpaceDN w:val="0"/>
        <w:spacing w:line="360" w:lineRule="auto"/>
        <w:jc w:val="center"/>
        <w:rPr>
          <w:rFonts w:hint="eastAsia" w:cs="宋体" w:asciiTheme="minorEastAsia" w:hAnsiTheme="minorEastAsia" w:eastAsiaTheme="minorEastAsia"/>
          <w:b/>
          <w:color w:val="auto"/>
          <w:kern w:val="0"/>
          <w:sz w:val="32"/>
          <w:szCs w:val="32"/>
          <w:highlight w:val="none"/>
          <w:lang w:val="zh-CN"/>
        </w:rPr>
      </w:pPr>
    </w:p>
    <w:p w14:paraId="2660C0F3">
      <w:pPr>
        <w:tabs>
          <w:tab w:val="left" w:pos="0"/>
        </w:tabs>
        <w:autoSpaceDE w:val="0"/>
        <w:autoSpaceDN w:val="0"/>
        <w:spacing w:line="360" w:lineRule="auto"/>
        <w:jc w:val="center"/>
        <w:rPr>
          <w:rFonts w:cs="仿宋_GB2312" w:asciiTheme="minorEastAsia" w:hAnsiTheme="minorEastAsia" w:eastAsiaTheme="minorEastAsia"/>
          <w:b/>
          <w:bCs/>
          <w:color w:val="auto"/>
          <w:sz w:val="30"/>
          <w:szCs w:val="30"/>
          <w:highlight w:val="none"/>
        </w:rPr>
      </w:pPr>
      <w:r>
        <w:rPr>
          <w:rFonts w:hint="eastAsia" w:cs="宋体" w:asciiTheme="minorEastAsia" w:hAnsiTheme="minorEastAsia" w:eastAsiaTheme="minorEastAsia"/>
          <w:b/>
          <w:color w:val="auto"/>
          <w:kern w:val="0"/>
          <w:sz w:val="32"/>
          <w:szCs w:val="32"/>
          <w:highlight w:val="none"/>
          <w:lang w:val="zh-CN"/>
        </w:rPr>
        <w:t>政府采购供应商廉洁自律承诺书</w:t>
      </w:r>
    </w:p>
    <w:p w14:paraId="55AF1D9C">
      <w:pPr>
        <w:autoSpaceDE w:val="0"/>
        <w:autoSpaceDN w:val="0"/>
        <w:spacing w:line="360" w:lineRule="auto"/>
        <w:jc w:val="left"/>
        <w:rPr>
          <w:rFonts w:cs="仿宋_GB2312" w:asciiTheme="minorEastAsia" w:hAnsiTheme="minorEastAsia" w:eastAsiaTheme="minorEastAsia"/>
          <w:color w:val="auto"/>
          <w:kern w:val="0"/>
          <w:sz w:val="21"/>
          <w:szCs w:val="21"/>
          <w:highlight w:val="none"/>
          <w:lang w:val="zh-CN"/>
        </w:rPr>
      </w:pPr>
      <w:r>
        <w:rPr>
          <w:rFonts w:hint="eastAsia" w:cs="仿宋_GB2312" w:asciiTheme="minorEastAsia" w:hAnsiTheme="minorEastAsia" w:eastAsiaTheme="minorEastAsia"/>
          <w:color w:val="auto"/>
          <w:sz w:val="21"/>
          <w:szCs w:val="21"/>
          <w:highlight w:val="none"/>
        </w:rPr>
        <w:t>（采购人）</w:t>
      </w:r>
      <w:r>
        <w:rPr>
          <w:rFonts w:hint="eastAsia" w:cs="仿宋_GB2312" w:asciiTheme="minorEastAsia" w:hAnsiTheme="minorEastAsia" w:eastAsiaTheme="minorEastAsia"/>
          <w:color w:val="auto"/>
          <w:kern w:val="0"/>
          <w:sz w:val="21"/>
          <w:szCs w:val="21"/>
          <w:highlight w:val="none"/>
          <w:lang w:val="zh-CN"/>
        </w:rPr>
        <w:t xml:space="preserve">：    </w:t>
      </w:r>
    </w:p>
    <w:p w14:paraId="1620EF3B">
      <w:pPr>
        <w:autoSpaceDE w:val="0"/>
        <w:autoSpaceDN w:val="0"/>
        <w:spacing w:line="360" w:lineRule="auto"/>
        <w:ind w:left="2" w:leftChars="1" w:firstLine="420" w:firstLineChars="200"/>
        <w:jc w:val="left"/>
        <w:rPr>
          <w:rFonts w:cs="仿宋_GB2312" w:asciiTheme="minorEastAsia" w:hAnsiTheme="minorEastAsia" w:eastAsiaTheme="minorEastAsia"/>
          <w:color w:val="auto"/>
          <w:kern w:val="0"/>
          <w:sz w:val="21"/>
          <w:szCs w:val="21"/>
          <w:highlight w:val="none"/>
          <w:lang w:val="zh-CN"/>
        </w:rPr>
      </w:pPr>
      <w:r>
        <w:rPr>
          <w:rFonts w:hint="eastAsia" w:cs="仿宋_GB2312" w:asciiTheme="minorEastAsia" w:hAnsiTheme="minorEastAsia" w:eastAsiaTheme="minorEastAsia"/>
          <w:color w:val="auto"/>
          <w:kern w:val="0"/>
          <w:sz w:val="21"/>
          <w:szCs w:val="21"/>
          <w:highlight w:val="none"/>
          <w:lang w:val="zh-CN"/>
        </w:rPr>
        <w:t>我单位响应你</w:t>
      </w:r>
      <w:r>
        <w:rPr>
          <w:rFonts w:hint="eastAsia" w:cs="仿宋_GB2312" w:asciiTheme="minorEastAsia" w:hAnsiTheme="minorEastAsia" w:eastAsiaTheme="minorEastAsia"/>
          <w:color w:val="auto"/>
          <w:sz w:val="21"/>
          <w:szCs w:val="21"/>
          <w:highlight w:val="none"/>
        </w:rPr>
        <w:t>单位</w:t>
      </w:r>
      <w:r>
        <w:rPr>
          <w:rFonts w:hint="eastAsia" w:cs="仿宋_GB2312" w:asciiTheme="minorEastAsia" w:hAnsiTheme="minorEastAsia" w:eastAsiaTheme="minorEastAsia"/>
          <w:color w:val="auto"/>
          <w:kern w:val="0"/>
          <w:sz w:val="21"/>
          <w:szCs w:val="21"/>
          <w:highlight w:val="none"/>
          <w:lang w:val="zh-CN"/>
        </w:rPr>
        <w:t>项目采购要求参加响应。在这次响应过程中和成交后，我们将严格遵守国家法律法规要求，并郑重承诺：</w:t>
      </w:r>
    </w:p>
    <w:p w14:paraId="6F0ECD72">
      <w:pPr>
        <w:autoSpaceDE w:val="0"/>
        <w:autoSpaceDN w:val="0"/>
        <w:spacing w:line="360" w:lineRule="auto"/>
        <w:ind w:left="2" w:leftChars="1" w:firstLine="420" w:firstLineChars="200"/>
        <w:jc w:val="left"/>
        <w:rPr>
          <w:rFonts w:cs="仿宋_GB2312" w:asciiTheme="minorEastAsia" w:hAnsiTheme="minorEastAsia" w:eastAsiaTheme="minorEastAsia"/>
          <w:color w:val="auto"/>
          <w:kern w:val="0"/>
          <w:sz w:val="21"/>
          <w:szCs w:val="21"/>
          <w:highlight w:val="none"/>
          <w:lang w:val="zh-CN"/>
        </w:rPr>
      </w:pPr>
      <w:r>
        <w:rPr>
          <w:rFonts w:hint="eastAsia" w:cs="仿宋_GB2312" w:asciiTheme="minorEastAsia" w:hAnsiTheme="minorEastAsia" w:eastAsiaTheme="minorEastAsia"/>
          <w:color w:val="auto"/>
          <w:kern w:val="0"/>
          <w:sz w:val="21"/>
          <w:szCs w:val="21"/>
          <w:highlight w:val="none"/>
          <w:lang w:val="zh-CN"/>
        </w:rPr>
        <w:t xml:space="preserve">一、不向项目有关人员及部门赠送礼金礼物、有价证券、回扣以及中介费、介绍费、咨询费等好处费； </w:t>
      </w:r>
    </w:p>
    <w:p w14:paraId="3778EAA4">
      <w:pPr>
        <w:autoSpaceDE w:val="0"/>
        <w:autoSpaceDN w:val="0"/>
        <w:spacing w:line="360" w:lineRule="auto"/>
        <w:ind w:left="2" w:leftChars="1" w:firstLine="420" w:firstLineChars="200"/>
        <w:jc w:val="left"/>
        <w:rPr>
          <w:rFonts w:cs="仿宋_GB2312" w:asciiTheme="minorEastAsia" w:hAnsiTheme="minorEastAsia" w:eastAsiaTheme="minorEastAsia"/>
          <w:color w:val="auto"/>
          <w:kern w:val="0"/>
          <w:sz w:val="21"/>
          <w:szCs w:val="21"/>
          <w:highlight w:val="none"/>
          <w:lang w:val="zh-CN"/>
        </w:rPr>
      </w:pPr>
      <w:r>
        <w:rPr>
          <w:rFonts w:hint="eastAsia" w:cs="仿宋_GB2312" w:asciiTheme="minorEastAsia" w:hAnsiTheme="minorEastAsia" w:eastAsiaTheme="minorEastAsia"/>
          <w:color w:val="auto"/>
          <w:kern w:val="0"/>
          <w:sz w:val="21"/>
          <w:szCs w:val="21"/>
          <w:highlight w:val="none"/>
          <w:lang w:val="zh-CN"/>
        </w:rPr>
        <w:t xml:space="preserve">二、不为项目有关人员及部门报销应由你方单位或个人支付的费用； </w:t>
      </w:r>
    </w:p>
    <w:p w14:paraId="0D05F457">
      <w:pPr>
        <w:autoSpaceDE w:val="0"/>
        <w:autoSpaceDN w:val="0"/>
        <w:spacing w:line="360" w:lineRule="auto"/>
        <w:ind w:left="2" w:leftChars="1" w:firstLine="420" w:firstLineChars="200"/>
        <w:jc w:val="left"/>
        <w:rPr>
          <w:rFonts w:cs="仿宋_GB2312" w:asciiTheme="minorEastAsia" w:hAnsiTheme="minorEastAsia" w:eastAsiaTheme="minorEastAsia"/>
          <w:color w:val="auto"/>
          <w:kern w:val="0"/>
          <w:sz w:val="21"/>
          <w:szCs w:val="21"/>
          <w:highlight w:val="none"/>
          <w:lang w:val="zh-CN"/>
        </w:rPr>
      </w:pPr>
      <w:r>
        <w:rPr>
          <w:rFonts w:hint="eastAsia" w:cs="仿宋_GB2312" w:asciiTheme="minorEastAsia" w:hAnsiTheme="minorEastAsia" w:eastAsiaTheme="minorEastAsia"/>
          <w:color w:val="auto"/>
          <w:kern w:val="0"/>
          <w:sz w:val="21"/>
          <w:szCs w:val="21"/>
          <w:highlight w:val="none"/>
          <w:lang w:val="zh-CN"/>
        </w:rPr>
        <w:t xml:space="preserve">三、不向项目有关人员及部门提供有可能影响公正的宴请和健身娱乐等活动； </w:t>
      </w:r>
    </w:p>
    <w:p w14:paraId="739F69AA">
      <w:pPr>
        <w:autoSpaceDE w:val="0"/>
        <w:autoSpaceDN w:val="0"/>
        <w:spacing w:line="360" w:lineRule="auto"/>
        <w:ind w:left="2" w:leftChars="1" w:firstLine="420" w:firstLineChars="200"/>
        <w:jc w:val="left"/>
        <w:rPr>
          <w:rFonts w:cs="仿宋_GB2312" w:asciiTheme="minorEastAsia" w:hAnsiTheme="minorEastAsia" w:eastAsiaTheme="minorEastAsia"/>
          <w:color w:val="auto"/>
          <w:kern w:val="0"/>
          <w:sz w:val="21"/>
          <w:szCs w:val="21"/>
          <w:highlight w:val="none"/>
          <w:lang w:val="zh-CN"/>
        </w:rPr>
      </w:pPr>
      <w:r>
        <w:rPr>
          <w:rFonts w:hint="eastAsia" w:cs="仿宋_GB2312" w:asciiTheme="minorEastAsia" w:hAnsiTheme="minorEastAsia" w:eastAsiaTheme="minorEastAsia"/>
          <w:color w:val="auto"/>
          <w:kern w:val="0"/>
          <w:sz w:val="21"/>
          <w:szCs w:val="21"/>
          <w:highlight w:val="none"/>
          <w:lang w:val="zh-CN"/>
        </w:rPr>
        <w:t>四、不为项目有关人员及部门出国（境）、旅游等提供方便；</w:t>
      </w:r>
    </w:p>
    <w:p w14:paraId="023A2C09">
      <w:pPr>
        <w:autoSpaceDE w:val="0"/>
        <w:autoSpaceDN w:val="0"/>
        <w:spacing w:line="360" w:lineRule="auto"/>
        <w:ind w:left="481" w:leftChars="229"/>
        <w:jc w:val="left"/>
        <w:rPr>
          <w:rFonts w:cs="仿宋_GB2312" w:asciiTheme="minorEastAsia" w:hAnsiTheme="minorEastAsia" w:eastAsiaTheme="minorEastAsia"/>
          <w:color w:val="auto"/>
          <w:kern w:val="0"/>
          <w:sz w:val="21"/>
          <w:szCs w:val="21"/>
          <w:highlight w:val="none"/>
          <w:lang w:val="zh-CN"/>
        </w:rPr>
      </w:pPr>
      <w:r>
        <w:rPr>
          <w:rFonts w:hint="eastAsia" w:cs="仿宋_GB2312" w:asciiTheme="minorEastAsia" w:hAnsiTheme="minorEastAsia" w:eastAsiaTheme="minorEastAsia"/>
          <w:color w:val="auto"/>
          <w:kern w:val="0"/>
          <w:sz w:val="21"/>
          <w:szCs w:val="21"/>
          <w:highlight w:val="none"/>
          <w:lang w:val="zh-CN"/>
        </w:rPr>
        <w:t>五、不为项目有关人员个人装修住房、婚丧嫁娶、配偶子女工作安排等提供</w:t>
      </w:r>
    </w:p>
    <w:p w14:paraId="5017160B">
      <w:pPr>
        <w:autoSpaceDE w:val="0"/>
        <w:autoSpaceDN w:val="0"/>
        <w:spacing w:line="360" w:lineRule="auto"/>
        <w:jc w:val="left"/>
        <w:rPr>
          <w:rFonts w:cs="仿宋_GB2312" w:asciiTheme="minorEastAsia" w:hAnsiTheme="minorEastAsia" w:eastAsiaTheme="minorEastAsia"/>
          <w:color w:val="auto"/>
          <w:kern w:val="0"/>
          <w:sz w:val="21"/>
          <w:szCs w:val="21"/>
          <w:highlight w:val="none"/>
          <w:lang w:val="zh-CN"/>
        </w:rPr>
      </w:pPr>
      <w:r>
        <w:rPr>
          <w:rFonts w:hint="eastAsia" w:cs="仿宋_GB2312" w:asciiTheme="minorEastAsia" w:hAnsiTheme="minorEastAsia" w:eastAsiaTheme="minorEastAsia"/>
          <w:color w:val="auto"/>
          <w:kern w:val="0"/>
          <w:sz w:val="21"/>
          <w:szCs w:val="21"/>
          <w:highlight w:val="none"/>
          <w:lang w:val="zh-CN"/>
        </w:rPr>
        <w:t>好处；</w:t>
      </w:r>
    </w:p>
    <w:p w14:paraId="1403A15D">
      <w:pPr>
        <w:autoSpaceDE w:val="0"/>
        <w:autoSpaceDN w:val="0"/>
        <w:spacing w:line="360" w:lineRule="auto"/>
        <w:ind w:left="2" w:leftChars="1" w:firstLine="420" w:firstLineChars="200"/>
        <w:jc w:val="left"/>
        <w:rPr>
          <w:rFonts w:cs="仿宋_GB2312" w:asciiTheme="minorEastAsia" w:hAnsiTheme="minorEastAsia" w:eastAsiaTheme="minorEastAsia"/>
          <w:color w:val="auto"/>
          <w:kern w:val="0"/>
          <w:sz w:val="21"/>
          <w:szCs w:val="21"/>
          <w:highlight w:val="none"/>
          <w:lang w:val="zh-CN"/>
        </w:rPr>
      </w:pPr>
      <w:r>
        <w:rPr>
          <w:rFonts w:hint="eastAsia" w:cs="仿宋_GB2312" w:asciiTheme="minorEastAsia" w:hAnsiTheme="minorEastAsia" w:eastAsiaTheme="minorEastAsia"/>
          <w:color w:val="auto"/>
          <w:kern w:val="0"/>
          <w:sz w:val="21"/>
          <w:szCs w:val="21"/>
          <w:highlight w:val="none"/>
          <w:lang w:val="zh-CN"/>
        </w:rPr>
        <w:t xml:space="preserve">六、严格遵守《中华人民共和国政府采购法》《中华人民共和国招标投标法》《中华人民共和国民法典》等法律法规，诚实守信，合法经营，坚决抵制各种违法违纪行为。 </w:t>
      </w:r>
    </w:p>
    <w:p w14:paraId="7BF2A046">
      <w:pPr>
        <w:autoSpaceDE w:val="0"/>
        <w:autoSpaceDN w:val="0"/>
        <w:spacing w:line="360" w:lineRule="auto"/>
        <w:ind w:firstLine="420" w:firstLineChars="200"/>
        <w:jc w:val="left"/>
        <w:rPr>
          <w:rFonts w:cs="仿宋_GB2312" w:asciiTheme="minorEastAsia" w:hAnsiTheme="minorEastAsia" w:eastAsiaTheme="minorEastAsia"/>
          <w:color w:val="auto"/>
          <w:kern w:val="0"/>
          <w:sz w:val="21"/>
          <w:szCs w:val="21"/>
          <w:highlight w:val="none"/>
          <w:lang w:val="zh-CN"/>
        </w:rPr>
      </w:pPr>
      <w:r>
        <w:rPr>
          <w:rFonts w:hint="eastAsia" w:cs="仿宋_GB2312" w:asciiTheme="minorEastAsia" w:hAnsiTheme="minorEastAsia" w:eastAsiaTheme="minorEastAsia"/>
          <w:color w:val="auto"/>
          <w:kern w:val="0"/>
          <w:sz w:val="21"/>
          <w:szCs w:val="21"/>
          <w:highlight w:val="none"/>
          <w:lang w:val="zh-CN"/>
        </w:rPr>
        <w:t>如违反上述承诺，你</w:t>
      </w:r>
      <w:r>
        <w:rPr>
          <w:rFonts w:hint="eastAsia" w:cs="仿宋_GB2312" w:asciiTheme="minorEastAsia" w:hAnsiTheme="minorEastAsia" w:eastAsiaTheme="minorEastAsia"/>
          <w:color w:val="auto"/>
          <w:sz w:val="21"/>
          <w:szCs w:val="21"/>
          <w:highlight w:val="none"/>
        </w:rPr>
        <w:t>单位</w:t>
      </w:r>
      <w:r>
        <w:rPr>
          <w:rFonts w:hint="eastAsia" w:cs="仿宋_GB2312" w:asciiTheme="minorEastAsia" w:hAnsiTheme="minorEastAsia" w:eastAsiaTheme="minorEastAsia"/>
          <w:color w:val="auto"/>
          <w:kern w:val="0"/>
          <w:sz w:val="21"/>
          <w:szCs w:val="21"/>
          <w:highlight w:val="none"/>
          <w:lang w:val="zh-CN"/>
        </w:rPr>
        <w:t>有权立即取消我单位响应、成交或在建项目的建设资格，有权拒绝我单位在一定时期内进入你</w:t>
      </w:r>
      <w:r>
        <w:rPr>
          <w:rFonts w:hint="eastAsia" w:cs="仿宋_GB2312" w:asciiTheme="minorEastAsia" w:hAnsiTheme="minorEastAsia" w:eastAsiaTheme="minorEastAsia"/>
          <w:color w:val="auto"/>
          <w:sz w:val="21"/>
          <w:szCs w:val="21"/>
          <w:highlight w:val="none"/>
        </w:rPr>
        <w:t>单位</w:t>
      </w:r>
      <w:r>
        <w:rPr>
          <w:rFonts w:hint="eastAsia" w:cs="仿宋_GB2312" w:asciiTheme="minorEastAsia" w:hAnsiTheme="minorEastAsia" w:eastAsiaTheme="minorEastAsia"/>
          <w:color w:val="auto"/>
          <w:kern w:val="0"/>
          <w:sz w:val="21"/>
          <w:szCs w:val="21"/>
          <w:highlight w:val="none"/>
          <w:lang w:val="zh-CN"/>
        </w:rPr>
        <w:t>进行项目建设或其他经营活动，并通报市财政局。由此引起的相应损失均由我单位承担。</w:t>
      </w:r>
    </w:p>
    <w:p w14:paraId="396B93A1">
      <w:pPr>
        <w:autoSpaceDE w:val="0"/>
        <w:autoSpaceDN w:val="0"/>
        <w:spacing w:line="360" w:lineRule="auto"/>
        <w:ind w:left="2"/>
        <w:jc w:val="left"/>
        <w:rPr>
          <w:rFonts w:cs="仿宋_GB2312" w:asciiTheme="minorEastAsia" w:hAnsiTheme="minorEastAsia" w:eastAsiaTheme="minorEastAsia"/>
          <w:color w:val="auto"/>
          <w:kern w:val="0"/>
          <w:sz w:val="21"/>
          <w:szCs w:val="21"/>
          <w:highlight w:val="none"/>
          <w:lang w:val="zh-CN"/>
        </w:rPr>
      </w:pPr>
    </w:p>
    <w:p w14:paraId="7176EC79">
      <w:pPr>
        <w:autoSpaceDE w:val="0"/>
        <w:autoSpaceDN w:val="0"/>
        <w:spacing w:line="360" w:lineRule="auto"/>
        <w:ind w:left="2"/>
        <w:jc w:val="left"/>
        <w:rPr>
          <w:rFonts w:cs="仿宋_GB2312" w:asciiTheme="minorEastAsia" w:hAnsiTheme="minorEastAsia" w:eastAsiaTheme="minorEastAsia"/>
          <w:color w:val="auto"/>
          <w:kern w:val="0"/>
          <w:sz w:val="21"/>
          <w:szCs w:val="21"/>
          <w:highlight w:val="none"/>
          <w:lang w:val="zh-CN"/>
        </w:rPr>
      </w:pPr>
    </w:p>
    <w:p w14:paraId="03A2993C">
      <w:pPr>
        <w:autoSpaceDE w:val="0"/>
        <w:autoSpaceDN w:val="0"/>
        <w:spacing w:line="360" w:lineRule="auto"/>
        <w:ind w:left="2"/>
        <w:jc w:val="left"/>
        <w:rPr>
          <w:rFonts w:cs="仿宋_GB2312" w:asciiTheme="minorEastAsia" w:hAnsiTheme="minorEastAsia" w:eastAsiaTheme="minorEastAsia"/>
          <w:color w:val="auto"/>
          <w:kern w:val="0"/>
          <w:sz w:val="21"/>
          <w:szCs w:val="21"/>
          <w:highlight w:val="none"/>
          <w:lang w:val="zh-CN"/>
        </w:rPr>
      </w:pPr>
    </w:p>
    <w:p w14:paraId="5CCDF479">
      <w:pPr>
        <w:autoSpaceDE w:val="0"/>
        <w:autoSpaceDN w:val="0"/>
        <w:spacing w:line="360" w:lineRule="auto"/>
        <w:ind w:left="2" w:leftChars="1" w:firstLine="3990" w:firstLineChars="1900"/>
        <w:jc w:val="left"/>
        <w:rPr>
          <w:rFonts w:cs="仿宋_GB2312" w:asciiTheme="minorEastAsia" w:hAnsiTheme="minorEastAsia" w:eastAsiaTheme="minorEastAsia"/>
          <w:color w:val="auto"/>
          <w:kern w:val="0"/>
          <w:sz w:val="21"/>
          <w:szCs w:val="21"/>
          <w:highlight w:val="none"/>
        </w:rPr>
      </w:pPr>
      <w:r>
        <w:rPr>
          <w:rFonts w:hint="eastAsia" w:cs="宋体" w:asciiTheme="minorEastAsia" w:hAnsiTheme="minorEastAsia" w:eastAsiaTheme="minorEastAsia"/>
          <w:color w:val="auto"/>
          <w:kern w:val="0"/>
          <w:sz w:val="21"/>
          <w:szCs w:val="21"/>
          <w:highlight w:val="none"/>
          <w:lang w:val="zh-CN"/>
        </w:rPr>
        <w:t>谈判供应商名称(公章)</w:t>
      </w:r>
      <w:r>
        <w:rPr>
          <w:rFonts w:hint="eastAsia" w:cs="仿宋_GB2312" w:asciiTheme="minorEastAsia" w:hAnsiTheme="minorEastAsia" w:eastAsiaTheme="minorEastAsia"/>
          <w:color w:val="auto"/>
          <w:kern w:val="0"/>
          <w:sz w:val="21"/>
          <w:szCs w:val="21"/>
          <w:highlight w:val="none"/>
        </w:rPr>
        <w:t>：</w:t>
      </w:r>
    </w:p>
    <w:p w14:paraId="5E2402A1">
      <w:pPr>
        <w:autoSpaceDE w:val="0"/>
        <w:autoSpaceDN w:val="0"/>
        <w:spacing w:line="360" w:lineRule="auto"/>
        <w:ind w:left="2" w:leftChars="1" w:firstLine="3990" w:firstLineChars="1900"/>
        <w:jc w:val="left"/>
        <w:rPr>
          <w:rFonts w:cs="仿宋_GB2312" w:asciiTheme="minorEastAsia" w:hAnsiTheme="minorEastAsia" w:eastAsiaTheme="minorEastAsia"/>
          <w:color w:val="auto"/>
          <w:kern w:val="0"/>
          <w:sz w:val="21"/>
          <w:szCs w:val="21"/>
          <w:highlight w:val="none"/>
          <w:lang w:val="zh-CN"/>
        </w:rPr>
      </w:pPr>
      <w:r>
        <w:rPr>
          <w:rFonts w:hint="eastAsia" w:cs="仿宋_GB2312" w:asciiTheme="minorEastAsia" w:hAnsiTheme="minorEastAsia" w:eastAsiaTheme="minorEastAsia"/>
          <w:color w:val="auto"/>
          <w:kern w:val="0"/>
          <w:sz w:val="21"/>
          <w:szCs w:val="21"/>
          <w:highlight w:val="none"/>
          <w:lang w:val="zh-CN"/>
        </w:rPr>
        <w:t xml:space="preserve">法定代表人（负责人）或委托代理人(签名)：                   </w:t>
      </w:r>
    </w:p>
    <w:p w14:paraId="4199F30C">
      <w:pPr>
        <w:spacing w:line="360" w:lineRule="auto"/>
        <w:ind w:left="4620" w:leftChars="2200"/>
        <w:rPr>
          <w:rFonts w:asciiTheme="minorEastAsia" w:hAnsiTheme="minorEastAsia" w:eastAsiaTheme="minorEastAsia"/>
          <w:color w:val="auto"/>
          <w:sz w:val="21"/>
          <w:szCs w:val="21"/>
          <w:highlight w:val="none"/>
        </w:rPr>
      </w:pPr>
      <w:r>
        <w:rPr>
          <w:rFonts w:hint="eastAsia" w:cs="仿宋_GB2312" w:asciiTheme="minorEastAsia" w:hAnsiTheme="minorEastAsia" w:eastAsiaTheme="minorEastAsia"/>
          <w:color w:val="auto"/>
          <w:kern w:val="0"/>
          <w:sz w:val="21"/>
          <w:szCs w:val="21"/>
          <w:highlight w:val="none"/>
          <w:lang w:val="zh-CN"/>
        </w:rPr>
        <w:t>日期</w:t>
      </w:r>
      <w:r>
        <w:rPr>
          <w:rFonts w:hint="eastAsia" w:cs="仿宋_GB2312" w:asciiTheme="minorEastAsia" w:hAnsiTheme="minorEastAsia" w:eastAsiaTheme="minorEastAsia"/>
          <w:color w:val="auto"/>
          <w:kern w:val="0"/>
          <w:sz w:val="21"/>
          <w:szCs w:val="21"/>
          <w:highlight w:val="none"/>
        </w:rPr>
        <w:t>：</w:t>
      </w:r>
      <w:r>
        <w:rPr>
          <w:rFonts w:hint="eastAsia" w:cs="仿宋_GB2312" w:asciiTheme="minorEastAsia" w:hAnsiTheme="minorEastAsia" w:eastAsiaTheme="minorEastAsia"/>
          <w:color w:val="auto"/>
          <w:kern w:val="0"/>
          <w:sz w:val="21"/>
          <w:szCs w:val="21"/>
          <w:highlight w:val="none"/>
          <w:lang w:val="zh-CN"/>
        </w:rPr>
        <w:t xml:space="preserve">   年   月   日</w:t>
      </w:r>
    </w:p>
    <w:p w14:paraId="094FE8FA">
      <w:pPr>
        <w:pStyle w:val="31"/>
        <w:spacing w:line="360" w:lineRule="auto"/>
        <w:ind w:firstLine="420" w:firstLineChars="200"/>
        <w:rPr>
          <w:rFonts w:hint="eastAsia" w:cs="宋体" w:asciiTheme="minorEastAsia" w:hAnsiTheme="minorEastAsia" w:eastAsiaTheme="minorEastAsia"/>
          <w:color w:val="auto"/>
          <w:sz w:val="21"/>
          <w:szCs w:val="21"/>
          <w:highlight w:val="none"/>
        </w:rPr>
      </w:pPr>
    </w:p>
    <w:p w14:paraId="24068F87">
      <w:pPr>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br w:type="page"/>
      </w:r>
    </w:p>
    <w:p w14:paraId="77441E00">
      <w:pPr>
        <w:pStyle w:val="31"/>
        <w:spacing w:line="360" w:lineRule="auto"/>
        <w:rPr>
          <w:rFonts w:hint="eastAsia" w:hAnsi="宋体" w:cs="宋体"/>
          <w:color w:val="auto"/>
          <w:sz w:val="24"/>
          <w:highlight w:val="none"/>
        </w:rPr>
      </w:pPr>
      <w:r>
        <w:rPr>
          <w:rFonts w:hint="eastAsia" w:asciiTheme="minorEastAsia" w:hAnsiTheme="minorEastAsia" w:eastAsiaTheme="minorEastAsia"/>
          <w:b/>
          <w:bCs/>
          <w:color w:val="auto"/>
          <w:sz w:val="21"/>
          <w:szCs w:val="21"/>
          <w:highlight w:val="none"/>
          <w:lang w:val="en-US" w:eastAsia="zh-CN"/>
        </w:rPr>
        <w:t>4、</w:t>
      </w:r>
      <w:r>
        <w:rPr>
          <w:rFonts w:hint="eastAsia" w:hAnsi="宋体" w:cs="宋体"/>
          <w:b/>
          <w:bCs/>
          <w:color w:val="auto"/>
          <w:sz w:val="21"/>
          <w:szCs w:val="21"/>
          <w:highlight w:val="none"/>
        </w:rPr>
        <w:t>授权委托书或法定代表人（单位负责人、自然人本人）身份证明</w:t>
      </w:r>
    </w:p>
    <w:p w14:paraId="33DB8F65">
      <w:pPr>
        <w:widowControl/>
        <w:spacing w:line="360" w:lineRule="auto"/>
        <w:jc w:val="center"/>
        <w:rPr>
          <w:rFonts w:hint="eastAsia" w:ascii="宋体" w:hAnsi="宋体" w:eastAsia="宋体" w:cs="宋体"/>
          <w:b/>
          <w:color w:val="auto"/>
          <w:kern w:val="0"/>
          <w:sz w:val="32"/>
          <w:szCs w:val="32"/>
          <w:highlight w:val="none"/>
          <w:lang w:val="zh-CN"/>
        </w:rPr>
      </w:pPr>
    </w:p>
    <w:p w14:paraId="4851FBF3">
      <w:pPr>
        <w:widowControl/>
        <w:spacing w:line="360" w:lineRule="auto"/>
        <w:jc w:val="center"/>
        <w:rPr>
          <w:rFonts w:hint="eastAsia" w:ascii="宋体" w:hAnsi="宋体" w:eastAsia="宋体" w:cs="宋体"/>
          <w:b/>
          <w:color w:val="auto"/>
          <w:kern w:val="0"/>
          <w:sz w:val="32"/>
          <w:szCs w:val="32"/>
          <w:highlight w:val="none"/>
          <w:lang w:val="zh-CN"/>
        </w:rPr>
      </w:pPr>
      <w:r>
        <w:rPr>
          <w:rFonts w:hint="eastAsia" w:ascii="宋体" w:hAnsi="宋体" w:eastAsia="宋体" w:cs="宋体"/>
          <w:b/>
          <w:color w:val="auto"/>
          <w:kern w:val="0"/>
          <w:sz w:val="32"/>
          <w:szCs w:val="32"/>
          <w:highlight w:val="none"/>
          <w:lang w:val="zh-CN"/>
        </w:rPr>
        <w:t>法人授权书</w:t>
      </w:r>
    </w:p>
    <w:p w14:paraId="36D53789">
      <w:pPr>
        <w:snapToGrid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（采购人）、（采购代理机构）</w:t>
      </w:r>
      <w:r>
        <w:rPr>
          <w:rFonts w:hint="eastAsia" w:ascii="宋体" w:hAnsi="宋体" w:eastAsia="宋体" w:cs="宋体"/>
          <w:color w:val="auto"/>
          <w:kern w:val="0"/>
          <w:sz w:val="21"/>
          <w:szCs w:val="21"/>
          <w:highlight w:val="none"/>
          <w:lang w:val="zh-CN"/>
        </w:rPr>
        <w:t>：</w:t>
      </w:r>
    </w:p>
    <w:p w14:paraId="17570523">
      <w:pPr>
        <w:snapToGrid w:val="0"/>
        <w:spacing w:line="360" w:lineRule="auto"/>
        <w:ind w:firstLine="576"/>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zh-CN"/>
        </w:rPr>
        <w:t>兹委派我公司</w:t>
      </w:r>
      <w:r>
        <w:rPr>
          <w:rFonts w:hint="eastAsia" w:ascii="宋体" w:hAnsi="宋体" w:eastAsia="宋体" w:cs="宋体"/>
          <w:color w:val="auto"/>
          <w:kern w:val="0"/>
          <w:sz w:val="21"/>
          <w:szCs w:val="21"/>
          <w:highlight w:val="none"/>
          <w:u w:val="single"/>
          <w:lang w:val="zh-CN"/>
        </w:rPr>
        <w:t xml:space="preserve">                </w:t>
      </w:r>
      <w:r>
        <w:rPr>
          <w:rFonts w:hint="eastAsia" w:ascii="宋体" w:hAnsi="宋体" w:eastAsia="宋体" w:cs="宋体"/>
          <w:color w:val="auto"/>
          <w:kern w:val="0"/>
          <w:sz w:val="21"/>
          <w:szCs w:val="21"/>
          <w:highlight w:val="none"/>
          <w:lang w:val="zh-CN"/>
        </w:rPr>
        <w:t>先生/女士(其在本公司的职务是：</w:t>
      </w:r>
      <w:r>
        <w:rPr>
          <w:rFonts w:hint="eastAsia" w:ascii="宋体" w:hAnsi="宋体" w:eastAsia="宋体" w:cs="宋体"/>
          <w:color w:val="auto"/>
          <w:kern w:val="0"/>
          <w:sz w:val="21"/>
          <w:szCs w:val="21"/>
          <w:highlight w:val="none"/>
          <w:u w:val="single"/>
          <w:lang w:val="zh-CN"/>
        </w:rPr>
        <w:t xml:space="preserve">                </w:t>
      </w:r>
      <w:r>
        <w:rPr>
          <w:rFonts w:hint="eastAsia" w:ascii="宋体" w:hAnsi="宋体" w:eastAsia="宋体" w:cs="宋体"/>
          <w:color w:val="auto"/>
          <w:kern w:val="0"/>
          <w:sz w:val="21"/>
          <w:szCs w:val="21"/>
          <w:highlight w:val="none"/>
          <w:lang w:val="zh-CN"/>
        </w:rPr>
        <w:t xml:space="preserve"> ，联系电话：</w:t>
      </w:r>
      <w:r>
        <w:rPr>
          <w:rFonts w:hint="eastAsia" w:ascii="宋体" w:hAnsi="宋体" w:eastAsia="宋体" w:cs="宋体"/>
          <w:color w:val="auto"/>
          <w:kern w:val="0"/>
          <w:sz w:val="21"/>
          <w:szCs w:val="21"/>
          <w:highlight w:val="none"/>
          <w:u w:val="single"/>
          <w:lang w:val="zh-CN"/>
        </w:rPr>
        <w:t xml:space="preserve">       </w:t>
      </w:r>
      <w:r>
        <w:rPr>
          <w:rFonts w:hint="eastAsia" w:ascii="宋体" w:hAnsi="宋体" w:eastAsia="宋体" w:cs="宋体"/>
          <w:color w:val="auto"/>
          <w:kern w:val="0"/>
          <w:sz w:val="21"/>
          <w:szCs w:val="21"/>
          <w:highlight w:val="none"/>
          <w:lang w:val="zh-CN"/>
        </w:rPr>
        <w:t>手机：</w:t>
      </w:r>
      <w:r>
        <w:rPr>
          <w:rFonts w:hint="eastAsia" w:ascii="宋体" w:hAnsi="宋体" w:eastAsia="宋体" w:cs="宋体"/>
          <w:color w:val="auto"/>
          <w:kern w:val="0"/>
          <w:sz w:val="21"/>
          <w:szCs w:val="21"/>
          <w:highlight w:val="none"/>
          <w:u w:val="single"/>
          <w:lang w:val="zh-CN"/>
        </w:rPr>
        <w:t xml:space="preserve">        </w:t>
      </w:r>
      <w:r>
        <w:rPr>
          <w:rFonts w:hint="eastAsia" w:ascii="宋体" w:hAnsi="宋体" w:eastAsia="宋体" w:cs="宋体"/>
          <w:color w:val="auto"/>
          <w:kern w:val="0"/>
          <w:sz w:val="21"/>
          <w:szCs w:val="21"/>
          <w:highlight w:val="none"/>
          <w:lang w:val="zh-CN"/>
        </w:rPr>
        <w:t>传真：</w:t>
      </w:r>
      <w:r>
        <w:rPr>
          <w:rFonts w:hint="eastAsia" w:ascii="宋体" w:hAnsi="宋体" w:eastAsia="宋体" w:cs="宋体"/>
          <w:color w:val="auto"/>
          <w:kern w:val="0"/>
          <w:sz w:val="21"/>
          <w:szCs w:val="21"/>
          <w:highlight w:val="none"/>
          <w:u w:val="single"/>
          <w:lang w:val="zh-CN"/>
        </w:rPr>
        <w:t xml:space="preserve">           </w:t>
      </w:r>
      <w:r>
        <w:rPr>
          <w:rFonts w:hint="eastAsia" w:ascii="宋体" w:hAnsi="宋体" w:eastAsia="宋体" w:cs="宋体"/>
          <w:color w:val="auto"/>
          <w:kern w:val="0"/>
          <w:sz w:val="21"/>
          <w:szCs w:val="21"/>
          <w:highlight w:val="none"/>
          <w:lang w:val="zh-CN"/>
        </w:rPr>
        <w:t>)，代表我公司全权处理</w:t>
      </w:r>
      <w:r>
        <w:rPr>
          <w:rFonts w:hint="eastAsia" w:ascii="宋体" w:hAnsi="宋体" w:eastAsia="宋体" w:cs="宋体"/>
          <w:color w:val="auto"/>
          <w:sz w:val="21"/>
          <w:szCs w:val="21"/>
          <w:highlight w:val="none"/>
        </w:rPr>
        <w:t>（项目名称）【项目编号：</w:t>
      </w:r>
      <w:r>
        <w:rPr>
          <w:rFonts w:hint="eastAsia" w:ascii="宋体" w:hAnsi="宋体" w:cs="宋体"/>
          <w:color w:val="auto"/>
          <w:sz w:val="21"/>
          <w:szCs w:val="21"/>
          <w:highlight w:val="none"/>
          <w:lang w:eastAsia="zh-CN"/>
        </w:rPr>
        <w:t>BHZC2026-J1-990266-BBWH</w:t>
      </w:r>
      <w:r>
        <w:rPr>
          <w:rFonts w:hint="eastAsia" w:ascii="宋体" w:hAnsi="宋体" w:eastAsia="宋体" w:cs="宋体"/>
          <w:color w:val="auto"/>
          <w:sz w:val="21"/>
          <w:szCs w:val="21"/>
          <w:highlight w:val="none"/>
        </w:rPr>
        <w:t>】</w:t>
      </w:r>
      <w:r>
        <w:rPr>
          <w:rFonts w:hint="eastAsia" w:ascii="宋体" w:hAnsi="宋体" w:eastAsia="宋体" w:cs="宋体"/>
          <w:color w:val="auto"/>
          <w:kern w:val="0"/>
          <w:sz w:val="21"/>
          <w:szCs w:val="21"/>
          <w:highlight w:val="none"/>
          <w:lang w:val="zh-CN"/>
        </w:rPr>
        <w:t>政府采购响应的一切事项，若成交则全权代表本公司签订相关合同，并负责处理合同履行等事宜。</w:t>
      </w:r>
    </w:p>
    <w:p w14:paraId="7D470BBE">
      <w:pPr>
        <w:snapToGrid w:val="0"/>
        <w:spacing w:line="360" w:lineRule="auto"/>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 xml:space="preserve">    本委托书有效期：自    年 月  日起至    年  月  日止。</w:t>
      </w:r>
    </w:p>
    <w:p w14:paraId="0DA2827E">
      <w:pPr>
        <w:snapToGrid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zh-CN"/>
        </w:rPr>
        <w:t xml:space="preserve">    特此告知。</w:t>
      </w:r>
    </w:p>
    <w:p w14:paraId="09332E35">
      <w:pPr>
        <w:spacing w:line="360" w:lineRule="auto"/>
        <w:ind w:left="4649" w:leftChars="2214" w:firstLine="3150" w:firstLineChars="1500"/>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zh-CN"/>
        </w:rPr>
        <w:t xml:space="preserve">                                                </w:t>
      </w:r>
      <w:r>
        <w:rPr>
          <w:rFonts w:hint="eastAsia" w:ascii="宋体" w:hAnsi="宋体" w:eastAsia="宋体" w:cs="宋体"/>
          <w:color w:val="auto"/>
          <w:sz w:val="21"/>
          <w:szCs w:val="21"/>
          <w:highlight w:val="none"/>
        </w:rPr>
        <w:t>谈判供应商名称（公章）：</w:t>
      </w:r>
    </w:p>
    <w:p w14:paraId="175C94CF">
      <w:pPr>
        <w:snapToGrid w:val="0"/>
        <w:spacing w:line="360" w:lineRule="auto"/>
        <w:ind w:left="4649" w:leftChars="2214"/>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法定代表人（负责人） (签名)：</w:t>
      </w:r>
    </w:p>
    <w:p w14:paraId="6FAFDBCF">
      <w:pPr>
        <w:snapToGrid w:val="0"/>
        <w:spacing w:line="360" w:lineRule="auto"/>
        <w:jc w:val="right"/>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 xml:space="preserve">                                       签发日期：  年  月   日</w:t>
      </w:r>
    </w:p>
    <w:p w14:paraId="196132E9">
      <w:pPr>
        <w:snapToGrid w:val="0"/>
        <w:spacing w:line="360" w:lineRule="auto"/>
        <w:rPr>
          <w:rFonts w:hint="eastAsia" w:ascii="宋体" w:hAnsi="宋体" w:eastAsia="宋体" w:cs="宋体"/>
          <w:color w:val="auto"/>
          <w:kern w:val="0"/>
          <w:sz w:val="21"/>
          <w:szCs w:val="21"/>
          <w:highlight w:val="none"/>
          <w:lang w:val="zh-CN"/>
        </w:rPr>
      </w:pPr>
    </w:p>
    <w:p w14:paraId="7145DA22">
      <w:pPr>
        <w:widowControl/>
        <w:adjustRightInd/>
        <w:jc w:val="left"/>
        <w:rPr>
          <w:rFonts w:hint="eastAsia" w:ascii="宋体" w:hAnsi="宋体" w:eastAsia="宋体" w:cs="宋体"/>
          <w:b/>
          <w:color w:val="auto"/>
          <w:kern w:val="0"/>
          <w:sz w:val="32"/>
          <w:szCs w:val="32"/>
          <w:highlight w:val="none"/>
          <w:lang w:val="zh-CN"/>
        </w:rPr>
      </w:pPr>
    </w:p>
    <w:p w14:paraId="067F6B81">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b/>
          <w:color w:val="auto"/>
          <w:sz w:val="30"/>
          <w:szCs w:val="30"/>
          <w:highlight w:val="none"/>
        </w:rPr>
        <w:t>授权代表的身份证（复印件）</w:t>
      </w:r>
    </w:p>
    <w:p w14:paraId="6AAF5CCF">
      <w:pPr>
        <w:pStyle w:val="618"/>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授权代表身份证件扫描件：</w:t>
      </w:r>
    </w:p>
    <w:tbl>
      <w:tblPr>
        <w:tblStyle w:val="60"/>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42A94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shd w:val="clear" w:color="auto" w:fill="auto"/>
          </w:tcPr>
          <w:p w14:paraId="63315D06">
            <w:pPr>
              <w:pStyle w:val="618"/>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正面：                                 反面：</w:t>
            </w:r>
          </w:p>
          <w:p w14:paraId="5FD0659C">
            <w:pPr>
              <w:pStyle w:val="618"/>
              <w:spacing w:line="360" w:lineRule="auto"/>
              <w:rPr>
                <w:rFonts w:hint="eastAsia" w:ascii="宋体" w:hAnsi="宋体" w:eastAsia="宋体" w:cs="宋体"/>
                <w:bCs/>
                <w:color w:val="auto"/>
                <w:sz w:val="21"/>
                <w:szCs w:val="21"/>
                <w:highlight w:val="none"/>
              </w:rPr>
            </w:pPr>
          </w:p>
        </w:tc>
      </w:tr>
    </w:tbl>
    <w:p w14:paraId="06DD5E52">
      <w:pPr>
        <w:snapToGrid w:val="0"/>
        <w:spacing w:line="360" w:lineRule="auto"/>
        <w:ind w:firstLine="576"/>
        <w:jc w:val="right"/>
        <w:rPr>
          <w:rFonts w:hint="eastAsia" w:ascii="宋体" w:hAnsi="宋体" w:eastAsia="宋体" w:cs="宋体"/>
          <w:color w:val="auto"/>
          <w:kern w:val="0"/>
          <w:sz w:val="21"/>
          <w:szCs w:val="21"/>
          <w:highlight w:val="none"/>
          <w:lang w:val="zh-CN"/>
        </w:rPr>
      </w:pPr>
    </w:p>
    <w:p w14:paraId="0F0F6C87">
      <w:pPr>
        <w:snapToGrid w:val="0"/>
        <w:spacing w:line="360" w:lineRule="auto"/>
        <w:ind w:firstLine="576"/>
        <w:jc w:val="center"/>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 xml:space="preserve">                谈判供应商名称(公章)：                              </w:t>
      </w:r>
    </w:p>
    <w:p w14:paraId="2318DB52">
      <w:pPr>
        <w:spacing w:line="360" w:lineRule="auto"/>
        <w:jc w:val="center"/>
        <w:rPr>
          <w:rFonts w:hint="eastAsia" w:ascii="宋体" w:hAnsi="宋体" w:eastAsia="宋体" w:cs="宋体"/>
          <w:b/>
          <w:color w:val="auto"/>
          <w:kern w:val="0"/>
          <w:sz w:val="32"/>
          <w:szCs w:val="32"/>
          <w:highlight w:val="none"/>
          <w:lang w:val="zh-CN"/>
        </w:rPr>
      </w:pPr>
      <w:r>
        <w:rPr>
          <w:rFonts w:hint="eastAsia" w:ascii="宋体" w:hAnsi="宋体" w:eastAsia="宋体" w:cs="宋体"/>
          <w:color w:val="auto"/>
          <w:kern w:val="0"/>
          <w:sz w:val="21"/>
          <w:szCs w:val="21"/>
          <w:highlight w:val="none"/>
          <w:lang w:val="zh-CN"/>
        </w:rPr>
        <w:t xml:space="preserve">                  日期：  年  月  日</w:t>
      </w:r>
      <w:r>
        <w:rPr>
          <w:rFonts w:hint="eastAsia" w:ascii="宋体" w:hAnsi="宋体" w:eastAsia="宋体" w:cs="宋体"/>
          <w:b/>
          <w:color w:val="auto"/>
          <w:kern w:val="0"/>
          <w:sz w:val="32"/>
          <w:szCs w:val="32"/>
          <w:highlight w:val="none"/>
          <w:lang w:val="zh-CN"/>
        </w:rPr>
        <w:br w:type="page"/>
      </w:r>
    </w:p>
    <w:p w14:paraId="73D7B183">
      <w:pPr>
        <w:widowControl/>
        <w:adjustRightInd/>
        <w:jc w:val="center"/>
        <w:rPr>
          <w:rFonts w:hint="eastAsia" w:ascii="宋体" w:hAnsi="宋体" w:eastAsia="宋体" w:cs="宋体"/>
          <w:b/>
          <w:color w:val="auto"/>
          <w:kern w:val="0"/>
          <w:sz w:val="32"/>
          <w:szCs w:val="32"/>
          <w:highlight w:val="none"/>
          <w:lang w:val="zh-CN"/>
        </w:rPr>
      </w:pPr>
      <w:r>
        <w:rPr>
          <w:rFonts w:hint="eastAsia" w:ascii="宋体" w:hAnsi="宋体" w:eastAsia="宋体" w:cs="宋体"/>
          <w:b/>
          <w:color w:val="auto"/>
          <w:kern w:val="0"/>
          <w:sz w:val="32"/>
          <w:szCs w:val="32"/>
          <w:highlight w:val="none"/>
          <w:lang w:val="zh-CN"/>
        </w:rPr>
        <w:t>法定代表人证明书</w:t>
      </w:r>
    </w:p>
    <w:p w14:paraId="7CE28ED5">
      <w:pPr>
        <w:spacing w:line="360" w:lineRule="auto"/>
        <w:ind w:left="540"/>
        <w:contextualSpacing/>
        <w:rPr>
          <w:rFonts w:hint="eastAsia" w:ascii="宋体" w:hAnsi="宋体" w:eastAsia="宋体" w:cs="宋体"/>
          <w:color w:val="auto"/>
          <w:sz w:val="32"/>
          <w:szCs w:val="32"/>
          <w:highlight w:val="none"/>
        </w:rPr>
      </w:pPr>
    </w:p>
    <w:p w14:paraId="28FFF74D">
      <w:pPr>
        <w:spacing w:line="360" w:lineRule="auto"/>
        <w:ind w:left="54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供应商名称：</w:t>
      </w:r>
      <w:r>
        <w:rPr>
          <w:rFonts w:hint="eastAsia" w:ascii="宋体" w:hAnsi="宋体" w:eastAsia="宋体" w:cs="宋体"/>
          <w:color w:val="auto"/>
          <w:sz w:val="21"/>
          <w:szCs w:val="21"/>
          <w:highlight w:val="none"/>
          <w:u w:val="single"/>
        </w:rPr>
        <w:t xml:space="preserve">                                         </w:t>
      </w:r>
    </w:p>
    <w:p w14:paraId="62A3A54C">
      <w:pPr>
        <w:spacing w:line="360" w:lineRule="auto"/>
        <w:ind w:left="54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    址：</w:t>
      </w:r>
      <w:r>
        <w:rPr>
          <w:rFonts w:hint="eastAsia" w:ascii="宋体" w:hAnsi="宋体" w:eastAsia="宋体" w:cs="宋体"/>
          <w:color w:val="auto"/>
          <w:sz w:val="21"/>
          <w:szCs w:val="21"/>
          <w:highlight w:val="none"/>
          <w:u w:val="single"/>
        </w:rPr>
        <w:t xml:space="preserve">                                           </w:t>
      </w:r>
    </w:p>
    <w:p w14:paraId="025C3E49">
      <w:pPr>
        <w:spacing w:line="360" w:lineRule="auto"/>
        <w:ind w:left="54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姓    名：</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性     别：</w:t>
      </w:r>
      <w:r>
        <w:rPr>
          <w:rFonts w:hint="eastAsia" w:ascii="宋体" w:hAnsi="宋体" w:eastAsia="宋体" w:cs="宋体"/>
          <w:color w:val="auto"/>
          <w:sz w:val="21"/>
          <w:szCs w:val="21"/>
          <w:highlight w:val="none"/>
          <w:u w:val="single"/>
        </w:rPr>
        <w:t xml:space="preserve">                </w:t>
      </w:r>
    </w:p>
    <w:p w14:paraId="7D61EACB">
      <w:pPr>
        <w:spacing w:line="360" w:lineRule="auto"/>
        <w:ind w:left="540"/>
        <w:contextualSpacing/>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年    龄：</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职     务：</w:t>
      </w:r>
      <w:r>
        <w:rPr>
          <w:rFonts w:hint="eastAsia" w:ascii="宋体" w:hAnsi="宋体" w:eastAsia="宋体" w:cs="宋体"/>
          <w:color w:val="auto"/>
          <w:sz w:val="21"/>
          <w:szCs w:val="21"/>
          <w:highlight w:val="none"/>
          <w:u w:val="single"/>
        </w:rPr>
        <w:t xml:space="preserve">                </w:t>
      </w:r>
    </w:p>
    <w:p w14:paraId="789680AC">
      <w:pPr>
        <w:spacing w:line="360" w:lineRule="auto"/>
        <w:ind w:left="54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身份证号码：</w:t>
      </w:r>
      <w:r>
        <w:rPr>
          <w:rFonts w:hint="eastAsia" w:ascii="宋体" w:hAnsi="宋体" w:eastAsia="宋体" w:cs="宋体"/>
          <w:color w:val="auto"/>
          <w:sz w:val="21"/>
          <w:szCs w:val="21"/>
          <w:highlight w:val="none"/>
          <w:u w:val="single"/>
        </w:rPr>
        <w:t xml:space="preserve">                                        </w:t>
      </w:r>
    </w:p>
    <w:p w14:paraId="4B1213F0">
      <w:pPr>
        <w:spacing w:line="36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系</w:t>
      </w:r>
      <w:r>
        <w:rPr>
          <w:rFonts w:hint="eastAsia" w:ascii="宋体" w:hAnsi="宋体" w:eastAsia="宋体" w:cs="宋体"/>
          <w:color w:val="auto"/>
          <w:sz w:val="21"/>
          <w:szCs w:val="21"/>
          <w:highlight w:val="none"/>
          <w:u w:val="single"/>
        </w:rPr>
        <w:t>（供应商名称）</w:t>
      </w:r>
      <w:r>
        <w:rPr>
          <w:rFonts w:hint="eastAsia" w:ascii="宋体" w:hAnsi="宋体" w:eastAsia="宋体" w:cs="宋体"/>
          <w:color w:val="auto"/>
          <w:sz w:val="21"/>
          <w:szCs w:val="21"/>
          <w:highlight w:val="none"/>
        </w:rPr>
        <w:t>的法定代表人。</w:t>
      </w:r>
    </w:p>
    <w:p w14:paraId="715FC888">
      <w:pPr>
        <w:spacing w:line="360" w:lineRule="auto"/>
        <w:ind w:left="54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特此证明。</w:t>
      </w:r>
    </w:p>
    <w:p w14:paraId="17D4A499">
      <w:pPr>
        <w:spacing w:line="360" w:lineRule="auto"/>
        <w:ind w:left="540"/>
        <w:contextualSpacing/>
        <w:rPr>
          <w:rFonts w:hint="eastAsia" w:ascii="宋体" w:hAnsi="宋体" w:eastAsia="宋体" w:cs="宋体"/>
          <w:color w:val="auto"/>
          <w:sz w:val="21"/>
          <w:szCs w:val="21"/>
          <w:highlight w:val="none"/>
        </w:rPr>
      </w:pPr>
    </w:p>
    <w:p w14:paraId="74F70552">
      <w:pPr>
        <w:spacing w:line="360" w:lineRule="auto"/>
        <w:ind w:left="540"/>
        <w:contextualSpacing/>
        <w:rPr>
          <w:rFonts w:hint="eastAsia" w:ascii="宋体" w:hAnsi="宋体" w:eastAsia="宋体" w:cs="宋体"/>
          <w:color w:val="auto"/>
          <w:sz w:val="21"/>
          <w:szCs w:val="21"/>
          <w:highlight w:val="none"/>
        </w:rPr>
      </w:pPr>
    </w:p>
    <w:p w14:paraId="2C928E25">
      <w:pPr>
        <w:spacing w:line="360" w:lineRule="auto"/>
        <w:ind w:left="540"/>
        <w:contextualSpacing/>
        <w:rPr>
          <w:rFonts w:hint="eastAsia" w:ascii="宋体" w:hAnsi="宋体" w:eastAsia="宋体" w:cs="宋体"/>
          <w:color w:val="auto"/>
          <w:sz w:val="21"/>
          <w:szCs w:val="21"/>
          <w:highlight w:val="none"/>
        </w:rPr>
      </w:pPr>
    </w:p>
    <w:p w14:paraId="48E9924F">
      <w:pPr>
        <w:spacing w:line="360" w:lineRule="auto"/>
        <w:ind w:left="54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附件：法定代表人有效身份证正反面复印件</w:t>
      </w:r>
    </w:p>
    <w:p w14:paraId="4713E105">
      <w:pPr>
        <w:spacing w:line="360" w:lineRule="auto"/>
        <w:ind w:left="540"/>
        <w:contextualSpacing/>
        <w:rPr>
          <w:rFonts w:hint="eastAsia" w:ascii="宋体" w:hAnsi="宋体" w:eastAsia="宋体" w:cs="宋体"/>
          <w:color w:val="auto"/>
          <w:sz w:val="21"/>
          <w:szCs w:val="21"/>
          <w:highlight w:val="none"/>
        </w:rPr>
      </w:pPr>
    </w:p>
    <w:p w14:paraId="7DCF7971">
      <w:pPr>
        <w:spacing w:line="360" w:lineRule="auto"/>
        <w:ind w:left="540"/>
        <w:contextualSpacing/>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谈判供应商名称（公章）：</w:t>
      </w:r>
      <w:r>
        <w:rPr>
          <w:rFonts w:hint="eastAsia" w:ascii="宋体" w:hAnsi="宋体" w:eastAsia="宋体" w:cs="宋体"/>
          <w:color w:val="auto"/>
          <w:sz w:val="21"/>
          <w:szCs w:val="21"/>
          <w:highlight w:val="none"/>
          <w:u w:val="single"/>
        </w:rPr>
        <w:t xml:space="preserve">               </w:t>
      </w:r>
    </w:p>
    <w:p w14:paraId="1F003BAF">
      <w:pPr>
        <w:spacing w:line="360" w:lineRule="auto"/>
        <w:ind w:firstLine="3570" w:firstLineChars="1700"/>
        <w:contextualSpacing/>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zh-CN"/>
        </w:rPr>
        <w:t>日期：  年  月  日</w:t>
      </w:r>
    </w:p>
    <w:p w14:paraId="1DE48A5E">
      <w:pPr>
        <w:rPr>
          <w:rFonts w:hint="eastAsia" w:hAnsi="宋体" w:cs="宋体"/>
          <w:color w:val="auto"/>
          <w:sz w:val="21"/>
          <w:szCs w:val="21"/>
          <w:highlight w:val="none"/>
          <w:lang w:val="zh-CN"/>
        </w:rPr>
      </w:pPr>
      <w:r>
        <w:rPr>
          <w:rFonts w:hint="eastAsia" w:hAnsi="宋体" w:cs="宋体"/>
          <w:color w:val="auto"/>
          <w:sz w:val="21"/>
          <w:szCs w:val="21"/>
          <w:highlight w:val="none"/>
          <w:lang w:val="zh-CN"/>
        </w:rPr>
        <w:br w:type="page"/>
      </w:r>
    </w:p>
    <w:p w14:paraId="5B50AB85">
      <w:pPr>
        <w:pStyle w:val="31"/>
        <w:numPr>
          <w:ilvl w:val="0"/>
          <w:numId w:val="0"/>
        </w:numPr>
        <w:spacing w:line="360" w:lineRule="auto"/>
        <w:rPr>
          <w:rFonts w:hint="eastAsia" w:hAnsi="宋体" w:cs="宋体"/>
          <w:b/>
          <w:bCs/>
          <w:color w:val="auto"/>
          <w:sz w:val="21"/>
          <w:szCs w:val="21"/>
          <w:highlight w:val="none"/>
          <w:lang w:val="zh-CN"/>
        </w:rPr>
      </w:pPr>
      <w:r>
        <w:rPr>
          <w:rFonts w:hint="eastAsia" w:hAnsi="宋体" w:cs="宋体"/>
          <w:b/>
          <w:bCs/>
          <w:color w:val="auto"/>
          <w:sz w:val="21"/>
          <w:szCs w:val="21"/>
          <w:highlight w:val="none"/>
          <w:lang w:val="en-US" w:eastAsia="zh-CN"/>
        </w:rPr>
        <w:t>5、</w:t>
      </w:r>
      <w:r>
        <w:rPr>
          <w:rFonts w:hint="eastAsia" w:ascii="宋体" w:hAnsi="宋体" w:eastAsia="宋体" w:cs="宋体"/>
          <w:b/>
          <w:bCs/>
          <w:color w:val="auto"/>
          <w:sz w:val="21"/>
          <w:szCs w:val="21"/>
          <w:highlight w:val="none"/>
        </w:rPr>
        <w:t>商务条款偏离表</w:t>
      </w:r>
    </w:p>
    <w:p w14:paraId="1FA39343">
      <w:pPr>
        <w:spacing w:line="360" w:lineRule="auto"/>
        <w:jc w:val="center"/>
        <w:rPr>
          <w:rFonts w:hint="eastAsia" w:ascii="宋体" w:hAnsi="宋体" w:eastAsia="宋体" w:cs="宋体"/>
          <w:b/>
          <w:bCs/>
          <w:color w:val="auto"/>
          <w:sz w:val="32"/>
          <w:szCs w:val="32"/>
          <w:highlight w:val="none"/>
        </w:rPr>
      </w:pPr>
    </w:p>
    <w:p w14:paraId="3EBB8450">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商务条款偏离表</w:t>
      </w:r>
    </w:p>
    <w:p w14:paraId="5831F948">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(注：按采购需求具体条款修改)</w:t>
      </w:r>
    </w:p>
    <w:p w14:paraId="5A0FDD28">
      <w:pPr>
        <w:snapToGrid w:val="0"/>
        <w:spacing w:before="50"/>
        <w:jc w:val="left"/>
        <w:rPr>
          <w:rFonts w:hint="eastAsia" w:ascii="宋体" w:hAnsi="宋体"/>
          <w:color w:val="auto"/>
          <w:sz w:val="24"/>
          <w:highlight w:val="none"/>
        </w:rPr>
      </w:pPr>
    </w:p>
    <w:p w14:paraId="48A838ED">
      <w:pPr>
        <w:pStyle w:val="31"/>
        <w:spacing w:line="360" w:lineRule="auto"/>
        <w:rPr>
          <w:rFonts w:hint="eastAsia" w:hAnsi="宋体" w:cs="仿宋_GB2312"/>
          <w:color w:val="auto"/>
          <w:sz w:val="21"/>
          <w:szCs w:val="21"/>
          <w:highlight w:val="none"/>
        </w:rPr>
      </w:pPr>
      <w:r>
        <w:rPr>
          <w:rFonts w:hint="eastAsia" w:hAnsi="宋体" w:cs="仿宋_GB2312"/>
          <w:color w:val="auto"/>
          <w:sz w:val="21"/>
          <w:szCs w:val="21"/>
          <w:highlight w:val="none"/>
        </w:rPr>
        <w:t>所竞分标：</w:t>
      </w:r>
      <w:r>
        <w:rPr>
          <w:rFonts w:hint="eastAsia" w:hAnsi="宋体" w:cs="仿宋_GB2312"/>
          <w:color w:val="auto"/>
          <w:sz w:val="21"/>
          <w:szCs w:val="21"/>
          <w:highlight w:val="none"/>
          <w:u w:val="single"/>
        </w:rPr>
        <w:t xml:space="preserve">              </w:t>
      </w:r>
    </w:p>
    <w:tbl>
      <w:tblPr>
        <w:tblStyle w:val="60"/>
        <w:tblpPr w:leftFromText="180" w:rightFromText="180" w:vertAnchor="text" w:horzAnchor="margin" w:tblpY="311"/>
        <w:tblOverlap w:val="never"/>
        <w:tblW w:w="930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2633"/>
        <w:gridCol w:w="1829"/>
      </w:tblGrid>
      <w:tr w14:paraId="4A61AB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69AD3974">
            <w:pPr>
              <w:snapToGrid w:val="0"/>
              <w:spacing w:before="120" w:beforeLines="50" w:line="360" w:lineRule="auto"/>
              <w:jc w:val="center"/>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项目</w:t>
            </w:r>
          </w:p>
        </w:tc>
        <w:tc>
          <w:tcPr>
            <w:tcW w:w="2668" w:type="dxa"/>
            <w:tcBorders>
              <w:top w:val="single" w:color="auto" w:sz="4" w:space="0"/>
              <w:left w:val="single" w:color="auto" w:sz="4" w:space="0"/>
              <w:bottom w:val="single" w:color="auto" w:sz="4" w:space="0"/>
              <w:right w:val="single" w:color="auto" w:sz="4" w:space="0"/>
            </w:tcBorders>
            <w:noWrap w:val="0"/>
            <w:vAlign w:val="center"/>
          </w:tcPr>
          <w:p w14:paraId="71E02A2E">
            <w:pPr>
              <w:snapToGrid w:val="0"/>
              <w:spacing w:before="120" w:beforeLines="50" w:line="360" w:lineRule="auto"/>
              <w:jc w:val="center"/>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竞争性谈判文件商务条款要求</w:t>
            </w:r>
          </w:p>
        </w:tc>
        <w:tc>
          <w:tcPr>
            <w:tcW w:w="2633" w:type="dxa"/>
            <w:tcBorders>
              <w:top w:val="single" w:color="auto" w:sz="4" w:space="0"/>
              <w:left w:val="single" w:color="auto" w:sz="4" w:space="0"/>
              <w:bottom w:val="single" w:color="auto" w:sz="4" w:space="0"/>
              <w:right w:val="single" w:color="auto" w:sz="4" w:space="0"/>
            </w:tcBorders>
            <w:noWrap w:val="0"/>
            <w:vAlign w:val="center"/>
          </w:tcPr>
          <w:p w14:paraId="50AFAFD5">
            <w:pPr>
              <w:snapToGrid w:val="0"/>
              <w:spacing w:before="120" w:beforeLines="50" w:line="360" w:lineRule="auto"/>
              <w:jc w:val="center"/>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供应商的响应</w:t>
            </w:r>
          </w:p>
        </w:tc>
        <w:tc>
          <w:tcPr>
            <w:tcW w:w="1829" w:type="dxa"/>
            <w:tcBorders>
              <w:top w:val="single" w:color="auto" w:sz="4" w:space="0"/>
              <w:left w:val="single" w:color="auto" w:sz="4" w:space="0"/>
              <w:bottom w:val="single" w:color="auto" w:sz="4" w:space="0"/>
              <w:right w:val="single" w:color="auto" w:sz="4" w:space="0"/>
            </w:tcBorders>
            <w:noWrap w:val="0"/>
            <w:vAlign w:val="center"/>
          </w:tcPr>
          <w:p w14:paraId="6A14FBDB">
            <w:pPr>
              <w:snapToGrid w:val="0"/>
              <w:spacing w:before="120" w:beforeLines="50" w:line="360" w:lineRule="auto"/>
              <w:jc w:val="center"/>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偏离说明</w:t>
            </w:r>
          </w:p>
        </w:tc>
      </w:tr>
      <w:tr w14:paraId="420D1F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0A8D947E">
            <w:pPr>
              <w:spacing w:line="360" w:lineRule="auto"/>
              <w:jc w:val="center"/>
              <w:rPr>
                <w:rFonts w:hint="eastAsia" w:ascii="宋体" w:hAnsi="宋体" w:cs="仿宋_GB2312"/>
                <w:color w:val="auto"/>
                <w:sz w:val="21"/>
                <w:szCs w:val="21"/>
                <w:highlight w:val="none"/>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14:paraId="16F90064">
            <w:pPr>
              <w:snapToGrid w:val="0"/>
              <w:spacing w:before="120" w:beforeLines="50" w:line="360" w:lineRule="auto"/>
              <w:jc w:val="center"/>
              <w:rPr>
                <w:rFonts w:hint="eastAsia" w:ascii="宋体" w:hAnsi="宋体" w:cs="仿宋_GB2312"/>
                <w:color w:val="auto"/>
                <w:sz w:val="21"/>
                <w:szCs w:val="21"/>
                <w:highlight w:val="none"/>
              </w:rPr>
            </w:pPr>
          </w:p>
        </w:tc>
        <w:tc>
          <w:tcPr>
            <w:tcW w:w="2633" w:type="dxa"/>
            <w:tcBorders>
              <w:top w:val="single" w:color="auto" w:sz="4" w:space="0"/>
              <w:left w:val="single" w:color="auto" w:sz="4" w:space="0"/>
              <w:bottom w:val="single" w:color="auto" w:sz="4" w:space="0"/>
              <w:right w:val="single" w:color="auto" w:sz="4" w:space="0"/>
            </w:tcBorders>
            <w:noWrap w:val="0"/>
            <w:vAlign w:val="center"/>
          </w:tcPr>
          <w:p w14:paraId="3863A02B">
            <w:pPr>
              <w:snapToGrid w:val="0"/>
              <w:spacing w:before="120" w:beforeLines="50" w:line="360" w:lineRule="auto"/>
              <w:jc w:val="center"/>
              <w:rPr>
                <w:rFonts w:hint="eastAsia" w:ascii="宋体" w:hAnsi="宋体" w:cs="仿宋_GB2312"/>
                <w:color w:val="auto"/>
                <w:sz w:val="21"/>
                <w:szCs w:val="21"/>
                <w:highlight w:val="none"/>
              </w:rPr>
            </w:pPr>
          </w:p>
        </w:tc>
        <w:tc>
          <w:tcPr>
            <w:tcW w:w="1829" w:type="dxa"/>
            <w:tcBorders>
              <w:top w:val="single" w:color="auto" w:sz="4" w:space="0"/>
              <w:left w:val="single" w:color="auto" w:sz="4" w:space="0"/>
              <w:bottom w:val="single" w:color="auto" w:sz="4" w:space="0"/>
              <w:right w:val="single" w:color="auto" w:sz="4" w:space="0"/>
            </w:tcBorders>
            <w:noWrap w:val="0"/>
            <w:vAlign w:val="center"/>
          </w:tcPr>
          <w:p w14:paraId="52C58EA0">
            <w:pPr>
              <w:snapToGrid w:val="0"/>
              <w:spacing w:before="120" w:beforeLines="50" w:line="360" w:lineRule="auto"/>
              <w:jc w:val="center"/>
              <w:rPr>
                <w:rFonts w:hint="eastAsia" w:ascii="宋体" w:hAnsi="宋体" w:cs="仿宋_GB2312"/>
                <w:color w:val="auto"/>
                <w:sz w:val="21"/>
                <w:szCs w:val="21"/>
                <w:highlight w:val="none"/>
              </w:rPr>
            </w:pPr>
          </w:p>
        </w:tc>
      </w:tr>
      <w:tr w14:paraId="416E93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581ACE7D">
            <w:pPr>
              <w:spacing w:line="360" w:lineRule="auto"/>
              <w:jc w:val="center"/>
              <w:rPr>
                <w:rFonts w:hint="eastAsia" w:ascii="宋体" w:hAnsi="宋体" w:cs="仿宋_GB2312"/>
                <w:color w:val="auto"/>
                <w:sz w:val="21"/>
                <w:szCs w:val="21"/>
                <w:highlight w:val="none"/>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14:paraId="098593FF">
            <w:pPr>
              <w:snapToGrid w:val="0"/>
              <w:spacing w:before="120" w:beforeLines="50" w:line="360" w:lineRule="auto"/>
              <w:jc w:val="center"/>
              <w:rPr>
                <w:rFonts w:hint="eastAsia" w:ascii="宋体" w:hAnsi="宋体" w:cs="仿宋_GB2312"/>
                <w:color w:val="auto"/>
                <w:sz w:val="21"/>
                <w:szCs w:val="21"/>
                <w:highlight w:val="none"/>
              </w:rPr>
            </w:pPr>
          </w:p>
        </w:tc>
        <w:tc>
          <w:tcPr>
            <w:tcW w:w="2633" w:type="dxa"/>
            <w:tcBorders>
              <w:top w:val="single" w:color="auto" w:sz="4" w:space="0"/>
              <w:left w:val="single" w:color="auto" w:sz="4" w:space="0"/>
              <w:bottom w:val="single" w:color="auto" w:sz="4" w:space="0"/>
              <w:right w:val="single" w:color="auto" w:sz="4" w:space="0"/>
            </w:tcBorders>
            <w:noWrap w:val="0"/>
            <w:vAlign w:val="center"/>
          </w:tcPr>
          <w:p w14:paraId="6D49F5A4">
            <w:pPr>
              <w:snapToGrid w:val="0"/>
              <w:spacing w:before="120" w:beforeLines="50" w:line="360" w:lineRule="auto"/>
              <w:jc w:val="center"/>
              <w:rPr>
                <w:rFonts w:hint="eastAsia" w:ascii="宋体" w:hAnsi="宋体" w:cs="仿宋_GB2312"/>
                <w:color w:val="auto"/>
                <w:sz w:val="21"/>
                <w:szCs w:val="21"/>
                <w:highlight w:val="none"/>
              </w:rPr>
            </w:pPr>
          </w:p>
        </w:tc>
        <w:tc>
          <w:tcPr>
            <w:tcW w:w="1829" w:type="dxa"/>
            <w:tcBorders>
              <w:top w:val="single" w:color="auto" w:sz="4" w:space="0"/>
              <w:left w:val="single" w:color="auto" w:sz="4" w:space="0"/>
              <w:bottom w:val="single" w:color="auto" w:sz="4" w:space="0"/>
              <w:right w:val="single" w:color="auto" w:sz="4" w:space="0"/>
            </w:tcBorders>
            <w:noWrap w:val="0"/>
            <w:vAlign w:val="center"/>
          </w:tcPr>
          <w:p w14:paraId="0A468FF9">
            <w:pPr>
              <w:snapToGrid w:val="0"/>
              <w:spacing w:before="120" w:beforeLines="50" w:line="360" w:lineRule="auto"/>
              <w:jc w:val="center"/>
              <w:rPr>
                <w:rFonts w:hint="eastAsia" w:ascii="宋体" w:hAnsi="宋体" w:cs="仿宋_GB2312"/>
                <w:color w:val="auto"/>
                <w:sz w:val="21"/>
                <w:szCs w:val="21"/>
                <w:highlight w:val="none"/>
              </w:rPr>
            </w:pPr>
          </w:p>
        </w:tc>
      </w:tr>
      <w:tr w14:paraId="34A79F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0A493E6D">
            <w:pPr>
              <w:spacing w:line="360" w:lineRule="auto"/>
              <w:jc w:val="center"/>
              <w:rPr>
                <w:rFonts w:hint="eastAsia" w:ascii="宋体" w:hAnsi="宋体" w:cs="仿宋_GB2312"/>
                <w:color w:val="auto"/>
                <w:sz w:val="21"/>
                <w:szCs w:val="21"/>
                <w:highlight w:val="none"/>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14:paraId="5DC00126">
            <w:pPr>
              <w:snapToGrid w:val="0"/>
              <w:spacing w:before="120" w:beforeLines="50" w:line="360" w:lineRule="auto"/>
              <w:jc w:val="center"/>
              <w:rPr>
                <w:rFonts w:hint="eastAsia" w:ascii="宋体" w:hAnsi="宋体" w:cs="仿宋_GB2312"/>
                <w:color w:val="auto"/>
                <w:sz w:val="21"/>
                <w:szCs w:val="21"/>
                <w:highlight w:val="none"/>
              </w:rPr>
            </w:pPr>
          </w:p>
        </w:tc>
        <w:tc>
          <w:tcPr>
            <w:tcW w:w="2633" w:type="dxa"/>
            <w:tcBorders>
              <w:top w:val="single" w:color="auto" w:sz="4" w:space="0"/>
              <w:left w:val="single" w:color="auto" w:sz="4" w:space="0"/>
              <w:bottom w:val="single" w:color="auto" w:sz="4" w:space="0"/>
              <w:right w:val="single" w:color="auto" w:sz="4" w:space="0"/>
            </w:tcBorders>
            <w:noWrap w:val="0"/>
            <w:vAlign w:val="center"/>
          </w:tcPr>
          <w:p w14:paraId="2CA407EB">
            <w:pPr>
              <w:snapToGrid w:val="0"/>
              <w:spacing w:before="120" w:beforeLines="50" w:line="360" w:lineRule="auto"/>
              <w:ind w:left="43"/>
              <w:jc w:val="center"/>
              <w:rPr>
                <w:rFonts w:hint="eastAsia" w:ascii="宋体" w:hAnsi="宋体" w:cs="仿宋_GB2312"/>
                <w:color w:val="auto"/>
                <w:sz w:val="21"/>
                <w:szCs w:val="21"/>
                <w:highlight w:val="none"/>
              </w:rPr>
            </w:pPr>
          </w:p>
        </w:tc>
        <w:tc>
          <w:tcPr>
            <w:tcW w:w="1829" w:type="dxa"/>
            <w:tcBorders>
              <w:top w:val="single" w:color="auto" w:sz="4" w:space="0"/>
              <w:left w:val="single" w:color="auto" w:sz="4" w:space="0"/>
              <w:bottom w:val="single" w:color="auto" w:sz="4" w:space="0"/>
              <w:right w:val="single" w:color="auto" w:sz="4" w:space="0"/>
            </w:tcBorders>
            <w:noWrap w:val="0"/>
            <w:vAlign w:val="center"/>
          </w:tcPr>
          <w:p w14:paraId="38728474">
            <w:pPr>
              <w:snapToGrid w:val="0"/>
              <w:spacing w:before="120" w:beforeLines="50" w:line="360" w:lineRule="auto"/>
              <w:ind w:left="43"/>
              <w:jc w:val="center"/>
              <w:rPr>
                <w:rFonts w:hint="eastAsia" w:ascii="宋体" w:hAnsi="宋体" w:cs="仿宋_GB2312"/>
                <w:color w:val="auto"/>
                <w:sz w:val="21"/>
                <w:szCs w:val="21"/>
                <w:highlight w:val="none"/>
              </w:rPr>
            </w:pPr>
          </w:p>
        </w:tc>
      </w:tr>
      <w:tr w14:paraId="2F9BF3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2D5325AC">
            <w:pPr>
              <w:spacing w:line="360" w:lineRule="auto"/>
              <w:jc w:val="center"/>
              <w:rPr>
                <w:rFonts w:hint="eastAsia" w:ascii="宋体" w:hAnsi="宋体" w:cs="仿宋_GB2312"/>
                <w:color w:val="auto"/>
                <w:sz w:val="21"/>
                <w:szCs w:val="21"/>
                <w:highlight w:val="none"/>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14:paraId="633D8ED2">
            <w:pPr>
              <w:snapToGrid w:val="0"/>
              <w:spacing w:before="120" w:beforeLines="50" w:line="360" w:lineRule="auto"/>
              <w:jc w:val="center"/>
              <w:rPr>
                <w:rFonts w:hint="eastAsia" w:ascii="宋体" w:hAnsi="宋体" w:cs="仿宋_GB2312"/>
                <w:color w:val="auto"/>
                <w:sz w:val="21"/>
                <w:szCs w:val="21"/>
                <w:highlight w:val="none"/>
              </w:rPr>
            </w:pPr>
          </w:p>
        </w:tc>
        <w:tc>
          <w:tcPr>
            <w:tcW w:w="2633" w:type="dxa"/>
            <w:tcBorders>
              <w:top w:val="single" w:color="auto" w:sz="4" w:space="0"/>
              <w:left w:val="single" w:color="auto" w:sz="4" w:space="0"/>
              <w:bottom w:val="single" w:color="auto" w:sz="4" w:space="0"/>
              <w:right w:val="single" w:color="auto" w:sz="4" w:space="0"/>
            </w:tcBorders>
            <w:noWrap w:val="0"/>
            <w:vAlign w:val="center"/>
          </w:tcPr>
          <w:p w14:paraId="33538CF9">
            <w:pPr>
              <w:snapToGrid w:val="0"/>
              <w:spacing w:before="120" w:beforeLines="50" w:line="360" w:lineRule="auto"/>
              <w:jc w:val="center"/>
              <w:rPr>
                <w:rFonts w:hint="eastAsia" w:ascii="宋体" w:hAnsi="宋体" w:cs="仿宋_GB2312"/>
                <w:color w:val="auto"/>
                <w:sz w:val="21"/>
                <w:szCs w:val="21"/>
                <w:highlight w:val="none"/>
              </w:rPr>
            </w:pPr>
          </w:p>
        </w:tc>
        <w:tc>
          <w:tcPr>
            <w:tcW w:w="1829" w:type="dxa"/>
            <w:tcBorders>
              <w:top w:val="single" w:color="auto" w:sz="4" w:space="0"/>
              <w:left w:val="single" w:color="auto" w:sz="4" w:space="0"/>
              <w:bottom w:val="single" w:color="auto" w:sz="4" w:space="0"/>
              <w:right w:val="single" w:color="auto" w:sz="4" w:space="0"/>
            </w:tcBorders>
            <w:noWrap w:val="0"/>
            <w:vAlign w:val="center"/>
          </w:tcPr>
          <w:p w14:paraId="35BE763B">
            <w:pPr>
              <w:snapToGrid w:val="0"/>
              <w:spacing w:before="120" w:beforeLines="50" w:line="360" w:lineRule="auto"/>
              <w:jc w:val="center"/>
              <w:rPr>
                <w:rFonts w:hint="eastAsia" w:ascii="宋体" w:hAnsi="宋体" w:cs="仿宋_GB2312"/>
                <w:color w:val="auto"/>
                <w:sz w:val="21"/>
                <w:szCs w:val="21"/>
                <w:highlight w:val="none"/>
              </w:rPr>
            </w:pPr>
          </w:p>
        </w:tc>
      </w:tr>
      <w:tr w14:paraId="57C9A4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noWrap w:val="0"/>
            <w:vAlign w:val="center"/>
          </w:tcPr>
          <w:p w14:paraId="0A3B5467">
            <w:pPr>
              <w:snapToGrid w:val="0"/>
              <w:spacing w:before="120" w:beforeLines="50" w:line="360" w:lineRule="auto"/>
              <w:jc w:val="center"/>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w:t>
            </w:r>
          </w:p>
        </w:tc>
        <w:tc>
          <w:tcPr>
            <w:tcW w:w="2668" w:type="dxa"/>
            <w:tcBorders>
              <w:top w:val="single" w:color="auto" w:sz="4" w:space="0"/>
              <w:left w:val="single" w:color="auto" w:sz="4" w:space="0"/>
              <w:bottom w:val="single" w:color="auto" w:sz="4" w:space="0"/>
              <w:right w:val="single" w:color="auto" w:sz="4" w:space="0"/>
            </w:tcBorders>
            <w:noWrap w:val="0"/>
            <w:vAlign w:val="center"/>
          </w:tcPr>
          <w:p w14:paraId="22A8A21E">
            <w:pPr>
              <w:snapToGrid w:val="0"/>
              <w:spacing w:before="120" w:beforeLines="50" w:line="360" w:lineRule="auto"/>
              <w:jc w:val="center"/>
              <w:rPr>
                <w:rFonts w:hint="eastAsia" w:ascii="宋体" w:hAnsi="宋体" w:cs="仿宋_GB2312"/>
                <w:color w:val="auto"/>
                <w:sz w:val="21"/>
                <w:szCs w:val="21"/>
                <w:highlight w:val="none"/>
              </w:rPr>
            </w:pPr>
          </w:p>
        </w:tc>
        <w:tc>
          <w:tcPr>
            <w:tcW w:w="2633" w:type="dxa"/>
            <w:tcBorders>
              <w:top w:val="single" w:color="auto" w:sz="4" w:space="0"/>
              <w:left w:val="single" w:color="auto" w:sz="4" w:space="0"/>
              <w:bottom w:val="single" w:color="auto" w:sz="4" w:space="0"/>
              <w:right w:val="single" w:color="auto" w:sz="4" w:space="0"/>
            </w:tcBorders>
            <w:noWrap w:val="0"/>
            <w:vAlign w:val="center"/>
          </w:tcPr>
          <w:p w14:paraId="524A0630">
            <w:pPr>
              <w:snapToGrid w:val="0"/>
              <w:spacing w:before="120" w:beforeLines="50" w:line="360" w:lineRule="auto"/>
              <w:jc w:val="center"/>
              <w:rPr>
                <w:rFonts w:hint="eastAsia" w:ascii="宋体" w:hAnsi="宋体" w:cs="仿宋_GB2312"/>
                <w:color w:val="auto"/>
                <w:sz w:val="21"/>
                <w:szCs w:val="21"/>
                <w:highlight w:val="none"/>
              </w:rPr>
            </w:pPr>
          </w:p>
        </w:tc>
        <w:tc>
          <w:tcPr>
            <w:tcW w:w="1829" w:type="dxa"/>
            <w:tcBorders>
              <w:top w:val="single" w:color="auto" w:sz="4" w:space="0"/>
              <w:left w:val="single" w:color="auto" w:sz="4" w:space="0"/>
              <w:bottom w:val="single" w:color="auto" w:sz="4" w:space="0"/>
              <w:right w:val="single" w:color="auto" w:sz="4" w:space="0"/>
            </w:tcBorders>
            <w:noWrap w:val="0"/>
            <w:vAlign w:val="center"/>
          </w:tcPr>
          <w:p w14:paraId="1C6C5832">
            <w:pPr>
              <w:snapToGrid w:val="0"/>
              <w:spacing w:before="120" w:beforeLines="50" w:line="360" w:lineRule="auto"/>
              <w:jc w:val="center"/>
              <w:rPr>
                <w:rFonts w:hint="eastAsia" w:ascii="宋体" w:hAnsi="宋体" w:cs="仿宋_GB2312"/>
                <w:color w:val="auto"/>
                <w:sz w:val="21"/>
                <w:szCs w:val="21"/>
                <w:highlight w:val="none"/>
              </w:rPr>
            </w:pPr>
          </w:p>
        </w:tc>
      </w:tr>
    </w:tbl>
    <w:p w14:paraId="4CA9E9B7">
      <w:pPr>
        <w:pStyle w:val="21"/>
        <w:spacing w:after="0" w:line="360" w:lineRule="auto"/>
        <w:contextualSpacing/>
        <w:jc w:val="both"/>
        <w:rPr>
          <w:rFonts w:hint="eastAsia" w:ascii="宋体" w:hAnsi="宋体"/>
          <w:color w:val="auto"/>
          <w:kern w:val="0"/>
          <w:sz w:val="21"/>
          <w:szCs w:val="21"/>
          <w:highlight w:val="none"/>
        </w:rPr>
      </w:pPr>
      <w:r>
        <w:rPr>
          <w:rFonts w:hint="eastAsia" w:ascii="宋体" w:hAnsi="宋体"/>
          <w:color w:val="auto"/>
          <w:kern w:val="0"/>
          <w:sz w:val="21"/>
          <w:szCs w:val="21"/>
          <w:highlight w:val="none"/>
        </w:rPr>
        <w:t>注：</w:t>
      </w:r>
    </w:p>
    <w:p w14:paraId="26924746">
      <w:pPr>
        <w:pStyle w:val="21"/>
        <w:spacing w:after="0" w:line="360" w:lineRule="auto"/>
        <w:contextualSpacing/>
        <w:jc w:val="both"/>
        <w:rPr>
          <w:rFonts w:ascii="宋体" w:hAnsi="宋体"/>
          <w:color w:val="auto"/>
          <w:kern w:val="0"/>
          <w:sz w:val="21"/>
          <w:szCs w:val="21"/>
          <w:highlight w:val="none"/>
        </w:rPr>
      </w:pPr>
      <w:r>
        <w:rPr>
          <w:rFonts w:hint="eastAsia" w:ascii="宋体" w:hAnsi="宋体"/>
          <w:color w:val="auto"/>
          <w:kern w:val="0"/>
          <w:sz w:val="21"/>
          <w:szCs w:val="21"/>
          <w:highlight w:val="none"/>
        </w:rPr>
        <w:t>1. 说明：应对照谈判文件“</w:t>
      </w:r>
      <w:r>
        <w:rPr>
          <w:rFonts w:hint="eastAsia" w:ascii="宋体" w:hAnsi="宋体"/>
          <w:color w:val="auto"/>
          <w:kern w:val="0"/>
          <w:sz w:val="21"/>
          <w:szCs w:val="21"/>
          <w:highlight w:val="none"/>
          <w:lang w:val="en-US" w:eastAsia="zh-CN"/>
        </w:rPr>
        <w:t>第四部分</w:t>
      </w:r>
      <w:r>
        <w:rPr>
          <w:rFonts w:hint="eastAsia" w:ascii="宋体" w:hAnsi="宋体"/>
          <w:color w:val="auto"/>
          <w:kern w:val="0"/>
          <w:sz w:val="21"/>
          <w:szCs w:val="21"/>
          <w:highlight w:val="none"/>
        </w:rPr>
        <w:t xml:space="preserve"> 采购需求”中的商务条款逐条明确响应，并作出偏离说明。</w:t>
      </w:r>
    </w:p>
    <w:p w14:paraId="2CFA82AB">
      <w:pPr>
        <w:pStyle w:val="21"/>
        <w:spacing w:after="0" w:line="360" w:lineRule="auto"/>
        <w:contextualSpacing/>
        <w:jc w:val="left"/>
        <w:rPr>
          <w:rFonts w:hint="eastAsia" w:ascii="宋体" w:hAnsi="宋体"/>
          <w:color w:val="auto"/>
          <w:kern w:val="0"/>
          <w:sz w:val="21"/>
          <w:szCs w:val="21"/>
          <w:highlight w:val="none"/>
        </w:rPr>
      </w:pPr>
      <w:r>
        <w:rPr>
          <w:rFonts w:hint="eastAsia" w:ascii="宋体" w:hAnsi="宋体"/>
          <w:color w:val="auto"/>
          <w:kern w:val="0"/>
          <w:sz w:val="21"/>
          <w:szCs w:val="21"/>
          <w:highlight w:val="none"/>
        </w:rPr>
        <w:t>2.供应商应根据自身的承诺，对照谈判文件要求在“偏离说明”中注明“正偏离”、“负偏离”或者“无偏离”。既不属于“正偏离”也不属于“负偏离”即为“无偏离”。</w:t>
      </w:r>
    </w:p>
    <w:p w14:paraId="30AB47E6">
      <w:pPr>
        <w:spacing w:line="360" w:lineRule="auto"/>
        <w:contextualSpacing/>
        <w:jc w:val="left"/>
        <w:rPr>
          <w:rFonts w:hint="eastAsia" w:ascii="宋体" w:hAnsi="宋体" w:cs="仿宋_GB2312"/>
          <w:color w:val="auto"/>
          <w:sz w:val="21"/>
          <w:szCs w:val="21"/>
          <w:highlight w:val="none"/>
          <w:u w:val="single"/>
        </w:rPr>
      </w:pPr>
    </w:p>
    <w:p w14:paraId="3A5CDF3C">
      <w:pPr>
        <w:spacing w:line="360" w:lineRule="auto"/>
        <w:contextualSpacing/>
        <w:jc w:val="left"/>
        <w:rPr>
          <w:rFonts w:hint="eastAsia" w:ascii="宋体" w:hAnsi="宋体" w:cs="仿宋_GB2312"/>
          <w:color w:val="auto"/>
          <w:sz w:val="21"/>
          <w:szCs w:val="21"/>
          <w:highlight w:val="none"/>
          <w:u w:val="single"/>
        </w:rPr>
      </w:pPr>
    </w:p>
    <w:p w14:paraId="09A58E11">
      <w:pPr>
        <w:spacing w:line="360" w:lineRule="auto"/>
        <w:ind w:right="-817" w:rightChars="-389"/>
        <w:contextualSpacing/>
        <w:rPr>
          <w:rFonts w:hint="eastAsia" w:ascii="宋体" w:hAnsi="宋体" w:cs="仿宋_GB2312"/>
          <w:color w:val="auto"/>
          <w:sz w:val="21"/>
          <w:szCs w:val="21"/>
          <w:highlight w:val="none"/>
        </w:rPr>
      </w:pPr>
    </w:p>
    <w:p w14:paraId="7469E1D2">
      <w:pPr>
        <w:spacing w:line="360" w:lineRule="auto"/>
        <w:ind w:right="-817" w:rightChars="-389"/>
        <w:contextualSpacing/>
        <w:jc w:val="center"/>
        <w:rPr>
          <w:rFonts w:hint="eastAsia" w:ascii="宋体" w:hAnsi="宋体" w:cs="仿宋_GB2312"/>
          <w:color w:val="auto"/>
          <w:sz w:val="21"/>
          <w:szCs w:val="21"/>
          <w:highlight w:val="none"/>
        </w:rPr>
      </w:pPr>
      <w:r>
        <w:rPr>
          <w:rFonts w:hint="eastAsia" w:ascii="宋体" w:hAnsi="宋体" w:eastAsia="宋体" w:cs="宋体"/>
          <w:color w:val="auto"/>
          <w:kern w:val="0"/>
          <w:sz w:val="21"/>
          <w:szCs w:val="21"/>
          <w:highlight w:val="none"/>
          <w:lang w:val="zh-CN"/>
        </w:rPr>
        <w:t>法定代表人（负责人）或委托代理人(签名)</w:t>
      </w:r>
      <w:r>
        <w:rPr>
          <w:rFonts w:hint="eastAsia" w:ascii="宋体" w:hAnsi="宋体" w:cs="仿宋_GB2312"/>
          <w:color w:val="auto"/>
          <w:sz w:val="21"/>
          <w:szCs w:val="21"/>
          <w:highlight w:val="none"/>
        </w:rPr>
        <w:t>：</w:t>
      </w:r>
    </w:p>
    <w:p w14:paraId="6C12CFFF">
      <w:pPr>
        <w:spacing w:line="360" w:lineRule="auto"/>
        <w:ind w:right="-817" w:rightChars="-389" w:firstLine="3150" w:firstLineChars="1500"/>
        <w:contextualSpacing/>
        <w:rPr>
          <w:rFonts w:ascii="宋体" w:hAnsi="宋体" w:cs="仿宋_GB2312"/>
          <w:color w:val="auto"/>
          <w:sz w:val="21"/>
          <w:szCs w:val="21"/>
          <w:highlight w:val="none"/>
        </w:rPr>
      </w:pPr>
      <w:r>
        <w:rPr>
          <w:rFonts w:hint="eastAsia" w:ascii="宋体" w:hAnsi="宋体" w:cs="仿宋_GB2312"/>
          <w:color w:val="auto"/>
          <w:sz w:val="21"/>
          <w:szCs w:val="21"/>
          <w:highlight w:val="none"/>
        </w:rPr>
        <w:t xml:space="preserve">谈判供应商名称（公章）：      </w:t>
      </w:r>
    </w:p>
    <w:p w14:paraId="3D2D1EE8">
      <w:pPr>
        <w:spacing w:line="360" w:lineRule="auto"/>
        <w:ind w:right="-817" w:rightChars="-389" w:firstLine="3150" w:firstLineChars="1500"/>
        <w:contextualSpacing/>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日期：   年   月   日</w:t>
      </w:r>
    </w:p>
    <w:p w14:paraId="3F6AE2DA">
      <w:pPr>
        <w:rPr>
          <w:rFonts w:hint="eastAsia" w:hAnsi="宋体" w:cs="宋体"/>
          <w:color w:val="auto"/>
          <w:sz w:val="24"/>
          <w:highlight w:val="none"/>
          <w:lang w:val="zh-CN"/>
        </w:rPr>
      </w:pPr>
      <w:r>
        <w:rPr>
          <w:rFonts w:hint="eastAsia" w:hAnsi="宋体" w:cs="宋体"/>
          <w:color w:val="auto"/>
          <w:sz w:val="24"/>
          <w:highlight w:val="none"/>
          <w:lang w:val="zh-CN"/>
        </w:rPr>
        <w:br w:type="page"/>
      </w:r>
    </w:p>
    <w:p w14:paraId="488E3AB0">
      <w:pPr>
        <w:pStyle w:val="31"/>
        <w:numPr>
          <w:ilvl w:val="0"/>
          <w:numId w:val="0"/>
        </w:numPr>
        <w:spacing w:line="360" w:lineRule="auto"/>
        <w:rPr>
          <w:rFonts w:hint="eastAsia" w:hAnsi="宋体" w:cs="宋体"/>
          <w:b/>
          <w:bCs/>
          <w:color w:val="auto"/>
          <w:sz w:val="21"/>
          <w:szCs w:val="21"/>
          <w:highlight w:val="none"/>
          <w:lang w:val="zh-CN"/>
        </w:rPr>
      </w:pPr>
      <w:r>
        <w:rPr>
          <w:rFonts w:hint="eastAsia" w:hAnsi="宋体" w:cs="宋体"/>
          <w:b/>
          <w:bCs/>
          <w:color w:val="auto"/>
          <w:sz w:val="21"/>
          <w:szCs w:val="21"/>
          <w:highlight w:val="none"/>
          <w:lang w:val="en-US" w:eastAsia="zh-CN"/>
        </w:rPr>
        <w:t>6、</w:t>
      </w:r>
      <w:r>
        <w:rPr>
          <w:rFonts w:hint="eastAsia" w:ascii="宋体" w:hAnsi="宋体" w:eastAsia="宋体" w:cs="宋体"/>
          <w:b/>
          <w:bCs/>
          <w:color w:val="auto"/>
          <w:sz w:val="21"/>
          <w:szCs w:val="21"/>
          <w:highlight w:val="none"/>
          <w:lang w:val="en-US" w:eastAsia="zh-CN"/>
        </w:rPr>
        <w:t>技术需求偏离表</w:t>
      </w:r>
    </w:p>
    <w:p w14:paraId="69E60734">
      <w:pPr>
        <w:spacing w:line="360" w:lineRule="auto"/>
        <w:jc w:val="center"/>
        <w:rPr>
          <w:rFonts w:hint="eastAsia" w:ascii="宋体" w:hAnsi="宋体" w:eastAsia="宋体" w:cs="宋体"/>
          <w:b/>
          <w:bCs/>
          <w:color w:val="auto"/>
          <w:sz w:val="32"/>
          <w:szCs w:val="32"/>
          <w:highlight w:val="none"/>
        </w:rPr>
      </w:pPr>
    </w:p>
    <w:p w14:paraId="68FC0A47">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技术需求偏离表</w:t>
      </w:r>
    </w:p>
    <w:p w14:paraId="1837FC1B">
      <w:pPr>
        <w:spacing w:line="520" w:lineRule="exact"/>
        <w:rPr>
          <w:rFonts w:hint="eastAsia" w:ascii="仿宋_GB2312" w:hAnsi="仿宋_GB2312" w:eastAsia="仿宋_GB2312" w:cs="仿宋_GB2312"/>
          <w:color w:val="auto"/>
          <w:sz w:val="32"/>
          <w:szCs w:val="32"/>
          <w:highlight w:val="none"/>
        </w:rPr>
      </w:pPr>
    </w:p>
    <w:p w14:paraId="48569B72">
      <w:pPr>
        <w:spacing w:line="360" w:lineRule="auto"/>
        <w:rPr>
          <w:rFonts w:hint="eastAsia" w:ascii="宋体" w:hAnsi="宋体" w:cs="仿宋_GB2312"/>
          <w:color w:val="auto"/>
          <w:sz w:val="21"/>
          <w:szCs w:val="21"/>
          <w:highlight w:val="none"/>
          <w:u w:val="single"/>
        </w:rPr>
      </w:pPr>
      <w:r>
        <w:rPr>
          <w:rFonts w:hint="eastAsia" w:ascii="宋体" w:hAnsi="宋体" w:cs="仿宋_GB2312"/>
          <w:color w:val="auto"/>
          <w:sz w:val="21"/>
          <w:szCs w:val="21"/>
          <w:highlight w:val="none"/>
        </w:rPr>
        <w:t>采购项目编号：</w:t>
      </w:r>
      <w:r>
        <w:rPr>
          <w:rFonts w:hint="eastAsia" w:ascii="宋体" w:hAnsi="宋体" w:cs="仿宋_GB2312"/>
          <w:color w:val="auto"/>
          <w:sz w:val="21"/>
          <w:szCs w:val="21"/>
          <w:highlight w:val="none"/>
          <w:u w:val="single"/>
        </w:rPr>
        <w:t xml:space="preserve">                 </w:t>
      </w:r>
    </w:p>
    <w:p w14:paraId="5CD74879">
      <w:pPr>
        <w:spacing w:line="360" w:lineRule="auto"/>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采购项目名称：</w:t>
      </w:r>
      <w:r>
        <w:rPr>
          <w:rFonts w:hint="eastAsia" w:ascii="宋体" w:hAnsi="宋体" w:cs="仿宋_GB2312"/>
          <w:color w:val="auto"/>
          <w:sz w:val="21"/>
          <w:szCs w:val="21"/>
          <w:highlight w:val="none"/>
          <w:u w:val="single"/>
        </w:rPr>
        <w:t xml:space="preserve">                 </w:t>
      </w:r>
    </w:p>
    <w:p w14:paraId="513A0EA3">
      <w:pPr>
        <w:spacing w:line="360" w:lineRule="auto"/>
        <w:rPr>
          <w:rFonts w:hint="eastAsia" w:ascii="宋体" w:hAnsi="宋体" w:cs="仿宋_GB2312"/>
          <w:color w:val="auto"/>
          <w:sz w:val="21"/>
          <w:szCs w:val="21"/>
          <w:highlight w:val="none"/>
          <w:u w:val="single"/>
        </w:rPr>
      </w:pPr>
      <w:r>
        <w:rPr>
          <w:rFonts w:hint="eastAsia" w:ascii="宋体" w:hAnsi="宋体" w:cs="仿宋_GB2312"/>
          <w:color w:val="auto"/>
          <w:sz w:val="21"/>
          <w:szCs w:val="21"/>
          <w:highlight w:val="none"/>
        </w:rPr>
        <w:t>分标号：</w:t>
      </w:r>
      <w:r>
        <w:rPr>
          <w:rFonts w:hint="eastAsia" w:ascii="宋体" w:hAnsi="宋体" w:cs="仿宋_GB2312"/>
          <w:color w:val="auto"/>
          <w:sz w:val="21"/>
          <w:szCs w:val="21"/>
          <w:highlight w:val="none"/>
          <w:u w:val="single"/>
        </w:rPr>
        <w:t xml:space="preserve">                       </w:t>
      </w:r>
    </w:p>
    <w:tbl>
      <w:tblPr>
        <w:tblStyle w:val="60"/>
        <w:tblW w:w="8946"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00"/>
        <w:gridCol w:w="900"/>
        <w:gridCol w:w="2989"/>
        <w:gridCol w:w="2690"/>
        <w:gridCol w:w="1467"/>
      </w:tblGrid>
      <w:tr w14:paraId="2AE2D54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00" w:type="dxa"/>
            <w:noWrap w:val="0"/>
            <w:vAlign w:val="center"/>
          </w:tcPr>
          <w:p w14:paraId="600F63CA">
            <w:pPr>
              <w:pStyle w:val="23"/>
              <w:spacing w:line="360" w:lineRule="auto"/>
              <w:ind w:firstLine="0" w:firstLineChars="0"/>
              <w:jc w:val="center"/>
              <w:rPr>
                <w:rFonts w:hint="eastAsia" w:ascii="宋体" w:hAnsi="宋体" w:eastAsia="宋体" w:cs="仿宋_GB2312"/>
                <w:color w:val="auto"/>
                <w:kern w:val="2"/>
                <w:sz w:val="21"/>
                <w:szCs w:val="21"/>
                <w:highlight w:val="none"/>
              </w:rPr>
            </w:pPr>
            <w:r>
              <w:rPr>
                <w:rFonts w:hint="eastAsia" w:ascii="宋体" w:hAnsi="宋体" w:eastAsia="宋体" w:cs="仿宋_GB2312"/>
                <w:color w:val="auto"/>
                <w:kern w:val="2"/>
                <w:sz w:val="21"/>
                <w:szCs w:val="21"/>
                <w:highlight w:val="none"/>
              </w:rPr>
              <w:t>序号</w:t>
            </w:r>
          </w:p>
        </w:tc>
        <w:tc>
          <w:tcPr>
            <w:tcW w:w="900" w:type="dxa"/>
            <w:tcBorders>
              <w:right w:val="single" w:color="auto" w:sz="4" w:space="0"/>
            </w:tcBorders>
            <w:noWrap w:val="0"/>
            <w:vAlign w:val="center"/>
          </w:tcPr>
          <w:p w14:paraId="0FEC70C4">
            <w:pPr>
              <w:pStyle w:val="23"/>
              <w:spacing w:line="360" w:lineRule="auto"/>
              <w:ind w:firstLine="0" w:firstLineChars="0"/>
              <w:jc w:val="center"/>
              <w:rPr>
                <w:rFonts w:hint="eastAsia" w:ascii="宋体" w:hAnsi="宋体" w:eastAsia="宋体" w:cs="仿宋_GB2312"/>
                <w:color w:val="auto"/>
                <w:kern w:val="2"/>
                <w:sz w:val="21"/>
                <w:szCs w:val="21"/>
                <w:highlight w:val="none"/>
              </w:rPr>
            </w:pPr>
            <w:r>
              <w:rPr>
                <w:rFonts w:hint="eastAsia" w:ascii="宋体" w:hAnsi="宋体" w:eastAsia="宋体" w:cs="仿宋_GB2312"/>
                <w:color w:val="auto"/>
                <w:kern w:val="2"/>
                <w:sz w:val="21"/>
                <w:szCs w:val="21"/>
                <w:highlight w:val="none"/>
              </w:rPr>
              <w:t>名称</w:t>
            </w:r>
          </w:p>
        </w:tc>
        <w:tc>
          <w:tcPr>
            <w:tcW w:w="2989" w:type="dxa"/>
            <w:tcBorders>
              <w:left w:val="single" w:color="auto" w:sz="4" w:space="0"/>
            </w:tcBorders>
            <w:noWrap w:val="0"/>
            <w:vAlign w:val="center"/>
          </w:tcPr>
          <w:p w14:paraId="6591D8DA">
            <w:pPr>
              <w:pStyle w:val="23"/>
              <w:spacing w:line="360" w:lineRule="auto"/>
              <w:ind w:firstLine="0" w:firstLineChars="0"/>
              <w:jc w:val="center"/>
              <w:rPr>
                <w:rFonts w:hint="eastAsia" w:ascii="宋体" w:hAnsi="宋体" w:eastAsia="宋体" w:cs="仿宋_GB2312"/>
                <w:color w:val="auto"/>
                <w:kern w:val="2"/>
                <w:sz w:val="21"/>
                <w:szCs w:val="21"/>
                <w:highlight w:val="none"/>
              </w:rPr>
            </w:pPr>
            <w:r>
              <w:rPr>
                <w:rFonts w:hint="eastAsia" w:ascii="宋体" w:hAnsi="宋体" w:eastAsia="宋体" w:cs="仿宋_GB2312"/>
                <w:color w:val="auto"/>
                <w:kern w:val="2"/>
                <w:sz w:val="21"/>
                <w:szCs w:val="21"/>
                <w:highlight w:val="none"/>
              </w:rPr>
              <w:t>竞争性谈判文件要求</w:t>
            </w:r>
          </w:p>
        </w:tc>
        <w:tc>
          <w:tcPr>
            <w:tcW w:w="2690" w:type="dxa"/>
            <w:noWrap w:val="0"/>
            <w:vAlign w:val="center"/>
          </w:tcPr>
          <w:p w14:paraId="05BFFB9C">
            <w:pPr>
              <w:pStyle w:val="23"/>
              <w:spacing w:line="360" w:lineRule="auto"/>
              <w:ind w:firstLine="0" w:firstLineChars="0"/>
              <w:jc w:val="center"/>
              <w:rPr>
                <w:rFonts w:hint="eastAsia" w:ascii="宋体" w:hAnsi="宋体" w:eastAsia="宋体" w:cs="仿宋_GB2312"/>
                <w:color w:val="auto"/>
                <w:kern w:val="2"/>
                <w:sz w:val="21"/>
                <w:szCs w:val="21"/>
                <w:highlight w:val="none"/>
              </w:rPr>
            </w:pPr>
            <w:r>
              <w:rPr>
                <w:rFonts w:hint="eastAsia" w:ascii="宋体" w:hAnsi="宋体" w:eastAsia="宋体" w:cs="仿宋_GB2312"/>
                <w:color w:val="auto"/>
                <w:kern w:val="2"/>
                <w:sz w:val="21"/>
                <w:szCs w:val="21"/>
                <w:highlight w:val="none"/>
              </w:rPr>
              <w:t>竞标响应</w:t>
            </w:r>
          </w:p>
        </w:tc>
        <w:tc>
          <w:tcPr>
            <w:tcW w:w="1467" w:type="dxa"/>
            <w:noWrap w:val="0"/>
            <w:vAlign w:val="center"/>
          </w:tcPr>
          <w:p w14:paraId="28314326">
            <w:pPr>
              <w:pStyle w:val="23"/>
              <w:spacing w:line="360" w:lineRule="auto"/>
              <w:ind w:firstLine="0" w:firstLineChars="0"/>
              <w:jc w:val="center"/>
              <w:rPr>
                <w:rFonts w:hint="eastAsia" w:ascii="宋体" w:hAnsi="宋体" w:eastAsia="宋体" w:cs="仿宋_GB2312"/>
                <w:color w:val="auto"/>
                <w:kern w:val="2"/>
                <w:sz w:val="21"/>
                <w:szCs w:val="21"/>
                <w:highlight w:val="none"/>
              </w:rPr>
            </w:pPr>
            <w:r>
              <w:rPr>
                <w:rFonts w:hint="eastAsia" w:ascii="宋体" w:hAnsi="宋体" w:eastAsia="宋体" w:cs="仿宋_GB2312"/>
                <w:color w:val="auto"/>
                <w:kern w:val="2"/>
                <w:sz w:val="21"/>
                <w:szCs w:val="21"/>
                <w:highlight w:val="none"/>
              </w:rPr>
              <w:t>偏离说明</w:t>
            </w:r>
          </w:p>
        </w:tc>
      </w:tr>
      <w:tr w14:paraId="5720EB2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00" w:type="dxa"/>
            <w:noWrap w:val="0"/>
            <w:vAlign w:val="center"/>
          </w:tcPr>
          <w:p w14:paraId="33C5912E">
            <w:pPr>
              <w:pStyle w:val="23"/>
              <w:spacing w:line="360" w:lineRule="auto"/>
              <w:ind w:firstLine="0" w:firstLineChars="0"/>
              <w:jc w:val="center"/>
              <w:rPr>
                <w:rFonts w:hint="eastAsia" w:ascii="宋体" w:hAnsi="宋体" w:eastAsia="宋体" w:cs="仿宋_GB2312"/>
                <w:color w:val="auto"/>
                <w:kern w:val="2"/>
                <w:sz w:val="21"/>
                <w:szCs w:val="21"/>
                <w:highlight w:val="none"/>
              </w:rPr>
            </w:pPr>
            <w:r>
              <w:rPr>
                <w:rFonts w:hint="eastAsia" w:ascii="宋体" w:hAnsi="宋体" w:eastAsia="宋体" w:cs="仿宋_GB2312"/>
                <w:color w:val="auto"/>
                <w:kern w:val="2"/>
                <w:sz w:val="21"/>
                <w:szCs w:val="21"/>
                <w:highlight w:val="none"/>
              </w:rPr>
              <w:t>1</w:t>
            </w:r>
          </w:p>
        </w:tc>
        <w:tc>
          <w:tcPr>
            <w:tcW w:w="900" w:type="dxa"/>
            <w:tcBorders>
              <w:right w:val="single" w:color="auto" w:sz="4" w:space="0"/>
            </w:tcBorders>
            <w:noWrap w:val="0"/>
            <w:vAlign w:val="center"/>
          </w:tcPr>
          <w:p w14:paraId="67C8E580">
            <w:pPr>
              <w:pStyle w:val="23"/>
              <w:spacing w:line="360" w:lineRule="auto"/>
              <w:ind w:firstLine="0" w:firstLineChars="0"/>
              <w:jc w:val="center"/>
              <w:rPr>
                <w:rFonts w:hint="eastAsia" w:ascii="宋体" w:hAnsi="宋体" w:eastAsia="宋体" w:cs="仿宋_GB2312"/>
                <w:color w:val="auto"/>
                <w:kern w:val="2"/>
                <w:sz w:val="21"/>
                <w:szCs w:val="21"/>
                <w:highlight w:val="none"/>
              </w:rPr>
            </w:pPr>
          </w:p>
        </w:tc>
        <w:tc>
          <w:tcPr>
            <w:tcW w:w="2989" w:type="dxa"/>
            <w:tcBorders>
              <w:left w:val="single" w:color="auto" w:sz="4" w:space="0"/>
            </w:tcBorders>
            <w:noWrap w:val="0"/>
            <w:vAlign w:val="center"/>
          </w:tcPr>
          <w:p w14:paraId="566385C1">
            <w:pPr>
              <w:pStyle w:val="23"/>
              <w:spacing w:line="360" w:lineRule="auto"/>
              <w:ind w:firstLine="0" w:firstLineChars="0"/>
              <w:jc w:val="center"/>
              <w:rPr>
                <w:rFonts w:hint="eastAsia" w:ascii="宋体" w:hAnsi="宋体" w:eastAsia="宋体" w:cs="仿宋_GB2312"/>
                <w:color w:val="auto"/>
                <w:kern w:val="2"/>
                <w:sz w:val="21"/>
                <w:szCs w:val="21"/>
                <w:highlight w:val="none"/>
              </w:rPr>
            </w:pPr>
          </w:p>
        </w:tc>
        <w:tc>
          <w:tcPr>
            <w:tcW w:w="2690" w:type="dxa"/>
            <w:noWrap w:val="0"/>
            <w:vAlign w:val="center"/>
          </w:tcPr>
          <w:p w14:paraId="2A00AA80">
            <w:pPr>
              <w:pStyle w:val="23"/>
              <w:spacing w:line="360" w:lineRule="auto"/>
              <w:ind w:firstLine="0" w:firstLineChars="0"/>
              <w:jc w:val="center"/>
              <w:rPr>
                <w:rFonts w:hint="eastAsia" w:ascii="宋体" w:hAnsi="宋体" w:eastAsia="宋体" w:cs="仿宋_GB2312"/>
                <w:color w:val="auto"/>
                <w:kern w:val="2"/>
                <w:sz w:val="21"/>
                <w:szCs w:val="21"/>
                <w:highlight w:val="none"/>
              </w:rPr>
            </w:pPr>
          </w:p>
        </w:tc>
        <w:tc>
          <w:tcPr>
            <w:tcW w:w="1467" w:type="dxa"/>
            <w:noWrap w:val="0"/>
            <w:vAlign w:val="center"/>
          </w:tcPr>
          <w:p w14:paraId="5169E7F1">
            <w:pPr>
              <w:pStyle w:val="23"/>
              <w:spacing w:line="360" w:lineRule="auto"/>
              <w:ind w:firstLine="0" w:firstLineChars="0"/>
              <w:jc w:val="center"/>
              <w:rPr>
                <w:rFonts w:hint="eastAsia" w:ascii="宋体" w:hAnsi="宋体" w:eastAsia="宋体" w:cs="仿宋_GB2312"/>
                <w:color w:val="auto"/>
                <w:kern w:val="2"/>
                <w:sz w:val="21"/>
                <w:szCs w:val="21"/>
                <w:highlight w:val="none"/>
              </w:rPr>
            </w:pPr>
          </w:p>
        </w:tc>
      </w:tr>
      <w:tr w14:paraId="60025DE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00" w:type="dxa"/>
            <w:noWrap w:val="0"/>
            <w:vAlign w:val="center"/>
          </w:tcPr>
          <w:p w14:paraId="220A226E">
            <w:pPr>
              <w:pStyle w:val="23"/>
              <w:spacing w:line="360" w:lineRule="auto"/>
              <w:ind w:firstLine="0" w:firstLineChars="0"/>
              <w:jc w:val="center"/>
              <w:rPr>
                <w:rFonts w:hint="eastAsia" w:ascii="宋体" w:hAnsi="宋体" w:eastAsia="宋体" w:cs="仿宋_GB2312"/>
                <w:color w:val="auto"/>
                <w:kern w:val="2"/>
                <w:sz w:val="21"/>
                <w:szCs w:val="21"/>
                <w:highlight w:val="none"/>
              </w:rPr>
            </w:pPr>
            <w:r>
              <w:rPr>
                <w:rFonts w:hint="eastAsia" w:ascii="宋体" w:hAnsi="宋体" w:eastAsia="宋体" w:cs="仿宋_GB2312"/>
                <w:color w:val="auto"/>
                <w:kern w:val="2"/>
                <w:sz w:val="21"/>
                <w:szCs w:val="21"/>
                <w:highlight w:val="none"/>
              </w:rPr>
              <w:t>2</w:t>
            </w:r>
          </w:p>
        </w:tc>
        <w:tc>
          <w:tcPr>
            <w:tcW w:w="900" w:type="dxa"/>
            <w:tcBorders>
              <w:right w:val="single" w:color="auto" w:sz="4" w:space="0"/>
            </w:tcBorders>
            <w:noWrap w:val="0"/>
            <w:vAlign w:val="center"/>
          </w:tcPr>
          <w:p w14:paraId="15F57458">
            <w:pPr>
              <w:pStyle w:val="23"/>
              <w:spacing w:line="360" w:lineRule="auto"/>
              <w:ind w:firstLine="0" w:firstLineChars="0"/>
              <w:jc w:val="center"/>
              <w:rPr>
                <w:rFonts w:hint="eastAsia" w:ascii="宋体" w:hAnsi="宋体" w:eastAsia="宋体" w:cs="仿宋_GB2312"/>
                <w:color w:val="auto"/>
                <w:kern w:val="2"/>
                <w:sz w:val="21"/>
                <w:szCs w:val="21"/>
                <w:highlight w:val="none"/>
              </w:rPr>
            </w:pPr>
          </w:p>
        </w:tc>
        <w:tc>
          <w:tcPr>
            <w:tcW w:w="2989" w:type="dxa"/>
            <w:tcBorders>
              <w:left w:val="single" w:color="auto" w:sz="4" w:space="0"/>
            </w:tcBorders>
            <w:noWrap w:val="0"/>
            <w:vAlign w:val="center"/>
          </w:tcPr>
          <w:p w14:paraId="34781394">
            <w:pPr>
              <w:pStyle w:val="23"/>
              <w:spacing w:line="360" w:lineRule="auto"/>
              <w:ind w:firstLine="0" w:firstLineChars="0"/>
              <w:jc w:val="center"/>
              <w:rPr>
                <w:rFonts w:hint="eastAsia" w:ascii="宋体" w:hAnsi="宋体" w:eastAsia="宋体" w:cs="仿宋_GB2312"/>
                <w:color w:val="auto"/>
                <w:kern w:val="2"/>
                <w:sz w:val="21"/>
                <w:szCs w:val="21"/>
                <w:highlight w:val="none"/>
              </w:rPr>
            </w:pPr>
          </w:p>
        </w:tc>
        <w:tc>
          <w:tcPr>
            <w:tcW w:w="2690" w:type="dxa"/>
            <w:noWrap w:val="0"/>
            <w:vAlign w:val="center"/>
          </w:tcPr>
          <w:p w14:paraId="4E497D11">
            <w:pPr>
              <w:pStyle w:val="23"/>
              <w:spacing w:line="360" w:lineRule="auto"/>
              <w:ind w:firstLine="0" w:firstLineChars="0"/>
              <w:jc w:val="center"/>
              <w:rPr>
                <w:rFonts w:hint="eastAsia" w:ascii="宋体" w:hAnsi="宋体" w:eastAsia="宋体" w:cs="仿宋_GB2312"/>
                <w:color w:val="auto"/>
                <w:kern w:val="2"/>
                <w:sz w:val="21"/>
                <w:szCs w:val="21"/>
                <w:highlight w:val="none"/>
              </w:rPr>
            </w:pPr>
          </w:p>
        </w:tc>
        <w:tc>
          <w:tcPr>
            <w:tcW w:w="1467" w:type="dxa"/>
            <w:noWrap w:val="0"/>
            <w:vAlign w:val="center"/>
          </w:tcPr>
          <w:p w14:paraId="65C2B418">
            <w:pPr>
              <w:pStyle w:val="23"/>
              <w:spacing w:line="360" w:lineRule="auto"/>
              <w:ind w:firstLine="0" w:firstLineChars="0"/>
              <w:jc w:val="center"/>
              <w:rPr>
                <w:rFonts w:hint="eastAsia" w:ascii="宋体" w:hAnsi="宋体" w:eastAsia="宋体" w:cs="仿宋_GB2312"/>
                <w:color w:val="auto"/>
                <w:kern w:val="2"/>
                <w:sz w:val="21"/>
                <w:szCs w:val="21"/>
                <w:highlight w:val="none"/>
              </w:rPr>
            </w:pPr>
          </w:p>
        </w:tc>
      </w:tr>
      <w:tr w14:paraId="1F3664F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00" w:type="dxa"/>
            <w:noWrap w:val="0"/>
            <w:vAlign w:val="center"/>
          </w:tcPr>
          <w:p w14:paraId="5C05CF1A">
            <w:pPr>
              <w:pStyle w:val="23"/>
              <w:spacing w:line="360" w:lineRule="auto"/>
              <w:ind w:firstLine="0" w:firstLineChars="0"/>
              <w:jc w:val="center"/>
              <w:rPr>
                <w:rFonts w:hint="eastAsia" w:ascii="宋体" w:hAnsi="宋体" w:eastAsia="宋体" w:cs="仿宋_GB2312"/>
                <w:color w:val="auto"/>
                <w:kern w:val="2"/>
                <w:sz w:val="21"/>
                <w:szCs w:val="21"/>
                <w:highlight w:val="none"/>
              </w:rPr>
            </w:pPr>
            <w:r>
              <w:rPr>
                <w:rFonts w:hint="eastAsia" w:ascii="宋体" w:hAnsi="宋体" w:eastAsia="宋体" w:cs="仿宋_GB2312"/>
                <w:color w:val="auto"/>
                <w:kern w:val="2"/>
                <w:sz w:val="21"/>
                <w:szCs w:val="21"/>
                <w:highlight w:val="none"/>
              </w:rPr>
              <w:t>3</w:t>
            </w:r>
          </w:p>
        </w:tc>
        <w:tc>
          <w:tcPr>
            <w:tcW w:w="900" w:type="dxa"/>
            <w:tcBorders>
              <w:right w:val="single" w:color="auto" w:sz="4" w:space="0"/>
            </w:tcBorders>
            <w:noWrap w:val="0"/>
            <w:vAlign w:val="center"/>
          </w:tcPr>
          <w:p w14:paraId="5B74B6E5">
            <w:pPr>
              <w:pStyle w:val="23"/>
              <w:spacing w:line="360" w:lineRule="auto"/>
              <w:ind w:firstLine="0" w:firstLineChars="0"/>
              <w:jc w:val="center"/>
              <w:rPr>
                <w:rFonts w:hint="eastAsia" w:ascii="宋体" w:hAnsi="宋体" w:eastAsia="宋体" w:cs="仿宋_GB2312"/>
                <w:color w:val="auto"/>
                <w:kern w:val="2"/>
                <w:sz w:val="21"/>
                <w:szCs w:val="21"/>
                <w:highlight w:val="none"/>
              </w:rPr>
            </w:pPr>
          </w:p>
        </w:tc>
        <w:tc>
          <w:tcPr>
            <w:tcW w:w="2989" w:type="dxa"/>
            <w:tcBorders>
              <w:left w:val="single" w:color="auto" w:sz="4" w:space="0"/>
            </w:tcBorders>
            <w:noWrap w:val="0"/>
            <w:vAlign w:val="center"/>
          </w:tcPr>
          <w:p w14:paraId="369AD203">
            <w:pPr>
              <w:pStyle w:val="23"/>
              <w:spacing w:line="360" w:lineRule="auto"/>
              <w:ind w:firstLine="0" w:firstLineChars="0"/>
              <w:jc w:val="center"/>
              <w:rPr>
                <w:rFonts w:hint="eastAsia" w:ascii="宋体" w:hAnsi="宋体" w:eastAsia="宋体" w:cs="仿宋_GB2312"/>
                <w:color w:val="auto"/>
                <w:kern w:val="2"/>
                <w:sz w:val="21"/>
                <w:szCs w:val="21"/>
                <w:highlight w:val="none"/>
              </w:rPr>
            </w:pPr>
          </w:p>
        </w:tc>
        <w:tc>
          <w:tcPr>
            <w:tcW w:w="2690" w:type="dxa"/>
            <w:noWrap w:val="0"/>
            <w:vAlign w:val="center"/>
          </w:tcPr>
          <w:p w14:paraId="458DCE83">
            <w:pPr>
              <w:pStyle w:val="23"/>
              <w:spacing w:line="360" w:lineRule="auto"/>
              <w:ind w:firstLine="0" w:firstLineChars="0"/>
              <w:jc w:val="center"/>
              <w:rPr>
                <w:rFonts w:hint="eastAsia" w:ascii="宋体" w:hAnsi="宋体" w:eastAsia="宋体" w:cs="仿宋_GB2312"/>
                <w:color w:val="auto"/>
                <w:kern w:val="2"/>
                <w:sz w:val="21"/>
                <w:szCs w:val="21"/>
                <w:highlight w:val="none"/>
              </w:rPr>
            </w:pPr>
          </w:p>
        </w:tc>
        <w:tc>
          <w:tcPr>
            <w:tcW w:w="1467" w:type="dxa"/>
            <w:noWrap w:val="0"/>
            <w:vAlign w:val="center"/>
          </w:tcPr>
          <w:p w14:paraId="5198FD54">
            <w:pPr>
              <w:pStyle w:val="23"/>
              <w:spacing w:line="360" w:lineRule="auto"/>
              <w:ind w:firstLine="0" w:firstLineChars="0"/>
              <w:jc w:val="center"/>
              <w:rPr>
                <w:rFonts w:hint="eastAsia" w:ascii="宋体" w:hAnsi="宋体" w:eastAsia="宋体" w:cs="仿宋_GB2312"/>
                <w:color w:val="auto"/>
                <w:kern w:val="2"/>
                <w:sz w:val="21"/>
                <w:szCs w:val="21"/>
                <w:highlight w:val="none"/>
              </w:rPr>
            </w:pPr>
          </w:p>
        </w:tc>
      </w:tr>
      <w:tr w14:paraId="17D425B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00" w:type="dxa"/>
            <w:noWrap w:val="0"/>
            <w:vAlign w:val="center"/>
          </w:tcPr>
          <w:p w14:paraId="3FFFE7E4">
            <w:pPr>
              <w:pStyle w:val="23"/>
              <w:spacing w:line="360" w:lineRule="auto"/>
              <w:ind w:firstLine="0" w:firstLineChars="0"/>
              <w:jc w:val="center"/>
              <w:rPr>
                <w:rFonts w:hint="eastAsia" w:ascii="宋体" w:hAnsi="宋体" w:eastAsia="宋体" w:cs="仿宋_GB2312"/>
                <w:color w:val="auto"/>
                <w:kern w:val="2"/>
                <w:sz w:val="21"/>
                <w:szCs w:val="21"/>
                <w:highlight w:val="none"/>
              </w:rPr>
            </w:pPr>
            <w:r>
              <w:rPr>
                <w:rFonts w:hint="eastAsia" w:ascii="宋体" w:hAnsi="宋体" w:eastAsia="宋体" w:cs="仿宋_GB2312"/>
                <w:color w:val="auto"/>
                <w:kern w:val="2"/>
                <w:sz w:val="21"/>
                <w:szCs w:val="21"/>
                <w:highlight w:val="none"/>
              </w:rPr>
              <w:t>4</w:t>
            </w:r>
          </w:p>
        </w:tc>
        <w:tc>
          <w:tcPr>
            <w:tcW w:w="900" w:type="dxa"/>
            <w:tcBorders>
              <w:right w:val="single" w:color="auto" w:sz="4" w:space="0"/>
            </w:tcBorders>
            <w:noWrap w:val="0"/>
            <w:vAlign w:val="center"/>
          </w:tcPr>
          <w:p w14:paraId="03C32016">
            <w:pPr>
              <w:pStyle w:val="23"/>
              <w:spacing w:line="360" w:lineRule="auto"/>
              <w:ind w:firstLine="0" w:firstLineChars="0"/>
              <w:jc w:val="center"/>
              <w:rPr>
                <w:rFonts w:hint="eastAsia" w:ascii="宋体" w:hAnsi="宋体" w:eastAsia="宋体" w:cs="仿宋_GB2312"/>
                <w:color w:val="auto"/>
                <w:kern w:val="2"/>
                <w:sz w:val="21"/>
                <w:szCs w:val="21"/>
                <w:highlight w:val="none"/>
              </w:rPr>
            </w:pPr>
          </w:p>
        </w:tc>
        <w:tc>
          <w:tcPr>
            <w:tcW w:w="2989" w:type="dxa"/>
            <w:tcBorders>
              <w:left w:val="single" w:color="auto" w:sz="4" w:space="0"/>
            </w:tcBorders>
            <w:noWrap w:val="0"/>
            <w:vAlign w:val="center"/>
          </w:tcPr>
          <w:p w14:paraId="7D16314D">
            <w:pPr>
              <w:pStyle w:val="23"/>
              <w:spacing w:line="360" w:lineRule="auto"/>
              <w:ind w:firstLine="0" w:firstLineChars="0"/>
              <w:jc w:val="center"/>
              <w:rPr>
                <w:rFonts w:hint="eastAsia" w:ascii="宋体" w:hAnsi="宋体" w:eastAsia="宋体" w:cs="仿宋_GB2312"/>
                <w:color w:val="auto"/>
                <w:kern w:val="2"/>
                <w:sz w:val="21"/>
                <w:szCs w:val="21"/>
                <w:highlight w:val="none"/>
              </w:rPr>
            </w:pPr>
          </w:p>
        </w:tc>
        <w:tc>
          <w:tcPr>
            <w:tcW w:w="2690" w:type="dxa"/>
            <w:noWrap w:val="0"/>
            <w:vAlign w:val="center"/>
          </w:tcPr>
          <w:p w14:paraId="495CF6E6">
            <w:pPr>
              <w:pStyle w:val="23"/>
              <w:spacing w:line="360" w:lineRule="auto"/>
              <w:ind w:firstLine="0" w:firstLineChars="0"/>
              <w:jc w:val="center"/>
              <w:rPr>
                <w:rFonts w:hint="eastAsia" w:ascii="宋体" w:hAnsi="宋体" w:eastAsia="宋体" w:cs="仿宋_GB2312"/>
                <w:color w:val="auto"/>
                <w:kern w:val="2"/>
                <w:sz w:val="21"/>
                <w:szCs w:val="21"/>
                <w:highlight w:val="none"/>
              </w:rPr>
            </w:pPr>
          </w:p>
        </w:tc>
        <w:tc>
          <w:tcPr>
            <w:tcW w:w="1467" w:type="dxa"/>
            <w:noWrap w:val="0"/>
            <w:vAlign w:val="center"/>
          </w:tcPr>
          <w:p w14:paraId="57BABB3D">
            <w:pPr>
              <w:pStyle w:val="23"/>
              <w:spacing w:line="360" w:lineRule="auto"/>
              <w:ind w:firstLine="0" w:firstLineChars="0"/>
              <w:jc w:val="center"/>
              <w:rPr>
                <w:rFonts w:hint="eastAsia" w:ascii="宋体" w:hAnsi="宋体" w:eastAsia="宋体" w:cs="仿宋_GB2312"/>
                <w:color w:val="auto"/>
                <w:kern w:val="2"/>
                <w:sz w:val="21"/>
                <w:szCs w:val="21"/>
                <w:highlight w:val="none"/>
              </w:rPr>
            </w:pPr>
          </w:p>
        </w:tc>
      </w:tr>
      <w:tr w14:paraId="483CE5B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00" w:type="dxa"/>
            <w:noWrap w:val="0"/>
            <w:vAlign w:val="center"/>
          </w:tcPr>
          <w:p w14:paraId="7F4C85E1">
            <w:pPr>
              <w:pStyle w:val="23"/>
              <w:spacing w:line="360" w:lineRule="auto"/>
              <w:ind w:firstLine="0" w:firstLineChars="0"/>
              <w:jc w:val="center"/>
              <w:rPr>
                <w:rFonts w:hint="eastAsia" w:ascii="宋体" w:hAnsi="宋体" w:eastAsia="宋体" w:cs="仿宋_GB2312"/>
                <w:color w:val="auto"/>
                <w:kern w:val="2"/>
                <w:sz w:val="21"/>
                <w:szCs w:val="21"/>
                <w:highlight w:val="none"/>
              </w:rPr>
            </w:pPr>
            <w:r>
              <w:rPr>
                <w:rFonts w:hint="eastAsia" w:ascii="宋体" w:hAnsi="宋体" w:eastAsia="宋体" w:cs="仿宋_GB2312"/>
                <w:color w:val="auto"/>
                <w:kern w:val="2"/>
                <w:sz w:val="21"/>
                <w:szCs w:val="21"/>
                <w:highlight w:val="none"/>
              </w:rPr>
              <w:t>5</w:t>
            </w:r>
          </w:p>
        </w:tc>
        <w:tc>
          <w:tcPr>
            <w:tcW w:w="900" w:type="dxa"/>
            <w:tcBorders>
              <w:right w:val="single" w:color="auto" w:sz="4" w:space="0"/>
            </w:tcBorders>
            <w:noWrap w:val="0"/>
            <w:vAlign w:val="center"/>
          </w:tcPr>
          <w:p w14:paraId="06A5C1D3">
            <w:pPr>
              <w:pStyle w:val="23"/>
              <w:spacing w:line="360" w:lineRule="auto"/>
              <w:ind w:firstLine="0" w:firstLineChars="0"/>
              <w:jc w:val="center"/>
              <w:rPr>
                <w:rFonts w:hint="eastAsia" w:ascii="宋体" w:hAnsi="宋体" w:eastAsia="宋体" w:cs="仿宋_GB2312"/>
                <w:color w:val="auto"/>
                <w:kern w:val="2"/>
                <w:sz w:val="21"/>
                <w:szCs w:val="21"/>
                <w:highlight w:val="none"/>
              </w:rPr>
            </w:pPr>
          </w:p>
        </w:tc>
        <w:tc>
          <w:tcPr>
            <w:tcW w:w="2989" w:type="dxa"/>
            <w:tcBorders>
              <w:left w:val="single" w:color="auto" w:sz="4" w:space="0"/>
            </w:tcBorders>
            <w:noWrap w:val="0"/>
            <w:vAlign w:val="center"/>
          </w:tcPr>
          <w:p w14:paraId="72AC924A">
            <w:pPr>
              <w:pStyle w:val="23"/>
              <w:spacing w:line="360" w:lineRule="auto"/>
              <w:ind w:firstLine="0" w:firstLineChars="0"/>
              <w:jc w:val="center"/>
              <w:rPr>
                <w:rFonts w:hint="eastAsia" w:ascii="宋体" w:hAnsi="宋体" w:eastAsia="宋体" w:cs="仿宋_GB2312"/>
                <w:color w:val="auto"/>
                <w:kern w:val="2"/>
                <w:sz w:val="21"/>
                <w:szCs w:val="21"/>
                <w:highlight w:val="none"/>
              </w:rPr>
            </w:pPr>
          </w:p>
        </w:tc>
        <w:tc>
          <w:tcPr>
            <w:tcW w:w="2690" w:type="dxa"/>
            <w:noWrap w:val="0"/>
            <w:vAlign w:val="center"/>
          </w:tcPr>
          <w:p w14:paraId="06A09CF3">
            <w:pPr>
              <w:pStyle w:val="23"/>
              <w:spacing w:line="360" w:lineRule="auto"/>
              <w:ind w:firstLine="0" w:firstLineChars="0"/>
              <w:jc w:val="center"/>
              <w:rPr>
                <w:rFonts w:hint="eastAsia" w:ascii="宋体" w:hAnsi="宋体" w:eastAsia="宋体" w:cs="仿宋_GB2312"/>
                <w:color w:val="auto"/>
                <w:kern w:val="2"/>
                <w:sz w:val="21"/>
                <w:szCs w:val="21"/>
                <w:highlight w:val="none"/>
              </w:rPr>
            </w:pPr>
          </w:p>
        </w:tc>
        <w:tc>
          <w:tcPr>
            <w:tcW w:w="1467" w:type="dxa"/>
            <w:noWrap w:val="0"/>
            <w:vAlign w:val="center"/>
          </w:tcPr>
          <w:p w14:paraId="75773389">
            <w:pPr>
              <w:pStyle w:val="23"/>
              <w:spacing w:line="360" w:lineRule="auto"/>
              <w:ind w:firstLine="0" w:firstLineChars="0"/>
              <w:jc w:val="center"/>
              <w:rPr>
                <w:rFonts w:hint="eastAsia" w:ascii="宋体" w:hAnsi="宋体" w:eastAsia="宋体" w:cs="仿宋_GB2312"/>
                <w:color w:val="auto"/>
                <w:kern w:val="2"/>
                <w:sz w:val="21"/>
                <w:szCs w:val="21"/>
                <w:highlight w:val="none"/>
              </w:rPr>
            </w:pPr>
          </w:p>
        </w:tc>
      </w:tr>
      <w:tr w14:paraId="795CEA3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900" w:type="dxa"/>
            <w:noWrap w:val="0"/>
            <w:vAlign w:val="center"/>
          </w:tcPr>
          <w:p w14:paraId="14D3A99C">
            <w:pPr>
              <w:pStyle w:val="23"/>
              <w:spacing w:line="360" w:lineRule="auto"/>
              <w:ind w:firstLine="0" w:firstLineChars="0"/>
              <w:jc w:val="center"/>
              <w:rPr>
                <w:rFonts w:hint="eastAsia" w:ascii="宋体" w:hAnsi="宋体" w:eastAsia="宋体" w:cs="仿宋_GB2312"/>
                <w:color w:val="auto"/>
                <w:kern w:val="2"/>
                <w:sz w:val="21"/>
                <w:szCs w:val="21"/>
                <w:highlight w:val="none"/>
              </w:rPr>
            </w:pPr>
            <w:r>
              <w:rPr>
                <w:rFonts w:hint="eastAsia" w:ascii="宋体" w:hAnsi="宋体" w:eastAsia="宋体" w:cs="仿宋_GB2312"/>
                <w:color w:val="auto"/>
                <w:kern w:val="2"/>
                <w:sz w:val="21"/>
                <w:szCs w:val="21"/>
                <w:highlight w:val="none"/>
              </w:rPr>
              <w:t>…</w:t>
            </w:r>
          </w:p>
        </w:tc>
        <w:tc>
          <w:tcPr>
            <w:tcW w:w="900" w:type="dxa"/>
            <w:tcBorders>
              <w:right w:val="single" w:color="auto" w:sz="4" w:space="0"/>
            </w:tcBorders>
            <w:noWrap w:val="0"/>
            <w:vAlign w:val="center"/>
          </w:tcPr>
          <w:p w14:paraId="25CC52C5">
            <w:pPr>
              <w:pStyle w:val="23"/>
              <w:spacing w:line="360" w:lineRule="auto"/>
              <w:ind w:firstLine="0" w:firstLineChars="0"/>
              <w:jc w:val="center"/>
              <w:rPr>
                <w:rFonts w:hint="eastAsia" w:ascii="宋体" w:hAnsi="宋体" w:eastAsia="宋体" w:cs="仿宋_GB2312"/>
                <w:color w:val="auto"/>
                <w:kern w:val="2"/>
                <w:sz w:val="21"/>
                <w:szCs w:val="21"/>
                <w:highlight w:val="none"/>
              </w:rPr>
            </w:pPr>
          </w:p>
        </w:tc>
        <w:tc>
          <w:tcPr>
            <w:tcW w:w="2989" w:type="dxa"/>
            <w:tcBorders>
              <w:left w:val="single" w:color="auto" w:sz="4" w:space="0"/>
            </w:tcBorders>
            <w:noWrap w:val="0"/>
            <w:vAlign w:val="center"/>
          </w:tcPr>
          <w:p w14:paraId="19A8AEC1">
            <w:pPr>
              <w:pStyle w:val="23"/>
              <w:spacing w:line="360" w:lineRule="auto"/>
              <w:ind w:firstLine="0" w:firstLineChars="0"/>
              <w:jc w:val="center"/>
              <w:rPr>
                <w:rFonts w:hint="eastAsia" w:ascii="宋体" w:hAnsi="宋体" w:eastAsia="宋体" w:cs="仿宋_GB2312"/>
                <w:color w:val="auto"/>
                <w:kern w:val="2"/>
                <w:sz w:val="21"/>
                <w:szCs w:val="21"/>
                <w:highlight w:val="none"/>
              </w:rPr>
            </w:pPr>
          </w:p>
        </w:tc>
        <w:tc>
          <w:tcPr>
            <w:tcW w:w="2690" w:type="dxa"/>
            <w:noWrap w:val="0"/>
            <w:vAlign w:val="center"/>
          </w:tcPr>
          <w:p w14:paraId="760D8137">
            <w:pPr>
              <w:pStyle w:val="23"/>
              <w:spacing w:line="360" w:lineRule="auto"/>
              <w:ind w:firstLine="0" w:firstLineChars="0"/>
              <w:jc w:val="center"/>
              <w:rPr>
                <w:rFonts w:hint="eastAsia" w:ascii="宋体" w:hAnsi="宋体" w:eastAsia="宋体" w:cs="仿宋_GB2312"/>
                <w:color w:val="auto"/>
                <w:kern w:val="2"/>
                <w:sz w:val="21"/>
                <w:szCs w:val="21"/>
                <w:highlight w:val="none"/>
              </w:rPr>
            </w:pPr>
          </w:p>
        </w:tc>
        <w:tc>
          <w:tcPr>
            <w:tcW w:w="1467" w:type="dxa"/>
            <w:tcBorders>
              <w:right w:val="single" w:color="auto" w:sz="4" w:space="0"/>
            </w:tcBorders>
            <w:noWrap w:val="0"/>
            <w:vAlign w:val="center"/>
          </w:tcPr>
          <w:p w14:paraId="73830B4A">
            <w:pPr>
              <w:pStyle w:val="23"/>
              <w:spacing w:line="360" w:lineRule="auto"/>
              <w:ind w:firstLine="0" w:firstLineChars="0"/>
              <w:jc w:val="center"/>
              <w:rPr>
                <w:rFonts w:hint="eastAsia" w:ascii="宋体" w:hAnsi="宋体" w:eastAsia="宋体" w:cs="仿宋_GB2312"/>
                <w:color w:val="auto"/>
                <w:kern w:val="2"/>
                <w:sz w:val="21"/>
                <w:szCs w:val="21"/>
                <w:highlight w:val="none"/>
              </w:rPr>
            </w:pPr>
          </w:p>
        </w:tc>
      </w:tr>
    </w:tbl>
    <w:p w14:paraId="07C55D87">
      <w:pPr>
        <w:pStyle w:val="23"/>
        <w:spacing w:line="360" w:lineRule="auto"/>
        <w:ind w:firstLine="0" w:firstLineChars="0"/>
        <w:contextualSpacing/>
        <w:rPr>
          <w:rFonts w:hint="eastAsia" w:ascii="宋体" w:hAnsi="宋体" w:eastAsia="宋体" w:cs="仿宋_GB2312"/>
          <w:color w:val="auto"/>
          <w:sz w:val="21"/>
          <w:szCs w:val="21"/>
          <w:highlight w:val="none"/>
        </w:rPr>
      </w:pPr>
      <w:r>
        <w:rPr>
          <w:rFonts w:hint="eastAsia" w:ascii="宋体" w:hAnsi="宋体" w:eastAsia="宋体" w:cs="仿宋_GB2312"/>
          <w:color w:val="auto"/>
          <w:sz w:val="21"/>
          <w:szCs w:val="21"/>
          <w:highlight w:val="none"/>
        </w:rPr>
        <w:t>注：</w:t>
      </w:r>
    </w:p>
    <w:p w14:paraId="23CD2754">
      <w:pPr>
        <w:pStyle w:val="23"/>
        <w:spacing w:line="360" w:lineRule="auto"/>
        <w:ind w:firstLine="0" w:firstLineChars="0"/>
        <w:contextualSpacing/>
        <w:rPr>
          <w:rFonts w:hint="eastAsia" w:ascii="宋体" w:hAnsi="宋体" w:eastAsia="宋体" w:cs="仿宋_GB2312"/>
          <w:color w:val="auto"/>
          <w:sz w:val="21"/>
          <w:szCs w:val="21"/>
          <w:highlight w:val="none"/>
        </w:rPr>
      </w:pPr>
      <w:r>
        <w:rPr>
          <w:rFonts w:hint="eastAsia" w:ascii="宋体" w:hAnsi="宋体" w:eastAsia="宋体" w:cs="仿宋_GB2312"/>
          <w:color w:val="auto"/>
          <w:sz w:val="21"/>
          <w:szCs w:val="21"/>
          <w:highlight w:val="none"/>
        </w:rPr>
        <w:t>1. 说明：应对照谈判文件“</w:t>
      </w:r>
      <w:r>
        <w:rPr>
          <w:rFonts w:hint="eastAsia" w:ascii="宋体" w:hAnsi="宋体"/>
          <w:color w:val="auto"/>
          <w:kern w:val="0"/>
          <w:sz w:val="21"/>
          <w:szCs w:val="21"/>
          <w:highlight w:val="none"/>
          <w:lang w:val="en-US" w:eastAsia="zh-CN"/>
        </w:rPr>
        <w:t>第四部分</w:t>
      </w:r>
      <w:r>
        <w:rPr>
          <w:rFonts w:hint="eastAsia" w:ascii="宋体" w:hAnsi="宋体" w:eastAsia="宋体" w:cs="仿宋_GB2312"/>
          <w:color w:val="auto"/>
          <w:sz w:val="21"/>
          <w:szCs w:val="21"/>
          <w:highlight w:val="none"/>
        </w:rPr>
        <w:t xml:space="preserve"> 采购需求”中的技术需求逐条实质性响应，并作出偏离说明。</w:t>
      </w:r>
    </w:p>
    <w:p w14:paraId="0ECAA849">
      <w:pPr>
        <w:pStyle w:val="23"/>
        <w:spacing w:line="360" w:lineRule="auto"/>
        <w:ind w:firstLine="0" w:firstLineChars="0"/>
        <w:contextualSpacing/>
        <w:rPr>
          <w:rFonts w:hint="eastAsia" w:ascii="宋体" w:hAnsi="宋体" w:eastAsia="宋体" w:cs="仿宋_GB2312"/>
          <w:color w:val="auto"/>
          <w:sz w:val="21"/>
          <w:szCs w:val="21"/>
          <w:highlight w:val="none"/>
        </w:rPr>
      </w:pPr>
      <w:r>
        <w:rPr>
          <w:rFonts w:hint="eastAsia" w:ascii="宋体" w:hAnsi="宋体" w:eastAsia="宋体" w:cs="仿宋_GB2312"/>
          <w:color w:val="auto"/>
          <w:sz w:val="21"/>
          <w:szCs w:val="21"/>
          <w:highlight w:val="none"/>
        </w:rPr>
        <w:t>2.供应商应根据竞标设备的性能指标，对照谈判文件要求，在“偏离说明”中注明“正偏离”、“负偏离”或者“无偏离”。既不属于“正偏离”也不属于“负偏离”即为“无偏离”。</w:t>
      </w:r>
    </w:p>
    <w:p w14:paraId="412D5426">
      <w:pPr>
        <w:pStyle w:val="23"/>
        <w:spacing w:line="360" w:lineRule="auto"/>
        <w:ind w:firstLine="0" w:firstLineChars="0"/>
        <w:contextualSpacing/>
        <w:rPr>
          <w:rFonts w:ascii="宋体" w:hAnsi="宋体" w:eastAsia="宋体"/>
          <w:color w:val="auto"/>
          <w:sz w:val="21"/>
          <w:szCs w:val="21"/>
          <w:highlight w:val="none"/>
        </w:rPr>
      </w:pPr>
      <w:r>
        <w:rPr>
          <w:rFonts w:hint="eastAsia" w:ascii="宋体" w:hAnsi="宋体" w:eastAsia="宋体"/>
          <w:color w:val="auto"/>
          <w:sz w:val="21"/>
          <w:szCs w:val="21"/>
          <w:highlight w:val="none"/>
        </w:rPr>
        <w:t>3.供应商认为其竞标响应有正偏离的，请在技术偏离表中列明，且在响应文件中提供竞标产品的彩页或第三方检测报告复印件或技术参数说明证明作为佐证，以上佐证材料均需加盖</w:t>
      </w:r>
      <w:r>
        <w:rPr>
          <w:rFonts w:hint="eastAsia"/>
          <w:color w:val="auto"/>
          <w:sz w:val="21"/>
          <w:szCs w:val="21"/>
          <w:highlight w:val="none"/>
          <w:lang w:val="en-US" w:eastAsia="zh-CN"/>
        </w:rPr>
        <w:t>供应商</w:t>
      </w:r>
      <w:r>
        <w:rPr>
          <w:rFonts w:hint="eastAsia" w:ascii="宋体" w:hAnsi="宋体" w:eastAsia="宋体"/>
          <w:color w:val="auto"/>
          <w:sz w:val="21"/>
          <w:szCs w:val="21"/>
          <w:highlight w:val="none"/>
        </w:rPr>
        <w:t>公章。</w:t>
      </w:r>
    </w:p>
    <w:p w14:paraId="4BE3CFA4">
      <w:pPr>
        <w:pStyle w:val="23"/>
        <w:spacing w:line="360" w:lineRule="auto"/>
        <w:ind w:firstLine="0" w:firstLineChars="0"/>
        <w:contextualSpacing/>
        <w:rPr>
          <w:rFonts w:hint="eastAsia" w:ascii="宋体" w:hAnsi="宋体" w:eastAsia="宋体"/>
          <w:color w:val="auto"/>
          <w:sz w:val="21"/>
          <w:szCs w:val="21"/>
          <w:highlight w:val="none"/>
        </w:rPr>
      </w:pPr>
      <w:r>
        <w:rPr>
          <w:rFonts w:hint="eastAsia" w:ascii="宋体" w:hAnsi="宋体" w:eastAsia="宋体"/>
          <w:color w:val="auto"/>
          <w:sz w:val="21"/>
          <w:szCs w:val="21"/>
          <w:highlight w:val="none"/>
        </w:rPr>
        <w:t>4</w:t>
      </w:r>
      <w:r>
        <w:rPr>
          <w:rFonts w:ascii="宋体" w:hAnsi="宋体" w:eastAsia="宋体"/>
          <w:color w:val="auto"/>
          <w:sz w:val="21"/>
          <w:szCs w:val="21"/>
          <w:highlight w:val="none"/>
        </w:rPr>
        <w:t>.</w:t>
      </w:r>
      <w:r>
        <w:rPr>
          <w:rFonts w:hint="eastAsia" w:ascii="宋体" w:hAnsi="宋体" w:eastAsia="宋体"/>
          <w:color w:val="auto"/>
          <w:sz w:val="21"/>
          <w:szCs w:val="21"/>
          <w:highlight w:val="none"/>
        </w:rPr>
        <w:t xml:space="preserve"> 如技术偏离表中的竞标响应与佐证材料不一致的，以佐证材料为准。</w:t>
      </w:r>
    </w:p>
    <w:p w14:paraId="2C851DC2">
      <w:pPr>
        <w:spacing w:line="360" w:lineRule="auto"/>
        <w:ind w:right="-817" w:rightChars="-389"/>
        <w:contextualSpacing/>
        <w:rPr>
          <w:rFonts w:hint="eastAsia" w:ascii="宋体" w:hAnsi="宋体" w:cs="仿宋_GB2312"/>
          <w:color w:val="auto"/>
          <w:sz w:val="21"/>
          <w:szCs w:val="21"/>
          <w:highlight w:val="none"/>
        </w:rPr>
      </w:pPr>
    </w:p>
    <w:p w14:paraId="5813E156">
      <w:pPr>
        <w:spacing w:line="360" w:lineRule="auto"/>
        <w:ind w:right="-817" w:rightChars="-389"/>
        <w:contextualSpacing/>
        <w:jc w:val="center"/>
        <w:rPr>
          <w:rFonts w:hint="eastAsia" w:ascii="宋体" w:hAnsi="宋体" w:cs="仿宋_GB2312"/>
          <w:color w:val="auto"/>
          <w:sz w:val="21"/>
          <w:szCs w:val="21"/>
          <w:highlight w:val="none"/>
        </w:rPr>
      </w:pPr>
      <w:r>
        <w:rPr>
          <w:rFonts w:hint="eastAsia" w:ascii="宋体" w:hAnsi="宋体" w:eastAsia="宋体" w:cs="宋体"/>
          <w:color w:val="auto"/>
          <w:kern w:val="0"/>
          <w:sz w:val="21"/>
          <w:szCs w:val="21"/>
          <w:highlight w:val="none"/>
          <w:lang w:val="zh-CN"/>
        </w:rPr>
        <w:t>法定代表人（负责人）或委托代理人(签名)</w:t>
      </w:r>
      <w:r>
        <w:rPr>
          <w:rFonts w:hint="eastAsia" w:ascii="宋体" w:hAnsi="宋体" w:cs="仿宋_GB2312"/>
          <w:color w:val="auto"/>
          <w:sz w:val="21"/>
          <w:szCs w:val="21"/>
          <w:highlight w:val="none"/>
        </w:rPr>
        <w:t>：</w:t>
      </w:r>
    </w:p>
    <w:p w14:paraId="6357E71E">
      <w:pPr>
        <w:spacing w:line="360" w:lineRule="auto"/>
        <w:ind w:right="-817" w:rightChars="-389" w:firstLine="3150" w:firstLineChars="1500"/>
        <w:contextualSpacing/>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 xml:space="preserve">供应商（盖公章）：      </w:t>
      </w:r>
    </w:p>
    <w:p w14:paraId="6F8A9D94">
      <w:pPr>
        <w:spacing w:line="360" w:lineRule="auto"/>
        <w:ind w:right="-817" w:rightChars="-389" w:firstLine="3150" w:firstLineChars="1500"/>
        <w:contextualSpacing/>
        <w:rPr>
          <w:rFonts w:ascii="仿宋_GB2312" w:hAnsi="仿宋_GB2312" w:eastAsia="仿宋_GB2312" w:cs="仿宋_GB2312"/>
          <w:color w:val="auto"/>
          <w:sz w:val="21"/>
          <w:szCs w:val="21"/>
          <w:highlight w:val="none"/>
        </w:rPr>
      </w:pPr>
      <w:r>
        <w:rPr>
          <w:rFonts w:hint="eastAsia" w:ascii="宋体" w:hAnsi="宋体" w:cs="仿宋_GB2312"/>
          <w:color w:val="auto"/>
          <w:sz w:val="21"/>
          <w:szCs w:val="21"/>
          <w:highlight w:val="none"/>
        </w:rPr>
        <w:t>日期：   年   月   日</w:t>
      </w:r>
    </w:p>
    <w:p w14:paraId="42387580">
      <w:pPr>
        <w:pStyle w:val="31"/>
        <w:numPr>
          <w:ilvl w:val="0"/>
          <w:numId w:val="0"/>
        </w:numPr>
        <w:spacing w:line="360" w:lineRule="auto"/>
        <w:ind w:firstLine="420" w:firstLineChars="200"/>
        <w:rPr>
          <w:rFonts w:hint="eastAsia" w:hAnsi="宋体" w:cs="宋体"/>
          <w:color w:val="auto"/>
          <w:sz w:val="21"/>
          <w:szCs w:val="21"/>
          <w:highlight w:val="none"/>
        </w:rPr>
      </w:pPr>
    </w:p>
    <w:p w14:paraId="31E70E1D">
      <w:pPr>
        <w:pStyle w:val="31"/>
        <w:numPr>
          <w:ilvl w:val="0"/>
          <w:numId w:val="0"/>
        </w:numPr>
        <w:spacing w:line="360" w:lineRule="auto"/>
        <w:ind w:firstLine="420" w:firstLineChars="200"/>
        <w:rPr>
          <w:rFonts w:hint="eastAsia" w:hAnsi="宋体" w:cs="宋体"/>
          <w:color w:val="auto"/>
          <w:sz w:val="21"/>
          <w:szCs w:val="21"/>
          <w:highlight w:val="none"/>
        </w:rPr>
      </w:pPr>
    </w:p>
    <w:p w14:paraId="4F6F114A">
      <w:pPr>
        <w:pStyle w:val="31"/>
        <w:numPr>
          <w:ilvl w:val="0"/>
          <w:numId w:val="0"/>
        </w:numPr>
        <w:spacing w:line="360" w:lineRule="auto"/>
        <w:ind w:firstLine="420" w:firstLineChars="200"/>
        <w:rPr>
          <w:rFonts w:hint="eastAsia" w:hAnsi="宋体" w:cs="宋体"/>
          <w:color w:val="auto"/>
          <w:sz w:val="21"/>
          <w:szCs w:val="21"/>
          <w:highlight w:val="none"/>
        </w:rPr>
      </w:pPr>
    </w:p>
    <w:p w14:paraId="56ABA142">
      <w:pPr>
        <w:pStyle w:val="31"/>
        <w:numPr>
          <w:ilvl w:val="0"/>
          <w:numId w:val="0"/>
        </w:numPr>
        <w:spacing w:line="360" w:lineRule="auto"/>
        <w:ind w:firstLine="420" w:firstLineChars="200"/>
        <w:rPr>
          <w:rFonts w:hint="eastAsia" w:hAnsi="宋体" w:cs="宋体"/>
          <w:color w:val="auto"/>
          <w:sz w:val="21"/>
          <w:szCs w:val="21"/>
          <w:highlight w:val="none"/>
        </w:rPr>
      </w:pPr>
    </w:p>
    <w:p w14:paraId="4E29E2B2">
      <w:pPr>
        <w:pStyle w:val="31"/>
        <w:numPr>
          <w:ilvl w:val="0"/>
          <w:numId w:val="0"/>
        </w:numPr>
        <w:spacing w:line="360" w:lineRule="auto"/>
        <w:ind w:firstLine="420" w:firstLineChars="200"/>
        <w:rPr>
          <w:rFonts w:hint="eastAsia" w:hAnsi="宋体" w:cs="宋体"/>
          <w:color w:val="auto"/>
          <w:sz w:val="21"/>
          <w:szCs w:val="21"/>
          <w:highlight w:val="none"/>
        </w:rPr>
      </w:pPr>
    </w:p>
    <w:p w14:paraId="0B130E6A">
      <w:pPr>
        <w:pStyle w:val="31"/>
        <w:numPr>
          <w:ilvl w:val="0"/>
          <w:numId w:val="0"/>
        </w:numPr>
        <w:spacing w:line="360" w:lineRule="auto"/>
        <w:ind w:firstLine="420" w:firstLineChars="200"/>
        <w:rPr>
          <w:rFonts w:hint="eastAsia" w:hAnsi="宋体" w:cs="宋体"/>
          <w:color w:val="auto"/>
          <w:sz w:val="21"/>
          <w:szCs w:val="21"/>
          <w:highlight w:val="none"/>
        </w:rPr>
      </w:pPr>
    </w:p>
    <w:p w14:paraId="08DD06EC">
      <w:pPr>
        <w:pStyle w:val="31"/>
        <w:numPr>
          <w:ilvl w:val="0"/>
          <w:numId w:val="0"/>
        </w:numPr>
        <w:spacing w:line="360" w:lineRule="auto"/>
        <w:ind w:firstLine="420" w:firstLineChars="200"/>
        <w:rPr>
          <w:rFonts w:hint="eastAsia" w:hAnsi="宋体" w:cs="宋体"/>
          <w:color w:val="auto"/>
          <w:sz w:val="21"/>
          <w:szCs w:val="21"/>
          <w:highlight w:val="none"/>
        </w:rPr>
      </w:pPr>
    </w:p>
    <w:p w14:paraId="7815CF33">
      <w:pPr>
        <w:snapToGrid w:val="0"/>
        <w:spacing w:line="360" w:lineRule="auto"/>
        <w:jc w:val="both"/>
        <w:rPr>
          <w:rFonts w:hint="eastAsia" w:cs="仿宋_GB2312" w:asciiTheme="minorEastAsia" w:hAnsiTheme="minorEastAsia" w:eastAsiaTheme="minorEastAsia"/>
          <w:b/>
          <w:color w:val="auto"/>
          <w:sz w:val="21"/>
          <w:szCs w:val="21"/>
          <w:highlight w:val="none"/>
          <w:lang w:val="en-US" w:eastAsia="zh-CN"/>
        </w:rPr>
      </w:pPr>
      <w:r>
        <w:rPr>
          <w:rFonts w:hint="eastAsia" w:cs="仿宋_GB2312" w:asciiTheme="minorEastAsia" w:hAnsiTheme="minorEastAsia" w:eastAsiaTheme="minorEastAsia"/>
          <w:b/>
          <w:color w:val="auto"/>
          <w:sz w:val="21"/>
          <w:szCs w:val="21"/>
          <w:highlight w:val="none"/>
          <w:lang w:val="en-US" w:eastAsia="zh-CN"/>
        </w:rPr>
        <w:t>7、</w:t>
      </w:r>
      <w:r>
        <w:rPr>
          <w:rFonts w:hint="eastAsia" w:cs="仿宋_GB2312" w:asciiTheme="minorEastAsia" w:hAnsiTheme="minorEastAsia" w:eastAsiaTheme="minorEastAsia"/>
          <w:b/>
          <w:color w:val="auto"/>
          <w:sz w:val="21"/>
          <w:szCs w:val="21"/>
          <w:highlight w:val="none"/>
        </w:rPr>
        <w:t>响应产品规格配置清单</w:t>
      </w:r>
    </w:p>
    <w:p w14:paraId="051FDE95">
      <w:pPr>
        <w:snapToGrid w:val="0"/>
        <w:spacing w:line="360" w:lineRule="auto"/>
        <w:jc w:val="center"/>
        <w:rPr>
          <w:rFonts w:cs="仿宋_GB2312" w:asciiTheme="minorEastAsia" w:hAnsiTheme="minorEastAsia" w:eastAsiaTheme="minorEastAsia"/>
          <w:b/>
          <w:color w:val="auto"/>
          <w:sz w:val="32"/>
          <w:szCs w:val="32"/>
          <w:highlight w:val="none"/>
        </w:rPr>
      </w:pPr>
      <w:r>
        <w:rPr>
          <w:rFonts w:hint="eastAsia" w:cs="仿宋_GB2312" w:asciiTheme="minorEastAsia" w:hAnsiTheme="minorEastAsia" w:eastAsiaTheme="minorEastAsia"/>
          <w:b/>
          <w:color w:val="auto"/>
          <w:sz w:val="32"/>
          <w:szCs w:val="32"/>
          <w:highlight w:val="none"/>
        </w:rPr>
        <w:t>响应产品规格配置清单</w:t>
      </w:r>
    </w:p>
    <w:tbl>
      <w:tblPr>
        <w:tblStyle w:val="60"/>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531"/>
        <w:gridCol w:w="2160"/>
        <w:gridCol w:w="2340"/>
        <w:gridCol w:w="1080"/>
        <w:gridCol w:w="1332"/>
      </w:tblGrid>
      <w:tr w14:paraId="1547C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737" w:type="dxa"/>
            <w:vAlign w:val="center"/>
          </w:tcPr>
          <w:p w14:paraId="724D90C4">
            <w:pPr>
              <w:spacing w:line="360" w:lineRule="auto"/>
              <w:jc w:val="center"/>
              <w:rPr>
                <w:rFonts w:cs="仿宋_GB2312" w:asciiTheme="minorEastAsia" w:hAnsiTheme="minorEastAsia" w:eastAsiaTheme="minorEastAsia"/>
                <w:b/>
                <w:color w:val="auto"/>
                <w:sz w:val="24"/>
                <w:highlight w:val="none"/>
              </w:rPr>
            </w:pPr>
            <w:r>
              <w:rPr>
                <w:rFonts w:hint="eastAsia" w:cs="仿宋_GB2312" w:asciiTheme="minorEastAsia" w:hAnsiTheme="minorEastAsia" w:eastAsiaTheme="minorEastAsia"/>
                <w:b/>
                <w:color w:val="auto"/>
                <w:sz w:val="24"/>
                <w:highlight w:val="none"/>
              </w:rPr>
              <w:t>序号</w:t>
            </w:r>
          </w:p>
        </w:tc>
        <w:tc>
          <w:tcPr>
            <w:tcW w:w="1531" w:type="dxa"/>
            <w:vAlign w:val="center"/>
          </w:tcPr>
          <w:p w14:paraId="3C060E56">
            <w:pPr>
              <w:spacing w:line="360" w:lineRule="auto"/>
              <w:jc w:val="center"/>
              <w:rPr>
                <w:rFonts w:cs="仿宋_GB2312" w:asciiTheme="minorEastAsia" w:hAnsiTheme="minorEastAsia" w:eastAsiaTheme="minorEastAsia"/>
                <w:b/>
                <w:color w:val="auto"/>
                <w:sz w:val="24"/>
                <w:highlight w:val="none"/>
              </w:rPr>
            </w:pPr>
            <w:r>
              <w:rPr>
                <w:rFonts w:hint="eastAsia" w:cs="仿宋_GB2312" w:asciiTheme="minorEastAsia" w:hAnsiTheme="minorEastAsia" w:eastAsiaTheme="minorEastAsia"/>
                <w:b/>
                <w:color w:val="auto"/>
                <w:sz w:val="24"/>
                <w:highlight w:val="none"/>
              </w:rPr>
              <w:t>设备名称</w:t>
            </w:r>
          </w:p>
        </w:tc>
        <w:tc>
          <w:tcPr>
            <w:tcW w:w="2160" w:type="dxa"/>
            <w:vAlign w:val="center"/>
          </w:tcPr>
          <w:p w14:paraId="2726B036">
            <w:pPr>
              <w:spacing w:line="360" w:lineRule="auto"/>
              <w:jc w:val="center"/>
              <w:rPr>
                <w:rFonts w:cs="仿宋_GB2312" w:asciiTheme="minorEastAsia" w:hAnsiTheme="minorEastAsia" w:eastAsiaTheme="minorEastAsia"/>
                <w:b/>
                <w:color w:val="auto"/>
                <w:sz w:val="24"/>
                <w:highlight w:val="none"/>
              </w:rPr>
            </w:pPr>
            <w:r>
              <w:rPr>
                <w:rFonts w:hint="eastAsia" w:cs="仿宋_GB2312" w:asciiTheme="minorEastAsia" w:hAnsiTheme="minorEastAsia" w:eastAsiaTheme="minorEastAsia"/>
                <w:b/>
                <w:color w:val="auto"/>
                <w:sz w:val="24"/>
                <w:highlight w:val="none"/>
              </w:rPr>
              <w:t>响应品牌及型号</w:t>
            </w:r>
          </w:p>
        </w:tc>
        <w:tc>
          <w:tcPr>
            <w:tcW w:w="2340" w:type="dxa"/>
            <w:vAlign w:val="center"/>
          </w:tcPr>
          <w:p w14:paraId="58DFB3F8">
            <w:pPr>
              <w:spacing w:line="360" w:lineRule="auto"/>
              <w:jc w:val="center"/>
              <w:rPr>
                <w:rFonts w:cs="仿宋_GB2312" w:asciiTheme="minorEastAsia" w:hAnsiTheme="minorEastAsia" w:eastAsiaTheme="minorEastAsia"/>
                <w:b/>
                <w:color w:val="auto"/>
                <w:sz w:val="24"/>
                <w:highlight w:val="none"/>
              </w:rPr>
            </w:pPr>
            <w:r>
              <w:rPr>
                <w:rFonts w:hint="eastAsia" w:cs="仿宋_GB2312" w:asciiTheme="minorEastAsia" w:hAnsiTheme="minorEastAsia" w:eastAsiaTheme="minorEastAsia"/>
                <w:b/>
                <w:color w:val="auto"/>
                <w:sz w:val="24"/>
                <w:highlight w:val="none"/>
              </w:rPr>
              <w:t>规格配置详细说明</w:t>
            </w:r>
          </w:p>
        </w:tc>
        <w:tc>
          <w:tcPr>
            <w:tcW w:w="1080" w:type="dxa"/>
            <w:vAlign w:val="center"/>
          </w:tcPr>
          <w:p w14:paraId="637BB521">
            <w:pPr>
              <w:spacing w:line="360" w:lineRule="auto"/>
              <w:jc w:val="center"/>
              <w:rPr>
                <w:rFonts w:cs="仿宋_GB2312" w:asciiTheme="minorEastAsia" w:hAnsiTheme="minorEastAsia" w:eastAsiaTheme="minorEastAsia"/>
                <w:b/>
                <w:color w:val="auto"/>
                <w:sz w:val="24"/>
                <w:highlight w:val="none"/>
              </w:rPr>
            </w:pPr>
            <w:r>
              <w:rPr>
                <w:rFonts w:hint="eastAsia" w:cs="仿宋_GB2312" w:asciiTheme="minorEastAsia" w:hAnsiTheme="minorEastAsia" w:eastAsiaTheme="minorEastAsia"/>
                <w:b/>
                <w:color w:val="auto"/>
                <w:sz w:val="24"/>
                <w:highlight w:val="none"/>
              </w:rPr>
              <w:t>数量</w:t>
            </w:r>
          </w:p>
        </w:tc>
        <w:tc>
          <w:tcPr>
            <w:tcW w:w="1332" w:type="dxa"/>
            <w:vAlign w:val="center"/>
          </w:tcPr>
          <w:p w14:paraId="1F2E2D3A">
            <w:pPr>
              <w:spacing w:line="360" w:lineRule="auto"/>
              <w:jc w:val="center"/>
              <w:rPr>
                <w:rFonts w:cs="仿宋_GB2312" w:asciiTheme="minorEastAsia" w:hAnsiTheme="minorEastAsia" w:eastAsiaTheme="minorEastAsia"/>
                <w:b/>
                <w:color w:val="auto"/>
                <w:sz w:val="24"/>
                <w:highlight w:val="none"/>
              </w:rPr>
            </w:pPr>
            <w:r>
              <w:rPr>
                <w:rFonts w:hint="eastAsia" w:cs="仿宋_GB2312" w:asciiTheme="minorEastAsia" w:hAnsiTheme="minorEastAsia" w:eastAsiaTheme="minorEastAsia"/>
                <w:b/>
                <w:color w:val="auto"/>
                <w:sz w:val="24"/>
                <w:highlight w:val="none"/>
              </w:rPr>
              <w:t>备注</w:t>
            </w:r>
          </w:p>
        </w:tc>
      </w:tr>
      <w:tr w14:paraId="2734B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37" w:type="dxa"/>
            <w:vAlign w:val="center"/>
          </w:tcPr>
          <w:p w14:paraId="51162EB5">
            <w:pPr>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1</w:t>
            </w:r>
          </w:p>
        </w:tc>
        <w:tc>
          <w:tcPr>
            <w:tcW w:w="1531" w:type="dxa"/>
            <w:vAlign w:val="center"/>
          </w:tcPr>
          <w:p w14:paraId="633495FB">
            <w:pPr>
              <w:snapToGrid w:val="0"/>
              <w:spacing w:line="360" w:lineRule="auto"/>
              <w:jc w:val="center"/>
              <w:rPr>
                <w:rFonts w:cs="仿宋_GB2312" w:asciiTheme="minorEastAsia" w:hAnsiTheme="minorEastAsia" w:eastAsiaTheme="minorEastAsia"/>
                <w:color w:val="auto"/>
                <w:sz w:val="24"/>
                <w:highlight w:val="none"/>
              </w:rPr>
            </w:pPr>
          </w:p>
        </w:tc>
        <w:tc>
          <w:tcPr>
            <w:tcW w:w="2160" w:type="dxa"/>
            <w:vAlign w:val="center"/>
          </w:tcPr>
          <w:p w14:paraId="1DFD2D13">
            <w:pPr>
              <w:snapToGrid w:val="0"/>
              <w:spacing w:line="360" w:lineRule="auto"/>
              <w:jc w:val="center"/>
              <w:rPr>
                <w:rFonts w:cs="仿宋_GB2312" w:asciiTheme="minorEastAsia" w:hAnsiTheme="minorEastAsia" w:eastAsiaTheme="minorEastAsia"/>
                <w:color w:val="auto"/>
                <w:sz w:val="24"/>
                <w:highlight w:val="none"/>
              </w:rPr>
            </w:pPr>
          </w:p>
        </w:tc>
        <w:tc>
          <w:tcPr>
            <w:tcW w:w="2340" w:type="dxa"/>
            <w:vAlign w:val="center"/>
          </w:tcPr>
          <w:p w14:paraId="05AAA064">
            <w:pPr>
              <w:spacing w:line="360" w:lineRule="auto"/>
              <w:jc w:val="center"/>
              <w:rPr>
                <w:rFonts w:cs="仿宋_GB2312" w:asciiTheme="minorEastAsia" w:hAnsiTheme="minorEastAsia" w:eastAsiaTheme="minorEastAsia"/>
                <w:color w:val="auto"/>
                <w:sz w:val="24"/>
                <w:highlight w:val="none"/>
              </w:rPr>
            </w:pPr>
          </w:p>
        </w:tc>
        <w:tc>
          <w:tcPr>
            <w:tcW w:w="1080" w:type="dxa"/>
            <w:vAlign w:val="center"/>
          </w:tcPr>
          <w:p w14:paraId="09FC8312">
            <w:pPr>
              <w:spacing w:line="360" w:lineRule="auto"/>
              <w:jc w:val="center"/>
              <w:rPr>
                <w:rFonts w:cs="仿宋_GB2312" w:asciiTheme="minorEastAsia" w:hAnsiTheme="minorEastAsia" w:eastAsiaTheme="minorEastAsia"/>
                <w:color w:val="auto"/>
                <w:sz w:val="24"/>
                <w:highlight w:val="none"/>
              </w:rPr>
            </w:pPr>
          </w:p>
        </w:tc>
        <w:tc>
          <w:tcPr>
            <w:tcW w:w="1332" w:type="dxa"/>
            <w:vAlign w:val="center"/>
          </w:tcPr>
          <w:p w14:paraId="62C55D61">
            <w:pPr>
              <w:spacing w:line="360" w:lineRule="auto"/>
              <w:jc w:val="center"/>
              <w:rPr>
                <w:rFonts w:cs="仿宋_GB2312" w:asciiTheme="minorEastAsia" w:hAnsiTheme="minorEastAsia" w:eastAsiaTheme="minorEastAsia"/>
                <w:color w:val="auto"/>
                <w:sz w:val="24"/>
                <w:highlight w:val="none"/>
              </w:rPr>
            </w:pPr>
          </w:p>
        </w:tc>
      </w:tr>
      <w:tr w14:paraId="3E8B9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1C7F533E">
            <w:pPr>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2</w:t>
            </w:r>
          </w:p>
        </w:tc>
        <w:tc>
          <w:tcPr>
            <w:tcW w:w="1531" w:type="dxa"/>
            <w:vAlign w:val="center"/>
          </w:tcPr>
          <w:p w14:paraId="7C934F2E">
            <w:pPr>
              <w:snapToGrid w:val="0"/>
              <w:spacing w:line="360" w:lineRule="auto"/>
              <w:jc w:val="center"/>
              <w:rPr>
                <w:rFonts w:cs="仿宋_GB2312" w:asciiTheme="minorEastAsia" w:hAnsiTheme="minorEastAsia" w:eastAsiaTheme="minorEastAsia"/>
                <w:color w:val="auto"/>
                <w:sz w:val="24"/>
                <w:highlight w:val="none"/>
              </w:rPr>
            </w:pPr>
          </w:p>
        </w:tc>
        <w:tc>
          <w:tcPr>
            <w:tcW w:w="2160" w:type="dxa"/>
            <w:vAlign w:val="center"/>
          </w:tcPr>
          <w:p w14:paraId="17A1347A">
            <w:pPr>
              <w:snapToGrid w:val="0"/>
              <w:spacing w:line="360" w:lineRule="auto"/>
              <w:jc w:val="center"/>
              <w:rPr>
                <w:rFonts w:cs="仿宋_GB2312" w:asciiTheme="minorEastAsia" w:hAnsiTheme="minorEastAsia" w:eastAsiaTheme="minorEastAsia"/>
                <w:color w:val="auto"/>
                <w:sz w:val="24"/>
                <w:highlight w:val="none"/>
              </w:rPr>
            </w:pPr>
          </w:p>
        </w:tc>
        <w:tc>
          <w:tcPr>
            <w:tcW w:w="2340" w:type="dxa"/>
            <w:vAlign w:val="center"/>
          </w:tcPr>
          <w:p w14:paraId="13B3FAB2">
            <w:pPr>
              <w:spacing w:line="360" w:lineRule="auto"/>
              <w:jc w:val="center"/>
              <w:rPr>
                <w:rFonts w:cs="仿宋_GB2312" w:asciiTheme="minorEastAsia" w:hAnsiTheme="minorEastAsia" w:eastAsiaTheme="minorEastAsia"/>
                <w:color w:val="auto"/>
                <w:sz w:val="24"/>
                <w:highlight w:val="none"/>
              </w:rPr>
            </w:pPr>
          </w:p>
        </w:tc>
        <w:tc>
          <w:tcPr>
            <w:tcW w:w="1080" w:type="dxa"/>
            <w:vAlign w:val="center"/>
          </w:tcPr>
          <w:p w14:paraId="23E35D76">
            <w:pPr>
              <w:spacing w:line="360" w:lineRule="auto"/>
              <w:jc w:val="center"/>
              <w:rPr>
                <w:rFonts w:cs="仿宋_GB2312" w:asciiTheme="minorEastAsia" w:hAnsiTheme="minorEastAsia" w:eastAsiaTheme="minorEastAsia"/>
                <w:color w:val="auto"/>
                <w:sz w:val="24"/>
                <w:highlight w:val="none"/>
              </w:rPr>
            </w:pPr>
          </w:p>
        </w:tc>
        <w:tc>
          <w:tcPr>
            <w:tcW w:w="1332" w:type="dxa"/>
            <w:vAlign w:val="center"/>
          </w:tcPr>
          <w:p w14:paraId="7BCCBBCA">
            <w:pPr>
              <w:spacing w:line="360" w:lineRule="auto"/>
              <w:jc w:val="center"/>
              <w:rPr>
                <w:rFonts w:cs="仿宋_GB2312" w:asciiTheme="minorEastAsia" w:hAnsiTheme="minorEastAsia" w:eastAsiaTheme="minorEastAsia"/>
                <w:color w:val="auto"/>
                <w:sz w:val="24"/>
                <w:highlight w:val="none"/>
              </w:rPr>
            </w:pPr>
          </w:p>
        </w:tc>
      </w:tr>
      <w:tr w14:paraId="5C81F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12EC0E62">
            <w:pPr>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3</w:t>
            </w:r>
          </w:p>
        </w:tc>
        <w:tc>
          <w:tcPr>
            <w:tcW w:w="1531" w:type="dxa"/>
            <w:vAlign w:val="center"/>
          </w:tcPr>
          <w:p w14:paraId="1756D9AB">
            <w:pPr>
              <w:snapToGrid w:val="0"/>
              <w:spacing w:line="360" w:lineRule="auto"/>
              <w:jc w:val="center"/>
              <w:rPr>
                <w:rFonts w:cs="仿宋_GB2312" w:asciiTheme="minorEastAsia" w:hAnsiTheme="minorEastAsia" w:eastAsiaTheme="minorEastAsia"/>
                <w:color w:val="auto"/>
                <w:sz w:val="24"/>
                <w:highlight w:val="none"/>
              </w:rPr>
            </w:pPr>
          </w:p>
        </w:tc>
        <w:tc>
          <w:tcPr>
            <w:tcW w:w="2160" w:type="dxa"/>
            <w:vAlign w:val="center"/>
          </w:tcPr>
          <w:p w14:paraId="604A29FA">
            <w:pPr>
              <w:snapToGrid w:val="0"/>
              <w:spacing w:line="360" w:lineRule="auto"/>
              <w:jc w:val="center"/>
              <w:rPr>
                <w:rFonts w:cs="仿宋_GB2312" w:asciiTheme="minorEastAsia" w:hAnsiTheme="minorEastAsia" w:eastAsiaTheme="minorEastAsia"/>
                <w:color w:val="auto"/>
                <w:sz w:val="24"/>
                <w:highlight w:val="none"/>
              </w:rPr>
            </w:pPr>
          </w:p>
        </w:tc>
        <w:tc>
          <w:tcPr>
            <w:tcW w:w="2340" w:type="dxa"/>
            <w:vAlign w:val="center"/>
          </w:tcPr>
          <w:p w14:paraId="431BCC01">
            <w:pPr>
              <w:spacing w:line="360" w:lineRule="auto"/>
              <w:jc w:val="center"/>
              <w:rPr>
                <w:rFonts w:cs="仿宋_GB2312" w:asciiTheme="minorEastAsia" w:hAnsiTheme="minorEastAsia" w:eastAsiaTheme="minorEastAsia"/>
                <w:color w:val="auto"/>
                <w:sz w:val="24"/>
                <w:highlight w:val="none"/>
              </w:rPr>
            </w:pPr>
          </w:p>
        </w:tc>
        <w:tc>
          <w:tcPr>
            <w:tcW w:w="1080" w:type="dxa"/>
            <w:vAlign w:val="center"/>
          </w:tcPr>
          <w:p w14:paraId="3126A7DD">
            <w:pPr>
              <w:spacing w:line="360" w:lineRule="auto"/>
              <w:jc w:val="center"/>
              <w:rPr>
                <w:rFonts w:cs="仿宋_GB2312" w:asciiTheme="minorEastAsia" w:hAnsiTheme="minorEastAsia" w:eastAsiaTheme="minorEastAsia"/>
                <w:color w:val="auto"/>
                <w:sz w:val="24"/>
                <w:highlight w:val="none"/>
              </w:rPr>
            </w:pPr>
          </w:p>
        </w:tc>
        <w:tc>
          <w:tcPr>
            <w:tcW w:w="1332" w:type="dxa"/>
            <w:vAlign w:val="center"/>
          </w:tcPr>
          <w:p w14:paraId="3094DEC2">
            <w:pPr>
              <w:spacing w:line="360" w:lineRule="auto"/>
              <w:jc w:val="center"/>
              <w:rPr>
                <w:rFonts w:cs="仿宋_GB2312" w:asciiTheme="minorEastAsia" w:hAnsiTheme="minorEastAsia" w:eastAsiaTheme="minorEastAsia"/>
                <w:color w:val="auto"/>
                <w:sz w:val="24"/>
                <w:highlight w:val="none"/>
              </w:rPr>
            </w:pPr>
          </w:p>
        </w:tc>
      </w:tr>
      <w:tr w14:paraId="25BCF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6CA6E90D">
            <w:pPr>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4</w:t>
            </w:r>
          </w:p>
        </w:tc>
        <w:tc>
          <w:tcPr>
            <w:tcW w:w="1531" w:type="dxa"/>
            <w:vAlign w:val="center"/>
          </w:tcPr>
          <w:p w14:paraId="5DBF9AA5">
            <w:pPr>
              <w:snapToGrid w:val="0"/>
              <w:spacing w:line="360" w:lineRule="auto"/>
              <w:jc w:val="center"/>
              <w:rPr>
                <w:rFonts w:cs="仿宋_GB2312" w:asciiTheme="minorEastAsia" w:hAnsiTheme="minorEastAsia" w:eastAsiaTheme="minorEastAsia"/>
                <w:color w:val="auto"/>
                <w:sz w:val="24"/>
                <w:highlight w:val="none"/>
              </w:rPr>
            </w:pPr>
          </w:p>
        </w:tc>
        <w:tc>
          <w:tcPr>
            <w:tcW w:w="2160" w:type="dxa"/>
            <w:vAlign w:val="center"/>
          </w:tcPr>
          <w:p w14:paraId="20D1960A">
            <w:pPr>
              <w:snapToGrid w:val="0"/>
              <w:spacing w:line="360" w:lineRule="auto"/>
              <w:jc w:val="center"/>
              <w:rPr>
                <w:rFonts w:cs="仿宋_GB2312" w:asciiTheme="minorEastAsia" w:hAnsiTheme="minorEastAsia" w:eastAsiaTheme="minorEastAsia"/>
                <w:color w:val="auto"/>
                <w:sz w:val="24"/>
                <w:highlight w:val="none"/>
              </w:rPr>
            </w:pPr>
          </w:p>
        </w:tc>
        <w:tc>
          <w:tcPr>
            <w:tcW w:w="2340" w:type="dxa"/>
            <w:vAlign w:val="center"/>
          </w:tcPr>
          <w:p w14:paraId="77320E4F">
            <w:pPr>
              <w:spacing w:line="360" w:lineRule="auto"/>
              <w:jc w:val="center"/>
              <w:rPr>
                <w:rFonts w:cs="仿宋_GB2312" w:asciiTheme="minorEastAsia" w:hAnsiTheme="minorEastAsia" w:eastAsiaTheme="minorEastAsia"/>
                <w:color w:val="auto"/>
                <w:sz w:val="24"/>
                <w:highlight w:val="none"/>
              </w:rPr>
            </w:pPr>
          </w:p>
        </w:tc>
        <w:tc>
          <w:tcPr>
            <w:tcW w:w="1080" w:type="dxa"/>
            <w:vAlign w:val="center"/>
          </w:tcPr>
          <w:p w14:paraId="54DE901E">
            <w:pPr>
              <w:spacing w:line="360" w:lineRule="auto"/>
              <w:jc w:val="center"/>
              <w:rPr>
                <w:rFonts w:cs="仿宋_GB2312" w:asciiTheme="minorEastAsia" w:hAnsiTheme="minorEastAsia" w:eastAsiaTheme="minorEastAsia"/>
                <w:color w:val="auto"/>
                <w:sz w:val="24"/>
                <w:highlight w:val="none"/>
              </w:rPr>
            </w:pPr>
          </w:p>
        </w:tc>
        <w:tc>
          <w:tcPr>
            <w:tcW w:w="1332" w:type="dxa"/>
            <w:vAlign w:val="center"/>
          </w:tcPr>
          <w:p w14:paraId="0978C37A">
            <w:pPr>
              <w:spacing w:line="360" w:lineRule="auto"/>
              <w:jc w:val="center"/>
              <w:rPr>
                <w:rFonts w:cs="仿宋_GB2312" w:asciiTheme="minorEastAsia" w:hAnsiTheme="minorEastAsia" w:eastAsiaTheme="minorEastAsia"/>
                <w:color w:val="auto"/>
                <w:sz w:val="24"/>
                <w:highlight w:val="none"/>
              </w:rPr>
            </w:pPr>
          </w:p>
        </w:tc>
      </w:tr>
      <w:tr w14:paraId="1C72D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2A3FA5CC">
            <w:pPr>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5</w:t>
            </w:r>
          </w:p>
        </w:tc>
        <w:tc>
          <w:tcPr>
            <w:tcW w:w="1531" w:type="dxa"/>
            <w:vAlign w:val="center"/>
          </w:tcPr>
          <w:p w14:paraId="1478C1BE">
            <w:pPr>
              <w:snapToGrid w:val="0"/>
              <w:spacing w:line="360" w:lineRule="auto"/>
              <w:jc w:val="center"/>
              <w:rPr>
                <w:rFonts w:cs="仿宋_GB2312" w:asciiTheme="minorEastAsia" w:hAnsiTheme="minorEastAsia" w:eastAsiaTheme="minorEastAsia"/>
                <w:color w:val="auto"/>
                <w:sz w:val="24"/>
                <w:highlight w:val="none"/>
              </w:rPr>
            </w:pPr>
          </w:p>
        </w:tc>
        <w:tc>
          <w:tcPr>
            <w:tcW w:w="2160" w:type="dxa"/>
            <w:vAlign w:val="center"/>
          </w:tcPr>
          <w:p w14:paraId="5A446F8C">
            <w:pPr>
              <w:snapToGrid w:val="0"/>
              <w:spacing w:line="360" w:lineRule="auto"/>
              <w:jc w:val="center"/>
              <w:rPr>
                <w:rFonts w:cs="仿宋_GB2312" w:asciiTheme="minorEastAsia" w:hAnsiTheme="minorEastAsia" w:eastAsiaTheme="minorEastAsia"/>
                <w:color w:val="auto"/>
                <w:sz w:val="24"/>
                <w:highlight w:val="none"/>
              </w:rPr>
            </w:pPr>
          </w:p>
        </w:tc>
        <w:tc>
          <w:tcPr>
            <w:tcW w:w="2340" w:type="dxa"/>
            <w:vAlign w:val="center"/>
          </w:tcPr>
          <w:p w14:paraId="2F9E696B">
            <w:pPr>
              <w:spacing w:line="360" w:lineRule="auto"/>
              <w:jc w:val="center"/>
              <w:rPr>
                <w:rFonts w:cs="仿宋_GB2312" w:asciiTheme="minorEastAsia" w:hAnsiTheme="minorEastAsia" w:eastAsiaTheme="minorEastAsia"/>
                <w:color w:val="auto"/>
                <w:sz w:val="24"/>
                <w:highlight w:val="none"/>
              </w:rPr>
            </w:pPr>
          </w:p>
        </w:tc>
        <w:tc>
          <w:tcPr>
            <w:tcW w:w="1080" w:type="dxa"/>
            <w:vAlign w:val="center"/>
          </w:tcPr>
          <w:p w14:paraId="3DD77A1D">
            <w:pPr>
              <w:spacing w:line="360" w:lineRule="auto"/>
              <w:jc w:val="center"/>
              <w:rPr>
                <w:rFonts w:cs="仿宋_GB2312" w:asciiTheme="minorEastAsia" w:hAnsiTheme="minorEastAsia" w:eastAsiaTheme="minorEastAsia"/>
                <w:color w:val="auto"/>
                <w:sz w:val="24"/>
                <w:highlight w:val="none"/>
              </w:rPr>
            </w:pPr>
          </w:p>
        </w:tc>
        <w:tc>
          <w:tcPr>
            <w:tcW w:w="1332" w:type="dxa"/>
            <w:vAlign w:val="center"/>
          </w:tcPr>
          <w:p w14:paraId="3A4EB39C">
            <w:pPr>
              <w:spacing w:line="360" w:lineRule="auto"/>
              <w:jc w:val="center"/>
              <w:rPr>
                <w:rFonts w:cs="仿宋_GB2312" w:asciiTheme="minorEastAsia" w:hAnsiTheme="minorEastAsia" w:eastAsiaTheme="minorEastAsia"/>
                <w:color w:val="auto"/>
                <w:sz w:val="24"/>
                <w:highlight w:val="none"/>
              </w:rPr>
            </w:pPr>
          </w:p>
        </w:tc>
      </w:tr>
    </w:tbl>
    <w:p w14:paraId="07D299AA">
      <w:pPr>
        <w:autoSpaceDE w:val="0"/>
        <w:autoSpaceDN w:val="0"/>
        <w:spacing w:line="360" w:lineRule="auto"/>
        <w:rPr>
          <w:rFonts w:cs="仿宋_GB2312" w:asciiTheme="minorEastAsia" w:hAnsiTheme="minorEastAsia" w:eastAsiaTheme="minorEastAsia"/>
          <w:b/>
          <w:color w:val="auto"/>
          <w:kern w:val="0"/>
          <w:sz w:val="28"/>
          <w:szCs w:val="28"/>
          <w:highlight w:val="none"/>
        </w:rPr>
      </w:pPr>
    </w:p>
    <w:p w14:paraId="34D44E39">
      <w:pPr>
        <w:rPr>
          <w:rFonts w:hint="eastAsia" w:cs="仿宋_GB2312" w:asciiTheme="minorEastAsia" w:hAnsiTheme="minorEastAsia" w:eastAsiaTheme="minorEastAsia"/>
          <w:b/>
          <w:color w:val="auto"/>
          <w:kern w:val="0"/>
          <w:sz w:val="32"/>
          <w:szCs w:val="32"/>
          <w:highlight w:val="none"/>
        </w:rPr>
        <w:sectPr>
          <w:footerReference r:id="rId4" w:type="default"/>
          <w:pgSz w:w="11906" w:h="16838"/>
          <w:pgMar w:top="1417" w:right="1417" w:bottom="1417" w:left="1417" w:header="748" w:footer="720" w:gutter="0"/>
          <w:pgBorders>
            <w:top w:val="none" w:sz="0" w:space="0"/>
            <w:left w:val="none" w:sz="0" w:space="0"/>
            <w:bottom w:val="none" w:sz="0" w:space="0"/>
            <w:right w:val="none" w:sz="0" w:space="0"/>
          </w:pgBorders>
          <w:pgNumType w:fmt="decimal" w:start="1"/>
          <w:cols w:space="0" w:num="1"/>
          <w:rtlGutter w:val="0"/>
          <w:docGrid w:linePitch="312" w:charSpace="0"/>
        </w:sectPr>
      </w:pPr>
      <w:r>
        <w:rPr>
          <w:rFonts w:hint="eastAsia" w:cs="仿宋_GB2312" w:asciiTheme="minorEastAsia" w:hAnsiTheme="minorEastAsia" w:eastAsiaTheme="minorEastAsia"/>
          <w:b/>
          <w:color w:val="auto"/>
          <w:kern w:val="0"/>
          <w:sz w:val="32"/>
          <w:szCs w:val="32"/>
          <w:highlight w:val="none"/>
        </w:rPr>
        <w:br w:type="page"/>
      </w:r>
    </w:p>
    <w:p w14:paraId="30657B1C">
      <w:pPr>
        <w:pStyle w:val="392"/>
        <w:ind w:firstLine="0" w:firstLineChars="0"/>
        <w:jc w:val="center"/>
        <w:outlineLvl w:val="0"/>
        <w:rPr>
          <w:rFonts w:cs="仿宋_GB2312" w:asciiTheme="minorEastAsia" w:hAnsiTheme="minorEastAsia" w:eastAsiaTheme="minorEastAsia"/>
          <w:b/>
          <w:color w:val="auto"/>
          <w:sz w:val="36"/>
          <w:szCs w:val="36"/>
          <w:highlight w:val="none"/>
        </w:rPr>
      </w:pPr>
      <w:bookmarkStart w:id="81" w:name="_Toc23419"/>
      <w:bookmarkStart w:id="82" w:name="_Toc26731"/>
      <w:r>
        <w:rPr>
          <w:rFonts w:hint="eastAsia" w:cs="仿宋_GB2312" w:asciiTheme="minorEastAsia" w:hAnsiTheme="minorEastAsia" w:eastAsiaTheme="minorEastAsia"/>
          <w:b/>
          <w:color w:val="auto"/>
          <w:sz w:val="36"/>
          <w:szCs w:val="36"/>
          <w:highlight w:val="none"/>
        </w:rPr>
        <w:t>第八部分  最后报价格式</w:t>
      </w:r>
      <w:bookmarkEnd w:id="81"/>
      <w:bookmarkEnd w:id="82"/>
    </w:p>
    <w:p w14:paraId="21B07D57">
      <w:pPr>
        <w:pStyle w:val="631"/>
        <w:jc w:val="center"/>
        <w:rPr>
          <w:rFonts w:cs="仿宋_GB2312" w:asciiTheme="minorEastAsia" w:hAnsiTheme="minorEastAsia" w:eastAsiaTheme="minorEastAsia"/>
          <w:color w:val="auto"/>
          <w:kern w:val="0"/>
          <w:sz w:val="24"/>
          <w:highlight w:val="none"/>
          <w:lang w:val="zh-CN"/>
        </w:rPr>
      </w:pPr>
      <w:r>
        <w:rPr>
          <w:rFonts w:hint="eastAsia"/>
          <w:b/>
          <w:color w:val="auto"/>
          <w:sz w:val="32"/>
          <w:szCs w:val="32"/>
          <w:highlight w:val="none"/>
        </w:rPr>
        <w:t>（一）最后报价一览表（货物类）</w:t>
      </w:r>
    </w:p>
    <w:p w14:paraId="762CC1C4">
      <w:pPr>
        <w:snapToGrid w:val="0"/>
        <w:spacing w:line="360" w:lineRule="auto"/>
        <w:rPr>
          <w:rFonts w:ascii="宋体" w:hAnsi="宋体" w:cs="宋体"/>
          <w:color w:val="auto"/>
          <w:kern w:val="0"/>
          <w:sz w:val="24"/>
          <w:highlight w:val="none"/>
        </w:rPr>
      </w:pPr>
      <w:r>
        <w:rPr>
          <w:rFonts w:hint="eastAsia" w:ascii="宋体" w:hAnsi="宋体" w:cs="宋体"/>
          <w:color w:val="auto"/>
          <w:sz w:val="24"/>
          <w:highlight w:val="none"/>
        </w:rPr>
        <w:t>（采购人）、（采购代理机构）</w:t>
      </w:r>
      <w:r>
        <w:rPr>
          <w:rFonts w:hint="eastAsia" w:ascii="宋体" w:hAnsi="宋体" w:cs="宋体"/>
          <w:color w:val="auto"/>
          <w:kern w:val="0"/>
          <w:sz w:val="24"/>
          <w:highlight w:val="none"/>
          <w:lang w:val="zh-CN"/>
        </w:rPr>
        <w:t>：</w:t>
      </w:r>
    </w:p>
    <w:p w14:paraId="14B6A835">
      <w:pPr>
        <w:snapToGrid w:val="0"/>
        <w:spacing w:line="360" w:lineRule="auto"/>
        <w:ind w:firstLine="482"/>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按你方</w:t>
      </w:r>
      <w:r>
        <w:rPr>
          <w:rFonts w:hint="eastAsia" w:ascii="宋体" w:hAnsi="宋体" w:cs="宋体"/>
          <w:color w:val="auto"/>
          <w:kern w:val="0"/>
          <w:sz w:val="24"/>
          <w:highlight w:val="none"/>
          <w:lang w:val="en-US" w:eastAsia="zh-CN"/>
        </w:rPr>
        <w:t>采购</w:t>
      </w:r>
      <w:r>
        <w:rPr>
          <w:rFonts w:hint="eastAsia" w:ascii="宋体" w:hAnsi="宋体" w:cs="宋体"/>
          <w:color w:val="auto"/>
          <w:kern w:val="0"/>
          <w:sz w:val="24"/>
          <w:highlight w:val="none"/>
          <w:lang w:val="zh-CN"/>
        </w:rPr>
        <w:t>文件要求，我们，本</w:t>
      </w:r>
      <w:r>
        <w:rPr>
          <w:rFonts w:hint="eastAsia" w:ascii="宋体" w:hAnsi="宋体" w:cs="宋体"/>
          <w:color w:val="auto"/>
          <w:kern w:val="0"/>
          <w:sz w:val="24"/>
          <w:highlight w:val="none"/>
          <w:lang w:val="en-US" w:eastAsia="zh-CN"/>
        </w:rPr>
        <w:t>响应文件</w:t>
      </w:r>
      <w:r>
        <w:rPr>
          <w:rFonts w:hint="eastAsia" w:ascii="宋体" w:hAnsi="宋体" w:cs="宋体"/>
          <w:color w:val="auto"/>
          <w:kern w:val="0"/>
          <w:sz w:val="24"/>
          <w:highlight w:val="none"/>
          <w:lang w:val="zh-CN"/>
        </w:rPr>
        <w:t>签字方，谨此向你方发出要约如下：如你方接受本</w:t>
      </w:r>
      <w:r>
        <w:rPr>
          <w:rFonts w:hint="eastAsia" w:ascii="宋体" w:hAnsi="宋体" w:cs="宋体"/>
          <w:color w:val="auto"/>
          <w:kern w:val="0"/>
          <w:sz w:val="24"/>
          <w:highlight w:val="none"/>
          <w:lang w:val="en-US" w:eastAsia="zh-CN"/>
        </w:rPr>
        <w:t>报价</w:t>
      </w:r>
      <w:r>
        <w:rPr>
          <w:rFonts w:hint="eastAsia" w:ascii="宋体" w:hAnsi="宋体" w:cs="宋体"/>
          <w:color w:val="auto"/>
          <w:kern w:val="0"/>
          <w:sz w:val="24"/>
          <w:highlight w:val="none"/>
          <w:lang w:val="zh-CN"/>
        </w:rPr>
        <w:t>，我方承诺按照如下开标一览表（报价表）的价格完成</w:t>
      </w:r>
      <w:r>
        <w:rPr>
          <w:rFonts w:hint="eastAsia" w:ascii="宋体" w:hAnsi="宋体" w:cs="宋体"/>
          <w:b w:val="0"/>
          <w:bCs w:val="0"/>
          <w:color w:val="auto"/>
          <w:kern w:val="0"/>
          <w:sz w:val="24"/>
          <w:highlight w:val="none"/>
          <w:lang w:val="zh-CN" w:eastAsia="zh-CN"/>
        </w:rPr>
        <w:t>广西壮族自治区第十六届运动会(柔道、跆拳道、摔跤、拳击)设施设备采购项目（项目</w:t>
      </w:r>
      <w:r>
        <w:rPr>
          <w:rFonts w:hint="eastAsia" w:ascii="宋体" w:hAnsi="宋体" w:cs="宋体"/>
          <w:b w:val="0"/>
          <w:bCs w:val="0"/>
          <w:color w:val="auto"/>
          <w:kern w:val="0"/>
          <w:sz w:val="24"/>
          <w:highlight w:val="none"/>
          <w:lang w:val="zh-CN"/>
        </w:rPr>
        <w:t>编号：</w:t>
      </w:r>
      <w:r>
        <w:rPr>
          <w:rFonts w:hint="eastAsia" w:ascii="宋体" w:hAnsi="宋体" w:cs="宋体"/>
          <w:b w:val="0"/>
          <w:bCs w:val="0"/>
          <w:color w:val="auto"/>
          <w:kern w:val="0"/>
          <w:sz w:val="24"/>
          <w:highlight w:val="none"/>
          <w:lang w:val="zh-CN" w:eastAsia="zh-CN"/>
        </w:rPr>
        <w:t>BHZC2026-J1-990266-BBWH）</w:t>
      </w:r>
      <w:r>
        <w:rPr>
          <w:rFonts w:hint="eastAsia" w:ascii="宋体" w:hAnsi="宋体" w:cs="宋体"/>
          <w:color w:val="auto"/>
          <w:sz w:val="24"/>
          <w:highlight w:val="none"/>
        </w:rPr>
        <w:t>的实施</w:t>
      </w:r>
      <w:r>
        <w:rPr>
          <w:rFonts w:hint="eastAsia" w:ascii="宋体" w:hAnsi="宋体" w:cs="宋体"/>
          <w:color w:val="auto"/>
          <w:kern w:val="0"/>
          <w:sz w:val="24"/>
          <w:highlight w:val="none"/>
          <w:lang w:val="zh-CN"/>
        </w:rPr>
        <w:t>。</w:t>
      </w:r>
    </w:p>
    <w:p w14:paraId="5ABB5987">
      <w:pPr>
        <w:pStyle w:val="631"/>
        <w:jc w:val="center"/>
        <w:rPr>
          <w:b/>
          <w:color w:val="auto"/>
          <w:sz w:val="32"/>
          <w:szCs w:val="32"/>
          <w:highlight w:val="none"/>
        </w:rPr>
      </w:pPr>
      <w:r>
        <w:rPr>
          <w:rFonts w:hint="eastAsia" w:cs="仿宋_GB2312" w:asciiTheme="minorEastAsia" w:hAnsiTheme="minorEastAsia" w:eastAsiaTheme="minorEastAsia"/>
          <w:b/>
          <w:color w:val="auto"/>
          <w:highlight w:val="none"/>
          <w:lang w:val="zh-CN"/>
        </w:rPr>
        <w:t>最后报价一览表(单位均为人民币元)</w:t>
      </w:r>
    </w:p>
    <w:tbl>
      <w:tblPr>
        <w:tblStyle w:val="60"/>
        <w:tblW w:w="145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417"/>
        <w:gridCol w:w="1843"/>
        <w:gridCol w:w="3118"/>
        <w:gridCol w:w="993"/>
        <w:gridCol w:w="1559"/>
        <w:gridCol w:w="1984"/>
        <w:gridCol w:w="3119"/>
      </w:tblGrid>
      <w:tr w14:paraId="5AFD2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jc w:val="center"/>
        </w:trPr>
        <w:tc>
          <w:tcPr>
            <w:tcW w:w="534" w:type="dxa"/>
            <w:vAlign w:val="center"/>
          </w:tcPr>
          <w:p w14:paraId="6D65031A">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序号</w:t>
            </w:r>
          </w:p>
        </w:tc>
        <w:tc>
          <w:tcPr>
            <w:tcW w:w="1417" w:type="dxa"/>
            <w:vAlign w:val="center"/>
          </w:tcPr>
          <w:p w14:paraId="4B65C285">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名称</w:t>
            </w:r>
          </w:p>
        </w:tc>
        <w:tc>
          <w:tcPr>
            <w:tcW w:w="1843" w:type="dxa"/>
            <w:vAlign w:val="center"/>
          </w:tcPr>
          <w:p w14:paraId="0F61E364">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生产厂家、</w:t>
            </w:r>
          </w:p>
          <w:p w14:paraId="293FCBBA">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品牌（如果有）</w:t>
            </w:r>
          </w:p>
        </w:tc>
        <w:tc>
          <w:tcPr>
            <w:tcW w:w="3118" w:type="dxa"/>
            <w:vAlign w:val="center"/>
          </w:tcPr>
          <w:p w14:paraId="6C8BE9A8">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规格型号</w:t>
            </w:r>
          </w:p>
        </w:tc>
        <w:tc>
          <w:tcPr>
            <w:tcW w:w="993" w:type="dxa"/>
            <w:vAlign w:val="center"/>
          </w:tcPr>
          <w:p w14:paraId="6853CE9B">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数量</w:t>
            </w:r>
          </w:p>
        </w:tc>
        <w:tc>
          <w:tcPr>
            <w:tcW w:w="1559" w:type="dxa"/>
            <w:vAlign w:val="center"/>
          </w:tcPr>
          <w:p w14:paraId="6E28C58E">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单价</w:t>
            </w:r>
          </w:p>
        </w:tc>
        <w:tc>
          <w:tcPr>
            <w:tcW w:w="1984" w:type="dxa"/>
            <w:vAlign w:val="center"/>
          </w:tcPr>
          <w:p w14:paraId="15320A5F">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合计</w:t>
            </w:r>
          </w:p>
        </w:tc>
        <w:tc>
          <w:tcPr>
            <w:tcW w:w="3119" w:type="dxa"/>
            <w:vAlign w:val="center"/>
          </w:tcPr>
          <w:p w14:paraId="751E95A9">
            <w:pPr>
              <w:spacing w:line="360" w:lineRule="auto"/>
              <w:jc w:val="center"/>
              <w:rPr>
                <w:rFonts w:ascii="宋体" w:hAnsi="宋体" w:cs="宋体"/>
                <w:b/>
                <w:color w:val="auto"/>
                <w:sz w:val="24"/>
                <w:highlight w:val="none"/>
              </w:rPr>
            </w:pPr>
          </w:p>
          <w:p w14:paraId="26DA85E4">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备注（如果有）</w:t>
            </w:r>
          </w:p>
          <w:p w14:paraId="002431FB">
            <w:pPr>
              <w:spacing w:line="360" w:lineRule="auto"/>
              <w:jc w:val="center"/>
              <w:rPr>
                <w:rFonts w:ascii="宋体" w:hAnsi="宋体" w:cs="宋体"/>
                <w:b/>
                <w:color w:val="auto"/>
                <w:sz w:val="24"/>
                <w:highlight w:val="none"/>
              </w:rPr>
            </w:pPr>
          </w:p>
        </w:tc>
      </w:tr>
      <w:tr w14:paraId="48DAE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534" w:type="dxa"/>
            <w:vAlign w:val="center"/>
          </w:tcPr>
          <w:p w14:paraId="6F3A44EE">
            <w:pPr>
              <w:spacing w:line="360" w:lineRule="auto"/>
              <w:jc w:val="center"/>
              <w:rPr>
                <w:rFonts w:ascii="宋体" w:hAnsi="宋体" w:cs="宋体"/>
                <w:color w:val="auto"/>
                <w:sz w:val="24"/>
                <w:highlight w:val="none"/>
              </w:rPr>
            </w:pPr>
            <w:r>
              <w:rPr>
                <w:rFonts w:hint="eastAsia" w:ascii="宋体" w:hAnsi="宋体" w:cs="宋体"/>
                <w:color w:val="auto"/>
                <w:sz w:val="24"/>
                <w:highlight w:val="none"/>
              </w:rPr>
              <w:t>1</w:t>
            </w:r>
          </w:p>
        </w:tc>
        <w:tc>
          <w:tcPr>
            <w:tcW w:w="1417" w:type="dxa"/>
            <w:vAlign w:val="center"/>
          </w:tcPr>
          <w:p w14:paraId="4D783342">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X</w:t>
            </w:r>
            <w:r>
              <w:rPr>
                <w:rFonts w:ascii="宋体" w:hAnsi="宋体" w:cs="宋体"/>
                <w:color w:val="auto"/>
                <w:sz w:val="24"/>
                <w:highlight w:val="none"/>
              </w:rPr>
              <w:t>X</w:t>
            </w:r>
          </w:p>
        </w:tc>
        <w:tc>
          <w:tcPr>
            <w:tcW w:w="1843" w:type="dxa"/>
            <w:vAlign w:val="center"/>
          </w:tcPr>
          <w:p w14:paraId="3B89E942">
            <w:pPr>
              <w:snapToGrid w:val="0"/>
              <w:spacing w:line="360" w:lineRule="auto"/>
              <w:jc w:val="center"/>
              <w:rPr>
                <w:rFonts w:ascii="宋体" w:hAnsi="宋体" w:cs="宋体"/>
                <w:color w:val="auto"/>
                <w:sz w:val="24"/>
                <w:highlight w:val="none"/>
              </w:rPr>
            </w:pPr>
          </w:p>
        </w:tc>
        <w:tc>
          <w:tcPr>
            <w:tcW w:w="3118" w:type="dxa"/>
            <w:vAlign w:val="center"/>
          </w:tcPr>
          <w:p w14:paraId="494EE218">
            <w:pPr>
              <w:snapToGrid w:val="0"/>
              <w:spacing w:line="360" w:lineRule="auto"/>
              <w:jc w:val="center"/>
              <w:rPr>
                <w:rFonts w:ascii="宋体" w:hAnsi="宋体" w:cs="宋体"/>
                <w:color w:val="auto"/>
                <w:sz w:val="24"/>
                <w:highlight w:val="none"/>
              </w:rPr>
            </w:pPr>
          </w:p>
        </w:tc>
        <w:tc>
          <w:tcPr>
            <w:tcW w:w="993" w:type="dxa"/>
            <w:vAlign w:val="center"/>
          </w:tcPr>
          <w:p w14:paraId="74A9037A">
            <w:pPr>
              <w:snapToGrid w:val="0"/>
              <w:spacing w:line="360" w:lineRule="auto"/>
              <w:jc w:val="center"/>
              <w:rPr>
                <w:rFonts w:ascii="宋体" w:hAnsi="宋体" w:cs="宋体"/>
                <w:color w:val="auto"/>
                <w:sz w:val="24"/>
                <w:highlight w:val="none"/>
              </w:rPr>
            </w:pPr>
          </w:p>
        </w:tc>
        <w:tc>
          <w:tcPr>
            <w:tcW w:w="1559" w:type="dxa"/>
            <w:vAlign w:val="center"/>
          </w:tcPr>
          <w:p w14:paraId="7FAF830B">
            <w:pPr>
              <w:spacing w:line="360" w:lineRule="auto"/>
              <w:jc w:val="center"/>
              <w:rPr>
                <w:rFonts w:ascii="宋体" w:hAnsi="宋体" w:cs="宋体"/>
                <w:color w:val="auto"/>
                <w:sz w:val="24"/>
                <w:highlight w:val="none"/>
              </w:rPr>
            </w:pPr>
          </w:p>
        </w:tc>
        <w:tc>
          <w:tcPr>
            <w:tcW w:w="1984" w:type="dxa"/>
            <w:vAlign w:val="center"/>
          </w:tcPr>
          <w:p w14:paraId="5DADA444">
            <w:pPr>
              <w:spacing w:line="360" w:lineRule="auto"/>
              <w:jc w:val="center"/>
              <w:rPr>
                <w:rFonts w:ascii="宋体" w:hAnsi="宋体" w:cs="宋体"/>
                <w:color w:val="auto"/>
                <w:sz w:val="24"/>
                <w:highlight w:val="none"/>
              </w:rPr>
            </w:pPr>
          </w:p>
        </w:tc>
        <w:tc>
          <w:tcPr>
            <w:tcW w:w="3119" w:type="dxa"/>
            <w:vAlign w:val="center"/>
          </w:tcPr>
          <w:p w14:paraId="5331C878">
            <w:pPr>
              <w:spacing w:line="360" w:lineRule="auto"/>
              <w:jc w:val="center"/>
              <w:rPr>
                <w:rFonts w:ascii="宋体" w:hAnsi="宋体" w:cs="宋体"/>
                <w:color w:val="auto"/>
                <w:sz w:val="24"/>
                <w:highlight w:val="none"/>
              </w:rPr>
            </w:pPr>
          </w:p>
        </w:tc>
      </w:tr>
      <w:tr w14:paraId="19A47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534" w:type="dxa"/>
            <w:vAlign w:val="center"/>
          </w:tcPr>
          <w:p w14:paraId="4F23E572">
            <w:pPr>
              <w:spacing w:line="360" w:lineRule="auto"/>
              <w:jc w:val="center"/>
              <w:rPr>
                <w:rFonts w:ascii="宋体" w:hAnsi="宋体" w:cs="宋体"/>
                <w:color w:val="auto"/>
                <w:sz w:val="24"/>
                <w:highlight w:val="none"/>
              </w:rPr>
            </w:pPr>
            <w:r>
              <w:rPr>
                <w:rFonts w:hint="eastAsia" w:ascii="宋体" w:hAnsi="宋体" w:cs="宋体"/>
                <w:color w:val="auto"/>
                <w:sz w:val="24"/>
                <w:highlight w:val="none"/>
              </w:rPr>
              <w:t>2</w:t>
            </w:r>
          </w:p>
        </w:tc>
        <w:tc>
          <w:tcPr>
            <w:tcW w:w="1417" w:type="dxa"/>
            <w:vAlign w:val="center"/>
          </w:tcPr>
          <w:p w14:paraId="5AB32279">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X</w:t>
            </w:r>
            <w:r>
              <w:rPr>
                <w:rFonts w:ascii="宋体" w:hAnsi="宋体" w:cs="宋体"/>
                <w:color w:val="auto"/>
                <w:sz w:val="24"/>
                <w:highlight w:val="none"/>
              </w:rPr>
              <w:t>X</w:t>
            </w:r>
          </w:p>
        </w:tc>
        <w:tc>
          <w:tcPr>
            <w:tcW w:w="1843" w:type="dxa"/>
            <w:vAlign w:val="center"/>
          </w:tcPr>
          <w:p w14:paraId="07D2BC86">
            <w:pPr>
              <w:snapToGrid w:val="0"/>
              <w:spacing w:line="360" w:lineRule="auto"/>
              <w:jc w:val="center"/>
              <w:rPr>
                <w:rFonts w:ascii="宋体" w:hAnsi="宋体" w:cs="宋体"/>
                <w:color w:val="auto"/>
                <w:sz w:val="24"/>
                <w:highlight w:val="none"/>
              </w:rPr>
            </w:pPr>
          </w:p>
        </w:tc>
        <w:tc>
          <w:tcPr>
            <w:tcW w:w="3118" w:type="dxa"/>
            <w:vAlign w:val="center"/>
          </w:tcPr>
          <w:p w14:paraId="158FE099">
            <w:pPr>
              <w:snapToGrid w:val="0"/>
              <w:spacing w:line="360" w:lineRule="auto"/>
              <w:jc w:val="center"/>
              <w:rPr>
                <w:rFonts w:ascii="宋体" w:hAnsi="宋体" w:cs="宋体"/>
                <w:color w:val="auto"/>
                <w:sz w:val="24"/>
                <w:highlight w:val="none"/>
              </w:rPr>
            </w:pPr>
          </w:p>
        </w:tc>
        <w:tc>
          <w:tcPr>
            <w:tcW w:w="993" w:type="dxa"/>
            <w:vAlign w:val="center"/>
          </w:tcPr>
          <w:p w14:paraId="6EC2A734">
            <w:pPr>
              <w:snapToGrid w:val="0"/>
              <w:spacing w:line="360" w:lineRule="auto"/>
              <w:jc w:val="center"/>
              <w:rPr>
                <w:rFonts w:ascii="宋体" w:hAnsi="宋体" w:cs="宋体"/>
                <w:color w:val="auto"/>
                <w:sz w:val="24"/>
                <w:highlight w:val="none"/>
              </w:rPr>
            </w:pPr>
          </w:p>
        </w:tc>
        <w:tc>
          <w:tcPr>
            <w:tcW w:w="1559" w:type="dxa"/>
            <w:vAlign w:val="center"/>
          </w:tcPr>
          <w:p w14:paraId="7203F23F">
            <w:pPr>
              <w:spacing w:line="360" w:lineRule="auto"/>
              <w:jc w:val="center"/>
              <w:rPr>
                <w:rFonts w:ascii="宋体" w:hAnsi="宋体" w:cs="宋体"/>
                <w:color w:val="auto"/>
                <w:sz w:val="24"/>
                <w:highlight w:val="none"/>
              </w:rPr>
            </w:pPr>
          </w:p>
        </w:tc>
        <w:tc>
          <w:tcPr>
            <w:tcW w:w="1984" w:type="dxa"/>
            <w:vAlign w:val="center"/>
          </w:tcPr>
          <w:p w14:paraId="379924F7">
            <w:pPr>
              <w:spacing w:line="360" w:lineRule="auto"/>
              <w:jc w:val="center"/>
              <w:rPr>
                <w:rFonts w:ascii="宋体" w:hAnsi="宋体" w:cs="宋体"/>
                <w:color w:val="auto"/>
                <w:sz w:val="24"/>
                <w:highlight w:val="none"/>
              </w:rPr>
            </w:pPr>
          </w:p>
        </w:tc>
        <w:tc>
          <w:tcPr>
            <w:tcW w:w="3119" w:type="dxa"/>
            <w:vAlign w:val="center"/>
          </w:tcPr>
          <w:p w14:paraId="41DB268A">
            <w:pPr>
              <w:spacing w:line="360" w:lineRule="auto"/>
              <w:jc w:val="center"/>
              <w:rPr>
                <w:rFonts w:ascii="宋体" w:hAnsi="宋体" w:cs="宋体"/>
                <w:color w:val="auto"/>
                <w:sz w:val="24"/>
                <w:highlight w:val="none"/>
              </w:rPr>
            </w:pPr>
          </w:p>
        </w:tc>
      </w:tr>
      <w:tr w14:paraId="43F04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534" w:type="dxa"/>
            <w:vAlign w:val="center"/>
          </w:tcPr>
          <w:p w14:paraId="3926A396">
            <w:pPr>
              <w:spacing w:line="360" w:lineRule="auto"/>
              <w:jc w:val="center"/>
              <w:rPr>
                <w:rFonts w:ascii="宋体" w:hAnsi="宋体" w:cs="宋体"/>
                <w:color w:val="auto"/>
                <w:sz w:val="24"/>
                <w:highlight w:val="none"/>
              </w:rPr>
            </w:pPr>
            <w:r>
              <w:rPr>
                <w:rFonts w:hint="eastAsia" w:ascii="宋体" w:hAnsi="宋体" w:cs="宋体"/>
                <w:color w:val="auto"/>
                <w:sz w:val="24"/>
                <w:highlight w:val="none"/>
              </w:rPr>
              <w:t>…</w:t>
            </w:r>
          </w:p>
        </w:tc>
        <w:tc>
          <w:tcPr>
            <w:tcW w:w="1417" w:type="dxa"/>
            <w:vAlign w:val="center"/>
          </w:tcPr>
          <w:p w14:paraId="0EF8553F">
            <w:pPr>
              <w:snapToGrid w:val="0"/>
              <w:spacing w:line="360" w:lineRule="auto"/>
              <w:jc w:val="center"/>
              <w:rPr>
                <w:rFonts w:ascii="宋体" w:hAnsi="宋体" w:cs="宋体"/>
                <w:color w:val="auto"/>
                <w:sz w:val="24"/>
                <w:highlight w:val="none"/>
              </w:rPr>
            </w:pPr>
          </w:p>
        </w:tc>
        <w:tc>
          <w:tcPr>
            <w:tcW w:w="1843" w:type="dxa"/>
            <w:vAlign w:val="center"/>
          </w:tcPr>
          <w:p w14:paraId="7B4059CB">
            <w:pPr>
              <w:snapToGrid w:val="0"/>
              <w:spacing w:line="360" w:lineRule="auto"/>
              <w:jc w:val="center"/>
              <w:rPr>
                <w:rFonts w:ascii="宋体" w:hAnsi="宋体" w:cs="宋体"/>
                <w:color w:val="auto"/>
                <w:sz w:val="24"/>
                <w:highlight w:val="none"/>
              </w:rPr>
            </w:pPr>
          </w:p>
        </w:tc>
        <w:tc>
          <w:tcPr>
            <w:tcW w:w="3118" w:type="dxa"/>
            <w:vAlign w:val="center"/>
          </w:tcPr>
          <w:p w14:paraId="180899B0">
            <w:pPr>
              <w:snapToGrid w:val="0"/>
              <w:spacing w:line="360" w:lineRule="auto"/>
              <w:jc w:val="center"/>
              <w:rPr>
                <w:rFonts w:ascii="宋体" w:hAnsi="宋体" w:cs="宋体"/>
                <w:color w:val="auto"/>
                <w:sz w:val="24"/>
                <w:highlight w:val="none"/>
              </w:rPr>
            </w:pPr>
          </w:p>
        </w:tc>
        <w:tc>
          <w:tcPr>
            <w:tcW w:w="993" w:type="dxa"/>
            <w:vAlign w:val="center"/>
          </w:tcPr>
          <w:p w14:paraId="56AEA081">
            <w:pPr>
              <w:snapToGrid w:val="0"/>
              <w:spacing w:line="360" w:lineRule="auto"/>
              <w:jc w:val="center"/>
              <w:rPr>
                <w:rFonts w:ascii="宋体" w:hAnsi="宋体" w:cs="宋体"/>
                <w:color w:val="auto"/>
                <w:sz w:val="24"/>
                <w:highlight w:val="none"/>
              </w:rPr>
            </w:pPr>
          </w:p>
        </w:tc>
        <w:tc>
          <w:tcPr>
            <w:tcW w:w="1559" w:type="dxa"/>
            <w:vAlign w:val="center"/>
          </w:tcPr>
          <w:p w14:paraId="3AB4E294">
            <w:pPr>
              <w:spacing w:line="360" w:lineRule="auto"/>
              <w:jc w:val="center"/>
              <w:rPr>
                <w:rFonts w:ascii="宋体" w:hAnsi="宋体" w:cs="宋体"/>
                <w:color w:val="auto"/>
                <w:sz w:val="24"/>
                <w:highlight w:val="none"/>
              </w:rPr>
            </w:pPr>
          </w:p>
        </w:tc>
        <w:tc>
          <w:tcPr>
            <w:tcW w:w="1984" w:type="dxa"/>
            <w:vAlign w:val="center"/>
          </w:tcPr>
          <w:p w14:paraId="4719FFE7">
            <w:pPr>
              <w:spacing w:line="360" w:lineRule="auto"/>
              <w:jc w:val="center"/>
              <w:rPr>
                <w:rFonts w:ascii="宋体" w:hAnsi="宋体" w:cs="宋体"/>
                <w:color w:val="auto"/>
                <w:sz w:val="24"/>
                <w:highlight w:val="none"/>
              </w:rPr>
            </w:pPr>
          </w:p>
        </w:tc>
        <w:tc>
          <w:tcPr>
            <w:tcW w:w="3119" w:type="dxa"/>
            <w:vAlign w:val="center"/>
          </w:tcPr>
          <w:p w14:paraId="12DEFDBB">
            <w:pPr>
              <w:spacing w:line="360" w:lineRule="auto"/>
              <w:jc w:val="center"/>
              <w:rPr>
                <w:rFonts w:ascii="宋体" w:hAnsi="宋体" w:cs="宋体"/>
                <w:color w:val="auto"/>
                <w:sz w:val="24"/>
                <w:highlight w:val="none"/>
              </w:rPr>
            </w:pPr>
          </w:p>
        </w:tc>
      </w:tr>
      <w:tr w14:paraId="61DDB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534" w:type="dxa"/>
            <w:vAlign w:val="center"/>
          </w:tcPr>
          <w:p w14:paraId="25DFCD55">
            <w:pPr>
              <w:spacing w:line="360" w:lineRule="auto"/>
              <w:jc w:val="center"/>
              <w:rPr>
                <w:rFonts w:ascii="宋体" w:hAnsi="宋体" w:cs="宋体"/>
                <w:color w:val="auto"/>
                <w:sz w:val="24"/>
                <w:highlight w:val="none"/>
              </w:rPr>
            </w:pPr>
          </w:p>
        </w:tc>
        <w:tc>
          <w:tcPr>
            <w:tcW w:w="1417" w:type="dxa"/>
            <w:vAlign w:val="center"/>
          </w:tcPr>
          <w:p w14:paraId="4283B8F4">
            <w:pPr>
              <w:snapToGrid w:val="0"/>
              <w:spacing w:line="360" w:lineRule="auto"/>
              <w:jc w:val="center"/>
              <w:rPr>
                <w:rFonts w:ascii="宋体" w:hAnsi="宋体" w:cs="宋体"/>
                <w:color w:val="auto"/>
                <w:sz w:val="24"/>
                <w:highlight w:val="none"/>
              </w:rPr>
            </w:pPr>
          </w:p>
        </w:tc>
        <w:tc>
          <w:tcPr>
            <w:tcW w:w="1843" w:type="dxa"/>
            <w:vAlign w:val="center"/>
          </w:tcPr>
          <w:p w14:paraId="2DFA9D0A">
            <w:pPr>
              <w:snapToGrid w:val="0"/>
              <w:spacing w:line="360" w:lineRule="auto"/>
              <w:jc w:val="center"/>
              <w:rPr>
                <w:rFonts w:ascii="宋体" w:hAnsi="宋体" w:cs="宋体"/>
                <w:color w:val="auto"/>
                <w:sz w:val="24"/>
                <w:highlight w:val="none"/>
              </w:rPr>
            </w:pPr>
          </w:p>
        </w:tc>
        <w:tc>
          <w:tcPr>
            <w:tcW w:w="3118" w:type="dxa"/>
            <w:vAlign w:val="center"/>
          </w:tcPr>
          <w:p w14:paraId="27DF0510">
            <w:pPr>
              <w:snapToGrid w:val="0"/>
              <w:spacing w:line="360" w:lineRule="auto"/>
              <w:jc w:val="center"/>
              <w:rPr>
                <w:rFonts w:ascii="宋体" w:hAnsi="宋体" w:cs="宋体"/>
                <w:color w:val="auto"/>
                <w:sz w:val="24"/>
                <w:highlight w:val="none"/>
              </w:rPr>
            </w:pPr>
          </w:p>
        </w:tc>
        <w:tc>
          <w:tcPr>
            <w:tcW w:w="993" w:type="dxa"/>
            <w:vAlign w:val="center"/>
          </w:tcPr>
          <w:p w14:paraId="054EEC02">
            <w:pPr>
              <w:snapToGrid w:val="0"/>
              <w:spacing w:line="360" w:lineRule="auto"/>
              <w:jc w:val="center"/>
              <w:rPr>
                <w:rFonts w:ascii="宋体" w:hAnsi="宋体" w:cs="宋体"/>
                <w:color w:val="auto"/>
                <w:sz w:val="24"/>
                <w:highlight w:val="none"/>
              </w:rPr>
            </w:pPr>
          </w:p>
        </w:tc>
        <w:tc>
          <w:tcPr>
            <w:tcW w:w="1559" w:type="dxa"/>
            <w:vAlign w:val="center"/>
          </w:tcPr>
          <w:p w14:paraId="36BED91A">
            <w:pPr>
              <w:spacing w:line="360" w:lineRule="auto"/>
              <w:jc w:val="center"/>
              <w:rPr>
                <w:rFonts w:ascii="宋体" w:hAnsi="宋体" w:cs="宋体"/>
                <w:color w:val="auto"/>
                <w:sz w:val="24"/>
                <w:highlight w:val="none"/>
              </w:rPr>
            </w:pPr>
          </w:p>
        </w:tc>
        <w:tc>
          <w:tcPr>
            <w:tcW w:w="1984" w:type="dxa"/>
            <w:vAlign w:val="center"/>
          </w:tcPr>
          <w:p w14:paraId="55794431">
            <w:pPr>
              <w:spacing w:line="360" w:lineRule="auto"/>
              <w:jc w:val="center"/>
              <w:rPr>
                <w:rFonts w:ascii="宋体" w:hAnsi="宋体" w:cs="宋体"/>
                <w:color w:val="auto"/>
                <w:sz w:val="24"/>
                <w:highlight w:val="none"/>
              </w:rPr>
            </w:pPr>
          </w:p>
        </w:tc>
        <w:tc>
          <w:tcPr>
            <w:tcW w:w="3119" w:type="dxa"/>
            <w:vAlign w:val="center"/>
          </w:tcPr>
          <w:p w14:paraId="7B8D1919">
            <w:pPr>
              <w:spacing w:line="360" w:lineRule="auto"/>
              <w:jc w:val="center"/>
              <w:rPr>
                <w:rFonts w:ascii="宋体" w:hAnsi="宋体" w:cs="宋体"/>
                <w:color w:val="auto"/>
                <w:sz w:val="24"/>
                <w:highlight w:val="none"/>
              </w:rPr>
            </w:pPr>
          </w:p>
        </w:tc>
      </w:tr>
      <w:tr w14:paraId="23D4B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534" w:type="dxa"/>
            <w:vAlign w:val="center"/>
          </w:tcPr>
          <w:p w14:paraId="0CC253F9">
            <w:pPr>
              <w:spacing w:line="360" w:lineRule="auto"/>
              <w:jc w:val="center"/>
              <w:rPr>
                <w:rFonts w:ascii="宋体" w:hAnsi="宋体" w:cs="宋体"/>
                <w:color w:val="auto"/>
                <w:sz w:val="24"/>
                <w:highlight w:val="none"/>
              </w:rPr>
            </w:pPr>
          </w:p>
        </w:tc>
        <w:tc>
          <w:tcPr>
            <w:tcW w:w="1417" w:type="dxa"/>
            <w:vAlign w:val="center"/>
          </w:tcPr>
          <w:p w14:paraId="1160EE96">
            <w:pPr>
              <w:snapToGrid w:val="0"/>
              <w:spacing w:line="360" w:lineRule="auto"/>
              <w:jc w:val="center"/>
              <w:rPr>
                <w:rFonts w:ascii="宋体" w:hAnsi="宋体" w:cs="宋体"/>
                <w:color w:val="auto"/>
                <w:sz w:val="24"/>
                <w:highlight w:val="none"/>
              </w:rPr>
            </w:pPr>
          </w:p>
        </w:tc>
        <w:tc>
          <w:tcPr>
            <w:tcW w:w="1843" w:type="dxa"/>
            <w:vAlign w:val="center"/>
          </w:tcPr>
          <w:p w14:paraId="433C6A51">
            <w:pPr>
              <w:snapToGrid w:val="0"/>
              <w:spacing w:line="360" w:lineRule="auto"/>
              <w:jc w:val="center"/>
              <w:rPr>
                <w:rFonts w:ascii="宋体" w:hAnsi="宋体" w:cs="宋体"/>
                <w:color w:val="auto"/>
                <w:sz w:val="24"/>
                <w:highlight w:val="none"/>
              </w:rPr>
            </w:pPr>
          </w:p>
        </w:tc>
        <w:tc>
          <w:tcPr>
            <w:tcW w:w="3118" w:type="dxa"/>
            <w:vAlign w:val="center"/>
          </w:tcPr>
          <w:p w14:paraId="1B756CCD">
            <w:pPr>
              <w:snapToGrid w:val="0"/>
              <w:spacing w:line="360" w:lineRule="auto"/>
              <w:jc w:val="center"/>
              <w:rPr>
                <w:rFonts w:ascii="宋体" w:hAnsi="宋体" w:cs="宋体"/>
                <w:color w:val="auto"/>
                <w:sz w:val="24"/>
                <w:highlight w:val="none"/>
              </w:rPr>
            </w:pPr>
          </w:p>
        </w:tc>
        <w:tc>
          <w:tcPr>
            <w:tcW w:w="993" w:type="dxa"/>
            <w:vAlign w:val="center"/>
          </w:tcPr>
          <w:p w14:paraId="59BE2F59">
            <w:pPr>
              <w:snapToGrid w:val="0"/>
              <w:spacing w:line="360" w:lineRule="auto"/>
              <w:jc w:val="center"/>
              <w:rPr>
                <w:rFonts w:ascii="宋体" w:hAnsi="宋体" w:cs="宋体"/>
                <w:color w:val="auto"/>
                <w:sz w:val="24"/>
                <w:highlight w:val="none"/>
              </w:rPr>
            </w:pPr>
          </w:p>
        </w:tc>
        <w:tc>
          <w:tcPr>
            <w:tcW w:w="1559" w:type="dxa"/>
            <w:vAlign w:val="center"/>
          </w:tcPr>
          <w:p w14:paraId="4B97E883">
            <w:pPr>
              <w:spacing w:line="360" w:lineRule="auto"/>
              <w:jc w:val="center"/>
              <w:rPr>
                <w:rFonts w:ascii="宋体" w:hAnsi="宋体" w:cs="宋体"/>
                <w:color w:val="auto"/>
                <w:sz w:val="24"/>
                <w:highlight w:val="none"/>
              </w:rPr>
            </w:pPr>
          </w:p>
        </w:tc>
        <w:tc>
          <w:tcPr>
            <w:tcW w:w="1984" w:type="dxa"/>
            <w:vAlign w:val="center"/>
          </w:tcPr>
          <w:p w14:paraId="10C2A021">
            <w:pPr>
              <w:spacing w:line="360" w:lineRule="auto"/>
              <w:jc w:val="center"/>
              <w:rPr>
                <w:rFonts w:ascii="宋体" w:hAnsi="宋体" w:cs="宋体"/>
                <w:color w:val="auto"/>
                <w:sz w:val="24"/>
                <w:highlight w:val="none"/>
              </w:rPr>
            </w:pPr>
          </w:p>
        </w:tc>
        <w:tc>
          <w:tcPr>
            <w:tcW w:w="3119" w:type="dxa"/>
            <w:vAlign w:val="center"/>
          </w:tcPr>
          <w:p w14:paraId="49A9A8C8">
            <w:pPr>
              <w:spacing w:line="360" w:lineRule="auto"/>
              <w:jc w:val="center"/>
              <w:rPr>
                <w:rFonts w:ascii="宋体" w:hAnsi="宋体" w:cs="宋体"/>
                <w:color w:val="auto"/>
                <w:sz w:val="24"/>
                <w:highlight w:val="none"/>
              </w:rPr>
            </w:pPr>
          </w:p>
        </w:tc>
      </w:tr>
      <w:tr w14:paraId="143C5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6912" w:type="dxa"/>
            <w:gridSpan w:val="4"/>
            <w:vAlign w:val="center"/>
          </w:tcPr>
          <w:p w14:paraId="3115435C">
            <w:pPr>
              <w:spacing w:line="360" w:lineRule="auto"/>
              <w:jc w:val="center"/>
              <w:rPr>
                <w:rFonts w:ascii="宋体" w:hAnsi="宋体" w:cs="宋体"/>
                <w:b/>
                <w:color w:val="auto"/>
                <w:sz w:val="24"/>
                <w:highlight w:val="none"/>
              </w:rPr>
            </w:pPr>
            <w:r>
              <w:rPr>
                <w:rFonts w:hint="eastAsia" w:ascii="宋体" w:hAnsi="宋体" w:cs="宋体"/>
                <w:b/>
                <w:color w:val="auto"/>
                <w:sz w:val="24"/>
                <w:highlight w:val="none"/>
                <w:lang w:val="en-US" w:eastAsia="zh-CN"/>
              </w:rPr>
              <w:t>谈判</w:t>
            </w:r>
            <w:r>
              <w:rPr>
                <w:rFonts w:hint="eastAsia" w:ascii="宋体" w:hAnsi="宋体" w:cs="宋体"/>
                <w:b/>
                <w:color w:val="auto"/>
                <w:sz w:val="24"/>
                <w:highlight w:val="none"/>
              </w:rPr>
              <w:t>报价（小写）</w:t>
            </w:r>
          </w:p>
        </w:tc>
        <w:tc>
          <w:tcPr>
            <w:tcW w:w="7655" w:type="dxa"/>
            <w:gridSpan w:val="4"/>
            <w:vAlign w:val="center"/>
          </w:tcPr>
          <w:p w14:paraId="1D264284">
            <w:pPr>
              <w:spacing w:line="360" w:lineRule="auto"/>
              <w:jc w:val="center"/>
              <w:rPr>
                <w:rFonts w:ascii="宋体" w:hAnsi="宋体" w:cs="宋体"/>
                <w:color w:val="auto"/>
                <w:sz w:val="24"/>
                <w:highlight w:val="none"/>
              </w:rPr>
            </w:pPr>
          </w:p>
        </w:tc>
      </w:tr>
      <w:tr w14:paraId="2F982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6912" w:type="dxa"/>
            <w:gridSpan w:val="4"/>
            <w:vAlign w:val="center"/>
          </w:tcPr>
          <w:p w14:paraId="1700AE43">
            <w:pPr>
              <w:spacing w:line="360" w:lineRule="auto"/>
              <w:jc w:val="center"/>
              <w:rPr>
                <w:rFonts w:ascii="宋体" w:hAnsi="宋体" w:cs="宋体"/>
                <w:b/>
                <w:color w:val="auto"/>
                <w:sz w:val="24"/>
                <w:highlight w:val="none"/>
              </w:rPr>
            </w:pPr>
            <w:r>
              <w:rPr>
                <w:rFonts w:hint="eastAsia" w:ascii="宋体" w:hAnsi="宋体" w:cs="宋体"/>
                <w:b/>
                <w:color w:val="auto"/>
                <w:sz w:val="24"/>
                <w:highlight w:val="none"/>
                <w:lang w:val="en-US" w:eastAsia="zh-CN"/>
              </w:rPr>
              <w:t>谈判</w:t>
            </w:r>
            <w:r>
              <w:rPr>
                <w:rFonts w:hint="eastAsia" w:ascii="宋体" w:hAnsi="宋体" w:cs="宋体"/>
                <w:b/>
                <w:color w:val="auto"/>
                <w:sz w:val="24"/>
                <w:highlight w:val="none"/>
              </w:rPr>
              <w:t>报价（大写）</w:t>
            </w:r>
          </w:p>
        </w:tc>
        <w:tc>
          <w:tcPr>
            <w:tcW w:w="7655" w:type="dxa"/>
            <w:gridSpan w:val="4"/>
            <w:vAlign w:val="center"/>
          </w:tcPr>
          <w:p w14:paraId="0F734BA1">
            <w:pPr>
              <w:spacing w:line="360" w:lineRule="auto"/>
              <w:jc w:val="center"/>
              <w:rPr>
                <w:rFonts w:ascii="宋体" w:hAnsi="宋体" w:cs="宋体"/>
                <w:color w:val="auto"/>
                <w:sz w:val="24"/>
                <w:highlight w:val="none"/>
              </w:rPr>
            </w:pPr>
          </w:p>
        </w:tc>
      </w:tr>
    </w:tbl>
    <w:p w14:paraId="0F6DE5F2">
      <w:pPr>
        <w:snapToGrid w:val="0"/>
        <w:spacing w:line="360" w:lineRule="auto"/>
        <w:ind w:left="480"/>
        <w:rPr>
          <w:rFonts w:ascii="宋体" w:hAnsi="宋体" w:cs="宋体"/>
          <w:b/>
          <w:color w:val="auto"/>
          <w:kern w:val="0"/>
          <w:sz w:val="24"/>
          <w:highlight w:val="none"/>
          <w:lang w:val="zh-CN"/>
        </w:rPr>
      </w:pPr>
      <w:r>
        <w:rPr>
          <w:rFonts w:hint="eastAsia" w:ascii="宋体" w:hAnsi="宋体" w:cs="宋体"/>
          <w:b/>
          <w:color w:val="auto"/>
          <w:kern w:val="0"/>
          <w:sz w:val="24"/>
          <w:highlight w:val="none"/>
          <w:lang w:val="zh-CN"/>
        </w:rPr>
        <w:t>注：</w:t>
      </w:r>
    </w:p>
    <w:p w14:paraId="6A13EB34">
      <w:pPr>
        <w:spacing w:line="360" w:lineRule="auto"/>
        <w:ind w:left="-2" w:leftChars="-1" w:firstLine="480" w:firstLineChars="2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1、</w:t>
      </w:r>
      <w:r>
        <w:rPr>
          <w:rFonts w:hint="eastAsia" w:cs="宋体" w:asciiTheme="minorEastAsia" w:hAnsiTheme="minorEastAsia" w:eastAsiaTheme="minorEastAsia"/>
          <w:color w:val="auto"/>
          <w:kern w:val="0"/>
          <w:sz w:val="24"/>
          <w:highlight w:val="none"/>
          <w:lang w:val="zh-CN"/>
        </w:rPr>
        <w:t>供应商</w:t>
      </w:r>
      <w:r>
        <w:rPr>
          <w:rFonts w:hint="eastAsia" w:ascii="宋体" w:hAnsi="宋体" w:cs="宋体"/>
          <w:color w:val="auto"/>
          <w:kern w:val="0"/>
          <w:sz w:val="24"/>
          <w:highlight w:val="none"/>
          <w:lang w:val="zh-CN"/>
        </w:rPr>
        <w:t>需按本表格式填写</w:t>
      </w:r>
      <w:r>
        <w:rPr>
          <w:rFonts w:hint="eastAsia" w:ascii="宋体" w:hAnsi="宋体" w:cs="宋体"/>
          <w:b/>
          <w:color w:val="auto"/>
          <w:kern w:val="0"/>
          <w:sz w:val="24"/>
          <w:highlight w:val="none"/>
          <w:lang w:val="zh-CN"/>
        </w:rPr>
        <w:t>，</w:t>
      </w:r>
      <w:r>
        <w:rPr>
          <w:rFonts w:hint="eastAsia" w:ascii="宋体" w:hAnsi="宋体" w:cs="宋体"/>
          <w:b/>
          <w:color w:val="auto"/>
          <w:kern w:val="0"/>
          <w:sz w:val="24"/>
          <w:highlight w:val="none"/>
        </w:rPr>
        <w:t>否则视为</w:t>
      </w:r>
      <w:r>
        <w:rPr>
          <w:rFonts w:hint="eastAsia" w:ascii="宋体" w:hAnsi="宋体" w:cs="宋体"/>
          <w:b/>
          <w:color w:val="auto"/>
          <w:sz w:val="24"/>
          <w:highlight w:val="none"/>
        </w:rPr>
        <w:t>响应文件含有采购人不能接受的附加条件，</w:t>
      </w:r>
      <w:r>
        <w:rPr>
          <w:rFonts w:hint="eastAsia" w:ascii="宋体" w:hAnsi="宋体" w:cs="宋体"/>
          <w:b/>
          <w:color w:val="auto"/>
          <w:sz w:val="24"/>
          <w:highlight w:val="none"/>
          <w:lang w:val="en-US" w:eastAsia="zh-CN"/>
        </w:rPr>
        <w:t>报价</w:t>
      </w:r>
      <w:r>
        <w:rPr>
          <w:rFonts w:hint="eastAsia" w:ascii="宋体" w:hAnsi="宋体" w:cs="宋体"/>
          <w:b/>
          <w:color w:val="auto"/>
          <w:sz w:val="24"/>
          <w:highlight w:val="none"/>
        </w:rPr>
        <w:t>无效</w:t>
      </w:r>
      <w:r>
        <w:rPr>
          <w:rFonts w:hint="eastAsia" w:ascii="宋体" w:hAnsi="宋体" w:cs="宋体"/>
          <w:color w:val="auto"/>
          <w:kern w:val="0"/>
          <w:sz w:val="24"/>
          <w:highlight w:val="none"/>
          <w:lang w:val="zh-CN"/>
        </w:rPr>
        <w:t>。</w:t>
      </w:r>
    </w:p>
    <w:p w14:paraId="3F2EE51E">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lang w:val="zh-CN"/>
        </w:rPr>
        <w:t>2、有关本项目实施所涉及的一切费用均计入报价。</w:t>
      </w:r>
      <w:r>
        <w:rPr>
          <w:rFonts w:hint="eastAsia" w:ascii="宋体" w:hAnsi="宋体" w:cs="宋体"/>
          <w:b/>
          <w:color w:val="auto"/>
          <w:kern w:val="0"/>
          <w:sz w:val="24"/>
          <w:highlight w:val="none"/>
          <w:lang w:val="zh-CN"/>
        </w:rPr>
        <w:t>采购人将以合同形式有偿取得货物或服务，不接受供应商给予的赠品、回扣或者与采购无关的其他商品、服务</w:t>
      </w:r>
      <w:r>
        <w:rPr>
          <w:rFonts w:hint="eastAsia" w:ascii="宋体" w:hAnsi="宋体" w:cs="宋体"/>
          <w:color w:val="auto"/>
          <w:kern w:val="0"/>
          <w:sz w:val="24"/>
          <w:highlight w:val="none"/>
          <w:lang w:val="zh-CN"/>
        </w:rPr>
        <w:t>，</w:t>
      </w:r>
      <w:r>
        <w:rPr>
          <w:rFonts w:hint="eastAsia" w:ascii="宋体" w:hAnsi="宋体" w:cs="宋体"/>
          <w:b/>
          <w:color w:val="auto"/>
          <w:kern w:val="0"/>
          <w:sz w:val="24"/>
          <w:highlight w:val="none"/>
          <w:lang w:val="zh-CN"/>
        </w:rPr>
        <w:t>不得出现“0元”“免费赠送”等形式的无偿报价，</w:t>
      </w:r>
      <w:r>
        <w:rPr>
          <w:rFonts w:hint="eastAsia" w:ascii="宋体" w:hAnsi="宋体" w:cs="宋体"/>
          <w:b/>
          <w:color w:val="auto"/>
          <w:kern w:val="0"/>
          <w:sz w:val="24"/>
          <w:highlight w:val="none"/>
        </w:rPr>
        <w:t>否则视为</w:t>
      </w:r>
      <w:r>
        <w:rPr>
          <w:rFonts w:hint="eastAsia" w:ascii="宋体" w:hAnsi="宋体" w:cs="宋体"/>
          <w:b/>
          <w:color w:val="auto"/>
          <w:sz w:val="24"/>
          <w:highlight w:val="none"/>
        </w:rPr>
        <w:t>响应文件含有采购人不能接受的附加条件，响应无效</w:t>
      </w:r>
      <w:r>
        <w:rPr>
          <w:rFonts w:hint="eastAsia" w:ascii="宋体" w:hAnsi="宋体" w:cs="宋体"/>
          <w:b/>
          <w:color w:val="auto"/>
          <w:kern w:val="0"/>
          <w:sz w:val="24"/>
          <w:highlight w:val="none"/>
          <w:lang w:val="zh-CN"/>
        </w:rPr>
        <w:t>；采购内容未包含在《</w:t>
      </w:r>
      <w:r>
        <w:rPr>
          <w:rFonts w:hint="eastAsia" w:cs="宋体" w:asciiTheme="minorEastAsia" w:hAnsiTheme="minorEastAsia" w:eastAsiaTheme="minorEastAsia"/>
          <w:b/>
          <w:color w:val="auto"/>
          <w:kern w:val="0"/>
          <w:sz w:val="24"/>
          <w:highlight w:val="none"/>
          <w:lang w:val="zh-CN"/>
        </w:rPr>
        <w:t>最后报价一览表</w:t>
      </w:r>
      <w:r>
        <w:rPr>
          <w:rFonts w:hint="eastAsia" w:ascii="宋体" w:hAnsi="宋体" w:cs="宋体"/>
          <w:b/>
          <w:color w:val="auto"/>
          <w:kern w:val="0"/>
          <w:sz w:val="24"/>
          <w:highlight w:val="none"/>
          <w:lang w:val="zh-CN"/>
        </w:rPr>
        <w:t>》名称栏中，</w:t>
      </w:r>
      <w:r>
        <w:rPr>
          <w:rFonts w:hint="eastAsia" w:cs="宋体" w:asciiTheme="minorEastAsia" w:hAnsiTheme="minorEastAsia" w:eastAsiaTheme="minorEastAsia"/>
          <w:b/>
          <w:color w:val="auto"/>
          <w:kern w:val="0"/>
          <w:sz w:val="24"/>
          <w:highlight w:val="none"/>
          <w:lang w:val="zh-CN"/>
        </w:rPr>
        <w:t>供应商</w:t>
      </w:r>
      <w:r>
        <w:rPr>
          <w:rFonts w:hint="eastAsia" w:ascii="宋体" w:hAnsi="宋体" w:cs="宋体"/>
          <w:b/>
          <w:color w:val="auto"/>
          <w:kern w:val="0"/>
          <w:sz w:val="24"/>
          <w:highlight w:val="none"/>
          <w:lang w:val="zh-CN"/>
        </w:rPr>
        <w:t>不能作出合理解释的，</w:t>
      </w:r>
      <w:r>
        <w:rPr>
          <w:rFonts w:hint="eastAsia" w:ascii="宋体" w:hAnsi="宋体" w:cs="宋体"/>
          <w:b/>
          <w:color w:val="auto"/>
          <w:kern w:val="0"/>
          <w:sz w:val="24"/>
          <w:highlight w:val="none"/>
        </w:rPr>
        <w:t>视为</w:t>
      </w:r>
      <w:r>
        <w:rPr>
          <w:rFonts w:hint="eastAsia" w:ascii="宋体" w:hAnsi="宋体" w:cs="宋体"/>
          <w:b/>
          <w:color w:val="auto"/>
          <w:sz w:val="24"/>
          <w:highlight w:val="none"/>
        </w:rPr>
        <w:t>响应文件含有采购人不能接受的附加条件的，响应无效。</w:t>
      </w:r>
    </w:p>
    <w:p w14:paraId="3C43F88A">
      <w:pPr>
        <w:snapToGrid w:val="0"/>
        <w:spacing w:line="360" w:lineRule="auto"/>
        <w:ind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3、特别提示：采购代理机构将对项目名称和项目编号，成交供应商名称、地址和中标金额，主要中标标的名称、品牌（如果有）、规格型号、数量、单价等予以公示。</w:t>
      </w:r>
    </w:p>
    <w:p w14:paraId="29CFC619">
      <w:pPr>
        <w:snapToGrid w:val="0"/>
        <w:spacing w:line="360" w:lineRule="auto"/>
        <w:ind w:firstLine="480" w:firstLineChars="200"/>
        <w:jc w:val="left"/>
        <w:rPr>
          <w:rFonts w:ascii="宋体" w:hAnsi="宋体" w:cs="宋体"/>
          <w:color w:val="auto"/>
          <w:kern w:val="0"/>
          <w:sz w:val="24"/>
          <w:highlight w:val="none"/>
          <w:lang w:val="zh-CN"/>
        </w:rPr>
      </w:pPr>
      <w:r>
        <w:rPr>
          <w:rFonts w:ascii="宋体" w:hAnsi="宋体" w:cs="宋体"/>
          <w:color w:val="auto"/>
          <w:kern w:val="0"/>
          <w:sz w:val="24"/>
          <w:szCs w:val="22"/>
          <w:highlight w:val="none"/>
          <w:lang w:val="zh-CN"/>
        </w:rPr>
        <w:t>4</w:t>
      </w:r>
      <w:r>
        <w:rPr>
          <w:rFonts w:hint="eastAsia" w:ascii="宋体" w:hAnsi="宋体" w:cs="宋体"/>
          <w:color w:val="auto"/>
          <w:kern w:val="0"/>
          <w:sz w:val="24"/>
          <w:szCs w:val="22"/>
          <w:highlight w:val="none"/>
          <w:lang w:val="zh-CN"/>
        </w:rPr>
        <w:t>、</w:t>
      </w:r>
      <w:r>
        <w:rPr>
          <w:rFonts w:hint="eastAsia" w:cs="仿宋_GB2312" w:asciiTheme="minorEastAsia" w:hAnsiTheme="minorEastAsia" w:eastAsiaTheme="minorEastAsia"/>
          <w:color w:val="auto"/>
          <w:kern w:val="0"/>
          <w:sz w:val="24"/>
          <w:highlight w:val="none"/>
          <w:lang w:val="zh-CN"/>
        </w:rPr>
        <w:t>符合谈判文件中列明的可享受中小企业扶持政策的供应商，请填写中小企业声明函。注：供应商</w:t>
      </w:r>
      <w:r>
        <w:rPr>
          <w:rFonts w:cs="仿宋_GB2312" w:asciiTheme="minorEastAsia" w:hAnsiTheme="minorEastAsia" w:eastAsiaTheme="minorEastAsia"/>
          <w:color w:val="auto"/>
          <w:kern w:val="0"/>
          <w:sz w:val="24"/>
          <w:highlight w:val="none"/>
          <w:lang w:val="zh-CN"/>
        </w:rPr>
        <w:t>提供</w:t>
      </w:r>
      <w:r>
        <w:rPr>
          <w:rFonts w:hint="eastAsia" w:cs="仿宋_GB2312" w:asciiTheme="minorEastAsia" w:hAnsiTheme="minorEastAsia" w:eastAsiaTheme="minorEastAsia"/>
          <w:color w:val="auto"/>
          <w:kern w:val="0"/>
          <w:sz w:val="24"/>
          <w:highlight w:val="none"/>
          <w:lang w:val="zh-CN"/>
        </w:rPr>
        <w:t>的中小企业</w:t>
      </w:r>
      <w:r>
        <w:rPr>
          <w:rFonts w:cs="仿宋_GB2312" w:asciiTheme="minorEastAsia" w:hAnsiTheme="minorEastAsia" w:eastAsiaTheme="minorEastAsia"/>
          <w:color w:val="auto"/>
          <w:kern w:val="0"/>
          <w:sz w:val="24"/>
          <w:highlight w:val="none"/>
          <w:lang w:val="zh-CN"/>
        </w:rPr>
        <w:t>声明函内容不实的，属于提供虚假材料谋取中标、成交，依照《中华人民共和国政府采购法》等国家有关规定追究相应责任。</w:t>
      </w:r>
    </w:p>
    <w:p w14:paraId="720E0734">
      <w:pPr>
        <w:autoSpaceDE w:val="0"/>
        <w:autoSpaceDN w:val="0"/>
        <w:spacing w:line="360" w:lineRule="auto"/>
        <w:ind w:left="2"/>
        <w:jc w:val="left"/>
        <w:rPr>
          <w:rFonts w:ascii="宋体" w:hAnsi="宋体" w:cs="宋体"/>
          <w:color w:val="auto"/>
          <w:kern w:val="0"/>
          <w:sz w:val="24"/>
          <w:highlight w:val="none"/>
          <w:lang w:val="zh-CN"/>
        </w:rPr>
      </w:pPr>
    </w:p>
    <w:p w14:paraId="24509EF8">
      <w:pPr>
        <w:autoSpaceDE w:val="0"/>
        <w:autoSpaceDN w:val="0"/>
        <w:spacing w:line="360" w:lineRule="auto"/>
        <w:ind w:left="2" w:leftChars="1" w:firstLine="9360" w:firstLineChars="3900"/>
        <w:jc w:val="left"/>
        <w:rPr>
          <w:rFonts w:cs="仿宋_GB2312" w:asciiTheme="minorEastAsia" w:hAnsiTheme="minorEastAsia" w:eastAsiaTheme="minorEastAsia"/>
          <w:color w:val="auto"/>
          <w:kern w:val="0"/>
          <w:sz w:val="24"/>
          <w:highlight w:val="none"/>
        </w:rPr>
      </w:pPr>
      <w:r>
        <w:rPr>
          <w:rFonts w:hint="eastAsia" w:cs="仿宋_GB2312" w:asciiTheme="minorEastAsia" w:hAnsiTheme="minorEastAsia" w:eastAsiaTheme="minorEastAsia"/>
          <w:color w:val="auto"/>
          <w:sz w:val="24"/>
          <w:highlight w:val="none"/>
        </w:rPr>
        <w:t xml:space="preserve">   </w:t>
      </w:r>
      <w:r>
        <w:rPr>
          <w:rFonts w:hint="eastAsia" w:cs="宋体" w:asciiTheme="minorEastAsia" w:hAnsiTheme="minorEastAsia" w:eastAsiaTheme="minorEastAsia"/>
          <w:color w:val="auto"/>
          <w:kern w:val="0"/>
          <w:sz w:val="24"/>
          <w:highlight w:val="none"/>
          <w:lang w:val="zh-CN"/>
        </w:rPr>
        <w:t>谈判供应商名称(公章)</w:t>
      </w:r>
      <w:r>
        <w:rPr>
          <w:rFonts w:hint="eastAsia" w:cs="仿宋_GB2312" w:asciiTheme="minorEastAsia" w:hAnsiTheme="minorEastAsia" w:eastAsiaTheme="minorEastAsia"/>
          <w:color w:val="auto"/>
          <w:kern w:val="0"/>
          <w:sz w:val="24"/>
          <w:highlight w:val="none"/>
        </w:rPr>
        <w:t>：</w:t>
      </w:r>
    </w:p>
    <w:p w14:paraId="287B4B20">
      <w:pPr>
        <w:autoSpaceDE w:val="0"/>
        <w:autoSpaceDN w:val="0"/>
        <w:spacing w:line="360" w:lineRule="auto"/>
        <w:ind w:left="2" w:leftChars="1" w:firstLine="9720" w:firstLineChars="4050"/>
        <w:jc w:val="left"/>
        <w:rPr>
          <w:rFonts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 xml:space="preserve">法定代表人（负责人）或委托代理人(签名)：                   </w:t>
      </w:r>
    </w:p>
    <w:p w14:paraId="01C62348">
      <w:pPr>
        <w:spacing w:line="360" w:lineRule="auto"/>
        <w:ind w:left="4620" w:leftChars="2200" w:firstLine="5160" w:firstLineChars="2150"/>
        <w:rPr>
          <w:rFonts w:asciiTheme="minorEastAsia" w:hAnsiTheme="minorEastAsia" w:eastAsiaTheme="minorEastAsia"/>
          <w:color w:val="auto"/>
          <w:sz w:val="24"/>
          <w:highlight w:val="none"/>
        </w:rPr>
      </w:pPr>
      <w:r>
        <w:rPr>
          <w:rFonts w:hint="eastAsia" w:cs="仿宋_GB2312" w:asciiTheme="minorEastAsia" w:hAnsiTheme="minorEastAsia" w:eastAsiaTheme="minorEastAsia"/>
          <w:color w:val="auto"/>
          <w:kern w:val="0"/>
          <w:sz w:val="24"/>
          <w:highlight w:val="none"/>
          <w:lang w:val="zh-CN"/>
        </w:rPr>
        <w:t>日期</w:t>
      </w:r>
      <w:r>
        <w:rPr>
          <w:rFonts w:hint="eastAsia" w:cs="仿宋_GB2312" w:asciiTheme="minorEastAsia" w:hAnsiTheme="minorEastAsia" w:eastAsiaTheme="minorEastAsia"/>
          <w:color w:val="auto"/>
          <w:kern w:val="0"/>
          <w:sz w:val="24"/>
          <w:highlight w:val="none"/>
        </w:rPr>
        <w:t>：</w:t>
      </w:r>
      <w:r>
        <w:rPr>
          <w:rFonts w:hint="eastAsia" w:cs="仿宋_GB2312" w:asciiTheme="minorEastAsia" w:hAnsiTheme="minorEastAsia" w:eastAsiaTheme="minorEastAsia"/>
          <w:color w:val="auto"/>
          <w:kern w:val="0"/>
          <w:sz w:val="24"/>
          <w:highlight w:val="none"/>
          <w:lang w:val="zh-CN"/>
        </w:rPr>
        <w:t xml:space="preserve">   年   月   日</w:t>
      </w:r>
    </w:p>
    <w:p w14:paraId="2695D877">
      <w:pPr>
        <w:spacing w:line="360" w:lineRule="auto"/>
        <w:ind w:firstLine="482" w:firstLineChars="200"/>
        <w:rPr>
          <w:rFonts w:ascii="宋体" w:hAnsi="宋体" w:cs="宋体"/>
          <w:b/>
          <w:color w:val="auto"/>
          <w:kern w:val="0"/>
          <w:sz w:val="24"/>
          <w:highlight w:val="none"/>
        </w:rPr>
      </w:pPr>
    </w:p>
    <w:p w14:paraId="3C54CDAD">
      <w:pPr>
        <w:pStyle w:val="3"/>
        <w:rPr>
          <w:color w:val="auto"/>
          <w:highlight w:val="none"/>
        </w:rPr>
        <w:sectPr>
          <w:pgSz w:w="16838" w:h="11906" w:orient="landscape"/>
          <w:pgMar w:top="1417" w:right="1417" w:bottom="1417" w:left="1417" w:header="748" w:footer="720" w:gutter="0"/>
          <w:pgBorders>
            <w:top w:val="none" w:sz="0" w:space="0"/>
            <w:left w:val="none" w:sz="0" w:space="0"/>
            <w:bottom w:val="none" w:sz="0" w:space="0"/>
            <w:right w:val="none" w:sz="0" w:space="0"/>
          </w:pgBorders>
          <w:pgNumType w:fmt="decimal"/>
          <w:cols w:space="0" w:num="1"/>
          <w:rtlGutter w:val="0"/>
          <w:docGrid w:linePitch="312" w:charSpace="0"/>
        </w:sectPr>
      </w:pPr>
    </w:p>
    <w:p w14:paraId="012A4EE4">
      <w:pPr>
        <w:widowControl/>
        <w:adjustRightInd/>
        <w:jc w:val="center"/>
        <w:rPr>
          <w:rFonts w:asciiTheme="minorEastAsia" w:hAnsiTheme="minorEastAsia" w:eastAsiaTheme="minorEastAsia"/>
          <w:b/>
          <w:color w:val="auto"/>
          <w:sz w:val="32"/>
          <w:szCs w:val="32"/>
          <w:highlight w:val="none"/>
        </w:rPr>
      </w:pPr>
      <w:r>
        <w:rPr>
          <w:rFonts w:hint="eastAsia" w:asciiTheme="minorEastAsia" w:hAnsiTheme="minorEastAsia" w:eastAsiaTheme="minorEastAsia"/>
          <w:b/>
          <w:color w:val="auto"/>
          <w:sz w:val="32"/>
          <w:szCs w:val="32"/>
          <w:highlight w:val="none"/>
        </w:rPr>
        <w:t>（</w:t>
      </w:r>
      <w:r>
        <w:rPr>
          <w:rFonts w:hint="eastAsia" w:asciiTheme="minorEastAsia" w:hAnsiTheme="minorEastAsia" w:eastAsiaTheme="minorEastAsia"/>
          <w:b/>
          <w:color w:val="auto"/>
          <w:sz w:val="32"/>
          <w:szCs w:val="32"/>
          <w:highlight w:val="none"/>
          <w:lang w:val="en-US" w:eastAsia="zh-CN"/>
        </w:rPr>
        <w:t>二</w:t>
      </w:r>
      <w:r>
        <w:rPr>
          <w:rFonts w:hint="eastAsia" w:asciiTheme="minorEastAsia" w:hAnsiTheme="minorEastAsia" w:eastAsiaTheme="minorEastAsia"/>
          <w:b/>
          <w:color w:val="auto"/>
          <w:sz w:val="32"/>
          <w:szCs w:val="32"/>
          <w:highlight w:val="none"/>
        </w:rPr>
        <w:t>）中小企业声明函</w:t>
      </w:r>
    </w:p>
    <w:p w14:paraId="4BB613A8">
      <w:pPr>
        <w:widowControl/>
        <w:spacing w:line="360" w:lineRule="auto"/>
        <w:ind w:firstLine="120" w:firstLineChars="50"/>
        <w:jc w:val="left"/>
        <w:rPr>
          <w:rFonts w:cs="宋体" w:asciiTheme="minorEastAsia" w:hAnsiTheme="minorEastAsia" w:eastAsiaTheme="minorEastAsia"/>
          <w:b/>
          <w:color w:val="auto"/>
          <w:sz w:val="24"/>
          <w:highlight w:val="none"/>
        </w:rPr>
      </w:pPr>
    </w:p>
    <w:p w14:paraId="647C380B">
      <w:pPr>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中小企业声明函（货物）</w:t>
      </w:r>
    </w:p>
    <w:p w14:paraId="3D34B2F8">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本公司（联合体）郑重声明，根据《政府采购促进中小企业发展管理办法》（财库﹝2020﹞46 号）的规定，本公司（联合体）参加 </w:t>
      </w:r>
      <w:r>
        <w:rPr>
          <w:rFonts w:hint="eastAsia" w:ascii="宋体" w:hAnsi="宋体" w:eastAsia="宋体" w:cs="宋体"/>
          <w:color w:val="auto"/>
          <w:sz w:val="21"/>
          <w:szCs w:val="21"/>
          <w:highlight w:val="none"/>
          <w:u w:val="single"/>
        </w:rPr>
        <w:t xml:space="preserve">（采购人） </w:t>
      </w:r>
      <w:r>
        <w:rPr>
          <w:rFonts w:hint="eastAsia" w:ascii="宋体" w:hAnsi="宋体" w:eastAsia="宋体" w:cs="宋体"/>
          <w:color w:val="auto"/>
          <w:sz w:val="21"/>
          <w:szCs w:val="21"/>
          <w:highlight w:val="none"/>
        </w:rPr>
        <w:t xml:space="preserve">的 </w:t>
      </w:r>
      <w:r>
        <w:rPr>
          <w:rFonts w:hint="eastAsia" w:ascii="宋体" w:hAnsi="宋体" w:eastAsia="宋体" w:cs="宋体"/>
          <w:color w:val="auto"/>
          <w:sz w:val="21"/>
          <w:szCs w:val="21"/>
          <w:highlight w:val="none"/>
          <w:u w:val="single"/>
        </w:rPr>
        <w:t>（项目名称）</w:t>
      </w:r>
      <w:r>
        <w:rPr>
          <w:rFonts w:hint="eastAsia" w:ascii="宋体" w:hAnsi="宋体" w:eastAsia="宋体" w:cs="宋体"/>
          <w:color w:val="auto"/>
          <w:sz w:val="21"/>
          <w:szCs w:val="21"/>
          <w:highlight w:val="none"/>
        </w:rPr>
        <w:t xml:space="preserve"> 采购活动，提供的货物全部由符合政策要求的中小企业制造。相关企业（含联合体中的中小企业、签订分包意向协议的中小企业）的具体情况如下：</w:t>
      </w:r>
    </w:p>
    <w:p w14:paraId="2B2D5DD3">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 </w:t>
      </w:r>
      <w:r>
        <w:rPr>
          <w:rFonts w:hint="eastAsia" w:ascii="宋体" w:hAnsi="宋体" w:eastAsia="宋体" w:cs="宋体"/>
          <w:color w:val="auto"/>
          <w:sz w:val="21"/>
          <w:szCs w:val="21"/>
          <w:highlight w:val="none"/>
          <w:u w:val="single"/>
        </w:rPr>
        <w:t>（标的名称）</w:t>
      </w:r>
      <w:r>
        <w:rPr>
          <w:rFonts w:hint="eastAsia" w:ascii="宋体" w:hAnsi="宋体" w:eastAsia="宋体" w:cs="宋体"/>
          <w:color w:val="auto"/>
          <w:sz w:val="21"/>
          <w:szCs w:val="21"/>
          <w:highlight w:val="none"/>
        </w:rPr>
        <w:t xml:space="preserve"> ，属于 </w:t>
      </w:r>
      <w:r>
        <w:rPr>
          <w:rFonts w:hint="eastAsia" w:ascii="宋体" w:hAnsi="宋体" w:eastAsia="宋体" w:cs="宋体"/>
          <w:color w:val="auto"/>
          <w:sz w:val="21"/>
          <w:szCs w:val="21"/>
          <w:highlight w:val="none"/>
          <w:u w:val="single"/>
        </w:rPr>
        <w:t>（采购文件中明确的所属行业）</w:t>
      </w:r>
      <w:r>
        <w:rPr>
          <w:rFonts w:hint="eastAsia" w:ascii="宋体" w:hAnsi="宋体" w:eastAsia="宋体" w:cs="宋体"/>
          <w:color w:val="auto"/>
          <w:sz w:val="21"/>
          <w:szCs w:val="21"/>
          <w:highlight w:val="none"/>
        </w:rPr>
        <w:t>行业 ；制造商为</w:t>
      </w:r>
      <w:r>
        <w:rPr>
          <w:rFonts w:hint="eastAsia" w:ascii="宋体" w:hAnsi="宋体" w:eastAsia="宋体" w:cs="宋体"/>
          <w:color w:val="auto"/>
          <w:sz w:val="21"/>
          <w:szCs w:val="21"/>
          <w:highlight w:val="none"/>
          <w:u w:val="single"/>
        </w:rPr>
        <w:t xml:space="preserve"> （企业名称）</w:t>
      </w:r>
      <w:r>
        <w:rPr>
          <w:rFonts w:hint="eastAsia" w:ascii="宋体" w:hAnsi="宋体" w:eastAsia="宋体" w:cs="宋体"/>
          <w:color w:val="auto"/>
          <w:sz w:val="21"/>
          <w:szCs w:val="21"/>
          <w:highlight w:val="none"/>
        </w:rPr>
        <w:t xml:space="preserve"> ，从业人员</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人，营业收入为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万元，资产总额为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万元，属于</w:t>
      </w:r>
      <w:r>
        <w:rPr>
          <w:rFonts w:hint="eastAsia" w:ascii="宋体" w:hAnsi="宋体" w:eastAsia="宋体" w:cs="宋体"/>
          <w:color w:val="auto"/>
          <w:sz w:val="21"/>
          <w:szCs w:val="21"/>
          <w:highlight w:val="none"/>
          <w:u w:val="single"/>
        </w:rPr>
        <w:t xml:space="preserve"> （中型企业、小型企业、微型企业）</w:t>
      </w:r>
      <w:r>
        <w:rPr>
          <w:rFonts w:hint="eastAsia" w:ascii="宋体" w:hAnsi="宋体" w:eastAsia="宋体" w:cs="宋体"/>
          <w:color w:val="auto"/>
          <w:sz w:val="21"/>
          <w:szCs w:val="21"/>
          <w:highlight w:val="none"/>
        </w:rPr>
        <w:t xml:space="preserve"> ；</w:t>
      </w:r>
    </w:p>
    <w:p w14:paraId="48B4860A">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2. </w:t>
      </w:r>
      <w:r>
        <w:rPr>
          <w:rFonts w:hint="eastAsia" w:ascii="宋体" w:hAnsi="宋体" w:eastAsia="宋体" w:cs="宋体"/>
          <w:color w:val="auto"/>
          <w:sz w:val="21"/>
          <w:szCs w:val="21"/>
          <w:highlight w:val="none"/>
          <w:u w:val="single"/>
        </w:rPr>
        <w:t>（标的名称）</w:t>
      </w:r>
      <w:r>
        <w:rPr>
          <w:rFonts w:hint="eastAsia" w:ascii="宋体" w:hAnsi="宋体" w:eastAsia="宋体" w:cs="宋体"/>
          <w:color w:val="auto"/>
          <w:sz w:val="21"/>
          <w:szCs w:val="21"/>
          <w:highlight w:val="none"/>
        </w:rPr>
        <w:t xml:space="preserve"> ，属于 </w:t>
      </w:r>
      <w:r>
        <w:rPr>
          <w:rFonts w:hint="eastAsia" w:ascii="宋体" w:hAnsi="宋体" w:eastAsia="宋体" w:cs="宋体"/>
          <w:color w:val="auto"/>
          <w:sz w:val="21"/>
          <w:szCs w:val="21"/>
          <w:highlight w:val="none"/>
          <w:u w:val="single"/>
        </w:rPr>
        <w:t>（采购文件中明确的所属行业）</w:t>
      </w:r>
      <w:r>
        <w:rPr>
          <w:rFonts w:hint="eastAsia" w:ascii="宋体" w:hAnsi="宋体" w:eastAsia="宋体" w:cs="宋体"/>
          <w:color w:val="auto"/>
          <w:sz w:val="21"/>
          <w:szCs w:val="21"/>
          <w:highlight w:val="none"/>
        </w:rPr>
        <w:t>行业 ；制造商为</w:t>
      </w:r>
      <w:r>
        <w:rPr>
          <w:rFonts w:hint="eastAsia" w:ascii="宋体" w:hAnsi="宋体" w:eastAsia="宋体" w:cs="宋体"/>
          <w:color w:val="auto"/>
          <w:sz w:val="21"/>
          <w:szCs w:val="21"/>
          <w:highlight w:val="none"/>
          <w:u w:val="single"/>
        </w:rPr>
        <w:t xml:space="preserve"> （企业名称）</w:t>
      </w:r>
      <w:r>
        <w:rPr>
          <w:rFonts w:hint="eastAsia" w:ascii="宋体" w:hAnsi="宋体" w:eastAsia="宋体" w:cs="宋体"/>
          <w:color w:val="auto"/>
          <w:sz w:val="21"/>
          <w:szCs w:val="21"/>
          <w:highlight w:val="none"/>
        </w:rPr>
        <w:t xml:space="preserve"> ，从业人员</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人，营业收入为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万元，资产总额为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万元，属于</w:t>
      </w:r>
      <w:r>
        <w:rPr>
          <w:rFonts w:hint="eastAsia" w:ascii="宋体" w:hAnsi="宋体" w:eastAsia="宋体" w:cs="宋体"/>
          <w:color w:val="auto"/>
          <w:sz w:val="21"/>
          <w:szCs w:val="21"/>
          <w:highlight w:val="none"/>
          <w:u w:val="single"/>
        </w:rPr>
        <w:t xml:space="preserve"> （中型企业、小型企业、微型企业）</w:t>
      </w:r>
      <w:r>
        <w:rPr>
          <w:rFonts w:hint="eastAsia" w:ascii="宋体" w:hAnsi="宋体" w:eastAsia="宋体" w:cs="宋体"/>
          <w:color w:val="auto"/>
          <w:sz w:val="21"/>
          <w:szCs w:val="21"/>
          <w:highlight w:val="none"/>
        </w:rPr>
        <w:t xml:space="preserve"> ；</w:t>
      </w:r>
    </w:p>
    <w:p w14:paraId="25E80BE8">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p w14:paraId="343C4ADD">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以上企业，不属于大企业的分支机构，不存在控股股东为大企业的情形，也不存在与大企业的负责人为同一人的情形。</w:t>
      </w:r>
    </w:p>
    <w:p w14:paraId="350A8F54">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本企业对上述声明内容的真实性负责。如有虚假，将依法承担相应责任。</w:t>
      </w:r>
    </w:p>
    <w:p w14:paraId="5F05CA80">
      <w:pPr>
        <w:snapToGrid w:val="0"/>
        <w:spacing w:line="360" w:lineRule="auto"/>
        <w:ind w:firstLine="4515" w:firstLineChars="215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zh-CN"/>
        </w:rPr>
        <w:t>谈判供应商名称(公章)</w:t>
      </w:r>
      <w:r>
        <w:rPr>
          <w:rFonts w:hint="eastAsia" w:ascii="宋体" w:hAnsi="宋体" w:eastAsia="宋体" w:cs="宋体"/>
          <w:color w:val="auto"/>
          <w:kern w:val="0"/>
          <w:sz w:val="21"/>
          <w:szCs w:val="21"/>
          <w:highlight w:val="none"/>
        </w:rPr>
        <w:t>：</w:t>
      </w:r>
    </w:p>
    <w:p w14:paraId="5326EFCA">
      <w:pPr>
        <w:snapToGrid w:val="0"/>
        <w:spacing w:line="360" w:lineRule="auto"/>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 xml:space="preserve">                                           日期</w:t>
      </w:r>
      <w:r>
        <w:rPr>
          <w:rFonts w:hint="eastAsia" w:ascii="宋体" w:hAnsi="宋体" w:eastAsia="宋体" w:cs="宋体"/>
          <w:color w:val="auto"/>
          <w:kern w:val="0"/>
          <w:sz w:val="21"/>
          <w:szCs w:val="21"/>
          <w:highlight w:val="none"/>
        </w:rPr>
        <w:t xml:space="preserve">：  年  </w:t>
      </w:r>
      <w:r>
        <w:rPr>
          <w:rFonts w:hint="eastAsia" w:ascii="宋体" w:hAnsi="宋体" w:eastAsia="宋体" w:cs="宋体"/>
          <w:color w:val="auto"/>
          <w:kern w:val="0"/>
          <w:sz w:val="21"/>
          <w:szCs w:val="21"/>
          <w:highlight w:val="none"/>
          <w:lang w:val="zh-CN"/>
        </w:rPr>
        <w:t>月</w:t>
      </w:r>
      <w:r>
        <w:rPr>
          <w:rFonts w:hint="eastAsia" w:ascii="宋体" w:hAnsi="宋体" w:eastAsia="宋体" w:cs="宋体"/>
          <w:color w:val="auto"/>
          <w:kern w:val="0"/>
          <w:sz w:val="21"/>
          <w:szCs w:val="21"/>
          <w:highlight w:val="none"/>
        </w:rPr>
        <w:t xml:space="preserve">   </w:t>
      </w:r>
      <w:r>
        <w:rPr>
          <w:rFonts w:hint="eastAsia" w:ascii="宋体" w:hAnsi="宋体" w:eastAsia="宋体" w:cs="宋体"/>
          <w:color w:val="auto"/>
          <w:kern w:val="0"/>
          <w:sz w:val="21"/>
          <w:szCs w:val="21"/>
          <w:highlight w:val="none"/>
          <w:lang w:val="zh-CN"/>
        </w:rPr>
        <w:t>日</w:t>
      </w:r>
    </w:p>
    <w:p w14:paraId="6F2E35D2">
      <w:pPr>
        <w:spacing w:line="360" w:lineRule="auto"/>
        <w:ind w:right="42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w:t>
      </w:r>
    </w:p>
    <w:p w14:paraId="6710CC3C">
      <w:pPr>
        <w:spacing w:line="360" w:lineRule="auto"/>
        <w:ind w:right="42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填写要求：①“标的名称”、“采购文件中明确的所属行业”依据谈判文件第三部分供应商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供应商提供的《中小企业声明函》与实际情况不符的或者未按以上要求填写的，中小企业声明函无效，不享受中小企业扶持政策。声明内容不实的，属于提供虚假材料谋取中标、成交的，依法承担法律责任。</w:t>
      </w:r>
    </w:p>
    <w:p w14:paraId="2D65B746">
      <w:pPr>
        <w:spacing w:line="360" w:lineRule="auto"/>
        <w:ind w:right="42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供应商提供由省级以上监狱管理局、戒毒管理局（含新疆生产建设兵团）出具的属于监狱企业证明文件的，视同为小型和微型企业。</w:t>
      </w:r>
    </w:p>
    <w:p w14:paraId="24C15F3F">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p>
    <w:p w14:paraId="3E33195A">
      <w:pPr>
        <w:widowControl/>
        <w:adjustRightInd/>
        <w:jc w:val="center"/>
        <w:rPr>
          <w:rFonts w:hint="eastAsia" w:cs="Times New Roman" w:asciiTheme="minorEastAsia" w:hAnsiTheme="minorEastAsia" w:eastAsiaTheme="minorEastAsia"/>
          <w:b/>
          <w:color w:val="auto"/>
          <w:sz w:val="32"/>
          <w:szCs w:val="32"/>
          <w:highlight w:val="none"/>
        </w:rPr>
      </w:pPr>
      <w:r>
        <w:rPr>
          <w:rFonts w:hint="eastAsia" w:cs="Times New Roman" w:asciiTheme="minorEastAsia" w:hAnsiTheme="minorEastAsia" w:eastAsiaTheme="minorEastAsia"/>
          <w:b/>
          <w:color w:val="auto"/>
          <w:sz w:val="32"/>
          <w:szCs w:val="32"/>
          <w:highlight w:val="none"/>
          <w:lang w:eastAsia="zh-CN"/>
        </w:rPr>
        <w:t>（</w:t>
      </w:r>
      <w:r>
        <w:rPr>
          <w:rFonts w:hint="eastAsia" w:cs="Times New Roman" w:asciiTheme="minorEastAsia" w:hAnsiTheme="minorEastAsia" w:eastAsiaTheme="minorEastAsia"/>
          <w:b/>
          <w:color w:val="auto"/>
          <w:sz w:val="32"/>
          <w:szCs w:val="32"/>
          <w:highlight w:val="none"/>
          <w:lang w:val="en-US" w:eastAsia="zh-CN"/>
        </w:rPr>
        <w:t>三）</w:t>
      </w:r>
      <w:r>
        <w:rPr>
          <w:rFonts w:hint="eastAsia" w:cs="Times New Roman" w:asciiTheme="minorEastAsia" w:hAnsiTheme="minorEastAsia" w:eastAsiaTheme="minorEastAsia"/>
          <w:b/>
          <w:color w:val="auto"/>
          <w:sz w:val="32"/>
          <w:szCs w:val="32"/>
          <w:highlight w:val="none"/>
        </w:rPr>
        <w:t>残疾人福利性单位声明函</w:t>
      </w:r>
    </w:p>
    <w:p w14:paraId="03530F2F">
      <w:pPr>
        <w:rPr>
          <w:rFonts w:hint="default" w:ascii="宋体" w:hAnsi="宋体" w:eastAsia="宋体" w:cs="宋体"/>
          <w:color w:val="auto"/>
          <w:sz w:val="21"/>
          <w:szCs w:val="21"/>
          <w:highlight w:val="none"/>
          <w:lang w:val="en-US" w:eastAsia="zh-CN"/>
        </w:rPr>
      </w:pPr>
    </w:p>
    <w:p w14:paraId="1E47E4D3">
      <w:pPr>
        <w:spacing w:line="360" w:lineRule="auto"/>
        <w:jc w:val="center"/>
        <w:rPr>
          <w:rFonts w:hint="eastAsia" w:asciiTheme="minorEastAsia" w:hAnsiTheme="minorEastAsia" w:eastAsiaTheme="minorEastAsia"/>
          <w:b/>
          <w:color w:val="auto"/>
          <w:spacing w:val="6"/>
          <w:sz w:val="32"/>
          <w:szCs w:val="32"/>
          <w:highlight w:val="none"/>
        </w:rPr>
      </w:pPr>
    </w:p>
    <w:p w14:paraId="1DB21C27">
      <w:pPr>
        <w:spacing w:line="360" w:lineRule="auto"/>
        <w:jc w:val="center"/>
        <w:rPr>
          <w:rFonts w:asciiTheme="minorEastAsia" w:hAnsiTheme="minorEastAsia" w:eastAsiaTheme="minorEastAsia"/>
          <w:b/>
          <w:color w:val="auto"/>
          <w:spacing w:val="6"/>
          <w:sz w:val="32"/>
          <w:szCs w:val="32"/>
          <w:highlight w:val="none"/>
        </w:rPr>
      </w:pPr>
      <w:r>
        <w:rPr>
          <w:rFonts w:hint="eastAsia" w:asciiTheme="minorEastAsia" w:hAnsiTheme="minorEastAsia" w:eastAsiaTheme="minorEastAsia"/>
          <w:b/>
          <w:color w:val="auto"/>
          <w:spacing w:val="6"/>
          <w:sz w:val="32"/>
          <w:szCs w:val="32"/>
          <w:highlight w:val="none"/>
        </w:rPr>
        <w:t>残疾人福利性单位声明函</w:t>
      </w:r>
    </w:p>
    <w:p w14:paraId="5449B741">
      <w:pPr>
        <w:spacing w:line="360" w:lineRule="auto"/>
        <w:rPr>
          <w:rFonts w:asciiTheme="minorEastAsia" w:hAnsiTheme="minorEastAsia" w:eastAsiaTheme="minorEastAsia"/>
          <w:b/>
          <w:color w:val="auto"/>
          <w:spacing w:val="6"/>
          <w:sz w:val="30"/>
          <w:szCs w:val="30"/>
          <w:highlight w:val="none"/>
        </w:rPr>
      </w:pPr>
    </w:p>
    <w:p w14:paraId="74BFD9B9">
      <w:pPr>
        <w:spacing w:line="360" w:lineRule="auto"/>
        <w:ind w:firstLine="420" w:firstLineChars="200"/>
        <w:rPr>
          <w:rFonts w:cs="仿宋_GB2312" w:asciiTheme="minorEastAsia" w:hAnsiTheme="minorEastAsia" w:eastAsiaTheme="minorEastAsia"/>
          <w:color w:val="auto"/>
          <w:sz w:val="21"/>
          <w:szCs w:val="21"/>
          <w:highlight w:val="none"/>
        </w:rPr>
      </w:pPr>
      <w:r>
        <w:rPr>
          <w:rFonts w:hint="eastAsia" w:cs="仿宋_GB2312" w:asciiTheme="minorEastAsia" w:hAnsiTheme="minorEastAsia" w:eastAsiaTheme="minorEastAsia"/>
          <w:color w:val="auto"/>
          <w:sz w:val="21"/>
          <w:szCs w:val="21"/>
          <w:highlight w:val="none"/>
        </w:rPr>
        <w:t>本单位郑重声明，根据《财政部 民政部 中国残疾人联合会关于促进残疾人就业政府采购政策的通知》（财库〔2017〕 141号）的规定，本单位为符合条件的残疾人福利性单位，且本单位参加</w:t>
      </w:r>
      <w:r>
        <w:rPr>
          <w:rFonts w:hint="eastAsia" w:cs="仿宋_GB2312" w:asciiTheme="minorEastAsia" w:hAnsiTheme="minorEastAsia" w:eastAsiaTheme="minorEastAsia"/>
          <w:color w:val="auto"/>
          <w:sz w:val="21"/>
          <w:szCs w:val="21"/>
          <w:highlight w:val="none"/>
          <w:u w:val="single"/>
        </w:rPr>
        <w:t xml:space="preserve">   （采购人）    </w:t>
      </w:r>
      <w:r>
        <w:rPr>
          <w:rFonts w:hint="eastAsia" w:cs="仿宋_GB2312" w:asciiTheme="minorEastAsia" w:hAnsiTheme="minorEastAsia" w:eastAsiaTheme="minorEastAsia"/>
          <w:color w:val="auto"/>
          <w:sz w:val="21"/>
          <w:szCs w:val="21"/>
          <w:highlight w:val="none"/>
        </w:rPr>
        <w:t>单位的</w:t>
      </w:r>
      <w:r>
        <w:rPr>
          <w:rFonts w:hint="eastAsia" w:cs="仿宋_GB2312" w:asciiTheme="minorEastAsia" w:hAnsiTheme="minorEastAsia" w:eastAsiaTheme="minorEastAsia"/>
          <w:color w:val="auto"/>
          <w:sz w:val="21"/>
          <w:szCs w:val="21"/>
          <w:highlight w:val="none"/>
          <w:u w:val="single"/>
        </w:rPr>
        <w:t xml:space="preserve">     （项目名称）    </w:t>
      </w:r>
      <w:r>
        <w:rPr>
          <w:rFonts w:hint="eastAsia" w:cs="仿宋_GB2312" w:asciiTheme="minorEastAsia" w:hAnsiTheme="minorEastAsia" w:eastAsiaTheme="minorEastAsia"/>
          <w:color w:val="auto"/>
          <w:sz w:val="21"/>
          <w:szCs w:val="21"/>
          <w:highlight w:val="none"/>
        </w:rPr>
        <w:t>项目采购活动提供本单位制造的货物（由本单位承担工程/提供服务），或者提供其他残疾人福利性单位制造的货物（不包括使用非残疾人福利性单位注册商标的货物）。</w:t>
      </w:r>
    </w:p>
    <w:p w14:paraId="2E05D648">
      <w:pPr>
        <w:spacing w:line="360" w:lineRule="auto"/>
        <w:ind w:firstLine="420" w:firstLineChars="200"/>
        <w:rPr>
          <w:rFonts w:cs="仿宋_GB2312" w:asciiTheme="minorEastAsia" w:hAnsiTheme="minorEastAsia" w:eastAsiaTheme="minorEastAsia"/>
          <w:color w:val="auto"/>
          <w:sz w:val="21"/>
          <w:szCs w:val="21"/>
          <w:highlight w:val="none"/>
        </w:rPr>
      </w:pPr>
      <w:r>
        <w:rPr>
          <w:rFonts w:hint="eastAsia" w:cs="仿宋_GB2312" w:asciiTheme="minorEastAsia" w:hAnsiTheme="minorEastAsia" w:eastAsiaTheme="minorEastAsia"/>
          <w:color w:val="auto"/>
          <w:sz w:val="21"/>
          <w:szCs w:val="21"/>
          <w:highlight w:val="none"/>
        </w:rPr>
        <w:t>本单位对上述声明的真实性负责。如有虚假，将依法承担相应责任。</w:t>
      </w:r>
    </w:p>
    <w:p w14:paraId="5F6CFD59">
      <w:pPr>
        <w:spacing w:line="360" w:lineRule="auto"/>
        <w:ind w:firstLine="420" w:firstLineChars="200"/>
        <w:rPr>
          <w:rFonts w:cs="仿宋_GB2312" w:asciiTheme="minorEastAsia" w:hAnsiTheme="minorEastAsia" w:eastAsiaTheme="minorEastAsia"/>
          <w:color w:val="auto"/>
          <w:sz w:val="21"/>
          <w:szCs w:val="21"/>
          <w:highlight w:val="none"/>
        </w:rPr>
      </w:pPr>
    </w:p>
    <w:p w14:paraId="2D10EA58">
      <w:pPr>
        <w:spacing w:line="360" w:lineRule="auto"/>
        <w:ind w:firstLine="420" w:firstLineChars="200"/>
        <w:rPr>
          <w:rFonts w:cs="仿宋_GB2312" w:asciiTheme="minorEastAsia" w:hAnsiTheme="minorEastAsia" w:eastAsiaTheme="minorEastAsia"/>
          <w:color w:val="auto"/>
          <w:sz w:val="21"/>
          <w:szCs w:val="21"/>
          <w:highlight w:val="none"/>
        </w:rPr>
      </w:pPr>
    </w:p>
    <w:p w14:paraId="7043515E">
      <w:pPr>
        <w:tabs>
          <w:tab w:val="left" w:pos="4860"/>
        </w:tabs>
        <w:spacing w:line="360" w:lineRule="auto"/>
        <w:ind w:right="1560" w:firstLine="420" w:firstLineChars="200"/>
        <w:jc w:val="center"/>
        <w:rPr>
          <w:rFonts w:cs="仿宋_GB2312" w:asciiTheme="minorEastAsia" w:hAnsiTheme="minorEastAsia" w:eastAsiaTheme="minorEastAsia"/>
          <w:color w:val="auto"/>
          <w:sz w:val="21"/>
          <w:szCs w:val="21"/>
          <w:highlight w:val="none"/>
        </w:rPr>
      </w:pPr>
      <w:r>
        <w:rPr>
          <w:rFonts w:hint="eastAsia" w:cs="仿宋_GB2312" w:asciiTheme="minorEastAsia" w:hAnsiTheme="minorEastAsia" w:eastAsiaTheme="minorEastAsia"/>
          <w:color w:val="auto"/>
          <w:sz w:val="21"/>
          <w:szCs w:val="21"/>
          <w:highlight w:val="none"/>
        </w:rPr>
        <w:t xml:space="preserve">               </w:t>
      </w:r>
      <w:r>
        <w:rPr>
          <w:rFonts w:hint="eastAsia" w:cs="宋体" w:asciiTheme="minorEastAsia" w:hAnsiTheme="minorEastAsia" w:eastAsiaTheme="minorEastAsia"/>
          <w:color w:val="auto"/>
          <w:kern w:val="0"/>
          <w:sz w:val="21"/>
          <w:szCs w:val="21"/>
          <w:highlight w:val="none"/>
          <w:lang w:val="zh-CN"/>
        </w:rPr>
        <w:t>谈判供应商名称(公章)</w:t>
      </w:r>
      <w:r>
        <w:rPr>
          <w:rFonts w:hint="eastAsia" w:cs="仿宋_GB2312" w:asciiTheme="minorEastAsia" w:hAnsiTheme="minorEastAsia" w:eastAsiaTheme="minorEastAsia"/>
          <w:color w:val="auto"/>
          <w:kern w:val="0"/>
          <w:sz w:val="21"/>
          <w:szCs w:val="21"/>
          <w:highlight w:val="none"/>
        </w:rPr>
        <w:t>：</w:t>
      </w:r>
      <w:r>
        <w:rPr>
          <w:rFonts w:hint="eastAsia" w:cs="仿宋_GB2312" w:asciiTheme="minorEastAsia" w:hAnsiTheme="minorEastAsia" w:eastAsiaTheme="minorEastAsia"/>
          <w:color w:val="auto"/>
          <w:sz w:val="21"/>
          <w:szCs w:val="21"/>
          <w:highlight w:val="none"/>
        </w:rPr>
        <w:t>：</w:t>
      </w:r>
    </w:p>
    <w:p w14:paraId="4531BB62">
      <w:pPr>
        <w:tabs>
          <w:tab w:val="left" w:pos="4860"/>
        </w:tabs>
        <w:spacing w:line="360" w:lineRule="auto"/>
        <w:ind w:right="1560" w:firstLine="420" w:firstLineChars="200"/>
        <w:jc w:val="center"/>
        <w:rPr>
          <w:rFonts w:hint="eastAsia" w:cs="仿宋_GB2312" w:asciiTheme="minorEastAsia" w:hAnsiTheme="minorEastAsia" w:eastAsiaTheme="minorEastAsia"/>
          <w:color w:val="auto"/>
          <w:sz w:val="21"/>
          <w:szCs w:val="21"/>
          <w:highlight w:val="none"/>
        </w:rPr>
      </w:pPr>
      <w:r>
        <w:rPr>
          <w:rFonts w:hint="eastAsia" w:cs="仿宋_GB2312" w:asciiTheme="minorEastAsia" w:hAnsiTheme="minorEastAsia" w:eastAsiaTheme="minorEastAsia"/>
          <w:color w:val="auto"/>
          <w:sz w:val="21"/>
          <w:szCs w:val="21"/>
          <w:highlight w:val="none"/>
        </w:rPr>
        <w:t xml:space="preserve">       日  期：</w:t>
      </w:r>
    </w:p>
    <w:p w14:paraId="0F116DFF">
      <w:pPr>
        <w:rPr>
          <w:rFonts w:hint="eastAsia" w:cs="仿宋_GB2312" w:asciiTheme="minorEastAsia" w:hAnsiTheme="minorEastAsia" w:eastAsiaTheme="minorEastAsia"/>
          <w:color w:val="auto"/>
          <w:sz w:val="21"/>
          <w:szCs w:val="21"/>
          <w:highlight w:val="none"/>
        </w:rPr>
      </w:pPr>
      <w:r>
        <w:rPr>
          <w:rFonts w:hint="eastAsia" w:cs="仿宋_GB2312" w:asciiTheme="minorEastAsia" w:hAnsiTheme="minorEastAsia" w:eastAsiaTheme="minorEastAsia"/>
          <w:color w:val="auto"/>
          <w:sz w:val="21"/>
          <w:szCs w:val="21"/>
          <w:highlight w:val="none"/>
        </w:rPr>
        <w:br w:type="page"/>
      </w:r>
    </w:p>
    <w:p w14:paraId="3EC6D5AD">
      <w:pPr>
        <w:widowControl/>
        <w:adjustRightInd/>
        <w:jc w:val="center"/>
        <w:rPr>
          <w:rFonts w:hint="eastAsia" w:cs="Times New Roman" w:asciiTheme="minorEastAsia" w:hAnsiTheme="minorEastAsia" w:eastAsiaTheme="minorEastAsia"/>
          <w:b/>
          <w:color w:val="auto"/>
          <w:sz w:val="32"/>
          <w:szCs w:val="32"/>
          <w:highlight w:val="none"/>
          <w:lang w:val="en-US" w:eastAsia="zh-CN"/>
        </w:rPr>
      </w:pPr>
      <w:r>
        <w:rPr>
          <w:rFonts w:hint="eastAsia" w:cs="Times New Roman" w:asciiTheme="minorEastAsia" w:hAnsiTheme="minorEastAsia" w:eastAsiaTheme="minorEastAsia"/>
          <w:b/>
          <w:color w:val="auto"/>
          <w:sz w:val="32"/>
          <w:szCs w:val="32"/>
          <w:highlight w:val="none"/>
          <w:lang w:val="en-US" w:eastAsia="zh-CN"/>
        </w:rPr>
        <w:t>（四）关于符合本国产品标准的声明函</w:t>
      </w:r>
    </w:p>
    <w:p w14:paraId="562AB0F6">
      <w:pPr>
        <w:pageBreakBefore w:val="0"/>
        <w:widowControl/>
        <w:numPr>
          <w:ilvl w:val="0"/>
          <w:numId w:val="0"/>
        </w:numPr>
        <w:kinsoku/>
        <w:wordWrap/>
        <w:overflowPunct/>
        <w:topLinePunct w:val="0"/>
        <w:bidi w:val="0"/>
        <w:adjustRightInd/>
        <w:spacing w:line="360" w:lineRule="auto"/>
        <w:jc w:val="left"/>
        <w:rPr>
          <w:rFonts w:hint="eastAsia" w:ascii="宋体" w:hAnsi="宋体" w:eastAsia="宋体" w:cs="宋体"/>
          <w:b/>
          <w:bCs/>
          <w:color w:val="auto"/>
          <w:sz w:val="32"/>
          <w:szCs w:val="32"/>
          <w:highlight w:val="none"/>
        </w:rPr>
      </w:pPr>
    </w:p>
    <w:p w14:paraId="6412FBFE">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jc w:val="center"/>
        <w:textAlignment w:val="auto"/>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关于符合本国产品标准的声明函</w:t>
      </w:r>
    </w:p>
    <w:p w14:paraId="39F4F5E6">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jc w:val="center"/>
        <w:textAlignment w:val="auto"/>
        <w:rPr>
          <w:rFonts w:hint="eastAsia" w:ascii="宋体" w:hAnsi="宋体" w:eastAsia="宋体" w:cs="宋体"/>
          <w:b/>
          <w:bCs/>
          <w:color w:val="auto"/>
          <w:sz w:val="24"/>
          <w:szCs w:val="24"/>
          <w:highlight w:val="none"/>
        </w:rPr>
      </w:pPr>
    </w:p>
    <w:p w14:paraId="7B515539">
      <w:pPr>
        <w:pStyle w:val="5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napToGrid/>
        <w:spacing w:before="0" w:beforeAutospacing="0" w:after="0" w:afterAutospacing="0" w:line="360" w:lineRule="auto"/>
        <w:ind w:left="0" w:right="0" w:firstLine="420" w:firstLineChars="200"/>
        <w:textAlignment w:val="auto"/>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77C94672">
      <w:pPr>
        <w:pStyle w:val="5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napToGrid/>
        <w:spacing w:before="0" w:beforeAutospacing="0" w:after="0" w:afterAutospacing="0" w:line="360" w:lineRule="auto"/>
        <w:ind w:left="0" w:right="0" w:firstLine="420" w:firstLineChars="200"/>
        <w:textAlignment w:val="auto"/>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FFFFFF"/>
        </w:rPr>
        <w:t>1.</w:t>
      </w:r>
      <w:r>
        <w:rPr>
          <w:rStyle w:val="66"/>
          <w:rFonts w:hint="eastAsia" w:ascii="宋体" w:hAnsi="宋体" w:eastAsia="宋体" w:cs="宋体"/>
          <w:i w:val="0"/>
          <w:iCs w:val="0"/>
          <w:caps w:val="0"/>
          <w:color w:val="auto"/>
          <w:spacing w:val="0"/>
          <w:sz w:val="21"/>
          <w:szCs w:val="21"/>
          <w:highlight w:val="none"/>
          <w:shd w:val="clear" w:color="auto" w:fill="FFFFFF"/>
        </w:rPr>
        <w:t>（产品名称1）</w:t>
      </w:r>
      <w:r>
        <w:rPr>
          <w:rStyle w:val="66"/>
          <w:rFonts w:hint="eastAsia" w:ascii="宋体" w:hAnsi="宋体" w:eastAsia="宋体" w:cs="宋体"/>
          <w:i w:val="0"/>
          <w:iCs w:val="0"/>
          <w:caps w:val="0"/>
          <w:color w:val="auto"/>
          <w:spacing w:val="0"/>
          <w:sz w:val="21"/>
          <w:szCs w:val="21"/>
          <w:highlight w:val="none"/>
          <w:shd w:val="clear" w:color="auto" w:fill="FFFFFF"/>
          <w:vertAlign w:val="superscript"/>
        </w:rPr>
        <w:t>1</w:t>
      </w:r>
      <w:r>
        <w:rPr>
          <w:rFonts w:hint="eastAsia" w:ascii="宋体" w:hAnsi="宋体" w:eastAsia="宋体" w:cs="宋体"/>
          <w:i w:val="0"/>
          <w:iCs w:val="0"/>
          <w:caps w:val="0"/>
          <w:color w:val="auto"/>
          <w:spacing w:val="0"/>
          <w:sz w:val="21"/>
          <w:szCs w:val="21"/>
          <w:highlight w:val="none"/>
          <w:shd w:val="clear" w:color="auto" w:fill="FFFFFF"/>
        </w:rPr>
        <w:t>，生产厂为</w:t>
      </w:r>
      <w:r>
        <w:rPr>
          <w:rStyle w:val="66"/>
          <w:rFonts w:hint="eastAsia" w:ascii="宋体" w:hAnsi="宋体" w:eastAsia="宋体" w:cs="宋体"/>
          <w:i w:val="0"/>
          <w:iCs w:val="0"/>
          <w:caps w:val="0"/>
          <w:color w:val="auto"/>
          <w:spacing w:val="0"/>
          <w:sz w:val="21"/>
          <w:szCs w:val="21"/>
          <w:highlight w:val="none"/>
          <w:shd w:val="clear" w:color="auto" w:fill="FFFFFF"/>
        </w:rPr>
        <w:t>（厂名）</w:t>
      </w:r>
      <w:r>
        <w:rPr>
          <w:rStyle w:val="66"/>
          <w:rFonts w:hint="eastAsia" w:ascii="宋体" w:hAnsi="宋体" w:eastAsia="宋体" w:cs="宋体"/>
          <w:i w:val="0"/>
          <w:iCs w:val="0"/>
          <w:caps w:val="0"/>
          <w:color w:val="auto"/>
          <w:spacing w:val="0"/>
          <w:sz w:val="21"/>
          <w:szCs w:val="21"/>
          <w:highlight w:val="none"/>
          <w:shd w:val="clear" w:color="auto" w:fill="FFFFFF"/>
          <w:vertAlign w:val="superscript"/>
        </w:rPr>
        <w:t>2</w:t>
      </w:r>
      <w:r>
        <w:rPr>
          <w:rFonts w:hint="eastAsia" w:ascii="宋体" w:hAnsi="宋体" w:eastAsia="宋体" w:cs="宋体"/>
          <w:i w:val="0"/>
          <w:iCs w:val="0"/>
          <w:caps w:val="0"/>
          <w:color w:val="auto"/>
          <w:spacing w:val="0"/>
          <w:sz w:val="21"/>
          <w:szCs w:val="21"/>
          <w:highlight w:val="none"/>
          <w:shd w:val="clear" w:color="auto" w:fill="FFFFFF"/>
        </w:rPr>
        <w:t>，厂址为</w:t>
      </w:r>
      <w:r>
        <w:rPr>
          <w:rStyle w:val="66"/>
          <w:rFonts w:hint="eastAsia" w:ascii="宋体" w:hAnsi="宋体" w:eastAsia="宋体" w:cs="宋体"/>
          <w:i w:val="0"/>
          <w:iCs w:val="0"/>
          <w:caps w:val="0"/>
          <w:color w:val="auto"/>
          <w:spacing w:val="0"/>
          <w:sz w:val="21"/>
          <w:szCs w:val="21"/>
          <w:highlight w:val="none"/>
          <w:shd w:val="clear" w:color="auto" w:fill="FFFFFF"/>
        </w:rPr>
        <w:t>（生产厂址）</w:t>
      </w:r>
      <w:r>
        <w:rPr>
          <w:rFonts w:hint="eastAsia" w:ascii="宋体" w:hAnsi="宋体" w:eastAsia="宋体" w:cs="宋体"/>
          <w:i w:val="0"/>
          <w:iCs w:val="0"/>
          <w:caps w:val="0"/>
          <w:color w:val="auto"/>
          <w:spacing w:val="0"/>
          <w:sz w:val="21"/>
          <w:szCs w:val="21"/>
          <w:highlight w:val="none"/>
          <w:shd w:val="clear" w:color="auto" w:fill="FFFFFF"/>
        </w:rPr>
        <w:t>。</w:t>
      </w:r>
      <w:r>
        <w:rPr>
          <w:rStyle w:val="66"/>
          <w:rFonts w:hint="eastAsia" w:ascii="宋体" w:hAnsi="宋体" w:eastAsia="宋体" w:cs="宋体"/>
          <w:i w:val="0"/>
          <w:iCs w:val="0"/>
          <w:caps w:val="0"/>
          <w:color w:val="auto"/>
          <w:spacing w:val="0"/>
          <w:sz w:val="21"/>
          <w:szCs w:val="21"/>
          <w:highlight w:val="none"/>
          <w:shd w:val="clear" w:color="auto" w:fill="FFFFFF"/>
        </w:rPr>
        <w:t>（产品名称1）</w:t>
      </w:r>
      <w:r>
        <w:rPr>
          <w:rFonts w:hint="eastAsia" w:ascii="宋体" w:hAnsi="宋体" w:eastAsia="宋体" w:cs="宋体"/>
          <w:i w:val="0"/>
          <w:iCs w:val="0"/>
          <w:caps w:val="0"/>
          <w:color w:val="auto"/>
          <w:spacing w:val="0"/>
          <w:sz w:val="21"/>
          <w:szCs w:val="21"/>
          <w:highlight w:val="none"/>
          <w:shd w:val="clear" w:color="auto" w:fill="FFFFFF"/>
        </w:rPr>
        <w:t>的中国境内生产的组件成本占比≥</w:t>
      </w:r>
      <w:r>
        <w:rPr>
          <w:rStyle w:val="66"/>
          <w:rFonts w:hint="eastAsia" w:ascii="宋体" w:hAnsi="宋体" w:eastAsia="宋体" w:cs="宋体"/>
          <w:i w:val="0"/>
          <w:iCs w:val="0"/>
          <w:caps w:val="0"/>
          <w:color w:val="auto"/>
          <w:spacing w:val="0"/>
          <w:sz w:val="21"/>
          <w:szCs w:val="21"/>
          <w:highlight w:val="none"/>
          <w:shd w:val="clear" w:color="auto" w:fill="FFFFFF"/>
        </w:rPr>
        <w:t>（规定比例）</w:t>
      </w:r>
      <w:r>
        <w:rPr>
          <w:rStyle w:val="66"/>
          <w:rFonts w:hint="eastAsia" w:ascii="宋体" w:hAnsi="宋体" w:eastAsia="宋体" w:cs="宋体"/>
          <w:i w:val="0"/>
          <w:iCs w:val="0"/>
          <w:caps w:val="0"/>
          <w:color w:val="auto"/>
          <w:spacing w:val="0"/>
          <w:sz w:val="21"/>
          <w:szCs w:val="21"/>
          <w:highlight w:val="none"/>
          <w:shd w:val="clear" w:color="auto" w:fill="FFFFFF"/>
          <w:vertAlign w:val="superscript"/>
        </w:rPr>
        <w:t>3</w:t>
      </w:r>
      <w:r>
        <w:rPr>
          <w:rFonts w:hint="eastAsia" w:ascii="宋体" w:hAnsi="宋体" w:eastAsia="宋体" w:cs="宋体"/>
          <w:i w:val="0"/>
          <w:iCs w:val="0"/>
          <w:caps w:val="0"/>
          <w:color w:val="auto"/>
          <w:spacing w:val="0"/>
          <w:sz w:val="21"/>
          <w:szCs w:val="21"/>
          <w:highlight w:val="none"/>
          <w:shd w:val="clear" w:color="auto" w:fill="FFFFFF"/>
        </w:rPr>
        <w:t>。</w:t>
      </w:r>
      <w:r>
        <w:rPr>
          <w:rStyle w:val="66"/>
          <w:rFonts w:hint="eastAsia" w:ascii="宋体" w:hAnsi="宋体" w:eastAsia="宋体" w:cs="宋体"/>
          <w:i w:val="0"/>
          <w:iCs w:val="0"/>
          <w:caps w:val="0"/>
          <w:color w:val="auto"/>
          <w:spacing w:val="0"/>
          <w:sz w:val="21"/>
          <w:szCs w:val="21"/>
          <w:highlight w:val="none"/>
          <w:shd w:val="clear" w:color="auto" w:fill="FFFFFF"/>
        </w:rPr>
        <w:t>（产品名称1）</w:t>
      </w:r>
      <w:r>
        <w:rPr>
          <w:rFonts w:hint="eastAsia" w:ascii="宋体" w:hAnsi="宋体" w:eastAsia="宋体" w:cs="宋体"/>
          <w:i w:val="0"/>
          <w:iCs w:val="0"/>
          <w:caps w:val="0"/>
          <w:color w:val="auto"/>
          <w:spacing w:val="0"/>
          <w:sz w:val="21"/>
          <w:szCs w:val="21"/>
          <w:highlight w:val="none"/>
          <w:shd w:val="clear" w:color="auto" w:fill="FFFFFF"/>
        </w:rPr>
        <w:t>的</w:t>
      </w:r>
      <w:r>
        <w:rPr>
          <w:rStyle w:val="66"/>
          <w:rFonts w:hint="eastAsia" w:ascii="宋体" w:hAnsi="宋体" w:eastAsia="宋体" w:cs="宋体"/>
          <w:i w:val="0"/>
          <w:iCs w:val="0"/>
          <w:caps w:val="0"/>
          <w:color w:val="auto"/>
          <w:spacing w:val="0"/>
          <w:sz w:val="21"/>
          <w:szCs w:val="21"/>
          <w:highlight w:val="none"/>
          <w:shd w:val="clear" w:color="auto" w:fill="FFFFFF"/>
        </w:rPr>
        <w:t>（关键组件）</w:t>
      </w:r>
      <w:r>
        <w:rPr>
          <w:rStyle w:val="66"/>
          <w:rFonts w:hint="eastAsia" w:ascii="宋体" w:hAnsi="宋体" w:eastAsia="宋体" w:cs="宋体"/>
          <w:i w:val="0"/>
          <w:iCs w:val="0"/>
          <w:caps w:val="0"/>
          <w:color w:val="auto"/>
          <w:spacing w:val="0"/>
          <w:sz w:val="21"/>
          <w:szCs w:val="21"/>
          <w:highlight w:val="none"/>
          <w:shd w:val="clear" w:color="auto" w:fill="FFFFFF"/>
          <w:vertAlign w:val="superscript"/>
        </w:rPr>
        <w:t>4</w:t>
      </w:r>
      <w:r>
        <w:rPr>
          <w:rFonts w:hint="eastAsia" w:ascii="宋体" w:hAnsi="宋体" w:eastAsia="宋体" w:cs="宋体"/>
          <w:i w:val="0"/>
          <w:iCs w:val="0"/>
          <w:caps w:val="0"/>
          <w:color w:val="auto"/>
          <w:spacing w:val="0"/>
          <w:sz w:val="21"/>
          <w:szCs w:val="21"/>
          <w:highlight w:val="none"/>
          <w:shd w:val="clear" w:color="auto" w:fill="FFFFFF"/>
        </w:rPr>
        <w:t>在中国境内生产。</w:t>
      </w:r>
      <w:r>
        <w:rPr>
          <w:rStyle w:val="66"/>
          <w:rFonts w:hint="eastAsia" w:ascii="宋体" w:hAnsi="宋体" w:eastAsia="宋体" w:cs="宋体"/>
          <w:i w:val="0"/>
          <w:iCs w:val="0"/>
          <w:caps w:val="0"/>
          <w:color w:val="auto"/>
          <w:spacing w:val="0"/>
          <w:sz w:val="21"/>
          <w:szCs w:val="21"/>
          <w:highlight w:val="none"/>
          <w:shd w:val="clear" w:color="auto" w:fill="FFFFFF"/>
        </w:rPr>
        <w:t>（产品名称1）</w:t>
      </w:r>
      <w:r>
        <w:rPr>
          <w:rFonts w:hint="eastAsia" w:ascii="宋体" w:hAnsi="宋体" w:eastAsia="宋体" w:cs="宋体"/>
          <w:i w:val="0"/>
          <w:iCs w:val="0"/>
          <w:caps w:val="0"/>
          <w:color w:val="auto"/>
          <w:spacing w:val="0"/>
          <w:sz w:val="21"/>
          <w:szCs w:val="21"/>
          <w:highlight w:val="none"/>
          <w:shd w:val="clear" w:color="auto" w:fill="FFFFFF"/>
        </w:rPr>
        <w:t>的</w:t>
      </w:r>
      <w:r>
        <w:rPr>
          <w:rStyle w:val="66"/>
          <w:rFonts w:hint="eastAsia" w:ascii="宋体" w:hAnsi="宋体" w:eastAsia="宋体" w:cs="宋体"/>
          <w:i w:val="0"/>
          <w:iCs w:val="0"/>
          <w:caps w:val="0"/>
          <w:color w:val="auto"/>
          <w:spacing w:val="0"/>
          <w:sz w:val="21"/>
          <w:szCs w:val="21"/>
          <w:highlight w:val="none"/>
          <w:shd w:val="clear" w:color="auto" w:fill="FFFFFF"/>
        </w:rPr>
        <w:t>（关键工序）</w:t>
      </w:r>
      <w:r>
        <w:rPr>
          <w:rStyle w:val="66"/>
          <w:rFonts w:hint="eastAsia" w:ascii="宋体" w:hAnsi="宋体" w:eastAsia="宋体" w:cs="宋体"/>
          <w:i w:val="0"/>
          <w:iCs w:val="0"/>
          <w:caps w:val="0"/>
          <w:color w:val="auto"/>
          <w:spacing w:val="0"/>
          <w:sz w:val="21"/>
          <w:szCs w:val="21"/>
          <w:highlight w:val="none"/>
          <w:shd w:val="clear" w:color="auto" w:fill="FFFFFF"/>
          <w:vertAlign w:val="superscript"/>
        </w:rPr>
        <w:t>5</w:t>
      </w:r>
      <w:r>
        <w:rPr>
          <w:rFonts w:hint="eastAsia" w:ascii="宋体" w:hAnsi="宋体" w:eastAsia="宋体" w:cs="宋体"/>
          <w:i w:val="0"/>
          <w:iCs w:val="0"/>
          <w:caps w:val="0"/>
          <w:color w:val="auto"/>
          <w:spacing w:val="0"/>
          <w:sz w:val="21"/>
          <w:szCs w:val="21"/>
          <w:highlight w:val="none"/>
          <w:shd w:val="clear" w:color="auto" w:fill="FFFFFF"/>
        </w:rPr>
        <w:t>在中国境内完成。</w:t>
      </w:r>
    </w:p>
    <w:p w14:paraId="22D3969E">
      <w:pPr>
        <w:pStyle w:val="5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napToGrid/>
        <w:spacing w:before="0" w:beforeAutospacing="0" w:after="0" w:afterAutospacing="0" w:line="360" w:lineRule="auto"/>
        <w:ind w:left="0" w:right="0" w:firstLine="420" w:firstLineChars="200"/>
        <w:textAlignment w:val="auto"/>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FFFFFF"/>
        </w:rPr>
        <w:t>2.</w:t>
      </w:r>
      <w:r>
        <w:rPr>
          <w:rStyle w:val="66"/>
          <w:rFonts w:hint="eastAsia" w:ascii="宋体" w:hAnsi="宋体" w:eastAsia="宋体" w:cs="宋体"/>
          <w:i w:val="0"/>
          <w:iCs w:val="0"/>
          <w:caps w:val="0"/>
          <w:color w:val="auto"/>
          <w:spacing w:val="0"/>
          <w:sz w:val="21"/>
          <w:szCs w:val="21"/>
          <w:highlight w:val="none"/>
          <w:shd w:val="clear" w:color="auto" w:fill="FFFFFF"/>
        </w:rPr>
        <w:t>（产品名称2）</w:t>
      </w:r>
      <w:r>
        <w:rPr>
          <w:rFonts w:hint="eastAsia" w:ascii="宋体" w:hAnsi="宋体" w:eastAsia="宋体" w:cs="宋体"/>
          <w:i w:val="0"/>
          <w:iCs w:val="0"/>
          <w:caps w:val="0"/>
          <w:color w:val="auto"/>
          <w:spacing w:val="0"/>
          <w:sz w:val="21"/>
          <w:szCs w:val="21"/>
          <w:highlight w:val="none"/>
          <w:shd w:val="clear" w:color="auto" w:fill="FFFFFF"/>
        </w:rPr>
        <w:t>，生产厂为</w:t>
      </w:r>
      <w:r>
        <w:rPr>
          <w:rStyle w:val="66"/>
          <w:rFonts w:hint="eastAsia" w:ascii="宋体" w:hAnsi="宋体" w:eastAsia="宋体" w:cs="宋体"/>
          <w:i w:val="0"/>
          <w:iCs w:val="0"/>
          <w:caps w:val="0"/>
          <w:color w:val="auto"/>
          <w:spacing w:val="0"/>
          <w:sz w:val="21"/>
          <w:szCs w:val="21"/>
          <w:highlight w:val="none"/>
          <w:shd w:val="clear" w:color="auto" w:fill="FFFFFF"/>
        </w:rPr>
        <w:t>（厂名）</w:t>
      </w:r>
      <w:r>
        <w:rPr>
          <w:rFonts w:hint="eastAsia" w:ascii="宋体" w:hAnsi="宋体" w:eastAsia="宋体" w:cs="宋体"/>
          <w:i w:val="0"/>
          <w:iCs w:val="0"/>
          <w:caps w:val="0"/>
          <w:color w:val="auto"/>
          <w:spacing w:val="0"/>
          <w:sz w:val="21"/>
          <w:szCs w:val="21"/>
          <w:highlight w:val="none"/>
          <w:shd w:val="clear" w:color="auto" w:fill="FFFFFF"/>
        </w:rPr>
        <w:t>，厂址为</w:t>
      </w:r>
      <w:r>
        <w:rPr>
          <w:rStyle w:val="66"/>
          <w:rFonts w:hint="eastAsia" w:ascii="宋体" w:hAnsi="宋体" w:eastAsia="宋体" w:cs="宋体"/>
          <w:i w:val="0"/>
          <w:iCs w:val="0"/>
          <w:caps w:val="0"/>
          <w:color w:val="auto"/>
          <w:spacing w:val="0"/>
          <w:sz w:val="21"/>
          <w:szCs w:val="21"/>
          <w:highlight w:val="none"/>
          <w:shd w:val="clear" w:color="auto" w:fill="FFFFFF"/>
        </w:rPr>
        <w:t>（生产厂址）</w:t>
      </w:r>
      <w:r>
        <w:rPr>
          <w:rFonts w:hint="eastAsia" w:ascii="宋体" w:hAnsi="宋体" w:eastAsia="宋体" w:cs="宋体"/>
          <w:i w:val="0"/>
          <w:iCs w:val="0"/>
          <w:caps w:val="0"/>
          <w:color w:val="auto"/>
          <w:spacing w:val="0"/>
          <w:sz w:val="21"/>
          <w:szCs w:val="21"/>
          <w:highlight w:val="none"/>
          <w:shd w:val="clear" w:color="auto" w:fill="FFFFFF"/>
        </w:rPr>
        <w:t>。</w:t>
      </w:r>
      <w:r>
        <w:rPr>
          <w:rStyle w:val="66"/>
          <w:rFonts w:hint="eastAsia" w:ascii="宋体" w:hAnsi="宋体" w:eastAsia="宋体" w:cs="宋体"/>
          <w:i w:val="0"/>
          <w:iCs w:val="0"/>
          <w:caps w:val="0"/>
          <w:color w:val="auto"/>
          <w:spacing w:val="0"/>
          <w:sz w:val="21"/>
          <w:szCs w:val="21"/>
          <w:highlight w:val="none"/>
          <w:shd w:val="clear" w:color="auto" w:fill="FFFFFF"/>
        </w:rPr>
        <w:t>（产品名称2）</w:t>
      </w:r>
      <w:r>
        <w:rPr>
          <w:rFonts w:hint="eastAsia" w:ascii="宋体" w:hAnsi="宋体" w:eastAsia="宋体" w:cs="宋体"/>
          <w:i w:val="0"/>
          <w:iCs w:val="0"/>
          <w:caps w:val="0"/>
          <w:color w:val="auto"/>
          <w:spacing w:val="0"/>
          <w:sz w:val="21"/>
          <w:szCs w:val="21"/>
          <w:highlight w:val="none"/>
          <w:shd w:val="clear" w:color="auto" w:fill="FFFFFF"/>
        </w:rPr>
        <w:t>的中国境内生产的组件成本占比≥</w:t>
      </w:r>
      <w:r>
        <w:rPr>
          <w:rStyle w:val="66"/>
          <w:rFonts w:hint="eastAsia" w:ascii="宋体" w:hAnsi="宋体" w:eastAsia="宋体" w:cs="宋体"/>
          <w:i w:val="0"/>
          <w:iCs w:val="0"/>
          <w:caps w:val="0"/>
          <w:color w:val="auto"/>
          <w:spacing w:val="0"/>
          <w:sz w:val="21"/>
          <w:szCs w:val="21"/>
          <w:highlight w:val="none"/>
          <w:shd w:val="clear" w:color="auto" w:fill="FFFFFF"/>
        </w:rPr>
        <w:t>（规定比例）</w:t>
      </w:r>
      <w:r>
        <w:rPr>
          <w:rFonts w:hint="eastAsia" w:ascii="宋体" w:hAnsi="宋体" w:eastAsia="宋体" w:cs="宋体"/>
          <w:i w:val="0"/>
          <w:iCs w:val="0"/>
          <w:caps w:val="0"/>
          <w:color w:val="auto"/>
          <w:spacing w:val="0"/>
          <w:sz w:val="21"/>
          <w:szCs w:val="21"/>
          <w:highlight w:val="none"/>
          <w:shd w:val="clear" w:color="auto" w:fill="FFFFFF"/>
        </w:rPr>
        <w:t>。</w:t>
      </w:r>
      <w:r>
        <w:rPr>
          <w:rStyle w:val="66"/>
          <w:rFonts w:hint="eastAsia" w:ascii="宋体" w:hAnsi="宋体" w:eastAsia="宋体" w:cs="宋体"/>
          <w:i w:val="0"/>
          <w:iCs w:val="0"/>
          <w:caps w:val="0"/>
          <w:color w:val="auto"/>
          <w:spacing w:val="0"/>
          <w:sz w:val="21"/>
          <w:szCs w:val="21"/>
          <w:highlight w:val="none"/>
          <w:shd w:val="clear" w:color="auto" w:fill="FFFFFF"/>
        </w:rPr>
        <w:t>（产品名称2）</w:t>
      </w:r>
      <w:r>
        <w:rPr>
          <w:rFonts w:hint="eastAsia" w:ascii="宋体" w:hAnsi="宋体" w:eastAsia="宋体" w:cs="宋体"/>
          <w:i w:val="0"/>
          <w:iCs w:val="0"/>
          <w:caps w:val="0"/>
          <w:color w:val="auto"/>
          <w:spacing w:val="0"/>
          <w:sz w:val="21"/>
          <w:szCs w:val="21"/>
          <w:highlight w:val="none"/>
          <w:shd w:val="clear" w:color="auto" w:fill="FFFFFF"/>
        </w:rPr>
        <w:t>的</w:t>
      </w:r>
      <w:r>
        <w:rPr>
          <w:rStyle w:val="66"/>
          <w:rFonts w:hint="eastAsia" w:ascii="宋体" w:hAnsi="宋体" w:eastAsia="宋体" w:cs="宋体"/>
          <w:i w:val="0"/>
          <w:iCs w:val="0"/>
          <w:caps w:val="0"/>
          <w:color w:val="auto"/>
          <w:spacing w:val="0"/>
          <w:sz w:val="21"/>
          <w:szCs w:val="21"/>
          <w:highlight w:val="none"/>
          <w:shd w:val="clear" w:color="auto" w:fill="FFFFFF"/>
        </w:rPr>
        <w:t>（关键组件）</w:t>
      </w:r>
      <w:r>
        <w:rPr>
          <w:rFonts w:hint="eastAsia" w:ascii="宋体" w:hAnsi="宋体" w:eastAsia="宋体" w:cs="宋体"/>
          <w:i w:val="0"/>
          <w:iCs w:val="0"/>
          <w:caps w:val="0"/>
          <w:color w:val="auto"/>
          <w:spacing w:val="0"/>
          <w:sz w:val="21"/>
          <w:szCs w:val="21"/>
          <w:highlight w:val="none"/>
          <w:shd w:val="clear" w:color="auto" w:fill="FFFFFF"/>
        </w:rPr>
        <w:t>在中国境内生产。</w:t>
      </w:r>
      <w:r>
        <w:rPr>
          <w:rStyle w:val="66"/>
          <w:rFonts w:hint="eastAsia" w:ascii="宋体" w:hAnsi="宋体" w:eastAsia="宋体" w:cs="宋体"/>
          <w:i w:val="0"/>
          <w:iCs w:val="0"/>
          <w:caps w:val="0"/>
          <w:color w:val="auto"/>
          <w:spacing w:val="0"/>
          <w:sz w:val="21"/>
          <w:szCs w:val="21"/>
          <w:highlight w:val="none"/>
          <w:shd w:val="clear" w:color="auto" w:fill="FFFFFF"/>
        </w:rPr>
        <w:t>（产品名称2）</w:t>
      </w:r>
      <w:r>
        <w:rPr>
          <w:rFonts w:hint="eastAsia" w:ascii="宋体" w:hAnsi="宋体" w:eastAsia="宋体" w:cs="宋体"/>
          <w:i w:val="0"/>
          <w:iCs w:val="0"/>
          <w:caps w:val="0"/>
          <w:color w:val="auto"/>
          <w:spacing w:val="0"/>
          <w:sz w:val="21"/>
          <w:szCs w:val="21"/>
          <w:highlight w:val="none"/>
          <w:shd w:val="clear" w:color="auto" w:fill="FFFFFF"/>
        </w:rPr>
        <w:t>的</w:t>
      </w:r>
      <w:r>
        <w:rPr>
          <w:rStyle w:val="66"/>
          <w:rFonts w:hint="eastAsia" w:ascii="宋体" w:hAnsi="宋体" w:eastAsia="宋体" w:cs="宋体"/>
          <w:i w:val="0"/>
          <w:iCs w:val="0"/>
          <w:caps w:val="0"/>
          <w:color w:val="auto"/>
          <w:spacing w:val="0"/>
          <w:sz w:val="21"/>
          <w:szCs w:val="21"/>
          <w:highlight w:val="none"/>
          <w:shd w:val="clear" w:color="auto" w:fill="FFFFFF"/>
        </w:rPr>
        <w:t>（关键工序）</w:t>
      </w:r>
      <w:r>
        <w:rPr>
          <w:rFonts w:hint="eastAsia" w:ascii="宋体" w:hAnsi="宋体" w:eastAsia="宋体" w:cs="宋体"/>
          <w:i w:val="0"/>
          <w:iCs w:val="0"/>
          <w:caps w:val="0"/>
          <w:color w:val="auto"/>
          <w:spacing w:val="0"/>
          <w:sz w:val="21"/>
          <w:szCs w:val="21"/>
          <w:highlight w:val="none"/>
          <w:shd w:val="clear" w:color="auto" w:fill="FFFFFF"/>
        </w:rPr>
        <w:t>在中国境内完成。</w:t>
      </w:r>
    </w:p>
    <w:p w14:paraId="55B72F74">
      <w:pPr>
        <w:pStyle w:val="5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napToGrid/>
        <w:spacing w:before="0" w:beforeAutospacing="0" w:after="0" w:afterAutospacing="0" w:line="360" w:lineRule="auto"/>
        <w:ind w:left="0" w:right="0" w:firstLine="420" w:firstLineChars="200"/>
        <w:textAlignment w:val="auto"/>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FFFFFF"/>
        </w:rPr>
        <w:t>……</w:t>
      </w:r>
    </w:p>
    <w:p w14:paraId="601C7623">
      <w:pPr>
        <w:pStyle w:val="5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napToGrid/>
        <w:spacing w:before="0" w:beforeAutospacing="0" w:after="0" w:afterAutospacing="0" w:line="360" w:lineRule="auto"/>
        <w:ind w:left="0" w:right="0" w:firstLine="420" w:firstLineChars="200"/>
        <w:textAlignment w:val="auto"/>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FFFFFF"/>
        </w:rPr>
        <w:t>本公司（单位）对上述声明内容的真实性负责。如有虚假，愿承担相应法律责任。</w:t>
      </w:r>
    </w:p>
    <w:p w14:paraId="3F6EC1D9">
      <w:pPr>
        <w:pStyle w:val="5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napToGrid/>
        <w:spacing w:before="0" w:beforeAutospacing="0" w:after="0" w:afterAutospacing="0" w:line="360" w:lineRule="auto"/>
        <w:ind w:left="0" w:right="0" w:firstLine="420" w:firstLineChars="200"/>
        <w:jc w:val="left"/>
        <w:textAlignment w:val="auto"/>
        <w:rPr>
          <w:rFonts w:hint="eastAsia" w:ascii="宋体" w:hAnsi="宋体" w:eastAsia="宋体" w:cs="宋体"/>
          <w:i w:val="0"/>
          <w:iCs w:val="0"/>
          <w:caps w:val="0"/>
          <w:color w:val="auto"/>
          <w:spacing w:val="0"/>
          <w:sz w:val="21"/>
          <w:szCs w:val="21"/>
          <w:highlight w:val="none"/>
          <w:shd w:val="clear" w:color="auto" w:fill="FFFFFF"/>
        </w:rPr>
      </w:pPr>
    </w:p>
    <w:p w14:paraId="566CABBC">
      <w:pPr>
        <w:pStyle w:val="5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napToGrid/>
        <w:spacing w:before="0" w:beforeAutospacing="0" w:after="0" w:afterAutospacing="0" w:line="360" w:lineRule="auto"/>
        <w:ind w:left="0" w:right="0" w:firstLine="420" w:firstLineChars="200"/>
        <w:jc w:val="left"/>
        <w:textAlignment w:val="auto"/>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FFFFFF"/>
        </w:rPr>
        <w:t>公司（单位）名称（盖章）：      </w:t>
      </w:r>
    </w:p>
    <w:p w14:paraId="0CA282AE">
      <w:pPr>
        <w:pStyle w:val="5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napToGrid/>
        <w:spacing w:before="0" w:beforeAutospacing="0" w:after="0" w:afterAutospacing="0" w:line="360" w:lineRule="auto"/>
        <w:ind w:left="0" w:right="0" w:firstLine="420" w:firstLineChars="200"/>
        <w:jc w:val="left"/>
        <w:textAlignment w:val="auto"/>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FFFFFF"/>
        </w:rPr>
        <w:t>日期：　　　年　　月　日    </w:t>
      </w:r>
    </w:p>
    <w:p w14:paraId="5D59C66A">
      <w:pPr>
        <w:keepNext w:val="0"/>
        <w:keepLines w:val="0"/>
        <w:pageBreakBefore w:val="0"/>
        <w:numPr>
          <w:ilvl w:val="0"/>
          <w:numId w:val="0"/>
        </w:numPr>
        <w:kinsoku/>
        <w:wordWrap/>
        <w:overflowPunct/>
        <w:topLinePunct w:val="0"/>
        <w:autoSpaceDE/>
        <w:autoSpaceDN/>
        <w:bidi w:val="0"/>
        <w:snapToGrid/>
        <w:spacing w:line="360" w:lineRule="auto"/>
        <w:ind w:firstLine="420" w:firstLineChars="200"/>
        <w:jc w:val="left"/>
        <w:textAlignment w:val="auto"/>
        <w:rPr>
          <w:rFonts w:hint="eastAsia" w:ascii="宋体" w:hAnsi="宋体" w:eastAsia="宋体" w:cs="宋体"/>
          <w:b w:val="0"/>
          <w:bCs w:val="0"/>
          <w:color w:val="auto"/>
          <w:sz w:val="21"/>
          <w:szCs w:val="21"/>
          <w:highlight w:val="none"/>
        </w:rPr>
      </w:pPr>
    </w:p>
    <w:p w14:paraId="11A59DB3">
      <w:pPr>
        <w:keepNext w:val="0"/>
        <w:keepLines w:val="0"/>
        <w:pageBreakBefore w:val="0"/>
        <w:numPr>
          <w:ilvl w:val="0"/>
          <w:numId w:val="0"/>
        </w:numPr>
        <w:kinsoku/>
        <w:wordWrap/>
        <w:overflowPunct/>
        <w:topLinePunct w:val="0"/>
        <w:autoSpaceDE/>
        <w:autoSpaceDN/>
        <w:bidi w:val="0"/>
        <w:snapToGrid/>
        <w:spacing w:line="360" w:lineRule="auto"/>
        <w:ind w:firstLine="420" w:firstLineChars="200"/>
        <w:jc w:val="left"/>
        <w:textAlignment w:val="auto"/>
        <w:rPr>
          <w:rFonts w:hint="eastAsia" w:ascii="宋体" w:hAnsi="宋体" w:eastAsia="宋体" w:cs="宋体"/>
          <w:b w:val="0"/>
          <w:bCs w:val="0"/>
          <w:color w:val="auto"/>
          <w:sz w:val="21"/>
          <w:szCs w:val="21"/>
          <w:highlight w:val="none"/>
        </w:rPr>
      </w:pPr>
    </w:p>
    <w:p w14:paraId="74FCBEBA">
      <w:pPr>
        <w:keepNext w:val="0"/>
        <w:keepLines w:val="0"/>
        <w:pageBreakBefore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 xml:space="preserve">关于符合本国产品标准的声明函说明： </w:t>
      </w:r>
    </w:p>
    <w:p w14:paraId="21EBA030">
      <w:pPr>
        <w:pStyle w:val="5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20"/>
        <w:textAlignment w:val="auto"/>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FFFFFF"/>
        </w:rPr>
        <w:t>1.产品如有型号，请在“产品名称”栏一并填写。</w:t>
      </w:r>
    </w:p>
    <w:p w14:paraId="22728757">
      <w:pPr>
        <w:pStyle w:val="5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20"/>
        <w:textAlignment w:val="auto"/>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FFFFFF"/>
        </w:rPr>
        <w:t>2.生产厂名与厂址应与生产厂营业执照载明的相关信息保持一致。</w:t>
      </w:r>
    </w:p>
    <w:p w14:paraId="680590F3">
      <w:pPr>
        <w:rPr>
          <w:rFonts w:hint="eastAsia" w:ascii="宋体" w:hAnsi="宋体" w:eastAsia="宋体" w:cs="宋体"/>
          <w:i w:val="0"/>
          <w:iCs w:val="0"/>
          <w:caps w:val="0"/>
          <w:color w:val="auto"/>
          <w:spacing w:val="0"/>
          <w:sz w:val="21"/>
          <w:szCs w:val="21"/>
          <w:highlight w:val="none"/>
          <w:shd w:val="clear" w:color="auto" w:fill="FFFFFF"/>
        </w:rPr>
      </w:pPr>
      <w:r>
        <w:rPr>
          <w:rFonts w:hint="eastAsia" w:ascii="宋体" w:hAnsi="宋体" w:eastAsia="宋体" w:cs="宋体"/>
          <w:i w:val="0"/>
          <w:iCs w:val="0"/>
          <w:caps w:val="0"/>
          <w:color w:val="auto"/>
          <w:spacing w:val="0"/>
          <w:sz w:val="21"/>
          <w:szCs w:val="21"/>
          <w:highlight w:val="none"/>
          <w:shd w:val="clear" w:color="auto" w:fill="FFFFFF"/>
        </w:rPr>
        <w:br w:type="page"/>
      </w:r>
    </w:p>
    <w:p w14:paraId="77FC3A44">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jc w:val="center"/>
        <w:textAlignment w:val="auto"/>
        <w:rPr>
          <w:rFonts w:ascii="宋体" w:hAnsi="宋体" w:eastAsia="宋体" w:cs="宋体"/>
          <w:b/>
          <w:bCs/>
          <w:color w:val="auto"/>
          <w:sz w:val="32"/>
          <w:szCs w:val="32"/>
          <w:highlight w:val="none"/>
        </w:rPr>
      </w:pPr>
    </w:p>
    <w:p w14:paraId="6AD6A473">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jc w:val="center"/>
        <w:textAlignment w:val="auto"/>
        <w:rPr>
          <w:rFonts w:ascii="宋体" w:hAnsi="宋体" w:eastAsia="宋体" w:cs="宋体"/>
          <w:b/>
          <w:bCs/>
          <w:color w:val="auto"/>
          <w:sz w:val="32"/>
          <w:szCs w:val="32"/>
          <w:highlight w:val="none"/>
        </w:rPr>
      </w:pPr>
      <w:r>
        <w:rPr>
          <w:rFonts w:ascii="宋体" w:hAnsi="宋体" w:eastAsia="宋体" w:cs="宋体"/>
          <w:b/>
          <w:bCs/>
          <w:color w:val="auto"/>
          <w:sz w:val="32"/>
          <w:szCs w:val="32"/>
          <w:highlight w:val="none"/>
        </w:rPr>
        <w:t>关于本国产品比例的承诺函</w:t>
      </w:r>
    </w:p>
    <w:p w14:paraId="7660E87A">
      <w:pPr>
        <w:keepNext w:val="0"/>
        <w:keepLines w:val="0"/>
        <w:pageBreakBefore w:val="0"/>
        <w:numPr>
          <w:ilvl w:val="0"/>
          <w:numId w:val="0"/>
        </w:numPr>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rPr>
      </w:pPr>
    </w:p>
    <w:p w14:paraId="5FD9C08E">
      <w:pPr>
        <w:keepNext w:val="0"/>
        <w:keepLines w:val="0"/>
        <w:pageBreakBefore w:val="0"/>
        <w:numPr>
          <w:ilvl w:val="0"/>
          <w:numId w:val="0"/>
        </w:numPr>
        <w:kinsoku/>
        <w:wordWrap/>
        <w:overflowPunct/>
        <w:topLinePunct w:val="0"/>
        <w:autoSpaceDE/>
        <w:autoSpaceDN/>
        <w:bidi w:val="0"/>
        <w:adjustRightInd w:val="0"/>
        <w:snapToGrid/>
        <w:spacing w:line="360" w:lineRule="auto"/>
        <w:ind w:firstLine="420" w:firstLineChars="200"/>
        <w:jc w:val="left"/>
        <w:textAlignment w:val="auto"/>
        <w:rPr>
          <w:rFonts w:hint="eastAsia" w:ascii="宋体" w:hAnsi="宋体" w:eastAsia="宋体" w:cs="宋体"/>
          <w:color w:val="auto"/>
          <w:kern w:val="0"/>
          <w:sz w:val="21"/>
          <w:szCs w:val="21"/>
          <w:highlight w:val="none"/>
          <w:shd w:val="clear" w:color="auto" w:fill="FFFFFF"/>
        </w:rPr>
      </w:pPr>
      <w:r>
        <w:rPr>
          <w:rFonts w:hint="eastAsia" w:ascii="宋体" w:hAnsi="宋体" w:eastAsia="宋体" w:cs="宋体"/>
          <w:color w:val="auto"/>
          <w:kern w:val="0"/>
          <w:sz w:val="21"/>
          <w:szCs w:val="21"/>
          <w:highlight w:val="none"/>
          <w:shd w:val="clear" w:color="auto" w:fill="FFFFFF"/>
        </w:rPr>
        <w:t>本公司(单位)郑重声明，根据《国务院办公厅关于在政府采购中实施本国产品标准及相关政策的通知》(国办发(2025)34号)的规定，本公司(单位)提供的符合本国产品标准的产品成本之和占提供的全部产品成本之和的比例达到</w:t>
      </w:r>
      <w:r>
        <w:rPr>
          <w:rFonts w:hint="eastAsia" w:ascii="宋体" w:hAnsi="宋体" w:cs="宋体"/>
          <w:color w:val="auto"/>
          <w:kern w:val="0"/>
          <w:sz w:val="21"/>
          <w:szCs w:val="21"/>
          <w:highlight w:val="none"/>
          <w:shd w:val="clear" w:color="auto" w:fill="FFFFFF"/>
          <w:lang w:val="en-US" w:eastAsia="zh-CN"/>
        </w:rPr>
        <w:t xml:space="preserve">    </w:t>
      </w:r>
      <w:r>
        <w:rPr>
          <w:rFonts w:hint="eastAsia" w:ascii="宋体" w:hAnsi="宋体" w:eastAsia="宋体" w:cs="宋体"/>
          <w:color w:val="auto"/>
          <w:kern w:val="0"/>
          <w:sz w:val="21"/>
          <w:szCs w:val="21"/>
          <w:highlight w:val="none"/>
          <w:shd w:val="clear" w:color="auto" w:fill="FFFFFF"/>
        </w:rPr>
        <w:t>以上。</w:t>
      </w:r>
    </w:p>
    <w:p w14:paraId="2A154F39">
      <w:pPr>
        <w:keepNext w:val="0"/>
        <w:keepLines w:val="0"/>
        <w:pageBreakBefore w:val="0"/>
        <w:numPr>
          <w:ilvl w:val="0"/>
          <w:numId w:val="0"/>
        </w:numPr>
        <w:kinsoku/>
        <w:wordWrap/>
        <w:overflowPunct/>
        <w:topLinePunct w:val="0"/>
        <w:autoSpaceDE/>
        <w:autoSpaceDN/>
        <w:bidi w:val="0"/>
        <w:adjustRightInd w:val="0"/>
        <w:snapToGrid/>
        <w:spacing w:line="360" w:lineRule="auto"/>
        <w:ind w:firstLine="420" w:firstLineChars="200"/>
        <w:jc w:val="left"/>
        <w:textAlignment w:val="auto"/>
        <w:rPr>
          <w:rFonts w:hint="eastAsia" w:ascii="宋体" w:hAnsi="宋体" w:eastAsia="宋体" w:cs="宋体"/>
          <w:b w:val="0"/>
          <w:bCs w:val="0"/>
          <w:color w:val="auto"/>
          <w:kern w:val="0"/>
          <w:sz w:val="21"/>
          <w:szCs w:val="21"/>
          <w:highlight w:val="none"/>
          <w:shd w:val="clear" w:color="auto" w:fill="FFFFFF"/>
          <w:lang w:val="en-US" w:eastAsia="zh-CN"/>
        </w:rPr>
      </w:pPr>
      <w:r>
        <w:rPr>
          <w:rFonts w:hint="eastAsia" w:ascii="宋体" w:hAnsi="宋体" w:eastAsia="宋体" w:cs="宋体"/>
          <w:b w:val="0"/>
          <w:bCs w:val="0"/>
          <w:color w:val="auto"/>
          <w:kern w:val="0"/>
          <w:sz w:val="21"/>
          <w:szCs w:val="21"/>
          <w:highlight w:val="none"/>
          <w:shd w:val="clear" w:color="auto" w:fill="FFFFFF"/>
        </w:rPr>
        <w:t>本公司(单位)对上述承诺内容的真实性负责。如有虚假，愿承担相应法律</w:t>
      </w:r>
      <w:r>
        <w:rPr>
          <w:rFonts w:hint="eastAsia" w:ascii="宋体" w:hAnsi="宋体" w:eastAsia="宋体" w:cs="宋体"/>
          <w:b w:val="0"/>
          <w:bCs w:val="0"/>
          <w:color w:val="auto"/>
          <w:kern w:val="0"/>
          <w:sz w:val="21"/>
          <w:szCs w:val="21"/>
          <w:highlight w:val="none"/>
          <w:shd w:val="clear" w:color="auto" w:fill="FFFFFF"/>
          <w:lang w:val="en-US" w:eastAsia="zh-CN"/>
        </w:rPr>
        <w:t>责任。</w:t>
      </w:r>
    </w:p>
    <w:p w14:paraId="791E5283">
      <w:pPr>
        <w:pStyle w:val="5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spacing w:before="0" w:beforeAutospacing="0" w:after="0" w:afterAutospacing="0" w:line="360" w:lineRule="auto"/>
        <w:ind w:left="0" w:right="0" w:firstLine="0" w:firstLineChars="0"/>
        <w:jc w:val="left"/>
        <w:textAlignment w:val="auto"/>
        <w:rPr>
          <w:rFonts w:hint="eastAsia" w:ascii="宋体" w:hAnsi="宋体" w:eastAsia="宋体" w:cs="宋体"/>
          <w:i w:val="0"/>
          <w:iCs w:val="0"/>
          <w:caps w:val="0"/>
          <w:color w:val="auto"/>
          <w:spacing w:val="0"/>
          <w:sz w:val="21"/>
          <w:szCs w:val="21"/>
          <w:highlight w:val="none"/>
          <w:shd w:val="clear" w:color="auto" w:fill="FFFFFF"/>
        </w:rPr>
      </w:pPr>
    </w:p>
    <w:p w14:paraId="24C8B39B">
      <w:pPr>
        <w:pStyle w:val="5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spacing w:before="0" w:beforeAutospacing="0" w:after="0" w:afterAutospacing="0" w:line="360" w:lineRule="auto"/>
        <w:ind w:left="0" w:right="0" w:firstLine="210" w:firstLineChars="100"/>
        <w:jc w:val="left"/>
        <w:textAlignment w:val="auto"/>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FFFFFF"/>
        </w:rPr>
        <w:t>公司（单位）名称（盖章）：      </w:t>
      </w:r>
    </w:p>
    <w:p w14:paraId="4F9ED1B3">
      <w:pPr>
        <w:keepNext w:val="0"/>
        <w:keepLines w:val="0"/>
        <w:pageBreakBefore w:val="0"/>
        <w:numPr>
          <w:ilvl w:val="0"/>
          <w:numId w:val="0"/>
        </w:numPr>
        <w:kinsoku/>
        <w:wordWrap/>
        <w:overflowPunct/>
        <w:topLinePunct w:val="0"/>
        <w:autoSpaceDE/>
        <w:autoSpaceDN/>
        <w:bidi w:val="0"/>
        <w:adjustRightInd w:val="0"/>
        <w:snapToGrid/>
        <w:spacing w:line="360" w:lineRule="auto"/>
        <w:ind w:firstLine="210" w:firstLineChars="10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i w:val="0"/>
          <w:iCs w:val="0"/>
          <w:caps w:val="0"/>
          <w:color w:val="auto"/>
          <w:spacing w:val="0"/>
          <w:sz w:val="21"/>
          <w:szCs w:val="21"/>
          <w:highlight w:val="none"/>
          <w:shd w:val="clear" w:color="auto" w:fill="FFFFFF"/>
        </w:rPr>
        <w:t>日期：　　　年　　</w:t>
      </w:r>
      <w:r>
        <w:rPr>
          <w:rFonts w:hint="eastAsia" w:ascii="宋体" w:hAnsi="宋体" w:eastAsia="宋体" w:cs="宋体"/>
          <w:i w:val="0"/>
          <w:iCs w:val="0"/>
          <w:caps w:val="0"/>
          <w:color w:val="auto"/>
          <w:spacing w:val="0"/>
          <w:sz w:val="21"/>
          <w:szCs w:val="21"/>
          <w:highlight w:val="none"/>
          <w:shd w:val="clear" w:color="auto" w:fill="FFFFFF"/>
          <w:lang w:val="en-US" w:eastAsia="zh-CN"/>
        </w:rPr>
        <w:t xml:space="preserve"> </w:t>
      </w:r>
      <w:r>
        <w:rPr>
          <w:rFonts w:hint="eastAsia" w:ascii="宋体" w:hAnsi="宋体" w:eastAsia="宋体" w:cs="宋体"/>
          <w:i w:val="0"/>
          <w:iCs w:val="0"/>
          <w:caps w:val="0"/>
          <w:color w:val="auto"/>
          <w:spacing w:val="0"/>
          <w:sz w:val="21"/>
          <w:szCs w:val="21"/>
          <w:highlight w:val="none"/>
          <w:shd w:val="clear" w:color="auto" w:fill="FFFFFF"/>
        </w:rPr>
        <w:t>月</w:t>
      </w:r>
      <w:r>
        <w:rPr>
          <w:rFonts w:hint="eastAsia" w:ascii="宋体" w:hAnsi="宋体" w:eastAsia="宋体" w:cs="宋体"/>
          <w:i w:val="0"/>
          <w:iCs w:val="0"/>
          <w:caps w:val="0"/>
          <w:color w:val="auto"/>
          <w:spacing w:val="0"/>
          <w:sz w:val="21"/>
          <w:szCs w:val="21"/>
          <w:highlight w:val="none"/>
          <w:shd w:val="clear" w:color="auto" w:fill="FFFFFF"/>
          <w:lang w:val="en-US" w:eastAsia="zh-CN"/>
        </w:rPr>
        <w:t xml:space="preserve"> </w:t>
      </w:r>
      <w:r>
        <w:rPr>
          <w:rFonts w:hint="eastAsia" w:ascii="宋体" w:hAnsi="宋体" w:eastAsia="宋体" w:cs="宋体"/>
          <w:i w:val="0"/>
          <w:iCs w:val="0"/>
          <w:caps w:val="0"/>
          <w:color w:val="auto"/>
          <w:spacing w:val="0"/>
          <w:sz w:val="21"/>
          <w:szCs w:val="21"/>
          <w:highlight w:val="none"/>
          <w:shd w:val="clear" w:color="auto" w:fill="FFFFFF"/>
        </w:rPr>
        <w:t>　日   </w:t>
      </w:r>
    </w:p>
    <w:p w14:paraId="385CD8C6">
      <w:pPr>
        <w:keepNext w:val="0"/>
        <w:keepLines w:val="0"/>
        <w:pageBreakBefore w:val="0"/>
        <w:kinsoku/>
        <w:wordWrap/>
        <w:overflowPunct/>
        <w:topLinePunct w:val="0"/>
        <w:autoSpaceDE/>
        <w:autoSpaceDN/>
        <w:bidi w:val="0"/>
        <w:adjustRightInd w:val="0"/>
        <w:snapToGrid/>
        <w:spacing w:line="360" w:lineRule="auto"/>
        <w:textAlignment w:val="auto"/>
        <w:rPr>
          <w:rFonts w:hint="eastAsia" w:ascii="宋体" w:hAnsi="宋体" w:eastAsia="宋体" w:cs="宋体"/>
          <w:b w:val="0"/>
          <w:bCs w:val="0"/>
          <w:color w:val="auto"/>
          <w:kern w:val="0"/>
          <w:sz w:val="21"/>
          <w:szCs w:val="21"/>
          <w:highlight w:val="none"/>
          <w:shd w:val="clear" w:color="auto" w:fill="FFFFFF"/>
        </w:rPr>
      </w:pPr>
    </w:p>
    <w:p w14:paraId="76C1E79E">
      <w:pPr>
        <w:keepNext w:val="0"/>
        <w:keepLines w:val="0"/>
        <w:pageBreakBefore w:val="0"/>
        <w:kinsoku/>
        <w:wordWrap/>
        <w:overflowPunct/>
        <w:topLinePunct w:val="0"/>
        <w:autoSpaceDE/>
        <w:autoSpaceDN/>
        <w:bidi w:val="0"/>
        <w:adjustRightInd w:val="0"/>
        <w:snapToGrid/>
        <w:spacing w:line="360" w:lineRule="auto"/>
        <w:textAlignment w:val="auto"/>
        <w:rPr>
          <w:rFonts w:hint="eastAsia" w:ascii="宋体" w:hAnsi="宋体" w:eastAsia="宋体" w:cs="宋体"/>
          <w:color w:val="auto"/>
          <w:kern w:val="0"/>
          <w:sz w:val="21"/>
          <w:szCs w:val="21"/>
          <w:highlight w:val="none"/>
          <w:lang w:val="zh-CN"/>
        </w:rPr>
      </w:pPr>
      <w:r>
        <w:rPr>
          <w:rFonts w:hint="eastAsia" w:ascii="宋体" w:hAnsi="宋体" w:eastAsia="宋体" w:cs="宋体"/>
          <w:b w:val="0"/>
          <w:bCs w:val="0"/>
          <w:color w:val="auto"/>
          <w:kern w:val="0"/>
          <w:sz w:val="21"/>
          <w:szCs w:val="21"/>
          <w:highlight w:val="none"/>
          <w:shd w:val="clear" w:color="auto" w:fill="FFFFFF"/>
        </w:rPr>
        <w:t>注：当采购项目或采购包中含有多种产品，符合有关政策的，供应商还应当提供本承诺函。</w:t>
      </w:r>
    </w:p>
    <w:p w14:paraId="033E1AAD">
      <w:pPr>
        <w:tabs>
          <w:tab w:val="left" w:pos="4860"/>
        </w:tabs>
        <w:spacing w:line="360" w:lineRule="auto"/>
        <w:ind w:right="1560" w:firstLine="420" w:firstLineChars="200"/>
        <w:jc w:val="both"/>
        <w:rPr>
          <w:rFonts w:hint="eastAsia" w:cs="仿宋_GB2312" w:asciiTheme="minorEastAsia" w:hAnsiTheme="minorEastAsia" w:eastAsiaTheme="minorEastAsia"/>
          <w:color w:val="auto"/>
          <w:sz w:val="21"/>
          <w:szCs w:val="21"/>
          <w:highlight w:val="none"/>
        </w:rPr>
      </w:pPr>
    </w:p>
    <w:sectPr>
      <w:headerReference r:id="rId6" w:type="first"/>
      <w:footerReference r:id="rId8" w:type="first"/>
      <w:headerReference r:id="rId5" w:type="default"/>
      <w:footerReference r:id="rId7" w:type="default"/>
      <w:pgSz w:w="11906" w:h="16838"/>
      <w:pgMar w:top="1417" w:right="1417" w:bottom="1417" w:left="1417" w:header="851" w:footer="992" w:gutter="0"/>
      <w:pgBorders>
        <w:top w:val="none" w:sz="0" w:space="0"/>
        <w:left w:val="none" w:sz="0" w:space="0"/>
        <w:bottom w:val="none" w:sz="0" w:space="0"/>
        <w:right w:val="none" w:sz="0" w:space="0"/>
      </w:pgBorders>
      <w:pgNumType w:fmt="decimal"/>
      <w:cols w:space="720" w:num="1"/>
      <w:titlePg/>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0"/>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隶书">
    <w:panose1 w:val="0201050906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FHLHE E+ Futura Bk">
    <w:altName w:val="宋体"/>
    <w:panose1 w:val="00000000000000000000"/>
    <w:charset w:val="86"/>
    <w:family w:val="swiss"/>
    <w:pitch w:val="default"/>
    <w:sig w:usb0="00000000" w:usb1="00000000" w:usb2="00000010" w:usb3="00000000" w:csb0="00040000" w:csb1="00000000"/>
  </w:font>
  <w:font w:name="新宋体">
    <w:panose1 w:val="02010609030101010101"/>
    <w:charset w:val="86"/>
    <w:family w:val="modern"/>
    <w:pitch w:val="default"/>
    <w:sig w:usb0="00000203" w:usb1="288F0000" w:usb2="00000006" w:usb3="00000000" w:csb0="00040001" w:csb1="00000000"/>
  </w:font>
  <w:font w:name="Helvetica">
    <w:altName w:val="Arial"/>
    <w:panose1 w:val="020B0604020202020204"/>
    <w:charset w:val="00"/>
    <w:family w:val="swiss"/>
    <w:pitch w:val="default"/>
    <w:sig w:usb0="00000000" w:usb1="00000000" w:usb2="00000000" w:usb3="00000000" w:csb0="00000001" w:csb1="00000000"/>
  </w:font>
  <w:font w:name="Arial Narrow">
    <w:panose1 w:val="020B0606020202030204"/>
    <w:charset w:val="00"/>
    <w:family w:val="swiss"/>
    <w:pitch w:val="default"/>
    <w:sig w:usb0="00000287" w:usb1="00000800" w:usb2="00000000" w:usb3="00000000" w:csb0="2000009F" w:csb1="DFD70000"/>
  </w:font>
  <w:font w:name="Lucida Sans">
    <w:panose1 w:val="020B0602030504020204"/>
    <w:charset w:val="00"/>
    <w:family w:val="swiss"/>
    <w:pitch w:val="default"/>
    <w:sig w:usb0="00000003" w:usb1="00000000" w:usb2="00000000" w:usb3="00000000" w:csb0="20000001" w:csb1="00000000"/>
  </w:font>
  <w:font w:name="Futura Bk">
    <w:altName w:val="Segoe Print"/>
    <w:panose1 w:val="00000000000000000000"/>
    <w:charset w:val="00"/>
    <w:family w:val="swiss"/>
    <w:pitch w:val="default"/>
    <w:sig w:usb0="00000000" w:usb1="00000000" w:usb2="00000000" w:usb3="00000000" w:csb0="00000011" w:csb1="00000000"/>
  </w:font>
  <w:font w:name="Segoe Print">
    <w:panose1 w:val="02000600000000000000"/>
    <w:charset w:val="00"/>
    <w:family w:val="auto"/>
    <w:pitch w:val="default"/>
    <w:sig w:usb0="0000028F" w:usb1="00000000" w:usb2="00000000" w:usb3="00000000" w:csb0="2000009F" w:csb1="47010000"/>
  </w:font>
  <w:font w:name="Arial (W1)">
    <w:altName w:val="Arial"/>
    <w:panose1 w:val="00000000000000000000"/>
    <w:charset w:val="00"/>
    <w:family w:val="swiss"/>
    <w:pitch w:val="default"/>
    <w:sig w:usb0="00000000" w:usb1="00000000" w:usb2="00000008" w:usb3="00000000" w:csb0="000001FF" w:csb1="00000000"/>
  </w:font>
  <w:font w:name="Segoe UI">
    <w:panose1 w:val="020B0502040204020203"/>
    <w:charset w:val="00"/>
    <w:family w:val="swiss"/>
    <w:pitch w:val="default"/>
    <w:sig w:usb0="E4002EFF" w:usb1="C000E47F" w:usb2="00000009" w:usb3="00000000" w:csb0="200001FF" w:csb1="00000000"/>
  </w:font>
  <w:font w:name="Latha">
    <w:altName w:val="Segoe Print"/>
    <w:panose1 w:val="020B0604020202020204"/>
    <w:charset w:val="00"/>
    <w:family w:val="swiss"/>
    <w:pitch w:val="default"/>
    <w:sig w:usb0="00000000" w:usb1="00000000" w:usb2="00000000" w:usb3="00000000" w:csb0="00000001" w:csb1="00000000"/>
  </w:font>
  <w:font w:name="Futura Hv">
    <w:altName w:val="Segoe Print"/>
    <w:panose1 w:val="00000000000000000000"/>
    <w:charset w:val="00"/>
    <w:family w:val="swiss"/>
    <w:pitch w:val="default"/>
    <w:sig w:usb0="00000000" w:usb1="00000000" w:usb2="00000000" w:usb3="00000000" w:csb0="000001FB" w:csb1="00000000"/>
  </w:font>
  <w:font w:name="Cumberland">
    <w:altName w:val="微软雅黑"/>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幼圆">
    <w:panose1 w:val="02010509060101010101"/>
    <w:charset w:val="86"/>
    <w:family w:val="modern"/>
    <w:pitch w:val="default"/>
    <w:sig w:usb0="00000001" w:usb1="080E0000" w:usb2="00000000" w:usb3="00000000" w:csb0="00040000" w:csb1="00000000"/>
  </w:font>
  <w:font w:name="Aldine401 BT">
    <w:altName w:val="Segoe Print"/>
    <w:panose1 w:val="00000000000000000000"/>
    <w:charset w:val="00"/>
    <w:family w:val="roman"/>
    <w:pitch w:val="default"/>
    <w:sig w:usb0="00000000" w:usb1="00000000" w:usb2="00000000" w:usb3="00000000" w:csb0="00000011" w:csb1="00000000"/>
  </w:font>
  <w:font w:name="Century Gothic">
    <w:panose1 w:val="020B0502020202020204"/>
    <w:charset w:val="00"/>
    <w:family w:val="swiss"/>
    <w:pitch w:val="default"/>
    <w:sig w:usb0="00000287" w:usb1="00000000" w:usb2="00000000" w:usb3="00000000" w:csb0="2000009F" w:csb1="DFD70000"/>
  </w:font>
  <w:font w:name="ˎ̥">
    <w:altName w:val="微软雅黑"/>
    <w:panose1 w:val="00000000000000000000"/>
    <w:charset w:val="00"/>
    <w:family w:val="roman"/>
    <w:pitch w:val="default"/>
    <w:sig w:usb0="00000000" w:usb1="00000000" w:usb2="00000000" w:usb3="00000000" w:csb0="00040001" w:csb1="00000000"/>
  </w:font>
  <w:font w:name="MS Sans Serif">
    <w:altName w:val="Arial"/>
    <w:panose1 w:val="00000000000000000000"/>
    <w:charset w:val="00"/>
    <w:family w:val="swiss"/>
    <w:pitch w:val="default"/>
    <w:sig w:usb0="00000000" w:usb1="00000000" w:usb2="00000000" w:usb3="00000000" w:csb0="00000001" w:csb1="00000000"/>
  </w:font>
  <w:font w:name="华文中宋">
    <w:panose1 w:val="02010600040101010101"/>
    <w:charset w:val="86"/>
    <w:family w:val="auto"/>
    <w:pitch w:val="default"/>
    <w:sig w:usb0="00000287" w:usb1="080F0000" w:usb2="00000000" w:usb3="00000000" w:csb0="0004009F" w:csb1="DFD70000"/>
  </w:font>
  <w:font w:name="华文楷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D97F01">
    <w:pPr>
      <w:pStyle w:val="3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50B2B2">
                          <w:pPr>
                            <w:pStyle w:val="37"/>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3F50B2B2">
                    <w:pPr>
                      <w:pStyle w:val="37"/>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787A71">
    <w:pPr>
      <w:pStyle w:val="37"/>
      <w:rPr>
        <w:rFonts w:ascii="仿宋_GB2312" w:eastAsia="仿宋_GB2312"/>
        <w:szCs w:val="24"/>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F7704A">
                          <w:pPr>
                            <w:pStyle w:val="37"/>
                          </w:pPr>
                          <w:r>
                            <w:fldChar w:fldCharType="begin"/>
                          </w:r>
                          <w:r>
                            <w:instrText xml:space="preserve"> PAGE  \* MERGEFORMAT </w:instrText>
                          </w:r>
                          <w:r>
                            <w:fldChar w:fldCharType="separate"/>
                          </w:r>
                          <w:r>
                            <w:t>82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5BF7704A">
                    <w:pPr>
                      <w:pStyle w:val="37"/>
                    </w:pPr>
                    <w:r>
                      <w:fldChar w:fldCharType="begin"/>
                    </w:r>
                    <w:r>
                      <w:instrText xml:space="preserve"> PAGE  \* MERGEFORMAT </w:instrText>
                    </w:r>
                    <w:r>
                      <w:fldChar w:fldCharType="separate"/>
                    </w:r>
                    <w:r>
                      <w:t>82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F5A15F">
    <w:pPr>
      <w:pStyle w:val="37"/>
      <w:rPr>
        <w:rFonts w:ascii="仿宋_GB2312" w:eastAsia="仿宋_GB2312"/>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B3F90D">
                          <w:pPr>
                            <w:pStyle w:val="37"/>
                          </w:pPr>
                          <w:r>
                            <w:fldChar w:fldCharType="begin"/>
                          </w:r>
                          <w:r>
                            <w:instrText xml:space="preserve"> PAGE  \* MERGEFORMAT </w:instrText>
                          </w:r>
                          <w:r>
                            <w:fldChar w:fldCharType="separate"/>
                          </w:r>
                          <w:r>
                            <w:t>81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71B3F90D">
                    <w:pPr>
                      <w:pStyle w:val="37"/>
                    </w:pPr>
                    <w:r>
                      <w:fldChar w:fldCharType="begin"/>
                    </w:r>
                    <w:r>
                      <w:instrText xml:space="preserve"> PAGE  \* MERGEFORMAT </w:instrText>
                    </w:r>
                    <w:r>
                      <w:fldChar w:fldCharType="separate"/>
                    </w:r>
                    <w:r>
                      <w:t>81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FF4DC2">
    <w:pPr>
      <w:pStyle w:val="38"/>
      <w:pBdr>
        <w:bottom w:val="none" w:color="auto" w:sz="0" w:space="1"/>
      </w:pBdr>
      <w:jc w:val="right"/>
      <w:rPr>
        <w:rFonts w:eastAsia="仿宋_GB231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497915">
    <w:pPr>
      <w:pStyle w:val="38"/>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F53B23">
    <w:pPr>
      <w:pStyle w:val="38"/>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B93886"/>
    <w:multiLevelType w:val="singleLevel"/>
    <w:tmpl w:val="82B93886"/>
    <w:lvl w:ilvl="0" w:tentative="0">
      <w:start w:val="1"/>
      <w:numFmt w:val="decimal"/>
      <w:lvlText w:val="%1."/>
      <w:lvlJc w:val="left"/>
      <w:pPr>
        <w:tabs>
          <w:tab w:val="left" w:pos="312"/>
        </w:tabs>
      </w:pPr>
    </w:lvl>
  </w:abstractNum>
  <w:abstractNum w:abstractNumId="1">
    <w:nsid w:val="942F8636"/>
    <w:multiLevelType w:val="singleLevel"/>
    <w:tmpl w:val="942F8636"/>
    <w:lvl w:ilvl="0" w:tentative="0">
      <w:start w:val="1"/>
      <w:numFmt w:val="decimal"/>
      <w:lvlText w:val="%1."/>
      <w:lvlJc w:val="left"/>
      <w:pPr>
        <w:tabs>
          <w:tab w:val="left" w:pos="312"/>
        </w:tabs>
      </w:pPr>
    </w:lvl>
  </w:abstractNum>
  <w:abstractNum w:abstractNumId="2">
    <w:nsid w:val="A57AF8A9"/>
    <w:multiLevelType w:val="singleLevel"/>
    <w:tmpl w:val="A57AF8A9"/>
    <w:lvl w:ilvl="0" w:tentative="0">
      <w:start w:val="1"/>
      <w:numFmt w:val="chineseCounting"/>
      <w:suff w:val="nothing"/>
      <w:lvlText w:val="%1、"/>
      <w:lvlJc w:val="left"/>
      <w:rPr>
        <w:rFonts w:hint="eastAsia"/>
      </w:rPr>
    </w:lvl>
  </w:abstractNum>
  <w:abstractNum w:abstractNumId="3">
    <w:nsid w:val="CB002942"/>
    <w:multiLevelType w:val="singleLevel"/>
    <w:tmpl w:val="CB002942"/>
    <w:lvl w:ilvl="0" w:tentative="0">
      <w:start w:val="1"/>
      <w:numFmt w:val="decimal"/>
      <w:suff w:val="nothing"/>
      <w:lvlText w:val="%1、"/>
      <w:lvlJc w:val="left"/>
    </w:lvl>
  </w:abstractNum>
  <w:abstractNum w:abstractNumId="4">
    <w:nsid w:val="E940E7CF"/>
    <w:multiLevelType w:val="singleLevel"/>
    <w:tmpl w:val="E940E7CF"/>
    <w:lvl w:ilvl="0" w:tentative="0">
      <w:start w:val="2"/>
      <w:numFmt w:val="decimal"/>
      <w:suff w:val="space"/>
      <w:lvlText w:val="%1."/>
      <w:lvlJc w:val="left"/>
    </w:lvl>
  </w:abstractNum>
  <w:abstractNum w:abstractNumId="5">
    <w:nsid w:val="FFFFFF81"/>
    <w:multiLevelType w:val="singleLevel"/>
    <w:tmpl w:val="FFFFFF81"/>
    <w:lvl w:ilvl="0" w:tentative="0">
      <w:start w:val="1"/>
      <w:numFmt w:val="bullet"/>
      <w:pStyle w:val="13"/>
      <w:lvlText w:val=""/>
      <w:lvlJc w:val="left"/>
      <w:pPr>
        <w:tabs>
          <w:tab w:val="left" w:pos="1440"/>
        </w:tabs>
        <w:ind w:left="1440" w:hanging="360"/>
      </w:pPr>
      <w:rPr>
        <w:rFonts w:hint="default" w:ascii="Symbol" w:hAnsi="Symbol" w:eastAsia="Symbol"/>
      </w:rPr>
    </w:lvl>
  </w:abstractNum>
  <w:abstractNum w:abstractNumId="6">
    <w:nsid w:val="00000007"/>
    <w:multiLevelType w:val="multilevel"/>
    <w:tmpl w:val="00000007"/>
    <w:lvl w:ilvl="0" w:tentative="0">
      <w:start w:val="1"/>
      <w:numFmt w:val="bullet"/>
      <w:pStyle w:val="100"/>
      <w:lvlText w:val=""/>
      <w:lvlJc w:val="left"/>
      <w:pPr>
        <w:tabs>
          <w:tab w:val="left" w:pos="840"/>
        </w:tabs>
        <w:ind w:left="840" w:hanging="420"/>
      </w:pPr>
      <w:rPr>
        <w:rFonts w:hint="default" w:ascii="Wingdings" w:hAnsi="Wingdings"/>
      </w:rPr>
    </w:lvl>
    <w:lvl w:ilvl="1" w:tentative="0">
      <w:start w:val="1"/>
      <w:numFmt w:val="bullet"/>
      <w:pStyle w:val="83"/>
      <w:lvlText w:val=""/>
      <w:lvlJc w:val="left"/>
      <w:pPr>
        <w:tabs>
          <w:tab w:val="left" w:pos="1260"/>
        </w:tabs>
        <w:ind w:left="1260" w:hanging="420"/>
      </w:pPr>
      <w:rPr>
        <w:rFonts w:hint="default" w:ascii="Wingdings" w:hAnsi="Wingdings"/>
      </w:rPr>
    </w:lvl>
    <w:lvl w:ilvl="2" w:tentative="0">
      <w:start w:val="1"/>
      <w:numFmt w:val="bullet"/>
      <w:pStyle w:val="339"/>
      <w:lvlText w:val=""/>
      <w:lvlJc w:val="left"/>
      <w:pPr>
        <w:tabs>
          <w:tab w:val="left" w:pos="1680"/>
        </w:tabs>
        <w:ind w:left="1680" w:hanging="420"/>
      </w:pPr>
      <w:rPr>
        <w:rFonts w:hint="default" w:ascii="Wingdings" w:hAnsi="Wingdings"/>
      </w:rPr>
    </w:lvl>
    <w:lvl w:ilvl="3" w:tentative="0">
      <w:start w:val="1"/>
      <w:numFmt w:val="bullet"/>
      <w:pStyle w:val="172"/>
      <w:lvlText w:val=""/>
      <w:lvlJc w:val="left"/>
      <w:pPr>
        <w:tabs>
          <w:tab w:val="left" w:pos="2100"/>
        </w:tabs>
        <w:ind w:left="2100" w:hanging="420"/>
      </w:pPr>
      <w:rPr>
        <w:rFonts w:hint="default" w:ascii="Wingdings" w:hAnsi="Wingdings"/>
      </w:rPr>
    </w:lvl>
    <w:lvl w:ilvl="4" w:tentative="0">
      <w:start w:val="1"/>
      <w:numFmt w:val="bullet"/>
      <w:pStyle w:val="408"/>
      <w:lvlText w:val=""/>
      <w:lvlJc w:val="left"/>
      <w:pPr>
        <w:tabs>
          <w:tab w:val="left" w:pos="2520"/>
        </w:tabs>
        <w:ind w:left="2520" w:hanging="420"/>
      </w:pPr>
      <w:rPr>
        <w:rFonts w:hint="default" w:ascii="Wingdings" w:hAnsi="Wingdings"/>
      </w:rPr>
    </w:lvl>
    <w:lvl w:ilvl="5" w:tentative="0">
      <w:start w:val="1"/>
      <w:numFmt w:val="bullet"/>
      <w:pStyle w:val="170"/>
      <w:lvlText w:val=""/>
      <w:lvlJc w:val="left"/>
      <w:pPr>
        <w:tabs>
          <w:tab w:val="left" w:pos="2940"/>
        </w:tabs>
        <w:ind w:left="2940" w:hanging="420"/>
      </w:pPr>
      <w:rPr>
        <w:rFonts w:hint="default" w:ascii="Wingdings" w:hAnsi="Wingdings"/>
      </w:rPr>
    </w:lvl>
    <w:lvl w:ilvl="6" w:tentative="0">
      <w:start w:val="1"/>
      <w:numFmt w:val="bullet"/>
      <w:pStyle w:val="397"/>
      <w:lvlText w:val=""/>
      <w:lvlJc w:val="left"/>
      <w:pPr>
        <w:tabs>
          <w:tab w:val="left" w:pos="3360"/>
        </w:tabs>
        <w:ind w:left="3360" w:hanging="420"/>
      </w:pPr>
      <w:rPr>
        <w:rFonts w:hint="default" w:ascii="Wingdings" w:hAnsi="Wingdings"/>
      </w:rPr>
    </w:lvl>
    <w:lvl w:ilvl="7" w:tentative="0">
      <w:start w:val="1"/>
      <w:numFmt w:val="bullet"/>
      <w:pStyle w:val="277"/>
      <w:lvlText w:val=""/>
      <w:lvlJc w:val="left"/>
      <w:pPr>
        <w:tabs>
          <w:tab w:val="left" w:pos="3780"/>
        </w:tabs>
        <w:ind w:left="3780" w:hanging="420"/>
      </w:pPr>
      <w:rPr>
        <w:rFonts w:hint="default" w:ascii="Wingdings" w:hAnsi="Wingdings"/>
      </w:rPr>
    </w:lvl>
    <w:lvl w:ilvl="8" w:tentative="0">
      <w:start w:val="1"/>
      <w:numFmt w:val="bullet"/>
      <w:pStyle w:val="370"/>
      <w:lvlText w:val=""/>
      <w:lvlJc w:val="left"/>
      <w:pPr>
        <w:tabs>
          <w:tab w:val="left" w:pos="4200"/>
        </w:tabs>
        <w:ind w:left="4200" w:hanging="420"/>
      </w:pPr>
      <w:rPr>
        <w:rFonts w:hint="default" w:ascii="Wingdings" w:hAnsi="Wingdings"/>
      </w:rPr>
    </w:lvl>
  </w:abstractNum>
  <w:abstractNum w:abstractNumId="7">
    <w:nsid w:val="0000000A"/>
    <w:multiLevelType w:val="multilevel"/>
    <w:tmpl w:val="0000000A"/>
    <w:lvl w:ilvl="0" w:tentative="0">
      <w:start w:val="1"/>
      <w:numFmt w:val="decimal"/>
      <w:pStyle w:val="3"/>
      <w:lvlText w:val="%1"/>
      <w:lvlJc w:val="left"/>
      <w:pPr>
        <w:tabs>
          <w:tab w:val="left" w:pos="432"/>
        </w:tabs>
        <w:ind w:left="432" w:hanging="432"/>
      </w:pPr>
      <w:rPr>
        <w:lang w:val="en-US"/>
      </w:rPr>
    </w:lvl>
    <w:lvl w:ilvl="1" w:tentative="0">
      <w:start w:val="1"/>
      <w:numFmt w:val="decimal"/>
      <w:lvlText w:val="%1.%2"/>
      <w:lvlJc w:val="left"/>
      <w:pPr>
        <w:tabs>
          <w:tab w:val="left" w:pos="860"/>
        </w:tabs>
        <w:ind w:left="860" w:hanging="576"/>
      </w:p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8">
    <w:nsid w:val="0350FEAB"/>
    <w:multiLevelType w:val="singleLevel"/>
    <w:tmpl w:val="0350FEAB"/>
    <w:lvl w:ilvl="0" w:tentative="0">
      <w:start w:val="1"/>
      <w:numFmt w:val="chineseCounting"/>
      <w:suff w:val="nothing"/>
      <w:lvlText w:val="%1、"/>
      <w:lvlJc w:val="left"/>
      <w:rPr>
        <w:rFonts w:hint="eastAsia"/>
      </w:rPr>
    </w:lvl>
  </w:abstractNum>
  <w:abstractNum w:abstractNumId="9">
    <w:nsid w:val="11744E57"/>
    <w:multiLevelType w:val="multilevel"/>
    <w:tmpl w:val="11744E57"/>
    <w:lvl w:ilvl="0" w:tentative="0">
      <w:start w:val="1"/>
      <w:numFmt w:val="decimal"/>
      <w:pStyle w:val="2"/>
      <w:lvlText w:val="%1"/>
      <w:lvlJc w:val="left"/>
      <w:pPr>
        <w:tabs>
          <w:tab w:val="left" w:pos="432"/>
        </w:tabs>
        <w:ind w:left="432" w:hanging="432"/>
      </w:pPr>
    </w:lvl>
    <w:lvl w:ilvl="1" w:tentative="0">
      <w:start w:val="1"/>
      <w:numFmt w:val="decimal"/>
      <w:lvlText w:val="%1.%2"/>
      <w:lvlJc w:val="left"/>
      <w:pPr>
        <w:tabs>
          <w:tab w:val="left" w:pos="576"/>
        </w:tabs>
        <w:ind w:left="576" w:hanging="576"/>
      </w:pPr>
    </w:lvl>
    <w:lvl w:ilvl="2" w:tentative="0">
      <w:start w:val="1"/>
      <w:numFmt w:val="decimal"/>
      <w:pStyle w:val="4"/>
      <w:lvlText w:val="%1.%2.%3"/>
      <w:lvlJc w:val="left"/>
      <w:pPr>
        <w:tabs>
          <w:tab w:val="left" w:pos="900"/>
        </w:tabs>
        <w:ind w:left="900" w:hanging="720"/>
      </w:pPr>
    </w:lvl>
    <w:lvl w:ilvl="3" w:tentative="0">
      <w:start w:val="1"/>
      <w:numFmt w:val="decimal"/>
      <w:pStyle w:val="5"/>
      <w:lvlText w:val="%1.%2.%3.%4"/>
      <w:lvlJc w:val="left"/>
      <w:pPr>
        <w:tabs>
          <w:tab w:val="left" w:pos="864"/>
        </w:tabs>
        <w:ind w:left="864" w:hanging="864"/>
      </w:pPr>
    </w:lvl>
    <w:lvl w:ilvl="4" w:tentative="0">
      <w:start w:val="1"/>
      <w:numFmt w:val="decimal"/>
      <w:pStyle w:val="6"/>
      <w:lvlText w:val="%1.%2.%3.%4.%5"/>
      <w:lvlJc w:val="left"/>
      <w:pPr>
        <w:tabs>
          <w:tab w:val="left" w:pos="1008"/>
        </w:tabs>
        <w:ind w:left="1008" w:hanging="1008"/>
      </w:pPr>
    </w:lvl>
    <w:lvl w:ilvl="5" w:tentative="0">
      <w:start w:val="1"/>
      <w:numFmt w:val="decimal"/>
      <w:pStyle w:val="7"/>
      <w:lvlText w:val="%1.%2.%3.%4.%5.%6"/>
      <w:lvlJc w:val="left"/>
      <w:pPr>
        <w:tabs>
          <w:tab w:val="left" w:pos="1152"/>
        </w:tabs>
        <w:ind w:left="1152" w:hanging="1152"/>
      </w:pPr>
    </w:lvl>
    <w:lvl w:ilvl="6" w:tentative="0">
      <w:start w:val="1"/>
      <w:numFmt w:val="decimal"/>
      <w:pStyle w:val="8"/>
      <w:lvlText w:val="%1.%2.%3.%4.%5.%6.%7"/>
      <w:lvlJc w:val="left"/>
      <w:pPr>
        <w:tabs>
          <w:tab w:val="left" w:pos="1296"/>
        </w:tabs>
        <w:ind w:left="1296" w:hanging="1296"/>
      </w:pPr>
    </w:lvl>
    <w:lvl w:ilvl="7" w:tentative="0">
      <w:start w:val="1"/>
      <w:numFmt w:val="decimal"/>
      <w:pStyle w:val="9"/>
      <w:lvlText w:val="%1.%2.%3.%4.%5.%6.%7.%8"/>
      <w:lvlJc w:val="left"/>
      <w:pPr>
        <w:tabs>
          <w:tab w:val="left" w:pos="1440"/>
        </w:tabs>
        <w:ind w:left="1440" w:hanging="1440"/>
      </w:pPr>
    </w:lvl>
    <w:lvl w:ilvl="8" w:tentative="0">
      <w:start w:val="1"/>
      <w:numFmt w:val="decimal"/>
      <w:pStyle w:val="10"/>
      <w:lvlText w:val="%1.%2.%3.%4.%5.%6.%7.%8.%9"/>
      <w:lvlJc w:val="left"/>
      <w:pPr>
        <w:tabs>
          <w:tab w:val="left" w:pos="1584"/>
        </w:tabs>
        <w:ind w:left="1584" w:hanging="1584"/>
      </w:pPr>
    </w:lvl>
  </w:abstractNum>
  <w:abstractNum w:abstractNumId="10">
    <w:nsid w:val="3B2111D8"/>
    <w:multiLevelType w:val="singleLevel"/>
    <w:tmpl w:val="3B2111D8"/>
    <w:lvl w:ilvl="0" w:tentative="0">
      <w:start w:val="1"/>
      <w:numFmt w:val="chineseCounting"/>
      <w:suff w:val="nothing"/>
      <w:lvlText w:val="%1、"/>
      <w:lvlJc w:val="left"/>
      <w:rPr>
        <w:rFonts w:hint="eastAsia"/>
      </w:rPr>
    </w:lvl>
  </w:abstractNum>
  <w:abstractNum w:abstractNumId="11">
    <w:nsid w:val="4E8212DA"/>
    <w:multiLevelType w:val="singleLevel"/>
    <w:tmpl w:val="4E8212DA"/>
    <w:lvl w:ilvl="0" w:tentative="0">
      <w:start w:val="1"/>
      <w:numFmt w:val="decimal"/>
      <w:lvlText w:val="%1、"/>
      <w:lvlJc w:val="left"/>
      <w:pPr>
        <w:tabs>
          <w:tab w:val="left" w:pos="840"/>
        </w:tabs>
        <w:ind w:left="840" w:hanging="360"/>
      </w:pPr>
      <w:rPr>
        <w:rFonts w:hint="default"/>
      </w:rPr>
    </w:lvl>
  </w:abstractNum>
  <w:abstractNum w:abstractNumId="12">
    <w:nsid w:val="578B3BD2"/>
    <w:multiLevelType w:val="multilevel"/>
    <w:tmpl w:val="578B3BD2"/>
    <w:lvl w:ilvl="0" w:tentative="0">
      <w:start w:val="1"/>
      <w:numFmt w:val="decimal"/>
      <w:pStyle w:val="411"/>
      <w:lvlText w:val="%1"/>
      <w:lvlJc w:val="left"/>
      <w:pPr>
        <w:tabs>
          <w:tab w:val="left" w:pos="480"/>
        </w:tabs>
        <w:ind w:left="480" w:hanging="480"/>
      </w:pPr>
      <w:rPr>
        <w:rFonts w:hint="eastAsia"/>
        <w:sz w:val="44"/>
        <w:szCs w:val="44"/>
      </w:rPr>
    </w:lvl>
    <w:lvl w:ilvl="1" w:tentative="0">
      <w:start w:val="1"/>
      <w:numFmt w:val="decimal"/>
      <w:pStyle w:val="332"/>
      <w:lvlText w:val="%1.%2"/>
      <w:lvlJc w:val="left"/>
      <w:pPr>
        <w:tabs>
          <w:tab w:val="left" w:pos="480"/>
        </w:tabs>
        <w:ind w:left="480" w:hanging="480"/>
      </w:pPr>
      <w:rPr>
        <w:rFonts w:hint="default"/>
        <w:sz w:val="32"/>
        <w:szCs w:val="32"/>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1620"/>
        </w:tabs>
        <w:ind w:left="1620" w:hanging="720"/>
      </w:pPr>
      <w:rPr>
        <w:rFonts w:hint="default"/>
      </w:rPr>
    </w:lvl>
    <w:lvl w:ilvl="4" w:tentative="0">
      <w:start w:val="1"/>
      <w:numFmt w:val="decimal"/>
      <w:pStyle w:val="400"/>
      <w:lvlText w:val="%1.%2.%3.%4.%5"/>
      <w:lvlJc w:val="left"/>
      <w:pPr>
        <w:tabs>
          <w:tab w:val="left" w:pos="1080"/>
        </w:tabs>
        <w:ind w:left="1080" w:hanging="1080"/>
      </w:pPr>
      <w:rPr>
        <w:rFonts w:hint="default"/>
      </w:rPr>
    </w:lvl>
    <w:lvl w:ilvl="5" w:tentative="0">
      <w:start w:val="1"/>
      <w:numFmt w:val="decimal"/>
      <w:pStyle w:val="214"/>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13">
    <w:nsid w:val="73596DCC"/>
    <w:multiLevelType w:val="multilevel"/>
    <w:tmpl w:val="73596DCC"/>
    <w:lvl w:ilvl="0" w:tentative="0">
      <w:start w:val="1"/>
      <w:numFmt w:val="bullet"/>
      <w:pStyle w:val="318"/>
      <w:lvlText w:val=""/>
      <w:lvlJc w:val="left"/>
      <w:pPr>
        <w:ind w:left="900" w:hanging="420"/>
      </w:pPr>
      <w:rPr>
        <w:rFonts w:hint="default" w:ascii="Symbol" w:hAnsi="Symbol"/>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num w:numId="1">
    <w:abstractNumId w:val="9"/>
  </w:num>
  <w:num w:numId="2">
    <w:abstractNumId w:val="7"/>
  </w:num>
  <w:num w:numId="3">
    <w:abstractNumId w:val="5"/>
  </w:num>
  <w:num w:numId="4">
    <w:abstractNumId w:val="6"/>
  </w:num>
  <w:num w:numId="5">
    <w:abstractNumId w:val="12"/>
  </w:num>
  <w:num w:numId="6">
    <w:abstractNumId w:val="13"/>
  </w:num>
  <w:num w:numId="7">
    <w:abstractNumId w:val="3"/>
  </w:num>
  <w:num w:numId="8">
    <w:abstractNumId w:val="10"/>
  </w:num>
  <w:num w:numId="9">
    <w:abstractNumId w:val="4"/>
  </w:num>
  <w:num w:numId="10">
    <w:abstractNumId w:val="2"/>
  </w:num>
  <w:num w:numId="11">
    <w:abstractNumId w:val="0"/>
  </w:num>
  <w:num w:numId="12">
    <w:abstractNumId w:val="1"/>
  </w:num>
  <w:num w:numId="13">
    <w:abstractNumId w:val="8"/>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Full" w:cryptAlgorithmClass="hash" w:cryptAlgorithmType="typeAny" w:cryptAlgorithmSid="4" w:cryptSpinCount="0" w:hash="dvi6koS0DJgz96vjweFotqRBbIw=" w:salt="F6QNg8B9rfgcH198M1Na+Q=="/>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wMWM5Y2U2ODFlMjY2MTYyOTg1NjVlYmU0N2I0NTkifQ=="/>
  </w:docVars>
  <w:rsids>
    <w:rsidRoot w:val="00172A27"/>
    <w:rsid w:val="0000133D"/>
    <w:rsid w:val="0000488B"/>
    <w:rsid w:val="00005CAC"/>
    <w:rsid w:val="00006109"/>
    <w:rsid w:val="00006725"/>
    <w:rsid w:val="0000675E"/>
    <w:rsid w:val="00007CAA"/>
    <w:rsid w:val="00010FE9"/>
    <w:rsid w:val="0001122F"/>
    <w:rsid w:val="00012BE8"/>
    <w:rsid w:val="00013F31"/>
    <w:rsid w:val="00015FD7"/>
    <w:rsid w:val="000170C8"/>
    <w:rsid w:val="000172A5"/>
    <w:rsid w:val="000173F4"/>
    <w:rsid w:val="000217DE"/>
    <w:rsid w:val="00022464"/>
    <w:rsid w:val="00022853"/>
    <w:rsid w:val="00025776"/>
    <w:rsid w:val="000270F2"/>
    <w:rsid w:val="00027540"/>
    <w:rsid w:val="00030572"/>
    <w:rsid w:val="00030CB3"/>
    <w:rsid w:val="0003206A"/>
    <w:rsid w:val="00032EA0"/>
    <w:rsid w:val="00034FA7"/>
    <w:rsid w:val="000357E4"/>
    <w:rsid w:val="00042533"/>
    <w:rsid w:val="00042E65"/>
    <w:rsid w:val="0004347C"/>
    <w:rsid w:val="00043907"/>
    <w:rsid w:val="00044F48"/>
    <w:rsid w:val="0004651A"/>
    <w:rsid w:val="00047F35"/>
    <w:rsid w:val="00050656"/>
    <w:rsid w:val="00051B54"/>
    <w:rsid w:val="00054D39"/>
    <w:rsid w:val="0005501B"/>
    <w:rsid w:val="000554C7"/>
    <w:rsid w:val="00055A61"/>
    <w:rsid w:val="00056118"/>
    <w:rsid w:val="000578A3"/>
    <w:rsid w:val="00057FC8"/>
    <w:rsid w:val="000600BA"/>
    <w:rsid w:val="00061A3C"/>
    <w:rsid w:val="000620B0"/>
    <w:rsid w:val="000624E3"/>
    <w:rsid w:val="000646CA"/>
    <w:rsid w:val="00064A21"/>
    <w:rsid w:val="00064D05"/>
    <w:rsid w:val="00065868"/>
    <w:rsid w:val="000665C4"/>
    <w:rsid w:val="00067821"/>
    <w:rsid w:val="0006785E"/>
    <w:rsid w:val="00067E1A"/>
    <w:rsid w:val="00070825"/>
    <w:rsid w:val="00071BF2"/>
    <w:rsid w:val="00072AED"/>
    <w:rsid w:val="00072C95"/>
    <w:rsid w:val="00072D2B"/>
    <w:rsid w:val="000730B1"/>
    <w:rsid w:val="00073860"/>
    <w:rsid w:val="00074528"/>
    <w:rsid w:val="00074B1F"/>
    <w:rsid w:val="00075D0E"/>
    <w:rsid w:val="00075F6A"/>
    <w:rsid w:val="000763F3"/>
    <w:rsid w:val="000768B4"/>
    <w:rsid w:val="00077607"/>
    <w:rsid w:val="00077756"/>
    <w:rsid w:val="000802C0"/>
    <w:rsid w:val="00080970"/>
    <w:rsid w:val="000839FB"/>
    <w:rsid w:val="00083DDA"/>
    <w:rsid w:val="0008580E"/>
    <w:rsid w:val="00085A0E"/>
    <w:rsid w:val="00086F8A"/>
    <w:rsid w:val="000904F6"/>
    <w:rsid w:val="00090D4C"/>
    <w:rsid w:val="00090ED8"/>
    <w:rsid w:val="0009145F"/>
    <w:rsid w:val="00091B4E"/>
    <w:rsid w:val="00091D89"/>
    <w:rsid w:val="00092FE9"/>
    <w:rsid w:val="00094342"/>
    <w:rsid w:val="000960BA"/>
    <w:rsid w:val="0009662A"/>
    <w:rsid w:val="000A1A52"/>
    <w:rsid w:val="000A1F98"/>
    <w:rsid w:val="000A23CE"/>
    <w:rsid w:val="000A49BB"/>
    <w:rsid w:val="000A4C67"/>
    <w:rsid w:val="000A5674"/>
    <w:rsid w:val="000A5A46"/>
    <w:rsid w:val="000A76EA"/>
    <w:rsid w:val="000B0E04"/>
    <w:rsid w:val="000B4B56"/>
    <w:rsid w:val="000B53F1"/>
    <w:rsid w:val="000B54C1"/>
    <w:rsid w:val="000B62AC"/>
    <w:rsid w:val="000B6BDF"/>
    <w:rsid w:val="000C053E"/>
    <w:rsid w:val="000C0A43"/>
    <w:rsid w:val="000C1ADE"/>
    <w:rsid w:val="000C1C38"/>
    <w:rsid w:val="000C222C"/>
    <w:rsid w:val="000C2264"/>
    <w:rsid w:val="000C33C8"/>
    <w:rsid w:val="000C4727"/>
    <w:rsid w:val="000C47AE"/>
    <w:rsid w:val="000C4F43"/>
    <w:rsid w:val="000C51AD"/>
    <w:rsid w:val="000C5374"/>
    <w:rsid w:val="000C5EC0"/>
    <w:rsid w:val="000C6688"/>
    <w:rsid w:val="000C7BEB"/>
    <w:rsid w:val="000C7F90"/>
    <w:rsid w:val="000D11E5"/>
    <w:rsid w:val="000D1957"/>
    <w:rsid w:val="000D1D28"/>
    <w:rsid w:val="000D2A10"/>
    <w:rsid w:val="000D34C8"/>
    <w:rsid w:val="000D34FD"/>
    <w:rsid w:val="000D3BB6"/>
    <w:rsid w:val="000D3BE5"/>
    <w:rsid w:val="000D3C37"/>
    <w:rsid w:val="000D5EA6"/>
    <w:rsid w:val="000D6C9F"/>
    <w:rsid w:val="000D6E3B"/>
    <w:rsid w:val="000D7560"/>
    <w:rsid w:val="000D7902"/>
    <w:rsid w:val="000D7CE0"/>
    <w:rsid w:val="000E1AEC"/>
    <w:rsid w:val="000E1DD9"/>
    <w:rsid w:val="000E2785"/>
    <w:rsid w:val="000E27BB"/>
    <w:rsid w:val="000E3153"/>
    <w:rsid w:val="000E3403"/>
    <w:rsid w:val="000E386F"/>
    <w:rsid w:val="000E4051"/>
    <w:rsid w:val="000E5B7E"/>
    <w:rsid w:val="000E5FF9"/>
    <w:rsid w:val="000E6AE1"/>
    <w:rsid w:val="000E7142"/>
    <w:rsid w:val="000E7632"/>
    <w:rsid w:val="000E7739"/>
    <w:rsid w:val="000E77EE"/>
    <w:rsid w:val="000F0789"/>
    <w:rsid w:val="000F159D"/>
    <w:rsid w:val="000F2940"/>
    <w:rsid w:val="000F3D08"/>
    <w:rsid w:val="000F505B"/>
    <w:rsid w:val="000F5837"/>
    <w:rsid w:val="000F68A0"/>
    <w:rsid w:val="00100E09"/>
    <w:rsid w:val="0010118C"/>
    <w:rsid w:val="0010125E"/>
    <w:rsid w:val="00101967"/>
    <w:rsid w:val="00104CAD"/>
    <w:rsid w:val="00104E5B"/>
    <w:rsid w:val="00104EEC"/>
    <w:rsid w:val="001050DC"/>
    <w:rsid w:val="001052A9"/>
    <w:rsid w:val="00105482"/>
    <w:rsid w:val="001055F5"/>
    <w:rsid w:val="00105BA9"/>
    <w:rsid w:val="00106658"/>
    <w:rsid w:val="00106C42"/>
    <w:rsid w:val="00107BBD"/>
    <w:rsid w:val="00107E1B"/>
    <w:rsid w:val="00111C7D"/>
    <w:rsid w:val="00112038"/>
    <w:rsid w:val="00112467"/>
    <w:rsid w:val="001127FF"/>
    <w:rsid w:val="00112B0B"/>
    <w:rsid w:val="00112B42"/>
    <w:rsid w:val="00114847"/>
    <w:rsid w:val="0011585B"/>
    <w:rsid w:val="00115B1A"/>
    <w:rsid w:val="001168F8"/>
    <w:rsid w:val="00117FA8"/>
    <w:rsid w:val="001228C8"/>
    <w:rsid w:val="0012419E"/>
    <w:rsid w:val="001243E9"/>
    <w:rsid w:val="001248EF"/>
    <w:rsid w:val="00124F76"/>
    <w:rsid w:val="00124FC4"/>
    <w:rsid w:val="001259B8"/>
    <w:rsid w:val="00127DAB"/>
    <w:rsid w:val="00131C2D"/>
    <w:rsid w:val="00132ED7"/>
    <w:rsid w:val="0013430A"/>
    <w:rsid w:val="001350F7"/>
    <w:rsid w:val="00135141"/>
    <w:rsid w:val="00135769"/>
    <w:rsid w:val="00135BE9"/>
    <w:rsid w:val="001374DC"/>
    <w:rsid w:val="0013773D"/>
    <w:rsid w:val="00140D7A"/>
    <w:rsid w:val="001430C3"/>
    <w:rsid w:val="00143E9B"/>
    <w:rsid w:val="00144649"/>
    <w:rsid w:val="001451BB"/>
    <w:rsid w:val="00145662"/>
    <w:rsid w:val="00145C6D"/>
    <w:rsid w:val="00146151"/>
    <w:rsid w:val="00147EA7"/>
    <w:rsid w:val="00151B2F"/>
    <w:rsid w:val="001524DC"/>
    <w:rsid w:val="001525E5"/>
    <w:rsid w:val="00153859"/>
    <w:rsid w:val="00153ED0"/>
    <w:rsid w:val="00155A91"/>
    <w:rsid w:val="00157432"/>
    <w:rsid w:val="00160051"/>
    <w:rsid w:val="00161053"/>
    <w:rsid w:val="00161185"/>
    <w:rsid w:val="00161853"/>
    <w:rsid w:val="00161C7D"/>
    <w:rsid w:val="00162E0E"/>
    <w:rsid w:val="00167594"/>
    <w:rsid w:val="001702BE"/>
    <w:rsid w:val="001706E4"/>
    <w:rsid w:val="0017105C"/>
    <w:rsid w:val="0017125C"/>
    <w:rsid w:val="00171622"/>
    <w:rsid w:val="00172077"/>
    <w:rsid w:val="001721CF"/>
    <w:rsid w:val="001728FD"/>
    <w:rsid w:val="00172A27"/>
    <w:rsid w:val="00172F02"/>
    <w:rsid w:val="001735D7"/>
    <w:rsid w:val="00173631"/>
    <w:rsid w:val="0017372D"/>
    <w:rsid w:val="00173E59"/>
    <w:rsid w:val="00176BC8"/>
    <w:rsid w:val="00180244"/>
    <w:rsid w:val="00180A47"/>
    <w:rsid w:val="00181272"/>
    <w:rsid w:val="001823B6"/>
    <w:rsid w:val="001827B7"/>
    <w:rsid w:val="001827EF"/>
    <w:rsid w:val="00182982"/>
    <w:rsid w:val="00182D68"/>
    <w:rsid w:val="0018397E"/>
    <w:rsid w:val="00183BA7"/>
    <w:rsid w:val="001857B3"/>
    <w:rsid w:val="00186D20"/>
    <w:rsid w:val="00187243"/>
    <w:rsid w:val="001878FE"/>
    <w:rsid w:val="00187C29"/>
    <w:rsid w:val="00187F55"/>
    <w:rsid w:val="00190942"/>
    <w:rsid w:val="00191459"/>
    <w:rsid w:val="0019174E"/>
    <w:rsid w:val="00191EF8"/>
    <w:rsid w:val="00192690"/>
    <w:rsid w:val="00193B94"/>
    <w:rsid w:val="001940A7"/>
    <w:rsid w:val="00194BB1"/>
    <w:rsid w:val="00195070"/>
    <w:rsid w:val="00195D82"/>
    <w:rsid w:val="0019602C"/>
    <w:rsid w:val="0019608A"/>
    <w:rsid w:val="001A07F8"/>
    <w:rsid w:val="001A1D48"/>
    <w:rsid w:val="001A1F0E"/>
    <w:rsid w:val="001A1F2D"/>
    <w:rsid w:val="001A468D"/>
    <w:rsid w:val="001A473A"/>
    <w:rsid w:val="001A4996"/>
    <w:rsid w:val="001A5785"/>
    <w:rsid w:val="001A66A6"/>
    <w:rsid w:val="001A6BBB"/>
    <w:rsid w:val="001A79A2"/>
    <w:rsid w:val="001B13BF"/>
    <w:rsid w:val="001B16F5"/>
    <w:rsid w:val="001B1992"/>
    <w:rsid w:val="001B1BD9"/>
    <w:rsid w:val="001B1C1F"/>
    <w:rsid w:val="001B219B"/>
    <w:rsid w:val="001B2703"/>
    <w:rsid w:val="001B2ABD"/>
    <w:rsid w:val="001B4272"/>
    <w:rsid w:val="001B46B2"/>
    <w:rsid w:val="001B4CA8"/>
    <w:rsid w:val="001B572D"/>
    <w:rsid w:val="001B6D33"/>
    <w:rsid w:val="001B738E"/>
    <w:rsid w:val="001B7645"/>
    <w:rsid w:val="001B7B69"/>
    <w:rsid w:val="001C0616"/>
    <w:rsid w:val="001C0DD2"/>
    <w:rsid w:val="001C10BD"/>
    <w:rsid w:val="001C1B4A"/>
    <w:rsid w:val="001C1F01"/>
    <w:rsid w:val="001C232F"/>
    <w:rsid w:val="001C31F5"/>
    <w:rsid w:val="001C44BC"/>
    <w:rsid w:val="001C5885"/>
    <w:rsid w:val="001C6698"/>
    <w:rsid w:val="001D0AAC"/>
    <w:rsid w:val="001D1D55"/>
    <w:rsid w:val="001D21EF"/>
    <w:rsid w:val="001D330D"/>
    <w:rsid w:val="001D4AD3"/>
    <w:rsid w:val="001D5A94"/>
    <w:rsid w:val="001E07DA"/>
    <w:rsid w:val="001E1ABC"/>
    <w:rsid w:val="001E43FB"/>
    <w:rsid w:val="001E59FB"/>
    <w:rsid w:val="001E63F8"/>
    <w:rsid w:val="001E787E"/>
    <w:rsid w:val="001E78CC"/>
    <w:rsid w:val="001F087C"/>
    <w:rsid w:val="001F0DA4"/>
    <w:rsid w:val="001F0FD1"/>
    <w:rsid w:val="001F1F18"/>
    <w:rsid w:val="001F2F92"/>
    <w:rsid w:val="001F3396"/>
    <w:rsid w:val="001F6095"/>
    <w:rsid w:val="00200E37"/>
    <w:rsid w:val="00201EE3"/>
    <w:rsid w:val="00202D33"/>
    <w:rsid w:val="00202F99"/>
    <w:rsid w:val="00203C85"/>
    <w:rsid w:val="00205298"/>
    <w:rsid w:val="002054F4"/>
    <w:rsid w:val="00210B9C"/>
    <w:rsid w:val="00212CFB"/>
    <w:rsid w:val="00212E87"/>
    <w:rsid w:val="00213FC4"/>
    <w:rsid w:val="00214028"/>
    <w:rsid w:val="002141C3"/>
    <w:rsid w:val="002141DC"/>
    <w:rsid w:val="00214479"/>
    <w:rsid w:val="002144F3"/>
    <w:rsid w:val="00215918"/>
    <w:rsid w:val="00215A2A"/>
    <w:rsid w:val="00216387"/>
    <w:rsid w:val="00217427"/>
    <w:rsid w:val="00217DE5"/>
    <w:rsid w:val="002204BC"/>
    <w:rsid w:val="0022187F"/>
    <w:rsid w:val="0022234D"/>
    <w:rsid w:val="002223FA"/>
    <w:rsid w:val="00222C78"/>
    <w:rsid w:val="00224B9B"/>
    <w:rsid w:val="0022555A"/>
    <w:rsid w:val="0023114A"/>
    <w:rsid w:val="0023205A"/>
    <w:rsid w:val="0023265B"/>
    <w:rsid w:val="00233538"/>
    <w:rsid w:val="002344F5"/>
    <w:rsid w:val="0023454D"/>
    <w:rsid w:val="002345FC"/>
    <w:rsid w:val="00234679"/>
    <w:rsid w:val="00236127"/>
    <w:rsid w:val="002361A2"/>
    <w:rsid w:val="00236690"/>
    <w:rsid w:val="0023669D"/>
    <w:rsid w:val="00237755"/>
    <w:rsid w:val="00237A7C"/>
    <w:rsid w:val="00237FA2"/>
    <w:rsid w:val="00240121"/>
    <w:rsid w:val="00240F67"/>
    <w:rsid w:val="00241144"/>
    <w:rsid w:val="00242009"/>
    <w:rsid w:val="00242510"/>
    <w:rsid w:val="00243F5D"/>
    <w:rsid w:val="0024415B"/>
    <w:rsid w:val="00245269"/>
    <w:rsid w:val="00247422"/>
    <w:rsid w:val="00247B53"/>
    <w:rsid w:val="00247BA2"/>
    <w:rsid w:val="00251CB4"/>
    <w:rsid w:val="00252862"/>
    <w:rsid w:val="002531BD"/>
    <w:rsid w:val="002533FE"/>
    <w:rsid w:val="002537FC"/>
    <w:rsid w:val="002543EF"/>
    <w:rsid w:val="00255146"/>
    <w:rsid w:val="0025631F"/>
    <w:rsid w:val="00256986"/>
    <w:rsid w:val="00257246"/>
    <w:rsid w:val="002601AE"/>
    <w:rsid w:val="00263044"/>
    <w:rsid w:val="002630E7"/>
    <w:rsid w:val="00263759"/>
    <w:rsid w:val="0026385E"/>
    <w:rsid w:val="002645DB"/>
    <w:rsid w:val="0026470B"/>
    <w:rsid w:val="0026486D"/>
    <w:rsid w:val="00264966"/>
    <w:rsid w:val="00264CEB"/>
    <w:rsid w:val="002660C3"/>
    <w:rsid w:val="00266DE1"/>
    <w:rsid w:val="00266E08"/>
    <w:rsid w:val="00267E43"/>
    <w:rsid w:val="00267F38"/>
    <w:rsid w:val="00273C5F"/>
    <w:rsid w:val="00274C6D"/>
    <w:rsid w:val="002751CA"/>
    <w:rsid w:val="0027544D"/>
    <w:rsid w:val="00275C7D"/>
    <w:rsid w:val="002778AB"/>
    <w:rsid w:val="002802A5"/>
    <w:rsid w:val="0028166B"/>
    <w:rsid w:val="00281BCB"/>
    <w:rsid w:val="00282CA4"/>
    <w:rsid w:val="00283B06"/>
    <w:rsid w:val="0028583E"/>
    <w:rsid w:val="00285FF3"/>
    <w:rsid w:val="0028744E"/>
    <w:rsid w:val="0028766A"/>
    <w:rsid w:val="00287936"/>
    <w:rsid w:val="002903C5"/>
    <w:rsid w:val="00290A99"/>
    <w:rsid w:val="00290EAF"/>
    <w:rsid w:val="0029159A"/>
    <w:rsid w:val="00292AA1"/>
    <w:rsid w:val="0029499D"/>
    <w:rsid w:val="00294A13"/>
    <w:rsid w:val="00295073"/>
    <w:rsid w:val="00295DC3"/>
    <w:rsid w:val="0029704D"/>
    <w:rsid w:val="002979C5"/>
    <w:rsid w:val="00297AF5"/>
    <w:rsid w:val="002A01C6"/>
    <w:rsid w:val="002A02D6"/>
    <w:rsid w:val="002A07C4"/>
    <w:rsid w:val="002A0921"/>
    <w:rsid w:val="002A108E"/>
    <w:rsid w:val="002A123D"/>
    <w:rsid w:val="002A2001"/>
    <w:rsid w:val="002A30AD"/>
    <w:rsid w:val="002A4A80"/>
    <w:rsid w:val="002A4EB3"/>
    <w:rsid w:val="002A51D9"/>
    <w:rsid w:val="002A5275"/>
    <w:rsid w:val="002B2906"/>
    <w:rsid w:val="002B35C5"/>
    <w:rsid w:val="002B3870"/>
    <w:rsid w:val="002B50B3"/>
    <w:rsid w:val="002B5AEE"/>
    <w:rsid w:val="002B5CD6"/>
    <w:rsid w:val="002B6177"/>
    <w:rsid w:val="002B68E6"/>
    <w:rsid w:val="002B6985"/>
    <w:rsid w:val="002B7242"/>
    <w:rsid w:val="002C0032"/>
    <w:rsid w:val="002C0301"/>
    <w:rsid w:val="002C0326"/>
    <w:rsid w:val="002C0A9F"/>
    <w:rsid w:val="002C1BB7"/>
    <w:rsid w:val="002C1CC2"/>
    <w:rsid w:val="002C28E1"/>
    <w:rsid w:val="002C3890"/>
    <w:rsid w:val="002C3DD5"/>
    <w:rsid w:val="002C643D"/>
    <w:rsid w:val="002C70E7"/>
    <w:rsid w:val="002C77AC"/>
    <w:rsid w:val="002D22A6"/>
    <w:rsid w:val="002D2496"/>
    <w:rsid w:val="002D2C71"/>
    <w:rsid w:val="002D2CD6"/>
    <w:rsid w:val="002D2F81"/>
    <w:rsid w:val="002D3BA3"/>
    <w:rsid w:val="002D4892"/>
    <w:rsid w:val="002D4D06"/>
    <w:rsid w:val="002D4E19"/>
    <w:rsid w:val="002D4EE7"/>
    <w:rsid w:val="002D4EED"/>
    <w:rsid w:val="002D6782"/>
    <w:rsid w:val="002D707C"/>
    <w:rsid w:val="002D7DB2"/>
    <w:rsid w:val="002D7FB2"/>
    <w:rsid w:val="002E0542"/>
    <w:rsid w:val="002E0E87"/>
    <w:rsid w:val="002E1EC1"/>
    <w:rsid w:val="002E201C"/>
    <w:rsid w:val="002E26CE"/>
    <w:rsid w:val="002E28A0"/>
    <w:rsid w:val="002E2E79"/>
    <w:rsid w:val="002E349A"/>
    <w:rsid w:val="002E3956"/>
    <w:rsid w:val="002E3D77"/>
    <w:rsid w:val="002E672A"/>
    <w:rsid w:val="002E6853"/>
    <w:rsid w:val="002E7EE5"/>
    <w:rsid w:val="002F0323"/>
    <w:rsid w:val="002F0939"/>
    <w:rsid w:val="002F134F"/>
    <w:rsid w:val="002F1D0B"/>
    <w:rsid w:val="002F1F02"/>
    <w:rsid w:val="002F2048"/>
    <w:rsid w:val="002F2D81"/>
    <w:rsid w:val="002F44D0"/>
    <w:rsid w:val="002F47A6"/>
    <w:rsid w:val="002F541B"/>
    <w:rsid w:val="002F6EFF"/>
    <w:rsid w:val="002F7DF0"/>
    <w:rsid w:val="002F7FAF"/>
    <w:rsid w:val="003002DD"/>
    <w:rsid w:val="00300AFA"/>
    <w:rsid w:val="00301A22"/>
    <w:rsid w:val="00303959"/>
    <w:rsid w:val="00303AB6"/>
    <w:rsid w:val="00304455"/>
    <w:rsid w:val="00304640"/>
    <w:rsid w:val="00304AC1"/>
    <w:rsid w:val="00305007"/>
    <w:rsid w:val="00305454"/>
    <w:rsid w:val="003066C6"/>
    <w:rsid w:val="00307DC7"/>
    <w:rsid w:val="003102E8"/>
    <w:rsid w:val="00310957"/>
    <w:rsid w:val="00310EDB"/>
    <w:rsid w:val="00312260"/>
    <w:rsid w:val="00312378"/>
    <w:rsid w:val="00312BF8"/>
    <w:rsid w:val="00312DFC"/>
    <w:rsid w:val="0031318C"/>
    <w:rsid w:val="00313C9D"/>
    <w:rsid w:val="00314C5A"/>
    <w:rsid w:val="00314D13"/>
    <w:rsid w:val="0031531A"/>
    <w:rsid w:val="00315394"/>
    <w:rsid w:val="00315A0E"/>
    <w:rsid w:val="00315D77"/>
    <w:rsid w:val="00316CDE"/>
    <w:rsid w:val="00317012"/>
    <w:rsid w:val="00320AAB"/>
    <w:rsid w:val="0032226B"/>
    <w:rsid w:val="00324B2F"/>
    <w:rsid w:val="00326106"/>
    <w:rsid w:val="003262E4"/>
    <w:rsid w:val="003269B7"/>
    <w:rsid w:val="003272E4"/>
    <w:rsid w:val="003301D9"/>
    <w:rsid w:val="00330FE8"/>
    <w:rsid w:val="00331461"/>
    <w:rsid w:val="003316A8"/>
    <w:rsid w:val="00331CC9"/>
    <w:rsid w:val="00331FE5"/>
    <w:rsid w:val="003320D7"/>
    <w:rsid w:val="00332D52"/>
    <w:rsid w:val="00333337"/>
    <w:rsid w:val="00333A28"/>
    <w:rsid w:val="00335868"/>
    <w:rsid w:val="0033631D"/>
    <w:rsid w:val="003365CB"/>
    <w:rsid w:val="0033701B"/>
    <w:rsid w:val="00341225"/>
    <w:rsid w:val="00341CEB"/>
    <w:rsid w:val="0034396F"/>
    <w:rsid w:val="0034458E"/>
    <w:rsid w:val="003448CA"/>
    <w:rsid w:val="00344BBF"/>
    <w:rsid w:val="00344F3C"/>
    <w:rsid w:val="00345644"/>
    <w:rsid w:val="00345D7A"/>
    <w:rsid w:val="00346B6D"/>
    <w:rsid w:val="00346BA3"/>
    <w:rsid w:val="00347356"/>
    <w:rsid w:val="00350896"/>
    <w:rsid w:val="00350C31"/>
    <w:rsid w:val="003519CD"/>
    <w:rsid w:val="00351A3A"/>
    <w:rsid w:val="00352A88"/>
    <w:rsid w:val="003536BF"/>
    <w:rsid w:val="0035455F"/>
    <w:rsid w:val="00355D8F"/>
    <w:rsid w:val="00357437"/>
    <w:rsid w:val="003577EF"/>
    <w:rsid w:val="00357F65"/>
    <w:rsid w:val="00360304"/>
    <w:rsid w:val="00361DB9"/>
    <w:rsid w:val="00362415"/>
    <w:rsid w:val="00365427"/>
    <w:rsid w:val="00365888"/>
    <w:rsid w:val="003669C8"/>
    <w:rsid w:val="00366CEB"/>
    <w:rsid w:val="00366D8A"/>
    <w:rsid w:val="003679D3"/>
    <w:rsid w:val="00367A87"/>
    <w:rsid w:val="00367F2C"/>
    <w:rsid w:val="003703CE"/>
    <w:rsid w:val="00371C6D"/>
    <w:rsid w:val="00372C89"/>
    <w:rsid w:val="00372E9A"/>
    <w:rsid w:val="00374677"/>
    <w:rsid w:val="0037632F"/>
    <w:rsid w:val="00377B26"/>
    <w:rsid w:val="003800B2"/>
    <w:rsid w:val="00381014"/>
    <w:rsid w:val="00381F60"/>
    <w:rsid w:val="00382F6C"/>
    <w:rsid w:val="00383AB0"/>
    <w:rsid w:val="00384814"/>
    <w:rsid w:val="00384C0A"/>
    <w:rsid w:val="00385B16"/>
    <w:rsid w:val="00385B65"/>
    <w:rsid w:val="0038637D"/>
    <w:rsid w:val="00386C07"/>
    <w:rsid w:val="00386F58"/>
    <w:rsid w:val="0038700D"/>
    <w:rsid w:val="0038701B"/>
    <w:rsid w:val="003871A7"/>
    <w:rsid w:val="00390C0D"/>
    <w:rsid w:val="00391447"/>
    <w:rsid w:val="003922DE"/>
    <w:rsid w:val="00393B84"/>
    <w:rsid w:val="00393C6A"/>
    <w:rsid w:val="003944EA"/>
    <w:rsid w:val="00394639"/>
    <w:rsid w:val="003962E6"/>
    <w:rsid w:val="00396831"/>
    <w:rsid w:val="00397EE1"/>
    <w:rsid w:val="003A03EF"/>
    <w:rsid w:val="003A12B6"/>
    <w:rsid w:val="003A20D5"/>
    <w:rsid w:val="003A24CC"/>
    <w:rsid w:val="003A2EE8"/>
    <w:rsid w:val="003A373C"/>
    <w:rsid w:val="003A3E10"/>
    <w:rsid w:val="003A3FD6"/>
    <w:rsid w:val="003A5378"/>
    <w:rsid w:val="003A5567"/>
    <w:rsid w:val="003A7E2B"/>
    <w:rsid w:val="003A7E40"/>
    <w:rsid w:val="003B0336"/>
    <w:rsid w:val="003B0A3A"/>
    <w:rsid w:val="003B452B"/>
    <w:rsid w:val="003B4810"/>
    <w:rsid w:val="003B514E"/>
    <w:rsid w:val="003B5581"/>
    <w:rsid w:val="003B5E0A"/>
    <w:rsid w:val="003B613B"/>
    <w:rsid w:val="003B636A"/>
    <w:rsid w:val="003B6AF1"/>
    <w:rsid w:val="003B7D14"/>
    <w:rsid w:val="003C011C"/>
    <w:rsid w:val="003C2400"/>
    <w:rsid w:val="003C435B"/>
    <w:rsid w:val="003C4EBE"/>
    <w:rsid w:val="003C685A"/>
    <w:rsid w:val="003C6B25"/>
    <w:rsid w:val="003C6E9C"/>
    <w:rsid w:val="003C7F12"/>
    <w:rsid w:val="003D03D6"/>
    <w:rsid w:val="003D04C3"/>
    <w:rsid w:val="003D14C8"/>
    <w:rsid w:val="003D1517"/>
    <w:rsid w:val="003D2DA0"/>
    <w:rsid w:val="003D34C3"/>
    <w:rsid w:val="003D5681"/>
    <w:rsid w:val="003D5ADB"/>
    <w:rsid w:val="003D62A2"/>
    <w:rsid w:val="003D663E"/>
    <w:rsid w:val="003D6793"/>
    <w:rsid w:val="003D6B03"/>
    <w:rsid w:val="003D75D8"/>
    <w:rsid w:val="003E0746"/>
    <w:rsid w:val="003E0E7C"/>
    <w:rsid w:val="003E2E25"/>
    <w:rsid w:val="003E336A"/>
    <w:rsid w:val="003E35A8"/>
    <w:rsid w:val="003E3FB8"/>
    <w:rsid w:val="003E60DA"/>
    <w:rsid w:val="003E61F6"/>
    <w:rsid w:val="003E6439"/>
    <w:rsid w:val="003E6E00"/>
    <w:rsid w:val="003E725A"/>
    <w:rsid w:val="003E7940"/>
    <w:rsid w:val="003F01BD"/>
    <w:rsid w:val="003F048E"/>
    <w:rsid w:val="003F0AFF"/>
    <w:rsid w:val="003F2C48"/>
    <w:rsid w:val="003F3D90"/>
    <w:rsid w:val="003F53BB"/>
    <w:rsid w:val="003F56B8"/>
    <w:rsid w:val="00400CCB"/>
    <w:rsid w:val="00401373"/>
    <w:rsid w:val="00401386"/>
    <w:rsid w:val="00401E31"/>
    <w:rsid w:val="004035D0"/>
    <w:rsid w:val="00403795"/>
    <w:rsid w:val="00405764"/>
    <w:rsid w:val="00406745"/>
    <w:rsid w:val="00406B32"/>
    <w:rsid w:val="00406D55"/>
    <w:rsid w:val="004074FA"/>
    <w:rsid w:val="00407A56"/>
    <w:rsid w:val="00407FC3"/>
    <w:rsid w:val="00407FCC"/>
    <w:rsid w:val="004113C9"/>
    <w:rsid w:val="0041461A"/>
    <w:rsid w:val="00414909"/>
    <w:rsid w:val="00415034"/>
    <w:rsid w:val="00415B1A"/>
    <w:rsid w:val="00415F72"/>
    <w:rsid w:val="004160C1"/>
    <w:rsid w:val="0041690F"/>
    <w:rsid w:val="00416D41"/>
    <w:rsid w:val="00416E7D"/>
    <w:rsid w:val="00417264"/>
    <w:rsid w:val="00417FB3"/>
    <w:rsid w:val="004210C0"/>
    <w:rsid w:val="004211DD"/>
    <w:rsid w:val="00421442"/>
    <w:rsid w:val="00421762"/>
    <w:rsid w:val="00421D4B"/>
    <w:rsid w:val="00421D9F"/>
    <w:rsid w:val="00421ED8"/>
    <w:rsid w:val="004233AD"/>
    <w:rsid w:val="00423ABD"/>
    <w:rsid w:val="004246BC"/>
    <w:rsid w:val="00424F1A"/>
    <w:rsid w:val="00425724"/>
    <w:rsid w:val="00426B2C"/>
    <w:rsid w:val="00427FA8"/>
    <w:rsid w:val="004306D4"/>
    <w:rsid w:val="00431C44"/>
    <w:rsid w:val="00432827"/>
    <w:rsid w:val="00432ECA"/>
    <w:rsid w:val="00435515"/>
    <w:rsid w:val="004357B1"/>
    <w:rsid w:val="00436CCE"/>
    <w:rsid w:val="004379BB"/>
    <w:rsid w:val="00440262"/>
    <w:rsid w:val="00440814"/>
    <w:rsid w:val="00440844"/>
    <w:rsid w:val="004439F0"/>
    <w:rsid w:val="00443EDE"/>
    <w:rsid w:val="0044739A"/>
    <w:rsid w:val="004475F7"/>
    <w:rsid w:val="00447DFB"/>
    <w:rsid w:val="00450B22"/>
    <w:rsid w:val="00452AB8"/>
    <w:rsid w:val="004533CE"/>
    <w:rsid w:val="004543AB"/>
    <w:rsid w:val="00455F71"/>
    <w:rsid w:val="00456272"/>
    <w:rsid w:val="00457CF7"/>
    <w:rsid w:val="00457D37"/>
    <w:rsid w:val="00457ED4"/>
    <w:rsid w:val="00460E68"/>
    <w:rsid w:val="00461F80"/>
    <w:rsid w:val="0046240D"/>
    <w:rsid w:val="00463576"/>
    <w:rsid w:val="0046399D"/>
    <w:rsid w:val="00465264"/>
    <w:rsid w:val="00465781"/>
    <w:rsid w:val="00465A21"/>
    <w:rsid w:val="00466ABA"/>
    <w:rsid w:val="0046775D"/>
    <w:rsid w:val="00471387"/>
    <w:rsid w:val="00471963"/>
    <w:rsid w:val="00473308"/>
    <w:rsid w:val="004749DA"/>
    <w:rsid w:val="004749DC"/>
    <w:rsid w:val="00474DEF"/>
    <w:rsid w:val="004750B9"/>
    <w:rsid w:val="004754AC"/>
    <w:rsid w:val="004758E7"/>
    <w:rsid w:val="00475F67"/>
    <w:rsid w:val="004764C6"/>
    <w:rsid w:val="00477247"/>
    <w:rsid w:val="00477529"/>
    <w:rsid w:val="004776BB"/>
    <w:rsid w:val="00477C40"/>
    <w:rsid w:val="00480DC5"/>
    <w:rsid w:val="0048144A"/>
    <w:rsid w:val="00481886"/>
    <w:rsid w:val="00482288"/>
    <w:rsid w:val="00483984"/>
    <w:rsid w:val="00483BC7"/>
    <w:rsid w:val="00483CF0"/>
    <w:rsid w:val="00484D4D"/>
    <w:rsid w:val="004855D9"/>
    <w:rsid w:val="0048664F"/>
    <w:rsid w:val="004868AD"/>
    <w:rsid w:val="00486D00"/>
    <w:rsid w:val="00487FE1"/>
    <w:rsid w:val="00490707"/>
    <w:rsid w:val="00490815"/>
    <w:rsid w:val="004914E8"/>
    <w:rsid w:val="00492B76"/>
    <w:rsid w:val="0049333E"/>
    <w:rsid w:val="0049418F"/>
    <w:rsid w:val="00495DC6"/>
    <w:rsid w:val="00497AAD"/>
    <w:rsid w:val="00497D1A"/>
    <w:rsid w:val="00497EE7"/>
    <w:rsid w:val="004A03DA"/>
    <w:rsid w:val="004A1DBC"/>
    <w:rsid w:val="004A1EA7"/>
    <w:rsid w:val="004A2C96"/>
    <w:rsid w:val="004A4125"/>
    <w:rsid w:val="004A5D1E"/>
    <w:rsid w:val="004A7364"/>
    <w:rsid w:val="004B026C"/>
    <w:rsid w:val="004B0271"/>
    <w:rsid w:val="004B0BE8"/>
    <w:rsid w:val="004B0E4A"/>
    <w:rsid w:val="004B2463"/>
    <w:rsid w:val="004B305F"/>
    <w:rsid w:val="004B3157"/>
    <w:rsid w:val="004B34C4"/>
    <w:rsid w:val="004B3981"/>
    <w:rsid w:val="004B3AD7"/>
    <w:rsid w:val="004B419F"/>
    <w:rsid w:val="004B7317"/>
    <w:rsid w:val="004B75B2"/>
    <w:rsid w:val="004C11A9"/>
    <w:rsid w:val="004C1840"/>
    <w:rsid w:val="004C27CF"/>
    <w:rsid w:val="004C2CA7"/>
    <w:rsid w:val="004C38E3"/>
    <w:rsid w:val="004C45C8"/>
    <w:rsid w:val="004C612E"/>
    <w:rsid w:val="004C6C0A"/>
    <w:rsid w:val="004C7180"/>
    <w:rsid w:val="004C77FF"/>
    <w:rsid w:val="004D0223"/>
    <w:rsid w:val="004D12E8"/>
    <w:rsid w:val="004D138A"/>
    <w:rsid w:val="004D16A3"/>
    <w:rsid w:val="004D1E41"/>
    <w:rsid w:val="004D3B25"/>
    <w:rsid w:val="004D557D"/>
    <w:rsid w:val="004D6F29"/>
    <w:rsid w:val="004D7974"/>
    <w:rsid w:val="004D7F9C"/>
    <w:rsid w:val="004D7FF2"/>
    <w:rsid w:val="004E1D6F"/>
    <w:rsid w:val="004E1F19"/>
    <w:rsid w:val="004E3A2A"/>
    <w:rsid w:val="004E3AB1"/>
    <w:rsid w:val="004E4003"/>
    <w:rsid w:val="004E6746"/>
    <w:rsid w:val="004E75C1"/>
    <w:rsid w:val="004F045E"/>
    <w:rsid w:val="004F07F2"/>
    <w:rsid w:val="004F0E82"/>
    <w:rsid w:val="004F1847"/>
    <w:rsid w:val="004F2982"/>
    <w:rsid w:val="004F2B46"/>
    <w:rsid w:val="004F2C40"/>
    <w:rsid w:val="004F2CB6"/>
    <w:rsid w:val="004F313F"/>
    <w:rsid w:val="004F38CA"/>
    <w:rsid w:val="004F3EEF"/>
    <w:rsid w:val="004F447B"/>
    <w:rsid w:val="004F4FE8"/>
    <w:rsid w:val="004F531B"/>
    <w:rsid w:val="004F5395"/>
    <w:rsid w:val="004F560C"/>
    <w:rsid w:val="004F728A"/>
    <w:rsid w:val="004F7B47"/>
    <w:rsid w:val="005003ED"/>
    <w:rsid w:val="005010BC"/>
    <w:rsid w:val="005010F8"/>
    <w:rsid w:val="005020F1"/>
    <w:rsid w:val="005039B8"/>
    <w:rsid w:val="00504CCC"/>
    <w:rsid w:val="0050537D"/>
    <w:rsid w:val="005079F5"/>
    <w:rsid w:val="0051037C"/>
    <w:rsid w:val="0051050F"/>
    <w:rsid w:val="00510DDC"/>
    <w:rsid w:val="00511427"/>
    <w:rsid w:val="005131A2"/>
    <w:rsid w:val="00513D8B"/>
    <w:rsid w:val="0051440E"/>
    <w:rsid w:val="00514F0B"/>
    <w:rsid w:val="005160EA"/>
    <w:rsid w:val="005173F3"/>
    <w:rsid w:val="00517AC8"/>
    <w:rsid w:val="00517C3E"/>
    <w:rsid w:val="005212F4"/>
    <w:rsid w:val="00521305"/>
    <w:rsid w:val="0052178F"/>
    <w:rsid w:val="00521908"/>
    <w:rsid w:val="00523606"/>
    <w:rsid w:val="005251BE"/>
    <w:rsid w:val="005256D6"/>
    <w:rsid w:val="00525AD8"/>
    <w:rsid w:val="00525C01"/>
    <w:rsid w:val="00526429"/>
    <w:rsid w:val="005266C1"/>
    <w:rsid w:val="005267F4"/>
    <w:rsid w:val="00527317"/>
    <w:rsid w:val="00527ED6"/>
    <w:rsid w:val="00531064"/>
    <w:rsid w:val="005335A2"/>
    <w:rsid w:val="00533DEC"/>
    <w:rsid w:val="005363D3"/>
    <w:rsid w:val="00536B03"/>
    <w:rsid w:val="00537917"/>
    <w:rsid w:val="00537E83"/>
    <w:rsid w:val="005405B2"/>
    <w:rsid w:val="00540EE7"/>
    <w:rsid w:val="00541A22"/>
    <w:rsid w:val="005426B2"/>
    <w:rsid w:val="00542CD7"/>
    <w:rsid w:val="00543640"/>
    <w:rsid w:val="005444C6"/>
    <w:rsid w:val="005449D1"/>
    <w:rsid w:val="00544F05"/>
    <w:rsid w:val="005454B8"/>
    <w:rsid w:val="0054552C"/>
    <w:rsid w:val="00545B56"/>
    <w:rsid w:val="00545DB9"/>
    <w:rsid w:val="00546035"/>
    <w:rsid w:val="00546BF8"/>
    <w:rsid w:val="00550B7E"/>
    <w:rsid w:val="00551B96"/>
    <w:rsid w:val="00551EE7"/>
    <w:rsid w:val="005524ED"/>
    <w:rsid w:val="00554C03"/>
    <w:rsid w:val="005550F9"/>
    <w:rsid w:val="0055525C"/>
    <w:rsid w:val="00556386"/>
    <w:rsid w:val="00556441"/>
    <w:rsid w:val="0055693D"/>
    <w:rsid w:val="00561903"/>
    <w:rsid w:val="00561A9B"/>
    <w:rsid w:val="00562FB1"/>
    <w:rsid w:val="00563068"/>
    <w:rsid w:val="00564DA7"/>
    <w:rsid w:val="00564EFA"/>
    <w:rsid w:val="00565204"/>
    <w:rsid w:val="00565473"/>
    <w:rsid w:val="00565DAC"/>
    <w:rsid w:val="00565F0D"/>
    <w:rsid w:val="005662DC"/>
    <w:rsid w:val="00566329"/>
    <w:rsid w:val="005701C2"/>
    <w:rsid w:val="0057117C"/>
    <w:rsid w:val="00573560"/>
    <w:rsid w:val="0057438C"/>
    <w:rsid w:val="005744C1"/>
    <w:rsid w:val="00574E7B"/>
    <w:rsid w:val="005756E7"/>
    <w:rsid w:val="00576B5C"/>
    <w:rsid w:val="00580DFC"/>
    <w:rsid w:val="00581133"/>
    <w:rsid w:val="00581EC5"/>
    <w:rsid w:val="00581F85"/>
    <w:rsid w:val="00583D43"/>
    <w:rsid w:val="005846C3"/>
    <w:rsid w:val="00584F04"/>
    <w:rsid w:val="0058577D"/>
    <w:rsid w:val="005857F7"/>
    <w:rsid w:val="0058589A"/>
    <w:rsid w:val="005871F6"/>
    <w:rsid w:val="0058767F"/>
    <w:rsid w:val="00587D7B"/>
    <w:rsid w:val="005901B7"/>
    <w:rsid w:val="005904DB"/>
    <w:rsid w:val="00592825"/>
    <w:rsid w:val="005931BD"/>
    <w:rsid w:val="00593806"/>
    <w:rsid w:val="00594437"/>
    <w:rsid w:val="005955EB"/>
    <w:rsid w:val="0059683E"/>
    <w:rsid w:val="00596CFA"/>
    <w:rsid w:val="005975CE"/>
    <w:rsid w:val="005A1A31"/>
    <w:rsid w:val="005A36C2"/>
    <w:rsid w:val="005A3719"/>
    <w:rsid w:val="005A399E"/>
    <w:rsid w:val="005A3A4F"/>
    <w:rsid w:val="005A3DD7"/>
    <w:rsid w:val="005A418C"/>
    <w:rsid w:val="005A48B5"/>
    <w:rsid w:val="005A4F48"/>
    <w:rsid w:val="005A5036"/>
    <w:rsid w:val="005A56BB"/>
    <w:rsid w:val="005A733D"/>
    <w:rsid w:val="005A7A32"/>
    <w:rsid w:val="005A7F85"/>
    <w:rsid w:val="005B102C"/>
    <w:rsid w:val="005B1AAB"/>
    <w:rsid w:val="005B2313"/>
    <w:rsid w:val="005B2930"/>
    <w:rsid w:val="005B2B87"/>
    <w:rsid w:val="005B387B"/>
    <w:rsid w:val="005B3B01"/>
    <w:rsid w:val="005B4333"/>
    <w:rsid w:val="005B4534"/>
    <w:rsid w:val="005B4F0B"/>
    <w:rsid w:val="005B5603"/>
    <w:rsid w:val="005B5994"/>
    <w:rsid w:val="005B61F4"/>
    <w:rsid w:val="005B667A"/>
    <w:rsid w:val="005B6FA1"/>
    <w:rsid w:val="005C0372"/>
    <w:rsid w:val="005C039B"/>
    <w:rsid w:val="005C059F"/>
    <w:rsid w:val="005C07CE"/>
    <w:rsid w:val="005C0B8F"/>
    <w:rsid w:val="005C12DE"/>
    <w:rsid w:val="005C2294"/>
    <w:rsid w:val="005C3344"/>
    <w:rsid w:val="005C4C71"/>
    <w:rsid w:val="005C4E4D"/>
    <w:rsid w:val="005C5A97"/>
    <w:rsid w:val="005C679D"/>
    <w:rsid w:val="005C6D5D"/>
    <w:rsid w:val="005D01C3"/>
    <w:rsid w:val="005D1D15"/>
    <w:rsid w:val="005D2578"/>
    <w:rsid w:val="005D266D"/>
    <w:rsid w:val="005D3327"/>
    <w:rsid w:val="005D5BCF"/>
    <w:rsid w:val="005D6D84"/>
    <w:rsid w:val="005D70A1"/>
    <w:rsid w:val="005D79F2"/>
    <w:rsid w:val="005E0988"/>
    <w:rsid w:val="005E09CA"/>
    <w:rsid w:val="005E4543"/>
    <w:rsid w:val="005E4717"/>
    <w:rsid w:val="005E4B55"/>
    <w:rsid w:val="005E565C"/>
    <w:rsid w:val="005E56C9"/>
    <w:rsid w:val="005E5CF7"/>
    <w:rsid w:val="005E704E"/>
    <w:rsid w:val="005E721E"/>
    <w:rsid w:val="005E75E3"/>
    <w:rsid w:val="005F0857"/>
    <w:rsid w:val="005F2CD5"/>
    <w:rsid w:val="005F403D"/>
    <w:rsid w:val="005F5A0D"/>
    <w:rsid w:val="005F61DF"/>
    <w:rsid w:val="005F77F8"/>
    <w:rsid w:val="005F7D5B"/>
    <w:rsid w:val="00600FF9"/>
    <w:rsid w:val="006011E3"/>
    <w:rsid w:val="0060150C"/>
    <w:rsid w:val="00601F66"/>
    <w:rsid w:val="00601F8F"/>
    <w:rsid w:val="00603373"/>
    <w:rsid w:val="006036D0"/>
    <w:rsid w:val="006042CD"/>
    <w:rsid w:val="00604530"/>
    <w:rsid w:val="006054A5"/>
    <w:rsid w:val="006059E4"/>
    <w:rsid w:val="00605CAF"/>
    <w:rsid w:val="006062A0"/>
    <w:rsid w:val="00610260"/>
    <w:rsid w:val="0061098D"/>
    <w:rsid w:val="00611367"/>
    <w:rsid w:val="00611AC8"/>
    <w:rsid w:val="00611B59"/>
    <w:rsid w:val="00611FBA"/>
    <w:rsid w:val="0061272A"/>
    <w:rsid w:val="00613AA2"/>
    <w:rsid w:val="00613EDA"/>
    <w:rsid w:val="006155F1"/>
    <w:rsid w:val="00615FAB"/>
    <w:rsid w:val="006161D6"/>
    <w:rsid w:val="0061703E"/>
    <w:rsid w:val="00620055"/>
    <w:rsid w:val="006212D3"/>
    <w:rsid w:val="006217EF"/>
    <w:rsid w:val="0062213A"/>
    <w:rsid w:val="00623A5E"/>
    <w:rsid w:val="00625008"/>
    <w:rsid w:val="00625EAC"/>
    <w:rsid w:val="00626930"/>
    <w:rsid w:val="00626BAC"/>
    <w:rsid w:val="00626F04"/>
    <w:rsid w:val="006271C3"/>
    <w:rsid w:val="0063001E"/>
    <w:rsid w:val="00630527"/>
    <w:rsid w:val="00630D58"/>
    <w:rsid w:val="00631005"/>
    <w:rsid w:val="00632727"/>
    <w:rsid w:val="00633EF3"/>
    <w:rsid w:val="00635B73"/>
    <w:rsid w:val="006368A8"/>
    <w:rsid w:val="00636CC7"/>
    <w:rsid w:val="00637016"/>
    <w:rsid w:val="00637F27"/>
    <w:rsid w:val="00643F89"/>
    <w:rsid w:val="00644BED"/>
    <w:rsid w:val="00644E2E"/>
    <w:rsid w:val="00645CB4"/>
    <w:rsid w:val="00646BDC"/>
    <w:rsid w:val="00647DE9"/>
    <w:rsid w:val="00651F59"/>
    <w:rsid w:val="00652CF5"/>
    <w:rsid w:val="0065343E"/>
    <w:rsid w:val="00653C7C"/>
    <w:rsid w:val="006540B1"/>
    <w:rsid w:val="006558CD"/>
    <w:rsid w:val="00656CD4"/>
    <w:rsid w:val="00656D49"/>
    <w:rsid w:val="00656E4D"/>
    <w:rsid w:val="006576BA"/>
    <w:rsid w:val="0066057F"/>
    <w:rsid w:val="0066099B"/>
    <w:rsid w:val="00662401"/>
    <w:rsid w:val="00662D3D"/>
    <w:rsid w:val="00662F1F"/>
    <w:rsid w:val="0066408F"/>
    <w:rsid w:val="00664DB5"/>
    <w:rsid w:val="006673B9"/>
    <w:rsid w:val="0066790C"/>
    <w:rsid w:val="006700F1"/>
    <w:rsid w:val="006720BC"/>
    <w:rsid w:val="00672D0F"/>
    <w:rsid w:val="00673989"/>
    <w:rsid w:val="00673B64"/>
    <w:rsid w:val="00673FC1"/>
    <w:rsid w:val="00675430"/>
    <w:rsid w:val="00675749"/>
    <w:rsid w:val="0067601F"/>
    <w:rsid w:val="00676F15"/>
    <w:rsid w:val="00677382"/>
    <w:rsid w:val="0067772D"/>
    <w:rsid w:val="00680714"/>
    <w:rsid w:val="0068071D"/>
    <w:rsid w:val="00680C6B"/>
    <w:rsid w:val="00681936"/>
    <w:rsid w:val="00683068"/>
    <w:rsid w:val="00683DAD"/>
    <w:rsid w:val="0068443C"/>
    <w:rsid w:val="00684727"/>
    <w:rsid w:val="00684963"/>
    <w:rsid w:val="00684F04"/>
    <w:rsid w:val="00685033"/>
    <w:rsid w:val="00685D65"/>
    <w:rsid w:val="00687031"/>
    <w:rsid w:val="0068790B"/>
    <w:rsid w:val="00687AF2"/>
    <w:rsid w:val="00687DA2"/>
    <w:rsid w:val="00687E87"/>
    <w:rsid w:val="006901AC"/>
    <w:rsid w:val="0069063A"/>
    <w:rsid w:val="00691890"/>
    <w:rsid w:val="006945A1"/>
    <w:rsid w:val="00694982"/>
    <w:rsid w:val="00695EAC"/>
    <w:rsid w:val="00696584"/>
    <w:rsid w:val="00697062"/>
    <w:rsid w:val="006971F8"/>
    <w:rsid w:val="00697D5F"/>
    <w:rsid w:val="006A060C"/>
    <w:rsid w:val="006A150D"/>
    <w:rsid w:val="006A1526"/>
    <w:rsid w:val="006A3207"/>
    <w:rsid w:val="006A39D0"/>
    <w:rsid w:val="006A4321"/>
    <w:rsid w:val="006A60F0"/>
    <w:rsid w:val="006A61EE"/>
    <w:rsid w:val="006B0580"/>
    <w:rsid w:val="006B05DA"/>
    <w:rsid w:val="006B0F30"/>
    <w:rsid w:val="006B1D06"/>
    <w:rsid w:val="006B2823"/>
    <w:rsid w:val="006B33DB"/>
    <w:rsid w:val="006B4CF8"/>
    <w:rsid w:val="006B5FBC"/>
    <w:rsid w:val="006B6ED2"/>
    <w:rsid w:val="006C0230"/>
    <w:rsid w:val="006C09CC"/>
    <w:rsid w:val="006C09F4"/>
    <w:rsid w:val="006C1706"/>
    <w:rsid w:val="006C3EFE"/>
    <w:rsid w:val="006C4618"/>
    <w:rsid w:val="006C5D5D"/>
    <w:rsid w:val="006C6303"/>
    <w:rsid w:val="006C6D6B"/>
    <w:rsid w:val="006C6EBD"/>
    <w:rsid w:val="006D0681"/>
    <w:rsid w:val="006D0906"/>
    <w:rsid w:val="006D0A80"/>
    <w:rsid w:val="006D2874"/>
    <w:rsid w:val="006D312B"/>
    <w:rsid w:val="006D43C1"/>
    <w:rsid w:val="006D5442"/>
    <w:rsid w:val="006D6E4E"/>
    <w:rsid w:val="006E00E3"/>
    <w:rsid w:val="006E045C"/>
    <w:rsid w:val="006E065E"/>
    <w:rsid w:val="006E189B"/>
    <w:rsid w:val="006E2902"/>
    <w:rsid w:val="006E2F9D"/>
    <w:rsid w:val="006E37C6"/>
    <w:rsid w:val="006E41ED"/>
    <w:rsid w:val="006E448E"/>
    <w:rsid w:val="006E4667"/>
    <w:rsid w:val="006E5112"/>
    <w:rsid w:val="006E603B"/>
    <w:rsid w:val="006F1AE0"/>
    <w:rsid w:val="006F2046"/>
    <w:rsid w:val="006F30C9"/>
    <w:rsid w:val="006F41F4"/>
    <w:rsid w:val="006F5813"/>
    <w:rsid w:val="006F59A8"/>
    <w:rsid w:val="006F5A1D"/>
    <w:rsid w:val="006F71A6"/>
    <w:rsid w:val="006F7974"/>
    <w:rsid w:val="006F7C2C"/>
    <w:rsid w:val="00700D18"/>
    <w:rsid w:val="007010CB"/>
    <w:rsid w:val="0070168D"/>
    <w:rsid w:val="00701C36"/>
    <w:rsid w:val="0070283C"/>
    <w:rsid w:val="0070353F"/>
    <w:rsid w:val="0070415E"/>
    <w:rsid w:val="00704D34"/>
    <w:rsid w:val="00705060"/>
    <w:rsid w:val="00705351"/>
    <w:rsid w:val="007069AE"/>
    <w:rsid w:val="00706C89"/>
    <w:rsid w:val="00707967"/>
    <w:rsid w:val="00710257"/>
    <w:rsid w:val="007109E6"/>
    <w:rsid w:val="007119DC"/>
    <w:rsid w:val="00711CC7"/>
    <w:rsid w:val="0071294A"/>
    <w:rsid w:val="00712BDD"/>
    <w:rsid w:val="00712E1E"/>
    <w:rsid w:val="00712F37"/>
    <w:rsid w:val="00713A6B"/>
    <w:rsid w:val="0071499C"/>
    <w:rsid w:val="00714F73"/>
    <w:rsid w:val="0071604D"/>
    <w:rsid w:val="00716186"/>
    <w:rsid w:val="00716DE6"/>
    <w:rsid w:val="0071724E"/>
    <w:rsid w:val="0071732D"/>
    <w:rsid w:val="00720AEE"/>
    <w:rsid w:val="007210F6"/>
    <w:rsid w:val="0072139F"/>
    <w:rsid w:val="00721D3F"/>
    <w:rsid w:val="00721FC3"/>
    <w:rsid w:val="00722A86"/>
    <w:rsid w:val="00722C69"/>
    <w:rsid w:val="0072388C"/>
    <w:rsid w:val="00726665"/>
    <w:rsid w:val="007266B9"/>
    <w:rsid w:val="00726921"/>
    <w:rsid w:val="00726B00"/>
    <w:rsid w:val="007278FE"/>
    <w:rsid w:val="00727AC5"/>
    <w:rsid w:val="00727C65"/>
    <w:rsid w:val="00731872"/>
    <w:rsid w:val="00731EA1"/>
    <w:rsid w:val="00733D6A"/>
    <w:rsid w:val="00734932"/>
    <w:rsid w:val="007364A3"/>
    <w:rsid w:val="007378FD"/>
    <w:rsid w:val="007413EB"/>
    <w:rsid w:val="00742D32"/>
    <w:rsid w:val="00742E9B"/>
    <w:rsid w:val="007444E6"/>
    <w:rsid w:val="0074592C"/>
    <w:rsid w:val="00745F41"/>
    <w:rsid w:val="00747578"/>
    <w:rsid w:val="00751073"/>
    <w:rsid w:val="00752188"/>
    <w:rsid w:val="0075281E"/>
    <w:rsid w:val="00752CC6"/>
    <w:rsid w:val="00754580"/>
    <w:rsid w:val="00754A29"/>
    <w:rsid w:val="00755BCF"/>
    <w:rsid w:val="00756C5F"/>
    <w:rsid w:val="00756D69"/>
    <w:rsid w:val="00757029"/>
    <w:rsid w:val="0076065E"/>
    <w:rsid w:val="0076093D"/>
    <w:rsid w:val="00760C5C"/>
    <w:rsid w:val="00761002"/>
    <w:rsid w:val="0076161B"/>
    <w:rsid w:val="00761CB5"/>
    <w:rsid w:val="0076228C"/>
    <w:rsid w:val="00763137"/>
    <w:rsid w:val="00763278"/>
    <w:rsid w:val="0076417E"/>
    <w:rsid w:val="007675DD"/>
    <w:rsid w:val="007705F0"/>
    <w:rsid w:val="00770A16"/>
    <w:rsid w:val="0077150D"/>
    <w:rsid w:val="00771CAC"/>
    <w:rsid w:val="00772036"/>
    <w:rsid w:val="0077230F"/>
    <w:rsid w:val="007739A3"/>
    <w:rsid w:val="00773BD9"/>
    <w:rsid w:val="00773CB0"/>
    <w:rsid w:val="00773D71"/>
    <w:rsid w:val="007752EB"/>
    <w:rsid w:val="00775526"/>
    <w:rsid w:val="007773A6"/>
    <w:rsid w:val="0077765A"/>
    <w:rsid w:val="00780032"/>
    <w:rsid w:val="00780E86"/>
    <w:rsid w:val="00781727"/>
    <w:rsid w:val="00781F96"/>
    <w:rsid w:val="007823F9"/>
    <w:rsid w:val="00782D32"/>
    <w:rsid w:val="007830E9"/>
    <w:rsid w:val="00783959"/>
    <w:rsid w:val="0078585F"/>
    <w:rsid w:val="00786CBB"/>
    <w:rsid w:val="0079038E"/>
    <w:rsid w:val="00792909"/>
    <w:rsid w:val="00792A00"/>
    <w:rsid w:val="00792C3F"/>
    <w:rsid w:val="00792EE2"/>
    <w:rsid w:val="00793105"/>
    <w:rsid w:val="007931E8"/>
    <w:rsid w:val="00793333"/>
    <w:rsid w:val="00793E20"/>
    <w:rsid w:val="00794E46"/>
    <w:rsid w:val="00794FB6"/>
    <w:rsid w:val="007952DE"/>
    <w:rsid w:val="00795479"/>
    <w:rsid w:val="00796292"/>
    <w:rsid w:val="007972D5"/>
    <w:rsid w:val="007978E8"/>
    <w:rsid w:val="007A0789"/>
    <w:rsid w:val="007A130E"/>
    <w:rsid w:val="007A18B1"/>
    <w:rsid w:val="007A1BBD"/>
    <w:rsid w:val="007A1F08"/>
    <w:rsid w:val="007A25FA"/>
    <w:rsid w:val="007A28B3"/>
    <w:rsid w:val="007A3520"/>
    <w:rsid w:val="007A3878"/>
    <w:rsid w:val="007A3D85"/>
    <w:rsid w:val="007A54F6"/>
    <w:rsid w:val="007A5950"/>
    <w:rsid w:val="007A6D91"/>
    <w:rsid w:val="007A73CF"/>
    <w:rsid w:val="007B0306"/>
    <w:rsid w:val="007B2705"/>
    <w:rsid w:val="007B2E54"/>
    <w:rsid w:val="007B3A8E"/>
    <w:rsid w:val="007B3C9B"/>
    <w:rsid w:val="007B54B7"/>
    <w:rsid w:val="007B54C7"/>
    <w:rsid w:val="007B5DC5"/>
    <w:rsid w:val="007B63FC"/>
    <w:rsid w:val="007B6708"/>
    <w:rsid w:val="007B6E8D"/>
    <w:rsid w:val="007B722F"/>
    <w:rsid w:val="007B755E"/>
    <w:rsid w:val="007C029E"/>
    <w:rsid w:val="007C0636"/>
    <w:rsid w:val="007C10E4"/>
    <w:rsid w:val="007C2351"/>
    <w:rsid w:val="007C2434"/>
    <w:rsid w:val="007C27E0"/>
    <w:rsid w:val="007C3590"/>
    <w:rsid w:val="007C387A"/>
    <w:rsid w:val="007C43D6"/>
    <w:rsid w:val="007C660F"/>
    <w:rsid w:val="007C69AE"/>
    <w:rsid w:val="007C7688"/>
    <w:rsid w:val="007C76E3"/>
    <w:rsid w:val="007C7DD9"/>
    <w:rsid w:val="007D128D"/>
    <w:rsid w:val="007D1667"/>
    <w:rsid w:val="007D2606"/>
    <w:rsid w:val="007D2836"/>
    <w:rsid w:val="007D2932"/>
    <w:rsid w:val="007D2C31"/>
    <w:rsid w:val="007D445F"/>
    <w:rsid w:val="007D4DED"/>
    <w:rsid w:val="007D55CA"/>
    <w:rsid w:val="007D5BA2"/>
    <w:rsid w:val="007D5ED3"/>
    <w:rsid w:val="007D6FB9"/>
    <w:rsid w:val="007D7656"/>
    <w:rsid w:val="007E0A63"/>
    <w:rsid w:val="007E0C63"/>
    <w:rsid w:val="007E1DF8"/>
    <w:rsid w:val="007E404E"/>
    <w:rsid w:val="007E4EB3"/>
    <w:rsid w:val="007E50B4"/>
    <w:rsid w:val="007E54B8"/>
    <w:rsid w:val="007E54DB"/>
    <w:rsid w:val="007E6B25"/>
    <w:rsid w:val="007E6F55"/>
    <w:rsid w:val="007E7BF9"/>
    <w:rsid w:val="007E7DEA"/>
    <w:rsid w:val="007F0A65"/>
    <w:rsid w:val="007F2B4B"/>
    <w:rsid w:val="007F2C38"/>
    <w:rsid w:val="007F30C6"/>
    <w:rsid w:val="007F3240"/>
    <w:rsid w:val="007F3651"/>
    <w:rsid w:val="007F3752"/>
    <w:rsid w:val="007F4318"/>
    <w:rsid w:val="007F47DA"/>
    <w:rsid w:val="007F4E52"/>
    <w:rsid w:val="007F4F84"/>
    <w:rsid w:val="007F55A4"/>
    <w:rsid w:val="007F661E"/>
    <w:rsid w:val="007F6D6B"/>
    <w:rsid w:val="007F74DA"/>
    <w:rsid w:val="007F75BB"/>
    <w:rsid w:val="00800766"/>
    <w:rsid w:val="00800871"/>
    <w:rsid w:val="00801D90"/>
    <w:rsid w:val="0080348B"/>
    <w:rsid w:val="00803EB0"/>
    <w:rsid w:val="008052CE"/>
    <w:rsid w:val="008052DB"/>
    <w:rsid w:val="0080705B"/>
    <w:rsid w:val="0081000F"/>
    <w:rsid w:val="0081264E"/>
    <w:rsid w:val="00812A1A"/>
    <w:rsid w:val="00812DFF"/>
    <w:rsid w:val="0081383A"/>
    <w:rsid w:val="00814DE6"/>
    <w:rsid w:val="00814FC7"/>
    <w:rsid w:val="00816CB4"/>
    <w:rsid w:val="00816FE0"/>
    <w:rsid w:val="00817416"/>
    <w:rsid w:val="00817583"/>
    <w:rsid w:val="00817FAD"/>
    <w:rsid w:val="00821306"/>
    <w:rsid w:val="0082138B"/>
    <w:rsid w:val="00821D85"/>
    <w:rsid w:val="0082207E"/>
    <w:rsid w:val="00823FFD"/>
    <w:rsid w:val="008241F0"/>
    <w:rsid w:val="0082427D"/>
    <w:rsid w:val="0082646C"/>
    <w:rsid w:val="00827E2A"/>
    <w:rsid w:val="00830052"/>
    <w:rsid w:val="008300D0"/>
    <w:rsid w:val="00830B9E"/>
    <w:rsid w:val="0083257C"/>
    <w:rsid w:val="00832DB6"/>
    <w:rsid w:val="00833307"/>
    <w:rsid w:val="00833583"/>
    <w:rsid w:val="00833B5B"/>
    <w:rsid w:val="00833E9A"/>
    <w:rsid w:val="00834FEF"/>
    <w:rsid w:val="00836323"/>
    <w:rsid w:val="00836492"/>
    <w:rsid w:val="008366FE"/>
    <w:rsid w:val="008404AA"/>
    <w:rsid w:val="00841F29"/>
    <w:rsid w:val="00842A0D"/>
    <w:rsid w:val="008460D2"/>
    <w:rsid w:val="00850013"/>
    <w:rsid w:val="008500DD"/>
    <w:rsid w:val="00852426"/>
    <w:rsid w:val="00852FA5"/>
    <w:rsid w:val="0085476F"/>
    <w:rsid w:val="0085562D"/>
    <w:rsid w:val="00856154"/>
    <w:rsid w:val="00856286"/>
    <w:rsid w:val="008576B0"/>
    <w:rsid w:val="00861948"/>
    <w:rsid w:val="00862011"/>
    <w:rsid w:val="0086213D"/>
    <w:rsid w:val="0086290B"/>
    <w:rsid w:val="00862A15"/>
    <w:rsid w:val="00862D8E"/>
    <w:rsid w:val="00862EF2"/>
    <w:rsid w:val="00866453"/>
    <w:rsid w:val="0086707F"/>
    <w:rsid w:val="00867501"/>
    <w:rsid w:val="0087099A"/>
    <w:rsid w:val="00871333"/>
    <w:rsid w:val="00873128"/>
    <w:rsid w:val="00873AAC"/>
    <w:rsid w:val="00873C61"/>
    <w:rsid w:val="00874779"/>
    <w:rsid w:val="008749BF"/>
    <w:rsid w:val="00875542"/>
    <w:rsid w:val="00875C24"/>
    <w:rsid w:val="00875E14"/>
    <w:rsid w:val="0087677E"/>
    <w:rsid w:val="0087712C"/>
    <w:rsid w:val="00877C5D"/>
    <w:rsid w:val="00877CB6"/>
    <w:rsid w:val="0088093C"/>
    <w:rsid w:val="00882474"/>
    <w:rsid w:val="008824DF"/>
    <w:rsid w:val="008830EA"/>
    <w:rsid w:val="00884371"/>
    <w:rsid w:val="00884D47"/>
    <w:rsid w:val="00887392"/>
    <w:rsid w:val="00890C40"/>
    <w:rsid w:val="008911F7"/>
    <w:rsid w:val="00893385"/>
    <w:rsid w:val="00893F41"/>
    <w:rsid w:val="00894BBD"/>
    <w:rsid w:val="00894C79"/>
    <w:rsid w:val="0089558A"/>
    <w:rsid w:val="008972B6"/>
    <w:rsid w:val="008977E1"/>
    <w:rsid w:val="008A0115"/>
    <w:rsid w:val="008A2F5A"/>
    <w:rsid w:val="008A47CE"/>
    <w:rsid w:val="008A5CBF"/>
    <w:rsid w:val="008A6BAE"/>
    <w:rsid w:val="008A7350"/>
    <w:rsid w:val="008B00ED"/>
    <w:rsid w:val="008B16E6"/>
    <w:rsid w:val="008B2042"/>
    <w:rsid w:val="008B25F1"/>
    <w:rsid w:val="008B3737"/>
    <w:rsid w:val="008B3F4B"/>
    <w:rsid w:val="008B69B8"/>
    <w:rsid w:val="008B7912"/>
    <w:rsid w:val="008C0335"/>
    <w:rsid w:val="008C094A"/>
    <w:rsid w:val="008C1077"/>
    <w:rsid w:val="008C1570"/>
    <w:rsid w:val="008C2059"/>
    <w:rsid w:val="008C2FA6"/>
    <w:rsid w:val="008C4C92"/>
    <w:rsid w:val="008C58E7"/>
    <w:rsid w:val="008C65F4"/>
    <w:rsid w:val="008C7368"/>
    <w:rsid w:val="008C7C81"/>
    <w:rsid w:val="008D0E65"/>
    <w:rsid w:val="008D18D0"/>
    <w:rsid w:val="008D1FAF"/>
    <w:rsid w:val="008D2259"/>
    <w:rsid w:val="008D33FE"/>
    <w:rsid w:val="008D3B9F"/>
    <w:rsid w:val="008D3D02"/>
    <w:rsid w:val="008D54C0"/>
    <w:rsid w:val="008D5760"/>
    <w:rsid w:val="008D577E"/>
    <w:rsid w:val="008D5ED9"/>
    <w:rsid w:val="008D7567"/>
    <w:rsid w:val="008E1C24"/>
    <w:rsid w:val="008E2626"/>
    <w:rsid w:val="008E27A9"/>
    <w:rsid w:val="008E323C"/>
    <w:rsid w:val="008E35A6"/>
    <w:rsid w:val="008E3A5C"/>
    <w:rsid w:val="008E3A9A"/>
    <w:rsid w:val="008E429E"/>
    <w:rsid w:val="008E5452"/>
    <w:rsid w:val="008E757F"/>
    <w:rsid w:val="008E7EAE"/>
    <w:rsid w:val="008F2F11"/>
    <w:rsid w:val="008F33A6"/>
    <w:rsid w:val="008F35EC"/>
    <w:rsid w:val="008F4377"/>
    <w:rsid w:val="008F4FE8"/>
    <w:rsid w:val="008F4FED"/>
    <w:rsid w:val="008F6200"/>
    <w:rsid w:val="008F62F8"/>
    <w:rsid w:val="008F7292"/>
    <w:rsid w:val="008F7BE1"/>
    <w:rsid w:val="009000F2"/>
    <w:rsid w:val="0090079D"/>
    <w:rsid w:val="00900D2C"/>
    <w:rsid w:val="00901F0E"/>
    <w:rsid w:val="009028E5"/>
    <w:rsid w:val="0090408F"/>
    <w:rsid w:val="0090446A"/>
    <w:rsid w:val="00904DC3"/>
    <w:rsid w:val="00905469"/>
    <w:rsid w:val="0090629C"/>
    <w:rsid w:val="009065C6"/>
    <w:rsid w:val="00906EA2"/>
    <w:rsid w:val="00907278"/>
    <w:rsid w:val="009128B8"/>
    <w:rsid w:val="0091328F"/>
    <w:rsid w:val="00915679"/>
    <w:rsid w:val="009159C2"/>
    <w:rsid w:val="009175AF"/>
    <w:rsid w:val="00920A06"/>
    <w:rsid w:val="009221CB"/>
    <w:rsid w:val="00922320"/>
    <w:rsid w:val="00923643"/>
    <w:rsid w:val="0092517B"/>
    <w:rsid w:val="009258E9"/>
    <w:rsid w:val="009261DB"/>
    <w:rsid w:val="0092623E"/>
    <w:rsid w:val="00927388"/>
    <w:rsid w:val="00931C63"/>
    <w:rsid w:val="00931D10"/>
    <w:rsid w:val="00933680"/>
    <w:rsid w:val="0093386D"/>
    <w:rsid w:val="00935194"/>
    <w:rsid w:val="00935FF2"/>
    <w:rsid w:val="0094015D"/>
    <w:rsid w:val="00941828"/>
    <w:rsid w:val="009441DB"/>
    <w:rsid w:val="0094424D"/>
    <w:rsid w:val="0094568E"/>
    <w:rsid w:val="0094633F"/>
    <w:rsid w:val="009468C5"/>
    <w:rsid w:val="00947BA5"/>
    <w:rsid w:val="009504B5"/>
    <w:rsid w:val="00950805"/>
    <w:rsid w:val="009518D4"/>
    <w:rsid w:val="009520BC"/>
    <w:rsid w:val="00953573"/>
    <w:rsid w:val="009560DD"/>
    <w:rsid w:val="00957499"/>
    <w:rsid w:val="00957ED2"/>
    <w:rsid w:val="0096049C"/>
    <w:rsid w:val="00960DE4"/>
    <w:rsid w:val="00961A4F"/>
    <w:rsid w:val="00962639"/>
    <w:rsid w:val="00962C9E"/>
    <w:rsid w:val="009638E8"/>
    <w:rsid w:val="00963F03"/>
    <w:rsid w:val="00963F27"/>
    <w:rsid w:val="00964007"/>
    <w:rsid w:val="00964077"/>
    <w:rsid w:val="009643F4"/>
    <w:rsid w:val="00964F5A"/>
    <w:rsid w:val="00966AD2"/>
    <w:rsid w:val="009675F5"/>
    <w:rsid w:val="00967FC5"/>
    <w:rsid w:val="009716D8"/>
    <w:rsid w:val="00971F54"/>
    <w:rsid w:val="00972057"/>
    <w:rsid w:val="0097227B"/>
    <w:rsid w:val="0097262E"/>
    <w:rsid w:val="00974022"/>
    <w:rsid w:val="00974FD1"/>
    <w:rsid w:val="0097564A"/>
    <w:rsid w:val="009772F2"/>
    <w:rsid w:val="009778CF"/>
    <w:rsid w:val="00977B97"/>
    <w:rsid w:val="009810BE"/>
    <w:rsid w:val="009819A7"/>
    <w:rsid w:val="009851F5"/>
    <w:rsid w:val="0098534B"/>
    <w:rsid w:val="0098764E"/>
    <w:rsid w:val="00987BE7"/>
    <w:rsid w:val="00987D58"/>
    <w:rsid w:val="009906D4"/>
    <w:rsid w:val="00990EB7"/>
    <w:rsid w:val="00990F5F"/>
    <w:rsid w:val="00991E03"/>
    <w:rsid w:val="00993135"/>
    <w:rsid w:val="00993AC7"/>
    <w:rsid w:val="00997044"/>
    <w:rsid w:val="009973CC"/>
    <w:rsid w:val="0099792B"/>
    <w:rsid w:val="009A106B"/>
    <w:rsid w:val="009A2B9F"/>
    <w:rsid w:val="009A2BF3"/>
    <w:rsid w:val="009A3C3E"/>
    <w:rsid w:val="009A45D1"/>
    <w:rsid w:val="009A7E7C"/>
    <w:rsid w:val="009B2BF1"/>
    <w:rsid w:val="009B3564"/>
    <w:rsid w:val="009B3796"/>
    <w:rsid w:val="009B3D38"/>
    <w:rsid w:val="009B7505"/>
    <w:rsid w:val="009B7D45"/>
    <w:rsid w:val="009C0020"/>
    <w:rsid w:val="009C04DC"/>
    <w:rsid w:val="009C19FC"/>
    <w:rsid w:val="009C27F7"/>
    <w:rsid w:val="009C3BC4"/>
    <w:rsid w:val="009C424E"/>
    <w:rsid w:val="009C4708"/>
    <w:rsid w:val="009C47A3"/>
    <w:rsid w:val="009C4870"/>
    <w:rsid w:val="009C4C4E"/>
    <w:rsid w:val="009C4D37"/>
    <w:rsid w:val="009C574C"/>
    <w:rsid w:val="009C5753"/>
    <w:rsid w:val="009C620F"/>
    <w:rsid w:val="009C7F2B"/>
    <w:rsid w:val="009D1654"/>
    <w:rsid w:val="009D1BDB"/>
    <w:rsid w:val="009D24D5"/>
    <w:rsid w:val="009D256A"/>
    <w:rsid w:val="009D2F9C"/>
    <w:rsid w:val="009D4E4A"/>
    <w:rsid w:val="009D5130"/>
    <w:rsid w:val="009D6081"/>
    <w:rsid w:val="009D678C"/>
    <w:rsid w:val="009D7BC7"/>
    <w:rsid w:val="009D7E19"/>
    <w:rsid w:val="009D7FAC"/>
    <w:rsid w:val="009E0342"/>
    <w:rsid w:val="009E09AB"/>
    <w:rsid w:val="009E19BB"/>
    <w:rsid w:val="009E38D1"/>
    <w:rsid w:val="009E5701"/>
    <w:rsid w:val="009E5711"/>
    <w:rsid w:val="009E6249"/>
    <w:rsid w:val="009E6D26"/>
    <w:rsid w:val="009E758E"/>
    <w:rsid w:val="009E7A4C"/>
    <w:rsid w:val="009E7D6B"/>
    <w:rsid w:val="009F1109"/>
    <w:rsid w:val="009F2EDB"/>
    <w:rsid w:val="009F2F52"/>
    <w:rsid w:val="009F4BC4"/>
    <w:rsid w:val="009F56C0"/>
    <w:rsid w:val="009F5C76"/>
    <w:rsid w:val="00A00E00"/>
    <w:rsid w:val="00A01221"/>
    <w:rsid w:val="00A012A8"/>
    <w:rsid w:val="00A016FF"/>
    <w:rsid w:val="00A0207F"/>
    <w:rsid w:val="00A04337"/>
    <w:rsid w:val="00A044AA"/>
    <w:rsid w:val="00A04D99"/>
    <w:rsid w:val="00A078F6"/>
    <w:rsid w:val="00A102F8"/>
    <w:rsid w:val="00A107F7"/>
    <w:rsid w:val="00A10A20"/>
    <w:rsid w:val="00A116AC"/>
    <w:rsid w:val="00A117D5"/>
    <w:rsid w:val="00A123D0"/>
    <w:rsid w:val="00A131F5"/>
    <w:rsid w:val="00A133C1"/>
    <w:rsid w:val="00A13F2D"/>
    <w:rsid w:val="00A14225"/>
    <w:rsid w:val="00A14F81"/>
    <w:rsid w:val="00A1535F"/>
    <w:rsid w:val="00A15CB1"/>
    <w:rsid w:val="00A15E84"/>
    <w:rsid w:val="00A16021"/>
    <w:rsid w:val="00A16F3E"/>
    <w:rsid w:val="00A177AC"/>
    <w:rsid w:val="00A22C3E"/>
    <w:rsid w:val="00A22C4D"/>
    <w:rsid w:val="00A24B05"/>
    <w:rsid w:val="00A25463"/>
    <w:rsid w:val="00A254AB"/>
    <w:rsid w:val="00A266CC"/>
    <w:rsid w:val="00A26DB4"/>
    <w:rsid w:val="00A3023E"/>
    <w:rsid w:val="00A305C5"/>
    <w:rsid w:val="00A30919"/>
    <w:rsid w:val="00A31FD2"/>
    <w:rsid w:val="00A32E53"/>
    <w:rsid w:val="00A3323E"/>
    <w:rsid w:val="00A33A02"/>
    <w:rsid w:val="00A33BDB"/>
    <w:rsid w:val="00A341AB"/>
    <w:rsid w:val="00A355F9"/>
    <w:rsid w:val="00A35AA9"/>
    <w:rsid w:val="00A364BC"/>
    <w:rsid w:val="00A3786A"/>
    <w:rsid w:val="00A402ED"/>
    <w:rsid w:val="00A40685"/>
    <w:rsid w:val="00A41123"/>
    <w:rsid w:val="00A41819"/>
    <w:rsid w:val="00A41C9A"/>
    <w:rsid w:val="00A41FF8"/>
    <w:rsid w:val="00A42F49"/>
    <w:rsid w:val="00A433DA"/>
    <w:rsid w:val="00A433E8"/>
    <w:rsid w:val="00A4424E"/>
    <w:rsid w:val="00A446F6"/>
    <w:rsid w:val="00A44A45"/>
    <w:rsid w:val="00A4534D"/>
    <w:rsid w:val="00A46BFB"/>
    <w:rsid w:val="00A46C6D"/>
    <w:rsid w:val="00A472B8"/>
    <w:rsid w:val="00A502F5"/>
    <w:rsid w:val="00A504F4"/>
    <w:rsid w:val="00A51577"/>
    <w:rsid w:val="00A51B47"/>
    <w:rsid w:val="00A526CE"/>
    <w:rsid w:val="00A54DC0"/>
    <w:rsid w:val="00A550C9"/>
    <w:rsid w:val="00A55228"/>
    <w:rsid w:val="00A5589F"/>
    <w:rsid w:val="00A55D4E"/>
    <w:rsid w:val="00A564DE"/>
    <w:rsid w:val="00A61B91"/>
    <w:rsid w:val="00A63335"/>
    <w:rsid w:val="00A63685"/>
    <w:rsid w:val="00A63DDD"/>
    <w:rsid w:val="00A66473"/>
    <w:rsid w:val="00A669E6"/>
    <w:rsid w:val="00A66E28"/>
    <w:rsid w:val="00A66F66"/>
    <w:rsid w:val="00A70590"/>
    <w:rsid w:val="00A70DC6"/>
    <w:rsid w:val="00A71542"/>
    <w:rsid w:val="00A71FA0"/>
    <w:rsid w:val="00A72C1A"/>
    <w:rsid w:val="00A731E1"/>
    <w:rsid w:val="00A74021"/>
    <w:rsid w:val="00A7463E"/>
    <w:rsid w:val="00A762DA"/>
    <w:rsid w:val="00A765B1"/>
    <w:rsid w:val="00A76B41"/>
    <w:rsid w:val="00A772F2"/>
    <w:rsid w:val="00A77828"/>
    <w:rsid w:val="00A77ECD"/>
    <w:rsid w:val="00A8073D"/>
    <w:rsid w:val="00A807A2"/>
    <w:rsid w:val="00A80D02"/>
    <w:rsid w:val="00A812A8"/>
    <w:rsid w:val="00A829B3"/>
    <w:rsid w:val="00A82D32"/>
    <w:rsid w:val="00A82EAE"/>
    <w:rsid w:val="00A84F27"/>
    <w:rsid w:val="00A8519C"/>
    <w:rsid w:val="00A8733A"/>
    <w:rsid w:val="00A8783F"/>
    <w:rsid w:val="00A90A83"/>
    <w:rsid w:val="00A90B66"/>
    <w:rsid w:val="00A91D4B"/>
    <w:rsid w:val="00A920B2"/>
    <w:rsid w:val="00A92A96"/>
    <w:rsid w:val="00A92AF0"/>
    <w:rsid w:val="00A930F2"/>
    <w:rsid w:val="00A93510"/>
    <w:rsid w:val="00A937D5"/>
    <w:rsid w:val="00A93C70"/>
    <w:rsid w:val="00A94700"/>
    <w:rsid w:val="00A96126"/>
    <w:rsid w:val="00A970CE"/>
    <w:rsid w:val="00A974A9"/>
    <w:rsid w:val="00A974ED"/>
    <w:rsid w:val="00A97718"/>
    <w:rsid w:val="00AA08F3"/>
    <w:rsid w:val="00AA0F23"/>
    <w:rsid w:val="00AA1DA8"/>
    <w:rsid w:val="00AA238E"/>
    <w:rsid w:val="00AA2EB9"/>
    <w:rsid w:val="00AA3243"/>
    <w:rsid w:val="00AA388F"/>
    <w:rsid w:val="00AA4F6D"/>
    <w:rsid w:val="00AA536B"/>
    <w:rsid w:val="00AA57D7"/>
    <w:rsid w:val="00AA5A6F"/>
    <w:rsid w:val="00AA5C40"/>
    <w:rsid w:val="00AA6154"/>
    <w:rsid w:val="00AA6BB8"/>
    <w:rsid w:val="00AA7519"/>
    <w:rsid w:val="00AB02EA"/>
    <w:rsid w:val="00AB22BF"/>
    <w:rsid w:val="00AB256E"/>
    <w:rsid w:val="00AB32AD"/>
    <w:rsid w:val="00AB3466"/>
    <w:rsid w:val="00AB3BBB"/>
    <w:rsid w:val="00AB408C"/>
    <w:rsid w:val="00AB4854"/>
    <w:rsid w:val="00AB5030"/>
    <w:rsid w:val="00AB759A"/>
    <w:rsid w:val="00AB7B06"/>
    <w:rsid w:val="00AB7EAA"/>
    <w:rsid w:val="00AC0432"/>
    <w:rsid w:val="00AC2E6E"/>
    <w:rsid w:val="00AC4094"/>
    <w:rsid w:val="00AC42B6"/>
    <w:rsid w:val="00AC4AB7"/>
    <w:rsid w:val="00AC60EC"/>
    <w:rsid w:val="00AC6CD9"/>
    <w:rsid w:val="00AD2679"/>
    <w:rsid w:val="00AD3F3C"/>
    <w:rsid w:val="00AD4973"/>
    <w:rsid w:val="00AD5F0A"/>
    <w:rsid w:val="00AD6741"/>
    <w:rsid w:val="00AD6B4F"/>
    <w:rsid w:val="00AD7CFA"/>
    <w:rsid w:val="00AE11C1"/>
    <w:rsid w:val="00AE163D"/>
    <w:rsid w:val="00AE1C5C"/>
    <w:rsid w:val="00AE25D1"/>
    <w:rsid w:val="00AE2913"/>
    <w:rsid w:val="00AE2918"/>
    <w:rsid w:val="00AE315E"/>
    <w:rsid w:val="00AE31D9"/>
    <w:rsid w:val="00AE3CF0"/>
    <w:rsid w:val="00AE4337"/>
    <w:rsid w:val="00AE71EE"/>
    <w:rsid w:val="00AF03CF"/>
    <w:rsid w:val="00AF06B6"/>
    <w:rsid w:val="00AF0A0A"/>
    <w:rsid w:val="00AF1ED2"/>
    <w:rsid w:val="00AF1F4E"/>
    <w:rsid w:val="00AF3557"/>
    <w:rsid w:val="00AF35F0"/>
    <w:rsid w:val="00AF3D3C"/>
    <w:rsid w:val="00AF4CEE"/>
    <w:rsid w:val="00AF5D84"/>
    <w:rsid w:val="00AF672C"/>
    <w:rsid w:val="00AF6D69"/>
    <w:rsid w:val="00AF6F5E"/>
    <w:rsid w:val="00B00378"/>
    <w:rsid w:val="00B00E41"/>
    <w:rsid w:val="00B018BD"/>
    <w:rsid w:val="00B04678"/>
    <w:rsid w:val="00B04A04"/>
    <w:rsid w:val="00B04F00"/>
    <w:rsid w:val="00B05202"/>
    <w:rsid w:val="00B05203"/>
    <w:rsid w:val="00B05A66"/>
    <w:rsid w:val="00B05EFD"/>
    <w:rsid w:val="00B066FE"/>
    <w:rsid w:val="00B06912"/>
    <w:rsid w:val="00B06AF4"/>
    <w:rsid w:val="00B06D58"/>
    <w:rsid w:val="00B10B04"/>
    <w:rsid w:val="00B10CC6"/>
    <w:rsid w:val="00B12082"/>
    <w:rsid w:val="00B13389"/>
    <w:rsid w:val="00B1364C"/>
    <w:rsid w:val="00B141A5"/>
    <w:rsid w:val="00B15286"/>
    <w:rsid w:val="00B1550D"/>
    <w:rsid w:val="00B1631F"/>
    <w:rsid w:val="00B163E8"/>
    <w:rsid w:val="00B1767E"/>
    <w:rsid w:val="00B203B6"/>
    <w:rsid w:val="00B203CE"/>
    <w:rsid w:val="00B21676"/>
    <w:rsid w:val="00B241D5"/>
    <w:rsid w:val="00B26147"/>
    <w:rsid w:val="00B26677"/>
    <w:rsid w:val="00B26C57"/>
    <w:rsid w:val="00B274E3"/>
    <w:rsid w:val="00B27B92"/>
    <w:rsid w:val="00B30563"/>
    <w:rsid w:val="00B30A76"/>
    <w:rsid w:val="00B3113A"/>
    <w:rsid w:val="00B3412E"/>
    <w:rsid w:val="00B346EA"/>
    <w:rsid w:val="00B356B8"/>
    <w:rsid w:val="00B35C9C"/>
    <w:rsid w:val="00B37B8E"/>
    <w:rsid w:val="00B40222"/>
    <w:rsid w:val="00B404C3"/>
    <w:rsid w:val="00B40BA6"/>
    <w:rsid w:val="00B4280F"/>
    <w:rsid w:val="00B43381"/>
    <w:rsid w:val="00B448BF"/>
    <w:rsid w:val="00B45F9F"/>
    <w:rsid w:val="00B4627C"/>
    <w:rsid w:val="00B46793"/>
    <w:rsid w:val="00B46953"/>
    <w:rsid w:val="00B46A7F"/>
    <w:rsid w:val="00B47A59"/>
    <w:rsid w:val="00B514BB"/>
    <w:rsid w:val="00B51520"/>
    <w:rsid w:val="00B5169E"/>
    <w:rsid w:val="00B517C2"/>
    <w:rsid w:val="00B518CE"/>
    <w:rsid w:val="00B52234"/>
    <w:rsid w:val="00B53623"/>
    <w:rsid w:val="00B536F5"/>
    <w:rsid w:val="00B53E98"/>
    <w:rsid w:val="00B547A9"/>
    <w:rsid w:val="00B5634D"/>
    <w:rsid w:val="00B56ECA"/>
    <w:rsid w:val="00B57093"/>
    <w:rsid w:val="00B60613"/>
    <w:rsid w:val="00B616E6"/>
    <w:rsid w:val="00B630F2"/>
    <w:rsid w:val="00B63E7A"/>
    <w:rsid w:val="00B65582"/>
    <w:rsid w:val="00B66054"/>
    <w:rsid w:val="00B66B48"/>
    <w:rsid w:val="00B672EA"/>
    <w:rsid w:val="00B6747B"/>
    <w:rsid w:val="00B70200"/>
    <w:rsid w:val="00B71CF6"/>
    <w:rsid w:val="00B72CF0"/>
    <w:rsid w:val="00B740F6"/>
    <w:rsid w:val="00B74615"/>
    <w:rsid w:val="00B75035"/>
    <w:rsid w:val="00B75389"/>
    <w:rsid w:val="00B755B6"/>
    <w:rsid w:val="00B76B55"/>
    <w:rsid w:val="00B804F8"/>
    <w:rsid w:val="00B815D3"/>
    <w:rsid w:val="00B81780"/>
    <w:rsid w:val="00B83E76"/>
    <w:rsid w:val="00B8506D"/>
    <w:rsid w:val="00B86289"/>
    <w:rsid w:val="00B87F1C"/>
    <w:rsid w:val="00B91B61"/>
    <w:rsid w:val="00B93849"/>
    <w:rsid w:val="00B944E9"/>
    <w:rsid w:val="00B94896"/>
    <w:rsid w:val="00B949D8"/>
    <w:rsid w:val="00B94CDD"/>
    <w:rsid w:val="00B95B70"/>
    <w:rsid w:val="00B965F4"/>
    <w:rsid w:val="00B96F52"/>
    <w:rsid w:val="00B972DA"/>
    <w:rsid w:val="00B97660"/>
    <w:rsid w:val="00B97C76"/>
    <w:rsid w:val="00BA07F3"/>
    <w:rsid w:val="00BA15DC"/>
    <w:rsid w:val="00BA1602"/>
    <w:rsid w:val="00BA2C82"/>
    <w:rsid w:val="00BA2E8A"/>
    <w:rsid w:val="00BA583B"/>
    <w:rsid w:val="00BA5EC7"/>
    <w:rsid w:val="00BA6319"/>
    <w:rsid w:val="00BA63CE"/>
    <w:rsid w:val="00BA6551"/>
    <w:rsid w:val="00BA6791"/>
    <w:rsid w:val="00BA6E3C"/>
    <w:rsid w:val="00BA7227"/>
    <w:rsid w:val="00BA7CD7"/>
    <w:rsid w:val="00BA7D1F"/>
    <w:rsid w:val="00BB069A"/>
    <w:rsid w:val="00BB2E4E"/>
    <w:rsid w:val="00BB2E62"/>
    <w:rsid w:val="00BB36C9"/>
    <w:rsid w:val="00BB5886"/>
    <w:rsid w:val="00BB684B"/>
    <w:rsid w:val="00BB7D2E"/>
    <w:rsid w:val="00BB7EC0"/>
    <w:rsid w:val="00BC0A5A"/>
    <w:rsid w:val="00BC0B2F"/>
    <w:rsid w:val="00BC0E64"/>
    <w:rsid w:val="00BC0F07"/>
    <w:rsid w:val="00BC25D1"/>
    <w:rsid w:val="00BC3BCB"/>
    <w:rsid w:val="00BC427C"/>
    <w:rsid w:val="00BC428A"/>
    <w:rsid w:val="00BC4C40"/>
    <w:rsid w:val="00BC5BAD"/>
    <w:rsid w:val="00BC76C5"/>
    <w:rsid w:val="00BD138A"/>
    <w:rsid w:val="00BD1547"/>
    <w:rsid w:val="00BD164A"/>
    <w:rsid w:val="00BD2B4D"/>
    <w:rsid w:val="00BD2DAE"/>
    <w:rsid w:val="00BD2FB9"/>
    <w:rsid w:val="00BD31C2"/>
    <w:rsid w:val="00BD450A"/>
    <w:rsid w:val="00BD4717"/>
    <w:rsid w:val="00BD48BC"/>
    <w:rsid w:val="00BD48EA"/>
    <w:rsid w:val="00BD4BA8"/>
    <w:rsid w:val="00BD6B0E"/>
    <w:rsid w:val="00BD7941"/>
    <w:rsid w:val="00BD7DD4"/>
    <w:rsid w:val="00BD7E5F"/>
    <w:rsid w:val="00BE0C55"/>
    <w:rsid w:val="00BE11A2"/>
    <w:rsid w:val="00BE246C"/>
    <w:rsid w:val="00BE2657"/>
    <w:rsid w:val="00BE2CA1"/>
    <w:rsid w:val="00BE37AE"/>
    <w:rsid w:val="00BE73C3"/>
    <w:rsid w:val="00BE7B29"/>
    <w:rsid w:val="00BF03C0"/>
    <w:rsid w:val="00BF21D4"/>
    <w:rsid w:val="00BF2E46"/>
    <w:rsid w:val="00BF4A15"/>
    <w:rsid w:val="00BF4E27"/>
    <w:rsid w:val="00BF6D77"/>
    <w:rsid w:val="00C01444"/>
    <w:rsid w:val="00C01EF2"/>
    <w:rsid w:val="00C0378E"/>
    <w:rsid w:val="00C04258"/>
    <w:rsid w:val="00C05AFD"/>
    <w:rsid w:val="00C0724C"/>
    <w:rsid w:val="00C07AEF"/>
    <w:rsid w:val="00C07C11"/>
    <w:rsid w:val="00C07CC1"/>
    <w:rsid w:val="00C10015"/>
    <w:rsid w:val="00C122BA"/>
    <w:rsid w:val="00C12770"/>
    <w:rsid w:val="00C12D43"/>
    <w:rsid w:val="00C12ECB"/>
    <w:rsid w:val="00C14ABD"/>
    <w:rsid w:val="00C151E0"/>
    <w:rsid w:val="00C1677E"/>
    <w:rsid w:val="00C20051"/>
    <w:rsid w:val="00C20B86"/>
    <w:rsid w:val="00C21145"/>
    <w:rsid w:val="00C21E2A"/>
    <w:rsid w:val="00C239A8"/>
    <w:rsid w:val="00C24381"/>
    <w:rsid w:val="00C249D9"/>
    <w:rsid w:val="00C24C2E"/>
    <w:rsid w:val="00C24C7A"/>
    <w:rsid w:val="00C24FFB"/>
    <w:rsid w:val="00C25CFF"/>
    <w:rsid w:val="00C261C1"/>
    <w:rsid w:val="00C30B0B"/>
    <w:rsid w:val="00C31339"/>
    <w:rsid w:val="00C332D4"/>
    <w:rsid w:val="00C33E51"/>
    <w:rsid w:val="00C34848"/>
    <w:rsid w:val="00C349B4"/>
    <w:rsid w:val="00C34C47"/>
    <w:rsid w:val="00C35A80"/>
    <w:rsid w:val="00C368F9"/>
    <w:rsid w:val="00C37411"/>
    <w:rsid w:val="00C3774E"/>
    <w:rsid w:val="00C405C8"/>
    <w:rsid w:val="00C41E09"/>
    <w:rsid w:val="00C42DBE"/>
    <w:rsid w:val="00C4360C"/>
    <w:rsid w:val="00C4414C"/>
    <w:rsid w:val="00C446AF"/>
    <w:rsid w:val="00C452DC"/>
    <w:rsid w:val="00C46564"/>
    <w:rsid w:val="00C50A02"/>
    <w:rsid w:val="00C512D1"/>
    <w:rsid w:val="00C51856"/>
    <w:rsid w:val="00C51B5E"/>
    <w:rsid w:val="00C531F6"/>
    <w:rsid w:val="00C54467"/>
    <w:rsid w:val="00C5518B"/>
    <w:rsid w:val="00C5531B"/>
    <w:rsid w:val="00C55375"/>
    <w:rsid w:val="00C57120"/>
    <w:rsid w:val="00C575D4"/>
    <w:rsid w:val="00C57873"/>
    <w:rsid w:val="00C61246"/>
    <w:rsid w:val="00C62A79"/>
    <w:rsid w:val="00C634F9"/>
    <w:rsid w:val="00C64534"/>
    <w:rsid w:val="00C64767"/>
    <w:rsid w:val="00C65200"/>
    <w:rsid w:val="00C655E0"/>
    <w:rsid w:val="00C65649"/>
    <w:rsid w:val="00C665DE"/>
    <w:rsid w:val="00C667C3"/>
    <w:rsid w:val="00C6728B"/>
    <w:rsid w:val="00C71528"/>
    <w:rsid w:val="00C71F09"/>
    <w:rsid w:val="00C72588"/>
    <w:rsid w:val="00C727B9"/>
    <w:rsid w:val="00C73670"/>
    <w:rsid w:val="00C73D00"/>
    <w:rsid w:val="00C73DE0"/>
    <w:rsid w:val="00C74609"/>
    <w:rsid w:val="00C749AB"/>
    <w:rsid w:val="00C75A8F"/>
    <w:rsid w:val="00C81716"/>
    <w:rsid w:val="00C82795"/>
    <w:rsid w:val="00C82AAA"/>
    <w:rsid w:val="00C832CB"/>
    <w:rsid w:val="00C84085"/>
    <w:rsid w:val="00C865B3"/>
    <w:rsid w:val="00C86964"/>
    <w:rsid w:val="00C8779E"/>
    <w:rsid w:val="00C87850"/>
    <w:rsid w:val="00C87BD0"/>
    <w:rsid w:val="00C90B95"/>
    <w:rsid w:val="00C90CA9"/>
    <w:rsid w:val="00C9354F"/>
    <w:rsid w:val="00C93B40"/>
    <w:rsid w:val="00C93D48"/>
    <w:rsid w:val="00C93DB5"/>
    <w:rsid w:val="00C95C6C"/>
    <w:rsid w:val="00C97DD7"/>
    <w:rsid w:val="00C97EF9"/>
    <w:rsid w:val="00CA0492"/>
    <w:rsid w:val="00CA0A04"/>
    <w:rsid w:val="00CA3CAB"/>
    <w:rsid w:val="00CA6A2E"/>
    <w:rsid w:val="00CA7C19"/>
    <w:rsid w:val="00CB01DF"/>
    <w:rsid w:val="00CB52A4"/>
    <w:rsid w:val="00CB537C"/>
    <w:rsid w:val="00CB5778"/>
    <w:rsid w:val="00CB6156"/>
    <w:rsid w:val="00CB6675"/>
    <w:rsid w:val="00CC03A0"/>
    <w:rsid w:val="00CC0915"/>
    <w:rsid w:val="00CC0CFC"/>
    <w:rsid w:val="00CC1AF5"/>
    <w:rsid w:val="00CC1B74"/>
    <w:rsid w:val="00CC2EB0"/>
    <w:rsid w:val="00CC2F38"/>
    <w:rsid w:val="00CC44F5"/>
    <w:rsid w:val="00CC5F95"/>
    <w:rsid w:val="00CC6A19"/>
    <w:rsid w:val="00CD1255"/>
    <w:rsid w:val="00CD1484"/>
    <w:rsid w:val="00CD1892"/>
    <w:rsid w:val="00CD1D00"/>
    <w:rsid w:val="00CD26B8"/>
    <w:rsid w:val="00CD2A82"/>
    <w:rsid w:val="00CD32C2"/>
    <w:rsid w:val="00CD347C"/>
    <w:rsid w:val="00CD3CAB"/>
    <w:rsid w:val="00CD3FF0"/>
    <w:rsid w:val="00CD4E50"/>
    <w:rsid w:val="00CD64E1"/>
    <w:rsid w:val="00CD699D"/>
    <w:rsid w:val="00CD701B"/>
    <w:rsid w:val="00CD70DB"/>
    <w:rsid w:val="00CD7466"/>
    <w:rsid w:val="00CD7C49"/>
    <w:rsid w:val="00CE1624"/>
    <w:rsid w:val="00CE2E2E"/>
    <w:rsid w:val="00CE3A51"/>
    <w:rsid w:val="00CE4FBA"/>
    <w:rsid w:val="00CE59F6"/>
    <w:rsid w:val="00CE71C3"/>
    <w:rsid w:val="00CE7684"/>
    <w:rsid w:val="00CE7ECB"/>
    <w:rsid w:val="00CF0AF0"/>
    <w:rsid w:val="00CF0E98"/>
    <w:rsid w:val="00CF1834"/>
    <w:rsid w:val="00CF2ACF"/>
    <w:rsid w:val="00CF345B"/>
    <w:rsid w:val="00CF475F"/>
    <w:rsid w:val="00CF5069"/>
    <w:rsid w:val="00CF5230"/>
    <w:rsid w:val="00CF7082"/>
    <w:rsid w:val="00D01590"/>
    <w:rsid w:val="00D0336E"/>
    <w:rsid w:val="00D0447A"/>
    <w:rsid w:val="00D04F01"/>
    <w:rsid w:val="00D04F8B"/>
    <w:rsid w:val="00D054EF"/>
    <w:rsid w:val="00D05637"/>
    <w:rsid w:val="00D05BA9"/>
    <w:rsid w:val="00D06E71"/>
    <w:rsid w:val="00D0764E"/>
    <w:rsid w:val="00D07D82"/>
    <w:rsid w:val="00D10BE1"/>
    <w:rsid w:val="00D11FE3"/>
    <w:rsid w:val="00D132F1"/>
    <w:rsid w:val="00D13D50"/>
    <w:rsid w:val="00D14919"/>
    <w:rsid w:val="00D14E25"/>
    <w:rsid w:val="00D152D6"/>
    <w:rsid w:val="00D165D8"/>
    <w:rsid w:val="00D1724E"/>
    <w:rsid w:val="00D17C81"/>
    <w:rsid w:val="00D206F6"/>
    <w:rsid w:val="00D20C01"/>
    <w:rsid w:val="00D237E0"/>
    <w:rsid w:val="00D24EF4"/>
    <w:rsid w:val="00D25676"/>
    <w:rsid w:val="00D25F78"/>
    <w:rsid w:val="00D27129"/>
    <w:rsid w:val="00D2738C"/>
    <w:rsid w:val="00D279E7"/>
    <w:rsid w:val="00D3046D"/>
    <w:rsid w:val="00D31B07"/>
    <w:rsid w:val="00D32FA0"/>
    <w:rsid w:val="00D33039"/>
    <w:rsid w:val="00D33112"/>
    <w:rsid w:val="00D331CB"/>
    <w:rsid w:val="00D3426E"/>
    <w:rsid w:val="00D3634E"/>
    <w:rsid w:val="00D3746F"/>
    <w:rsid w:val="00D40217"/>
    <w:rsid w:val="00D40385"/>
    <w:rsid w:val="00D404CE"/>
    <w:rsid w:val="00D417C6"/>
    <w:rsid w:val="00D43406"/>
    <w:rsid w:val="00D43FAE"/>
    <w:rsid w:val="00D44259"/>
    <w:rsid w:val="00D44895"/>
    <w:rsid w:val="00D454D2"/>
    <w:rsid w:val="00D5064C"/>
    <w:rsid w:val="00D5098E"/>
    <w:rsid w:val="00D51B02"/>
    <w:rsid w:val="00D539DA"/>
    <w:rsid w:val="00D55C81"/>
    <w:rsid w:val="00D56B56"/>
    <w:rsid w:val="00D56BF5"/>
    <w:rsid w:val="00D56F99"/>
    <w:rsid w:val="00D5743F"/>
    <w:rsid w:val="00D605C2"/>
    <w:rsid w:val="00D60733"/>
    <w:rsid w:val="00D61E1D"/>
    <w:rsid w:val="00D62BDF"/>
    <w:rsid w:val="00D64F1C"/>
    <w:rsid w:val="00D6570C"/>
    <w:rsid w:val="00D675B0"/>
    <w:rsid w:val="00D70552"/>
    <w:rsid w:val="00D70D42"/>
    <w:rsid w:val="00D71285"/>
    <w:rsid w:val="00D71ABC"/>
    <w:rsid w:val="00D72175"/>
    <w:rsid w:val="00D72454"/>
    <w:rsid w:val="00D72A5B"/>
    <w:rsid w:val="00D73F06"/>
    <w:rsid w:val="00D74160"/>
    <w:rsid w:val="00D74247"/>
    <w:rsid w:val="00D749EA"/>
    <w:rsid w:val="00D753A9"/>
    <w:rsid w:val="00D75E10"/>
    <w:rsid w:val="00D76045"/>
    <w:rsid w:val="00D7682B"/>
    <w:rsid w:val="00D804C5"/>
    <w:rsid w:val="00D81146"/>
    <w:rsid w:val="00D81A28"/>
    <w:rsid w:val="00D82AB8"/>
    <w:rsid w:val="00D82B00"/>
    <w:rsid w:val="00D82BE4"/>
    <w:rsid w:val="00D82E05"/>
    <w:rsid w:val="00D82F67"/>
    <w:rsid w:val="00D83A05"/>
    <w:rsid w:val="00D83C0D"/>
    <w:rsid w:val="00D8650D"/>
    <w:rsid w:val="00D869C1"/>
    <w:rsid w:val="00D86EC6"/>
    <w:rsid w:val="00D87418"/>
    <w:rsid w:val="00D87460"/>
    <w:rsid w:val="00D87FE6"/>
    <w:rsid w:val="00D90BC3"/>
    <w:rsid w:val="00D90DB9"/>
    <w:rsid w:val="00D91337"/>
    <w:rsid w:val="00D915C9"/>
    <w:rsid w:val="00D91842"/>
    <w:rsid w:val="00D9198F"/>
    <w:rsid w:val="00D92A87"/>
    <w:rsid w:val="00D9384E"/>
    <w:rsid w:val="00D94C8D"/>
    <w:rsid w:val="00D95AEB"/>
    <w:rsid w:val="00D96876"/>
    <w:rsid w:val="00D96B12"/>
    <w:rsid w:val="00D96F59"/>
    <w:rsid w:val="00DA061C"/>
    <w:rsid w:val="00DA099C"/>
    <w:rsid w:val="00DA0E81"/>
    <w:rsid w:val="00DA2125"/>
    <w:rsid w:val="00DA24DE"/>
    <w:rsid w:val="00DA281F"/>
    <w:rsid w:val="00DA289D"/>
    <w:rsid w:val="00DA3E06"/>
    <w:rsid w:val="00DA6EE2"/>
    <w:rsid w:val="00DA78CF"/>
    <w:rsid w:val="00DA7A89"/>
    <w:rsid w:val="00DA7BF4"/>
    <w:rsid w:val="00DA7F8B"/>
    <w:rsid w:val="00DB03E8"/>
    <w:rsid w:val="00DB08F0"/>
    <w:rsid w:val="00DB0C0F"/>
    <w:rsid w:val="00DB102D"/>
    <w:rsid w:val="00DB12BA"/>
    <w:rsid w:val="00DB154B"/>
    <w:rsid w:val="00DB31D4"/>
    <w:rsid w:val="00DB3490"/>
    <w:rsid w:val="00DB4F12"/>
    <w:rsid w:val="00DB5256"/>
    <w:rsid w:val="00DB53A2"/>
    <w:rsid w:val="00DB6E8E"/>
    <w:rsid w:val="00DB6F96"/>
    <w:rsid w:val="00DB71B9"/>
    <w:rsid w:val="00DC080D"/>
    <w:rsid w:val="00DC0B56"/>
    <w:rsid w:val="00DC1395"/>
    <w:rsid w:val="00DC1BCB"/>
    <w:rsid w:val="00DC32FC"/>
    <w:rsid w:val="00DC43C4"/>
    <w:rsid w:val="00DC4F47"/>
    <w:rsid w:val="00DC6747"/>
    <w:rsid w:val="00DC6AF3"/>
    <w:rsid w:val="00DC740D"/>
    <w:rsid w:val="00DC7608"/>
    <w:rsid w:val="00DC761D"/>
    <w:rsid w:val="00DC761E"/>
    <w:rsid w:val="00DC7CFC"/>
    <w:rsid w:val="00DD0090"/>
    <w:rsid w:val="00DD1FC0"/>
    <w:rsid w:val="00DD2C42"/>
    <w:rsid w:val="00DD2D14"/>
    <w:rsid w:val="00DD3A99"/>
    <w:rsid w:val="00DD4344"/>
    <w:rsid w:val="00DD5B8C"/>
    <w:rsid w:val="00DD5DFA"/>
    <w:rsid w:val="00DD67EC"/>
    <w:rsid w:val="00DD6B56"/>
    <w:rsid w:val="00DD6F7F"/>
    <w:rsid w:val="00DE1A9D"/>
    <w:rsid w:val="00DE1CB1"/>
    <w:rsid w:val="00DE2073"/>
    <w:rsid w:val="00DE30AC"/>
    <w:rsid w:val="00DE368A"/>
    <w:rsid w:val="00DE3CF3"/>
    <w:rsid w:val="00DE4106"/>
    <w:rsid w:val="00DE5563"/>
    <w:rsid w:val="00DE6E4D"/>
    <w:rsid w:val="00DF043E"/>
    <w:rsid w:val="00DF05A0"/>
    <w:rsid w:val="00DF0E8F"/>
    <w:rsid w:val="00DF1BA8"/>
    <w:rsid w:val="00DF1F63"/>
    <w:rsid w:val="00DF25FE"/>
    <w:rsid w:val="00DF28F2"/>
    <w:rsid w:val="00DF2BFF"/>
    <w:rsid w:val="00DF48D9"/>
    <w:rsid w:val="00DF4FF1"/>
    <w:rsid w:val="00DF6628"/>
    <w:rsid w:val="00DF6FD2"/>
    <w:rsid w:val="00DF7724"/>
    <w:rsid w:val="00DF7C43"/>
    <w:rsid w:val="00E000B2"/>
    <w:rsid w:val="00E00C1E"/>
    <w:rsid w:val="00E00F5F"/>
    <w:rsid w:val="00E014E7"/>
    <w:rsid w:val="00E026A9"/>
    <w:rsid w:val="00E02C24"/>
    <w:rsid w:val="00E0356F"/>
    <w:rsid w:val="00E03B42"/>
    <w:rsid w:val="00E041AA"/>
    <w:rsid w:val="00E0479F"/>
    <w:rsid w:val="00E04D6A"/>
    <w:rsid w:val="00E06100"/>
    <w:rsid w:val="00E06E97"/>
    <w:rsid w:val="00E07767"/>
    <w:rsid w:val="00E10DD1"/>
    <w:rsid w:val="00E11502"/>
    <w:rsid w:val="00E1254C"/>
    <w:rsid w:val="00E12BDF"/>
    <w:rsid w:val="00E13326"/>
    <w:rsid w:val="00E14961"/>
    <w:rsid w:val="00E14D76"/>
    <w:rsid w:val="00E1768C"/>
    <w:rsid w:val="00E20CE7"/>
    <w:rsid w:val="00E217B1"/>
    <w:rsid w:val="00E222FA"/>
    <w:rsid w:val="00E24A62"/>
    <w:rsid w:val="00E24F52"/>
    <w:rsid w:val="00E279B2"/>
    <w:rsid w:val="00E30BD5"/>
    <w:rsid w:val="00E31143"/>
    <w:rsid w:val="00E31812"/>
    <w:rsid w:val="00E33954"/>
    <w:rsid w:val="00E3533E"/>
    <w:rsid w:val="00E35A45"/>
    <w:rsid w:val="00E36719"/>
    <w:rsid w:val="00E37C85"/>
    <w:rsid w:val="00E43006"/>
    <w:rsid w:val="00E43551"/>
    <w:rsid w:val="00E50809"/>
    <w:rsid w:val="00E50F0A"/>
    <w:rsid w:val="00E510CF"/>
    <w:rsid w:val="00E52AAB"/>
    <w:rsid w:val="00E533B0"/>
    <w:rsid w:val="00E5448E"/>
    <w:rsid w:val="00E54E0D"/>
    <w:rsid w:val="00E56795"/>
    <w:rsid w:val="00E57096"/>
    <w:rsid w:val="00E57932"/>
    <w:rsid w:val="00E57DA3"/>
    <w:rsid w:val="00E60811"/>
    <w:rsid w:val="00E61AA9"/>
    <w:rsid w:val="00E64050"/>
    <w:rsid w:val="00E6514D"/>
    <w:rsid w:val="00E65161"/>
    <w:rsid w:val="00E652C9"/>
    <w:rsid w:val="00E65700"/>
    <w:rsid w:val="00E6593B"/>
    <w:rsid w:val="00E66A4A"/>
    <w:rsid w:val="00E672C6"/>
    <w:rsid w:val="00E675EE"/>
    <w:rsid w:val="00E7139A"/>
    <w:rsid w:val="00E71809"/>
    <w:rsid w:val="00E71D1E"/>
    <w:rsid w:val="00E71D98"/>
    <w:rsid w:val="00E728E2"/>
    <w:rsid w:val="00E74976"/>
    <w:rsid w:val="00E74CD6"/>
    <w:rsid w:val="00E75667"/>
    <w:rsid w:val="00E756D3"/>
    <w:rsid w:val="00E769CC"/>
    <w:rsid w:val="00E80AF8"/>
    <w:rsid w:val="00E827BB"/>
    <w:rsid w:val="00E82D24"/>
    <w:rsid w:val="00E8308F"/>
    <w:rsid w:val="00E8317B"/>
    <w:rsid w:val="00E8357D"/>
    <w:rsid w:val="00E84C04"/>
    <w:rsid w:val="00E84E4F"/>
    <w:rsid w:val="00E851DD"/>
    <w:rsid w:val="00E856A2"/>
    <w:rsid w:val="00E85AD2"/>
    <w:rsid w:val="00E86749"/>
    <w:rsid w:val="00E9036E"/>
    <w:rsid w:val="00E917B6"/>
    <w:rsid w:val="00E92292"/>
    <w:rsid w:val="00E92D0B"/>
    <w:rsid w:val="00E93195"/>
    <w:rsid w:val="00E93F21"/>
    <w:rsid w:val="00E9411C"/>
    <w:rsid w:val="00E9522C"/>
    <w:rsid w:val="00E95C2A"/>
    <w:rsid w:val="00E963BC"/>
    <w:rsid w:val="00E96D65"/>
    <w:rsid w:val="00E96FD1"/>
    <w:rsid w:val="00E97F7A"/>
    <w:rsid w:val="00EA0143"/>
    <w:rsid w:val="00EA089B"/>
    <w:rsid w:val="00EA2638"/>
    <w:rsid w:val="00EA2E21"/>
    <w:rsid w:val="00EA2F95"/>
    <w:rsid w:val="00EA380C"/>
    <w:rsid w:val="00EA47B5"/>
    <w:rsid w:val="00EA7308"/>
    <w:rsid w:val="00EB089C"/>
    <w:rsid w:val="00EB0BB0"/>
    <w:rsid w:val="00EB0C65"/>
    <w:rsid w:val="00EB169F"/>
    <w:rsid w:val="00EB1C6B"/>
    <w:rsid w:val="00EB2961"/>
    <w:rsid w:val="00EB2AE0"/>
    <w:rsid w:val="00EB2E1A"/>
    <w:rsid w:val="00EB3268"/>
    <w:rsid w:val="00EB3298"/>
    <w:rsid w:val="00EB3CE6"/>
    <w:rsid w:val="00EB3E92"/>
    <w:rsid w:val="00EB68E6"/>
    <w:rsid w:val="00EB69AB"/>
    <w:rsid w:val="00EB6D1C"/>
    <w:rsid w:val="00EB7B67"/>
    <w:rsid w:val="00EC328C"/>
    <w:rsid w:val="00EC339A"/>
    <w:rsid w:val="00EC3BEC"/>
    <w:rsid w:val="00EC5241"/>
    <w:rsid w:val="00EC594C"/>
    <w:rsid w:val="00EC5C7B"/>
    <w:rsid w:val="00EC66AA"/>
    <w:rsid w:val="00EC6B8F"/>
    <w:rsid w:val="00EC6E90"/>
    <w:rsid w:val="00EC7B48"/>
    <w:rsid w:val="00ED0257"/>
    <w:rsid w:val="00ED1339"/>
    <w:rsid w:val="00ED24C7"/>
    <w:rsid w:val="00ED3E65"/>
    <w:rsid w:val="00ED4448"/>
    <w:rsid w:val="00ED4EDF"/>
    <w:rsid w:val="00ED5981"/>
    <w:rsid w:val="00ED66B2"/>
    <w:rsid w:val="00ED71BA"/>
    <w:rsid w:val="00ED73A1"/>
    <w:rsid w:val="00ED78C5"/>
    <w:rsid w:val="00ED7CA2"/>
    <w:rsid w:val="00EE13DA"/>
    <w:rsid w:val="00EE3060"/>
    <w:rsid w:val="00EE332A"/>
    <w:rsid w:val="00EE5324"/>
    <w:rsid w:val="00EE55FA"/>
    <w:rsid w:val="00EE56E2"/>
    <w:rsid w:val="00EE5DB5"/>
    <w:rsid w:val="00EE6D45"/>
    <w:rsid w:val="00EE6E89"/>
    <w:rsid w:val="00EF0FE6"/>
    <w:rsid w:val="00EF11AA"/>
    <w:rsid w:val="00EF1C44"/>
    <w:rsid w:val="00EF1F4C"/>
    <w:rsid w:val="00EF1F9B"/>
    <w:rsid w:val="00EF2B18"/>
    <w:rsid w:val="00EF3AC4"/>
    <w:rsid w:val="00EF3BB9"/>
    <w:rsid w:val="00EF4008"/>
    <w:rsid w:val="00EF547C"/>
    <w:rsid w:val="00EF55E9"/>
    <w:rsid w:val="00EF5B41"/>
    <w:rsid w:val="00EF611C"/>
    <w:rsid w:val="00EF7462"/>
    <w:rsid w:val="00EF768D"/>
    <w:rsid w:val="00F00630"/>
    <w:rsid w:val="00F00922"/>
    <w:rsid w:val="00F011FF"/>
    <w:rsid w:val="00F01BE6"/>
    <w:rsid w:val="00F0217A"/>
    <w:rsid w:val="00F0251B"/>
    <w:rsid w:val="00F03E4C"/>
    <w:rsid w:val="00F0665D"/>
    <w:rsid w:val="00F06D42"/>
    <w:rsid w:val="00F07134"/>
    <w:rsid w:val="00F07378"/>
    <w:rsid w:val="00F10B81"/>
    <w:rsid w:val="00F11353"/>
    <w:rsid w:val="00F129F4"/>
    <w:rsid w:val="00F14CD1"/>
    <w:rsid w:val="00F15115"/>
    <w:rsid w:val="00F15D8C"/>
    <w:rsid w:val="00F16AD9"/>
    <w:rsid w:val="00F16E1A"/>
    <w:rsid w:val="00F20197"/>
    <w:rsid w:val="00F20607"/>
    <w:rsid w:val="00F208BB"/>
    <w:rsid w:val="00F20D7A"/>
    <w:rsid w:val="00F210BE"/>
    <w:rsid w:val="00F21357"/>
    <w:rsid w:val="00F21A5D"/>
    <w:rsid w:val="00F21C13"/>
    <w:rsid w:val="00F21DEA"/>
    <w:rsid w:val="00F22796"/>
    <w:rsid w:val="00F238F7"/>
    <w:rsid w:val="00F23BA0"/>
    <w:rsid w:val="00F25641"/>
    <w:rsid w:val="00F25FE1"/>
    <w:rsid w:val="00F26065"/>
    <w:rsid w:val="00F30313"/>
    <w:rsid w:val="00F303BC"/>
    <w:rsid w:val="00F3059C"/>
    <w:rsid w:val="00F318A1"/>
    <w:rsid w:val="00F3265C"/>
    <w:rsid w:val="00F343EE"/>
    <w:rsid w:val="00F3547E"/>
    <w:rsid w:val="00F35494"/>
    <w:rsid w:val="00F3619D"/>
    <w:rsid w:val="00F3722A"/>
    <w:rsid w:val="00F37366"/>
    <w:rsid w:val="00F419B8"/>
    <w:rsid w:val="00F41C0F"/>
    <w:rsid w:val="00F42856"/>
    <w:rsid w:val="00F43390"/>
    <w:rsid w:val="00F43EF6"/>
    <w:rsid w:val="00F4482B"/>
    <w:rsid w:val="00F44F02"/>
    <w:rsid w:val="00F4526B"/>
    <w:rsid w:val="00F462DF"/>
    <w:rsid w:val="00F4662D"/>
    <w:rsid w:val="00F468AC"/>
    <w:rsid w:val="00F471BE"/>
    <w:rsid w:val="00F47316"/>
    <w:rsid w:val="00F47507"/>
    <w:rsid w:val="00F47622"/>
    <w:rsid w:val="00F5052D"/>
    <w:rsid w:val="00F50BF0"/>
    <w:rsid w:val="00F51A82"/>
    <w:rsid w:val="00F5254B"/>
    <w:rsid w:val="00F53A44"/>
    <w:rsid w:val="00F54431"/>
    <w:rsid w:val="00F54466"/>
    <w:rsid w:val="00F54B29"/>
    <w:rsid w:val="00F551DB"/>
    <w:rsid w:val="00F559BE"/>
    <w:rsid w:val="00F55E46"/>
    <w:rsid w:val="00F56417"/>
    <w:rsid w:val="00F56EE7"/>
    <w:rsid w:val="00F56FEF"/>
    <w:rsid w:val="00F57521"/>
    <w:rsid w:val="00F57AC4"/>
    <w:rsid w:val="00F60938"/>
    <w:rsid w:val="00F61262"/>
    <w:rsid w:val="00F61606"/>
    <w:rsid w:val="00F62BD1"/>
    <w:rsid w:val="00F62CA8"/>
    <w:rsid w:val="00F63BF4"/>
    <w:rsid w:val="00F63C60"/>
    <w:rsid w:val="00F64991"/>
    <w:rsid w:val="00F65BA9"/>
    <w:rsid w:val="00F6630F"/>
    <w:rsid w:val="00F67E81"/>
    <w:rsid w:val="00F7062D"/>
    <w:rsid w:val="00F719B2"/>
    <w:rsid w:val="00F71C68"/>
    <w:rsid w:val="00F724E2"/>
    <w:rsid w:val="00F72A89"/>
    <w:rsid w:val="00F72B32"/>
    <w:rsid w:val="00F73E5D"/>
    <w:rsid w:val="00F74103"/>
    <w:rsid w:val="00F7425F"/>
    <w:rsid w:val="00F75BB5"/>
    <w:rsid w:val="00F7604C"/>
    <w:rsid w:val="00F81623"/>
    <w:rsid w:val="00F81D25"/>
    <w:rsid w:val="00F83045"/>
    <w:rsid w:val="00F83615"/>
    <w:rsid w:val="00F851B0"/>
    <w:rsid w:val="00F85329"/>
    <w:rsid w:val="00F878CD"/>
    <w:rsid w:val="00F8794A"/>
    <w:rsid w:val="00F87CEF"/>
    <w:rsid w:val="00F87E6B"/>
    <w:rsid w:val="00F90C1F"/>
    <w:rsid w:val="00F93231"/>
    <w:rsid w:val="00F950B5"/>
    <w:rsid w:val="00F953D5"/>
    <w:rsid w:val="00F97A34"/>
    <w:rsid w:val="00F97EA1"/>
    <w:rsid w:val="00FA05C8"/>
    <w:rsid w:val="00FA0678"/>
    <w:rsid w:val="00FA107F"/>
    <w:rsid w:val="00FA23F7"/>
    <w:rsid w:val="00FA27EB"/>
    <w:rsid w:val="00FA4117"/>
    <w:rsid w:val="00FA672F"/>
    <w:rsid w:val="00FA7792"/>
    <w:rsid w:val="00FA7B61"/>
    <w:rsid w:val="00FB11FA"/>
    <w:rsid w:val="00FB18F8"/>
    <w:rsid w:val="00FB2F8E"/>
    <w:rsid w:val="00FB33F8"/>
    <w:rsid w:val="00FB39B0"/>
    <w:rsid w:val="00FB5183"/>
    <w:rsid w:val="00FB5A71"/>
    <w:rsid w:val="00FB6DF2"/>
    <w:rsid w:val="00FB7823"/>
    <w:rsid w:val="00FC08B3"/>
    <w:rsid w:val="00FC09D7"/>
    <w:rsid w:val="00FC1998"/>
    <w:rsid w:val="00FC3638"/>
    <w:rsid w:val="00FC391E"/>
    <w:rsid w:val="00FC3AB7"/>
    <w:rsid w:val="00FC4108"/>
    <w:rsid w:val="00FC448A"/>
    <w:rsid w:val="00FC453D"/>
    <w:rsid w:val="00FC4651"/>
    <w:rsid w:val="00FC4A89"/>
    <w:rsid w:val="00FC665F"/>
    <w:rsid w:val="00FC6D59"/>
    <w:rsid w:val="00FC78F5"/>
    <w:rsid w:val="00FD10B3"/>
    <w:rsid w:val="00FD11C3"/>
    <w:rsid w:val="00FD154E"/>
    <w:rsid w:val="00FD3742"/>
    <w:rsid w:val="00FD3A41"/>
    <w:rsid w:val="00FD3AE2"/>
    <w:rsid w:val="00FD5975"/>
    <w:rsid w:val="00FD5AE4"/>
    <w:rsid w:val="00FD5F25"/>
    <w:rsid w:val="00FD5FCE"/>
    <w:rsid w:val="00FD60BE"/>
    <w:rsid w:val="00FD6894"/>
    <w:rsid w:val="00FD6980"/>
    <w:rsid w:val="00FD6AF0"/>
    <w:rsid w:val="00FD7955"/>
    <w:rsid w:val="00FD79B8"/>
    <w:rsid w:val="00FD7FF9"/>
    <w:rsid w:val="00FE0AD1"/>
    <w:rsid w:val="00FE0BBF"/>
    <w:rsid w:val="00FE0C6C"/>
    <w:rsid w:val="00FE33DB"/>
    <w:rsid w:val="00FE37DD"/>
    <w:rsid w:val="00FE3C31"/>
    <w:rsid w:val="00FE4015"/>
    <w:rsid w:val="00FE44F5"/>
    <w:rsid w:val="00FE480D"/>
    <w:rsid w:val="00FE6227"/>
    <w:rsid w:val="00FE6A50"/>
    <w:rsid w:val="00FE705C"/>
    <w:rsid w:val="00FE70B2"/>
    <w:rsid w:val="00FF0B4F"/>
    <w:rsid w:val="00FF1AD3"/>
    <w:rsid w:val="00FF1F9A"/>
    <w:rsid w:val="00FF49F4"/>
    <w:rsid w:val="00FF651D"/>
    <w:rsid w:val="00FF68CA"/>
    <w:rsid w:val="010651D9"/>
    <w:rsid w:val="02DA0C0E"/>
    <w:rsid w:val="03DD35E4"/>
    <w:rsid w:val="065A6178"/>
    <w:rsid w:val="075562B7"/>
    <w:rsid w:val="07F6164B"/>
    <w:rsid w:val="087A1B7A"/>
    <w:rsid w:val="096B2097"/>
    <w:rsid w:val="0A5B7E63"/>
    <w:rsid w:val="0C87121B"/>
    <w:rsid w:val="0D181FDD"/>
    <w:rsid w:val="0DF702FE"/>
    <w:rsid w:val="0E3F698B"/>
    <w:rsid w:val="0EB85D7A"/>
    <w:rsid w:val="0F21508F"/>
    <w:rsid w:val="0F786D63"/>
    <w:rsid w:val="0F816ACD"/>
    <w:rsid w:val="0FB94501"/>
    <w:rsid w:val="10B047CF"/>
    <w:rsid w:val="10FC16EA"/>
    <w:rsid w:val="118963A1"/>
    <w:rsid w:val="127723A9"/>
    <w:rsid w:val="13072A44"/>
    <w:rsid w:val="13697265"/>
    <w:rsid w:val="145044FA"/>
    <w:rsid w:val="17B9045B"/>
    <w:rsid w:val="186742B0"/>
    <w:rsid w:val="190F2854"/>
    <w:rsid w:val="19A31CEF"/>
    <w:rsid w:val="1B2A271F"/>
    <w:rsid w:val="1B890139"/>
    <w:rsid w:val="1D266CE1"/>
    <w:rsid w:val="1D3963AF"/>
    <w:rsid w:val="1D97029A"/>
    <w:rsid w:val="1E714A66"/>
    <w:rsid w:val="1FE868A9"/>
    <w:rsid w:val="20232235"/>
    <w:rsid w:val="211E26D6"/>
    <w:rsid w:val="21283D08"/>
    <w:rsid w:val="225C30FD"/>
    <w:rsid w:val="23DF5A1D"/>
    <w:rsid w:val="24173588"/>
    <w:rsid w:val="25B440B3"/>
    <w:rsid w:val="29094350"/>
    <w:rsid w:val="29C50A14"/>
    <w:rsid w:val="2AA1365A"/>
    <w:rsid w:val="2C15484E"/>
    <w:rsid w:val="2CFC3A5A"/>
    <w:rsid w:val="2D227891"/>
    <w:rsid w:val="2DD15014"/>
    <w:rsid w:val="2FD25781"/>
    <w:rsid w:val="319C6071"/>
    <w:rsid w:val="32DB72BE"/>
    <w:rsid w:val="3368780F"/>
    <w:rsid w:val="342E63AB"/>
    <w:rsid w:val="345D260B"/>
    <w:rsid w:val="34D71099"/>
    <w:rsid w:val="365302AE"/>
    <w:rsid w:val="37F142D2"/>
    <w:rsid w:val="383253A7"/>
    <w:rsid w:val="39A13F14"/>
    <w:rsid w:val="3C5F759A"/>
    <w:rsid w:val="3CA16F2B"/>
    <w:rsid w:val="3D5C78D4"/>
    <w:rsid w:val="3FFF72A6"/>
    <w:rsid w:val="4073679A"/>
    <w:rsid w:val="42E1381E"/>
    <w:rsid w:val="43FB717C"/>
    <w:rsid w:val="451E447A"/>
    <w:rsid w:val="45345B76"/>
    <w:rsid w:val="46D1677D"/>
    <w:rsid w:val="47307808"/>
    <w:rsid w:val="486F747C"/>
    <w:rsid w:val="4D861CF6"/>
    <w:rsid w:val="50414E5C"/>
    <w:rsid w:val="51A0432A"/>
    <w:rsid w:val="527140E5"/>
    <w:rsid w:val="5292508F"/>
    <w:rsid w:val="52A96B6F"/>
    <w:rsid w:val="550764A4"/>
    <w:rsid w:val="551926E0"/>
    <w:rsid w:val="55290AA9"/>
    <w:rsid w:val="561279B9"/>
    <w:rsid w:val="56515F3B"/>
    <w:rsid w:val="572B71CA"/>
    <w:rsid w:val="57E958DA"/>
    <w:rsid w:val="58AE4F0C"/>
    <w:rsid w:val="58EF6A7E"/>
    <w:rsid w:val="5A2A7C7B"/>
    <w:rsid w:val="5C80234E"/>
    <w:rsid w:val="5E261785"/>
    <w:rsid w:val="5FCC5339"/>
    <w:rsid w:val="5FE70807"/>
    <w:rsid w:val="60E53485"/>
    <w:rsid w:val="61054A27"/>
    <w:rsid w:val="611D2366"/>
    <w:rsid w:val="61A43DEB"/>
    <w:rsid w:val="62885958"/>
    <w:rsid w:val="64CE2EAA"/>
    <w:rsid w:val="662E75B1"/>
    <w:rsid w:val="66342C2E"/>
    <w:rsid w:val="663E784C"/>
    <w:rsid w:val="66A01E6F"/>
    <w:rsid w:val="685867EC"/>
    <w:rsid w:val="6D964261"/>
    <w:rsid w:val="6E8E12EF"/>
    <w:rsid w:val="71D43752"/>
    <w:rsid w:val="722A0564"/>
    <w:rsid w:val="73DD6243"/>
    <w:rsid w:val="749C4185"/>
    <w:rsid w:val="75DA2C18"/>
    <w:rsid w:val="775319EF"/>
    <w:rsid w:val="790F1C77"/>
    <w:rsid w:val="7A67303B"/>
    <w:rsid w:val="7AAB1D04"/>
    <w:rsid w:val="7ABA4368"/>
    <w:rsid w:val="7B257FFD"/>
    <w:rsid w:val="7B443580"/>
    <w:rsid w:val="7BF52331"/>
    <w:rsid w:val="7C2B1DA5"/>
    <w:rsid w:val="7DF4317E"/>
    <w:rsid w:val="7E64308B"/>
    <w:rsid w:val="7FB010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unhideWhenUsed="0" w:uiPriority="0" w:semiHidden="0" w:name="List Bullet 3"/>
    <w:lsdException w:qFormat="1"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47"/>
    <w:qFormat/>
    <w:uiPriority w:val="0"/>
    <w:pPr>
      <w:keepNext/>
      <w:keepLines/>
      <w:numPr>
        <w:ilvl w:val="0"/>
        <w:numId w:val="1"/>
      </w:numPr>
      <w:spacing w:before="340" w:after="330" w:line="578" w:lineRule="auto"/>
      <w:outlineLvl w:val="0"/>
    </w:pPr>
    <w:rPr>
      <w:b/>
      <w:bCs/>
      <w:kern w:val="44"/>
      <w:sz w:val="44"/>
      <w:szCs w:val="44"/>
    </w:rPr>
  </w:style>
  <w:style w:type="paragraph" w:styleId="3">
    <w:name w:val="heading 2"/>
    <w:basedOn w:val="1"/>
    <w:next w:val="1"/>
    <w:qFormat/>
    <w:uiPriority w:val="9"/>
    <w:pPr>
      <w:keepNext/>
      <w:keepLines/>
      <w:numPr>
        <w:ilvl w:val="0"/>
        <w:numId w:val="2"/>
      </w:numPr>
      <w:adjustRightInd/>
      <w:spacing w:line="360" w:lineRule="auto"/>
      <w:jc w:val="left"/>
      <w:outlineLvl w:val="1"/>
    </w:pPr>
    <w:rPr>
      <w:rFonts w:ascii="仿宋_GB2312" w:hAnsi="仿宋" w:eastAsia="仿宋_GB2312"/>
      <w:b/>
      <w:bCs/>
      <w:sz w:val="32"/>
      <w:szCs w:val="32"/>
      <w:lang w:val="zh-CN"/>
    </w:rPr>
  </w:style>
  <w:style w:type="paragraph" w:styleId="4">
    <w:name w:val="heading 3"/>
    <w:basedOn w:val="1"/>
    <w:next w:val="1"/>
    <w:qFormat/>
    <w:uiPriority w:val="0"/>
    <w:pPr>
      <w:keepNext/>
      <w:keepLines/>
      <w:numPr>
        <w:ilvl w:val="2"/>
        <w:numId w:val="1"/>
      </w:numPr>
      <w:spacing w:before="260" w:after="260" w:line="416" w:lineRule="auto"/>
      <w:outlineLvl w:val="2"/>
    </w:pPr>
    <w:rPr>
      <w:b/>
      <w:bCs/>
      <w:sz w:val="32"/>
      <w:szCs w:val="32"/>
    </w:rPr>
  </w:style>
  <w:style w:type="paragraph" w:styleId="5">
    <w:name w:val="heading 4"/>
    <w:basedOn w:val="1"/>
    <w:next w:val="1"/>
    <w:link w:val="597"/>
    <w:qFormat/>
    <w:uiPriority w:val="0"/>
    <w:pPr>
      <w:keepNext/>
      <w:keepLines/>
      <w:numPr>
        <w:ilvl w:val="3"/>
        <w:numId w:val="1"/>
      </w:numPr>
      <w:spacing w:before="280" w:after="290" w:line="376" w:lineRule="auto"/>
      <w:outlineLvl w:val="3"/>
    </w:pPr>
    <w:rPr>
      <w:rFonts w:ascii="Arial" w:hAnsi="Arial" w:eastAsia="黑体"/>
      <w:b/>
      <w:bCs/>
      <w:sz w:val="28"/>
      <w:szCs w:val="28"/>
      <w:lang w:val="zh-CN"/>
    </w:rPr>
  </w:style>
  <w:style w:type="paragraph" w:styleId="6">
    <w:name w:val="heading 5"/>
    <w:basedOn w:val="1"/>
    <w:next w:val="1"/>
    <w:link w:val="571"/>
    <w:qFormat/>
    <w:uiPriority w:val="0"/>
    <w:pPr>
      <w:keepNext/>
      <w:keepLines/>
      <w:numPr>
        <w:ilvl w:val="4"/>
        <w:numId w:val="1"/>
      </w:numPr>
      <w:spacing w:before="280" w:after="290" w:line="376" w:lineRule="auto"/>
      <w:outlineLvl w:val="4"/>
    </w:pPr>
    <w:rPr>
      <w:b/>
      <w:bCs/>
      <w:sz w:val="28"/>
      <w:szCs w:val="28"/>
    </w:rPr>
  </w:style>
  <w:style w:type="paragraph" w:styleId="7">
    <w:name w:val="heading 6"/>
    <w:basedOn w:val="1"/>
    <w:next w:val="1"/>
    <w:link w:val="610"/>
    <w:qFormat/>
    <w:uiPriority w:val="0"/>
    <w:pPr>
      <w:keepNext/>
      <w:keepLines/>
      <w:numPr>
        <w:ilvl w:val="5"/>
        <w:numId w:val="1"/>
      </w:numPr>
      <w:spacing w:before="240" w:after="64" w:line="320" w:lineRule="auto"/>
      <w:outlineLvl w:val="5"/>
    </w:pPr>
    <w:rPr>
      <w:rFonts w:ascii="Arial" w:hAnsi="Arial" w:eastAsia="黑体"/>
      <w:b/>
      <w:bCs/>
      <w:sz w:val="24"/>
    </w:rPr>
  </w:style>
  <w:style w:type="paragraph" w:styleId="8">
    <w:name w:val="heading 7"/>
    <w:basedOn w:val="1"/>
    <w:next w:val="1"/>
    <w:link w:val="479"/>
    <w:qFormat/>
    <w:uiPriority w:val="0"/>
    <w:pPr>
      <w:keepNext/>
      <w:keepLines/>
      <w:numPr>
        <w:ilvl w:val="6"/>
        <w:numId w:val="1"/>
      </w:numPr>
      <w:spacing w:before="240" w:after="64" w:line="320" w:lineRule="auto"/>
      <w:outlineLvl w:val="6"/>
    </w:pPr>
    <w:rPr>
      <w:b/>
      <w:bCs/>
      <w:sz w:val="24"/>
    </w:rPr>
  </w:style>
  <w:style w:type="paragraph" w:styleId="9">
    <w:name w:val="heading 8"/>
    <w:basedOn w:val="1"/>
    <w:next w:val="1"/>
    <w:link w:val="469"/>
    <w:qFormat/>
    <w:uiPriority w:val="0"/>
    <w:pPr>
      <w:keepNext/>
      <w:keepLines/>
      <w:numPr>
        <w:ilvl w:val="7"/>
        <w:numId w:val="1"/>
      </w:numPr>
      <w:spacing w:before="240" w:after="64" w:line="320" w:lineRule="auto"/>
      <w:outlineLvl w:val="7"/>
    </w:pPr>
    <w:rPr>
      <w:rFonts w:ascii="Arial" w:hAnsi="Arial" w:eastAsia="黑体"/>
      <w:sz w:val="24"/>
    </w:rPr>
  </w:style>
  <w:style w:type="paragraph" w:styleId="10">
    <w:name w:val="heading 9"/>
    <w:basedOn w:val="1"/>
    <w:next w:val="1"/>
    <w:link w:val="517"/>
    <w:qFormat/>
    <w:uiPriority w:val="0"/>
    <w:pPr>
      <w:keepNext/>
      <w:keepLines/>
      <w:numPr>
        <w:ilvl w:val="8"/>
        <w:numId w:val="1"/>
      </w:numPr>
      <w:spacing w:before="240" w:after="64" w:line="320" w:lineRule="auto"/>
      <w:outlineLvl w:val="8"/>
    </w:pPr>
    <w:rPr>
      <w:rFonts w:ascii="Arial" w:hAnsi="Arial" w:eastAsia="黑体"/>
      <w:szCs w:val="21"/>
    </w:rPr>
  </w:style>
  <w:style w:type="character" w:default="1" w:styleId="62">
    <w:name w:val="Default Paragraph Font"/>
    <w:semiHidden/>
    <w:unhideWhenUsed/>
    <w:qFormat/>
    <w:uiPriority w:val="1"/>
  </w:style>
  <w:style w:type="table" w:default="1" w:styleId="60">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2520" w:leftChars="1200"/>
    </w:pPr>
  </w:style>
  <w:style w:type="paragraph" w:styleId="12">
    <w:name w:val="List Number 2"/>
    <w:basedOn w:val="1"/>
    <w:qFormat/>
    <w:uiPriority w:val="0"/>
    <w:pPr>
      <w:widowControl/>
      <w:tabs>
        <w:tab w:val="left" w:pos="1697"/>
      </w:tabs>
      <w:adjustRightInd/>
      <w:spacing w:after="156" w:afterLines="50"/>
      <w:ind w:left="1697" w:hanging="420"/>
      <w:jc w:val="left"/>
    </w:pPr>
    <w:rPr>
      <w:kern w:val="0"/>
      <w:sz w:val="24"/>
      <w:szCs w:val="20"/>
    </w:rPr>
  </w:style>
  <w:style w:type="paragraph" w:styleId="13">
    <w:name w:val="List Bullet 4"/>
    <w:basedOn w:val="1"/>
    <w:unhideWhenUsed/>
    <w:qFormat/>
    <w:uiPriority w:val="99"/>
    <w:pPr>
      <w:widowControl/>
      <w:numPr>
        <w:ilvl w:val="0"/>
        <w:numId w:val="3"/>
      </w:numPr>
      <w:tabs>
        <w:tab w:val="left" w:pos="432"/>
        <w:tab w:val="clear" w:pos="1440"/>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4">
    <w:name w:val="List Number"/>
    <w:basedOn w:val="1"/>
    <w:qFormat/>
    <w:uiPriority w:val="0"/>
    <w:pPr>
      <w:widowControl/>
      <w:tabs>
        <w:tab w:val="left" w:pos="390"/>
        <w:tab w:val="left" w:pos="454"/>
      </w:tabs>
      <w:adjustRightInd/>
      <w:spacing w:after="156" w:afterLines="50"/>
      <w:ind w:left="454" w:hanging="284"/>
      <w:jc w:val="left"/>
    </w:pPr>
    <w:rPr>
      <w:kern w:val="0"/>
      <w:sz w:val="24"/>
      <w:szCs w:val="20"/>
    </w:rPr>
  </w:style>
  <w:style w:type="paragraph" w:styleId="15">
    <w:name w:val="Normal Indent"/>
    <w:basedOn w:val="1"/>
    <w:link w:val="611"/>
    <w:qFormat/>
    <w:uiPriority w:val="0"/>
    <w:pPr>
      <w:widowControl/>
      <w:snapToGrid w:val="0"/>
      <w:spacing w:line="480" w:lineRule="exact"/>
      <w:ind w:firstLine="567"/>
    </w:pPr>
    <w:rPr>
      <w:rFonts w:ascii="宋体"/>
      <w:snapToGrid w:val="0"/>
      <w:color w:val="000000"/>
      <w:kern w:val="28"/>
      <w:sz w:val="28"/>
      <w:szCs w:val="20"/>
    </w:rPr>
  </w:style>
  <w:style w:type="paragraph" w:styleId="16">
    <w:name w:val="caption"/>
    <w:basedOn w:val="1"/>
    <w:next w:val="1"/>
    <w:qFormat/>
    <w:uiPriority w:val="0"/>
    <w:rPr>
      <w:b/>
      <w:sz w:val="28"/>
      <w:szCs w:val="20"/>
    </w:rPr>
  </w:style>
  <w:style w:type="paragraph" w:styleId="17">
    <w:name w:val="index 5"/>
    <w:basedOn w:val="1"/>
    <w:next w:val="1"/>
    <w:qFormat/>
    <w:uiPriority w:val="0"/>
    <w:pPr>
      <w:adjustRightInd/>
      <w:ind w:left="800" w:leftChars="800" w:firstLine="200" w:firstLineChars="200"/>
    </w:pPr>
  </w:style>
  <w:style w:type="paragraph" w:styleId="18">
    <w:name w:val="Document Map"/>
    <w:basedOn w:val="1"/>
    <w:semiHidden/>
    <w:qFormat/>
    <w:uiPriority w:val="0"/>
    <w:pPr>
      <w:shd w:val="clear" w:color="auto" w:fill="000080"/>
    </w:pPr>
  </w:style>
  <w:style w:type="paragraph" w:styleId="19">
    <w:name w:val="annotation text"/>
    <w:basedOn w:val="1"/>
    <w:link w:val="612"/>
    <w:qFormat/>
    <w:uiPriority w:val="99"/>
    <w:pPr>
      <w:jc w:val="left"/>
    </w:pPr>
  </w:style>
  <w:style w:type="paragraph" w:styleId="20">
    <w:name w:val="Salutation"/>
    <w:basedOn w:val="1"/>
    <w:next w:val="1"/>
    <w:link w:val="480"/>
    <w:qFormat/>
    <w:uiPriority w:val="0"/>
    <w:rPr>
      <w:rFonts w:ascii="仿宋_GB2312" w:eastAsia="仿宋_GB2312"/>
      <w:sz w:val="28"/>
      <w:szCs w:val="20"/>
    </w:rPr>
  </w:style>
  <w:style w:type="paragraph" w:styleId="21">
    <w:name w:val="Body Text 3"/>
    <w:basedOn w:val="1"/>
    <w:link w:val="579"/>
    <w:qFormat/>
    <w:uiPriority w:val="0"/>
    <w:pPr>
      <w:jc w:val="center"/>
    </w:pPr>
    <w:rPr>
      <w:szCs w:val="20"/>
    </w:rPr>
  </w:style>
  <w:style w:type="paragraph" w:styleId="22">
    <w:name w:val="Body Text"/>
    <w:basedOn w:val="1"/>
    <w:link w:val="510"/>
    <w:qFormat/>
    <w:uiPriority w:val="0"/>
    <w:pPr>
      <w:autoSpaceDE w:val="0"/>
      <w:autoSpaceDN w:val="0"/>
      <w:spacing w:line="360" w:lineRule="auto"/>
    </w:pPr>
    <w:rPr>
      <w:rFonts w:ascii="宋体"/>
      <w:sz w:val="24"/>
      <w:szCs w:val="21"/>
      <w:lang w:val="zh-CN"/>
    </w:rPr>
  </w:style>
  <w:style w:type="paragraph" w:styleId="23">
    <w:name w:val="Body Text Indent"/>
    <w:basedOn w:val="1"/>
    <w:link w:val="473"/>
    <w:qFormat/>
    <w:uiPriority w:val="0"/>
    <w:pPr>
      <w:spacing w:line="480" w:lineRule="exact"/>
      <w:ind w:firstLine="480" w:firstLineChars="200"/>
    </w:pPr>
    <w:rPr>
      <w:rFonts w:ascii="宋体" w:hAnsi="宋体"/>
      <w:sz w:val="24"/>
    </w:rPr>
  </w:style>
  <w:style w:type="paragraph" w:styleId="24">
    <w:name w:val="List Number 3"/>
    <w:basedOn w:val="1"/>
    <w:qFormat/>
    <w:uiPriority w:val="0"/>
    <w:pPr>
      <w:widowControl/>
      <w:tabs>
        <w:tab w:val="left" w:pos="360"/>
        <w:tab w:val="left" w:pos="482"/>
      </w:tabs>
      <w:adjustRightInd/>
      <w:spacing w:after="156" w:afterLines="50"/>
      <w:ind w:left="482" w:hanging="340"/>
      <w:jc w:val="left"/>
    </w:pPr>
    <w:rPr>
      <w:kern w:val="0"/>
      <w:sz w:val="24"/>
      <w:szCs w:val="20"/>
    </w:rPr>
  </w:style>
  <w:style w:type="paragraph" w:styleId="25">
    <w:name w:val="List 2"/>
    <w:basedOn w:val="1"/>
    <w:qFormat/>
    <w:uiPriority w:val="0"/>
    <w:pPr>
      <w:adjustRightInd/>
      <w:spacing w:line="360" w:lineRule="auto"/>
      <w:ind w:left="100" w:leftChars="200" w:hanging="200" w:hangingChars="200"/>
    </w:pPr>
    <w:rPr>
      <w:rFonts w:eastAsia="微软雅黑"/>
    </w:rPr>
  </w:style>
  <w:style w:type="paragraph" w:styleId="26">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27">
    <w:name w:val="List Bullet 2"/>
    <w:basedOn w:val="1"/>
    <w:qFormat/>
    <w:uiPriority w:val="0"/>
    <w:pPr>
      <w:autoSpaceDE w:val="0"/>
      <w:autoSpaceDN w:val="0"/>
      <w:ind w:left="420"/>
      <w:jc w:val="left"/>
    </w:pPr>
    <w:rPr>
      <w:rFonts w:ascii="宋体" w:hAnsi="宋体"/>
      <w:color w:val="000000"/>
      <w:kern w:val="0"/>
      <w:sz w:val="24"/>
      <w:szCs w:val="20"/>
    </w:rPr>
  </w:style>
  <w:style w:type="paragraph" w:styleId="28">
    <w:name w:val="HTML Address"/>
    <w:basedOn w:val="1"/>
    <w:link w:val="569"/>
    <w:qFormat/>
    <w:uiPriority w:val="0"/>
    <w:pPr>
      <w:widowControl/>
      <w:adjustRightInd/>
      <w:ind w:firstLine="200" w:firstLineChars="200"/>
      <w:jc w:val="left"/>
    </w:pPr>
    <w:rPr>
      <w:rFonts w:ascii="宋体" w:hAnsi="宋体"/>
      <w:i/>
      <w:iCs/>
      <w:kern w:val="0"/>
      <w:sz w:val="24"/>
    </w:rPr>
  </w:style>
  <w:style w:type="paragraph" w:styleId="29">
    <w:name w:val="toc 5"/>
    <w:basedOn w:val="1"/>
    <w:next w:val="1"/>
    <w:qFormat/>
    <w:uiPriority w:val="0"/>
    <w:pPr>
      <w:ind w:left="1680" w:leftChars="800"/>
    </w:pPr>
  </w:style>
  <w:style w:type="paragraph" w:styleId="30">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1">
    <w:name w:val="Plain Text"/>
    <w:basedOn w:val="1"/>
    <w:link w:val="487"/>
    <w:qFormat/>
    <w:uiPriority w:val="0"/>
    <w:rPr>
      <w:rFonts w:ascii="宋体" w:hAnsi="Courier New"/>
      <w:szCs w:val="20"/>
    </w:rPr>
  </w:style>
  <w:style w:type="paragraph" w:styleId="32">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3">
    <w:name w:val="toc 8"/>
    <w:basedOn w:val="1"/>
    <w:next w:val="1"/>
    <w:qFormat/>
    <w:uiPriority w:val="0"/>
    <w:pPr>
      <w:ind w:left="2940" w:leftChars="1400"/>
    </w:pPr>
  </w:style>
  <w:style w:type="paragraph" w:styleId="34">
    <w:name w:val="Date"/>
    <w:basedOn w:val="1"/>
    <w:next w:val="1"/>
    <w:link w:val="596"/>
    <w:qFormat/>
    <w:uiPriority w:val="0"/>
    <w:pPr>
      <w:ind w:left="100" w:leftChars="2500"/>
    </w:pPr>
    <w:rPr>
      <w:rFonts w:ascii="宋体"/>
      <w:sz w:val="24"/>
      <w:szCs w:val="21"/>
      <w:lang w:val="zh-CN"/>
    </w:rPr>
  </w:style>
  <w:style w:type="paragraph" w:styleId="35">
    <w:name w:val="Body Text Indent 2"/>
    <w:basedOn w:val="1"/>
    <w:link w:val="501"/>
    <w:qFormat/>
    <w:uiPriority w:val="0"/>
    <w:pPr>
      <w:spacing w:line="360" w:lineRule="auto"/>
      <w:ind w:firstLine="601"/>
      <w:textAlignment w:val="baseline"/>
    </w:pPr>
    <w:rPr>
      <w:rFonts w:ascii="宋体"/>
      <w:kern w:val="0"/>
      <w:sz w:val="28"/>
      <w:szCs w:val="20"/>
    </w:rPr>
  </w:style>
  <w:style w:type="paragraph" w:styleId="36">
    <w:name w:val="Balloon Text"/>
    <w:basedOn w:val="1"/>
    <w:link w:val="613"/>
    <w:semiHidden/>
    <w:qFormat/>
    <w:uiPriority w:val="0"/>
    <w:rPr>
      <w:sz w:val="18"/>
      <w:szCs w:val="18"/>
    </w:rPr>
  </w:style>
  <w:style w:type="paragraph" w:styleId="37">
    <w:name w:val="footer"/>
    <w:basedOn w:val="1"/>
    <w:link w:val="634"/>
    <w:qFormat/>
    <w:uiPriority w:val="99"/>
    <w:pPr>
      <w:tabs>
        <w:tab w:val="center" w:pos="4153"/>
        <w:tab w:val="right" w:pos="8306"/>
      </w:tabs>
      <w:snapToGrid w:val="0"/>
      <w:jc w:val="left"/>
    </w:pPr>
    <w:rPr>
      <w:sz w:val="18"/>
      <w:szCs w:val="18"/>
    </w:rPr>
  </w:style>
  <w:style w:type="paragraph" w:styleId="38">
    <w:name w:val="header"/>
    <w:basedOn w:val="1"/>
    <w:link w:val="635"/>
    <w:qFormat/>
    <w:uiPriority w:val="99"/>
    <w:pPr>
      <w:pBdr>
        <w:bottom w:val="single" w:color="auto" w:sz="6" w:space="1"/>
      </w:pBdr>
      <w:tabs>
        <w:tab w:val="center" w:pos="4153"/>
        <w:tab w:val="right" w:pos="8306"/>
      </w:tabs>
      <w:snapToGrid w:val="0"/>
      <w:jc w:val="center"/>
    </w:pPr>
    <w:rPr>
      <w:sz w:val="18"/>
      <w:szCs w:val="18"/>
    </w:rPr>
  </w:style>
  <w:style w:type="paragraph" w:styleId="39">
    <w:name w:val="Signature"/>
    <w:basedOn w:val="1"/>
    <w:link w:val="433"/>
    <w:qFormat/>
    <w:uiPriority w:val="0"/>
    <w:pPr>
      <w:spacing w:after="600" w:line="312" w:lineRule="atLeast"/>
      <w:jc w:val="center"/>
      <w:textAlignment w:val="baseline"/>
    </w:pPr>
    <w:rPr>
      <w:rFonts w:eastAsia="仿宋_GB2312"/>
      <w:kern w:val="0"/>
      <w:sz w:val="24"/>
      <w:szCs w:val="20"/>
    </w:rPr>
  </w:style>
  <w:style w:type="paragraph" w:styleId="40">
    <w:name w:val="toc 1"/>
    <w:basedOn w:val="1"/>
    <w:next w:val="1"/>
    <w:qFormat/>
    <w:uiPriority w:val="39"/>
  </w:style>
  <w:style w:type="paragraph" w:styleId="41">
    <w:name w:val="toc 4"/>
    <w:basedOn w:val="1"/>
    <w:next w:val="1"/>
    <w:qFormat/>
    <w:uiPriority w:val="0"/>
    <w:pPr>
      <w:ind w:left="1260" w:leftChars="600"/>
    </w:pPr>
  </w:style>
  <w:style w:type="paragraph" w:styleId="42">
    <w:name w:val="index heading"/>
    <w:basedOn w:val="1"/>
    <w:next w:val="43"/>
    <w:qFormat/>
    <w:uiPriority w:val="0"/>
    <w:pPr>
      <w:adjustRightInd/>
      <w:ind w:firstLine="200" w:firstLineChars="200"/>
    </w:pPr>
  </w:style>
  <w:style w:type="paragraph" w:styleId="43">
    <w:name w:val="index 1"/>
    <w:basedOn w:val="1"/>
    <w:next w:val="1"/>
    <w:qFormat/>
    <w:uiPriority w:val="0"/>
    <w:pPr>
      <w:adjustRightInd/>
      <w:spacing w:line="360" w:lineRule="auto"/>
      <w:ind w:firstLine="200" w:firstLineChars="200"/>
      <w:jc w:val="center"/>
    </w:pPr>
    <w:rPr>
      <w:sz w:val="24"/>
      <w:szCs w:val="20"/>
    </w:rPr>
  </w:style>
  <w:style w:type="paragraph" w:styleId="44">
    <w:name w:val="Subtitle"/>
    <w:link w:val="486"/>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5">
    <w:name w:val="List Number 5"/>
    <w:basedOn w:val="1"/>
    <w:qFormat/>
    <w:uiPriority w:val="0"/>
    <w:pPr>
      <w:tabs>
        <w:tab w:val="left" w:pos="902"/>
      </w:tabs>
      <w:adjustRightInd/>
      <w:spacing w:line="400" w:lineRule="exact"/>
      <w:ind w:left="902" w:hanging="420"/>
    </w:pPr>
    <w:rPr>
      <w:sz w:val="24"/>
      <w:szCs w:val="20"/>
    </w:rPr>
  </w:style>
  <w:style w:type="paragraph" w:styleId="46">
    <w:name w:val="List"/>
    <w:basedOn w:val="1"/>
    <w:qFormat/>
    <w:uiPriority w:val="0"/>
    <w:pPr>
      <w:ind w:left="200" w:hanging="200" w:hangingChars="200"/>
    </w:pPr>
  </w:style>
  <w:style w:type="paragraph" w:styleId="47">
    <w:name w:val="footnote text"/>
    <w:basedOn w:val="15"/>
    <w:link w:val="471"/>
    <w:qFormat/>
    <w:uiPriority w:val="0"/>
    <w:pPr>
      <w:adjustRightInd/>
      <w:snapToGrid/>
      <w:spacing w:before="60" w:after="60" w:line="300" w:lineRule="exact"/>
      <w:ind w:firstLine="0"/>
    </w:pPr>
    <w:rPr>
      <w:rFonts w:ascii="Times New Roman"/>
      <w:snapToGrid/>
      <w:color w:val="0000FF"/>
      <w:kern w:val="0"/>
      <w:sz w:val="21"/>
    </w:rPr>
  </w:style>
  <w:style w:type="paragraph" w:styleId="48">
    <w:name w:val="toc 6"/>
    <w:basedOn w:val="1"/>
    <w:next w:val="1"/>
    <w:qFormat/>
    <w:uiPriority w:val="0"/>
    <w:pPr>
      <w:ind w:left="2100" w:leftChars="1000"/>
    </w:pPr>
  </w:style>
  <w:style w:type="paragraph" w:styleId="49">
    <w:name w:val="List 5"/>
    <w:basedOn w:val="1"/>
    <w:qFormat/>
    <w:uiPriority w:val="0"/>
    <w:pPr>
      <w:adjustRightInd/>
      <w:ind w:left="100" w:leftChars="800" w:hanging="200" w:hangingChars="200"/>
    </w:pPr>
  </w:style>
  <w:style w:type="paragraph" w:styleId="50">
    <w:name w:val="Body Text Indent 3"/>
    <w:basedOn w:val="1"/>
    <w:link w:val="586"/>
    <w:qFormat/>
    <w:uiPriority w:val="0"/>
    <w:pPr>
      <w:spacing w:line="360" w:lineRule="auto"/>
      <w:ind w:firstLine="420"/>
    </w:pPr>
    <w:rPr>
      <w:sz w:val="24"/>
      <w:szCs w:val="20"/>
    </w:rPr>
  </w:style>
  <w:style w:type="paragraph" w:styleId="51">
    <w:name w:val="toc 2"/>
    <w:basedOn w:val="1"/>
    <w:next w:val="1"/>
    <w:qFormat/>
    <w:uiPriority w:val="0"/>
    <w:pPr>
      <w:ind w:left="420" w:leftChars="200"/>
    </w:pPr>
  </w:style>
  <w:style w:type="paragraph" w:styleId="52">
    <w:name w:val="toc 9"/>
    <w:basedOn w:val="1"/>
    <w:next w:val="1"/>
    <w:qFormat/>
    <w:uiPriority w:val="0"/>
    <w:pPr>
      <w:ind w:left="3360" w:leftChars="1600"/>
    </w:pPr>
  </w:style>
  <w:style w:type="paragraph" w:styleId="53">
    <w:name w:val="Body Text 2"/>
    <w:basedOn w:val="1"/>
    <w:qFormat/>
    <w:uiPriority w:val="0"/>
    <w:pPr>
      <w:spacing w:after="120" w:line="480" w:lineRule="auto"/>
    </w:pPr>
  </w:style>
  <w:style w:type="paragraph" w:styleId="54">
    <w:name w:val="HTML Preformatted"/>
    <w:basedOn w:val="1"/>
    <w:link w:val="54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5">
    <w:name w:val="Normal (Web)"/>
    <w:basedOn w:val="1"/>
    <w:qFormat/>
    <w:uiPriority w:val="99"/>
    <w:pPr>
      <w:widowControl/>
      <w:spacing w:before="100" w:beforeAutospacing="1" w:after="100" w:afterAutospacing="1"/>
      <w:jc w:val="left"/>
    </w:pPr>
    <w:rPr>
      <w:rFonts w:ascii="宋体" w:hAnsi="宋体"/>
      <w:kern w:val="0"/>
      <w:sz w:val="24"/>
    </w:rPr>
  </w:style>
  <w:style w:type="paragraph" w:styleId="56">
    <w:name w:val="Title"/>
    <w:basedOn w:val="1"/>
    <w:qFormat/>
    <w:uiPriority w:val="0"/>
    <w:pPr>
      <w:widowControl/>
      <w:overflowPunct w:val="0"/>
      <w:autoSpaceDE w:val="0"/>
      <w:autoSpaceDN w:val="0"/>
      <w:jc w:val="center"/>
      <w:textAlignment w:val="baseline"/>
    </w:pPr>
    <w:rPr>
      <w:b/>
      <w:kern w:val="0"/>
      <w:sz w:val="24"/>
      <w:szCs w:val="20"/>
      <w:lang w:val="en-GB"/>
    </w:rPr>
  </w:style>
  <w:style w:type="paragraph" w:styleId="57">
    <w:name w:val="annotation subject"/>
    <w:basedOn w:val="19"/>
    <w:next w:val="19"/>
    <w:semiHidden/>
    <w:qFormat/>
    <w:uiPriority w:val="0"/>
    <w:rPr>
      <w:b/>
      <w:bCs/>
    </w:rPr>
  </w:style>
  <w:style w:type="paragraph" w:styleId="58">
    <w:name w:val="Body Text First Indent"/>
    <w:basedOn w:val="22"/>
    <w:link w:val="543"/>
    <w:qFormat/>
    <w:uiPriority w:val="0"/>
    <w:pPr>
      <w:ind w:firstLine="420"/>
    </w:pPr>
    <w:rPr>
      <w:szCs w:val="20"/>
    </w:rPr>
  </w:style>
  <w:style w:type="paragraph" w:styleId="59">
    <w:name w:val="Body Text First Indent 2"/>
    <w:basedOn w:val="23"/>
    <w:link w:val="500"/>
    <w:qFormat/>
    <w:uiPriority w:val="0"/>
    <w:pPr>
      <w:adjustRightInd/>
      <w:spacing w:after="120" w:line="240" w:lineRule="auto"/>
      <w:ind w:left="420" w:leftChars="200" w:firstLine="210"/>
    </w:pPr>
    <w:rPr>
      <w:sz w:val="21"/>
    </w:rPr>
  </w:style>
  <w:style w:type="table" w:styleId="61">
    <w:name w:val="Table Grid"/>
    <w:basedOn w:val="60"/>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63">
    <w:name w:val="Strong"/>
    <w:qFormat/>
    <w:uiPriority w:val="22"/>
    <w:rPr>
      <w:b/>
      <w:bCs/>
    </w:rPr>
  </w:style>
  <w:style w:type="character" w:styleId="64">
    <w:name w:val="page number"/>
    <w:basedOn w:val="62"/>
    <w:qFormat/>
    <w:uiPriority w:val="0"/>
  </w:style>
  <w:style w:type="character" w:styleId="65">
    <w:name w:val="FollowedHyperlink"/>
    <w:qFormat/>
    <w:uiPriority w:val="0"/>
    <w:rPr>
      <w:rFonts w:ascii="Arial" w:hAnsi="Arial" w:eastAsia="黑体" w:cs="Arial"/>
      <w:snapToGrid w:val="0"/>
      <w:color w:val="000000"/>
      <w:kern w:val="0"/>
      <w:sz w:val="18"/>
      <w:szCs w:val="18"/>
      <w:u w:val="none"/>
    </w:rPr>
  </w:style>
  <w:style w:type="character" w:styleId="66">
    <w:name w:val="Emphasis"/>
    <w:qFormat/>
    <w:uiPriority w:val="0"/>
    <w:rPr>
      <w:color w:val="CC0033"/>
    </w:rPr>
  </w:style>
  <w:style w:type="character" w:styleId="67">
    <w:name w:val="line number"/>
    <w:basedOn w:val="62"/>
    <w:qFormat/>
    <w:uiPriority w:val="0"/>
  </w:style>
  <w:style w:type="character" w:styleId="68">
    <w:name w:val="Hyperlink"/>
    <w:qFormat/>
    <w:uiPriority w:val="99"/>
    <w:rPr>
      <w:rFonts w:ascii="Arial" w:hAnsi="Arial" w:eastAsia="黑体" w:cs="Arial"/>
      <w:snapToGrid w:val="0"/>
      <w:color w:val="000000"/>
      <w:kern w:val="0"/>
      <w:sz w:val="18"/>
      <w:szCs w:val="18"/>
      <w:u w:val="none"/>
    </w:rPr>
  </w:style>
  <w:style w:type="character" w:styleId="69">
    <w:name w:val="HTML Code"/>
    <w:qFormat/>
    <w:uiPriority w:val="0"/>
    <w:rPr>
      <w:rFonts w:ascii="黑体" w:hAnsi="Courier New" w:eastAsia="黑体" w:cs="楷体_GB2312"/>
      <w:sz w:val="20"/>
      <w:szCs w:val="20"/>
    </w:rPr>
  </w:style>
  <w:style w:type="character" w:styleId="70">
    <w:name w:val="annotation reference"/>
    <w:qFormat/>
    <w:uiPriority w:val="99"/>
    <w:rPr>
      <w:sz w:val="21"/>
      <w:szCs w:val="21"/>
    </w:rPr>
  </w:style>
  <w:style w:type="paragraph" w:customStyle="1" w:styleId="71">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72">
    <w:name w:val="冯"/>
    <w:basedOn w:val="1"/>
    <w:link w:val="514"/>
    <w:qFormat/>
    <w:uiPriority w:val="0"/>
    <w:pPr>
      <w:widowControl/>
      <w:adjustRightInd/>
      <w:spacing w:line="360" w:lineRule="auto"/>
      <w:ind w:firstLine="480" w:firstLineChars="200"/>
    </w:pPr>
    <w:rPr>
      <w:rFonts w:ascii="宋体" w:hAnsi="宋体"/>
      <w:color w:val="000000"/>
      <w:kern w:val="0"/>
      <w:sz w:val="24"/>
    </w:rPr>
  </w:style>
  <w:style w:type="paragraph" w:customStyle="1" w:styleId="73">
    <w:name w:val="样式3"/>
    <w:basedOn w:val="74"/>
    <w:qFormat/>
    <w:uiPriority w:val="0"/>
    <w:pPr>
      <w:tabs>
        <w:tab w:val="left" w:pos="2790"/>
        <w:tab w:val="left" w:pos="4230"/>
      </w:tabs>
      <w:spacing w:before="312" w:beforeLines="100"/>
      <w:jc w:val="left"/>
    </w:pPr>
  </w:style>
  <w:style w:type="paragraph" w:customStyle="1" w:styleId="74">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75">
    <w:name w:val="P1"/>
    <w:basedOn w:val="1"/>
    <w:qFormat/>
    <w:uiPriority w:val="0"/>
    <w:pPr>
      <w:adjustRightInd/>
      <w:spacing w:line="288" w:lineRule="auto"/>
      <w:ind w:firstLine="425" w:firstLineChars="200"/>
    </w:pPr>
  </w:style>
  <w:style w:type="paragraph" w:customStyle="1" w:styleId="76">
    <w:name w:val="Char1 Char Char Char"/>
    <w:basedOn w:val="1"/>
    <w:qFormat/>
    <w:uiPriority w:val="0"/>
    <w:rPr>
      <w:rFonts w:ascii="Tahoma" w:hAnsi="Tahoma"/>
      <w:sz w:val="24"/>
      <w:szCs w:val="20"/>
    </w:rPr>
  </w:style>
  <w:style w:type="paragraph" w:customStyle="1" w:styleId="77">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78">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79">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80">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1">
    <w:name w:val="样式7"/>
    <w:basedOn w:val="82"/>
    <w:next w:val="1"/>
    <w:qFormat/>
    <w:uiPriority w:val="0"/>
    <w:pPr>
      <w:spacing w:after="156" w:afterLines="50"/>
      <w:jc w:val="left"/>
      <w:outlineLvl w:val="3"/>
    </w:pPr>
    <w:rPr>
      <w:sz w:val="24"/>
      <w:szCs w:val="24"/>
    </w:rPr>
  </w:style>
  <w:style w:type="paragraph" w:customStyle="1" w:styleId="82">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83">
    <w:name w:val="Bulleted List"/>
    <w:basedOn w:val="1"/>
    <w:qFormat/>
    <w:uiPriority w:val="0"/>
    <w:pPr>
      <w:numPr>
        <w:ilvl w:val="1"/>
        <w:numId w:val="4"/>
      </w:numPr>
      <w:adjustRightInd/>
    </w:pPr>
  </w:style>
  <w:style w:type="paragraph" w:customStyle="1" w:styleId="84">
    <w:name w:val="Char3"/>
    <w:basedOn w:val="1"/>
    <w:qFormat/>
    <w:uiPriority w:val="0"/>
    <w:pPr>
      <w:adjustRightInd/>
    </w:pPr>
    <w:rPr>
      <w:rFonts w:ascii="仿宋_GB2312" w:eastAsia="仿宋_GB2312"/>
      <w:b/>
      <w:sz w:val="32"/>
      <w:szCs w:val="32"/>
    </w:rPr>
  </w:style>
  <w:style w:type="paragraph" w:customStyle="1" w:styleId="85">
    <w:name w:val="Char Char1 Char Char Char Char Char Char"/>
    <w:basedOn w:val="1"/>
    <w:qFormat/>
    <w:uiPriority w:val="0"/>
    <w:rPr>
      <w:rFonts w:ascii="仿宋_GB2312" w:eastAsia="仿宋_GB2312"/>
      <w:b/>
      <w:sz w:val="32"/>
      <w:szCs w:val="20"/>
    </w:rPr>
  </w:style>
  <w:style w:type="paragraph" w:customStyle="1" w:styleId="86">
    <w:name w:val="文本正文 Char"/>
    <w:basedOn w:val="1"/>
    <w:qFormat/>
    <w:uiPriority w:val="0"/>
    <w:pPr>
      <w:spacing w:line="360" w:lineRule="auto"/>
      <w:ind w:firstLine="200" w:firstLineChars="200"/>
    </w:pPr>
    <w:rPr>
      <w:kern w:val="0"/>
      <w:sz w:val="24"/>
      <w:szCs w:val="20"/>
    </w:rPr>
  </w:style>
  <w:style w:type="paragraph" w:customStyle="1" w:styleId="87">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88">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89">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90">
    <w:name w:val="规划正文"/>
    <w:basedOn w:val="1"/>
    <w:qFormat/>
    <w:uiPriority w:val="0"/>
    <w:pPr>
      <w:adjustRightInd/>
      <w:spacing w:before="312" w:beforeLines="100" w:line="360" w:lineRule="auto"/>
      <w:jc w:val="left"/>
    </w:pPr>
    <w:rPr>
      <w:rFonts w:ascii="Arial" w:hAnsi="Arial" w:eastAsia="仿宋_GB2312"/>
      <w:bCs/>
      <w:sz w:val="28"/>
    </w:rPr>
  </w:style>
  <w:style w:type="paragraph" w:customStyle="1" w:styleId="91">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92">
    <w:name w:val="样式 标题 22h2L1 Heading 2H2sect 1.2H21sect 1.21H22sect 1.2..."/>
    <w:basedOn w:val="3"/>
    <w:next w:val="1"/>
    <w:qFormat/>
    <w:uiPriority w:val="0"/>
    <w:pPr>
      <w:numPr>
        <w:numId w:val="0"/>
      </w:numPr>
      <w:tabs>
        <w:tab w:val="left" w:pos="425"/>
        <w:tab w:val="clear" w:pos="432"/>
      </w:tabs>
      <w:spacing w:before="260" w:after="260" w:line="415" w:lineRule="auto"/>
      <w:ind w:left="425" w:hanging="425"/>
    </w:pPr>
    <w:rPr>
      <w:rFonts w:ascii="微软雅黑" w:hAnsi="微软雅黑" w:eastAsia="微软雅黑"/>
      <w:lang w:val="en-US"/>
    </w:rPr>
  </w:style>
  <w:style w:type="paragraph" w:customStyle="1" w:styleId="93">
    <w:name w:val="正文首行缩进1"/>
    <w:basedOn w:val="22"/>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94">
    <w:name w:val="Char Char Char Char Char Char"/>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95">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96">
    <w:name w:val="Char1"/>
    <w:basedOn w:val="1"/>
    <w:qFormat/>
    <w:uiPriority w:val="0"/>
    <w:rPr>
      <w:rFonts w:ascii="仿宋_GB2312" w:eastAsia="仿宋_GB2312"/>
      <w:b/>
      <w:sz w:val="32"/>
      <w:szCs w:val="32"/>
    </w:rPr>
  </w:style>
  <w:style w:type="paragraph" w:customStyle="1" w:styleId="97">
    <w:name w:val="CM14"/>
    <w:basedOn w:val="98"/>
    <w:next w:val="98"/>
    <w:qFormat/>
    <w:uiPriority w:val="0"/>
    <w:pPr>
      <w:spacing w:after="68"/>
    </w:pPr>
    <w:rPr>
      <w:rFonts w:ascii="FHLHE E+ Futura Bk" w:eastAsia="FHLHE E+ Futura Bk" w:cs="Times New Roman"/>
      <w:color w:val="auto"/>
    </w:rPr>
  </w:style>
  <w:style w:type="paragraph" w:customStyle="1" w:styleId="98">
    <w:name w:val="Default"/>
    <w:link w:val="625"/>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99">
    <w:name w:val="正文文字缩进2字"/>
    <w:basedOn w:val="22"/>
    <w:qFormat/>
    <w:uiPriority w:val="0"/>
    <w:pPr>
      <w:autoSpaceDE/>
      <w:autoSpaceDN/>
      <w:adjustRightInd/>
      <w:spacing w:before="60" w:after="60"/>
      <w:ind w:firstLine="200" w:firstLineChars="200"/>
    </w:pPr>
    <w:rPr>
      <w:rFonts w:ascii="Times New Roman"/>
      <w:szCs w:val="20"/>
      <w:lang w:val="en-US"/>
    </w:rPr>
  </w:style>
  <w:style w:type="paragraph" w:customStyle="1" w:styleId="100">
    <w:name w:val="正文 编号"/>
    <w:basedOn w:val="1"/>
    <w:qFormat/>
    <w:uiPriority w:val="0"/>
    <w:pPr>
      <w:widowControl/>
      <w:numPr>
        <w:ilvl w:val="0"/>
        <w:numId w:val="4"/>
      </w:numPr>
      <w:spacing w:after="120" w:line="440" w:lineRule="exact"/>
      <w:jc w:val="left"/>
    </w:pPr>
    <w:rPr>
      <w:rFonts w:ascii="仿宋_GB2312" w:hAnsi="仿宋_GB2312" w:eastAsia="仿宋_GB2312"/>
      <w:sz w:val="24"/>
      <w:szCs w:val="20"/>
    </w:rPr>
  </w:style>
  <w:style w:type="paragraph" w:customStyle="1" w:styleId="101">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102">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103">
    <w:name w:val="标书标题4"/>
    <w:basedOn w:val="5"/>
    <w:qFormat/>
    <w:uiPriority w:val="0"/>
    <w:pPr>
      <w:keepLines w:val="0"/>
      <w:numPr>
        <w:numId w:val="0"/>
      </w:numPr>
      <w:snapToGrid w:val="0"/>
      <w:spacing w:before="0" w:after="0" w:line="300" w:lineRule="auto"/>
    </w:pPr>
    <w:rPr>
      <w:rFonts w:ascii="Arial Narrow" w:hAnsi="Arial Narrow" w:eastAsia="仿宋_GB2312"/>
      <w:bCs w:val="0"/>
      <w:color w:val="000000"/>
      <w:kern w:val="0"/>
      <w:szCs w:val="32"/>
      <w:lang w:val="en-US"/>
    </w:rPr>
  </w:style>
  <w:style w:type="paragraph" w:styleId="104">
    <w:name w:val="List Paragraph"/>
    <w:basedOn w:val="1"/>
    <w:qFormat/>
    <w:uiPriority w:val="0"/>
    <w:pPr>
      <w:spacing w:line="360" w:lineRule="auto"/>
      <w:ind w:firstLine="200" w:firstLineChars="200"/>
    </w:pPr>
    <w:rPr>
      <w:rFonts w:eastAsia="楷体_GB2312" w:cs="Lucida Sans"/>
      <w:sz w:val="24"/>
    </w:rPr>
  </w:style>
  <w:style w:type="paragraph" w:customStyle="1" w:styleId="105">
    <w:name w:val="章正文"/>
    <w:basedOn w:val="1"/>
    <w:qFormat/>
    <w:uiPriority w:val="0"/>
    <w:pPr>
      <w:adjustRightInd/>
      <w:spacing w:before="156" w:beforeLines="50" w:after="120" w:line="300" w:lineRule="auto"/>
      <w:ind w:firstLine="480" w:firstLineChars="200"/>
    </w:pPr>
    <w:rPr>
      <w:rFonts w:ascii="Helvetica" w:hAnsi="Helvetica"/>
      <w:kern w:val="0"/>
      <w:sz w:val="24"/>
    </w:rPr>
  </w:style>
  <w:style w:type="paragraph" w:customStyle="1" w:styleId="106">
    <w:name w:val="Char2 Char Char Char"/>
    <w:basedOn w:val="1"/>
    <w:qFormat/>
    <w:uiPriority w:val="0"/>
    <w:rPr>
      <w:rFonts w:ascii="仿宋_GB2312" w:eastAsia="仿宋_GB2312"/>
      <w:b/>
      <w:sz w:val="32"/>
      <w:szCs w:val="32"/>
    </w:rPr>
  </w:style>
  <w:style w:type="paragraph" w:customStyle="1" w:styleId="107">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108">
    <w:name w:val="样式 正文文本缩进 + 左侧:  2 字符 首行缩进:  2 字符"/>
    <w:basedOn w:val="23"/>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109">
    <w:name w:val="Char Char Char"/>
    <w:basedOn w:val="1"/>
    <w:qFormat/>
    <w:uiPriority w:val="0"/>
    <w:rPr>
      <w:rFonts w:ascii="Tahoma" w:hAnsi="Tahoma"/>
      <w:sz w:val="24"/>
      <w:szCs w:val="20"/>
    </w:rPr>
  </w:style>
  <w:style w:type="paragraph" w:customStyle="1" w:styleId="110">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111">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112">
    <w:name w:val="样式 正文缩进 + 首行缩进:  2 字符"/>
    <w:basedOn w:val="15"/>
    <w:qFormat/>
    <w:uiPriority w:val="0"/>
    <w:pPr>
      <w:widowControl w:val="0"/>
      <w:adjustRightInd/>
      <w:snapToGrid/>
      <w:spacing w:line="360" w:lineRule="auto"/>
      <w:ind w:firstLine="200" w:firstLineChars="200"/>
    </w:pPr>
    <w:rPr>
      <w:rFonts w:ascii="Times New Roman" w:cs="宋体"/>
      <w:snapToGrid/>
      <w:color w:val="auto"/>
      <w:kern w:val="2"/>
      <w:sz w:val="24"/>
    </w:rPr>
  </w:style>
  <w:style w:type="paragraph" w:customStyle="1" w:styleId="113">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114">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115">
    <w:name w:val="浅色底纹 - 强调文字颜色 51"/>
    <w:semiHidden/>
    <w:qFormat/>
    <w:uiPriority w:val="0"/>
    <w:rPr>
      <w:rFonts w:ascii="Times New Roman" w:hAnsi="Times New Roman" w:eastAsia="宋体" w:cs="Times New Roman"/>
      <w:kern w:val="2"/>
      <w:sz w:val="21"/>
      <w:szCs w:val="24"/>
      <w:lang w:val="en-US" w:eastAsia="zh-CN" w:bidi="ar-SA"/>
    </w:rPr>
  </w:style>
  <w:style w:type="paragraph" w:customStyle="1" w:styleId="116">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117">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118">
    <w:name w:val="FA正文"/>
    <w:basedOn w:val="1"/>
    <w:qFormat/>
    <w:uiPriority w:val="0"/>
    <w:pPr>
      <w:spacing w:line="360" w:lineRule="auto"/>
      <w:ind w:firstLine="480" w:firstLineChars="200"/>
    </w:pPr>
    <w:rPr>
      <w:rFonts w:hAnsi="宋体"/>
      <w:sz w:val="24"/>
      <w:szCs w:val="20"/>
    </w:rPr>
  </w:style>
  <w:style w:type="paragraph" w:customStyle="1" w:styleId="119">
    <w:name w:val="MM Topic 4"/>
    <w:basedOn w:val="5"/>
    <w:qFormat/>
    <w:uiPriority w:val="0"/>
    <w:pPr>
      <w:numPr>
        <w:ilvl w:val="0"/>
        <w:numId w:val="0"/>
      </w:numPr>
      <w:tabs>
        <w:tab w:val="left" w:pos="2100"/>
        <w:tab w:val="clear" w:pos="864"/>
      </w:tabs>
      <w:adjustRightInd/>
      <w:ind w:left="2100" w:hanging="420"/>
    </w:pPr>
    <w:rPr>
      <w:lang w:val="en-US"/>
    </w:rPr>
  </w:style>
  <w:style w:type="paragraph" w:customStyle="1" w:styleId="120">
    <w:name w:val="Char Char1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121">
    <w:name w:val="有符号正文"/>
    <w:basedOn w:val="1"/>
    <w:qFormat/>
    <w:uiPriority w:val="0"/>
    <w:pPr>
      <w:adjustRightInd/>
      <w:spacing w:line="400" w:lineRule="exact"/>
      <w:ind w:firstLine="200" w:firstLineChars="200"/>
    </w:pPr>
    <w:rPr>
      <w:rFonts w:ascii="Arial" w:hAnsi="Arial"/>
    </w:rPr>
  </w:style>
  <w:style w:type="paragraph" w:customStyle="1" w:styleId="122">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123">
    <w:name w:val="默认段落字体 Para Char"/>
    <w:basedOn w:val="1"/>
    <w:qFormat/>
    <w:uiPriority w:val="0"/>
    <w:rPr>
      <w:rFonts w:ascii="Tahoma" w:hAnsi="Tahoma"/>
      <w:sz w:val="24"/>
      <w:szCs w:val="20"/>
    </w:rPr>
  </w:style>
  <w:style w:type="paragraph" w:customStyle="1" w:styleId="124">
    <w:name w:val="Char1 Char Char Char2"/>
    <w:basedOn w:val="1"/>
    <w:qFormat/>
    <w:uiPriority w:val="0"/>
    <w:pPr>
      <w:adjustRightInd/>
      <w:ind w:firstLine="200" w:firstLineChars="200"/>
    </w:pPr>
    <w:rPr>
      <w:rFonts w:ascii="Tahoma" w:hAnsi="Tahoma"/>
      <w:sz w:val="24"/>
      <w:szCs w:val="20"/>
    </w:rPr>
  </w:style>
  <w:style w:type="paragraph" w:customStyle="1" w:styleId="125">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126">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127">
    <w:name w:val="注释"/>
    <w:basedOn w:val="1"/>
    <w:qFormat/>
    <w:uiPriority w:val="0"/>
    <w:pPr>
      <w:adjustRightInd/>
      <w:spacing w:line="360" w:lineRule="auto"/>
      <w:ind w:firstLine="480"/>
    </w:pPr>
    <w:rPr>
      <w:sz w:val="24"/>
    </w:rPr>
  </w:style>
  <w:style w:type="paragraph" w:customStyle="1" w:styleId="128">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129">
    <w:name w:val="Char1 Char Char Char Char Char Char Char Char Char"/>
    <w:basedOn w:val="1"/>
    <w:semiHidden/>
    <w:qFormat/>
    <w:uiPriority w:val="0"/>
    <w:pPr>
      <w:adjustRightInd/>
      <w:spacing w:before="240" w:after="120" w:line="288" w:lineRule="auto"/>
      <w:ind w:firstLine="200" w:firstLineChars="200"/>
      <w:jc w:val="left"/>
    </w:pPr>
    <w:rPr>
      <w:rFonts w:ascii="Tahoma" w:hAnsi="Tahoma"/>
      <w:sz w:val="24"/>
    </w:rPr>
  </w:style>
  <w:style w:type="paragraph" w:customStyle="1" w:styleId="130">
    <w:name w:val="trademark"/>
    <w:qFormat/>
    <w:uiPriority w:val="0"/>
    <w:pPr>
      <w:spacing w:after="60"/>
    </w:pPr>
    <w:rPr>
      <w:rFonts w:ascii="Futura Bk" w:hAnsi="Futura Bk" w:eastAsia="宋体" w:cs="Times New Roman"/>
      <w:sz w:val="15"/>
      <w:lang w:val="en-US" w:eastAsia="en-US" w:bidi="ar-SA"/>
    </w:rPr>
  </w:style>
  <w:style w:type="paragraph" w:customStyle="1" w:styleId="131">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132">
    <w:name w:val="EB_表格"/>
    <w:basedOn w:val="1"/>
    <w:qFormat/>
    <w:uiPriority w:val="0"/>
    <w:pPr>
      <w:adjustRightInd/>
      <w:spacing w:line="300" w:lineRule="auto"/>
      <w:jc w:val="center"/>
    </w:pPr>
  </w:style>
  <w:style w:type="paragraph" w:customStyle="1" w:styleId="133">
    <w:name w:val="Char Char Char1 Char"/>
    <w:basedOn w:val="1"/>
    <w:qFormat/>
    <w:uiPriority w:val="0"/>
    <w:rPr>
      <w:szCs w:val="20"/>
    </w:rPr>
  </w:style>
  <w:style w:type="paragraph" w:customStyle="1" w:styleId="134">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135">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136">
    <w:name w:val="章标题"/>
    <w:next w:val="137"/>
    <w:qFormat/>
    <w:uiPriority w:val="0"/>
    <w:pPr>
      <w:tabs>
        <w:tab w:val="left" w:pos="1260"/>
      </w:tabs>
      <w:spacing w:before="156" w:beforeLines="50" w:after="156" w:afterLines="50"/>
      <w:ind w:left="1260" w:hanging="420"/>
      <w:jc w:val="both"/>
      <w:outlineLvl w:val="1"/>
    </w:pPr>
    <w:rPr>
      <w:rFonts w:ascii="黑体" w:hAnsi="Times New Roman" w:eastAsia="黑体" w:cs="Times New Roman"/>
      <w:sz w:val="21"/>
      <w:lang w:val="en-US" w:eastAsia="zh-CN" w:bidi="ar-SA"/>
    </w:rPr>
  </w:style>
  <w:style w:type="paragraph" w:customStyle="1" w:styleId="137">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38">
    <w:name w:val="正文样式 首行缩进:  0.74 厘米"/>
    <w:basedOn w:val="1"/>
    <w:qFormat/>
    <w:uiPriority w:val="0"/>
    <w:pPr>
      <w:adjustRightInd/>
      <w:spacing w:before="156" w:beforeLines="50" w:line="360" w:lineRule="auto"/>
      <w:ind w:firstLine="420"/>
    </w:pPr>
    <w:rPr>
      <w:rFonts w:cs="宋体"/>
      <w:sz w:val="24"/>
      <w:szCs w:val="20"/>
    </w:rPr>
  </w:style>
  <w:style w:type="paragraph" w:customStyle="1" w:styleId="139">
    <w:name w:val="标准有序列表（L1）"/>
    <w:basedOn w:val="15"/>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140">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141">
    <w:name w:val="表文字"/>
    <w:qFormat/>
    <w:uiPriority w:val="0"/>
    <w:rPr>
      <w:rFonts w:ascii="宋体" w:hAnsi="Times New Roman" w:eastAsia="宋体" w:cs="Times New Roman"/>
      <w:kern w:val="2"/>
      <w:lang w:val="en-US" w:eastAsia="zh-CN" w:bidi="ar-SA"/>
    </w:rPr>
  </w:style>
  <w:style w:type="paragraph" w:customStyle="1" w:styleId="142">
    <w:name w:val="正文3"/>
    <w:basedOn w:val="1"/>
    <w:qFormat/>
    <w:uiPriority w:val="0"/>
    <w:pPr>
      <w:adjustRightInd/>
      <w:spacing w:before="156" w:beforeLines="50" w:after="156" w:afterLines="50" w:line="360" w:lineRule="auto"/>
      <w:outlineLvl w:val="8"/>
    </w:pPr>
    <w:rPr>
      <w:rFonts w:ascii="Segoe UI" w:hAnsi="宋体" w:eastAsia="楷体_GB2312" w:cs="Latha"/>
      <w:sz w:val="24"/>
      <w:szCs w:val="21"/>
    </w:rPr>
  </w:style>
  <w:style w:type="paragraph" w:customStyle="1" w:styleId="143">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144">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145">
    <w:name w:val="列表内容"/>
    <w:basedOn w:val="1"/>
    <w:next w:val="1"/>
    <w:qFormat/>
    <w:uiPriority w:val="0"/>
    <w:pPr>
      <w:widowControl/>
      <w:tabs>
        <w:tab w:val="left" w:pos="840"/>
      </w:tabs>
      <w:ind w:left="840" w:hanging="420"/>
      <w:jc w:val="left"/>
    </w:pPr>
    <w:rPr>
      <w:kern w:val="0"/>
      <w:sz w:val="18"/>
    </w:rPr>
  </w:style>
  <w:style w:type="paragraph" w:customStyle="1" w:styleId="146">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147">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148">
    <w:name w:val="body text bold"/>
    <w:basedOn w:val="22"/>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149">
    <w:name w:val="Char2 Char Char"/>
    <w:basedOn w:val="1"/>
    <w:qFormat/>
    <w:uiPriority w:val="0"/>
    <w:pPr>
      <w:adjustRightInd/>
    </w:pPr>
    <w:rPr>
      <w:rFonts w:ascii="Tahoma" w:hAnsi="Tahoma"/>
      <w:sz w:val="24"/>
      <w:szCs w:val="20"/>
    </w:rPr>
  </w:style>
  <w:style w:type="paragraph" w:customStyle="1" w:styleId="150">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151">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152">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153">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154">
    <w:name w:val="Char Char1 Char Char Char"/>
    <w:basedOn w:val="1"/>
    <w:qFormat/>
    <w:uiPriority w:val="0"/>
    <w:rPr>
      <w:rFonts w:ascii="仿宋_GB2312" w:eastAsia="仿宋_GB2312"/>
      <w:b/>
      <w:sz w:val="32"/>
      <w:szCs w:val="20"/>
    </w:rPr>
  </w:style>
  <w:style w:type="paragraph" w:customStyle="1" w:styleId="155">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156">
    <w:name w:val="WW-正文文字缩进 2"/>
    <w:basedOn w:val="1"/>
    <w:qFormat/>
    <w:uiPriority w:val="0"/>
    <w:pPr>
      <w:suppressAutoHyphens/>
      <w:adjustRightInd/>
      <w:ind w:firstLine="420"/>
    </w:pPr>
    <w:rPr>
      <w:kern w:val="1"/>
      <w:szCs w:val="20"/>
    </w:rPr>
  </w:style>
  <w:style w:type="paragraph" w:customStyle="1" w:styleId="157">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158">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159">
    <w:name w:val="默认段落字体 Para Char Char Char Char"/>
    <w:basedOn w:val="1"/>
    <w:qFormat/>
    <w:uiPriority w:val="0"/>
    <w:pPr>
      <w:spacing w:line="360" w:lineRule="auto"/>
    </w:pPr>
    <w:rPr>
      <w:szCs w:val="20"/>
    </w:rPr>
  </w:style>
  <w:style w:type="paragraph" w:customStyle="1" w:styleId="160">
    <w:name w:val="Char Char11 Char Char Char"/>
    <w:basedOn w:val="1"/>
    <w:qFormat/>
    <w:uiPriority w:val="0"/>
    <w:pPr>
      <w:spacing w:line="360" w:lineRule="auto"/>
    </w:pPr>
    <w:rPr>
      <w:szCs w:val="20"/>
    </w:rPr>
  </w:style>
  <w:style w:type="paragraph" w:customStyle="1" w:styleId="161">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162">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163">
    <w:name w:val="左对齐表格文字"/>
    <w:basedOn w:val="1"/>
    <w:qFormat/>
    <w:uiPriority w:val="0"/>
    <w:pPr>
      <w:adjustRightInd/>
      <w:ind w:firstLine="200" w:firstLineChars="200"/>
      <w:jc w:val="right"/>
    </w:pPr>
  </w:style>
  <w:style w:type="paragraph" w:customStyle="1" w:styleId="164">
    <w:name w:val="Picture"/>
    <w:basedOn w:val="1"/>
    <w:next w:val="16"/>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165">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166">
    <w:name w:val="规范正文"/>
    <w:basedOn w:val="1"/>
    <w:qFormat/>
    <w:uiPriority w:val="0"/>
    <w:pPr>
      <w:tabs>
        <w:tab w:val="left" w:pos="840"/>
      </w:tabs>
      <w:spacing w:before="156" w:beforeLines="50" w:line="360" w:lineRule="auto"/>
      <w:ind w:left="840" w:hanging="420"/>
      <w:textAlignment w:val="baseline"/>
    </w:pPr>
    <w:rPr>
      <w:szCs w:val="20"/>
    </w:rPr>
  </w:style>
  <w:style w:type="paragraph" w:customStyle="1" w:styleId="167">
    <w:name w:val="无间隔1"/>
    <w:link w:val="529"/>
    <w:qFormat/>
    <w:uiPriority w:val="1"/>
    <w:rPr>
      <w:rFonts w:ascii="Calibri" w:hAnsi="Calibri" w:eastAsia="宋体" w:cs="Times New Roman"/>
      <w:sz w:val="22"/>
      <w:szCs w:val="22"/>
      <w:lang w:val="en-US" w:eastAsia="zh-CN" w:bidi="ar-SA"/>
    </w:rPr>
  </w:style>
  <w:style w:type="paragraph" w:customStyle="1" w:styleId="168">
    <w:name w:val="样式 样式 标题 4h4H4Fab-4T5Ref Heading 1rh1Heading sqlsect 1.2.3.... +..."/>
    <w:basedOn w:val="169"/>
    <w:link w:val="607"/>
    <w:qFormat/>
    <w:uiPriority w:val="0"/>
    <w:pPr>
      <w:tabs>
        <w:tab w:val="left" w:pos="2356"/>
      </w:tabs>
    </w:pPr>
  </w:style>
  <w:style w:type="paragraph" w:customStyle="1" w:styleId="169">
    <w:name w:val="样式 标题 4h4H4Fab-4T5Ref Heading 1rh1Heading sqlsect 1.2.3...."/>
    <w:basedOn w:val="5"/>
    <w:link w:val="557"/>
    <w:qFormat/>
    <w:uiPriority w:val="0"/>
    <w:pPr>
      <w:numPr>
        <w:numId w:val="0"/>
      </w:numPr>
      <w:tabs>
        <w:tab w:val="left" w:pos="2356"/>
        <w:tab w:val="clear" w:pos="864"/>
      </w:tabs>
      <w:adjustRightInd/>
      <w:spacing w:line="360" w:lineRule="auto"/>
      <w:ind w:left="1984" w:leftChars="75" w:hanging="708" w:firstLineChars="200"/>
    </w:pPr>
    <w:rPr>
      <w:rFonts w:ascii="微软雅黑" w:hAnsi="微软雅黑" w:eastAsia="微软雅黑"/>
      <w:sz w:val="24"/>
    </w:rPr>
  </w:style>
  <w:style w:type="paragraph" w:customStyle="1" w:styleId="170">
    <w:name w:val="四级条标题"/>
    <w:basedOn w:val="171"/>
    <w:next w:val="137"/>
    <w:qFormat/>
    <w:uiPriority w:val="0"/>
    <w:pPr>
      <w:numPr>
        <w:ilvl w:val="5"/>
        <w:numId w:val="4"/>
      </w:numPr>
      <w:tabs>
        <w:tab w:val="left" w:pos="1680"/>
        <w:tab w:val="left" w:pos="2100"/>
        <w:tab w:val="left" w:pos="2520"/>
      </w:tabs>
      <w:outlineLvl w:val="5"/>
    </w:pPr>
  </w:style>
  <w:style w:type="paragraph" w:customStyle="1" w:styleId="171">
    <w:name w:val="三级条标题"/>
    <w:basedOn w:val="172"/>
    <w:next w:val="137"/>
    <w:qFormat/>
    <w:uiPriority w:val="0"/>
    <w:pPr>
      <w:numPr>
        <w:ilvl w:val="0"/>
        <w:numId w:val="0"/>
      </w:numPr>
      <w:tabs>
        <w:tab w:val="left" w:pos="1680"/>
        <w:tab w:val="left" w:pos="2100"/>
        <w:tab w:val="left" w:pos="2520"/>
      </w:tabs>
      <w:ind w:left="2520" w:hanging="420"/>
      <w:outlineLvl w:val="4"/>
    </w:pPr>
  </w:style>
  <w:style w:type="paragraph" w:customStyle="1" w:styleId="172">
    <w:name w:val="二级条标题"/>
    <w:basedOn w:val="173"/>
    <w:next w:val="137"/>
    <w:qFormat/>
    <w:uiPriority w:val="0"/>
    <w:pPr>
      <w:numPr>
        <w:ilvl w:val="3"/>
        <w:numId w:val="4"/>
      </w:numPr>
      <w:tabs>
        <w:tab w:val="left" w:pos="1680"/>
      </w:tabs>
      <w:ind w:left="0"/>
      <w:outlineLvl w:val="3"/>
    </w:pPr>
  </w:style>
  <w:style w:type="paragraph" w:customStyle="1" w:styleId="173">
    <w:name w:val="一级条标题"/>
    <w:basedOn w:val="136"/>
    <w:next w:val="137"/>
    <w:qFormat/>
    <w:uiPriority w:val="0"/>
    <w:pPr>
      <w:tabs>
        <w:tab w:val="left" w:pos="1680"/>
        <w:tab w:val="clear" w:pos="1260"/>
      </w:tabs>
      <w:spacing w:before="0" w:beforeLines="0" w:after="0" w:afterLines="0"/>
      <w:ind w:left="1680"/>
      <w:outlineLvl w:val="2"/>
    </w:pPr>
  </w:style>
  <w:style w:type="paragraph" w:customStyle="1" w:styleId="174">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175">
    <w:name w:val="标准小四"/>
    <w:basedOn w:val="1"/>
    <w:qFormat/>
    <w:uiPriority w:val="0"/>
    <w:pPr>
      <w:spacing w:line="360" w:lineRule="auto"/>
      <w:ind w:firstLine="480" w:firstLineChars="200"/>
    </w:pPr>
    <w:rPr>
      <w:rFonts w:ascii="Arial" w:hAnsi="Arial"/>
      <w:sz w:val="24"/>
      <w:szCs w:val="21"/>
    </w:rPr>
  </w:style>
  <w:style w:type="paragraph" w:customStyle="1" w:styleId="176">
    <w:name w:val="表格"/>
    <w:basedOn w:val="1"/>
    <w:qFormat/>
    <w:uiPriority w:val="0"/>
    <w:pPr>
      <w:snapToGrid w:val="0"/>
      <w:ind w:firstLine="42" w:firstLineChars="21"/>
    </w:pPr>
    <w:rPr>
      <w:rFonts w:ascii="宋体" w:hAnsi="宋体"/>
      <w:kern w:val="0"/>
      <w:sz w:val="20"/>
      <w:szCs w:val="20"/>
    </w:rPr>
  </w:style>
  <w:style w:type="paragraph" w:customStyle="1" w:styleId="177">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178">
    <w:name w:val="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79">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180">
    <w:name w:val="封面公司名"/>
    <w:qFormat/>
    <w:uiPriority w:val="0"/>
    <w:pPr>
      <w:jc w:val="center"/>
    </w:pPr>
    <w:rPr>
      <w:rFonts w:ascii="Arial" w:hAnsi="Arial" w:eastAsia="楷体_GB2312" w:cs="宋体"/>
      <w:bCs/>
      <w:kern w:val="2"/>
      <w:sz w:val="28"/>
      <w:lang w:val="en-US" w:eastAsia="zh-CN" w:bidi="ar-SA"/>
    </w:rPr>
  </w:style>
  <w:style w:type="paragraph" w:customStyle="1" w:styleId="181">
    <w:name w:val="Char2 Char Char Char1"/>
    <w:basedOn w:val="1"/>
    <w:qFormat/>
    <w:uiPriority w:val="0"/>
    <w:rPr>
      <w:rFonts w:ascii="仿宋_GB2312" w:eastAsia="仿宋_GB2312"/>
      <w:b/>
      <w:sz w:val="32"/>
      <w:szCs w:val="32"/>
    </w:rPr>
  </w:style>
  <w:style w:type="paragraph" w:customStyle="1" w:styleId="182">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183">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184">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185">
    <w:name w:val="Char2"/>
    <w:basedOn w:val="1"/>
    <w:qFormat/>
    <w:uiPriority w:val="0"/>
    <w:rPr>
      <w:rFonts w:ascii="仿宋_GB2312" w:eastAsia="仿宋_GB2312"/>
      <w:b/>
      <w:sz w:val="32"/>
      <w:szCs w:val="32"/>
    </w:rPr>
  </w:style>
  <w:style w:type="paragraph" w:customStyle="1" w:styleId="186">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187">
    <w:name w:val="小节"/>
    <w:basedOn w:val="4"/>
    <w:qFormat/>
    <w:uiPriority w:val="0"/>
    <w:pPr>
      <w:numPr>
        <w:numId w:val="0"/>
      </w:numPr>
      <w:adjustRightInd/>
      <w:spacing w:before="200" w:after="200" w:line="560" w:lineRule="exact"/>
      <w:jc w:val="left"/>
    </w:pPr>
    <w:rPr>
      <w:rFonts w:ascii="宋体" w:hAnsi="宋体"/>
      <w:bCs w:val="0"/>
      <w:color w:val="000000"/>
      <w:spacing w:val="10"/>
      <w:kern w:val="24"/>
      <w:sz w:val="28"/>
    </w:rPr>
  </w:style>
  <w:style w:type="paragraph" w:customStyle="1" w:styleId="188">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189">
    <w:name w:val="Char Char Char Char Char Char1"/>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190">
    <w:name w:val="!大节"/>
    <w:basedOn w:val="3"/>
    <w:qFormat/>
    <w:uiPriority w:val="0"/>
    <w:pPr>
      <w:numPr>
        <w:numId w:val="0"/>
      </w:numPr>
      <w:spacing w:before="260" w:after="260" w:line="415" w:lineRule="auto"/>
      <w:ind w:left="420" w:hanging="420"/>
    </w:pPr>
    <w:rPr>
      <w:rFonts w:ascii="Arial" w:hAnsi="Arial" w:eastAsia="微软雅黑"/>
      <w:lang w:val="en-US"/>
    </w:rPr>
  </w:style>
  <w:style w:type="paragraph" w:customStyle="1" w:styleId="191">
    <w:name w:val="Char Char4 Char Char"/>
    <w:basedOn w:val="1"/>
    <w:qFormat/>
    <w:uiPriority w:val="0"/>
    <w:pPr>
      <w:widowControl/>
      <w:adjustRightInd/>
      <w:spacing w:after="160" w:line="240" w:lineRule="exact"/>
      <w:jc w:val="left"/>
    </w:pPr>
  </w:style>
  <w:style w:type="paragraph" w:customStyle="1" w:styleId="192">
    <w:name w:val="Char2 Char Char1"/>
    <w:basedOn w:val="1"/>
    <w:qFormat/>
    <w:uiPriority w:val="0"/>
    <w:pPr>
      <w:adjustRightInd/>
    </w:pPr>
    <w:rPr>
      <w:rFonts w:ascii="Tahoma" w:hAnsi="Tahoma"/>
      <w:sz w:val="24"/>
      <w:szCs w:val="20"/>
    </w:rPr>
  </w:style>
  <w:style w:type="paragraph" w:customStyle="1" w:styleId="193">
    <w:name w:val="默认段落字体 Para Char Char Char Char Char Char Char"/>
    <w:basedOn w:val="1"/>
    <w:qFormat/>
    <w:uiPriority w:val="0"/>
    <w:rPr>
      <w:rFonts w:eastAsia="仿宋_GB2312"/>
      <w:sz w:val="28"/>
      <w:szCs w:val="20"/>
    </w:rPr>
  </w:style>
  <w:style w:type="paragraph" w:customStyle="1" w:styleId="194">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195">
    <w:name w:val="正文21"/>
    <w:basedOn w:val="1"/>
    <w:qFormat/>
    <w:uiPriority w:val="0"/>
    <w:pPr>
      <w:adjustRightInd/>
      <w:spacing w:before="156" w:line="360" w:lineRule="auto"/>
      <w:ind w:firstLine="510" w:firstLineChars="200"/>
    </w:pPr>
    <w:rPr>
      <w:sz w:val="24"/>
      <w:szCs w:val="20"/>
    </w:rPr>
  </w:style>
  <w:style w:type="paragraph" w:customStyle="1" w:styleId="196">
    <w:name w:val="标题4_自定义"/>
    <w:basedOn w:val="5"/>
    <w:qFormat/>
    <w:uiPriority w:val="0"/>
    <w:pPr>
      <w:numPr>
        <w:numId w:val="0"/>
      </w:numPr>
      <w:adjustRightInd/>
      <w:spacing w:before="0" w:after="0" w:line="360" w:lineRule="auto"/>
    </w:pPr>
    <w:rPr>
      <w:rFonts w:ascii="Verdana" w:eastAsia="Verdana"/>
      <w:sz w:val="21"/>
      <w:lang w:val="en-US"/>
    </w:rPr>
  </w:style>
  <w:style w:type="paragraph" w:customStyle="1" w:styleId="197">
    <w:name w:val="加粗正文"/>
    <w:basedOn w:val="1"/>
    <w:qFormat/>
    <w:uiPriority w:val="0"/>
    <w:pPr>
      <w:adjustRightInd/>
      <w:spacing w:before="156" w:beforeLines="50" w:after="156" w:afterLines="50" w:line="360" w:lineRule="auto"/>
      <w:ind w:firstLine="422" w:firstLineChars="200"/>
    </w:pPr>
    <w:rPr>
      <w:b/>
      <w:bCs/>
      <w:szCs w:val="21"/>
    </w:rPr>
  </w:style>
  <w:style w:type="paragraph" w:customStyle="1" w:styleId="198">
    <w:name w:val="标题五"/>
    <w:basedOn w:val="1"/>
    <w:qFormat/>
    <w:uiPriority w:val="0"/>
    <w:pPr>
      <w:adjustRightInd/>
      <w:spacing w:before="156" w:beforeLines="50" w:line="360" w:lineRule="auto"/>
    </w:pPr>
    <w:rPr>
      <w:b/>
      <w:sz w:val="24"/>
    </w:rPr>
  </w:style>
  <w:style w:type="paragraph" w:customStyle="1" w:styleId="199">
    <w:name w:val="样式 标题 3H3 + 两端对齐"/>
    <w:basedOn w:val="4"/>
    <w:qFormat/>
    <w:uiPriority w:val="0"/>
    <w:pPr>
      <w:keepLines w:val="0"/>
      <w:numPr>
        <w:numId w:val="0"/>
      </w:numPr>
      <w:spacing w:before="0" w:after="0" w:line="240" w:lineRule="auto"/>
      <w:jc w:val="left"/>
    </w:pPr>
    <w:rPr>
      <w:rFonts w:cs="宋体"/>
      <w:sz w:val="21"/>
      <w:szCs w:val="20"/>
    </w:rPr>
  </w:style>
  <w:style w:type="paragraph" w:customStyle="1" w:styleId="200">
    <w:name w:val="Char Char11"/>
    <w:basedOn w:val="1"/>
    <w:qFormat/>
    <w:uiPriority w:val="0"/>
    <w:pPr>
      <w:spacing w:line="360" w:lineRule="auto"/>
    </w:pPr>
    <w:rPr>
      <w:szCs w:val="20"/>
    </w:rPr>
  </w:style>
  <w:style w:type="paragraph" w:customStyle="1" w:styleId="201">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202">
    <w:name w:val="样式6"/>
    <w:basedOn w:val="31"/>
    <w:qFormat/>
    <w:uiPriority w:val="0"/>
    <w:pPr>
      <w:spacing w:line="460" w:lineRule="exact"/>
      <w:outlineLvl w:val="2"/>
    </w:pPr>
    <w:rPr>
      <w:rFonts w:ascii="仿宋_GB2312" w:hAnsi="宋体" w:eastAsia="仿宋_GB2312"/>
      <w:b/>
      <w:bCs/>
      <w:sz w:val="24"/>
      <w:szCs w:val="24"/>
    </w:rPr>
  </w:style>
  <w:style w:type="paragraph" w:customStyle="1" w:styleId="203">
    <w:name w:val="样式 标题 1章节第一层h1H"/>
    <w:basedOn w:val="2"/>
    <w:qFormat/>
    <w:uiPriority w:val="0"/>
    <w:pPr>
      <w:keepNext w:val="0"/>
      <w:keepLines w:val="0"/>
      <w:numPr>
        <w:numId w:val="0"/>
      </w:numPr>
      <w:autoSpaceDE w:val="0"/>
      <w:autoSpaceDN w:val="0"/>
      <w:spacing w:before="0" w:after="0" w:line="240" w:lineRule="auto"/>
      <w:jc w:val="left"/>
      <w:outlineLvl w:val="9"/>
    </w:pPr>
    <w:rPr>
      <w:kern w:val="0"/>
      <w:sz w:val="52"/>
      <w:szCs w:val="52"/>
      <w:lang w:val="zh-CN"/>
    </w:rPr>
  </w:style>
  <w:style w:type="paragraph" w:customStyle="1" w:styleId="204">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205">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206">
    <w:name w:val="Char Char11 Char Char Char Char Char Char Char Char Char"/>
    <w:basedOn w:val="1"/>
    <w:qFormat/>
    <w:uiPriority w:val="0"/>
    <w:pPr>
      <w:spacing w:line="360" w:lineRule="auto"/>
    </w:pPr>
    <w:rPr>
      <w:szCs w:val="20"/>
    </w:rPr>
  </w:style>
  <w:style w:type="paragraph" w:customStyle="1" w:styleId="207">
    <w:name w:val="Char Char1 Char Char Char1"/>
    <w:basedOn w:val="1"/>
    <w:qFormat/>
    <w:uiPriority w:val="0"/>
    <w:rPr>
      <w:rFonts w:ascii="仿宋_GB2312" w:eastAsia="仿宋_GB2312"/>
      <w:b/>
      <w:sz w:val="32"/>
      <w:szCs w:val="32"/>
    </w:rPr>
  </w:style>
  <w:style w:type="paragraph" w:customStyle="1" w:styleId="208">
    <w:name w:val="样式 标题 4PIM 4H4h4bulletblbbH41H42H43H44H45H46H47H48...1"/>
    <w:basedOn w:val="5"/>
    <w:qFormat/>
    <w:uiPriority w:val="0"/>
    <w:pPr>
      <w:widowControl/>
      <w:jc w:val="left"/>
    </w:pPr>
    <w:rPr>
      <w:rFonts w:cs="宋体"/>
      <w:sz w:val="24"/>
      <w:szCs w:val="20"/>
    </w:rPr>
  </w:style>
  <w:style w:type="paragraph" w:customStyle="1" w:styleId="209">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210">
    <w:name w:val="表格标题2"/>
    <w:basedOn w:val="211"/>
    <w:qFormat/>
    <w:uiPriority w:val="0"/>
    <w:rPr>
      <w:b/>
    </w:rPr>
  </w:style>
  <w:style w:type="paragraph" w:customStyle="1" w:styleId="211">
    <w:name w:val="表格内文"/>
    <w:basedOn w:val="1"/>
    <w:qFormat/>
    <w:uiPriority w:val="0"/>
    <w:pPr>
      <w:adjustRightInd/>
      <w:spacing w:line="360" w:lineRule="auto"/>
    </w:pPr>
    <w:rPr>
      <w:rFonts w:ascii="宋体" w:hAnsi="宋体" w:cs="宋体"/>
      <w:color w:val="000000"/>
      <w:szCs w:val="20"/>
    </w:rPr>
  </w:style>
  <w:style w:type="paragraph" w:customStyle="1" w:styleId="212">
    <w:name w:val="Char Char Char Char Char Char Char"/>
    <w:basedOn w:val="1"/>
    <w:qFormat/>
    <w:uiPriority w:val="0"/>
    <w:rPr>
      <w:rFonts w:ascii="仿宋_GB2312" w:eastAsia="仿宋_GB2312"/>
      <w:b/>
      <w:sz w:val="32"/>
      <w:szCs w:val="32"/>
    </w:rPr>
  </w:style>
  <w:style w:type="paragraph" w:customStyle="1" w:styleId="213">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214">
    <w:name w:val="数字标题6"/>
    <w:basedOn w:val="7"/>
    <w:next w:val="1"/>
    <w:qFormat/>
    <w:uiPriority w:val="0"/>
    <w:pPr>
      <w:numPr>
        <w:numId w:val="5"/>
      </w:numPr>
      <w:tabs>
        <w:tab w:val="left" w:pos="480"/>
        <w:tab w:val="left" w:pos="1080"/>
        <w:tab w:val="clear" w:pos="1152"/>
      </w:tabs>
    </w:pPr>
    <w:rPr>
      <w:rFonts w:ascii="Times New Roman" w:hAnsi="Times New Roman" w:eastAsia="宋体"/>
      <w:i/>
    </w:rPr>
  </w:style>
  <w:style w:type="paragraph" w:customStyle="1" w:styleId="215">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216">
    <w:name w:val="列出段落2"/>
    <w:basedOn w:val="1"/>
    <w:qFormat/>
    <w:uiPriority w:val="0"/>
    <w:pPr>
      <w:adjustRightInd/>
      <w:ind w:firstLine="420" w:firstLineChars="200"/>
    </w:pPr>
    <w:rPr>
      <w:rFonts w:ascii="宋体" w:hAnsi="宋体"/>
      <w:sz w:val="24"/>
    </w:rPr>
  </w:style>
  <w:style w:type="paragraph" w:customStyle="1" w:styleId="217">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218">
    <w:name w:val="TOC 标题1"/>
    <w:basedOn w:val="2"/>
    <w:next w:val="1"/>
    <w:unhideWhenUsed/>
    <w:qFormat/>
    <w:uiPriority w:val="39"/>
    <w:pPr>
      <w:widowControl/>
      <w:numPr>
        <w:numId w:val="0"/>
      </w:numPr>
      <w:adjustRightInd/>
      <w:spacing w:before="480" w:after="0" w:line="276" w:lineRule="auto"/>
      <w:jc w:val="left"/>
      <w:outlineLvl w:val="9"/>
    </w:pPr>
    <w:rPr>
      <w:rFonts w:ascii="Cambria" w:hAnsi="Cambria"/>
      <w:color w:val="365F91"/>
      <w:kern w:val="0"/>
      <w:sz w:val="28"/>
      <w:szCs w:val="28"/>
    </w:rPr>
  </w:style>
  <w:style w:type="paragraph" w:customStyle="1" w:styleId="219">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220">
    <w:name w:val="正文 首行缩进:  2 字符 Char"/>
    <w:basedOn w:val="1"/>
    <w:qFormat/>
    <w:uiPriority w:val="0"/>
    <w:pPr>
      <w:adjustRightInd/>
      <w:spacing w:line="360" w:lineRule="auto"/>
      <w:ind w:firstLine="480"/>
    </w:pPr>
    <w:rPr>
      <w:rFonts w:cs="宋体"/>
      <w:sz w:val="24"/>
      <w:szCs w:val="20"/>
    </w:rPr>
  </w:style>
  <w:style w:type="paragraph" w:customStyle="1" w:styleId="221">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222">
    <w:name w:val="Table Text"/>
    <w:basedOn w:val="1"/>
    <w:qFormat/>
    <w:uiPriority w:val="0"/>
    <w:pPr>
      <w:widowControl/>
      <w:spacing w:before="60" w:after="60"/>
      <w:jc w:val="left"/>
    </w:pPr>
    <w:rPr>
      <w:kern w:val="0"/>
      <w:sz w:val="24"/>
    </w:rPr>
  </w:style>
  <w:style w:type="paragraph" w:customStyle="1" w:styleId="223">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224">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225">
    <w:name w:val="Char Char Char Char Char Char Char Char Char Char"/>
    <w:basedOn w:val="1"/>
    <w:qFormat/>
    <w:uiPriority w:val="0"/>
    <w:rPr>
      <w:rFonts w:ascii="仿宋_GB2312" w:eastAsia="仿宋_GB2312"/>
      <w:b/>
      <w:sz w:val="32"/>
      <w:szCs w:val="32"/>
    </w:rPr>
  </w:style>
  <w:style w:type="paragraph" w:customStyle="1" w:styleId="226">
    <w:name w:val="MM Title"/>
    <w:basedOn w:val="56"/>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227">
    <w:name w:val="正文文字表格居中"/>
    <w:basedOn w:val="1"/>
    <w:next w:val="53"/>
    <w:qFormat/>
    <w:uiPriority w:val="0"/>
    <w:pPr>
      <w:snapToGrid w:val="0"/>
      <w:spacing w:line="360" w:lineRule="auto"/>
    </w:pPr>
    <w:rPr>
      <w:rFonts w:ascii="宋体"/>
      <w:b/>
      <w:sz w:val="24"/>
      <w:szCs w:val="20"/>
    </w:rPr>
  </w:style>
  <w:style w:type="paragraph" w:customStyle="1" w:styleId="228">
    <w:name w:val="模板普通正文"/>
    <w:basedOn w:val="23"/>
    <w:qFormat/>
    <w:uiPriority w:val="0"/>
    <w:pPr>
      <w:adjustRightInd/>
      <w:spacing w:before="156" w:beforeLines="50" w:after="10" w:line="360" w:lineRule="auto"/>
      <w:ind w:firstLine="175" w:firstLineChars="175"/>
      <w:jc w:val="left"/>
    </w:pPr>
    <w:rPr>
      <w:rFonts w:ascii="Times New Roman" w:hAnsi="Times New Roman"/>
    </w:rPr>
  </w:style>
  <w:style w:type="paragraph" w:customStyle="1" w:styleId="229">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230">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231">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232">
    <w:name w:val="Char"/>
    <w:basedOn w:val="1"/>
    <w:qFormat/>
    <w:uiPriority w:val="0"/>
    <w:rPr>
      <w:rFonts w:ascii="仿宋_GB2312" w:eastAsia="仿宋_GB2312"/>
      <w:b/>
      <w:sz w:val="32"/>
      <w:szCs w:val="32"/>
    </w:rPr>
  </w:style>
  <w:style w:type="paragraph" w:customStyle="1" w:styleId="233">
    <w:name w:val="冯广丽"/>
    <w:basedOn w:val="1"/>
    <w:link w:val="470"/>
    <w:qFormat/>
    <w:uiPriority w:val="0"/>
    <w:pPr>
      <w:adjustRightInd/>
      <w:spacing w:line="360" w:lineRule="auto"/>
      <w:ind w:firstLine="480" w:firstLineChars="200"/>
    </w:pPr>
    <w:rPr>
      <w:rFonts w:ascii="宋体" w:hAnsi="宋体"/>
      <w:sz w:val="24"/>
      <w:szCs w:val="22"/>
    </w:rPr>
  </w:style>
  <w:style w:type="paragraph" w:customStyle="1" w:styleId="234">
    <w:name w:val="Char4"/>
    <w:basedOn w:val="1"/>
    <w:qFormat/>
    <w:uiPriority w:val="0"/>
    <w:pPr>
      <w:tabs>
        <w:tab w:val="left" w:pos="432"/>
      </w:tabs>
      <w:adjustRightInd/>
      <w:spacing w:before="156" w:beforeLines="50" w:after="156" w:afterLines="50" w:line="360" w:lineRule="auto"/>
      <w:ind w:left="432" w:hanging="432" w:firstLineChars="200"/>
    </w:pPr>
    <w:rPr>
      <w:rFonts w:ascii="宋体" w:hAnsi="宋体" w:eastAsia="微软雅黑"/>
      <w:b/>
      <w:kern w:val="44"/>
      <w:sz w:val="32"/>
      <w:szCs w:val="32"/>
    </w:rPr>
  </w:style>
  <w:style w:type="paragraph" w:customStyle="1" w:styleId="235">
    <w:name w:val="Char31"/>
    <w:basedOn w:val="1"/>
    <w:qFormat/>
    <w:uiPriority w:val="0"/>
    <w:pPr>
      <w:adjustRightInd/>
      <w:ind w:firstLine="200" w:firstLineChars="200"/>
    </w:pPr>
    <w:rPr>
      <w:rFonts w:ascii="Tahoma" w:hAnsi="Tahoma"/>
      <w:sz w:val="24"/>
      <w:szCs w:val="20"/>
    </w:rPr>
  </w:style>
  <w:style w:type="paragraph" w:customStyle="1" w:styleId="236">
    <w:name w:val="Char Char11 Char Char Char1"/>
    <w:basedOn w:val="1"/>
    <w:qFormat/>
    <w:uiPriority w:val="0"/>
    <w:pPr>
      <w:spacing w:line="360" w:lineRule="auto"/>
    </w:pPr>
    <w:rPr>
      <w:szCs w:val="20"/>
    </w:rPr>
  </w:style>
  <w:style w:type="paragraph" w:customStyle="1" w:styleId="237">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238">
    <w:name w:val="_Style 236"/>
    <w:qFormat/>
    <w:uiPriority w:val="0"/>
    <w:rPr>
      <w:rFonts w:ascii="Times New Roman" w:hAnsi="Times New Roman" w:eastAsia="宋体" w:cs="Times New Roman"/>
      <w:kern w:val="2"/>
      <w:sz w:val="21"/>
      <w:lang w:val="en-US" w:eastAsia="zh-CN" w:bidi="ar-SA"/>
    </w:rPr>
  </w:style>
  <w:style w:type="paragraph" w:customStyle="1" w:styleId="239">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240">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241">
    <w:name w:val="正文文字缩进项目"/>
    <w:basedOn w:val="23"/>
    <w:qFormat/>
    <w:uiPriority w:val="0"/>
    <w:pPr>
      <w:tabs>
        <w:tab w:val="left" w:pos="840"/>
      </w:tabs>
      <w:adjustRightInd/>
      <w:spacing w:after="120" w:line="240" w:lineRule="auto"/>
      <w:ind w:firstLine="0" w:firstLineChars="0"/>
    </w:pPr>
    <w:rPr>
      <w:rFonts w:ascii="Tahoma" w:hAnsi="Tahoma"/>
      <w:sz w:val="22"/>
      <w:szCs w:val="20"/>
    </w:rPr>
  </w:style>
  <w:style w:type="paragraph" w:customStyle="1" w:styleId="242">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243">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244">
    <w:name w:val="文章标题"/>
    <w:next w:val="180"/>
    <w:qFormat/>
    <w:uiPriority w:val="0"/>
    <w:pPr>
      <w:spacing w:before="2496" w:beforeLines="800" w:after="312" w:afterLines="100"/>
      <w:jc w:val="center"/>
    </w:pPr>
    <w:rPr>
      <w:rFonts w:ascii="Arial" w:hAnsi="Arial" w:eastAsia="黑体" w:cs="宋体"/>
      <w:bCs/>
      <w:kern w:val="2"/>
      <w:sz w:val="52"/>
      <w:lang w:val="en-US" w:eastAsia="zh-CN" w:bidi="ar-SA"/>
    </w:rPr>
  </w:style>
  <w:style w:type="paragraph" w:customStyle="1" w:styleId="245">
    <w:name w:val="4"/>
    <w:basedOn w:val="1"/>
    <w:next w:val="35"/>
    <w:qFormat/>
    <w:uiPriority w:val="0"/>
    <w:pPr>
      <w:spacing w:after="120" w:line="480" w:lineRule="auto"/>
      <w:ind w:left="420" w:leftChars="200"/>
    </w:pPr>
    <w:rPr>
      <w:sz w:val="24"/>
      <w:szCs w:val="20"/>
    </w:rPr>
  </w:style>
  <w:style w:type="paragraph" w:customStyle="1" w:styleId="246">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247">
    <w:name w:val="Char Char Char Char Char Char Char Char Char Char Char1 Char"/>
    <w:basedOn w:val="1"/>
    <w:qFormat/>
    <w:uiPriority w:val="0"/>
    <w:pPr>
      <w:adjustRightInd/>
    </w:pPr>
    <w:rPr>
      <w:rFonts w:ascii="Tahoma" w:hAnsi="Tahoma"/>
      <w:sz w:val="24"/>
    </w:rPr>
  </w:style>
  <w:style w:type="paragraph" w:customStyle="1" w:styleId="248">
    <w:name w:val="样式8"/>
    <w:basedOn w:val="1"/>
    <w:qFormat/>
    <w:uiPriority w:val="0"/>
    <w:pPr>
      <w:spacing w:before="156" w:beforeLines="50" w:after="156" w:afterLines="50"/>
      <w:ind w:firstLine="200" w:firstLineChars="200"/>
      <w:outlineLvl w:val="4"/>
    </w:pPr>
    <w:rPr>
      <w:rFonts w:ascii="仿宋_GB2312" w:hAnsi="宋体" w:eastAsia="仿宋_GB2312"/>
      <w:b/>
      <w:bCs/>
      <w:sz w:val="24"/>
    </w:rPr>
  </w:style>
  <w:style w:type="paragraph" w:customStyle="1" w:styleId="249">
    <w:name w:val="标书表格字体格式"/>
    <w:next w:val="153"/>
    <w:qFormat/>
    <w:uiPriority w:val="0"/>
    <w:rPr>
      <w:rFonts w:ascii="Times New Roman" w:hAnsi="Times New Roman" w:eastAsia="宋体" w:cs="Times New Roman"/>
      <w:kern w:val="2"/>
      <w:sz w:val="21"/>
      <w:szCs w:val="24"/>
      <w:lang w:val="en-US" w:eastAsia="zh-CN" w:bidi="ar-SA"/>
    </w:rPr>
  </w:style>
  <w:style w:type="paragraph" w:customStyle="1" w:styleId="250">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251">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252">
    <w:name w:val="正文1"/>
    <w:basedOn w:val="30"/>
    <w:qFormat/>
    <w:uiPriority w:val="0"/>
    <w:pPr>
      <w:ind w:left="0" w:leftChars="0" w:firstLine="480" w:firstLineChars="200"/>
    </w:pPr>
    <w:rPr>
      <w:rFonts w:ascii="仿宋_GB2312" w:hAnsi="Courier New" w:eastAsia="仿宋_GB2312"/>
      <w:kern w:val="28"/>
      <w:sz w:val="24"/>
    </w:rPr>
  </w:style>
  <w:style w:type="paragraph" w:customStyle="1" w:styleId="253">
    <w:name w:val="带编号样式"/>
    <w:basedOn w:val="86"/>
    <w:qFormat/>
    <w:uiPriority w:val="0"/>
    <w:pPr>
      <w:tabs>
        <w:tab w:val="left" w:pos="840"/>
      </w:tabs>
      <w:snapToGrid w:val="0"/>
      <w:ind w:left="840" w:firstLine="0" w:firstLineChars="0"/>
    </w:pPr>
    <w:rPr>
      <w:rFonts w:ascii="仿宋_GB2312" w:eastAsia="仿宋_GB2312"/>
      <w:color w:val="000000"/>
    </w:rPr>
  </w:style>
  <w:style w:type="paragraph" w:customStyle="1" w:styleId="254">
    <w:name w:val="正文文字 2"/>
    <w:basedOn w:val="98"/>
    <w:next w:val="98"/>
    <w:qFormat/>
    <w:uiPriority w:val="0"/>
    <w:rPr>
      <w:rFonts w:ascii="宋体" w:eastAsia="宋体" w:cs="Times New Roman"/>
      <w:color w:val="auto"/>
    </w:rPr>
  </w:style>
  <w:style w:type="paragraph" w:customStyle="1" w:styleId="255">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256">
    <w:name w:val="样式 标题 3h33rd level3Heading 3 - oldH3l3CTheading 3Headin..."/>
    <w:basedOn w:val="4"/>
    <w:qFormat/>
    <w:uiPriority w:val="0"/>
    <w:pPr>
      <w:snapToGrid w:val="0"/>
      <w:ind w:left="0" w:firstLine="0"/>
      <w:jc w:val="left"/>
    </w:pPr>
    <w:rPr>
      <w:rFonts w:eastAsia="黑体" w:cs="宋体"/>
      <w:sz w:val="28"/>
      <w:szCs w:val="20"/>
    </w:rPr>
  </w:style>
  <w:style w:type="paragraph" w:customStyle="1" w:styleId="257">
    <w:name w:val="Char5"/>
    <w:basedOn w:val="1"/>
    <w:qFormat/>
    <w:uiPriority w:val="0"/>
    <w:rPr>
      <w:rFonts w:ascii="仿宋_GB2312" w:eastAsia="仿宋_GB2312"/>
      <w:b/>
      <w:sz w:val="32"/>
      <w:szCs w:val="32"/>
    </w:rPr>
  </w:style>
  <w:style w:type="paragraph" w:customStyle="1" w:styleId="258">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259">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260">
    <w:name w:val="Item List"/>
    <w:link w:val="475"/>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paragraph" w:customStyle="1" w:styleId="261">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262">
    <w:name w:val="样式 正文文本缩进 2 + 仿宋_GB2312 黑色 行距: 1.5 倍行距"/>
    <w:basedOn w:val="35"/>
    <w:qFormat/>
    <w:uiPriority w:val="0"/>
    <w:pPr>
      <w:adjustRightInd/>
      <w:ind w:firstLine="560" w:firstLineChars="200"/>
      <w:textAlignment w:val="auto"/>
    </w:pPr>
    <w:rPr>
      <w:rFonts w:hAnsi="宋体" w:cs="宋体"/>
      <w:color w:val="000000"/>
      <w:kern w:val="2"/>
      <w:sz w:val="24"/>
    </w:rPr>
  </w:style>
  <w:style w:type="paragraph" w:customStyle="1" w:styleId="263">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264">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265">
    <w:name w:val="Char Char1 Char Char Char Char Char Char1"/>
    <w:basedOn w:val="1"/>
    <w:qFormat/>
    <w:uiPriority w:val="0"/>
    <w:rPr>
      <w:rFonts w:ascii="仿宋_GB2312" w:eastAsia="仿宋_GB2312"/>
      <w:b/>
      <w:sz w:val="32"/>
      <w:szCs w:val="20"/>
    </w:rPr>
  </w:style>
  <w:style w:type="paragraph" w:customStyle="1" w:styleId="266">
    <w:name w:val="Char Char Char Char Char Char Char Char Char Char Char Char1 Char"/>
    <w:basedOn w:val="1"/>
    <w:qFormat/>
    <w:uiPriority w:val="0"/>
    <w:rPr>
      <w:rFonts w:ascii="Tahoma" w:hAnsi="Tahoma" w:cs="仿宋_GB2312"/>
      <w:sz w:val="24"/>
      <w:szCs w:val="20"/>
    </w:rPr>
  </w:style>
  <w:style w:type="paragraph" w:customStyle="1" w:styleId="267">
    <w:name w:val="表格项目符号 2"/>
    <w:basedOn w:val="27"/>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268">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269">
    <w:name w:val="样式 标题 2标题2H2Heading 2 HiddenHeading 2 CCBSheading 22nd lev..."/>
    <w:basedOn w:val="3"/>
    <w:qFormat/>
    <w:uiPriority w:val="0"/>
    <w:pPr>
      <w:widowControl/>
      <w:spacing w:before="260" w:after="260" w:line="416" w:lineRule="auto"/>
      <w:ind w:left="0" w:firstLine="0"/>
    </w:pPr>
    <w:rPr>
      <w:rFonts w:ascii="Arial" w:hAnsi="Arial" w:eastAsia="黑体"/>
      <w:sz w:val="30"/>
      <w:szCs w:val="21"/>
    </w:rPr>
  </w:style>
  <w:style w:type="paragraph" w:customStyle="1" w:styleId="270">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271">
    <w:name w:val="样式 正文文本缩进 + 段前: 2 字符"/>
    <w:basedOn w:val="1"/>
    <w:qFormat/>
    <w:uiPriority w:val="0"/>
    <w:pPr>
      <w:adjustRightInd/>
      <w:ind w:left="420" w:leftChars="200"/>
      <w:jc w:val="left"/>
    </w:pPr>
    <w:rPr>
      <w:sz w:val="28"/>
      <w:szCs w:val="20"/>
      <w:lang w:eastAsia="zh-TW"/>
    </w:rPr>
  </w:style>
  <w:style w:type="paragraph" w:customStyle="1" w:styleId="272">
    <w:name w:val="Char1 Char Char Char3"/>
    <w:basedOn w:val="1"/>
    <w:qFormat/>
    <w:uiPriority w:val="0"/>
    <w:pPr>
      <w:adjustRightInd/>
      <w:ind w:firstLine="200" w:firstLineChars="200"/>
    </w:pPr>
    <w:rPr>
      <w:rFonts w:ascii="Tahoma" w:hAnsi="Tahoma"/>
      <w:sz w:val="24"/>
      <w:szCs w:val="20"/>
    </w:rPr>
  </w:style>
  <w:style w:type="paragraph" w:customStyle="1" w:styleId="273">
    <w:name w:val="_Style 271"/>
    <w:basedOn w:val="2"/>
    <w:next w:val="1"/>
    <w:qFormat/>
    <w:uiPriority w:val="39"/>
    <w:pPr>
      <w:widowControl/>
      <w:numPr>
        <w:numId w:val="0"/>
      </w:numPr>
      <w:adjustRightInd/>
      <w:spacing w:before="480" w:after="0" w:line="276" w:lineRule="auto"/>
      <w:jc w:val="left"/>
      <w:outlineLvl w:val="9"/>
    </w:pPr>
    <w:rPr>
      <w:rFonts w:ascii="Cambria" w:hAnsi="Cambria"/>
      <w:color w:val="365F91"/>
      <w:kern w:val="0"/>
      <w:sz w:val="28"/>
      <w:szCs w:val="28"/>
    </w:rPr>
  </w:style>
  <w:style w:type="paragraph" w:customStyle="1" w:styleId="274">
    <w:name w:val="Char Char Char Char Char Char Char Char Char Char Char Char1 Char1"/>
    <w:basedOn w:val="1"/>
    <w:qFormat/>
    <w:uiPriority w:val="0"/>
    <w:rPr>
      <w:rFonts w:ascii="Tahoma" w:hAnsi="Tahoma" w:cs="仿宋_GB2312"/>
      <w:sz w:val="24"/>
      <w:szCs w:val="20"/>
    </w:rPr>
  </w:style>
  <w:style w:type="paragraph" w:customStyle="1" w:styleId="275">
    <w:name w:val="Char Char1 Char1"/>
    <w:basedOn w:val="1"/>
    <w:qFormat/>
    <w:uiPriority w:val="0"/>
    <w:rPr>
      <w:rFonts w:ascii="仿宋_GB2312" w:eastAsia="仿宋_GB2312"/>
      <w:b/>
      <w:sz w:val="32"/>
      <w:szCs w:val="32"/>
    </w:rPr>
  </w:style>
  <w:style w:type="paragraph" w:customStyle="1" w:styleId="276">
    <w:name w:val="List Paragraph11"/>
    <w:basedOn w:val="1"/>
    <w:qFormat/>
    <w:uiPriority w:val="0"/>
    <w:pPr>
      <w:adjustRightInd/>
      <w:spacing w:line="360" w:lineRule="auto"/>
      <w:ind w:firstLine="420" w:firstLineChars="200"/>
    </w:pPr>
    <w:rPr>
      <w:rFonts w:ascii="Calibri" w:hAnsi="Calibri"/>
      <w:sz w:val="24"/>
      <w:szCs w:val="22"/>
    </w:rPr>
  </w:style>
  <w:style w:type="paragraph" w:customStyle="1" w:styleId="277">
    <w:name w:val="插图题注"/>
    <w:next w:val="1"/>
    <w:qFormat/>
    <w:uiPriority w:val="0"/>
    <w:pPr>
      <w:numPr>
        <w:ilvl w:val="7"/>
        <w:numId w:val="4"/>
      </w:numPr>
      <w:spacing w:after="312" w:afterLines="100"/>
      <w:ind w:left="1089" w:hanging="369"/>
      <w:jc w:val="center"/>
    </w:pPr>
    <w:rPr>
      <w:rFonts w:ascii="Arial" w:hAnsi="Arial" w:eastAsia="宋体" w:cs="Times New Roman"/>
      <w:sz w:val="18"/>
      <w:szCs w:val="18"/>
      <w:lang w:val="en-US" w:eastAsia="zh-CN" w:bidi="ar-SA"/>
    </w:rPr>
  </w:style>
  <w:style w:type="paragraph" w:customStyle="1" w:styleId="278">
    <w:name w:val="Bulleting First Indent 1"/>
    <w:basedOn w:val="58"/>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279">
    <w:name w:val="Char Char1"/>
    <w:basedOn w:val="1"/>
    <w:qFormat/>
    <w:uiPriority w:val="0"/>
    <w:pPr>
      <w:widowControl/>
      <w:spacing w:after="160" w:line="240" w:lineRule="exact"/>
      <w:jc w:val="left"/>
    </w:pPr>
    <w:rPr>
      <w:rFonts w:eastAsia="仿宋_GB2312"/>
      <w:sz w:val="28"/>
    </w:rPr>
  </w:style>
  <w:style w:type="paragraph" w:customStyle="1" w:styleId="280">
    <w:name w:val="单元格居中"/>
    <w:basedOn w:val="1"/>
    <w:qFormat/>
    <w:uiPriority w:val="0"/>
    <w:pPr>
      <w:adjustRightInd/>
      <w:spacing w:line="360" w:lineRule="auto"/>
      <w:jc w:val="center"/>
    </w:pPr>
    <w:rPr>
      <w:sz w:val="24"/>
    </w:rPr>
  </w:style>
  <w:style w:type="paragraph" w:customStyle="1" w:styleId="281">
    <w:name w:val="正文缩进1"/>
    <w:basedOn w:val="1"/>
    <w:next w:val="23"/>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282">
    <w:name w:val="样式 标题 1Level 1 HeadPIM 1Section Headh1l11Heading 0Datash..."/>
    <w:basedOn w:val="2"/>
    <w:qFormat/>
    <w:uiPriority w:val="0"/>
    <w:pPr>
      <w:keepNext w:val="0"/>
      <w:keepLines w:val="0"/>
      <w:widowControl/>
      <w:numPr>
        <w:numId w:val="0"/>
      </w:numPr>
      <w:overflowPunct w:val="0"/>
      <w:autoSpaceDE w:val="0"/>
      <w:autoSpaceDN w:val="0"/>
      <w:spacing w:before="0" w:after="100" w:line="360" w:lineRule="auto"/>
      <w:jc w:val="left"/>
      <w:textAlignment w:val="baseline"/>
    </w:pPr>
    <w:rPr>
      <w:rFonts w:ascii="宋体" w:hAnsi="宋体"/>
      <w:kern w:val="2"/>
      <w:sz w:val="24"/>
      <w:szCs w:val="20"/>
    </w:rPr>
  </w:style>
  <w:style w:type="paragraph" w:customStyle="1" w:styleId="283">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284">
    <w:name w:val="Char Char Char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285">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286">
    <w:name w:val="MM Empty"/>
    <w:basedOn w:val="1"/>
    <w:qFormat/>
    <w:uiPriority w:val="0"/>
    <w:pPr>
      <w:adjustRightInd/>
    </w:pPr>
  </w:style>
  <w:style w:type="paragraph" w:customStyle="1" w:styleId="287">
    <w:name w:val="文档正文"/>
    <w:basedOn w:val="1"/>
    <w:qFormat/>
    <w:uiPriority w:val="0"/>
    <w:pPr>
      <w:spacing w:line="480" w:lineRule="atLeast"/>
      <w:ind w:firstLine="567"/>
      <w:textAlignment w:val="baseline"/>
    </w:pPr>
    <w:rPr>
      <w:kern w:val="0"/>
      <w:sz w:val="24"/>
      <w:szCs w:val="20"/>
    </w:rPr>
  </w:style>
  <w:style w:type="paragraph" w:customStyle="1" w:styleId="288">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289">
    <w:name w:val="Char Char1 Char Char1 Char Char1"/>
    <w:basedOn w:val="1"/>
    <w:qFormat/>
    <w:uiPriority w:val="0"/>
    <w:pPr>
      <w:tabs>
        <w:tab w:val="left" w:pos="840"/>
      </w:tabs>
      <w:ind w:left="840" w:hanging="420"/>
    </w:pPr>
    <w:rPr>
      <w:rFonts w:ascii="Tahoma" w:hAnsi="Tahoma"/>
      <w:sz w:val="24"/>
    </w:rPr>
  </w:style>
  <w:style w:type="paragraph" w:customStyle="1" w:styleId="290">
    <w:name w:val="样式 标题 2H2h2Underrubrik1prop2l2Chapter Titlesect 1.2DO NO..."/>
    <w:basedOn w:val="3"/>
    <w:qFormat/>
    <w:uiPriority w:val="0"/>
    <w:pPr>
      <w:numPr>
        <w:numId w:val="0"/>
      </w:numPr>
      <w:spacing w:before="120" w:after="120"/>
      <w:ind w:left="425" w:hanging="425"/>
    </w:pPr>
    <w:rPr>
      <w:rFonts w:ascii="微软雅黑" w:hAnsi="微软雅黑" w:eastAsia="微软雅黑" w:cs="宋体"/>
      <w:szCs w:val="20"/>
      <w:lang w:val="en-US"/>
    </w:rPr>
  </w:style>
  <w:style w:type="paragraph" w:customStyle="1" w:styleId="291">
    <w:name w:val="Char Char Char Char Char Char Char Char Char Char1"/>
    <w:basedOn w:val="1"/>
    <w:qFormat/>
    <w:uiPriority w:val="0"/>
    <w:rPr>
      <w:rFonts w:ascii="仿宋_GB2312" w:eastAsia="仿宋_GB2312"/>
      <w:b/>
      <w:sz w:val="32"/>
      <w:szCs w:val="32"/>
    </w:rPr>
  </w:style>
  <w:style w:type="paragraph" w:customStyle="1" w:styleId="292">
    <w:name w:val="gf正文1"/>
    <w:basedOn w:val="1"/>
    <w:qFormat/>
    <w:uiPriority w:val="0"/>
    <w:pPr>
      <w:tabs>
        <w:tab w:val="left" w:pos="3240"/>
        <w:tab w:val="left" w:pos="3960"/>
      </w:tabs>
      <w:snapToGrid w:val="0"/>
      <w:spacing w:line="360" w:lineRule="auto"/>
      <w:ind w:firstLine="480" w:firstLineChars="200"/>
    </w:pPr>
    <w:rPr>
      <w:rFonts w:ascii="宋体" w:hAnsi="宋体" w:cs="宋体"/>
      <w:sz w:val="24"/>
    </w:rPr>
  </w:style>
  <w:style w:type="paragraph" w:customStyle="1" w:styleId="293">
    <w:name w:val="默认段落字体 Para Char Char Char1 Char"/>
    <w:basedOn w:val="1"/>
    <w:qFormat/>
    <w:uiPriority w:val="0"/>
    <w:pPr>
      <w:spacing w:line="240" w:lineRule="atLeast"/>
      <w:ind w:left="420" w:firstLine="420"/>
    </w:pPr>
    <w:rPr>
      <w:sz w:val="24"/>
    </w:rPr>
  </w:style>
  <w:style w:type="paragraph" w:styleId="294">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295">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296">
    <w:name w:val="Char1 Char Char Char5"/>
    <w:basedOn w:val="1"/>
    <w:qFormat/>
    <w:uiPriority w:val="0"/>
    <w:pPr>
      <w:adjustRightInd/>
      <w:ind w:firstLine="200" w:firstLineChars="200"/>
    </w:pPr>
    <w:rPr>
      <w:rFonts w:ascii="Tahoma" w:hAnsi="Tahoma"/>
      <w:sz w:val="24"/>
      <w:szCs w:val="20"/>
    </w:rPr>
  </w:style>
  <w:style w:type="paragraph" w:customStyle="1" w:styleId="297">
    <w:name w:val="Char Char Char Char Char Char Char1"/>
    <w:basedOn w:val="1"/>
    <w:qFormat/>
    <w:uiPriority w:val="0"/>
    <w:rPr>
      <w:rFonts w:ascii="仿宋_GB2312" w:eastAsia="仿宋_GB2312"/>
      <w:b/>
      <w:sz w:val="32"/>
      <w:szCs w:val="32"/>
    </w:rPr>
  </w:style>
  <w:style w:type="paragraph" w:customStyle="1" w:styleId="298">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299">
    <w:name w:val="正文表标题"/>
    <w:next w:val="137"/>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300">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301">
    <w:name w:val="四号　首行缩进"/>
    <w:basedOn w:val="1"/>
    <w:qFormat/>
    <w:uiPriority w:val="0"/>
    <w:pPr>
      <w:adjustRightInd/>
      <w:spacing w:line="360" w:lineRule="auto"/>
    </w:pPr>
    <w:rPr>
      <w:rFonts w:ascii="宋体" w:hAnsi="宋体"/>
      <w:szCs w:val="20"/>
    </w:rPr>
  </w:style>
  <w:style w:type="paragraph" w:customStyle="1" w:styleId="302">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303">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304">
    <w:name w:val="首行缩进"/>
    <w:basedOn w:val="1"/>
    <w:qFormat/>
    <w:uiPriority w:val="0"/>
    <w:pPr>
      <w:spacing w:line="360" w:lineRule="auto"/>
      <w:ind w:firstLine="480" w:firstLineChars="200"/>
    </w:pPr>
    <w:rPr>
      <w:rFonts w:ascii="宋体"/>
      <w:sz w:val="24"/>
      <w:szCs w:val="20"/>
    </w:rPr>
  </w:style>
  <w:style w:type="paragraph" w:customStyle="1" w:styleId="305">
    <w:name w:val="Char1 Char Char Char1"/>
    <w:basedOn w:val="1"/>
    <w:qFormat/>
    <w:uiPriority w:val="0"/>
    <w:pPr>
      <w:adjustRightInd/>
      <w:ind w:firstLine="200" w:firstLineChars="200"/>
    </w:pPr>
    <w:rPr>
      <w:rFonts w:ascii="Tahoma" w:hAnsi="Tahoma"/>
      <w:sz w:val="24"/>
      <w:szCs w:val="20"/>
    </w:rPr>
  </w:style>
  <w:style w:type="paragraph" w:customStyle="1" w:styleId="306">
    <w:name w:val="MM Topic 2"/>
    <w:basedOn w:val="3"/>
    <w:qFormat/>
    <w:uiPriority w:val="0"/>
    <w:pPr>
      <w:numPr>
        <w:numId w:val="0"/>
      </w:numPr>
      <w:tabs>
        <w:tab w:val="left" w:pos="860"/>
        <w:tab w:val="left" w:pos="1260"/>
        <w:tab w:val="clear" w:pos="432"/>
      </w:tabs>
      <w:ind w:left="1260" w:hanging="420"/>
    </w:pPr>
    <w:rPr>
      <w:rFonts w:ascii="Arial" w:hAnsi="Arial" w:eastAsia="黑体"/>
      <w:lang w:val="en-US"/>
    </w:rPr>
  </w:style>
  <w:style w:type="paragraph" w:customStyle="1" w:styleId="307">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308">
    <w:name w:val="样式 样式2 + 左侧:  1 字符 右侧:  1 字符"/>
    <w:basedOn w:val="74"/>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309">
    <w:name w:val="正文首行缩进两字"/>
    <w:qFormat/>
    <w:uiPriority w:val="0"/>
    <w:pPr>
      <w:spacing w:after="156"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310">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311">
    <w:name w:val="哈哈正文"/>
    <w:basedOn w:val="1"/>
    <w:link w:val="495"/>
    <w:qFormat/>
    <w:uiPriority w:val="0"/>
    <w:pPr>
      <w:adjustRightInd/>
      <w:spacing w:line="360" w:lineRule="auto"/>
      <w:ind w:firstLine="200" w:firstLineChars="200"/>
    </w:pPr>
    <w:rPr>
      <w:rFonts w:ascii="宋体" w:hAnsi="宋体"/>
      <w:sz w:val="24"/>
      <w:szCs w:val="20"/>
    </w:rPr>
  </w:style>
  <w:style w:type="paragraph" w:customStyle="1" w:styleId="312">
    <w:name w:val="List Paragraph1"/>
    <w:basedOn w:val="1"/>
    <w:qFormat/>
    <w:uiPriority w:val="34"/>
    <w:pPr>
      <w:spacing w:line="360" w:lineRule="auto"/>
      <w:ind w:firstLine="200" w:firstLineChars="200"/>
    </w:pPr>
    <w:rPr>
      <w:rFonts w:eastAsia="楷体_GB2312" w:cs="Lucida Sans"/>
      <w:sz w:val="24"/>
    </w:rPr>
  </w:style>
  <w:style w:type="paragraph" w:customStyle="1" w:styleId="313">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314">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315">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316">
    <w:name w:val="Char Char11 Char Char Char Char Char Char Char Char Char1"/>
    <w:basedOn w:val="1"/>
    <w:qFormat/>
    <w:uiPriority w:val="0"/>
    <w:pPr>
      <w:spacing w:line="360" w:lineRule="auto"/>
    </w:pPr>
    <w:rPr>
      <w:szCs w:val="20"/>
    </w:rPr>
  </w:style>
  <w:style w:type="paragraph" w:customStyle="1" w:styleId="317">
    <w:name w:val="Char Char11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318">
    <w:name w:val="正文 项目2"/>
    <w:basedOn w:val="319"/>
    <w:qFormat/>
    <w:uiPriority w:val="0"/>
    <w:pPr>
      <w:numPr>
        <w:ilvl w:val="0"/>
        <w:numId w:val="6"/>
      </w:numPr>
      <w:tabs>
        <w:tab w:val="left" w:pos="840"/>
      </w:tabs>
      <w:spacing w:after="0"/>
    </w:pPr>
  </w:style>
  <w:style w:type="paragraph" w:customStyle="1" w:styleId="319">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320">
    <w:name w:val="Char Char Char1 Char1"/>
    <w:basedOn w:val="1"/>
    <w:qFormat/>
    <w:uiPriority w:val="0"/>
    <w:rPr>
      <w:szCs w:val="20"/>
    </w:rPr>
  </w:style>
  <w:style w:type="paragraph" w:customStyle="1" w:styleId="321">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322">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323">
    <w:name w:val="封面"/>
    <w:basedOn w:val="1"/>
    <w:qFormat/>
    <w:uiPriority w:val="0"/>
    <w:pPr>
      <w:spacing w:line="360" w:lineRule="atLeast"/>
      <w:jc w:val="right"/>
      <w:textAlignment w:val="baseline"/>
    </w:pPr>
    <w:rPr>
      <w:rFonts w:ascii="Symbol" w:hAnsi="Symbol"/>
      <w:kern w:val="0"/>
      <w:szCs w:val="20"/>
    </w:rPr>
  </w:style>
  <w:style w:type="paragraph" w:customStyle="1" w:styleId="324">
    <w:name w:val="正文（缩进2汉字）"/>
    <w:basedOn w:val="1"/>
    <w:link w:val="584"/>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paragraph" w:customStyle="1" w:styleId="325">
    <w:name w:val="数字标题3"/>
    <w:basedOn w:val="4"/>
    <w:next w:val="1"/>
    <w:qFormat/>
    <w:uiPriority w:val="0"/>
    <w:pPr>
      <w:numPr>
        <w:numId w:val="0"/>
      </w:numPr>
      <w:spacing w:line="240" w:lineRule="auto"/>
    </w:pPr>
    <w:rPr>
      <w:sz w:val="28"/>
      <w:szCs w:val="28"/>
    </w:rPr>
  </w:style>
  <w:style w:type="paragraph" w:customStyle="1" w:styleId="326">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327">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328">
    <w:name w:val="正文（首行缩进2字符）"/>
    <w:basedOn w:val="1"/>
    <w:qFormat/>
    <w:uiPriority w:val="0"/>
    <w:pPr>
      <w:adjustRightInd/>
      <w:spacing w:line="360" w:lineRule="auto"/>
      <w:ind w:firstLine="480" w:firstLineChars="200"/>
    </w:pPr>
    <w:rPr>
      <w:sz w:val="24"/>
      <w:szCs w:val="20"/>
    </w:rPr>
  </w:style>
  <w:style w:type="paragraph" w:customStyle="1" w:styleId="329">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330">
    <w:name w:val="正文段"/>
    <w:basedOn w:val="1"/>
    <w:qFormat/>
    <w:uiPriority w:val="0"/>
    <w:pPr>
      <w:widowControl/>
      <w:snapToGrid w:val="0"/>
      <w:spacing w:after="156" w:afterLines="50"/>
      <w:ind w:firstLine="200" w:firstLineChars="200"/>
    </w:pPr>
    <w:rPr>
      <w:kern w:val="0"/>
      <w:sz w:val="24"/>
      <w:szCs w:val="20"/>
    </w:rPr>
  </w:style>
  <w:style w:type="paragraph" w:customStyle="1" w:styleId="331">
    <w:name w:val="Test2"/>
    <w:basedOn w:val="3"/>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332">
    <w:name w:val="数字标题2"/>
    <w:basedOn w:val="3"/>
    <w:next w:val="1"/>
    <w:qFormat/>
    <w:uiPriority w:val="0"/>
    <w:pPr>
      <w:numPr>
        <w:ilvl w:val="1"/>
        <w:numId w:val="5"/>
      </w:numPr>
      <w:tabs>
        <w:tab w:val="clear" w:pos="432"/>
      </w:tabs>
    </w:pPr>
    <w:rPr>
      <w:rFonts w:ascii="Times New Roman" w:eastAsia="宋体"/>
      <w:i/>
      <w:sz w:val="36"/>
      <w:szCs w:val="36"/>
      <w:lang w:val="en-US"/>
    </w:rPr>
  </w:style>
  <w:style w:type="paragraph" w:customStyle="1" w:styleId="333">
    <w:name w:val="彩色列表 - 强调文字颜色 11"/>
    <w:basedOn w:val="1"/>
    <w:qFormat/>
    <w:uiPriority w:val="0"/>
    <w:pPr>
      <w:adjustRightInd/>
      <w:ind w:firstLine="420" w:firstLineChars="200"/>
    </w:pPr>
    <w:rPr>
      <w:rFonts w:ascii="Calibri" w:hAnsi="Calibri"/>
      <w:szCs w:val="22"/>
    </w:rPr>
  </w:style>
  <w:style w:type="paragraph" w:customStyle="1" w:styleId="334">
    <w:name w:val="数字标题4"/>
    <w:basedOn w:val="5"/>
    <w:qFormat/>
    <w:uiPriority w:val="0"/>
    <w:pPr>
      <w:numPr>
        <w:numId w:val="0"/>
      </w:numPr>
      <w:tabs>
        <w:tab w:val="left" w:pos="0"/>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335">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336">
    <w:name w:val="样式1 + (中宋体"/>
    <w:basedOn w:val="158"/>
    <w:qFormat/>
    <w:uiPriority w:val="0"/>
    <w:pPr>
      <w:widowControl w:val="0"/>
      <w:tabs>
        <w:tab w:val="left" w:pos="1200"/>
        <w:tab w:val="clear" w:pos="1212"/>
        <w:tab w:val="clear" w:pos="3888"/>
      </w:tabs>
      <w:adjustRightInd/>
      <w:snapToGrid/>
      <w:spacing w:line="360" w:lineRule="auto"/>
      <w:ind w:left="1200" w:hanging="360" w:firstLineChars="200"/>
      <w:jc w:val="both"/>
    </w:pPr>
    <w:rPr>
      <w:kern w:val="2"/>
      <w:szCs w:val="24"/>
    </w:rPr>
  </w:style>
  <w:style w:type="paragraph" w:customStyle="1" w:styleId="337">
    <w:name w:val="仿宋正文"/>
    <w:basedOn w:val="1"/>
    <w:link w:val="460"/>
    <w:qFormat/>
    <w:uiPriority w:val="0"/>
    <w:pPr>
      <w:adjustRightInd/>
      <w:spacing w:line="360" w:lineRule="auto"/>
      <w:ind w:firstLine="480" w:firstLineChars="200"/>
    </w:pPr>
    <w:rPr>
      <w:rFonts w:ascii="仿宋_GB2312" w:eastAsia="仿宋_GB2312"/>
      <w:sz w:val="24"/>
      <w:szCs w:val="20"/>
    </w:rPr>
  </w:style>
  <w:style w:type="paragraph" w:customStyle="1" w:styleId="338">
    <w:name w:val="正文（标题三）"/>
    <w:basedOn w:val="1"/>
    <w:qFormat/>
    <w:uiPriority w:val="0"/>
    <w:pPr>
      <w:spacing w:line="360" w:lineRule="auto"/>
      <w:ind w:firstLine="200" w:firstLineChars="200"/>
    </w:pPr>
    <w:rPr>
      <w:sz w:val="24"/>
    </w:rPr>
  </w:style>
  <w:style w:type="paragraph" w:customStyle="1" w:styleId="339">
    <w:name w:val="MM Topic 3"/>
    <w:basedOn w:val="4"/>
    <w:qFormat/>
    <w:uiPriority w:val="0"/>
    <w:pPr>
      <w:numPr>
        <w:numId w:val="4"/>
      </w:numPr>
      <w:tabs>
        <w:tab w:val="left" w:pos="840"/>
        <w:tab w:val="left" w:pos="1680"/>
        <w:tab w:val="clear" w:pos="900"/>
      </w:tabs>
      <w:adjustRightInd/>
    </w:pPr>
  </w:style>
  <w:style w:type="paragraph" w:customStyle="1" w:styleId="340">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341">
    <w:name w:val="图中文字"/>
    <w:basedOn w:val="1"/>
    <w:qFormat/>
    <w:uiPriority w:val="0"/>
    <w:pPr>
      <w:snapToGrid w:val="0"/>
      <w:spacing w:line="0" w:lineRule="atLeast"/>
      <w:ind w:firstLine="200" w:firstLineChars="200"/>
      <w:jc w:val="center"/>
    </w:pPr>
    <w:rPr>
      <w:sz w:val="24"/>
      <w:szCs w:val="20"/>
    </w:rPr>
  </w:style>
  <w:style w:type="paragraph" w:customStyle="1" w:styleId="342">
    <w:name w:val="正文－恩普"/>
    <w:basedOn w:val="15"/>
    <w:qFormat/>
    <w:uiPriority w:val="0"/>
    <w:pPr>
      <w:adjustRightInd/>
      <w:snapToGrid/>
      <w:spacing w:before="100" w:beforeAutospacing="1" w:after="100" w:afterLines="50" w:afterAutospacing="1" w:line="360" w:lineRule="auto"/>
      <w:ind w:firstLine="480" w:firstLineChars="200"/>
      <w:jc w:val="left"/>
    </w:pPr>
    <w:rPr>
      <w:rFonts w:ascii="Times New Roman"/>
      <w:snapToGrid/>
      <w:color w:val="auto"/>
      <w:kern w:val="0"/>
      <w:sz w:val="24"/>
    </w:rPr>
  </w:style>
  <w:style w:type="paragraph" w:customStyle="1" w:styleId="343">
    <w:name w:val="Char21"/>
    <w:basedOn w:val="1"/>
    <w:qFormat/>
    <w:uiPriority w:val="0"/>
    <w:pPr>
      <w:adjustRightInd/>
      <w:ind w:firstLine="200" w:firstLineChars="200"/>
    </w:pPr>
    <w:rPr>
      <w:rFonts w:ascii="仿宋_GB2312" w:eastAsia="仿宋_GB2312"/>
      <w:b/>
      <w:sz w:val="32"/>
      <w:szCs w:val="32"/>
    </w:rPr>
  </w:style>
  <w:style w:type="paragraph" w:customStyle="1" w:styleId="344">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345">
    <w:name w:val="标题4-dyf"/>
    <w:basedOn w:val="5"/>
    <w:link w:val="550"/>
    <w:qFormat/>
    <w:uiPriority w:val="0"/>
    <w:pPr>
      <w:numPr>
        <w:numId w:val="0"/>
      </w:numPr>
      <w:tabs>
        <w:tab w:val="left" w:pos="851"/>
        <w:tab w:val="clear" w:pos="864"/>
      </w:tabs>
      <w:adjustRightInd/>
      <w:spacing w:line="376" w:lineRule="atLeast"/>
      <w:ind w:left="851" w:hanging="851"/>
    </w:pPr>
    <w:rPr>
      <w:rFonts w:ascii="Cambria" w:hAnsi="Cambria" w:eastAsia="宋体"/>
      <w:color w:val="000000"/>
      <w:sz w:val="21"/>
      <w:szCs w:val="21"/>
    </w:rPr>
  </w:style>
  <w:style w:type="paragraph" w:customStyle="1" w:styleId="346">
    <w:name w:val="Char1 Char Char Char4"/>
    <w:basedOn w:val="1"/>
    <w:qFormat/>
    <w:uiPriority w:val="0"/>
    <w:pPr>
      <w:adjustRightInd/>
      <w:ind w:firstLine="200" w:firstLineChars="200"/>
    </w:pPr>
    <w:rPr>
      <w:rFonts w:ascii="Tahoma" w:hAnsi="Tahoma"/>
      <w:sz w:val="24"/>
      <w:szCs w:val="20"/>
    </w:rPr>
  </w:style>
  <w:style w:type="paragraph" w:customStyle="1" w:styleId="347">
    <w:name w:val="Char Char11 Char Char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348">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349">
    <w:name w:val="Char23"/>
    <w:basedOn w:val="1"/>
    <w:qFormat/>
    <w:uiPriority w:val="0"/>
    <w:rPr>
      <w:rFonts w:ascii="仿宋_GB2312" w:eastAsia="仿宋_GB2312"/>
      <w:b/>
      <w:sz w:val="32"/>
      <w:szCs w:val="32"/>
    </w:rPr>
  </w:style>
  <w:style w:type="paragraph" w:customStyle="1" w:styleId="350">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351">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352">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353">
    <w:name w:val="此正文"/>
    <w:basedOn w:val="1"/>
    <w:link w:val="438"/>
    <w:qFormat/>
    <w:uiPriority w:val="0"/>
    <w:pPr>
      <w:adjustRightInd/>
      <w:spacing w:line="360" w:lineRule="auto"/>
      <w:ind w:firstLine="200" w:firstLineChars="200"/>
    </w:pPr>
    <w:rPr>
      <w:sz w:val="24"/>
    </w:rPr>
  </w:style>
  <w:style w:type="paragraph" w:customStyle="1" w:styleId="354">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355">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356">
    <w:name w:val="Char3 Char Char Char"/>
    <w:basedOn w:val="1"/>
    <w:qFormat/>
    <w:uiPriority w:val="0"/>
    <w:pPr>
      <w:widowControl/>
      <w:adjustRightInd/>
      <w:spacing w:after="160" w:line="240" w:lineRule="exact"/>
      <w:jc w:val="left"/>
    </w:pPr>
    <w:rPr>
      <w:szCs w:val="20"/>
    </w:rPr>
  </w:style>
  <w:style w:type="paragraph" w:customStyle="1" w:styleId="357">
    <w:name w:val="标1"/>
    <w:basedOn w:val="1"/>
    <w:qFormat/>
    <w:uiPriority w:val="0"/>
    <w:pPr>
      <w:widowControl/>
      <w:tabs>
        <w:tab w:val="left" w:pos="1020"/>
      </w:tabs>
      <w:snapToGrid w:val="0"/>
      <w:spacing w:before="312"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358">
    <w:name w:val="Normal0"/>
    <w:qFormat/>
    <w:uiPriority w:val="0"/>
    <w:rPr>
      <w:rFonts w:ascii="Times New Roman" w:hAnsi="Times New Roman" w:eastAsia="宋体" w:cs="Times New Roman"/>
      <w:lang w:val="en-US" w:eastAsia="en-US" w:bidi="ar-SA"/>
    </w:rPr>
  </w:style>
  <w:style w:type="paragraph" w:customStyle="1" w:styleId="359">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360">
    <w:name w:val="a1"/>
    <w:basedOn w:val="1"/>
    <w:qFormat/>
    <w:uiPriority w:val="0"/>
    <w:pPr>
      <w:widowControl/>
      <w:spacing w:line="300" w:lineRule="atLeast"/>
      <w:jc w:val="left"/>
    </w:pPr>
    <w:rPr>
      <w:rFonts w:ascii="宋体" w:hAnsi="宋体"/>
      <w:kern w:val="0"/>
      <w:sz w:val="18"/>
      <w:szCs w:val="20"/>
    </w:rPr>
  </w:style>
  <w:style w:type="paragraph" w:customStyle="1" w:styleId="361">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362">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363">
    <w:name w:val="正文 A"/>
    <w:qFormat/>
    <w:uiPriority w:val="0"/>
    <w:pPr>
      <w:widowControl w:val="0"/>
      <w:jc w:val="both"/>
    </w:pPr>
    <w:rPr>
      <w:rFonts w:ascii="Calibri" w:hAnsi="Calibri" w:eastAsia="Calibri" w:cs="Calibri"/>
      <w:color w:val="000000"/>
      <w:kern w:val="2"/>
      <w:sz w:val="21"/>
      <w:szCs w:val="21"/>
      <w:u w:color="000000"/>
      <w:lang w:val="en-US" w:eastAsia="zh-CN" w:bidi="ar-SA"/>
    </w:rPr>
  </w:style>
  <w:style w:type="paragraph" w:customStyle="1" w:styleId="364">
    <w:name w:val="Thf"/>
    <w:basedOn w:val="89"/>
    <w:qFormat/>
    <w:uiPriority w:val="0"/>
    <w:pPr>
      <w:ind w:left="0"/>
    </w:pPr>
  </w:style>
  <w:style w:type="paragraph" w:customStyle="1" w:styleId="365">
    <w:name w:val="Char3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366">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367">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368">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369">
    <w:name w:val="_Style 12"/>
    <w:basedOn w:val="18"/>
    <w:qFormat/>
    <w:uiPriority w:val="0"/>
    <w:pPr>
      <w:snapToGrid w:val="0"/>
      <w:spacing w:line="360" w:lineRule="auto"/>
    </w:pPr>
  </w:style>
  <w:style w:type="paragraph" w:customStyle="1" w:styleId="370">
    <w:name w:val="表格题注"/>
    <w:next w:val="1"/>
    <w:qFormat/>
    <w:uiPriority w:val="0"/>
    <w:pPr>
      <w:keepLines/>
      <w:numPr>
        <w:ilvl w:val="8"/>
        <w:numId w:val="4"/>
      </w:numPr>
      <w:spacing w:before="312" w:beforeLines="100"/>
      <w:ind w:left="1089" w:hanging="369"/>
      <w:jc w:val="center"/>
    </w:pPr>
    <w:rPr>
      <w:rFonts w:ascii="Arial" w:hAnsi="Arial" w:eastAsia="宋体" w:cs="Times New Roman"/>
      <w:sz w:val="18"/>
      <w:szCs w:val="18"/>
      <w:lang w:val="en-US" w:eastAsia="zh-CN" w:bidi="ar-SA"/>
    </w:rPr>
  </w:style>
  <w:style w:type="paragraph" w:customStyle="1" w:styleId="371">
    <w:name w:val="标题 41"/>
    <w:basedOn w:val="1"/>
    <w:next w:val="1"/>
    <w:unhideWhenUsed/>
    <w:qFormat/>
    <w:uiPriority w:val="9"/>
    <w:pPr>
      <w:keepNext/>
      <w:keepLines/>
      <w:adjustRightInd/>
      <w:spacing w:before="280" w:after="290" w:line="376" w:lineRule="auto"/>
      <w:outlineLvl w:val="3"/>
    </w:pPr>
    <w:rPr>
      <w:rFonts w:ascii="Cambria" w:hAnsi="Cambria"/>
      <w:b/>
      <w:bCs/>
      <w:sz w:val="28"/>
      <w:szCs w:val="28"/>
    </w:rPr>
  </w:style>
  <w:style w:type="paragraph" w:customStyle="1" w:styleId="372">
    <w:name w:val="标书标题2"/>
    <w:basedOn w:val="3"/>
    <w:qFormat/>
    <w:uiPriority w:val="0"/>
    <w:pPr>
      <w:keepLines w:val="0"/>
      <w:widowControl/>
      <w:numPr>
        <w:numId w:val="0"/>
      </w:numPr>
      <w:tabs>
        <w:tab w:val="left" w:pos="840"/>
        <w:tab w:val="clear" w:pos="432"/>
      </w:tabs>
      <w:adjustRightInd w:val="0"/>
      <w:snapToGrid w:val="0"/>
      <w:spacing w:before="156" w:beforeLines="50" w:after="60" w:line="300" w:lineRule="auto"/>
      <w:ind w:left="840" w:hanging="420"/>
    </w:pPr>
    <w:rPr>
      <w:rFonts w:ascii="Arial Narrow" w:hAnsi="Arial Narrow"/>
      <w:snapToGrid w:val="0"/>
      <w:kern w:val="0"/>
      <w:szCs w:val="20"/>
      <w:lang w:val="en-US"/>
    </w:rPr>
  </w:style>
  <w:style w:type="paragraph" w:customStyle="1" w:styleId="373">
    <w:name w:val="Char Char"/>
    <w:basedOn w:val="1"/>
    <w:qFormat/>
    <w:uiPriority w:val="0"/>
    <w:pPr>
      <w:spacing w:line="360" w:lineRule="auto"/>
    </w:pPr>
    <w:rPr>
      <w:rFonts w:ascii="Tahoma" w:hAnsi="Tahoma"/>
      <w:sz w:val="24"/>
      <w:szCs w:val="20"/>
    </w:rPr>
  </w:style>
  <w:style w:type="paragraph" w:customStyle="1" w:styleId="374">
    <w:name w:val="列出段落1"/>
    <w:basedOn w:val="1"/>
    <w:qFormat/>
    <w:uiPriority w:val="34"/>
    <w:pPr>
      <w:adjustRightInd/>
      <w:spacing w:line="360" w:lineRule="auto"/>
      <w:ind w:firstLine="420" w:firstLineChars="200"/>
    </w:pPr>
    <w:rPr>
      <w:rFonts w:ascii="Calibri" w:hAnsi="Calibri"/>
      <w:sz w:val="24"/>
      <w:szCs w:val="22"/>
    </w:rPr>
  </w:style>
  <w:style w:type="paragraph" w:customStyle="1" w:styleId="375">
    <w:name w:val="样式 标题 1 + 黑色 段前: 0.5 行 段后: 0.5 行1"/>
    <w:basedOn w:val="2"/>
    <w:qFormat/>
    <w:uiPriority w:val="0"/>
    <w:pPr>
      <w:keepLines w:val="0"/>
      <w:pageBreakBefore/>
      <w:numPr>
        <w:numId w:val="0"/>
      </w:numPr>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376">
    <w:name w:val="彩色列表 - 强调文字颜色 12"/>
    <w:basedOn w:val="1"/>
    <w:qFormat/>
    <w:uiPriority w:val="0"/>
    <w:pPr>
      <w:adjustRightInd/>
      <w:ind w:firstLine="420" w:firstLineChars="200"/>
    </w:pPr>
    <w:rPr>
      <w:rFonts w:ascii="Calibri" w:hAnsi="Calibri"/>
      <w:szCs w:val="22"/>
    </w:rPr>
  </w:style>
  <w:style w:type="paragraph" w:customStyle="1" w:styleId="377">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378">
    <w:name w:val="Char19"/>
    <w:basedOn w:val="1"/>
    <w:qFormat/>
    <w:uiPriority w:val="0"/>
    <w:pPr>
      <w:adjustRightInd/>
    </w:pPr>
    <w:rPr>
      <w:szCs w:val="20"/>
    </w:rPr>
  </w:style>
  <w:style w:type="paragraph" w:customStyle="1" w:styleId="379">
    <w:name w:val="CSS1级正文 Char"/>
    <w:basedOn w:val="22"/>
    <w:qFormat/>
    <w:uiPriority w:val="0"/>
    <w:pPr>
      <w:autoSpaceDE/>
      <w:autoSpaceDN/>
      <w:snapToGrid w:val="0"/>
      <w:ind w:firstLine="480" w:firstLineChars="200"/>
    </w:pPr>
    <w:rPr>
      <w:rFonts w:ascii="Times New Roman"/>
      <w:szCs w:val="24"/>
      <w:lang w:val="en-US"/>
    </w:rPr>
  </w:style>
  <w:style w:type="paragraph" w:customStyle="1" w:styleId="380">
    <w:name w:val="正文（首行缩进）"/>
    <w:basedOn w:val="23"/>
    <w:qFormat/>
    <w:uiPriority w:val="0"/>
    <w:pPr>
      <w:widowControl/>
      <w:tabs>
        <w:tab w:val="left" w:pos="840"/>
      </w:tabs>
      <w:overflowPunct w:val="0"/>
      <w:autoSpaceDE w:val="0"/>
      <w:autoSpaceDN w:val="0"/>
      <w:spacing w:before="156"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381">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382">
    <w:name w:val="表格（小）"/>
    <w:basedOn w:val="1"/>
    <w:qFormat/>
    <w:uiPriority w:val="0"/>
    <w:pPr>
      <w:adjustRightInd/>
      <w:snapToGrid w:val="0"/>
      <w:spacing w:line="300" w:lineRule="auto"/>
    </w:pPr>
    <w:rPr>
      <w:rFonts w:eastAsia="仿宋"/>
      <w:szCs w:val="21"/>
    </w:rPr>
  </w:style>
  <w:style w:type="paragraph" w:customStyle="1" w:styleId="383">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384">
    <w:name w:val="Char3 Char Char1"/>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385">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386">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387">
    <w:name w:val="Char Char Char Char2"/>
    <w:basedOn w:val="1"/>
    <w:qFormat/>
    <w:uiPriority w:val="0"/>
    <w:rPr>
      <w:rFonts w:ascii="Tahoma" w:hAnsi="Tahoma"/>
      <w:sz w:val="24"/>
      <w:szCs w:val="20"/>
    </w:rPr>
  </w:style>
  <w:style w:type="paragraph" w:customStyle="1" w:styleId="388">
    <w:name w:val="p0"/>
    <w:basedOn w:val="1"/>
    <w:qFormat/>
    <w:uiPriority w:val="0"/>
    <w:pPr>
      <w:widowControl/>
      <w:adjustRightInd/>
    </w:pPr>
    <w:rPr>
      <w:kern w:val="0"/>
      <w:szCs w:val="21"/>
    </w:rPr>
  </w:style>
  <w:style w:type="paragraph" w:customStyle="1" w:styleId="389">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390">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391">
    <w:name w:val="默认段落样式"/>
    <w:basedOn w:val="392"/>
    <w:qFormat/>
    <w:uiPriority w:val="0"/>
    <w:pPr>
      <w:spacing w:before="0"/>
      <w:ind w:firstLine="480"/>
      <w:outlineLvl w:val="2"/>
    </w:pPr>
    <w:rPr>
      <w:rFonts w:ascii="仿宋_GB2312" w:hAnsi="宋体" w:eastAsia="仿宋_GB2312"/>
      <w:color w:val="000000"/>
      <w:szCs w:val="24"/>
    </w:rPr>
  </w:style>
  <w:style w:type="paragraph" w:customStyle="1" w:styleId="392">
    <w:name w:val="正文2"/>
    <w:basedOn w:val="1"/>
    <w:link w:val="445"/>
    <w:qFormat/>
    <w:uiPriority w:val="0"/>
    <w:pPr>
      <w:spacing w:before="156" w:line="360" w:lineRule="auto"/>
      <w:ind w:firstLine="510" w:firstLineChars="200"/>
    </w:pPr>
    <w:rPr>
      <w:sz w:val="24"/>
      <w:szCs w:val="20"/>
    </w:rPr>
  </w:style>
  <w:style w:type="paragraph" w:customStyle="1" w:styleId="393">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394">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395">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396">
    <w:name w:val="bullet"/>
    <w:basedOn w:val="1"/>
    <w:qFormat/>
    <w:uiPriority w:val="0"/>
    <w:pPr>
      <w:tabs>
        <w:tab w:val="left" w:pos="840"/>
      </w:tabs>
      <w:adjustRightInd/>
      <w:ind w:left="840" w:hanging="420"/>
    </w:pPr>
  </w:style>
  <w:style w:type="paragraph" w:customStyle="1" w:styleId="397">
    <w:name w:val="五级条标题"/>
    <w:basedOn w:val="170"/>
    <w:next w:val="137"/>
    <w:qFormat/>
    <w:uiPriority w:val="0"/>
    <w:pPr>
      <w:numPr>
        <w:ilvl w:val="6"/>
      </w:numPr>
      <w:tabs>
        <w:tab w:val="clear" w:pos="2940"/>
      </w:tabs>
      <w:outlineLvl w:val="6"/>
    </w:pPr>
  </w:style>
  <w:style w:type="paragraph" w:customStyle="1" w:styleId="398">
    <w:name w:val="Char Char Char Char Char Char Char Char"/>
    <w:basedOn w:val="1"/>
    <w:qFormat/>
    <w:uiPriority w:val="0"/>
    <w:pPr>
      <w:tabs>
        <w:tab w:val="left" w:pos="360"/>
      </w:tabs>
    </w:pPr>
    <w:rPr>
      <w:sz w:val="24"/>
      <w:szCs w:val="20"/>
    </w:rPr>
  </w:style>
  <w:style w:type="paragraph" w:customStyle="1" w:styleId="399">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400">
    <w:name w:val="数字标题5"/>
    <w:basedOn w:val="6"/>
    <w:next w:val="1"/>
    <w:qFormat/>
    <w:uiPriority w:val="0"/>
    <w:pPr>
      <w:numPr>
        <w:numId w:val="5"/>
      </w:numPr>
      <w:tabs>
        <w:tab w:val="left" w:pos="480"/>
        <w:tab w:val="left" w:pos="1080"/>
        <w:tab w:val="clear" w:pos="1008"/>
      </w:tabs>
    </w:pPr>
  </w:style>
  <w:style w:type="paragraph" w:customStyle="1" w:styleId="401">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402">
    <w:name w:val="公文正文"/>
    <w:basedOn w:val="1"/>
    <w:qFormat/>
    <w:uiPriority w:val="0"/>
    <w:pPr>
      <w:adjustRightInd/>
      <w:spacing w:before="156" w:line="360" w:lineRule="auto"/>
      <w:ind w:firstLine="360" w:firstLineChars="200"/>
    </w:pPr>
    <w:rPr>
      <w:rFonts w:ascii="仿宋_GB2312" w:eastAsia="仿宋_GB2312"/>
      <w:sz w:val="24"/>
    </w:rPr>
  </w:style>
  <w:style w:type="paragraph" w:customStyle="1" w:styleId="403">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404">
    <w:name w:val="表格文字"/>
    <w:basedOn w:val="1"/>
    <w:next w:val="15"/>
    <w:qFormat/>
    <w:uiPriority w:val="0"/>
    <w:pPr>
      <w:adjustRightInd/>
      <w:ind w:firstLine="200" w:firstLineChars="200"/>
    </w:pPr>
    <w:rPr>
      <w:rFonts w:ascii="Arial" w:hAnsi="Arial"/>
      <w:spacing w:val="-5"/>
      <w:kern w:val="0"/>
      <w:sz w:val="24"/>
      <w:szCs w:val="20"/>
    </w:rPr>
  </w:style>
  <w:style w:type="paragraph" w:customStyle="1" w:styleId="405">
    <w:name w:val="0"/>
    <w:basedOn w:val="1"/>
    <w:qFormat/>
    <w:uiPriority w:val="0"/>
    <w:pPr>
      <w:widowControl/>
    </w:pPr>
    <w:rPr>
      <w:kern w:val="0"/>
      <w:sz w:val="24"/>
      <w:szCs w:val="20"/>
    </w:rPr>
  </w:style>
  <w:style w:type="paragraph" w:customStyle="1" w:styleId="406">
    <w:name w:val="Char11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407">
    <w:name w:val="b11_01b"/>
    <w:basedOn w:val="1"/>
    <w:next w:val="1"/>
    <w:link w:val="549"/>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paragraph" w:customStyle="1" w:styleId="408">
    <w:name w:val="MM Topic 5"/>
    <w:basedOn w:val="6"/>
    <w:qFormat/>
    <w:uiPriority w:val="0"/>
    <w:pPr>
      <w:numPr>
        <w:numId w:val="4"/>
      </w:numPr>
      <w:tabs>
        <w:tab w:val="left" w:pos="840"/>
        <w:tab w:val="left" w:pos="2520"/>
        <w:tab w:val="clear" w:pos="1008"/>
      </w:tabs>
      <w:adjustRightInd/>
    </w:pPr>
  </w:style>
  <w:style w:type="paragraph" w:customStyle="1" w:styleId="409">
    <w:name w:val="样式 标题 3标题 3 Char第二层条h33Bold Headbh章标题1小标题level_3PIM 3..."/>
    <w:basedOn w:val="4"/>
    <w:qFormat/>
    <w:uiPriority w:val="0"/>
    <w:pPr>
      <w:numPr>
        <w:numId w:val="0"/>
      </w:numPr>
      <w:snapToGrid w:val="0"/>
      <w:spacing w:before="0" w:after="0" w:line="360" w:lineRule="auto"/>
    </w:pPr>
    <w:rPr>
      <w:rFonts w:ascii="黑体" w:hAnsi="宋体" w:eastAsia="黑体" w:cs="宋体"/>
      <w:b w:val="0"/>
      <w:bCs w:val="0"/>
      <w:color w:val="000000"/>
      <w:kern w:val="0"/>
      <w:sz w:val="28"/>
      <w:szCs w:val="20"/>
    </w:rPr>
  </w:style>
  <w:style w:type="paragraph" w:customStyle="1" w:styleId="410">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411">
    <w:name w:val="数字标题1"/>
    <w:basedOn w:val="2"/>
    <w:next w:val="1"/>
    <w:qFormat/>
    <w:uiPriority w:val="0"/>
    <w:pPr>
      <w:numPr>
        <w:numId w:val="5"/>
      </w:numPr>
      <w:tabs>
        <w:tab w:val="left" w:pos="480"/>
        <w:tab w:val="clear" w:pos="432"/>
      </w:tabs>
    </w:pPr>
  </w:style>
  <w:style w:type="paragraph" w:customStyle="1" w:styleId="412">
    <w:name w:val="Char1 Char Char Char6"/>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413">
    <w:name w:val="标书标题3"/>
    <w:basedOn w:val="4"/>
    <w:qFormat/>
    <w:uiPriority w:val="0"/>
    <w:pPr>
      <w:keepLines w:val="0"/>
      <w:widowControl/>
      <w:numPr>
        <w:numId w:val="0"/>
      </w:numPr>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414">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15">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416">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417">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418">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419">
    <w:name w:val="MM Topic 1"/>
    <w:basedOn w:val="2"/>
    <w:qFormat/>
    <w:uiPriority w:val="0"/>
    <w:pPr>
      <w:numPr>
        <w:numId w:val="0"/>
      </w:numPr>
      <w:tabs>
        <w:tab w:val="left" w:pos="840"/>
        <w:tab w:val="clear" w:pos="432"/>
      </w:tabs>
      <w:adjustRightInd/>
      <w:ind w:left="840" w:hanging="420"/>
    </w:pPr>
  </w:style>
  <w:style w:type="paragraph" w:customStyle="1" w:styleId="420">
    <w:name w:val="Char Char Char Char Char Char Char Char1"/>
    <w:basedOn w:val="1"/>
    <w:qFormat/>
    <w:uiPriority w:val="0"/>
    <w:pPr>
      <w:tabs>
        <w:tab w:val="left" w:pos="360"/>
      </w:tabs>
    </w:pPr>
    <w:rPr>
      <w:sz w:val="24"/>
      <w:szCs w:val="20"/>
    </w:rPr>
  </w:style>
  <w:style w:type="paragraph" w:customStyle="1" w:styleId="421">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422">
    <w:name w:val="Char3 Char Char Char1"/>
    <w:basedOn w:val="1"/>
    <w:qFormat/>
    <w:uiPriority w:val="0"/>
    <w:pPr>
      <w:widowControl/>
      <w:adjustRightInd/>
      <w:spacing w:after="160" w:line="240" w:lineRule="exact"/>
      <w:jc w:val="left"/>
    </w:pPr>
    <w:rPr>
      <w:szCs w:val="20"/>
    </w:rPr>
  </w:style>
  <w:style w:type="paragraph" w:customStyle="1" w:styleId="423">
    <w:name w:val="Char Char12"/>
    <w:basedOn w:val="1"/>
    <w:qFormat/>
    <w:uiPriority w:val="0"/>
    <w:pPr>
      <w:widowControl/>
      <w:spacing w:after="160" w:line="240" w:lineRule="exact"/>
      <w:jc w:val="left"/>
    </w:pPr>
    <w:rPr>
      <w:rFonts w:eastAsia="仿宋_GB2312"/>
      <w:sz w:val="28"/>
    </w:rPr>
  </w:style>
  <w:style w:type="paragraph" w:customStyle="1" w:styleId="424">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425">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426">
    <w:name w:val="正文文本 21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27">
    <w:name w:val="单元格左对齐"/>
    <w:basedOn w:val="1"/>
    <w:qFormat/>
    <w:uiPriority w:val="0"/>
    <w:pPr>
      <w:adjustRightInd/>
      <w:spacing w:line="360" w:lineRule="auto"/>
    </w:pPr>
    <w:rPr>
      <w:sz w:val="24"/>
    </w:rPr>
  </w:style>
  <w:style w:type="paragraph" w:customStyle="1" w:styleId="428">
    <w:name w:val="Char11"/>
    <w:basedOn w:val="1"/>
    <w:qFormat/>
    <w:uiPriority w:val="0"/>
    <w:pPr>
      <w:tabs>
        <w:tab w:val="left" w:pos="432"/>
      </w:tabs>
      <w:adjustRightInd/>
      <w:spacing w:before="156" w:beforeLines="50" w:after="156" w:afterLines="50"/>
      <w:ind w:left="432" w:hanging="432" w:firstLineChars="200"/>
    </w:pPr>
    <w:rPr>
      <w:sz w:val="24"/>
    </w:rPr>
  </w:style>
  <w:style w:type="paragraph" w:customStyle="1" w:styleId="429">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character" w:customStyle="1" w:styleId="430">
    <w:name w:val="正文文本 Char"/>
    <w:qFormat/>
    <w:uiPriority w:val="0"/>
    <w:rPr>
      <w:rFonts w:eastAsia="宋体"/>
      <w:kern w:val="2"/>
      <w:sz w:val="24"/>
      <w:szCs w:val="24"/>
      <w:lang w:val="en-US" w:eastAsia="zh-CN" w:bidi="ar-SA"/>
    </w:rPr>
  </w:style>
  <w:style w:type="character" w:customStyle="1" w:styleId="431">
    <w:name w:val="myp1111"/>
    <w:qFormat/>
    <w:uiPriority w:val="0"/>
    <w:rPr>
      <w:rFonts w:hint="default" w:ascii="ˎ̥" w:hAnsi="ˎ̥"/>
      <w:color w:val="000000"/>
      <w:sz w:val="20"/>
      <w:szCs w:val="20"/>
      <w:u w:val="none"/>
    </w:rPr>
  </w:style>
  <w:style w:type="character" w:customStyle="1" w:styleId="432">
    <w:name w:val="mdeck"/>
    <w:qFormat/>
    <w:uiPriority w:val="0"/>
    <w:rPr>
      <w:rFonts w:ascii="仿宋_GB2312" w:eastAsia="微软雅黑"/>
      <w:b/>
      <w:kern w:val="2"/>
      <w:sz w:val="32"/>
      <w:szCs w:val="32"/>
      <w:lang w:val="en-US" w:eastAsia="zh-CN" w:bidi="ar-SA"/>
    </w:rPr>
  </w:style>
  <w:style w:type="character" w:customStyle="1" w:styleId="433">
    <w:name w:val="签名 Char"/>
    <w:link w:val="39"/>
    <w:qFormat/>
    <w:uiPriority w:val="0"/>
    <w:rPr>
      <w:rFonts w:eastAsia="仿宋_GB2312"/>
      <w:sz w:val="24"/>
    </w:rPr>
  </w:style>
  <w:style w:type="character" w:customStyle="1" w:styleId="434">
    <w:name w:val="tw4winMark"/>
    <w:qFormat/>
    <w:uiPriority w:val="0"/>
    <w:rPr>
      <w:rFonts w:ascii="Courier New" w:hAnsi="Courier New" w:cs="Courier New"/>
      <w:vanish/>
      <w:color w:val="800080"/>
      <w:sz w:val="24"/>
      <w:szCs w:val="24"/>
      <w:vertAlign w:val="subscript"/>
    </w:rPr>
  </w:style>
  <w:style w:type="character" w:customStyle="1" w:styleId="435">
    <w:name w:val="Char Char9"/>
    <w:qFormat/>
    <w:uiPriority w:val="0"/>
    <w:rPr>
      <w:rFonts w:ascii="Times New Roman" w:hAnsi="Times New Roman" w:eastAsia="宋体" w:cs="Times New Roman"/>
      <w:b/>
      <w:bCs/>
      <w:kern w:val="2"/>
      <w:sz w:val="32"/>
      <w:szCs w:val="32"/>
      <w:lang w:val="en-US" w:eastAsia="zh-CN" w:bidi="ar-SA"/>
    </w:rPr>
  </w:style>
  <w:style w:type="character" w:customStyle="1" w:styleId="436">
    <w:name w:val="Balloon Text Char"/>
    <w:semiHidden/>
    <w:qFormat/>
    <w:locked/>
    <w:uiPriority w:val="0"/>
    <w:rPr>
      <w:rFonts w:eastAsia="宋体"/>
      <w:kern w:val="2"/>
      <w:sz w:val="18"/>
      <w:szCs w:val="18"/>
      <w:lang w:val="en-US" w:eastAsia="zh-CN" w:bidi="ar-SA"/>
    </w:rPr>
  </w:style>
  <w:style w:type="character" w:customStyle="1" w:styleId="437">
    <w:name w:val="正文非缩进 Char"/>
    <w:qFormat/>
    <w:uiPriority w:val="0"/>
    <w:rPr>
      <w:rFonts w:ascii="宋体" w:eastAsia="宋体"/>
      <w:snapToGrid w:val="0"/>
      <w:color w:val="000000"/>
      <w:kern w:val="28"/>
      <w:sz w:val="28"/>
      <w:lang w:val="en-US" w:eastAsia="zh-CN" w:bidi="ar-SA"/>
    </w:rPr>
  </w:style>
  <w:style w:type="character" w:customStyle="1" w:styleId="438">
    <w:name w:val="此正文 Char"/>
    <w:link w:val="353"/>
    <w:qFormat/>
    <w:uiPriority w:val="0"/>
    <w:rPr>
      <w:kern w:val="2"/>
      <w:sz w:val="24"/>
      <w:szCs w:val="24"/>
    </w:rPr>
  </w:style>
  <w:style w:type="character" w:customStyle="1" w:styleId="439">
    <w:name w:val="Ò³Ã¼ Char Char"/>
    <w:qFormat/>
    <w:uiPriority w:val="0"/>
    <w:rPr>
      <w:rFonts w:eastAsia="宋体"/>
      <w:kern w:val="2"/>
      <w:sz w:val="18"/>
      <w:lang w:val="en-US" w:eastAsia="zh-CN" w:bidi="ar-SA"/>
    </w:rPr>
  </w:style>
  <w:style w:type="character" w:customStyle="1" w:styleId="440">
    <w:name w:val="style91"/>
    <w:qFormat/>
    <w:uiPriority w:val="0"/>
    <w:rPr>
      <w:color w:val="333333"/>
    </w:rPr>
  </w:style>
  <w:style w:type="character" w:customStyle="1" w:styleId="441">
    <w:name w:val="标书1 Char"/>
    <w:qFormat/>
    <w:uiPriority w:val="0"/>
    <w:rPr>
      <w:rFonts w:eastAsia="宋体"/>
      <w:b/>
      <w:bCs/>
      <w:kern w:val="44"/>
      <w:sz w:val="44"/>
      <w:szCs w:val="44"/>
      <w:lang w:val="en-US" w:eastAsia="zh-CN" w:bidi="ar-SA"/>
    </w:rPr>
  </w:style>
  <w:style w:type="character" w:customStyle="1" w:styleId="442">
    <w:name w:val="ca-131"/>
    <w:qFormat/>
    <w:uiPriority w:val="0"/>
    <w:rPr>
      <w:rFonts w:hint="eastAsia" w:ascii="仿宋_GB2312" w:eastAsia="仿宋_GB2312"/>
      <w:b/>
      <w:bCs/>
      <w:color w:val="000000"/>
      <w:spacing w:val="-20"/>
      <w:sz w:val="24"/>
      <w:szCs w:val="24"/>
    </w:rPr>
  </w:style>
  <w:style w:type="character" w:customStyle="1" w:styleId="443">
    <w:name w:val="标书正文格式 Char"/>
    <w:qFormat/>
    <w:uiPriority w:val="0"/>
    <w:rPr>
      <w:rFonts w:eastAsia="楷体_GB2312"/>
      <w:kern w:val="2"/>
      <w:sz w:val="24"/>
      <w:szCs w:val="24"/>
      <w:lang w:bidi="ar-SA"/>
    </w:rPr>
  </w:style>
  <w:style w:type="character" w:customStyle="1" w:styleId="444">
    <w:name w:val="Char Char6"/>
    <w:qFormat/>
    <w:uiPriority w:val="0"/>
    <w:rPr>
      <w:rFonts w:eastAsia="宋体"/>
      <w:kern w:val="2"/>
      <w:sz w:val="21"/>
      <w:szCs w:val="24"/>
      <w:lang w:val="en-US" w:eastAsia="zh-CN" w:bidi="ar-SA"/>
    </w:rPr>
  </w:style>
  <w:style w:type="character" w:customStyle="1" w:styleId="445">
    <w:name w:val="正文2 Char Char"/>
    <w:link w:val="392"/>
    <w:qFormat/>
    <w:uiPriority w:val="0"/>
    <w:rPr>
      <w:rFonts w:eastAsia="宋体"/>
      <w:kern w:val="2"/>
      <w:sz w:val="24"/>
      <w:lang w:val="en-US" w:eastAsia="zh-CN" w:bidi="ar-SA"/>
    </w:rPr>
  </w:style>
  <w:style w:type="character" w:customStyle="1" w:styleId="446">
    <w:name w:val="content"/>
    <w:qFormat/>
    <w:uiPriority w:val="0"/>
  </w:style>
  <w:style w:type="character" w:customStyle="1" w:styleId="447">
    <w:name w:val="正文文本 2 Char"/>
    <w:qFormat/>
    <w:uiPriority w:val="0"/>
    <w:rPr>
      <w:rFonts w:eastAsia="宋体"/>
      <w:kern w:val="2"/>
      <w:sz w:val="21"/>
      <w:szCs w:val="24"/>
      <w:lang w:val="en-US" w:eastAsia="zh-CN" w:bidi="ar-SA"/>
    </w:rPr>
  </w:style>
  <w:style w:type="character" w:customStyle="1" w:styleId="448">
    <w:name w:val="Heading 2 Hidden Char"/>
    <w:qFormat/>
    <w:uiPriority w:val="0"/>
    <w:rPr>
      <w:rFonts w:ascii="仿宋_GB2312" w:eastAsia="仿宋_GB2312"/>
      <w:b/>
      <w:bCs/>
      <w:kern w:val="2"/>
      <w:sz w:val="24"/>
      <w:szCs w:val="24"/>
      <w:lang w:val="zh-CN" w:eastAsia="zh-CN" w:bidi="ar-SA"/>
    </w:rPr>
  </w:style>
  <w:style w:type="character" w:customStyle="1" w:styleId="449">
    <w:name w:val="首行缩进 Char"/>
    <w:qFormat/>
    <w:uiPriority w:val="0"/>
    <w:rPr>
      <w:rFonts w:ascii="宋体" w:eastAsia="宋体"/>
      <w:kern w:val="2"/>
      <w:sz w:val="24"/>
      <w:lang w:val="en-US" w:eastAsia="zh-CN" w:bidi="ar-SA"/>
    </w:rPr>
  </w:style>
  <w:style w:type="character" w:customStyle="1" w:styleId="450">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451">
    <w:name w:val="普通文字 Char Char1"/>
    <w:qFormat/>
    <w:uiPriority w:val="0"/>
    <w:rPr>
      <w:rFonts w:ascii="宋体" w:hAnsi="Courier New"/>
      <w:kern w:val="2"/>
      <w:sz w:val="21"/>
    </w:rPr>
  </w:style>
  <w:style w:type="character" w:customStyle="1" w:styleId="452">
    <w:name w:val="Footer-Even Char"/>
    <w:qFormat/>
    <w:uiPriority w:val="0"/>
    <w:rPr>
      <w:rFonts w:eastAsia="宋体"/>
      <w:kern w:val="2"/>
      <w:sz w:val="18"/>
      <w:lang w:val="en-US" w:eastAsia="zh-CN" w:bidi="ar-SA"/>
    </w:rPr>
  </w:style>
  <w:style w:type="character" w:customStyle="1" w:styleId="453">
    <w:name w:val="dandyren_title1"/>
    <w:qFormat/>
    <w:uiPriority w:val="0"/>
    <w:rPr>
      <w:b/>
      <w:bCs/>
      <w:color w:val="FF6633"/>
      <w:sz w:val="18"/>
      <w:szCs w:val="18"/>
    </w:rPr>
  </w:style>
  <w:style w:type="character" w:customStyle="1" w:styleId="454">
    <w:name w:val="标题 3 Char2"/>
    <w:qFormat/>
    <w:uiPriority w:val="0"/>
    <w:rPr>
      <w:rFonts w:eastAsia="宋体"/>
      <w:b/>
      <w:bCs/>
      <w:kern w:val="2"/>
      <w:sz w:val="32"/>
      <w:szCs w:val="32"/>
      <w:lang w:val="en-US" w:eastAsia="zh-CN" w:bidi="ar-SA"/>
    </w:rPr>
  </w:style>
  <w:style w:type="character" w:customStyle="1" w:styleId="455">
    <w:name w:val="gray6"/>
    <w:basedOn w:val="62"/>
    <w:qFormat/>
    <w:uiPriority w:val="0"/>
  </w:style>
  <w:style w:type="character" w:customStyle="1" w:styleId="456">
    <w:name w:val="标准正文格式 Char"/>
    <w:qFormat/>
    <w:uiPriority w:val="0"/>
    <w:rPr>
      <w:rFonts w:ascii="宋体" w:eastAsia="仿宋_GB2312" w:cs="宋体"/>
      <w:color w:val="000000"/>
      <w:sz w:val="24"/>
      <w:lang w:val="en-US" w:eastAsia="zh-CN" w:bidi="ar-SA"/>
    </w:rPr>
  </w:style>
  <w:style w:type="character" w:customStyle="1" w:styleId="457">
    <w:name w:val="Char Char3"/>
    <w:qFormat/>
    <w:uiPriority w:val="0"/>
    <w:rPr>
      <w:rFonts w:eastAsia="宋体"/>
      <w:kern w:val="2"/>
      <w:sz w:val="21"/>
      <w:szCs w:val="24"/>
      <w:lang w:val="en-US" w:eastAsia="zh-CN" w:bidi="ar-SA"/>
    </w:rPr>
  </w:style>
  <w:style w:type="character" w:customStyle="1" w:styleId="458">
    <w:name w:val="px14"/>
    <w:qFormat/>
    <w:uiPriority w:val="0"/>
    <w:rPr>
      <w:rFonts w:ascii="仿宋_GB2312" w:eastAsia="微软雅黑" w:cs="Times New Roman"/>
      <w:b/>
      <w:kern w:val="2"/>
      <w:sz w:val="32"/>
      <w:szCs w:val="32"/>
      <w:lang w:val="en-US" w:eastAsia="zh-CN" w:bidi="ar-SA"/>
    </w:rPr>
  </w:style>
  <w:style w:type="character" w:customStyle="1" w:styleId="459">
    <w:name w:val="txt"/>
    <w:qFormat/>
    <w:uiPriority w:val="0"/>
    <w:rPr>
      <w:rFonts w:ascii="仿宋_GB2312" w:eastAsia="微软雅黑"/>
      <w:b/>
      <w:kern w:val="2"/>
      <w:sz w:val="32"/>
      <w:szCs w:val="32"/>
      <w:lang w:val="en-US" w:eastAsia="zh-CN" w:bidi="ar-SA"/>
    </w:rPr>
  </w:style>
  <w:style w:type="character" w:customStyle="1" w:styleId="460">
    <w:name w:val="仿宋正文 Char"/>
    <w:link w:val="337"/>
    <w:qFormat/>
    <w:uiPriority w:val="0"/>
    <w:rPr>
      <w:rFonts w:ascii="仿宋_GB2312" w:eastAsia="仿宋_GB2312"/>
      <w:kern w:val="2"/>
      <w:sz w:val="24"/>
      <w:lang w:val="en-US" w:eastAsia="zh-CN" w:bidi="ar-SA"/>
    </w:rPr>
  </w:style>
  <w:style w:type="character" w:customStyle="1" w:styleId="461">
    <w:name w:val="Comment Text Char"/>
    <w:semiHidden/>
    <w:qFormat/>
    <w:locked/>
    <w:uiPriority w:val="0"/>
    <w:rPr>
      <w:rFonts w:ascii="宋体" w:hAnsi="宋体" w:eastAsia="宋体"/>
      <w:kern w:val="2"/>
      <w:sz w:val="24"/>
      <w:lang w:val="en-US" w:eastAsia="zh-CN" w:bidi="ar-SA"/>
    </w:rPr>
  </w:style>
  <w:style w:type="character" w:customStyle="1" w:styleId="462">
    <w:name w:val="tw4winExternal"/>
    <w:qFormat/>
    <w:uiPriority w:val="0"/>
    <w:rPr>
      <w:rFonts w:ascii="Courier New" w:hAnsi="Courier New" w:cs="Courier New"/>
      <w:color w:val="808080"/>
    </w:rPr>
  </w:style>
  <w:style w:type="character" w:customStyle="1" w:styleId="463">
    <w:name w:val="Char Char10"/>
    <w:semiHidden/>
    <w:qFormat/>
    <w:uiPriority w:val="0"/>
    <w:rPr>
      <w:rFonts w:ascii="宋体" w:hAnsi="宋体"/>
      <w:kern w:val="2"/>
      <w:sz w:val="21"/>
      <w:szCs w:val="24"/>
    </w:rPr>
  </w:style>
  <w:style w:type="character" w:customStyle="1" w:styleId="464">
    <w:name w:val="Bold"/>
    <w:qFormat/>
    <w:uiPriority w:val="0"/>
    <w:rPr>
      <w:rFonts w:ascii="Arial" w:hAnsi="Arial" w:eastAsia="黑体" w:cs="Times New Roman"/>
      <w:b/>
      <w:kern w:val="2"/>
      <w:sz w:val="32"/>
      <w:szCs w:val="32"/>
      <w:lang w:val="en-US" w:eastAsia="zh-CN" w:bidi="ar-SA"/>
    </w:rPr>
  </w:style>
  <w:style w:type="character" w:customStyle="1" w:styleId="465">
    <w:name w:val="Font Style82"/>
    <w:qFormat/>
    <w:uiPriority w:val="99"/>
    <w:rPr>
      <w:rFonts w:ascii="宋体" w:eastAsia="宋体" w:cs="宋体"/>
      <w:color w:val="000000"/>
      <w:sz w:val="14"/>
      <w:szCs w:val="14"/>
    </w:rPr>
  </w:style>
  <w:style w:type="character" w:customStyle="1" w:styleId="466">
    <w:name w:val="标题 2 Char"/>
    <w:qFormat/>
    <w:uiPriority w:val="0"/>
    <w:rPr>
      <w:rFonts w:ascii="Arial" w:hAnsi="Arial" w:eastAsia="黑体"/>
      <w:b/>
      <w:kern w:val="2"/>
      <w:sz w:val="32"/>
      <w:lang w:val="en-US" w:eastAsia="zh-CN"/>
    </w:rPr>
  </w:style>
  <w:style w:type="character" w:customStyle="1" w:styleId="467">
    <w:name w:val="h3 Char"/>
    <w:qFormat/>
    <w:uiPriority w:val="0"/>
    <w:rPr>
      <w:rFonts w:eastAsia="宋体"/>
      <w:b/>
      <w:kern w:val="2"/>
      <w:sz w:val="32"/>
      <w:lang w:val="en-US" w:eastAsia="zh-CN" w:bidi="ar-SA"/>
    </w:rPr>
  </w:style>
  <w:style w:type="character" w:customStyle="1" w:styleId="468">
    <w:name w:val="页眉 Char1"/>
    <w:qFormat/>
    <w:uiPriority w:val="0"/>
    <w:rPr>
      <w:rFonts w:eastAsia="宋体"/>
      <w:kern w:val="2"/>
      <w:sz w:val="18"/>
      <w:szCs w:val="18"/>
      <w:lang w:val="en-US" w:eastAsia="zh-CN" w:bidi="ar-SA"/>
    </w:rPr>
  </w:style>
  <w:style w:type="character" w:customStyle="1" w:styleId="469">
    <w:name w:val="标题 8 Char"/>
    <w:link w:val="9"/>
    <w:qFormat/>
    <w:uiPriority w:val="0"/>
    <w:rPr>
      <w:rFonts w:ascii="Arial" w:hAnsi="Arial" w:eastAsia="黑体"/>
      <w:kern w:val="2"/>
      <w:sz w:val="24"/>
      <w:szCs w:val="24"/>
    </w:rPr>
  </w:style>
  <w:style w:type="character" w:customStyle="1" w:styleId="470">
    <w:name w:val="冯广丽 Char"/>
    <w:link w:val="233"/>
    <w:qFormat/>
    <w:uiPriority w:val="0"/>
    <w:rPr>
      <w:rFonts w:ascii="宋体" w:hAnsi="宋体"/>
      <w:kern w:val="2"/>
      <w:sz w:val="24"/>
      <w:szCs w:val="22"/>
    </w:rPr>
  </w:style>
  <w:style w:type="character" w:customStyle="1" w:styleId="471">
    <w:name w:val="脚注文本 Char"/>
    <w:link w:val="47"/>
    <w:qFormat/>
    <w:uiPriority w:val="0"/>
    <w:rPr>
      <w:color w:val="0000FF"/>
      <w:sz w:val="21"/>
    </w:rPr>
  </w:style>
  <w:style w:type="character" w:customStyle="1" w:styleId="472">
    <w:name w:val="font12gray1"/>
    <w:qFormat/>
    <w:uiPriority w:val="0"/>
    <w:rPr>
      <w:rFonts w:ascii="仿宋_GB2312" w:eastAsia="微软雅黑"/>
      <w:b/>
      <w:spacing w:val="300"/>
      <w:kern w:val="2"/>
      <w:sz w:val="18"/>
      <w:szCs w:val="18"/>
      <w:lang w:val="en-US" w:eastAsia="zh-CN" w:bidi="ar-SA"/>
    </w:rPr>
  </w:style>
  <w:style w:type="character" w:customStyle="1" w:styleId="473">
    <w:name w:val="正文文本缩进 Char1"/>
    <w:link w:val="23"/>
    <w:qFormat/>
    <w:uiPriority w:val="0"/>
    <w:rPr>
      <w:rFonts w:ascii="宋体" w:hAnsi="宋体"/>
      <w:kern w:val="2"/>
      <w:sz w:val="24"/>
      <w:szCs w:val="24"/>
    </w:rPr>
  </w:style>
  <w:style w:type="character" w:customStyle="1" w:styleId="474">
    <w:name w:val="方案正文 Char"/>
    <w:qFormat/>
    <w:uiPriority w:val="0"/>
    <w:rPr>
      <w:rFonts w:ascii="仿宋_GB2312" w:eastAsia="仿宋_GB2312"/>
      <w:b/>
      <w:color w:val="000000"/>
      <w:kern w:val="2"/>
      <w:sz w:val="24"/>
      <w:lang w:val="en-US" w:eastAsia="zh-CN" w:bidi="ar-SA"/>
    </w:rPr>
  </w:style>
  <w:style w:type="character" w:customStyle="1" w:styleId="475">
    <w:name w:val="Item List Char"/>
    <w:link w:val="260"/>
    <w:qFormat/>
    <w:uiPriority w:val="0"/>
    <w:rPr>
      <w:rFonts w:ascii="Arial"/>
      <w:bCs/>
      <w:sz w:val="21"/>
      <w:szCs w:val="21"/>
      <w:lang w:val="en-US" w:eastAsia="zh-CN" w:bidi="ar-SA"/>
    </w:rPr>
  </w:style>
  <w:style w:type="character" w:customStyle="1" w:styleId="476">
    <w:name w:val="Normal Indent Char Char"/>
    <w:qFormat/>
    <w:uiPriority w:val="0"/>
    <w:rPr>
      <w:rFonts w:eastAsia="宋体"/>
      <w:kern w:val="2"/>
      <w:sz w:val="21"/>
      <w:lang w:val="en-US" w:eastAsia="zh-CN" w:bidi="ar-SA"/>
    </w:rPr>
  </w:style>
  <w:style w:type="character" w:customStyle="1" w:styleId="477">
    <w:name w:val="t21"/>
    <w:qFormat/>
    <w:uiPriority w:val="0"/>
    <w:rPr>
      <w:rFonts w:ascii="仿宋_GB2312" w:eastAsia="微软雅黑"/>
      <w:b/>
      <w:kern w:val="2"/>
      <w:sz w:val="23"/>
      <w:szCs w:val="23"/>
      <w:lang w:val="en-US" w:eastAsia="zh-CN" w:bidi="ar-SA"/>
    </w:rPr>
  </w:style>
  <w:style w:type="character" w:customStyle="1" w:styleId="478">
    <w:name w:val="Char Char121"/>
    <w:qFormat/>
    <w:uiPriority w:val="0"/>
    <w:rPr>
      <w:rFonts w:ascii="仿宋_GB2312" w:eastAsia="仿宋_GB2312"/>
      <w:b/>
      <w:bCs/>
      <w:kern w:val="2"/>
      <w:sz w:val="24"/>
      <w:szCs w:val="24"/>
      <w:lang w:val="zh-CN" w:eastAsia="zh-CN" w:bidi="ar-SA"/>
    </w:rPr>
  </w:style>
  <w:style w:type="character" w:customStyle="1" w:styleId="479">
    <w:name w:val="标题 7 Char"/>
    <w:link w:val="8"/>
    <w:qFormat/>
    <w:uiPriority w:val="0"/>
    <w:rPr>
      <w:b/>
      <w:bCs/>
      <w:kern w:val="2"/>
      <w:sz w:val="24"/>
      <w:szCs w:val="24"/>
    </w:rPr>
  </w:style>
  <w:style w:type="character" w:customStyle="1" w:styleId="480">
    <w:name w:val="称呼 Char"/>
    <w:link w:val="20"/>
    <w:qFormat/>
    <w:uiPriority w:val="0"/>
    <w:rPr>
      <w:rFonts w:ascii="仿宋_GB2312" w:eastAsia="仿宋_GB2312"/>
      <w:kern w:val="2"/>
      <w:sz w:val="28"/>
    </w:rPr>
  </w:style>
  <w:style w:type="character" w:customStyle="1" w:styleId="481">
    <w:name w:val="正文 项目 Char"/>
    <w:qFormat/>
    <w:uiPriority w:val="0"/>
    <w:rPr>
      <w:rFonts w:ascii="仿宋_GB2312" w:hAnsi="仿宋_GB2312" w:eastAsia="仿宋_GB2312"/>
      <w:kern w:val="2"/>
      <w:sz w:val="24"/>
      <w:lang w:bidi="ar-SA"/>
    </w:rPr>
  </w:style>
  <w:style w:type="character" w:customStyle="1" w:styleId="482">
    <w:name w:val="普通文字 Char1"/>
    <w:qFormat/>
    <w:uiPriority w:val="0"/>
    <w:rPr>
      <w:rFonts w:ascii="宋体" w:hAnsi="Courier New" w:eastAsia="宋体"/>
      <w:kern w:val="2"/>
      <w:sz w:val="21"/>
      <w:lang w:val="en-US" w:eastAsia="zh-CN"/>
    </w:rPr>
  </w:style>
  <w:style w:type="character" w:customStyle="1" w:styleId="483">
    <w:name w:val="正文1 Char1"/>
    <w:qFormat/>
    <w:uiPriority w:val="0"/>
    <w:rPr>
      <w:rFonts w:ascii="仿宋_GB2312" w:hAnsi="Courier New" w:eastAsia="仿宋_GB2312"/>
      <w:kern w:val="28"/>
      <w:sz w:val="24"/>
      <w:szCs w:val="24"/>
    </w:rPr>
  </w:style>
  <w:style w:type="character" w:customStyle="1" w:styleId="484">
    <w:name w:val="hei16b1"/>
    <w:qFormat/>
    <w:uiPriority w:val="0"/>
    <w:rPr>
      <w:rFonts w:hint="default" w:ascii="Arial" w:hAnsi="Arial" w:cs="Arial"/>
      <w:b/>
      <w:bCs/>
      <w:color w:val="000000"/>
      <w:sz w:val="24"/>
      <w:szCs w:val="24"/>
    </w:rPr>
  </w:style>
  <w:style w:type="character" w:customStyle="1" w:styleId="485">
    <w:name w:val="c7 style3"/>
    <w:qFormat/>
    <w:uiPriority w:val="0"/>
  </w:style>
  <w:style w:type="character" w:customStyle="1" w:styleId="486">
    <w:name w:val="副标题 Char"/>
    <w:link w:val="44"/>
    <w:qFormat/>
    <w:uiPriority w:val="0"/>
    <w:rPr>
      <w:rFonts w:ascii="Arial" w:hAnsi="Arial" w:eastAsia="隶书"/>
      <w:b/>
      <w:bCs/>
      <w:kern w:val="28"/>
      <w:sz w:val="44"/>
      <w:szCs w:val="32"/>
      <w:lang w:val="en-US" w:eastAsia="zh-CN" w:bidi="ar-SA"/>
    </w:rPr>
  </w:style>
  <w:style w:type="character" w:customStyle="1" w:styleId="487">
    <w:name w:val="纯文本 Char"/>
    <w:link w:val="31"/>
    <w:qFormat/>
    <w:uiPriority w:val="0"/>
    <w:rPr>
      <w:rFonts w:ascii="宋体" w:hAnsi="Courier New" w:eastAsia="宋体" w:cs="Arial"/>
      <w:snapToGrid w:val="0"/>
      <w:kern w:val="2"/>
      <w:sz w:val="21"/>
      <w:szCs w:val="21"/>
      <w:lang w:val="en-US" w:eastAsia="zh-CN" w:bidi="ar-SA"/>
    </w:rPr>
  </w:style>
  <w:style w:type="character" w:customStyle="1" w:styleId="488">
    <w:name w:val="表正文 Char1"/>
    <w:qFormat/>
    <w:uiPriority w:val="0"/>
    <w:rPr>
      <w:rFonts w:ascii="宋体" w:eastAsia="宋体"/>
      <w:snapToGrid w:val="0"/>
      <w:color w:val="000000"/>
      <w:kern w:val="28"/>
      <w:sz w:val="28"/>
    </w:rPr>
  </w:style>
  <w:style w:type="character" w:customStyle="1" w:styleId="489">
    <w:name w:val="Char Char5"/>
    <w:qFormat/>
    <w:uiPriority w:val="0"/>
    <w:rPr>
      <w:rFonts w:ascii="宋体" w:hAnsi="Courier New" w:eastAsia="宋体"/>
      <w:kern w:val="2"/>
      <w:sz w:val="21"/>
      <w:lang w:val="en-US" w:eastAsia="zh-CN"/>
    </w:rPr>
  </w:style>
  <w:style w:type="character" w:customStyle="1" w:styleId="490">
    <w:name w:val="标题 1 Char Char"/>
    <w:qFormat/>
    <w:uiPriority w:val="0"/>
    <w:rPr>
      <w:rFonts w:hint="eastAsia" w:ascii="宋体" w:hAnsi="宋体" w:eastAsia="宋体"/>
      <w:b/>
      <w:spacing w:val="-2"/>
      <w:sz w:val="24"/>
      <w:lang w:val="en-US" w:eastAsia="zh-CN" w:bidi="ar-SA"/>
    </w:rPr>
  </w:style>
  <w:style w:type="character" w:customStyle="1" w:styleId="491">
    <w:name w:val="Char Char4"/>
    <w:qFormat/>
    <w:uiPriority w:val="0"/>
    <w:rPr>
      <w:rFonts w:eastAsia="宋体"/>
      <w:b/>
      <w:sz w:val="24"/>
      <w:lang w:val="en-GB" w:eastAsia="zh-CN" w:bidi="ar-SA"/>
    </w:rPr>
  </w:style>
  <w:style w:type="character" w:customStyle="1" w:styleId="492">
    <w:name w:val="zbggmain style9"/>
    <w:qFormat/>
    <w:uiPriority w:val="0"/>
  </w:style>
  <w:style w:type="character" w:customStyle="1" w:styleId="493">
    <w:name w:val="Header Char"/>
    <w:semiHidden/>
    <w:qFormat/>
    <w:locked/>
    <w:uiPriority w:val="0"/>
    <w:rPr>
      <w:rFonts w:eastAsia="宋体"/>
      <w:kern w:val="2"/>
      <w:sz w:val="18"/>
      <w:szCs w:val="18"/>
      <w:lang w:val="en-US" w:eastAsia="zh-CN" w:bidi="ar-SA"/>
    </w:rPr>
  </w:style>
  <w:style w:type="character" w:customStyle="1" w:styleId="494">
    <w:name w:val="样式 宋体"/>
    <w:qFormat/>
    <w:uiPriority w:val="0"/>
    <w:rPr>
      <w:rFonts w:ascii="宋体" w:hAnsi="宋体"/>
      <w:sz w:val="24"/>
    </w:rPr>
  </w:style>
  <w:style w:type="character" w:customStyle="1" w:styleId="495">
    <w:name w:val="哈哈正文 Char"/>
    <w:link w:val="311"/>
    <w:qFormat/>
    <w:uiPriority w:val="0"/>
    <w:rPr>
      <w:rFonts w:ascii="宋体" w:hAnsi="宋体" w:eastAsia="宋体"/>
      <w:kern w:val="2"/>
      <w:sz w:val="24"/>
      <w:lang w:bidi="ar-SA"/>
    </w:rPr>
  </w:style>
  <w:style w:type="character" w:customStyle="1" w:styleId="496">
    <w:name w:val="标题 Char"/>
    <w:qFormat/>
    <w:uiPriority w:val="0"/>
    <w:rPr>
      <w:rFonts w:eastAsia="宋体"/>
      <w:b/>
      <w:sz w:val="24"/>
      <w:lang w:val="en-GB" w:eastAsia="zh-CN" w:bidi="ar-SA"/>
    </w:rPr>
  </w:style>
  <w:style w:type="character" w:customStyle="1" w:styleId="497">
    <w:name w:val="纯文本 Char Char Char"/>
    <w:qFormat/>
    <w:uiPriority w:val="0"/>
    <w:rPr>
      <w:rFonts w:ascii="宋体" w:hAnsi="Courier New" w:eastAsia="宋体"/>
      <w:kern w:val="2"/>
      <w:sz w:val="21"/>
      <w:lang w:val="en-US" w:eastAsia="zh-CN" w:bidi="ar-SA"/>
    </w:rPr>
  </w:style>
  <w:style w:type="character" w:customStyle="1" w:styleId="498">
    <w:name w:val="正文 编号 Char"/>
    <w:qFormat/>
    <w:uiPriority w:val="0"/>
    <w:rPr>
      <w:rFonts w:ascii="仿宋_GB2312" w:hAnsi="仿宋_GB2312" w:eastAsia="仿宋_GB2312"/>
      <w:kern w:val="2"/>
      <w:sz w:val="24"/>
      <w:lang w:bidi="ar-SA"/>
    </w:rPr>
  </w:style>
  <w:style w:type="character" w:customStyle="1" w:styleId="499">
    <w:name w:val="插图说明 Char"/>
    <w:qFormat/>
    <w:uiPriority w:val="0"/>
    <w:rPr>
      <w:rFonts w:eastAsia="黑体"/>
      <w:sz w:val="24"/>
      <w:lang w:val="en-US" w:eastAsia="zh-CN"/>
    </w:rPr>
  </w:style>
  <w:style w:type="character" w:customStyle="1" w:styleId="500">
    <w:name w:val="正文首行缩进 2 Char"/>
    <w:link w:val="59"/>
    <w:qFormat/>
    <w:uiPriority w:val="0"/>
    <w:rPr>
      <w:rFonts w:ascii="宋体" w:hAnsi="宋体"/>
      <w:kern w:val="2"/>
      <w:sz w:val="21"/>
      <w:szCs w:val="24"/>
    </w:rPr>
  </w:style>
  <w:style w:type="character" w:customStyle="1" w:styleId="501">
    <w:name w:val="正文文本缩进 2 Char"/>
    <w:link w:val="35"/>
    <w:qFormat/>
    <w:uiPriority w:val="0"/>
    <w:rPr>
      <w:rFonts w:ascii="宋体"/>
      <w:sz w:val="28"/>
    </w:rPr>
  </w:style>
  <w:style w:type="character" w:customStyle="1" w:styleId="502">
    <w:name w:val="公文正文 Char"/>
    <w:qFormat/>
    <w:uiPriority w:val="0"/>
    <w:rPr>
      <w:rFonts w:ascii="仿宋_GB2312" w:eastAsia="仿宋_GB2312"/>
      <w:kern w:val="2"/>
      <w:sz w:val="24"/>
      <w:szCs w:val="24"/>
      <w:lang w:val="en-US" w:eastAsia="zh-CN" w:bidi="ar-SA"/>
    </w:rPr>
  </w:style>
  <w:style w:type="character" w:customStyle="1" w:styleId="503">
    <w:name w:val="Char Char41"/>
    <w:qFormat/>
    <w:uiPriority w:val="0"/>
    <w:rPr>
      <w:rFonts w:eastAsia="宋体"/>
      <w:b/>
      <w:sz w:val="24"/>
      <w:lang w:val="en-GB" w:eastAsia="zh-CN" w:bidi="ar-SA"/>
    </w:rPr>
  </w:style>
  <w:style w:type="character" w:customStyle="1" w:styleId="504">
    <w:name w:val="unnamed31"/>
    <w:qFormat/>
    <w:uiPriority w:val="0"/>
    <w:rPr>
      <w:rFonts w:ascii="Tahoma" w:hAnsi="Tahoma" w:eastAsia="宋体"/>
      <w:b/>
      <w:kern w:val="2"/>
      <w:sz w:val="24"/>
      <w:szCs w:val="32"/>
      <w:u w:val="none"/>
      <w:lang w:val="en-US" w:eastAsia="zh-CN" w:bidi="ar-SA"/>
    </w:rPr>
  </w:style>
  <w:style w:type="character" w:customStyle="1" w:styleId="505">
    <w:name w:val="Char Char91"/>
    <w:qFormat/>
    <w:uiPriority w:val="0"/>
    <w:rPr>
      <w:rFonts w:eastAsia="宋体"/>
      <w:kern w:val="2"/>
      <w:sz w:val="18"/>
      <w:szCs w:val="18"/>
      <w:lang w:val="en-US" w:eastAsia="zh-CN" w:bidi="ar-SA"/>
    </w:rPr>
  </w:style>
  <w:style w:type="character" w:customStyle="1" w:styleId="506">
    <w:name w:val="Footer-Even Char1"/>
    <w:qFormat/>
    <w:uiPriority w:val="0"/>
    <w:rPr>
      <w:rFonts w:eastAsia="宋体"/>
      <w:kern w:val="2"/>
      <w:sz w:val="18"/>
      <w:szCs w:val="18"/>
      <w:lang w:val="en-US" w:eastAsia="zh-CN" w:bidi="ar-SA"/>
    </w:rPr>
  </w:style>
  <w:style w:type="character" w:customStyle="1" w:styleId="507">
    <w:name w:val="gf正文1 Char"/>
    <w:qFormat/>
    <w:uiPriority w:val="0"/>
    <w:rPr>
      <w:rFonts w:ascii="宋体" w:hAnsi="宋体" w:eastAsia="宋体" w:cs="宋体"/>
      <w:kern w:val="2"/>
      <w:sz w:val="24"/>
      <w:szCs w:val="24"/>
      <w:lang w:val="en-US" w:eastAsia="zh-CN" w:bidi="ar-SA"/>
    </w:rPr>
  </w:style>
  <w:style w:type="character" w:customStyle="1" w:styleId="508">
    <w:name w:val="javascript"/>
    <w:qFormat/>
    <w:uiPriority w:val="0"/>
  </w:style>
  <w:style w:type="character" w:customStyle="1" w:styleId="509">
    <w:name w:val="列出段落 Char"/>
    <w:qFormat/>
    <w:uiPriority w:val="34"/>
    <w:rPr>
      <w:rFonts w:eastAsia="楷体_GB2312" w:cs="Lucida Sans"/>
      <w:kern w:val="2"/>
      <w:sz w:val="24"/>
      <w:szCs w:val="24"/>
      <w:lang w:val="en-US" w:eastAsia="zh-CN" w:bidi="ar-SA"/>
    </w:rPr>
  </w:style>
  <w:style w:type="character" w:customStyle="1" w:styleId="510">
    <w:name w:val="正文文本 Char1"/>
    <w:link w:val="22"/>
    <w:qFormat/>
    <w:uiPriority w:val="0"/>
    <w:rPr>
      <w:rFonts w:ascii="宋体" w:hAnsi="Arial" w:eastAsia="宋体" w:cs="Arial"/>
      <w:snapToGrid w:val="0"/>
      <w:kern w:val="2"/>
      <w:sz w:val="24"/>
      <w:szCs w:val="21"/>
      <w:lang w:val="zh-CN" w:eastAsia="zh-CN" w:bidi="ar-SA"/>
    </w:rPr>
  </w:style>
  <w:style w:type="character" w:customStyle="1" w:styleId="511">
    <w:name w:val="标书表格字体格式 Char"/>
    <w:qFormat/>
    <w:uiPriority w:val="0"/>
    <w:rPr>
      <w:kern w:val="2"/>
      <w:sz w:val="21"/>
      <w:szCs w:val="24"/>
      <w:lang w:bidi="ar-SA"/>
    </w:rPr>
  </w:style>
  <w:style w:type="character" w:customStyle="1" w:styleId="512">
    <w:name w:val="普通文字 Char3"/>
    <w:qFormat/>
    <w:uiPriority w:val="0"/>
    <w:rPr>
      <w:rFonts w:ascii="宋体" w:hAnsi="Courier New" w:eastAsia="宋体"/>
      <w:kern w:val="2"/>
      <w:sz w:val="21"/>
      <w:lang w:val="en-US" w:eastAsia="zh-CN" w:bidi="ar-SA"/>
    </w:rPr>
  </w:style>
  <w:style w:type="character" w:customStyle="1" w:styleId="513">
    <w:name w:val="h Char Char1"/>
    <w:qFormat/>
    <w:uiPriority w:val="0"/>
    <w:rPr>
      <w:rFonts w:eastAsia="宋体"/>
      <w:kern w:val="2"/>
      <w:sz w:val="18"/>
      <w:szCs w:val="18"/>
      <w:lang w:val="en-US" w:eastAsia="zh-CN" w:bidi="ar-SA"/>
    </w:rPr>
  </w:style>
  <w:style w:type="character" w:customStyle="1" w:styleId="514">
    <w:name w:val="冯 Char"/>
    <w:link w:val="72"/>
    <w:qFormat/>
    <w:uiPriority w:val="0"/>
    <w:rPr>
      <w:rFonts w:ascii="宋体" w:hAnsi="宋体"/>
      <w:color w:val="000000"/>
      <w:sz w:val="24"/>
      <w:szCs w:val="24"/>
    </w:rPr>
  </w:style>
  <w:style w:type="character" w:customStyle="1" w:styleId="515">
    <w:name w:val="highlight1"/>
    <w:qFormat/>
    <w:uiPriority w:val="0"/>
    <w:rPr>
      <w:rFonts w:ascii="仿宋_GB2312" w:eastAsia="微软雅黑"/>
      <w:b/>
      <w:kern w:val="2"/>
      <w:sz w:val="23"/>
      <w:szCs w:val="23"/>
      <w:lang w:val="en-US" w:eastAsia="zh-CN" w:bidi="ar-SA"/>
    </w:rPr>
  </w:style>
  <w:style w:type="character" w:customStyle="1" w:styleId="516">
    <w:name w:val="样式6 Char"/>
    <w:qFormat/>
    <w:uiPriority w:val="0"/>
    <w:rPr>
      <w:rFonts w:ascii="仿宋_GB2312" w:hAnsi="宋体" w:eastAsia="仿宋_GB2312"/>
      <w:b/>
      <w:bCs/>
      <w:kern w:val="2"/>
      <w:sz w:val="24"/>
      <w:szCs w:val="24"/>
      <w:lang w:val="en-US" w:eastAsia="zh-CN" w:bidi="ar-SA"/>
    </w:rPr>
  </w:style>
  <w:style w:type="character" w:customStyle="1" w:styleId="517">
    <w:name w:val="标题 9 Char"/>
    <w:link w:val="10"/>
    <w:qFormat/>
    <w:uiPriority w:val="0"/>
    <w:rPr>
      <w:rFonts w:ascii="Arial" w:hAnsi="Arial" w:eastAsia="黑体"/>
      <w:kern w:val="2"/>
      <w:sz w:val="21"/>
      <w:szCs w:val="21"/>
    </w:rPr>
  </w:style>
  <w:style w:type="character" w:customStyle="1" w:styleId="518">
    <w:name w:val="md"/>
    <w:basedOn w:val="62"/>
    <w:qFormat/>
    <w:uiPriority w:val="0"/>
  </w:style>
  <w:style w:type="character" w:customStyle="1" w:styleId="519">
    <w:name w:val="myp11"/>
    <w:qFormat/>
    <w:uiPriority w:val="0"/>
    <w:rPr>
      <w:rFonts w:ascii="仿宋_GB2312" w:eastAsia="微软雅黑"/>
      <w:b/>
      <w:kern w:val="2"/>
      <w:sz w:val="32"/>
      <w:szCs w:val="32"/>
      <w:lang w:val="en-US" w:eastAsia="zh-CN" w:bidi="ar-SA"/>
    </w:rPr>
  </w:style>
  <w:style w:type="character" w:customStyle="1" w:styleId="520">
    <w:name w:val="Ò³Ã¼ Char Char1"/>
    <w:qFormat/>
    <w:uiPriority w:val="0"/>
    <w:rPr>
      <w:rFonts w:eastAsia="宋体"/>
      <w:kern w:val="2"/>
      <w:sz w:val="18"/>
      <w:szCs w:val="18"/>
      <w:lang w:val="en-US" w:eastAsia="zh-CN" w:bidi="ar-SA"/>
    </w:rPr>
  </w:style>
  <w:style w:type="character" w:customStyle="1" w:styleId="521">
    <w:name w:val="tw4winTerm"/>
    <w:qFormat/>
    <w:uiPriority w:val="0"/>
    <w:rPr>
      <w:color w:val="0000FF"/>
    </w:rPr>
  </w:style>
  <w:style w:type="character" w:customStyle="1" w:styleId="522">
    <w:name w:val="表格 Char Char"/>
    <w:qFormat/>
    <w:uiPriority w:val="0"/>
    <w:rPr>
      <w:rFonts w:ascii="宋体" w:hAnsi="宋体" w:eastAsia="宋体"/>
      <w:lang w:bidi="ar-SA"/>
    </w:rPr>
  </w:style>
  <w:style w:type="character" w:customStyle="1" w:styleId="523">
    <w:name w:val="样式8 Char"/>
    <w:qFormat/>
    <w:uiPriority w:val="0"/>
    <w:rPr>
      <w:rFonts w:ascii="仿宋_GB2312" w:hAnsi="宋体" w:eastAsia="仿宋_GB2312"/>
      <w:b/>
      <w:bCs/>
      <w:kern w:val="2"/>
      <w:sz w:val="24"/>
      <w:szCs w:val="24"/>
    </w:rPr>
  </w:style>
  <w:style w:type="character" w:customStyle="1" w:styleId="524">
    <w:name w:val="样式5 Char"/>
    <w:qFormat/>
    <w:uiPriority w:val="0"/>
    <w:rPr>
      <w:rFonts w:ascii="仿宋_GB2312" w:hAnsi="仿宋" w:eastAsia="仿宋_GB2312"/>
      <w:kern w:val="2"/>
      <w:sz w:val="24"/>
      <w:szCs w:val="24"/>
    </w:rPr>
  </w:style>
  <w:style w:type="character" w:customStyle="1" w:styleId="525">
    <w:name w:val="页脚 Char1"/>
    <w:qFormat/>
    <w:uiPriority w:val="0"/>
    <w:rPr>
      <w:rFonts w:eastAsia="宋体"/>
      <w:kern w:val="2"/>
      <w:sz w:val="18"/>
      <w:szCs w:val="18"/>
      <w:lang w:val="en-US" w:eastAsia="zh-CN" w:bidi="ar-SA"/>
    </w:rPr>
  </w:style>
  <w:style w:type="character" w:customStyle="1" w:styleId="526">
    <w:name w:val="tw4winJump"/>
    <w:qFormat/>
    <w:uiPriority w:val="0"/>
    <w:rPr>
      <w:rFonts w:ascii="Courier New" w:hAnsi="Courier New" w:cs="Courier New"/>
      <w:color w:val="008080"/>
    </w:rPr>
  </w:style>
  <w:style w:type="character" w:customStyle="1" w:styleId="527">
    <w:name w:val="批注文字 Char"/>
    <w:qFormat/>
    <w:uiPriority w:val="99"/>
    <w:rPr>
      <w:kern w:val="2"/>
      <w:sz w:val="21"/>
      <w:szCs w:val="24"/>
    </w:rPr>
  </w:style>
  <w:style w:type="character" w:customStyle="1" w:styleId="528">
    <w:name w:val="Char Char122"/>
    <w:qFormat/>
    <w:uiPriority w:val="0"/>
    <w:rPr>
      <w:rFonts w:ascii="仿宋_GB2312" w:eastAsia="仿宋_GB2312"/>
      <w:b/>
      <w:bCs/>
      <w:kern w:val="2"/>
      <w:sz w:val="24"/>
      <w:szCs w:val="24"/>
      <w:lang w:val="zh-CN" w:eastAsia="zh-CN" w:bidi="ar-SA"/>
    </w:rPr>
  </w:style>
  <w:style w:type="character" w:customStyle="1" w:styleId="529">
    <w:name w:val="No Spacing Char"/>
    <w:link w:val="167"/>
    <w:qFormat/>
    <w:uiPriority w:val="1"/>
    <w:rPr>
      <w:rFonts w:ascii="Calibri" w:hAnsi="Calibri"/>
      <w:sz w:val="22"/>
      <w:szCs w:val="22"/>
      <w:lang w:val="en-US" w:eastAsia="zh-CN" w:bidi="ar-SA"/>
    </w:rPr>
  </w:style>
  <w:style w:type="character" w:customStyle="1" w:styleId="530">
    <w:name w:val="Char Char21"/>
    <w:qFormat/>
    <w:uiPriority w:val="0"/>
    <w:rPr>
      <w:rFonts w:ascii="宋体" w:hAnsi="Courier New" w:eastAsia="宋体"/>
      <w:kern w:val="2"/>
      <w:sz w:val="21"/>
      <w:lang w:val="en-US" w:eastAsia="zh-CN" w:bidi="ar-SA"/>
    </w:rPr>
  </w:style>
  <w:style w:type="character" w:customStyle="1" w:styleId="531">
    <w:name w:val="Char Char8"/>
    <w:qFormat/>
    <w:uiPriority w:val="0"/>
    <w:rPr>
      <w:rFonts w:eastAsia="宋体"/>
      <w:b/>
      <w:sz w:val="24"/>
      <w:lang w:val="en-GB" w:eastAsia="zh-CN"/>
    </w:rPr>
  </w:style>
  <w:style w:type="character" w:customStyle="1" w:styleId="532">
    <w:name w:val="font21"/>
    <w:qFormat/>
    <w:uiPriority w:val="0"/>
    <w:rPr>
      <w:rFonts w:hint="eastAsia" w:ascii="宋体" w:hAnsi="宋体" w:eastAsia="宋体"/>
      <w:kern w:val="2"/>
      <w:sz w:val="28"/>
      <w:szCs w:val="28"/>
      <w:lang w:val="en-US" w:eastAsia="zh-CN" w:bidi="ar-SA"/>
    </w:rPr>
  </w:style>
  <w:style w:type="character" w:customStyle="1" w:styleId="533">
    <w:name w:val="正文2 Char"/>
    <w:qFormat/>
    <w:uiPriority w:val="0"/>
    <w:rPr>
      <w:rFonts w:eastAsia="宋体"/>
      <w:kern w:val="2"/>
      <w:sz w:val="24"/>
      <w:lang w:val="en-US" w:eastAsia="zh-CN" w:bidi="ar-SA"/>
    </w:rPr>
  </w:style>
  <w:style w:type="character" w:customStyle="1" w:styleId="534">
    <w:name w:val="big1"/>
    <w:qFormat/>
    <w:uiPriority w:val="0"/>
    <w:rPr>
      <w:rFonts w:hint="eastAsia" w:ascii="宋体" w:hAnsi="宋体" w:eastAsia="宋体"/>
      <w:color w:val="333333"/>
      <w:sz w:val="22"/>
      <w:szCs w:val="22"/>
    </w:rPr>
  </w:style>
  <w:style w:type="character" w:customStyle="1" w:styleId="535">
    <w:name w:val="Body Text(ch) Char Char"/>
    <w:qFormat/>
    <w:uiPriority w:val="0"/>
    <w:rPr>
      <w:rFonts w:ascii="宋体"/>
      <w:kern w:val="2"/>
      <w:sz w:val="24"/>
      <w:szCs w:val="21"/>
      <w:lang w:val="zh-CN"/>
    </w:rPr>
  </w:style>
  <w:style w:type="character" w:customStyle="1" w:styleId="536">
    <w:name w:val="blue1"/>
    <w:basedOn w:val="62"/>
    <w:qFormat/>
    <w:uiPriority w:val="0"/>
  </w:style>
  <w:style w:type="character" w:customStyle="1" w:styleId="537">
    <w:name w:val="正文 项目2 Char"/>
    <w:basedOn w:val="481"/>
    <w:qFormat/>
    <w:uiPriority w:val="0"/>
    <w:rPr>
      <w:rFonts w:ascii="仿宋_GB2312" w:hAnsi="仿宋_GB2312" w:eastAsia="仿宋_GB2312"/>
      <w:kern w:val="2"/>
      <w:sz w:val="24"/>
      <w:lang w:bidi="ar-SA"/>
    </w:rPr>
  </w:style>
  <w:style w:type="character" w:customStyle="1" w:styleId="538">
    <w:name w:val="solutionfonts"/>
    <w:qFormat/>
    <w:uiPriority w:val="0"/>
  </w:style>
  <w:style w:type="character" w:customStyle="1" w:styleId="539">
    <w:name w:val="Char Char81"/>
    <w:qFormat/>
    <w:uiPriority w:val="0"/>
    <w:rPr>
      <w:rFonts w:eastAsia="宋体"/>
      <w:b/>
      <w:sz w:val="24"/>
      <w:lang w:val="en-GB" w:eastAsia="zh-CN"/>
    </w:rPr>
  </w:style>
  <w:style w:type="character" w:customStyle="1" w:styleId="540">
    <w:name w:val="Char Char2"/>
    <w:qFormat/>
    <w:uiPriority w:val="0"/>
    <w:rPr>
      <w:rFonts w:eastAsia="宋体"/>
      <w:b/>
      <w:bCs/>
      <w:kern w:val="2"/>
      <w:sz w:val="21"/>
      <w:szCs w:val="24"/>
      <w:lang w:val="en-US" w:eastAsia="zh-CN" w:bidi="ar-SA"/>
    </w:rPr>
  </w:style>
  <w:style w:type="character" w:customStyle="1" w:styleId="541">
    <w:name w:val="HTML 预设格式 Char"/>
    <w:link w:val="54"/>
    <w:qFormat/>
    <w:uiPriority w:val="0"/>
    <w:rPr>
      <w:rFonts w:ascii="黑体" w:hAnsi="Courier New" w:eastAsia="黑体"/>
    </w:rPr>
  </w:style>
  <w:style w:type="character" w:customStyle="1" w:styleId="542">
    <w:name w:val="Heading 7 Char"/>
    <w:qFormat/>
    <w:locked/>
    <w:uiPriority w:val="0"/>
    <w:rPr>
      <w:rFonts w:ascii="宋体" w:hAnsi="宋体" w:eastAsia="宋体"/>
      <w:b/>
      <w:bCs/>
      <w:kern w:val="2"/>
      <w:sz w:val="24"/>
      <w:szCs w:val="24"/>
      <w:lang w:val="en-US" w:eastAsia="zh-CN" w:bidi="ar-SA"/>
    </w:rPr>
  </w:style>
  <w:style w:type="character" w:customStyle="1" w:styleId="543">
    <w:name w:val="正文首行缩进 Char"/>
    <w:link w:val="58"/>
    <w:qFormat/>
    <w:uiPriority w:val="0"/>
    <w:rPr>
      <w:rFonts w:ascii="宋体"/>
      <w:kern w:val="2"/>
      <w:sz w:val="24"/>
      <w:lang w:val="zh-CN"/>
    </w:rPr>
  </w:style>
  <w:style w:type="character" w:customStyle="1" w:styleId="544">
    <w:name w:val="标题 2 Char Char"/>
    <w:qFormat/>
    <w:uiPriority w:val="0"/>
    <w:rPr>
      <w:rFonts w:ascii="楷体_GB2312" w:hAnsi="Arial" w:eastAsia="楷体_GB2312"/>
      <w:b/>
      <w:bCs/>
      <w:kern w:val="2"/>
      <w:sz w:val="24"/>
      <w:szCs w:val="32"/>
      <w:lang w:val="en-US" w:eastAsia="zh-CN" w:bidi="ar-SA"/>
    </w:rPr>
  </w:style>
  <w:style w:type="character" w:customStyle="1" w:styleId="545">
    <w:name w:val="pt141"/>
    <w:qFormat/>
    <w:uiPriority w:val="0"/>
    <w:rPr>
      <w:color w:val="330066"/>
      <w:sz w:val="22"/>
      <w:szCs w:val="22"/>
    </w:rPr>
  </w:style>
  <w:style w:type="character" w:customStyle="1" w:styleId="546">
    <w:name w:val="h Char Char"/>
    <w:qFormat/>
    <w:uiPriority w:val="0"/>
    <w:rPr>
      <w:rFonts w:eastAsia="宋体"/>
      <w:kern w:val="2"/>
      <w:sz w:val="18"/>
      <w:lang w:val="en-US" w:eastAsia="zh-CN" w:bidi="ar-SA"/>
    </w:rPr>
  </w:style>
  <w:style w:type="character" w:customStyle="1" w:styleId="547">
    <w:name w:val="标题 1 Char"/>
    <w:link w:val="2"/>
    <w:qFormat/>
    <w:uiPriority w:val="0"/>
    <w:rPr>
      <w:b/>
      <w:bCs/>
      <w:kern w:val="44"/>
      <w:sz w:val="44"/>
      <w:szCs w:val="44"/>
    </w:rPr>
  </w:style>
  <w:style w:type="character" w:customStyle="1" w:styleId="548">
    <w:name w:val="页眉 Char"/>
    <w:qFormat/>
    <w:uiPriority w:val="0"/>
    <w:rPr>
      <w:rFonts w:eastAsia="仿宋_GB2312"/>
      <w:kern w:val="2"/>
      <w:sz w:val="18"/>
      <w:lang w:val="en-US" w:eastAsia="zh-CN"/>
    </w:rPr>
  </w:style>
  <w:style w:type="character" w:customStyle="1" w:styleId="549">
    <w:name w:val="b11_01b Char"/>
    <w:link w:val="407"/>
    <w:qFormat/>
    <w:uiPriority w:val="0"/>
    <w:rPr>
      <w:rFonts w:ascii="Verdana" w:hAnsi="Verdana"/>
      <w:b/>
      <w:bCs/>
      <w:color w:val="4A82CA"/>
      <w:sz w:val="17"/>
      <w:szCs w:val="17"/>
    </w:rPr>
  </w:style>
  <w:style w:type="character" w:customStyle="1" w:styleId="550">
    <w:name w:val="标题4-dyf Char"/>
    <w:link w:val="345"/>
    <w:qFormat/>
    <w:uiPriority w:val="0"/>
    <w:rPr>
      <w:rFonts w:ascii="Cambria" w:hAnsi="Cambria"/>
      <w:b/>
      <w:bCs/>
      <w:color w:val="000000"/>
      <w:kern w:val="2"/>
      <w:sz w:val="21"/>
      <w:szCs w:val="21"/>
    </w:rPr>
  </w:style>
  <w:style w:type="character" w:customStyle="1" w:styleId="551">
    <w:name w:val="批注主题 Char"/>
    <w:qFormat/>
    <w:uiPriority w:val="0"/>
    <w:rPr>
      <w:rFonts w:eastAsia="宋体"/>
      <w:b/>
      <w:bCs/>
      <w:kern w:val="2"/>
      <w:sz w:val="21"/>
      <w:szCs w:val="24"/>
      <w:lang w:val="en-US" w:eastAsia="zh-CN" w:bidi="ar-SA"/>
    </w:rPr>
  </w:style>
  <w:style w:type="character" w:customStyle="1" w:styleId="552">
    <w:name w:val="标题 3 Char1"/>
    <w:qFormat/>
    <w:uiPriority w:val="0"/>
    <w:rPr>
      <w:rFonts w:hint="eastAsia" w:ascii="华文中宋" w:hAnsi="华文中宋" w:eastAsia="华文中宋"/>
      <w:b/>
      <w:bCs/>
      <w:kern w:val="2"/>
      <w:sz w:val="32"/>
      <w:szCs w:val="32"/>
      <w:lang w:val="en-US" w:eastAsia="zh-CN" w:bidi="ar-SA"/>
    </w:rPr>
  </w:style>
  <w:style w:type="character" w:customStyle="1" w:styleId="553">
    <w:name w:val="正文首行缩进两字 Char"/>
    <w:qFormat/>
    <w:uiPriority w:val="0"/>
    <w:rPr>
      <w:sz w:val="24"/>
      <w:szCs w:val="24"/>
      <w:lang w:val="en-US" w:eastAsia="zh-CN" w:bidi="ar-SA"/>
    </w:rPr>
  </w:style>
  <w:style w:type="character" w:customStyle="1" w:styleId="554">
    <w:name w:val="Char Char51"/>
    <w:qFormat/>
    <w:uiPriority w:val="0"/>
    <w:rPr>
      <w:rFonts w:ascii="宋体" w:hAnsi="Courier New" w:eastAsia="宋体"/>
      <w:kern w:val="2"/>
      <w:sz w:val="21"/>
      <w:lang w:val="en-US" w:eastAsia="zh-CN"/>
    </w:rPr>
  </w:style>
  <w:style w:type="character" w:customStyle="1" w:styleId="555">
    <w:name w:val="带编号样式 Char"/>
    <w:qFormat/>
    <w:uiPriority w:val="0"/>
    <w:rPr>
      <w:rFonts w:ascii="仿宋_GB2312" w:eastAsia="仿宋_GB2312"/>
      <w:color w:val="000000"/>
      <w:sz w:val="24"/>
      <w:lang w:bidi="ar-SA"/>
    </w:rPr>
  </w:style>
  <w:style w:type="character" w:customStyle="1" w:styleId="556">
    <w:name w:val="样式4 Char"/>
    <w:qFormat/>
    <w:uiPriority w:val="0"/>
    <w:rPr>
      <w:rFonts w:ascii="仿宋_GB2312" w:hAnsi="仿宋" w:eastAsia="仿宋_GB2312"/>
      <w:b/>
      <w:kern w:val="2"/>
      <w:sz w:val="32"/>
      <w:szCs w:val="32"/>
      <w:lang w:bidi="ar-SA"/>
    </w:rPr>
  </w:style>
  <w:style w:type="character" w:customStyle="1" w:styleId="557">
    <w:name w:val="样式 标题 4h4H4Fab-4T5Ref Heading 1rh1Heading sqlsect 1.2.3.... Char"/>
    <w:link w:val="169"/>
    <w:qFormat/>
    <w:uiPriority w:val="0"/>
    <w:rPr>
      <w:rFonts w:ascii="微软雅黑" w:hAnsi="微软雅黑" w:eastAsia="微软雅黑"/>
      <w:b/>
      <w:bCs/>
      <w:kern w:val="2"/>
      <w:sz w:val="24"/>
      <w:szCs w:val="28"/>
    </w:rPr>
  </w:style>
  <w:style w:type="character" w:customStyle="1" w:styleId="558">
    <w:name w:val="PI Char"/>
    <w:qFormat/>
    <w:uiPriority w:val="0"/>
    <w:rPr>
      <w:rFonts w:ascii="宋体" w:hAnsi="宋体" w:eastAsia="宋体"/>
      <w:kern w:val="2"/>
      <w:sz w:val="24"/>
      <w:szCs w:val="24"/>
      <w:lang w:val="en-US" w:eastAsia="zh-CN" w:bidi="ar-SA"/>
    </w:rPr>
  </w:style>
  <w:style w:type="character" w:customStyle="1" w:styleId="559">
    <w:name w:val="Char Char111"/>
    <w:qFormat/>
    <w:locked/>
    <w:uiPriority w:val="0"/>
    <w:rPr>
      <w:rFonts w:ascii="宋体" w:hAnsi="宋体" w:eastAsia="宋体"/>
      <w:b/>
      <w:kern w:val="2"/>
      <w:sz w:val="24"/>
      <w:szCs w:val="24"/>
      <w:lang w:val="en-US" w:eastAsia="zh-CN" w:bidi="ar-SA"/>
    </w:rPr>
  </w:style>
  <w:style w:type="character" w:customStyle="1" w:styleId="560">
    <w:name w:val="Document Map Char"/>
    <w:semiHidden/>
    <w:qFormat/>
    <w:locked/>
    <w:uiPriority w:val="0"/>
    <w:rPr>
      <w:rFonts w:eastAsia="宋体"/>
      <w:kern w:val="2"/>
      <w:sz w:val="21"/>
      <w:szCs w:val="24"/>
      <w:lang w:val="en-US" w:eastAsia="zh-CN" w:bidi="ar-SA"/>
    </w:rPr>
  </w:style>
  <w:style w:type="character" w:customStyle="1" w:styleId="561">
    <w:name w:val="正文文本缩进 Char"/>
    <w:qFormat/>
    <w:uiPriority w:val="0"/>
    <w:rPr>
      <w:rFonts w:ascii="宋体" w:hAnsi="宋体"/>
      <w:kern w:val="2"/>
      <w:sz w:val="24"/>
      <w:szCs w:val="24"/>
    </w:rPr>
  </w:style>
  <w:style w:type="character" w:customStyle="1" w:styleId="562">
    <w:name w:val="文本正文 Char Char"/>
    <w:qFormat/>
    <w:locked/>
    <w:uiPriority w:val="0"/>
    <w:rPr>
      <w:sz w:val="24"/>
      <w:lang w:bidi="ar-SA"/>
    </w:rPr>
  </w:style>
  <w:style w:type="character" w:customStyle="1" w:styleId="563">
    <w:name w:val="样式7 Char"/>
    <w:qFormat/>
    <w:uiPriority w:val="0"/>
    <w:rPr>
      <w:rFonts w:ascii="仿宋_GB2312" w:hAnsi="仿宋" w:eastAsia="仿宋_GB2312"/>
      <w:b/>
      <w:kern w:val="2"/>
      <w:sz w:val="24"/>
      <w:szCs w:val="24"/>
    </w:rPr>
  </w:style>
  <w:style w:type="character" w:customStyle="1" w:styleId="564">
    <w:name w:val="样式3 Char"/>
    <w:basedOn w:val="565"/>
    <w:qFormat/>
    <w:uiPriority w:val="0"/>
    <w:rPr>
      <w:rFonts w:ascii="仿宋_GB2312" w:hAnsi="仿宋" w:eastAsia="仿宋_GB2312" w:cs="仿宋_GB2312"/>
      <w:sz w:val="32"/>
      <w:szCs w:val="30"/>
      <w:lang w:val="zh-CN"/>
    </w:rPr>
  </w:style>
  <w:style w:type="character" w:customStyle="1" w:styleId="565">
    <w:name w:val="样式2 Char"/>
    <w:qFormat/>
    <w:uiPriority w:val="0"/>
    <w:rPr>
      <w:rFonts w:ascii="仿宋_GB2312" w:hAnsi="仿宋" w:eastAsia="仿宋_GB2312" w:cs="仿宋_GB2312"/>
      <w:b/>
      <w:bCs/>
      <w:sz w:val="32"/>
      <w:szCs w:val="30"/>
      <w:lang w:val="zh-CN"/>
    </w:rPr>
  </w:style>
  <w:style w:type="character" w:customStyle="1" w:styleId="566">
    <w:name w:val="二级标题 Char Char"/>
    <w:qFormat/>
    <w:uiPriority w:val="0"/>
    <w:rPr>
      <w:rFonts w:ascii="宋体" w:hAnsi="宋体" w:eastAsia="宋体"/>
      <w:b/>
      <w:snapToGrid w:val="0"/>
      <w:kern w:val="2"/>
      <w:sz w:val="24"/>
      <w:szCs w:val="24"/>
      <w:lang w:val="en-US" w:eastAsia="zh-CN" w:bidi="ar-SA"/>
    </w:rPr>
  </w:style>
  <w:style w:type="character" w:customStyle="1" w:styleId="567">
    <w:name w:val="Table Text Char1"/>
    <w:qFormat/>
    <w:uiPriority w:val="0"/>
    <w:rPr>
      <w:rFonts w:eastAsia="宋体"/>
      <w:sz w:val="24"/>
      <w:szCs w:val="24"/>
      <w:lang w:val="en-US" w:eastAsia="zh-CN" w:bidi="ar-SA"/>
    </w:rPr>
  </w:style>
  <w:style w:type="character" w:customStyle="1" w:styleId="568">
    <w:name w:val="shadow11"/>
    <w:qFormat/>
    <w:uiPriority w:val="0"/>
    <w:rPr>
      <w:color w:val="000000"/>
      <w:sz w:val="21"/>
    </w:rPr>
  </w:style>
  <w:style w:type="character" w:customStyle="1" w:styleId="569">
    <w:name w:val="HTML 地址 Char"/>
    <w:link w:val="28"/>
    <w:qFormat/>
    <w:uiPriority w:val="0"/>
    <w:rPr>
      <w:rFonts w:ascii="宋体" w:hAnsi="宋体"/>
      <w:i/>
      <w:iCs/>
      <w:sz w:val="24"/>
      <w:szCs w:val="24"/>
    </w:rPr>
  </w:style>
  <w:style w:type="character" w:customStyle="1" w:styleId="570">
    <w:name w:val="Char Char22"/>
    <w:qFormat/>
    <w:uiPriority w:val="0"/>
    <w:rPr>
      <w:rFonts w:eastAsia="宋体"/>
      <w:b/>
      <w:bCs/>
      <w:kern w:val="2"/>
      <w:sz w:val="21"/>
      <w:szCs w:val="24"/>
      <w:lang w:val="en-US" w:eastAsia="zh-CN" w:bidi="ar-SA"/>
    </w:rPr>
  </w:style>
  <w:style w:type="character" w:customStyle="1" w:styleId="571">
    <w:name w:val="标题 5 Char"/>
    <w:link w:val="6"/>
    <w:qFormat/>
    <w:uiPriority w:val="0"/>
    <w:rPr>
      <w:b/>
      <w:bCs/>
      <w:kern w:val="2"/>
      <w:sz w:val="28"/>
      <w:szCs w:val="28"/>
    </w:rPr>
  </w:style>
  <w:style w:type="character" w:customStyle="1" w:styleId="572">
    <w:name w:val="h3 Char1"/>
    <w:qFormat/>
    <w:uiPriority w:val="0"/>
    <w:rPr>
      <w:rFonts w:eastAsia="宋体"/>
      <w:b/>
      <w:bCs/>
      <w:kern w:val="2"/>
      <w:sz w:val="32"/>
      <w:szCs w:val="32"/>
      <w:lang w:bidi="ar-SA"/>
    </w:rPr>
  </w:style>
  <w:style w:type="character" w:customStyle="1" w:styleId="573">
    <w:name w:val="FA正文 Char Char"/>
    <w:qFormat/>
    <w:uiPriority w:val="0"/>
    <w:rPr>
      <w:rFonts w:hAnsi="宋体"/>
      <w:kern w:val="2"/>
      <w:sz w:val="24"/>
      <w:lang w:bidi="ar-SA"/>
    </w:rPr>
  </w:style>
  <w:style w:type="character" w:customStyle="1" w:styleId="574">
    <w:name w:val="Char Char7"/>
    <w:semiHidden/>
    <w:qFormat/>
    <w:uiPriority w:val="0"/>
    <w:rPr>
      <w:rFonts w:eastAsia="宋体"/>
      <w:kern w:val="2"/>
      <w:sz w:val="21"/>
      <w:szCs w:val="24"/>
      <w:lang w:val="en-US" w:eastAsia="zh-CN" w:bidi="ar-SA"/>
    </w:rPr>
  </w:style>
  <w:style w:type="character" w:customStyle="1" w:styleId="575">
    <w:name w:val="hui"/>
    <w:basedOn w:val="62"/>
    <w:qFormat/>
    <w:uiPriority w:val="0"/>
  </w:style>
  <w:style w:type="character" w:customStyle="1" w:styleId="576">
    <w:name w:val="正文缩进 Char"/>
    <w:qFormat/>
    <w:uiPriority w:val="0"/>
    <w:rPr>
      <w:rFonts w:eastAsia="宋体"/>
      <w:kern w:val="2"/>
      <w:sz w:val="21"/>
      <w:lang w:val="en-US" w:eastAsia="zh-CN"/>
    </w:rPr>
  </w:style>
  <w:style w:type="character" w:customStyle="1" w:styleId="577">
    <w:name w:val="正文1 Char"/>
    <w:qFormat/>
    <w:uiPriority w:val="0"/>
    <w:rPr>
      <w:rFonts w:ascii="宋体" w:eastAsia="宋体"/>
      <w:snapToGrid w:val="0"/>
      <w:color w:val="000000"/>
      <w:kern w:val="28"/>
      <w:sz w:val="28"/>
      <w:lang w:val="en-US" w:eastAsia="zh-CN" w:bidi="ar-SA"/>
    </w:rPr>
  </w:style>
  <w:style w:type="character" w:customStyle="1" w:styleId="578">
    <w:name w:val="Char Char61"/>
    <w:qFormat/>
    <w:uiPriority w:val="0"/>
    <w:rPr>
      <w:rFonts w:eastAsia="宋体"/>
      <w:kern w:val="2"/>
      <w:sz w:val="21"/>
      <w:szCs w:val="24"/>
      <w:lang w:val="en-US" w:eastAsia="zh-CN" w:bidi="ar-SA"/>
    </w:rPr>
  </w:style>
  <w:style w:type="character" w:customStyle="1" w:styleId="579">
    <w:name w:val="正文文本 3 Char"/>
    <w:link w:val="21"/>
    <w:qFormat/>
    <w:uiPriority w:val="0"/>
    <w:rPr>
      <w:kern w:val="2"/>
      <w:sz w:val="21"/>
    </w:rPr>
  </w:style>
  <w:style w:type="character" w:customStyle="1" w:styleId="580">
    <w:name w:val="message1"/>
    <w:qFormat/>
    <w:uiPriority w:val="0"/>
    <w:rPr>
      <w:rFonts w:hint="default" w:ascii="Tahoma" w:hAnsi="Tahoma" w:cs="Tahoma"/>
      <w:sz w:val="18"/>
      <w:szCs w:val="18"/>
    </w:rPr>
  </w:style>
  <w:style w:type="character" w:customStyle="1" w:styleId="581">
    <w:name w:val="DO_NOT_TRANSLATE"/>
    <w:qFormat/>
    <w:uiPriority w:val="0"/>
    <w:rPr>
      <w:rFonts w:ascii="Courier New" w:hAnsi="Courier New" w:cs="Courier New"/>
      <w:color w:val="800000"/>
    </w:rPr>
  </w:style>
  <w:style w:type="character" w:customStyle="1" w:styleId="582">
    <w:name w:val="unnamed11"/>
    <w:qFormat/>
    <w:uiPriority w:val="0"/>
    <w:rPr>
      <w:sz w:val="20"/>
      <w:szCs w:val="20"/>
    </w:rPr>
  </w:style>
  <w:style w:type="character" w:customStyle="1" w:styleId="583">
    <w:name w:val="tw4winInternal"/>
    <w:qFormat/>
    <w:uiPriority w:val="0"/>
    <w:rPr>
      <w:rFonts w:ascii="Courier New" w:hAnsi="Courier New" w:cs="Courier New"/>
      <w:color w:val="FF0000"/>
    </w:rPr>
  </w:style>
  <w:style w:type="character" w:customStyle="1" w:styleId="584">
    <w:name w:val="正文（缩进2汉字） Char"/>
    <w:link w:val="324"/>
    <w:qFormat/>
    <w:uiPriority w:val="0"/>
    <w:rPr>
      <w:rFonts w:ascii="宋体"/>
    </w:rPr>
  </w:style>
  <w:style w:type="character" w:customStyle="1" w:styleId="585">
    <w:name w:val="页脚 Char"/>
    <w:qFormat/>
    <w:uiPriority w:val="0"/>
    <w:rPr>
      <w:rFonts w:eastAsia="仿宋_GB2312"/>
      <w:kern w:val="2"/>
      <w:sz w:val="18"/>
      <w:lang w:val="en-US" w:eastAsia="zh-CN"/>
    </w:rPr>
  </w:style>
  <w:style w:type="character" w:customStyle="1" w:styleId="586">
    <w:name w:val="正文文本缩进 3 Char"/>
    <w:link w:val="50"/>
    <w:qFormat/>
    <w:uiPriority w:val="0"/>
    <w:rPr>
      <w:kern w:val="2"/>
      <w:sz w:val="24"/>
    </w:rPr>
  </w:style>
  <w:style w:type="character" w:customStyle="1" w:styleId="587">
    <w:name w:val="正文缩进 Char1"/>
    <w:qFormat/>
    <w:uiPriority w:val="0"/>
    <w:rPr>
      <w:rFonts w:ascii="宋体" w:eastAsia="宋体"/>
      <w:snapToGrid w:val="0"/>
      <w:color w:val="000000"/>
      <w:kern w:val="28"/>
      <w:sz w:val="28"/>
      <w:lang w:val="en-US" w:eastAsia="zh-CN" w:bidi="ar-SA"/>
    </w:rPr>
  </w:style>
  <w:style w:type="character" w:customStyle="1" w:styleId="588">
    <w:name w:val="style36"/>
    <w:basedOn w:val="62"/>
    <w:qFormat/>
    <w:uiPriority w:val="0"/>
  </w:style>
  <w:style w:type="character" w:customStyle="1" w:styleId="589">
    <w:name w:val="hui3"/>
    <w:qFormat/>
    <w:uiPriority w:val="0"/>
    <w:rPr>
      <w:color w:val="333333"/>
    </w:rPr>
  </w:style>
  <w:style w:type="character" w:customStyle="1" w:styleId="590">
    <w:name w:val="apple-converted-space"/>
    <w:qFormat/>
    <w:uiPriority w:val="0"/>
  </w:style>
  <w:style w:type="character" w:customStyle="1" w:styleId="591">
    <w:name w:val="文档结构图 Char"/>
    <w:qFormat/>
    <w:uiPriority w:val="0"/>
    <w:rPr>
      <w:rFonts w:eastAsia="宋体"/>
      <w:kern w:val="2"/>
      <w:sz w:val="21"/>
      <w:szCs w:val="24"/>
      <w:lang w:val="en-US" w:eastAsia="zh-CN" w:bidi="ar-SA"/>
    </w:rPr>
  </w:style>
  <w:style w:type="character" w:customStyle="1" w:styleId="592">
    <w:name w:val="正文非缩进 Char3"/>
    <w:qFormat/>
    <w:uiPriority w:val="0"/>
    <w:rPr>
      <w:rFonts w:ascii="宋体" w:eastAsia="宋体"/>
      <w:snapToGrid w:val="0"/>
      <w:color w:val="000000"/>
      <w:kern w:val="28"/>
      <w:sz w:val="28"/>
      <w:lang w:val="en-US" w:eastAsia="zh-CN" w:bidi="ar-SA"/>
    </w:rPr>
  </w:style>
  <w:style w:type="character" w:customStyle="1" w:styleId="593">
    <w:name w:val="dectext1"/>
    <w:qFormat/>
    <w:uiPriority w:val="0"/>
    <w:rPr>
      <w:rFonts w:ascii="宋体" w:hAnsi="宋体" w:eastAsia="宋体"/>
      <w:color w:val="333333"/>
      <w:sz w:val="21"/>
      <w:szCs w:val="21"/>
      <w:u w:val="none"/>
    </w:rPr>
  </w:style>
  <w:style w:type="character" w:customStyle="1" w:styleId="594">
    <w:name w:val="副标题 Char1"/>
    <w:qFormat/>
    <w:uiPriority w:val="0"/>
    <w:rPr>
      <w:rFonts w:ascii="Cambria" w:hAnsi="Cambria" w:eastAsia="宋体" w:cs="Times New Roman"/>
      <w:b/>
      <w:bCs/>
      <w:snapToGrid w:val="0"/>
      <w:kern w:val="28"/>
      <w:sz w:val="32"/>
      <w:szCs w:val="32"/>
    </w:rPr>
  </w:style>
  <w:style w:type="character" w:customStyle="1" w:styleId="595">
    <w:name w:val="f141"/>
    <w:qFormat/>
    <w:uiPriority w:val="0"/>
    <w:rPr>
      <w:rFonts w:ascii="Tahoma" w:hAnsi="Tahoma" w:eastAsia="宋体"/>
      <w:b/>
      <w:kern w:val="2"/>
      <w:sz w:val="21"/>
      <w:szCs w:val="21"/>
      <w:lang w:val="en-US" w:eastAsia="zh-CN" w:bidi="ar-SA"/>
    </w:rPr>
  </w:style>
  <w:style w:type="character" w:customStyle="1" w:styleId="596">
    <w:name w:val="日期 Char"/>
    <w:link w:val="34"/>
    <w:qFormat/>
    <w:uiPriority w:val="0"/>
    <w:rPr>
      <w:rFonts w:ascii="宋体"/>
      <w:kern w:val="2"/>
      <w:sz w:val="24"/>
      <w:szCs w:val="21"/>
      <w:lang w:val="zh-CN"/>
    </w:rPr>
  </w:style>
  <w:style w:type="character" w:customStyle="1" w:styleId="597">
    <w:name w:val="标题 4 Char"/>
    <w:link w:val="5"/>
    <w:qFormat/>
    <w:uiPriority w:val="0"/>
    <w:rPr>
      <w:rFonts w:ascii="Arial" w:hAnsi="Arial" w:eastAsia="黑体"/>
      <w:b/>
      <w:bCs/>
      <w:kern w:val="2"/>
      <w:sz w:val="28"/>
      <w:szCs w:val="28"/>
      <w:lang w:val="zh-CN"/>
    </w:rPr>
  </w:style>
  <w:style w:type="character" w:customStyle="1" w:styleId="598">
    <w:name w:val="链接"/>
    <w:qFormat/>
    <w:uiPriority w:val="0"/>
    <w:rPr>
      <w:color w:val="0000FF"/>
      <w:sz w:val="21"/>
      <w:szCs w:val="21"/>
      <w:u w:val="single"/>
    </w:rPr>
  </w:style>
  <w:style w:type="character" w:customStyle="1" w:styleId="599">
    <w:name w:val="正文首行缩进 Char Char Char Char Char Char"/>
    <w:qFormat/>
    <w:uiPriority w:val="0"/>
    <w:rPr>
      <w:rFonts w:ascii="宋体" w:eastAsia="宋体"/>
      <w:kern w:val="2"/>
      <w:sz w:val="24"/>
      <w:lang w:val="zh-CN" w:bidi="ar-SA"/>
    </w:rPr>
  </w:style>
  <w:style w:type="character" w:customStyle="1" w:styleId="600">
    <w:name w:val="tw4winError"/>
    <w:qFormat/>
    <w:uiPriority w:val="0"/>
    <w:rPr>
      <w:rFonts w:ascii="Courier New" w:hAnsi="Courier New" w:cs="Courier New"/>
      <w:color w:val="00FF00"/>
      <w:sz w:val="40"/>
      <w:szCs w:val="40"/>
    </w:rPr>
  </w:style>
  <w:style w:type="character" w:customStyle="1" w:styleId="601">
    <w:name w:val="Used by Word for text of Help footnotes Char Char"/>
    <w:semiHidden/>
    <w:qFormat/>
    <w:uiPriority w:val="0"/>
    <w:rPr>
      <w:rFonts w:ascii="Times New Roman" w:hAnsi="Times New Roman" w:eastAsia="宋体" w:cs="Times New Roman"/>
      <w:sz w:val="20"/>
      <w:szCs w:val="20"/>
    </w:rPr>
  </w:style>
  <w:style w:type="character" w:customStyle="1" w:styleId="602">
    <w:name w:val="Char Char31"/>
    <w:semiHidden/>
    <w:qFormat/>
    <w:uiPriority w:val="0"/>
    <w:rPr>
      <w:rFonts w:ascii="Times New Roman" w:hAnsi="Times New Roman" w:eastAsia="宋体" w:cs="Times New Roman"/>
      <w:b/>
      <w:kern w:val="2"/>
      <w:sz w:val="32"/>
      <w:szCs w:val="24"/>
      <w:lang w:val="en-US" w:eastAsia="zh-CN" w:bidi="ar-SA"/>
    </w:rPr>
  </w:style>
  <w:style w:type="character" w:customStyle="1" w:styleId="603">
    <w:name w:val="表正文 Char"/>
    <w:qFormat/>
    <w:uiPriority w:val="0"/>
    <w:rPr>
      <w:rFonts w:ascii="宋体" w:eastAsia="宋体"/>
      <w:snapToGrid w:val="0"/>
      <w:color w:val="000000"/>
      <w:kern w:val="28"/>
      <w:sz w:val="28"/>
      <w:lang w:val="en-US" w:eastAsia="zh-CN" w:bidi="ar-SA"/>
    </w:rPr>
  </w:style>
  <w:style w:type="character" w:customStyle="1" w:styleId="604">
    <w:name w:val="普通文字 Char1 Char"/>
    <w:qFormat/>
    <w:uiPriority w:val="0"/>
    <w:rPr>
      <w:rFonts w:ascii="宋体" w:hAnsi="Courier New" w:eastAsia="宋体"/>
      <w:kern w:val="2"/>
      <w:sz w:val="21"/>
      <w:szCs w:val="24"/>
      <w:lang w:val="en-US" w:eastAsia="zh-CN" w:bidi="ar-SA"/>
    </w:rPr>
  </w:style>
  <w:style w:type="character" w:customStyle="1" w:styleId="605">
    <w:name w:val="pt9"/>
    <w:qFormat/>
    <w:uiPriority w:val="0"/>
    <w:rPr>
      <w:rFonts w:ascii="仿宋_GB2312" w:eastAsia="微软雅黑"/>
      <w:b/>
      <w:kern w:val="2"/>
      <w:sz w:val="32"/>
      <w:szCs w:val="32"/>
      <w:lang w:val="en-US" w:eastAsia="zh-CN" w:bidi="ar-SA"/>
    </w:rPr>
  </w:style>
  <w:style w:type="character" w:customStyle="1" w:styleId="606">
    <w:name w:val="large1"/>
    <w:qFormat/>
    <w:uiPriority w:val="0"/>
    <w:rPr>
      <w:rFonts w:hint="eastAsia" w:ascii="宋体" w:hAnsi="宋体" w:eastAsia="宋体"/>
      <w:sz w:val="21"/>
      <w:szCs w:val="21"/>
    </w:rPr>
  </w:style>
  <w:style w:type="character" w:customStyle="1" w:styleId="607">
    <w:name w:val="样式 样式 标题 4h4H4Fab-4T5Ref Heading 1rh1Heading sqlsect 1.2.3.... +... Char"/>
    <w:link w:val="168"/>
    <w:qFormat/>
    <w:uiPriority w:val="0"/>
    <w:rPr>
      <w:rFonts w:ascii="微软雅黑" w:hAnsi="微软雅黑" w:eastAsia="微软雅黑"/>
      <w:b/>
      <w:bCs/>
      <w:kern w:val="2"/>
      <w:sz w:val="24"/>
      <w:szCs w:val="28"/>
    </w:rPr>
  </w:style>
  <w:style w:type="character" w:customStyle="1" w:styleId="608">
    <w:name w:val="标题 4 Char1"/>
    <w:semiHidden/>
    <w:qFormat/>
    <w:uiPriority w:val="9"/>
    <w:rPr>
      <w:rFonts w:ascii="Cambria" w:hAnsi="Cambria" w:eastAsia="宋体" w:cs="Times New Roman"/>
      <w:b/>
      <w:bCs/>
      <w:kern w:val="2"/>
      <w:sz w:val="28"/>
      <w:szCs w:val="28"/>
    </w:rPr>
  </w:style>
  <w:style w:type="character" w:customStyle="1" w:styleId="609">
    <w:name w:val="tw4winPopup"/>
    <w:qFormat/>
    <w:uiPriority w:val="0"/>
    <w:rPr>
      <w:rFonts w:ascii="Courier New" w:hAnsi="Courier New" w:cs="Courier New"/>
      <w:color w:val="008000"/>
    </w:rPr>
  </w:style>
  <w:style w:type="character" w:customStyle="1" w:styleId="610">
    <w:name w:val="标题 6 Char"/>
    <w:link w:val="7"/>
    <w:qFormat/>
    <w:uiPriority w:val="0"/>
    <w:rPr>
      <w:rFonts w:ascii="Arial" w:hAnsi="Arial" w:eastAsia="黑体"/>
      <w:b/>
      <w:bCs/>
      <w:kern w:val="2"/>
      <w:sz w:val="24"/>
      <w:szCs w:val="24"/>
    </w:rPr>
  </w:style>
  <w:style w:type="character" w:customStyle="1" w:styleId="611">
    <w:name w:val="正文缩进 Char2"/>
    <w:link w:val="15"/>
    <w:qFormat/>
    <w:uiPriority w:val="0"/>
    <w:rPr>
      <w:rFonts w:ascii="宋体" w:eastAsia="宋体"/>
      <w:snapToGrid w:val="0"/>
      <w:color w:val="000000"/>
      <w:kern w:val="28"/>
      <w:sz w:val="28"/>
      <w:lang w:val="en-US" w:eastAsia="zh-CN" w:bidi="ar-SA"/>
    </w:rPr>
  </w:style>
  <w:style w:type="character" w:customStyle="1" w:styleId="612">
    <w:name w:val="批注文字 Char1"/>
    <w:link w:val="19"/>
    <w:qFormat/>
    <w:uiPriority w:val="99"/>
    <w:rPr>
      <w:kern w:val="2"/>
      <w:sz w:val="21"/>
      <w:szCs w:val="24"/>
    </w:rPr>
  </w:style>
  <w:style w:type="character" w:customStyle="1" w:styleId="613">
    <w:name w:val="批注框文本 Char"/>
    <w:link w:val="36"/>
    <w:semiHidden/>
    <w:qFormat/>
    <w:uiPriority w:val="0"/>
    <w:rPr>
      <w:kern w:val="2"/>
      <w:sz w:val="18"/>
      <w:szCs w:val="18"/>
    </w:rPr>
  </w:style>
  <w:style w:type="character" w:customStyle="1" w:styleId="614">
    <w:name w:val="Footer Char"/>
    <w:qFormat/>
    <w:locked/>
    <w:uiPriority w:val="0"/>
    <w:rPr>
      <w:rFonts w:eastAsia="宋体"/>
      <w:kern w:val="2"/>
      <w:sz w:val="18"/>
      <w:lang w:val="en-US" w:eastAsia="zh-CN" w:bidi="ar-SA"/>
    </w:rPr>
  </w:style>
  <w:style w:type="paragraph" w:customStyle="1" w:styleId="615">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616">
    <w:name w:val="索引 11"/>
    <w:basedOn w:val="1"/>
    <w:next w:val="1"/>
    <w:qFormat/>
    <w:uiPriority w:val="0"/>
    <w:pPr>
      <w:adjustRightInd/>
      <w:spacing w:line="360" w:lineRule="auto"/>
    </w:pPr>
    <w:rPr>
      <w:rFonts w:ascii="仿宋_GB2312" w:eastAsia="仿宋_GB2312"/>
      <w:sz w:val="24"/>
      <w:szCs w:val="20"/>
    </w:rPr>
  </w:style>
  <w:style w:type="paragraph" w:customStyle="1" w:styleId="617">
    <w:name w:val="Char Char28"/>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618">
    <w:name w:val="纯文本_0_0"/>
    <w:basedOn w:val="1"/>
    <w:link w:val="619"/>
    <w:qFormat/>
    <w:uiPriority w:val="0"/>
    <w:pPr>
      <w:adjustRightInd/>
    </w:pPr>
    <w:rPr>
      <w:rFonts w:ascii="宋体" w:hAnsi="Courier New"/>
      <w:szCs w:val="21"/>
    </w:rPr>
  </w:style>
  <w:style w:type="character" w:customStyle="1" w:styleId="619">
    <w:name w:val="纯文本 Char_0"/>
    <w:link w:val="618"/>
    <w:qFormat/>
    <w:uiPriority w:val="0"/>
    <w:rPr>
      <w:rFonts w:ascii="宋体" w:hAnsi="Courier New"/>
      <w:kern w:val="2"/>
      <w:sz w:val="21"/>
      <w:szCs w:val="21"/>
      <w:lang w:val="en-US" w:eastAsia="zh-CN"/>
    </w:rPr>
  </w:style>
  <w:style w:type="character" w:customStyle="1" w:styleId="620">
    <w:name w:val="纯文本 Char1"/>
    <w:link w:val="621"/>
    <w:qFormat/>
    <w:uiPriority w:val="0"/>
    <w:rPr>
      <w:rFonts w:ascii="宋体" w:hAnsi="Courier New"/>
    </w:rPr>
  </w:style>
  <w:style w:type="paragraph" w:customStyle="1" w:styleId="621">
    <w:name w:val="纯文本1"/>
    <w:basedOn w:val="1"/>
    <w:link w:val="620"/>
    <w:qFormat/>
    <w:uiPriority w:val="0"/>
    <w:pPr>
      <w:adjustRightInd/>
    </w:pPr>
    <w:rPr>
      <w:rFonts w:ascii="宋体" w:hAnsi="Courier New"/>
      <w:kern w:val="0"/>
      <w:sz w:val="20"/>
      <w:szCs w:val="20"/>
    </w:rPr>
  </w:style>
  <w:style w:type="paragraph" w:customStyle="1" w:styleId="622">
    <w:name w:val="Char Char Char Char Char Char Char2"/>
    <w:basedOn w:val="1"/>
    <w:qFormat/>
    <w:uiPriority w:val="0"/>
    <w:rPr>
      <w:rFonts w:ascii="仿宋_GB2312" w:eastAsia="仿宋_GB2312"/>
      <w:b/>
      <w:sz w:val="32"/>
      <w:szCs w:val="32"/>
    </w:rPr>
  </w:style>
  <w:style w:type="paragraph" w:customStyle="1" w:styleId="623">
    <w:name w:val="Char Char1 Char Char Char Char Char Char2"/>
    <w:basedOn w:val="1"/>
    <w:qFormat/>
    <w:uiPriority w:val="0"/>
    <w:rPr>
      <w:rFonts w:ascii="仿宋_GB2312" w:eastAsia="仿宋_GB2312"/>
      <w:b/>
      <w:sz w:val="32"/>
      <w:szCs w:val="20"/>
    </w:rPr>
  </w:style>
  <w:style w:type="paragraph" w:customStyle="1" w:styleId="624">
    <w:name w:val="修订1"/>
    <w:hidden/>
    <w:unhideWhenUsed/>
    <w:qFormat/>
    <w:uiPriority w:val="99"/>
    <w:rPr>
      <w:rFonts w:ascii="Times New Roman" w:hAnsi="Times New Roman" w:eastAsia="宋体" w:cs="Times New Roman"/>
      <w:kern w:val="2"/>
      <w:sz w:val="21"/>
      <w:szCs w:val="24"/>
      <w:lang w:val="en-US" w:eastAsia="zh-CN" w:bidi="ar-SA"/>
    </w:rPr>
  </w:style>
  <w:style w:type="character" w:customStyle="1" w:styleId="625">
    <w:name w:val="Default Char"/>
    <w:link w:val="98"/>
    <w:qFormat/>
    <w:uiPriority w:val="0"/>
    <w:rPr>
      <w:rFonts w:ascii="仿宋_GB2312" w:eastAsia="仿宋_GB2312" w:cs="仿宋_GB2312"/>
      <w:color w:val="000000"/>
      <w:sz w:val="24"/>
      <w:szCs w:val="24"/>
    </w:rPr>
  </w:style>
  <w:style w:type="paragraph" w:customStyle="1" w:styleId="626">
    <w:name w:val="TOC 71"/>
    <w:next w:val="1"/>
    <w:qFormat/>
    <w:uiPriority w:val="0"/>
    <w:pPr>
      <w:wordWrap w:val="0"/>
      <w:ind w:left="2550"/>
      <w:jc w:val="both"/>
    </w:pPr>
    <w:rPr>
      <w:rFonts w:ascii="Times New Roman" w:hAnsi="Times New Roman" w:eastAsia="宋体" w:cs="Times New Roman"/>
      <w:sz w:val="21"/>
      <w:szCs w:val="22"/>
      <w:lang w:val="en-US" w:eastAsia="zh-CN" w:bidi="ar-SA"/>
    </w:rPr>
  </w:style>
  <w:style w:type="character" w:customStyle="1" w:styleId="627">
    <w:name w:val="font61"/>
    <w:basedOn w:val="62"/>
    <w:qFormat/>
    <w:uiPriority w:val="0"/>
    <w:rPr>
      <w:rFonts w:hint="eastAsia" w:ascii="仿宋" w:hAnsi="仿宋" w:eastAsia="仿宋" w:cs="仿宋"/>
      <w:snapToGrid w:val="0"/>
      <w:color w:val="000000"/>
      <w:kern w:val="0"/>
      <w:sz w:val="20"/>
      <w:szCs w:val="20"/>
      <w:u w:val="none"/>
    </w:rPr>
  </w:style>
  <w:style w:type="character" w:customStyle="1" w:styleId="628">
    <w:name w:val="font11"/>
    <w:basedOn w:val="62"/>
    <w:qFormat/>
    <w:uiPriority w:val="0"/>
    <w:rPr>
      <w:rFonts w:hint="default" w:ascii="Times New Roman" w:hAnsi="Times New Roman" w:eastAsia="黑体" w:cs="Times New Roman"/>
      <w:snapToGrid w:val="0"/>
      <w:color w:val="000000"/>
      <w:kern w:val="0"/>
      <w:sz w:val="22"/>
      <w:szCs w:val="22"/>
      <w:u w:val="none"/>
    </w:rPr>
  </w:style>
  <w:style w:type="paragraph" w:customStyle="1" w:styleId="629">
    <w:name w:val="text-tag"/>
    <w:basedOn w:val="1"/>
    <w:semiHidden/>
    <w:qFormat/>
    <w:uiPriority w:val="99"/>
    <w:pPr>
      <w:widowControl/>
      <w:adjustRightInd/>
      <w:spacing w:before="100" w:beforeAutospacing="1" w:after="100" w:afterAutospacing="1"/>
      <w:jc w:val="left"/>
    </w:pPr>
    <w:rPr>
      <w:rFonts w:ascii="宋体" w:hAnsi="宋体" w:cs="宋体"/>
      <w:kern w:val="0"/>
      <w:sz w:val="24"/>
    </w:rPr>
  </w:style>
  <w:style w:type="character" w:customStyle="1" w:styleId="630">
    <w:name w:val="*正文 Char"/>
    <w:link w:val="631"/>
    <w:qFormat/>
    <w:locked/>
    <w:uiPriority w:val="0"/>
    <w:rPr>
      <w:rFonts w:ascii="宋体" w:hAnsi="宋体"/>
      <w:sz w:val="24"/>
    </w:rPr>
  </w:style>
  <w:style w:type="paragraph" w:customStyle="1" w:styleId="631">
    <w:name w:val="*正文"/>
    <w:basedOn w:val="1"/>
    <w:link w:val="630"/>
    <w:qFormat/>
    <w:uiPriority w:val="0"/>
    <w:pPr>
      <w:snapToGrid w:val="0"/>
      <w:spacing w:line="360" w:lineRule="auto"/>
      <w:ind w:firstLine="482"/>
      <w:jc w:val="left"/>
    </w:pPr>
    <w:rPr>
      <w:rFonts w:ascii="宋体" w:hAnsi="宋体"/>
      <w:kern w:val="0"/>
      <w:sz w:val="24"/>
      <w:szCs w:val="20"/>
    </w:rPr>
  </w:style>
  <w:style w:type="character" w:customStyle="1" w:styleId="632">
    <w:name w:val="正文文本缩进 Char3"/>
    <w:qFormat/>
    <w:uiPriority w:val="0"/>
    <w:rPr>
      <w:rFonts w:ascii="宋体" w:hAnsi="宋体"/>
      <w:kern w:val="2"/>
      <w:sz w:val="24"/>
      <w:szCs w:val="24"/>
    </w:rPr>
  </w:style>
  <w:style w:type="table" w:customStyle="1" w:styleId="633">
    <w:name w:val="网格型1"/>
    <w:basedOn w:val="60"/>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634">
    <w:name w:val="页脚 Char2"/>
    <w:link w:val="37"/>
    <w:qFormat/>
    <w:locked/>
    <w:uiPriority w:val="99"/>
    <w:rPr>
      <w:kern w:val="2"/>
      <w:sz w:val="18"/>
      <w:szCs w:val="18"/>
    </w:rPr>
  </w:style>
  <w:style w:type="character" w:customStyle="1" w:styleId="635">
    <w:name w:val="页眉 Char2"/>
    <w:link w:val="38"/>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3F92836-358B-4D24-B9DA-AA20ABAAFD83}">
  <ds:schemaRefs/>
</ds:datastoreItem>
</file>

<file path=docProps/app.xml><?xml version="1.0" encoding="utf-8"?>
<Properties xmlns="http://schemas.openxmlformats.org/officeDocument/2006/extended-properties" xmlns:vt="http://schemas.openxmlformats.org/officeDocument/2006/docPropsVTypes">
  <Template>Normal.dotm</Template>
  <Company>杭州市国内经济合作办公室</Company>
  <Pages>88</Pages>
  <Words>195</Words>
  <Characters>223</Characters>
  <Lines>413</Lines>
  <Paragraphs>116</Paragraphs>
  <TotalTime>42</TotalTime>
  <ScaleCrop>false</ScaleCrop>
  <LinksUpToDate>false</LinksUpToDate>
  <CharactersWithSpaces>289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2015-04-27T09:52:00Z</dcterms:created>
  <dc:creator>北海市政府采购中心</dc:creator>
  <cp:lastModifiedBy>雪儿</cp:lastModifiedBy>
  <cp:lastPrinted>2024-09-18T03:11:00Z</cp:lastPrinted>
  <dcterms:modified xsi:type="dcterms:W3CDTF">2026-08-31T13:20:04Z</dcterms:modified>
  <dc:title>北海市政府采购中心</dc:title>
  <cp:revision>1151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D8C37E94CFA54DB38A77AAB8C0D7B6BA_13</vt:lpwstr>
  </property>
  <property fmtid="{D5CDD505-2E9C-101B-9397-08002B2CF9AE}" pid="4" name="KSOTemplateDocerSaveRecord">
    <vt:lpwstr>eyJoZGlkIjoiZjc0NmU1MGRiNWY4NTg2ZmFlNGE3ODI4YzU0YWQyNzQiLCJ1c2VySWQiOiI0MTc4NDQzNjAifQ==</vt:lpwstr>
  </property>
</Properties>
</file>