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3939A">
      <w:pPr>
        <w:shd w:val="clear"/>
        <w:spacing w:line="360" w:lineRule="auto"/>
        <w:jc w:val="center"/>
        <w:rPr>
          <w:rFonts w:hint="eastAsia" w:ascii="宋体" w:hAnsi="宋体" w:cs="仿宋_GB2312"/>
          <w:b/>
          <w:color w:val="auto"/>
          <w:sz w:val="44"/>
          <w:szCs w:val="44"/>
          <w:highlight w:val="none"/>
        </w:rPr>
      </w:pPr>
      <w:bookmarkStart w:id="0" w:name="OLE_LINK1"/>
    </w:p>
    <w:p w14:paraId="13D195C0">
      <w:pPr>
        <w:shd w:val="clear"/>
        <w:spacing w:line="360" w:lineRule="auto"/>
        <w:jc w:val="center"/>
        <w:rPr>
          <w:rFonts w:hint="eastAsia" w:ascii="宋体" w:hAnsi="宋体" w:cs="仿宋_GB2312"/>
          <w:b/>
          <w:color w:val="auto"/>
          <w:sz w:val="44"/>
          <w:szCs w:val="44"/>
          <w:highlight w:val="none"/>
        </w:rPr>
      </w:pPr>
    </w:p>
    <w:p w14:paraId="47890F84">
      <w:pPr>
        <w:shd w:val="clear"/>
        <w:spacing w:line="360" w:lineRule="auto"/>
        <w:jc w:val="center"/>
        <w:rPr>
          <w:rFonts w:hint="eastAsia" w:ascii="宋体" w:hAnsi="宋体" w:cs="仿宋_GB2312"/>
          <w:b/>
          <w:bCs/>
          <w:color w:val="auto"/>
          <w:w w:val="95"/>
          <w:sz w:val="48"/>
          <w:szCs w:val="48"/>
          <w:highlight w:val="none"/>
          <w:lang w:val="zh-CN"/>
        </w:rPr>
      </w:pPr>
      <w:r>
        <w:rPr>
          <w:rFonts w:hint="eastAsia" w:ascii="宋体" w:hAnsi="宋体" w:cs="仿宋_GB2312"/>
          <w:b/>
          <w:bCs/>
          <w:color w:val="auto"/>
          <w:w w:val="95"/>
          <w:sz w:val="48"/>
          <w:szCs w:val="48"/>
          <w:highlight w:val="none"/>
          <w:lang w:val="zh-CN"/>
        </w:rPr>
        <w:fldChar w:fldCharType="begin"/>
      </w:r>
      <w:r>
        <w:rPr>
          <w:rFonts w:hint="eastAsia" w:ascii="宋体" w:hAnsi="宋体" w:cs="仿宋_GB2312"/>
          <w:b/>
          <w:bCs/>
          <w:color w:val="auto"/>
          <w:w w:val="95"/>
          <w:sz w:val="48"/>
          <w:szCs w:val="48"/>
          <w:highlight w:val="none"/>
          <w:lang w:val="zh-CN"/>
        </w:rPr>
        <w:instrText xml:space="preserve"> HYPERLINK "https://middle.gcy.zfcg.gxzf.gov.cn/budget-quota-index/" \l "/purchase/plan/details/22709513" \t "https://middle.gcy.zfcg.gxzf.gov.cn/purchaseplan_front/" \l "/plan/list/_blank" </w:instrText>
      </w:r>
      <w:r>
        <w:rPr>
          <w:rFonts w:hint="eastAsia" w:ascii="宋体" w:hAnsi="宋体" w:cs="仿宋_GB2312"/>
          <w:b/>
          <w:bCs/>
          <w:color w:val="auto"/>
          <w:w w:val="95"/>
          <w:sz w:val="48"/>
          <w:szCs w:val="48"/>
          <w:highlight w:val="none"/>
          <w:lang w:val="zh-CN"/>
        </w:rPr>
        <w:fldChar w:fldCharType="separate"/>
      </w:r>
      <w:r>
        <w:rPr>
          <w:rFonts w:hint="eastAsia" w:ascii="宋体" w:hAnsi="宋体" w:cs="仿宋_GB2312"/>
          <w:b/>
          <w:bCs/>
          <w:color w:val="auto"/>
          <w:w w:val="95"/>
          <w:sz w:val="48"/>
          <w:szCs w:val="48"/>
          <w:highlight w:val="none"/>
          <w:lang w:val="zh-CN"/>
        </w:rPr>
        <w:t>广西壮族自治区第十六届运动会竞技体育项目（国际摔跤）竞赛服务</w:t>
      </w:r>
      <w:r>
        <w:rPr>
          <w:rFonts w:hint="eastAsia" w:ascii="宋体" w:hAnsi="宋体" w:cs="仿宋_GB2312"/>
          <w:b/>
          <w:bCs/>
          <w:color w:val="auto"/>
          <w:w w:val="95"/>
          <w:sz w:val="48"/>
          <w:szCs w:val="48"/>
          <w:highlight w:val="none"/>
          <w:lang w:val="zh-CN"/>
        </w:rPr>
        <w:fldChar w:fldCharType="end"/>
      </w:r>
    </w:p>
    <w:p w14:paraId="6DE5A3D3">
      <w:pPr>
        <w:shd w:val="clear"/>
        <w:spacing w:line="360" w:lineRule="auto"/>
        <w:jc w:val="center"/>
        <w:rPr>
          <w:rFonts w:hint="eastAsia" w:ascii="宋体" w:hAnsi="宋体" w:cs="仿宋_GB2312"/>
          <w:b/>
          <w:bCs/>
          <w:color w:val="auto"/>
          <w:w w:val="95"/>
          <w:sz w:val="72"/>
          <w:szCs w:val="72"/>
          <w:highlight w:val="none"/>
          <w:lang w:val="zh-CN"/>
        </w:rPr>
      </w:pPr>
    </w:p>
    <w:p w14:paraId="7B0637D1">
      <w:pPr>
        <w:shd w:val="clea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58528168">
      <w:pPr>
        <w:shd w:val="clea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28B5953A">
      <w:pPr>
        <w:shd w:val="clear"/>
        <w:adjustRightInd w:val="0"/>
        <w:snapToGrid w:val="0"/>
        <w:spacing w:line="360" w:lineRule="auto"/>
        <w:jc w:val="center"/>
        <w:rPr>
          <w:rFonts w:ascii="宋体" w:hAnsi="宋体" w:cs="仿宋_GB2312"/>
          <w:color w:val="auto"/>
          <w:sz w:val="30"/>
          <w:szCs w:val="30"/>
          <w:highlight w:val="none"/>
        </w:rPr>
      </w:pPr>
    </w:p>
    <w:p w14:paraId="78DB3DEC">
      <w:pPr>
        <w:shd w:val="clea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BHZC2026-C3-990257-BBWH</w:t>
      </w:r>
    </w:p>
    <w:p w14:paraId="6970EE5C">
      <w:pPr>
        <w:shd w:val="clea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20"/>
                    <a:stretch>
                      <a:fillRect/>
                    </a:stretch>
                  </pic:blipFill>
                  <pic:spPr>
                    <a:xfrm>
                      <a:off x="0" y="0"/>
                      <a:ext cx="2514600" cy="2271395"/>
                    </a:xfrm>
                    <a:prstGeom prst="rect">
                      <a:avLst/>
                    </a:prstGeom>
                    <a:noFill/>
                    <a:ln>
                      <a:noFill/>
                    </a:ln>
                  </pic:spPr>
                </pic:pic>
              </a:graphicData>
            </a:graphic>
          </wp:inline>
        </w:drawing>
      </w:r>
    </w:p>
    <w:p w14:paraId="1DFC36F7">
      <w:pPr>
        <w:shd w:val="clear"/>
        <w:adjustRightInd w:val="0"/>
        <w:spacing w:line="360" w:lineRule="auto"/>
        <w:rPr>
          <w:rFonts w:hint="eastAsia" w:ascii="宋体" w:hAnsi="宋体" w:cs="仿宋_GB2312"/>
          <w:color w:val="auto"/>
          <w:sz w:val="24"/>
          <w:highlight w:val="none"/>
        </w:rPr>
      </w:pPr>
    </w:p>
    <w:p w14:paraId="6BE4D9CD">
      <w:pPr>
        <w:shd w:val="clear"/>
        <w:adjustRightInd w:val="0"/>
        <w:spacing w:line="360" w:lineRule="auto"/>
        <w:rPr>
          <w:rFonts w:hint="eastAsia" w:ascii="宋体" w:hAnsi="宋体" w:cs="仿宋_GB2312"/>
          <w:color w:val="auto"/>
          <w:sz w:val="24"/>
          <w:highlight w:val="none"/>
        </w:rPr>
      </w:pPr>
    </w:p>
    <w:p w14:paraId="47676F22">
      <w:pPr>
        <w:shd w:val="clea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北海市旅游文体局</w:t>
      </w:r>
    </w:p>
    <w:p w14:paraId="795CF810">
      <w:pPr>
        <w:shd w:val="clea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3FBD4194">
      <w:pPr>
        <w:shd w:val="clear"/>
        <w:adjustRightInd w:val="0"/>
        <w:snapToGrid w:val="0"/>
        <w:spacing w:line="360" w:lineRule="auto"/>
        <w:jc w:val="center"/>
        <w:rPr>
          <w:rFonts w:hint="eastAsia" w:ascii="宋体" w:hAnsi="宋体" w:cs="仿宋_GB2312"/>
          <w:bCs/>
          <w:color w:val="auto"/>
          <w:sz w:val="32"/>
          <w:szCs w:val="32"/>
          <w:highlight w:val="none"/>
        </w:rPr>
      </w:pPr>
    </w:p>
    <w:p w14:paraId="210703BE">
      <w:pPr>
        <w:shd w:val="clea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八月</w:t>
      </w:r>
      <w:bookmarkEnd w:id="0"/>
    </w:p>
    <w:p w14:paraId="6A0374CB">
      <w:pPr>
        <w:pStyle w:val="32"/>
        <w:shd w:val="clear"/>
        <w:adjustRightInd w:val="0"/>
        <w:snapToGrid w:val="0"/>
        <w:spacing w:line="360" w:lineRule="auto"/>
        <w:ind w:firstLine="15"/>
        <w:jc w:val="center"/>
        <w:rPr>
          <w:color w:val="auto"/>
          <w:sz w:val="32"/>
          <w:szCs w:val="32"/>
          <w:highlight w:val="none"/>
        </w:rPr>
        <w:sectPr>
          <w:headerReference r:id="rId4" w:type="first"/>
          <w:headerReference r:id="rId3" w:type="default"/>
          <w:pgSz w:w="11906" w:h="16838"/>
          <w:pgMar w:top="1417" w:right="1417" w:bottom="1417" w:left="1417" w:header="851" w:footer="992" w:gutter="0"/>
          <w:pgNumType w:fmt="decimal" w:start="1"/>
          <w:cols w:space="720" w:num="1"/>
          <w:rtlGutter w:val="0"/>
          <w:docGrid w:type="lines" w:linePitch="312" w:charSpace="0"/>
        </w:sectPr>
      </w:pPr>
    </w:p>
    <w:p w14:paraId="0285AD99">
      <w:pPr>
        <w:shd w:val="clea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32A8DF4C">
      <w:pPr>
        <w:shd w:val="clear"/>
        <w:spacing w:line="360" w:lineRule="auto"/>
        <w:rPr>
          <w:rFonts w:hint="eastAsia" w:cs="仿宋_GB2312" w:asciiTheme="minorEastAsia" w:hAnsiTheme="minorEastAsia" w:eastAsiaTheme="minorEastAsia"/>
          <w:color w:val="auto"/>
          <w:sz w:val="32"/>
          <w:szCs w:val="32"/>
          <w:highlight w:val="none"/>
        </w:rPr>
      </w:pPr>
    </w:p>
    <w:p w14:paraId="7D5121C6">
      <w:pPr>
        <w:pStyle w:val="41"/>
        <w:shd w:val="clear"/>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644207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198050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22D65F1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21F5C41">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E17D713">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305E1C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FA6E317">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1706432">
      <w:pPr>
        <w:shd w:val="clea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511651CF">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40BA93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54CA18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AC8F025">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283F461">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4EC21F4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1654EA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8A3A29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C19DA0E">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870C796">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A174039">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05629AD">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4AB41C5">
      <w:pPr>
        <w:shd w:val="clear"/>
        <w:spacing w:line="360" w:lineRule="auto"/>
        <w:rPr>
          <w:rFonts w:hint="eastAsia" w:cs="仿宋_GB2312" w:asciiTheme="minorEastAsia" w:hAnsiTheme="minorEastAsia" w:eastAsiaTheme="minorEastAsia"/>
          <w:color w:val="auto"/>
          <w:sz w:val="24"/>
          <w:highlight w:val="none"/>
        </w:rPr>
      </w:pPr>
    </w:p>
    <w:bookmarkEnd w:id="3"/>
    <w:p w14:paraId="2C23F47B">
      <w:pPr>
        <w:shd w:val="clear"/>
        <w:adjustRightInd/>
        <w:jc w:val="center"/>
        <w:outlineLvl w:val="0"/>
        <w:rPr>
          <w:rFonts w:hint="eastAsia" w:cs="仿宋_GB2312" w:asciiTheme="minorEastAsia" w:hAnsiTheme="minorEastAsia" w:eastAsiaTheme="minorEastAsia"/>
          <w:b/>
          <w:color w:val="auto"/>
          <w:sz w:val="36"/>
          <w:szCs w:val="20"/>
          <w:highlight w:val="none"/>
          <w:lang w:eastAsia="zh-CN"/>
        </w:rPr>
        <w:sectPr>
          <w:footerReference r:id="rId5" w:type="default"/>
          <w:pgSz w:w="11907" w:h="16839"/>
          <w:pgMar w:top="1417" w:right="1417" w:bottom="1417" w:left="1417" w:header="850" w:footer="850" w:gutter="0"/>
          <w:pgNumType w:fmt="decimal" w:start="1"/>
          <w:cols w:space="720" w:num="1"/>
          <w:rtlGutter w:val="0"/>
        </w:sectPr>
      </w:pPr>
      <w:bookmarkStart w:id="4" w:name="_Hlt74728647"/>
      <w:bookmarkEnd w:id="4"/>
      <w:bookmarkStart w:id="5" w:name="_Hlt74649545"/>
      <w:bookmarkEnd w:id="5"/>
      <w:bookmarkStart w:id="6" w:name="_Hlt74729822"/>
      <w:bookmarkEnd w:id="6"/>
      <w:bookmarkStart w:id="7" w:name="_Hlt74707423"/>
      <w:bookmarkEnd w:id="7"/>
      <w:bookmarkStart w:id="8" w:name="第二部分"/>
      <w:bookmarkStart w:id="9" w:name="_Toc91899870"/>
      <w:bookmarkStart w:id="10" w:name="_Toc91899871"/>
    </w:p>
    <w:p w14:paraId="5F8BDF46">
      <w:pPr>
        <w:shd w:val="clea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7B56228">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223066F">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广西壮族自治区第十六届运动会竞技体育项目（国际摔跤）竞赛服务</w:t>
      </w:r>
      <w:r>
        <w:rPr>
          <w:rFonts w:hint="eastAsia" w:cs="仿宋_GB2312" w:asciiTheme="minorEastAsia" w:hAnsiTheme="minorEastAsia" w:eastAsiaTheme="minorEastAsia"/>
          <w:b/>
          <w:color w:val="auto"/>
          <w:sz w:val="32"/>
          <w:szCs w:val="32"/>
          <w:highlight w:val="none"/>
          <w:lang w:val="en-US" w:eastAsia="zh-CN"/>
        </w:rPr>
        <w:t>的</w:t>
      </w:r>
      <w:r>
        <w:rPr>
          <w:rFonts w:hint="eastAsia" w:cs="仿宋_GB2312" w:asciiTheme="minorEastAsia" w:hAnsiTheme="minorEastAsia" w:eastAsiaTheme="minorEastAsia"/>
          <w:b/>
          <w:color w:val="auto"/>
          <w:sz w:val="32"/>
          <w:szCs w:val="32"/>
          <w:highlight w:val="none"/>
        </w:rPr>
        <w:t>竞争性磋商公告</w:t>
      </w:r>
    </w:p>
    <w:p w14:paraId="786566C1">
      <w:pPr>
        <w:shd w:val="clea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590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6F3C7787">
            <w:pPr>
              <w:keepNext w:val="0"/>
              <w:keepLines w:val="0"/>
              <w:suppressLineNumbers w:val="0"/>
              <w:shd w:val="clear"/>
              <w:spacing w:before="0" w:beforeAutospacing="0" w:after="0" w:afterAutospacing="0" w:line="34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01B33BB7">
            <w:pPr>
              <w:keepNext w:val="0"/>
              <w:keepLines w:val="0"/>
              <w:suppressLineNumbers w:val="0"/>
              <w:shd w:val="clear"/>
              <w:spacing w:before="0" w:beforeAutospacing="0" w:after="0" w:afterAutospacing="0" w:line="340" w:lineRule="exact"/>
              <w:ind w:left="0" w:right="0"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广西壮族自治区第十六届运动会竞技体育项目（国际摔跤）竞赛服务</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09时00分</w:t>
            </w:r>
            <w:r>
              <w:rPr>
                <w:rFonts w:hint="eastAsia" w:ascii="宋体" w:hAnsi="宋体" w:cs="宋体"/>
                <w:color w:val="auto"/>
                <w:sz w:val="24"/>
                <w:szCs w:val="24"/>
                <w:highlight w:val="none"/>
              </w:rPr>
              <w:t xml:space="preserve">（北京时间）前提交响应文件。 </w:t>
            </w:r>
          </w:p>
        </w:tc>
      </w:tr>
    </w:tbl>
    <w:p w14:paraId="2ED77200">
      <w:pPr>
        <w:shd w:val="clear"/>
        <w:spacing w:line="360" w:lineRule="auto"/>
        <w:rPr>
          <w:rFonts w:hint="eastAsia" w:ascii="宋体" w:hAnsi="宋体" w:cs="宋体"/>
          <w:b/>
          <w:bCs/>
          <w:color w:val="auto"/>
          <w:sz w:val="24"/>
          <w:szCs w:val="24"/>
          <w:highlight w:val="none"/>
        </w:rPr>
      </w:pPr>
    </w:p>
    <w:p w14:paraId="397A1780">
      <w:pPr>
        <w:shd w:val="clea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6E88C4C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BHZC2026-C3-990257-BBWH</w:t>
      </w:r>
    </w:p>
    <w:p w14:paraId="551BA2A8">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广西壮族自治区第十六届运动会竞技体育项目（国际摔跤）竞赛服务</w:t>
      </w:r>
    </w:p>
    <w:p w14:paraId="225B450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B03CE6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金额（元）：1878940.00</w:t>
      </w:r>
    </w:p>
    <w:p w14:paraId="2EDAB2CC">
      <w:pPr>
        <w:shd w:val="clear"/>
        <w:adjustRightInd w:val="0"/>
        <w:spacing w:line="360" w:lineRule="auto"/>
        <w:ind w:firstLine="480" w:firstLineChars="200"/>
        <w:rPr>
          <w:rFonts w:hint="default"/>
          <w:color w:val="auto"/>
          <w:highlight w:val="none"/>
          <w:lang w:val="en-US" w:eastAsia="zh-CN"/>
        </w:rPr>
      </w:pPr>
      <w:r>
        <w:rPr>
          <w:rFonts w:hint="eastAsia" w:ascii="宋体" w:hAnsi="宋体"/>
          <w:color w:val="auto"/>
          <w:sz w:val="24"/>
          <w:highlight w:val="none"/>
        </w:rPr>
        <w:t>最高限价（元）：1878940.00</w:t>
      </w:r>
    </w:p>
    <w:p w14:paraId="4BB3C55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158F956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广西壮族自治区第十六届运动会竞技体育项目（国际摔跤）竞赛服务</w:t>
      </w:r>
    </w:p>
    <w:p w14:paraId="6C02014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3EEDE515">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预算金额（元）：1878940.00</w:t>
      </w:r>
    </w:p>
    <w:p w14:paraId="0A4283A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宋体" w:hAnsi="宋体" w:cs="宋体"/>
          <w:b w:val="0"/>
          <w:color w:val="auto"/>
          <w:kern w:val="0"/>
          <w:sz w:val="24"/>
          <w:szCs w:val="24"/>
          <w:highlight w:val="none"/>
          <w:u w:val="none"/>
          <w:lang w:val="en-US" w:eastAsia="zh-CN"/>
        </w:rPr>
        <w:t>广西壮族自治区第十六届运动会竞技体育项目（国际摔跤）竞赛服务</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3D660B0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sz w:val="24"/>
          <w:szCs w:val="24"/>
          <w:highlight w:val="none"/>
          <w:lang w:val="en-US"/>
        </w:rPr>
      </w:pPr>
      <w:r>
        <w:rPr>
          <w:rFonts w:ascii="宋体" w:hAnsi="宋体" w:cs="宋体"/>
          <w:color w:val="auto"/>
          <w:sz w:val="24"/>
          <w:szCs w:val="24"/>
          <w:highlight w:val="none"/>
        </w:rPr>
        <w:t>最高限价（如有）：</w:t>
      </w:r>
      <w:r>
        <w:rPr>
          <w:rFonts w:hint="eastAsia" w:ascii="宋体" w:hAnsi="宋体" w:cs="宋体"/>
          <w:color w:val="auto"/>
          <w:sz w:val="24"/>
          <w:szCs w:val="24"/>
          <w:highlight w:val="none"/>
        </w:rPr>
        <w:t>1878940.00</w:t>
      </w:r>
    </w:p>
    <w:p w14:paraId="042BCF7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宋体"/>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详见采购文件第四部分《采购需求》</w:t>
      </w:r>
      <w:r>
        <w:rPr>
          <w:rFonts w:hint="eastAsia" w:ascii="仿宋" w:hAnsi="仿宋"/>
          <w:color w:val="auto"/>
          <w:sz w:val="24"/>
          <w:szCs w:val="24"/>
          <w:highlight w:val="none"/>
          <w:lang w:eastAsia="zh-CN"/>
        </w:rPr>
        <w:t>。</w:t>
      </w:r>
    </w:p>
    <w:p w14:paraId="5BFF6F0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w:t>
      </w:r>
      <w:r>
        <w:rPr>
          <w:rFonts w:hint="eastAsia" w:ascii="仿宋" w:hAnsi="仿宋" w:cs="Times New Roman"/>
          <w:color w:val="auto"/>
          <w:sz w:val="24"/>
          <w:szCs w:val="24"/>
          <w:highlight w:val="none"/>
          <w:lang w:val="en-US" w:eastAsia="zh-CN"/>
        </w:rPr>
        <w:t>否</w:t>
      </w:r>
      <w:r>
        <w:rPr>
          <w:rFonts w:hint="default" w:ascii="仿宋" w:hAnsi="仿宋" w:eastAsia="宋体" w:cs="Times New Roman"/>
          <w:color w:val="auto"/>
          <w:sz w:val="24"/>
          <w:szCs w:val="24"/>
          <w:highlight w:val="none"/>
          <w:lang w:eastAsia="zh-CN"/>
        </w:rPr>
        <w:t>）接受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58630FB9">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1F19C16A">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77574899">
      <w:pPr>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EB6F166">
      <w:pPr>
        <w:shd w:val="clea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本项目为专门面向中小企业采购项目，供应商应为中小微企业/</w:t>
      </w:r>
      <w:r>
        <w:rPr>
          <w:rFonts w:ascii="Arial" w:hAnsi="Arial" w:eastAsia="Arial" w:cs="Arial"/>
          <w:i w:val="0"/>
          <w:iCs w:val="0"/>
          <w:caps w:val="0"/>
          <w:color w:val="auto"/>
          <w:spacing w:val="0"/>
          <w:sz w:val="24"/>
          <w:szCs w:val="24"/>
          <w:highlight w:val="none"/>
          <w:shd w:val="clear" w:fill="FFFFFF"/>
        </w:rPr>
        <w:t>残疾人福利性单位</w:t>
      </w:r>
      <w:r>
        <w:rPr>
          <w:rFonts w:hint="eastAsia" w:ascii="宋体" w:hAnsi="宋体" w:cs="宋体"/>
          <w:color w:val="auto"/>
          <w:kern w:val="1"/>
          <w:sz w:val="24"/>
          <w:szCs w:val="24"/>
          <w:highlight w:val="none"/>
          <w:lang w:val="en-US" w:eastAsia="zh-CN"/>
        </w:rPr>
        <w:t>/监狱企业。</w:t>
      </w:r>
    </w:p>
    <w:p w14:paraId="75878338">
      <w:pPr>
        <w:shd w:val="clear"/>
        <w:spacing w:line="360" w:lineRule="auto"/>
        <w:ind w:firstLine="420"/>
        <w:rPr>
          <w:rFonts w:hint="eastAsia" w:ascii="宋体" w:hAnsi="宋体" w:eastAsia="宋体" w:cs="宋体"/>
          <w:b w:val="0"/>
          <w:bCs w:val="0"/>
          <w:color w:val="auto"/>
          <w:kern w:val="1"/>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b w:val="0"/>
          <w:bCs w:val="0"/>
          <w:color w:val="auto"/>
          <w:sz w:val="24"/>
          <w:szCs w:val="24"/>
          <w:highlight w:val="none"/>
          <w:lang w:val="en-US" w:eastAsia="zh-CN"/>
        </w:rPr>
        <w:t>无</w:t>
      </w:r>
      <w:r>
        <w:rPr>
          <w:rFonts w:hint="eastAsia" w:ascii="宋体" w:hAnsi="宋体" w:cs="宋体"/>
          <w:b w:val="0"/>
          <w:bCs w:val="0"/>
          <w:color w:val="auto"/>
          <w:kern w:val="1"/>
          <w:sz w:val="24"/>
          <w:szCs w:val="24"/>
          <w:highlight w:val="none"/>
          <w:lang w:val="en-US" w:eastAsia="zh-CN"/>
        </w:rPr>
        <w:t>。</w:t>
      </w:r>
    </w:p>
    <w:p w14:paraId="69F82F01">
      <w:pPr>
        <w:pStyle w:val="633"/>
        <w:shd w:val="clear"/>
        <w:ind w:firstLine="0"/>
        <w:rPr>
          <w:b/>
          <w:color w:val="auto"/>
          <w:highlight w:val="none"/>
        </w:rPr>
      </w:pPr>
      <w:r>
        <w:rPr>
          <w:rFonts w:hint="eastAsia"/>
          <w:b/>
          <w:color w:val="auto"/>
          <w:highlight w:val="none"/>
        </w:rPr>
        <w:t>三、获取（下载）采购文件</w:t>
      </w:r>
    </w:p>
    <w:p w14:paraId="419B3DF2">
      <w:pPr>
        <w:shd w:val="clea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08</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28</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04</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1D3D7AD9">
      <w:pPr>
        <w:shd w:val="clea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7E9AAF7">
      <w:pPr>
        <w:shd w:val="clea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0614FF58">
      <w:pPr>
        <w:shd w:val="clea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60F9828">
      <w:pPr>
        <w:pStyle w:val="633"/>
        <w:shd w:val="clear"/>
        <w:ind w:firstLine="0"/>
        <w:rPr>
          <w:b/>
          <w:color w:val="auto"/>
          <w:highlight w:val="none"/>
        </w:rPr>
      </w:pPr>
      <w:bookmarkStart w:id="12" w:name="_Toc35393801"/>
      <w:bookmarkStart w:id="13" w:name="_Toc35393632"/>
      <w:bookmarkStart w:id="14" w:name="_Toc28359015"/>
      <w:bookmarkStart w:id="15" w:name="_Toc28359092"/>
      <w:r>
        <w:rPr>
          <w:rFonts w:hint="eastAsia"/>
          <w:b/>
          <w:color w:val="auto"/>
          <w:highlight w:val="none"/>
        </w:rPr>
        <w:t>四、响应文件提交</w:t>
      </w:r>
      <w:bookmarkEnd w:id="12"/>
      <w:bookmarkEnd w:id="13"/>
      <w:bookmarkEnd w:id="14"/>
      <w:bookmarkEnd w:id="15"/>
    </w:p>
    <w:p w14:paraId="24D77ECD">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09时00分</w:t>
      </w:r>
      <w:r>
        <w:rPr>
          <w:rFonts w:hint="eastAsia" w:asciiTheme="minorEastAsia" w:hAnsiTheme="minorEastAsia" w:eastAsiaTheme="minorEastAsia"/>
          <w:bCs/>
          <w:color w:val="auto"/>
          <w:sz w:val="24"/>
          <w:highlight w:val="none"/>
          <w:u w:val="none"/>
        </w:rPr>
        <w:t>（北京时间）</w:t>
      </w:r>
    </w:p>
    <w:p w14:paraId="5A80255F">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5143CA8F">
      <w:pPr>
        <w:pStyle w:val="633"/>
        <w:shd w:val="clear"/>
        <w:ind w:firstLine="0"/>
        <w:rPr>
          <w:b/>
          <w:color w:val="auto"/>
          <w:highlight w:val="none"/>
          <w:u w:val="none"/>
        </w:rPr>
      </w:pPr>
      <w:bookmarkStart w:id="16" w:name="_Toc28359093"/>
      <w:bookmarkStart w:id="17" w:name="_Toc28359016"/>
      <w:bookmarkStart w:id="18" w:name="_Toc35393802"/>
      <w:bookmarkStart w:id="19" w:name="_Toc35393633"/>
      <w:r>
        <w:rPr>
          <w:rFonts w:hint="eastAsia"/>
          <w:b/>
          <w:color w:val="auto"/>
          <w:highlight w:val="none"/>
          <w:u w:val="none"/>
        </w:rPr>
        <w:t>五、响应文件开启</w:t>
      </w:r>
      <w:bookmarkEnd w:id="16"/>
      <w:bookmarkEnd w:id="17"/>
      <w:bookmarkEnd w:id="18"/>
      <w:bookmarkEnd w:id="19"/>
    </w:p>
    <w:p w14:paraId="33F598E6">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09时00分</w:t>
      </w:r>
      <w:r>
        <w:rPr>
          <w:rFonts w:hint="eastAsia" w:asciiTheme="minorEastAsia" w:hAnsiTheme="minorEastAsia" w:eastAsiaTheme="minorEastAsia"/>
          <w:bCs/>
          <w:color w:val="auto"/>
          <w:sz w:val="24"/>
          <w:highlight w:val="none"/>
          <w:u w:val="none"/>
        </w:rPr>
        <w:t>（北京时间）</w:t>
      </w:r>
    </w:p>
    <w:p w14:paraId="67059C4A">
      <w:pPr>
        <w:shd w:val="clea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B2770E5">
      <w:pPr>
        <w:pStyle w:val="633"/>
        <w:shd w:val="clear"/>
        <w:ind w:firstLine="0"/>
        <w:rPr>
          <w:b/>
          <w:color w:val="auto"/>
          <w:highlight w:val="none"/>
        </w:rPr>
      </w:pPr>
      <w:bookmarkStart w:id="20" w:name="_Toc28359094"/>
      <w:bookmarkStart w:id="21" w:name="_Toc35393803"/>
      <w:bookmarkStart w:id="22" w:name="_Toc28359017"/>
      <w:bookmarkStart w:id="23" w:name="_Toc35393634"/>
      <w:r>
        <w:rPr>
          <w:rFonts w:hint="eastAsia"/>
          <w:b/>
          <w:color w:val="auto"/>
          <w:highlight w:val="none"/>
        </w:rPr>
        <w:t>六、公告期限</w:t>
      </w:r>
      <w:bookmarkEnd w:id="20"/>
      <w:bookmarkEnd w:id="21"/>
      <w:bookmarkEnd w:id="22"/>
      <w:bookmarkEnd w:id="23"/>
    </w:p>
    <w:p w14:paraId="253CA29C">
      <w:pPr>
        <w:shd w:val="clea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819DEFD">
      <w:pPr>
        <w:pStyle w:val="633"/>
        <w:shd w:val="clear"/>
        <w:ind w:firstLine="0"/>
        <w:rPr>
          <w:b/>
          <w:color w:val="auto"/>
          <w:highlight w:val="none"/>
        </w:rPr>
      </w:pPr>
      <w:bookmarkStart w:id="24" w:name="_Toc35393635"/>
      <w:bookmarkStart w:id="25" w:name="_Toc35393804"/>
      <w:r>
        <w:rPr>
          <w:rFonts w:hint="eastAsia"/>
          <w:b/>
          <w:color w:val="auto"/>
          <w:highlight w:val="none"/>
        </w:rPr>
        <w:t>七、其他补充事宜</w:t>
      </w:r>
      <w:bookmarkEnd w:id="24"/>
      <w:bookmarkEnd w:id="25"/>
    </w:p>
    <w:p w14:paraId="028A274B">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本项目不要求提交磋商保证金。</w:t>
      </w:r>
    </w:p>
    <w:p w14:paraId="4799B5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本项目需要落实的政府采购政策：（</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）支持绿色发展：落实强制采购节能产品、鼓励节能政策；鼓励环保政策；推广使用绿色包装；采购绿色建材等。（</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）平等对待内外资企业和符合条件的破产重整企业。</w:t>
      </w:r>
    </w:p>
    <w:p w14:paraId="4F41F06A">
      <w:pPr>
        <w:shd w:val="clear"/>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3</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26845DE">
      <w:pPr>
        <w:shd w:val="clea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.网上公告媒体查询：中国政府采购网</w:t>
      </w:r>
      <w:r>
        <w:rPr>
          <w:rFonts w:hint="eastAsia" w:ascii="宋体" w:hAnsi="宋体" w:cs="宋体"/>
          <w:color w:val="auto"/>
          <w:sz w:val="24"/>
          <w:highlight w:val="none"/>
          <w:lang w:eastAsia="zh-CN"/>
        </w:rPr>
        <w:t>（http://www.ccgp.gov.cn/）</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广西政府采购网（http://www.ccgp-guangxi.gov.cn/）。</w:t>
      </w:r>
    </w:p>
    <w:p w14:paraId="36D6E1A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5C3A2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5B41517">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.本项目采用远程异地评标。</w:t>
      </w:r>
    </w:p>
    <w:p w14:paraId="0DB952B3">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3FD8D150">
      <w:pPr>
        <w:shd w:val="clea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09633458">
      <w:pPr>
        <w:shd w:val="clea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北海市旅游文体局</w:t>
      </w:r>
    </w:p>
    <w:p w14:paraId="4C32411B">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86"/>
      <w:bookmarkStart w:id="27" w:name="_Toc28359009"/>
      <w:r>
        <w:rPr>
          <w:rFonts w:hint="eastAsia" w:ascii="宋体" w:hAnsi="宋体" w:cs="Times New Roman"/>
          <w:color w:val="auto"/>
          <w:kern w:val="0"/>
          <w:sz w:val="24"/>
          <w:szCs w:val="24"/>
          <w:highlight w:val="none"/>
          <w:shd w:val="clear" w:color="auto" w:fill="auto"/>
          <w:lang w:eastAsia="zh-CN"/>
        </w:rPr>
        <w:t>北海市海城区贵州路35号</w:t>
      </w:r>
    </w:p>
    <w:p w14:paraId="413F5FE9">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w:t>
      </w:r>
      <w:r>
        <w:rPr>
          <w:rFonts w:hint="eastAsia" w:ascii="宋体" w:hAnsi="宋体" w:cs="Times New Roman"/>
          <w:color w:val="auto"/>
          <w:sz w:val="24"/>
          <w:szCs w:val="24"/>
          <w:highlight w:val="none"/>
          <w:shd w:val="clear" w:color="auto" w:fill="auto"/>
          <w:lang w:val="en-US" w:eastAsia="zh-CN"/>
        </w:rPr>
        <w:t>刘鹏</w:t>
      </w:r>
    </w:p>
    <w:p w14:paraId="5083E275">
      <w:pPr>
        <w:shd w:val="clear"/>
        <w:spacing w:line="360" w:lineRule="auto"/>
        <w:ind w:firstLine="480" w:firstLineChars="200"/>
        <w:jc w:val="left"/>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w:t>
      </w:r>
      <w:r>
        <w:rPr>
          <w:rFonts w:hint="eastAsia" w:ascii="宋体" w:hAnsi="宋体"/>
          <w:color w:val="auto"/>
          <w:sz w:val="24"/>
          <w:szCs w:val="24"/>
          <w:highlight w:val="none"/>
          <w:lang w:val="en-US" w:eastAsia="zh-CN"/>
        </w:rPr>
        <w:t>0779-2029045</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p>
    <w:bookmarkEnd w:id="26"/>
    <w:bookmarkEnd w:id="27"/>
    <w:p w14:paraId="0AE510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B01B21">
      <w:pPr>
        <w:pStyle w:val="633"/>
        <w:shd w:val="clear"/>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13961E46">
      <w:pPr>
        <w:pStyle w:val="633"/>
        <w:shd w:val="clear"/>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23F741A7">
      <w:pPr>
        <w:shd w:val="clea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41ABD4A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14D096D7">
      <w:pPr>
        <w:pStyle w:val="633"/>
        <w:shd w:val="clear"/>
        <w:rPr>
          <w:rFonts w:hint="eastAsia"/>
          <w:color w:val="auto"/>
          <w:highlight w:val="none"/>
        </w:rPr>
      </w:pPr>
    </w:p>
    <w:p w14:paraId="6021A336">
      <w:pPr>
        <w:shd w:val="clear"/>
        <w:spacing w:line="360" w:lineRule="auto"/>
        <w:rPr>
          <w:rFonts w:hint="eastAsia" w:cs="仿宋_GB2312" w:asciiTheme="minorEastAsia" w:hAnsiTheme="minorEastAsia" w:eastAsiaTheme="minorEastAsia"/>
          <w:color w:val="auto"/>
          <w:sz w:val="24"/>
          <w:highlight w:val="none"/>
        </w:rPr>
      </w:pPr>
    </w:p>
    <w:p w14:paraId="4B0EC676">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4863F338">
      <w:pPr>
        <w:shd w:val="clear"/>
        <w:rPr>
          <w:rFonts w:hint="eastAsia" w:cs="仿宋_GB2312" w:asciiTheme="minorEastAsia" w:hAnsiTheme="minorEastAsia" w:eastAsiaTheme="minorEastAsia"/>
          <w:b/>
          <w:color w:val="auto"/>
          <w:sz w:val="36"/>
          <w:szCs w:val="20"/>
          <w:highlight w:val="none"/>
        </w:rPr>
      </w:pPr>
      <w:bookmarkStart w:id="28" w:name="_Toc8027"/>
      <w:r>
        <w:rPr>
          <w:rFonts w:hint="eastAsia" w:cs="仿宋_GB2312" w:asciiTheme="minorEastAsia" w:hAnsiTheme="minorEastAsia" w:eastAsiaTheme="minorEastAsia"/>
          <w:b/>
          <w:color w:val="auto"/>
          <w:sz w:val="36"/>
          <w:szCs w:val="20"/>
          <w:highlight w:val="none"/>
        </w:rPr>
        <w:br w:type="page"/>
      </w:r>
    </w:p>
    <w:p w14:paraId="057DDF9D">
      <w:pPr>
        <w:shd w:val="clear"/>
        <w:adjustRightInd/>
        <w:spacing w:line="360" w:lineRule="auto"/>
        <w:jc w:val="center"/>
        <w:outlineLvl w:val="0"/>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6"/>
          <w:szCs w:val="20"/>
          <w:highlight w:val="none"/>
        </w:rPr>
        <w:t>第二部分  竞争性磋商流程</w:t>
      </w:r>
      <w:bookmarkEnd w:id="28"/>
    </w:p>
    <w:p w14:paraId="59627A3D">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2D5D2209">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09D0DDDF">
      <w:pPr>
        <w:pStyle w:val="393"/>
        <w:shd w:val="clear"/>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A7556E3">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5547105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033137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3FF240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184DB05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4D9176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9B041A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703C713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06141A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679FEB6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C6AA3FF">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6D9D6D4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44FD8C6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4284704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670211F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6577C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5BC082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82FA8D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034F4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4AE5A8D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D3B628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340DC0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617FBB6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FD4F2F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45F5E81">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4BFBEF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44FA270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全国公共资源交易平台（广西.北海）(http://ggzy.jgswj.gxzf.gov.cn/bhggzy/)</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19B7C827">
      <w:pPr>
        <w:pStyle w:val="393"/>
        <w:shd w:val="clear"/>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E8A9BB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B4F7AFB">
      <w:pPr>
        <w:shd w:val="clea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BD6A75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7B1BCC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396C5AF">
      <w:pPr>
        <w:widowControl/>
        <w:shd w:val="clear"/>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2A76D30">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945FA31">
      <w:pPr>
        <w:pStyle w:val="393"/>
        <w:shd w:val="clear"/>
        <w:spacing w:before="0"/>
        <w:ind w:firstLine="0" w:firstLineChars="0"/>
        <w:rPr>
          <w:rFonts w:hint="eastAsia" w:asciiTheme="minorEastAsia" w:hAnsiTheme="minorEastAsia" w:eastAsiaTheme="minorEastAsia"/>
          <w:b/>
          <w:color w:val="auto"/>
          <w:highlight w:val="none"/>
        </w:rPr>
      </w:pPr>
    </w:p>
    <w:p w14:paraId="763453DA">
      <w:pPr>
        <w:widowControl/>
        <w:shd w:val="clear"/>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311CFE">
      <w:pPr>
        <w:widowControl/>
        <w:shd w:val="clear"/>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53C1B2D6">
      <w:pPr>
        <w:shd w:val="clea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6552CE0D">
      <w:pPr>
        <w:shd w:val="clea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1437"/>
        <w:gridCol w:w="7456"/>
      </w:tblGrid>
      <w:tr w14:paraId="371E5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vAlign w:val="center"/>
          </w:tcPr>
          <w:p w14:paraId="1987E553">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437" w:type="dxa"/>
            <w:tcBorders>
              <w:top w:val="single" w:color="000000" w:sz="8" w:space="0"/>
              <w:left w:val="single" w:color="auto" w:sz="4" w:space="0"/>
              <w:bottom w:val="single" w:color="000000" w:sz="8" w:space="0"/>
              <w:right w:val="single" w:color="000000" w:sz="8" w:space="0"/>
            </w:tcBorders>
            <w:vAlign w:val="center"/>
          </w:tcPr>
          <w:p w14:paraId="0EA1B15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7456" w:type="dxa"/>
            <w:tcBorders>
              <w:top w:val="single" w:color="000000" w:sz="8" w:space="0"/>
              <w:left w:val="single" w:color="000000" w:sz="2" w:space="0"/>
              <w:bottom w:val="single" w:color="000000" w:sz="8" w:space="0"/>
              <w:right w:val="single" w:color="000000" w:sz="8" w:space="0"/>
            </w:tcBorders>
            <w:vAlign w:val="center"/>
          </w:tcPr>
          <w:p w14:paraId="16BF12F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D2CB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7" w:hRule="atLeast"/>
        </w:trPr>
        <w:tc>
          <w:tcPr>
            <w:tcW w:w="769" w:type="dxa"/>
            <w:tcBorders>
              <w:top w:val="single" w:color="auto" w:sz="4" w:space="0"/>
              <w:left w:val="single" w:color="auto" w:sz="4" w:space="0"/>
              <w:bottom w:val="single" w:color="auto" w:sz="4" w:space="0"/>
              <w:right w:val="single" w:color="auto" w:sz="4" w:space="0"/>
            </w:tcBorders>
            <w:vAlign w:val="center"/>
          </w:tcPr>
          <w:p w14:paraId="6C879A4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437" w:type="dxa"/>
            <w:tcBorders>
              <w:top w:val="single" w:color="000000" w:sz="8" w:space="0"/>
              <w:left w:val="single" w:color="auto" w:sz="4" w:space="0"/>
              <w:bottom w:val="single" w:color="000000" w:sz="8" w:space="0"/>
              <w:right w:val="single" w:color="000000" w:sz="8" w:space="0"/>
            </w:tcBorders>
            <w:vAlign w:val="center"/>
          </w:tcPr>
          <w:p w14:paraId="7B5F97D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7456" w:type="dxa"/>
            <w:tcBorders>
              <w:top w:val="single" w:color="000000" w:sz="8" w:space="0"/>
              <w:left w:val="single" w:color="000000" w:sz="2" w:space="0"/>
              <w:bottom w:val="single" w:color="000000" w:sz="8" w:space="0"/>
              <w:right w:val="single" w:color="000000" w:sz="8" w:space="0"/>
            </w:tcBorders>
            <w:vAlign w:val="center"/>
          </w:tcPr>
          <w:p w14:paraId="332D2CF7">
            <w:pPr>
              <w:keepNext w:val="0"/>
              <w:keepLines w:val="0"/>
              <w:suppressLineNumbers w:val="0"/>
              <w:shd w:val="clear"/>
              <w:spacing w:before="0" w:beforeAutospacing="0" w:after="0" w:afterAutospacing="0" w:line="360" w:lineRule="auto"/>
              <w:ind w:left="0" w:right="0"/>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5A6D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5" w:hRule="atLeast"/>
        </w:trPr>
        <w:tc>
          <w:tcPr>
            <w:tcW w:w="769" w:type="dxa"/>
            <w:tcBorders>
              <w:top w:val="single" w:color="auto" w:sz="4" w:space="0"/>
              <w:left w:val="single" w:color="auto" w:sz="4" w:space="0"/>
              <w:bottom w:val="single" w:color="auto" w:sz="4" w:space="0"/>
              <w:right w:val="single" w:color="auto" w:sz="4" w:space="0"/>
            </w:tcBorders>
            <w:vAlign w:val="center"/>
          </w:tcPr>
          <w:p w14:paraId="2953025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437" w:type="dxa"/>
            <w:tcBorders>
              <w:top w:val="single" w:color="000000" w:sz="8" w:space="0"/>
              <w:left w:val="single" w:color="auto" w:sz="4" w:space="0"/>
              <w:bottom w:val="single" w:color="000000" w:sz="8" w:space="0"/>
              <w:right w:val="single" w:color="000000" w:sz="8" w:space="0"/>
            </w:tcBorders>
            <w:vAlign w:val="center"/>
          </w:tcPr>
          <w:p w14:paraId="3B0AEBB1">
            <w:pPr>
              <w:keepNext w:val="0"/>
              <w:keepLines w:val="0"/>
              <w:suppressLineNumbers w:val="0"/>
              <w:shd w:val="clear"/>
              <w:snapToGrid w:val="0"/>
              <w:spacing w:before="0" w:beforeAutospacing="0" w:after="0" w:afterAutospacing="0" w:line="360" w:lineRule="auto"/>
              <w:ind w:left="0" w:right="0"/>
              <w:rPr>
                <w:rFonts w:hint="default"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7456" w:type="dxa"/>
            <w:tcBorders>
              <w:top w:val="single" w:color="000000" w:sz="8" w:space="0"/>
              <w:left w:val="single" w:color="000000" w:sz="2" w:space="0"/>
              <w:bottom w:val="single" w:color="000000" w:sz="8" w:space="0"/>
              <w:right w:val="single" w:color="000000" w:sz="8" w:space="0"/>
            </w:tcBorders>
            <w:vAlign w:val="center"/>
          </w:tcPr>
          <w:p w14:paraId="5F41F81A">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Times New Roman" w:asciiTheme="minorEastAsia" w:hAnsiTheme="minorEastAsia" w:eastAsiaTheme="minorEastAsia"/>
                <w:color w:val="auto"/>
                <w:sz w:val="24"/>
                <w:highlight w:val="none"/>
                <w:u w:val="single"/>
                <w:lang w:val="en-US" w:eastAsia="zh-CN"/>
              </w:rPr>
              <w:t xml:space="preserve">广西壮族自治区第十六届运动会竞技体育项目（国际摔跤）竞赛服务 </w:t>
            </w:r>
            <w:r>
              <w:rPr>
                <w:rFonts w:hint="eastAsia" w:cs="Times New Roman" w:asciiTheme="minorEastAsia" w:hAnsiTheme="minorEastAsia" w:eastAsiaTheme="minorEastAsia"/>
                <w:color w:val="auto"/>
                <w:sz w:val="24"/>
                <w:highlight w:val="none"/>
                <w:u w:val="none"/>
                <w:lang w:val="en-US" w:eastAsia="zh-CN"/>
              </w:rPr>
              <w:t>，</w:t>
            </w:r>
            <w:r>
              <w:rPr>
                <w:rFonts w:hint="eastAsia" w:cs="Times New Roman" w:asciiTheme="minorEastAsia" w:hAnsiTheme="minorEastAsia" w:eastAsiaTheme="minorEastAsia"/>
                <w:color w:val="auto"/>
                <w:sz w:val="24"/>
                <w:highlight w:val="none"/>
                <w:u w:val="single"/>
                <w:lang w:val="en-US" w:eastAsia="zh-CN"/>
              </w:rPr>
              <w:t xml:space="preserve">属于 其他未列明行业 </w:t>
            </w:r>
            <w:r>
              <w:rPr>
                <w:rFonts w:hint="eastAsia" w:cs="Times New Roman" w:asciiTheme="minorEastAsia" w:hAnsiTheme="minorEastAsia" w:eastAsiaTheme="minorEastAsia"/>
                <w:color w:val="auto"/>
                <w:sz w:val="24"/>
                <w:highlight w:val="none"/>
                <w:u w:val="none"/>
                <w:lang w:val="en-US" w:eastAsia="zh-CN"/>
              </w:rPr>
              <w:t>行业</w:t>
            </w:r>
          </w:p>
        </w:tc>
      </w:tr>
      <w:tr w14:paraId="3DDF0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3" w:hRule="atLeast"/>
        </w:trPr>
        <w:tc>
          <w:tcPr>
            <w:tcW w:w="769" w:type="dxa"/>
            <w:tcBorders>
              <w:top w:val="single" w:color="auto" w:sz="4" w:space="0"/>
              <w:left w:val="single" w:color="auto" w:sz="4" w:space="0"/>
              <w:bottom w:val="single" w:color="auto" w:sz="4" w:space="0"/>
              <w:right w:val="single" w:color="auto" w:sz="4" w:space="0"/>
            </w:tcBorders>
            <w:vAlign w:val="center"/>
          </w:tcPr>
          <w:p w14:paraId="0E3143D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437" w:type="dxa"/>
            <w:tcBorders>
              <w:top w:val="single" w:color="000000" w:sz="8" w:space="0"/>
              <w:left w:val="single" w:color="auto" w:sz="4" w:space="0"/>
              <w:bottom w:val="single" w:color="000000" w:sz="8" w:space="0"/>
              <w:right w:val="single" w:color="000000" w:sz="8" w:space="0"/>
            </w:tcBorders>
            <w:vAlign w:val="center"/>
          </w:tcPr>
          <w:p w14:paraId="4FC0E01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388E7F87">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bookmarkStart w:id="172" w:name="_GoBack"/>
                <w:r>
                  <w:rPr>
                    <w:rFonts w:hint="eastAsia" w:cs="宋体" w:asciiTheme="minorEastAsia" w:hAnsiTheme="minorEastAsia" w:eastAsiaTheme="minorEastAsia"/>
                    <w:color w:val="auto"/>
                    <w:kern w:val="0"/>
                    <w:sz w:val="24"/>
                    <w:highlight w:val="none"/>
                  </w:rPr>
                  <w:sym w:font="Wingdings" w:char="F0FE"/>
                </w:r>
              </w:sdtContent>
            </w:sdt>
            <w:bookmarkEnd w:id="172"/>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kern w:val="0"/>
                <w:sz w:val="24"/>
                <w:highlight w:val="none"/>
              </w:rPr>
              <w:t>本项目不允许采购进口产品。</w:t>
            </w:r>
          </w:p>
          <w:p w14:paraId="031ADBA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147455008"/>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en-US" w:eastAsia="zh-CN" w:bidi="ar-SA"/>
              </w:rPr>
              <w:t>B</w:t>
            </w:r>
            <w:r>
              <w:rPr>
                <w:rFonts w:hint="eastAsia" w:ascii="宋体" w:eastAsia="宋体" w:cs="宋体" w:hAnsiTheme="minorEastAsia"/>
                <w:b w:val="0"/>
                <w:bCs w:val="0"/>
                <w:color w:val="auto"/>
                <w:kern w:val="0"/>
                <w:sz w:val="24"/>
                <w:szCs w:val="32"/>
                <w:highlight w:val="none"/>
                <w:lang w:val="zh-CN" w:eastAsia="zh-CN" w:bidi="ar-SA"/>
              </w:rPr>
              <w:t>可以就</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0"/>
                <w:sz w:val="24"/>
                <w:szCs w:val="32"/>
                <w:highlight w:val="none"/>
                <w:lang w:val="zh-CN" w:eastAsia="zh-CN" w:bidi="ar-SA"/>
              </w:rPr>
              <w:t>采购进口产品。</w:t>
            </w:r>
          </w:p>
        </w:tc>
      </w:tr>
      <w:tr w14:paraId="18E8C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79" w:hRule="atLeast"/>
        </w:trPr>
        <w:tc>
          <w:tcPr>
            <w:tcW w:w="769" w:type="dxa"/>
            <w:tcBorders>
              <w:top w:val="single" w:color="auto" w:sz="4" w:space="0"/>
              <w:left w:val="single" w:color="auto" w:sz="4" w:space="0"/>
              <w:bottom w:val="single" w:color="auto" w:sz="4" w:space="0"/>
              <w:right w:val="single" w:color="auto" w:sz="4" w:space="0"/>
            </w:tcBorders>
            <w:vAlign w:val="center"/>
          </w:tcPr>
          <w:p w14:paraId="3F253BC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437" w:type="dxa"/>
            <w:tcBorders>
              <w:top w:val="single" w:color="000000" w:sz="8" w:space="0"/>
              <w:left w:val="single" w:color="auto" w:sz="4" w:space="0"/>
              <w:bottom w:val="single" w:color="000000" w:sz="8" w:space="0"/>
              <w:right w:val="single" w:color="000000" w:sz="8" w:space="0"/>
            </w:tcBorders>
            <w:vAlign w:val="center"/>
          </w:tcPr>
          <w:p w14:paraId="59616343">
            <w:pPr>
              <w:keepNext w:val="0"/>
              <w:keepLines w:val="0"/>
              <w:suppressLineNumbers w:val="0"/>
              <w:shd w:val="clear"/>
              <w:snapToGrid w:val="0"/>
              <w:spacing w:before="0" w:beforeAutospacing="0" w:after="0" w:afterAutospacing="0" w:line="360" w:lineRule="auto"/>
              <w:ind w:left="0" w:right="0" w:firstLine="482" w:firstLineChars="200"/>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7456" w:type="dxa"/>
            <w:tcBorders>
              <w:top w:val="single" w:color="000000" w:sz="8" w:space="0"/>
              <w:left w:val="single" w:color="000000" w:sz="2" w:space="0"/>
              <w:bottom w:val="single" w:color="000000" w:sz="8" w:space="0"/>
              <w:right w:val="single" w:color="000000" w:sz="8" w:space="0"/>
            </w:tcBorders>
            <w:vAlign w:val="center"/>
          </w:tcPr>
          <w:p w14:paraId="6043D0F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☐A同意将非主体、非关键性的</w:t>
            </w:r>
            <w:r>
              <w:rPr>
                <w:rFonts w:hint="eastAsia" w:cs="宋体" w:asciiTheme="minorEastAsia" w:hAnsiTheme="minorEastAsia" w:eastAsiaTheme="minorEastAsia"/>
                <w:b w:val="0"/>
                <w:bCs w:val="0"/>
                <w:color w:val="auto"/>
                <w:kern w:val="0"/>
                <w:sz w:val="24"/>
                <w:szCs w:val="32"/>
                <w:highlight w:val="none"/>
                <w:u w:val="single"/>
                <w:lang w:val="zh-CN" w:eastAsia="zh-CN" w:bidi="ar-SA"/>
              </w:rPr>
              <w:t xml:space="preserve">             </w:t>
            </w:r>
            <w:r>
              <w:rPr>
                <w:rFonts w:hint="eastAsia" w:cs="宋体" w:asciiTheme="minorEastAsia" w:hAnsiTheme="minorEastAsia" w:eastAsiaTheme="minorEastAsia"/>
                <w:b w:val="0"/>
                <w:bCs w:val="0"/>
                <w:color w:val="auto"/>
                <w:kern w:val="0"/>
                <w:sz w:val="24"/>
                <w:szCs w:val="32"/>
                <w:highlight w:val="none"/>
                <w:lang w:val="zh-CN" w:eastAsia="zh-CN" w:bidi="ar-SA"/>
              </w:rPr>
              <w:t>工作分包。</w:t>
            </w:r>
          </w:p>
          <w:p w14:paraId="13044E2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sdt>
              <w:sdtPr>
                <w:rPr>
                  <w:rFonts w:hint="eastAsia" w:cs="宋体" w:asciiTheme="minorEastAsia" w:hAnsiTheme="minorEastAsia" w:eastAsiaTheme="minorEastAsia"/>
                  <w:b/>
                  <w:bCs/>
                  <w:color w:val="auto"/>
                  <w:kern w:val="0"/>
                  <w:sz w:val="24"/>
                  <w:szCs w:val="32"/>
                  <w:highlight w:val="none"/>
                  <w:lang w:val="zh-CN" w:eastAsia="zh-CN" w:bidi="ar-SA"/>
                </w:rPr>
                <w:id w:val="147460704"/>
                <w14:checkbox>
                  <w14:checked w14:val="1"/>
                  <w14:checkedState w14:val="00FE" w14:font="Wingdings"/>
                  <w14:uncheckedState w14:val="2610" w14:font="MS Gothic"/>
                </w14:checkbox>
              </w:sdtPr>
              <w:sdtEndPr>
                <w:rPr>
                  <w:rFonts w:hint="eastAsia" w:cs="宋体" w:asciiTheme="minorEastAsia" w:hAnsiTheme="minorEastAsia" w:eastAsiaTheme="minorEastAsia"/>
                  <w:b/>
                  <w:bCs/>
                  <w:color w:val="auto"/>
                  <w:kern w:val="0"/>
                  <w:sz w:val="24"/>
                  <w:szCs w:val="32"/>
                  <w:highlight w:val="none"/>
                  <w:lang w:val="zh-CN" w:eastAsia="zh-CN" w:bidi="ar-SA"/>
                </w:rPr>
              </w:sdtEndPr>
              <w:sdtContent>
                <w:r>
                  <w:rPr>
                    <w:rFonts w:hint="eastAsia" w:ascii="Wingdings" w:hAnsi="Wingdings" w:cs="宋体" w:eastAsiaTheme="minorEastAsia"/>
                    <w:b w:val="0"/>
                    <w:bCs w:val="0"/>
                    <w:color w:val="auto"/>
                    <w:kern w:val="0"/>
                    <w:sz w:val="24"/>
                    <w:szCs w:val="24"/>
                    <w:highlight w:val="none"/>
                    <w:lang w:val="en-US" w:eastAsia="zh-CN" w:bidi="ar-SA"/>
                  </w:rPr>
                  <w:t>þ</w:t>
                </w:r>
              </w:sdtContent>
            </w:sdt>
            <w:r>
              <w:rPr>
                <w:rFonts w:hint="eastAsia" w:cs="宋体" w:asciiTheme="minorEastAsia" w:hAnsiTheme="minorEastAsia" w:eastAsiaTheme="minorEastAsia"/>
                <w:b w:val="0"/>
                <w:bCs w:val="0"/>
                <w:color w:val="auto"/>
                <w:kern w:val="0"/>
                <w:sz w:val="24"/>
                <w:szCs w:val="32"/>
                <w:highlight w:val="none"/>
                <w:lang w:val="zh-CN" w:eastAsia="zh-CN" w:bidi="ar-SA"/>
              </w:rPr>
              <w:t>B不同意分包。</w:t>
            </w:r>
          </w:p>
          <w:p w14:paraId="37700DBC">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en-US"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注：不得限制大中型企业向小微企业合理分包。</w:t>
            </w:r>
          </w:p>
        </w:tc>
      </w:tr>
      <w:tr w14:paraId="6646F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9" w:hRule="atLeast"/>
        </w:trPr>
        <w:tc>
          <w:tcPr>
            <w:tcW w:w="769" w:type="dxa"/>
            <w:tcBorders>
              <w:top w:val="single" w:color="auto" w:sz="4" w:space="0"/>
              <w:left w:val="single" w:color="auto" w:sz="4" w:space="0"/>
              <w:bottom w:val="single" w:color="auto" w:sz="4" w:space="0"/>
              <w:right w:val="single" w:color="auto" w:sz="4" w:space="0"/>
            </w:tcBorders>
            <w:vAlign w:val="center"/>
          </w:tcPr>
          <w:p w14:paraId="20A93D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437" w:type="dxa"/>
            <w:tcBorders>
              <w:top w:val="single" w:color="000000" w:sz="8" w:space="0"/>
              <w:left w:val="single" w:color="auto" w:sz="4" w:space="0"/>
              <w:bottom w:val="single" w:color="000000" w:sz="8" w:space="0"/>
              <w:right w:val="single" w:color="000000" w:sz="8" w:space="0"/>
            </w:tcBorders>
            <w:vAlign w:val="center"/>
          </w:tcPr>
          <w:p w14:paraId="2438EE9D">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7456" w:type="dxa"/>
            <w:tcBorders>
              <w:top w:val="single" w:color="000000" w:sz="8" w:space="0"/>
              <w:left w:val="single" w:color="000000" w:sz="2" w:space="0"/>
              <w:bottom w:val="single" w:color="000000" w:sz="8" w:space="0"/>
              <w:right w:val="single" w:color="000000" w:sz="8" w:space="0"/>
            </w:tcBorders>
            <w:vAlign w:val="center"/>
          </w:tcPr>
          <w:p w14:paraId="73CF364D">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5E2D81C0">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999802974"/>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zh-CN" w:eastAsia="zh-CN" w:bidi="ar-SA"/>
              </w:rPr>
              <w:t>B组织，</w:t>
            </w:r>
            <w:r>
              <w:rPr>
                <w:rFonts w:hint="eastAsia" w:ascii="宋体" w:eastAsia="宋体" w:cs="宋体" w:hAnsiTheme="minorEastAsia"/>
                <w:b w:val="0"/>
                <w:bCs w:val="0"/>
                <w:color w:val="auto"/>
                <w:kern w:val="2"/>
                <w:sz w:val="24"/>
                <w:szCs w:val="32"/>
                <w:highlight w:val="none"/>
                <w:lang w:val="zh-CN" w:eastAsia="zh-CN" w:bidi="ar-SA"/>
              </w:rPr>
              <w:t>时间：</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,地点：</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，联系人：</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，联系方式：</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20"/>
                <w:highlight w:val="none"/>
                <w:lang w:val="zh-CN" w:eastAsia="zh-CN" w:bidi="ar-SA"/>
              </w:rPr>
              <w:t>。</w:t>
            </w:r>
          </w:p>
        </w:tc>
      </w:tr>
      <w:tr w14:paraId="1D8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1" w:hRule="atLeast"/>
        </w:trPr>
        <w:tc>
          <w:tcPr>
            <w:tcW w:w="769" w:type="dxa"/>
            <w:tcBorders>
              <w:top w:val="single" w:color="auto" w:sz="4" w:space="0"/>
              <w:left w:val="single" w:color="auto" w:sz="4" w:space="0"/>
              <w:bottom w:val="single" w:color="auto" w:sz="4" w:space="0"/>
              <w:right w:val="single" w:color="auto" w:sz="4" w:space="0"/>
            </w:tcBorders>
            <w:vAlign w:val="center"/>
          </w:tcPr>
          <w:p w14:paraId="19C83580">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437" w:type="dxa"/>
            <w:tcBorders>
              <w:top w:val="single" w:color="000000" w:sz="8" w:space="0"/>
              <w:left w:val="single" w:color="auto" w:sz="4" w:space="0"/>
              <w:bottom w:val="single" w:color="000000" w:sz="8" w:space="0"/>
              <w:right w:val="single" w:color="000000" w:sz="8" w:space="0"/>
            </w:tcBorders>
            <w:vAlign w:val="center"/>
          </w:tcPr>
          <w:p w14:paraId="137EE0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7456" w:type="dxa"/>
            <w:tcBorders>
              <w:top w:val="single" w:color="000000" w:sz="8" w:space="0"/>
              <w:left w:val="single" w:color="000000" w:sz="2" w:space="0"/>
              <w:bottom w:val="single" w:color="000000" w:sz="8" w:space="0"/>
              <w:right w:val="single" w:color="000000" w:sz="8" w:space="0"/>
            </w:tcBorders>
            <w:vAlign w:val="center"/>
          </w:tcPr>
          <w:p w14:paraId="5C4B95F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不要求提供。</w:t>
            </w:r>
          </w:p>
          <w:p w14:paraId="03D7457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B要求提供，</w:t>
            </w:r>
          </w:p>
          <w:p w14:paraId="0C37CB0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A4994F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22DE69E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07A6A89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3B1868B2">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790758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3C2ABA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r>
              <w:rPr>
                <w:rFonts w:hint="eastAsia" w:ascii="宋体" w:eastAsia="宋体" w:cs="宋体" w:hAnsiTheme="minorEastAsia"/>
                <w:b w:val="0"/>
                <w:bCs w:val="0"/>
                <w:color w:val="auto"/>
                <w:kern w:val="2"/>
                <w:sz w:val="24"/>
                <w:szCs w:val="32"/>
                <w:highlight w:val="none"/>
                <w:lang w:val="zh-CN" w:eastAsia="zh-CN" w:bidi="ar-SA"/>
              </w:rPr>
              <w:t>（7）制作、运输、安装和保管样品所发生的一切费用由供应商自理。</w:t>
            </w:r>
          </w:p>
        </w:tc>
      </w:tr>
      <w:tr w14:paraId="2F74A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7" w:hRule="atLeast"/>
        </w:trPr>
        <w:tc>
          <w:tcPr>
            <w:tcW w:w="769" w:type="dxa"/>
            <w:tcBorders>
              <w:top w:val="single" w:color="auto" w:sz="4" w:space="0"/>
              <w:left w:val="single" w:color="auto" w:sz="4" w:space="0"/>
              <w:bottom w:val="single" w:color="auto" w:sz="4" w:space="0"/>
              <w:right w:val="single" w:color="auto" w:sz="4" w:space="0"/>
            </w:tcBorders>
            <w:vAlign w:val="center"/>
          </w:tcPr>
          <w:p w14:paraId="6A370E3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437" w:type="dxa"/>
            <w:tcBorders>
              <w:top w:val="single" w:color="000000" w:sz="8" w:space="0"/>
              <w:left w:val="single" w:color="auto" w:sz="4" w:space="0"/>
              <w:bottom w:val="single" w:color="000000" w:sz="8" w:space="0"/>
              <w:right w:val="single" w:color="000000" w:sz="8" w:space="0"/>
            </w:tcBorders>
            <w:vAlign w:val="center"/>
          </w:tcPr>
          <w:p w14:paraId="1277AD6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7456" w:type="dxa"/>
            <w:tcBorders>
              <w:top w:val="single" w:color="000000" w:sz="8" w:space="0"/>
              <w:left w:val="single" w:color="000000" w:sz="2" w:space="0"/>
              <w:bottom w:val="single" w:color="000000" w:sz="8" w:space="0"/>
              <w:right w:val="single" w:color="000000" w:sz="8" w:space="0"/>
            </w:tcBorders>
            <w:vAlign w:val="center"/>
          </w:tcPr>
          <w:p w14:paraId="72EDB3B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14C45B3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B组织。</w:t>
            </w:r>
          </w:p>
          <w:p w14:paraId="7E99FBD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707FB21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259B8675">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73BAF0B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w:t>
            </w:r>
            <w:r>
              <w:rPr>
                <w:rFonts w:hint="eastAsia" w:ascii="宋体" w:eastAsia="宋体" w:cs="宋体" w:hAnsiTheme="minorEastAsia"/>
                <w:color w:val="auto"/>
                <w:kern w:val="0"/>
                <w:sz w:val="24"/>
                <w:highlight w:val="none"/>
                <w:lang w:val="zh-CN"/>
              </w:rPr>
              <w:t>所用电脑等设备由供应商自备。现场讲解演示人员进场时提供讲解人员名单（加盖公章或授权代表签名）及身份证明，否则不得讲</w:t>
            </w:r>
            <w:r>
              <w:rPr>
                <w:rFonts w:hint="eastAsia" w:ascii="宋体" w:eastAsia="宋体" w:cs="宋体" w:hAnsiTheme="minorEastAsia"/>
                <w:color w:val="auto"/>
                <w:kern w:val="0"/>
                <w:sz w:val="24"/>
                <w:highlight w:val="none"/>
              </w:rPr>
              <w:t>解演示。</w:t>
            </w:r>
          </w:p>
          <w:p w14:paraId="138A8EC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zh-CN"/>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259C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769" w:type="dxa"/>
            <w:vMerge w:val="restart"/>
            <w:tcBorders>
              <w:top w:val="single" w:color="auto" w:sz="4" w:space="0"/>
              <w:left w:val="single" w:color="auto" w:sz="4" w:space="0"/>
              <w:right w:val="single" w:color="auto" w:sz="4" w:space="0"/>
            </w:tcBorders>
            <w:vAlign w:val="center"/>
          </w:tcPr>
          <w:p w14:paraId="41115FEA">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437" w:type="dxa"/>
            <w:vMerge w:val="restart"/>
            <w:tcBorders>
              <w:top w:val="single" w:color="000000" w:sz="8" w:space="0"/>
              <w:left w:val="single" w:color="auto" w:sz="4" w:space="0"/>
              <w:right w:val="single" w:color="000000" w:sz="8" w:space="0"/>
            </w:tcBorders>
            <w:vAlign w:val="center"/>
          </w:tcPr>
          <w:p w14:paraId="57B7ACC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7456" w:type="dxa"/>
            <w:tcBorders>
              <w:top w:val="single" w:color="000000" w:sz="8" w:space="0"/>
              <w:left w:val="single" w:color="000000" w:sz="2" w:space="0"/>
              <w:bottom w:val="single" w:color="auto" w:sz="4" w:space="0"/>
              <w:right w:val="single" w:color="000000" w:sz="8" w:space="0"/>
            </w:tcBorders>
            <w:vAlign w:val="center"/>
          </w:tcPr>
          <w:p w14:paraId="40E3834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（1）资格证明文件：见磋商文件第</w:t>
            </w:r>
            <w:r>
              <w:rPr>
                <w:rFonts w:hint="eastAsia" w:ascii="宋体" w:eastAsia="宋体" w:cs="宋体" w:hAnsiTheme="minorEastAsia"/>
                <w:color w:val="auto"/>
                <w:kern w:val="0"/>
                <w:sz w:val="24"/>
                <w:highlight w:val="none"/>
                <w:lang w:val="en-US" w:eastAsia="zh-CN"/>
              </w:rPr>
              <w:t>三</w:t>
            </w:r>
            <w:r>
              <w:rPr>
                <w:rFonts w:hint="eastAsia" w:ascii="宋体" w:eastAsia="宋体" w:cs="宋体" w:hAnsiTheme="minorEastAsia"/>
                <w:color w:val="auto"/>
                <w:kern w:val="0"/>
                <w:sz w:val="24"/>
                <w:highlight w:val="none"/>
              </w:rPr>
              <w:t>部分</w:t>
            </w:r>
            <w:r>
              <w:rPr>
                <w:rFonts w:hint="eastAsia" w:ascii="宋体" w:eastAsia="宋体" w:cs="宋体" w:hAnsiTheme="minorEastAsia"/>
                <w:color w:val="auto"/>
                <w:kern w:val="0"/>
                <w:sz w:val="24"/>
                <w:highlight w:val="none"/>
                <w:lang w:val="en-US" w:eastAsia="zh-CN"/>
              </w:rPr>
              <w:t xml:space="preserve"> 供应商须知</w:t>
            </w:r>
            <w:r>
              <w:rPr>
                <w:rFonts w:hint="eastAsia" w:ascii="宋体" w:eastAsia="宋体" w:cs="宋体" w:hAnsiTheme="minorEastAsia"/>
                <w:color w:val="auto"/>
                <w:kern w:val="0"/>
                <w:sz w:val="24"/>
                <w:highlight w:val="none"/>
              </w:rPr>
              <w:t>。</w:t>
            </w:r>
          </w:p>
          <w:p w14:paraId="087FE1E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snapToGrid w:val="0"/>
                <w:color w:val="auto"/>
                <w:kern w:val="0"/>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7237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769" w:type="dxa"/>
            <w:vMerge w:val="continue"/>
            <w:tcBorders>
              <w:left w:val="single" w:color="auto" w:sz="4" w:space="0"/>
              <w:bottom w:val="single" w:color="auto" w:sz="4" w:space="0"/>
              <w:right w:val="single" w:color="auto" w:sz="4" w:space="0"/>
            </w:tcBorders>
            <w:vAlign w:val="center"/>
          </w:tcPr>
          <w:p w14:paraId="6E617A1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p>
        </w:tc>
        <w:tc>
          <w:tcPr>
            <w:tcW w:w="1437" w:type="dxa"/>
            <w:vMerge w:val="continue"/>
            <w:tcBorders>
              <w:left w:val="single" w:color="auto" w:sz="4" w:space="0"/>
              <w:bottom w:val="single" w:color="000000" w:sz="8" w:space="0"/>
              <w:right w:val="single" w:color="000000" w:sz="8" w:space="0"/>
            </w:tcBorders>
            <w:vAlign w:val="center"/>
          </w:tcPr>
          <w:p w14:paraId="63CA583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p>
        </w:tc>
        <w:tc>
          <w:tcPr>
            <w:tcW w:w="7456" w:type="dxa"/>
            <w:tcBorders>
              <w:top w:val="single" w:color="auto" w:sz="4" w:space="0"/>
              <w:left w:val="single" w:color="000000" w:sz="2" w:space="0"/>
              <w:bottom w:val="single" w:color="000000" w:sz="8" w:space="0"/>
              <w:right w:val="single" w:color="000000" w:sz="8" w:space="0"/>
            </w:tcBorders>
            <w:vAlign w:val="center"/>
          </w:tcPr>
          <w:p w14:paraId="756729F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（2）资信证明文件：根据磋商文件采购需求及评审标准的要求提供。</w:t>
            </w:r>
          </w:p>
        </w:tc>
      </w:tr>
      <w:tr w14:paraId="1DE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5CD9CBF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437" w:type="dxa"/>
            <w:tcBorders>
              <w:top w:val="single" w:color="000000" w:sz="8" w:space="0"/>
              <w:left w:val="single" w:color="000000" w:sz="2" w:space="0"/>
              <w:bottom w:val="single" w:color="000000" w:sz="8" w:space="0"/>
              <w:right w:val="single" w:color="000000" w:sz="8" w:space="0"/>
            </w:tcBorders>
            <w:vAlign w:val="center"/>
          </w:tcPr>
          <w:p w14:paraId="3194861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0A5E54C8">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highlight w:val="none"/>
              </w:rPr>
            </w:pPr>
            <w:r>
              <w:rPr>
                <w:rFonts w:hint="eastAsia" w:ascii="宋体" w:eastAsia="宋体" w:cs="宋体" w:hAnsiTheme="minorEastAsia"/>
                <w:color w:val="auto"/>
                <w:kern w:val="0"/>
                <w:sz w:val="24"/>
                <w:highlight w:val="none"/>
                <w:lang w:val="zh-CN"/>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B3F9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2F8023C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437" w:type="dxa"/>
            <w:tcBorders>
              <w:top w:val="single" w:color="000000" w:sz="8" w:space="0"/>
              <w:left w:val="single" w:color="000000" w:sz="2" w:space="0"/>
              <w:bottom w:val="single" w:color="000000" w:sz="8" w:space="0"/>
              <w:right w:val="single" w:color="000000" w:sz="8" w:space="0"/>
            </w:tcBorders>
            <w:vAlign w:val="center"/>
          </w:tcPr>
          <w:p w14:paraId="1CFFC7C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7456" w:type="dxa"/>
            <w:tcBorders>
              <w:top w:val="single" w:color="000000" w:sz="8" w:space="0"/>
              <w:left w:val="single" w:color="000000" w:sz="2" w:space="0"/>
              <w:bottom w:val="single" w:color="000000" w:sz="8" w:space="0"/>
              <w:right w:val="single" w:color="000000" w:sz="8" w:space="0"/>
            </w:tcBorders>
            <w:vAlign w:val="center"/>
          </w:tcPr>
          <w:p w14:paraId="785046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一览表（报价表）》是最后报价的唯一载体。磋商文件中价格全部采用人民币报价。磋商文件未列明，而供应商认为必需的费用也需列入报价。</w:t>
            </w:r>
          </w:p>
          <w:p w14:paraId="51432EB1">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最后报价出现下列情形的，响应无效：</w:t>
            </w:r>
          </w:p>
          <w:p w14:paraId="2BF16B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1）</w:t>
            </w:r>
            <w:r>
              <w:rPr>
                <w:rFonts w:hint="eastAsia" w:ascii="宋体" w:eastAsia="宋体" w:cs="宋体" w:hAnsiTheme="minorEastAsia"/>
                <w:b/>
                <w:bCs/>
                <w:color w:val="auto"/>
                <w:kern w:val="0"/>
                <w:sz w:val="24"/>
                <w:highlight w:val="none"/>
                <w:lang w:val="zh-CN"/>
              </w:rPr>
              <w:t>响应文件出现不是唯一的、有选择性的最后报价的；</w:t>
            </w:r>
          </w:p>
          <w:p w14:paraId="3A9E456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2）</w:t>
            </w:r>
            <w:r>
              <w:rPr>
                <w:rFonts w:hint="eastAsia" w:ascii="宋体" w:eastAsia="宋体" w:cs="宋体" w:hAnsiTheme="minorEastAsia"/>
                <w:b/>
                <w:bCs/>
                <w:color w:val="auto"/>
                <w:kern w:val="0"/>
                <w:sz w:val="24"/>
                <w:highlight w:val="none"/>
                <w:lang w:val="zh-CN"/>
              </w:rPr>
              <w:t>最后报价超过磋商文件中规定的预算金额或者最高限价的;</w:t>
            </w:r>
          </w:p>
          <w:p w14:paraId="347F5B7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b/>
                <w:bCs/>
                <w:color w:val="auto"/>
                <w:kern w:val="0"/>
                <w:sz w:val="24"/>
                <w:highlight w:val="none"/>
                <w:lang w:val="zh-CN" w:eastAsia="zh-CN"/>
              </w:rPr>
              <w:t>（</w:t>
            </w:r>
            <w:r>
              <w:rPr>
                <w:rFonts w:hint="eastAsia" w:ascii="宋体" w:eastAsia="宋体" w:cs="宋体" w:hAnsiTheme="minorEastAsia"/>
                <w:b/>
                <w:bCs/>
                <w:color w:val="auto"/>
                <w:kern w:val="0"/>
                <w:sz w:val="24"/>
                <w:highlight w:val="none"/>
                <w:lang w:val="en-US" w:eastAsia="zh-CN"/>
              </w:rPr>
              <w:t>3）</w:t>
            </w:r>
            <w:r>
              <w:rPr>
                <w:rFonts w:hint="eastAsia" w:ascii="宋体" w:eastAsia="宋体" w:cs="宋体" w:hAnsiTheme="minorEastAsia"/>
                <w:b/>
                <w:bCs/>
                <w:color w:val="auto"/>
                <w:kern w:val="0"/>
                <w:sz w:val="24"/>
                <w:highlight w:val="none"/>
                <w:lang w:val="zh-CN"/>
              </w:rPr>
              <w:t>供应商对根据修正原则修正后的报价不确认的。</w:t>
            </w:r>
          </w:p>
        </w:tc>
      </w:tr>
      <w:tr w14:paraId="1DD5C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769" w:type="dxa"/>
            <w:tcBorders>
              <w:top w:val="single" w:color="auto" w:sz="4" w:space="0"/>
              <w:left w:val="single" w:color="000000" w:sz="8" w:space="0"/>
              <w:right w:val="single" w:color="000000" w:sz="2" w:space="0"/>
            </w:tcBorders>
            <w:vAlign w:val="center"/>
          </w:tcPr>
          <w:p w14:paraId="1509213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437" w:type="dxa"/>
            <w:tcBorders>
              <w:top w:val="single" w:color="000000" w:sz="8" w:space="0"/>
              <w:left w:val="single" w:color="000000" w:sz="2" w:space="0"/>
              <w:right w:val="single" w:color="000000" w:sz="8" w:space="0"/>
            </w:tcBorders>
            <w:vAlign w:val="center"/>
          </w:tcPr>
          <w:p w14:paraId="6EF21C0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7456" w:type="dxa"/>
            <w:tcBorders>
              <w:top w:val="single" w:color="000000" w:sz="8" w:space="0"/>
              <w:left w:val="single" w:color="000000" w:sz="2" w:space="0"/>
              <w:right w:val="single" w:color="000000" w:sz="8" w:space="0"/>
            </w:tcBorders>
            <w:vAlign w:val="center"/>
          </w:tcPr>
          <w:p w14:paraId="5BA0002B">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442162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供应商成交后也可在“广西政府采购云”平台申请政采贷：操作路径：登录广西政府采购云平台-金融服务中心-【融资服务】，可在热门申请中选择产品直接申请。</w:t>
            </w:r>
          </w:p>
        </w:tc>
      </w:tr>
      <w:tr w14:paraId="0598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2"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3F84E28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437" w:type="dxa"/>
            <w:tcBorders>
              <w:top w:val="single" w:color="000000" w:sz="8" w:space="0"/>
              <w:left w:val="single" w:color="000000" w:sz="2" w:space="0"/>
              <w:bottom w:val="single" w:color="000000" w:sz="8" w:space="0"/>
              <w:right w:val="single" w:color="000000" w:sz="8" w:space="0"/>
            </w:tcBorders>
            <w:vAlign w:val="center"/>
          </w:tcPr>
          <w:p w14:paraId="1628877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r>
              <w:rPr>
                <w:rFonts w:hint="eastAsia" w:cs="宋体" w:asciiTheme="minorEastAsia" w:hAnsiTheme="minorEastAsia" w:eastAsiaTheme="minorEastAsia"/>
                <w:b/>
                <w:color w:val="auto"/>
                <w:sz w:val="24"/>
                <w:highlight w:val="none"/>
              </w:rPr>
              <w:t xml:space="preserve"> </w:t>
            </w:r>
          </w:p>
        </w:tc>
        <w:tc>
          <w:tcPr>
            <w:tcW w:w="7456" w:type="dxa"/>
            <w:tcBorders>
              <w:top w:val="single" w:color="000000" w:sz="8" w:space="0"/>
              <w:left w:val="single" w:color="000000" w:sz="2" w:space="0"/>
              <w:bottom w:val="single" w:color="000000" w:sz="8" w:space="0"/>
              <w:right w:val="single" w:color="000000" w:sz="8" w:space="0"/>
            </w:tcBorders>
            <w:vAlign w:val="center"/>
          </w:tcPr>
          <w:p w14:paraId="185B6297">
            <w:pPr>
              <w:keepNext w:val="0"/>
              <w:keepLines w:val="0"/>
              <w:suppressLineNumbers w:val="0"/>
              <w:shd w:val="clear"/>
              <w:snapToGrid w:val="0"/>
              <w:spacing w:before="0" w:beforeAutospacing="0" w:after="0" w:afterAutospacing="0" w:line="360" w:lineRule="auto"/>
              <w:ind w:left="0" w:right="0" w:rightChars="0"/>
              <w:jc w:val="left"/>
              <w:rPr>
                <w:rFonts w:hint="eastAsia" w:ascii="宋体" w:eastAsia="宋体" w:cs="宋体" w:hAnsiTheme="minorEastAsia"/>
                <w:color w:val="auto"/>
                <w:kern w:val="0"/>
                <w:sz w:val="24"/>
                <w:highlight w:val="none"/>
                <w:lang w:val="en-US" w:eastAsia="zh-CN"/>
              </w:rPr>
            </w:pPr>
            <w:sdt>
              <w:sdtPr>
                <w:rPr>
                  <w:rFonts w:hint="eastAsia" w:ascii="宋体" w:hAnsi="宋体" w:eastAsia="宋体" w:cs="宋体"/>
                  <w:color w:val="auto"/>
                  <w:kern w:val="0"/>
                  <w:sz w:val="24"/>
                  <w:highlight w:val="none"/>
                </w:rPr>
                <w:id w:val="14745952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sym w:font="Wingdings" w:char="F0FE"/>
                </w:r>
              </w:sdtContent>
            </w:sdt>
            <w:r>
              <w:rPr>
                <w:rFonts w:hint="eastAsia" w:ascii="宋体" w:eastAsia="宋体" w:cs="宋体" w:hAnsiTheme="minorEastAsia"/>
                <w:color w:val="auto"/>
                <w:kern w:val="0"/>
                <w:sz w:val="24"/>
                <w:highlight w:val="none"/>
                <w:lang w:val="en-US" w:eastAsia="zh-CN"/>
              </w:rPr>
              <w:t>A本项目对备份响应文件无要求。</w:t>
            </w:r>
          </w:p>
          <w:p w14:paraId="660A5A6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en-US" w:eastAsia="zh-CN"/>
              </w:rPr>
            </w:pPr>
            <w:sdt>
              <w:sdtPr>
                <w:rPr>
                  <w:rFonts w:hint="eastAsia" w:ascii="宋体" w:eastAsia="宋体" w:cs="宋体" w:hAnsiTheme="minorEastAsia"/>
                  <w:color w:val="auto"/>
                  <w:kern w:val="0"/>
                  <w:sz w:val="24"/>
                  <w:highlight w:val="none"/>
                  <w:lang w:val="zh-CN"/>
                </w:rPr>
                <w:id w:val="120660486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t>☐</w:t>
                </w:r>
              </w:sdtContent>
            </w:sdt>
            <w:r>
              <w:rPr>
                <w:rFonts w:hint="eastAsia" w:ascii="宋体" w:eastAsia="宋体" w:cs="宋体" w:hAnsiTheme="minorEastAsia"/>
                <w:color w:val="auto"/>
                <w:kern w:val="0"/>
                <w:sz w:val="24"/>
                <w:highlight w:val="none"/>
                <w:lang w:val="zh-CN"/>
              </w:rPr>
              <w:t>B接受：备份响应文件送达地点：</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；备份响应文件签收人员联系电话：</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w:t>
            </w:r>
            <w:r>
              <w:rPr>
                <w:rFonts w:hint="eastAsia" w:ascii="宋体" w:eastAsia="宋体" w:cs="宋体" w:hAnsiTheme="minorEastAsia"/>
                <w:b/>
                <w:bCs/>
                <w:color w:val="auto"/>
                <w:kern w:val="0"/>
                <w:sz w:val="24"/>
                <w:highlight w:val="none"/>
                <w:lang w:val="zh-CN"/>
              </w:rPr>
              <w:t>采购人、采购代理机构不强制或变相强制磋商供应商提交备份响应文件。</w:t>
            </w:r>
          </w:p>
        </w:tc>
      </w:tr>
      <w:tr w14:paraId="19088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1" w:hRule="atLeast"/>
        </w:trPr>
        <w:tc>
          <w:tcPr>
            <w:tcW w:w="769" w:type="dxa"/>
            <w:tcBorders>
              <w:top w:val="single" w:color="auto" w:sz="4" w:space="0"/>
              <w:left w:val="single" w:color="auto" w:sz="4" w:space="0"/>
              <w:bottom w:val="single" w:color="auto" w:sz="4" w:space="0"/>
              <w:right w:val="single" w:color="auto" w:sz="4" w:space="0"/>
            </w:tcBorders>
            <w:vAlign w:val="center"/>
          </w:tcPr>
          <w:p w14:paraId="5E185E01">
            <w:pPr>
              <w:keepNext w:val="0"/>
              <w:keepLines w:val="0"/>
              <w:suppressLineNumbers w:val="0"/>
              <w:shd w:val="clear"/>
              <w:snapToGrid w:val="0"/>
              <w:spacing w:before="0" w:beforeAutospacing="0" w:after="0" w:afterAutospacing="0" w:line="360" w:lineRule="auto"/>
              <w:ind w:left="0" w:right="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p>
        </w:tc>
        <w:tc>
          <w:tcPr>
            <w:tcW w:w="1437" w:type="dxa"/>
            <w:tcBorders>
              <w:top w:val="single" w:color="auto" w:sz="4" w:space="0"/>
              <w:left w:val="single" w:color="auto" w:sz="4" w:space="0"/>
              <w:bottom w:val="single" w:color="auto" w:sz="4" w:space="0"/>
              <w:right w:val="single" w:color="auto" w:sz="4" w:space="0"/>
            </w:tcBorders>
            <w:vAlign w:val="center"/>
          </w:tcPr>
          <w:p w14:paraId="53E84A8E">
            <w:pPr>
              <w:keepNext w:val="0"/>
              <w:keepLines w:val="0"/>
              <w:suppressLineNumbers w:val="0"/>
              <w:shd w:val="clear"/>
              <w:snapToGrid w:val="0"/>
              <w:spacing w:before="0" w:beforeAutospacing="0" w:after="0" w:afterAutospacing="0" w:line="360" w:lineRule="auto"/>
              <w:ind w:left="0" w:right="0"/>
              <w:jc w:val="center"/>
              <w:rPr>
                <w:rFonts w:hint="default"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7456" w:type="dxa"/>
            <w:tcBorders>
              <w:top w:val="single" w:color="auto" w:sz="4" w:space="0"/>
              <w:left w:val="single" w:color="auto" w:sz="4" w:space="0"/>
              <w:bottom w:val="single" w:color="auto" w:sz="4" w:space="0"/>
              <w:right w:val="single" w:color="auto" w:sz="4" w:space="0"/>
            </w:tcBorders>
            <w:vAlign w:val="center"/>
          </w:tcPr>
          <w:p w14:paraId="04F4F6D4">
            <w:pPr>
              <w:keepNext w:val="0"/>
              <w:keepLines w:val="0"/>
              <w:suppressLineNumbers w:val="0"/>
              <w:shd w:val="clear"/>
              <w:spacing w:before="0" w:beforeAutospacing="0" w:after="0" w:afterAutospacing="0" w:line="360" w:lineRule="auto"/>
              <w:ind w:left="0" w:right="0"/>
              <w:rPr>
                <w:rFonts w:hint="default"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26ED7E0">
      <w:pPr>
        <w:shd w:val="clea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08B9193B">
      <w:pPr>
        <w:shd w:val="clea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4C671D3E">
      <w:pPr>
        <w:shd w:val="clea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23910369">
      <w:pPr>
        <w:shd w:val="clea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69D7EA7">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1FAE93D">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53A3763">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28688EC0">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30FE1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BAAEC2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4100E7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F9DC69F">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B0FFD62">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18EAAAA">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373E4E">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5A27783A">
      <w:pPr>
        <w:shd w:val="clea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3D616886">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EBF73D8">
      <w:pPr>
        <w:shd w:val="clea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6F6A0439">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725B1F75">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DC30563">
      <w:pPr>
        <w:shd w:val="clea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349865AB">
      <w:pPr>
        <w:pStyle w:val="32"/>
        <w:shd w:val="clear"/>
        <w:spacing w:line="360" w:lineRule="auto"/>
        <w:ind w:firstLine="480" w:firstLineChars="200"/>
        <w:rPr>
          <w:rFonts w:hint="default" w:cs="仿宋_GB2312" w:asciiTheme="minorEastAsia" w:hAnsiTheme="minorEastAsia" w:eastAsiaTheme="minorEastAsia"/>
          <w:color w:val="auto"/>
          <w:highlight w:val="none"/>
          <w:lang w:val="en-US" w:eastAsia="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50475FFC">
      <w:pPr>
        <w:shd w:val="clear"/>
        <w:spacing w:line="360" w:lineRule="auto"/>
        <w:jc w:val="center"/>
        <w:rPr>
          <w:rFonts w:hint="eastAsia" w:cs="仿宋_GB2312" w:asciiTheme="minorEastAsia" w:hAnsiTheme="minorEastAsia" w:eastAsiaTheme="minorEastAsia"/>
          <w:b/>
          <w:color w:val="auto"/>
          <w:sz w:val="24"/>
          <w:highlight w:val="none"/>
        </w:rPr>
      </w:pPr>
    </w:p>
    <w:p w14:paraId="6F0D7BE7">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73EFF4A">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4ACD1105">
      <w:pPr>
        <w:shd w:val="clea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2915B0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247AF57D">
      <w:pPr>
        <w:shd w:val="clea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04794E5F">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7CC42CDE">
      <w:pPr>
        <w:pStyle w:val="32"/>
        <w:shd w:val="clear"/>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41BE5946">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D17E09A">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08FAD81B">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0AFD7EF">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1423654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34669D97">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B70079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25F38F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77AED69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1C0F83C9">
      <w:pPr>
        <w:shd w:val="clea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7E4A87C5">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C873B0E">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BB3F2DC">
      <w:pPr>
        <w:shd w:val="clea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8A69BF3">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4A45AC2">
      <w:pPr>
        <w:pStyle w:val="633"/>
        <w:shd w:val="clear"/>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64446D17">
      <w:pPr>
        <w:pStyle w:val="633"/>
        <w:shd w:val="clear"/>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3EC7F692">
      <w:pPr>
        <w:shd w:val="clear"/>
        <w:spacing w:line="360" w:lineRule="auto"/>
        <w:ind w:firstLine="480" w:firstLineChars="200"/>
        <w:rPr>
          <w:rFonts w:hint="eastAsia" w:asciiTheme="minorEastAsia" w:hAnsiTheme="minorEastAsia" w:eastAsiaTheme="minorEastAsia"/>
          <w:color w:val="auto"/>
          <w:sz w:val="24"/>
          <w:highlight w:val="none"/>
        </w:rPr>
      </w:pPr>
    </w:p>
    <w:p w14:paraId="787F7AD8">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1505EE65">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03951051">
      <w:pPr>
        <w:shd w:val="clea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49D4AED">
      <w:pPr>
        <w:pStyle w:val="633"/>
        <w:shd w:val="clear"/>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5AB1EBE2">
      <w:pPr>
        <w:pStyle w:val="633"/>
        <w:shd w:val="clear"/>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2F02EEA8">
      <w:pPr>
        <w:pStyle w:val="633"/>
        <w:shd w:val="clear"/>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1A721492">
      <w:pPr>
        <w:pStyle w:val="633"/>
        <w:shd w:val="clear"/>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489D1900">
      <w:pPr>
        <w:pStyle w:val="633"/>
        <w:shd w:val="clear"/>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114C4C06">
      <w:pPr>
        <w:pStyle w:val="633"/>
        <w:shd w:val="clear"/>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2695C6D8">
      <w:pPr>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352BAB4B">
      <w:pPr>
        <w:shd w:val="clea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0627F32">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1A258C52">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38C5E2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2F08E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2E4668E">
      <w:pPr>
        <w:pStyle w:val="16"/>
        <w:shd w:val="clear"/>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52A46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6FD96A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FE9AB1E">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4F5B764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0388C81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16E65237">
      <w:pPr>
        <w:widowControl/>
        <w:shd w:val="clear"/>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966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F11BA3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439144BB">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53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0226149">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3BB0FB0A">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18D81AC">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00D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D7EC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2F1D6E26">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B6D430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D18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0450D8E">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67CAFC22">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4588B76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94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C8D30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6F3BA4FD">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65631F65">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719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64377">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689B17C7">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25B27A3">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74AEAB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4EE592D7">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1DE334">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33B7AEC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4ABA4D2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198BC4C4">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197D9BE">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2D64D3DF">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2158AACB">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72DFB598">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625C2D83">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25C4A60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74809B5">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3B1FC92C">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0E909BAC">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A517AC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57B79AD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B7AF5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68ACC963">
      <w:pPr>
        <w:pStyle w:val="32"/>
        <w:shd w:val="clear"/>
        <w:spacing w:line="360" w:lineRule="auto"/>
        <w:ind w:firstLine="482" w:firstLineChars="200"/>
        <w:rPr>
          <w:rFonts w:hint="eastAsia" w:asciiTheme="minorEastAsia" w:hAnsiTheme="minorEastAsia" w:eastAsiaTheme="minorEastAsia"/>
          <w:b/>
          <w:color w:val="auto"/>
          <w:sz w:val="24"/>
          <w:highlight w:val="none"/>
        </w:rPr>
      </w:pPr>
    </w:p>
    <w:p w14:paraId="5D4233CA">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CF40DD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606B1120">
      <w:pPr>
        <w:shd w:val="clea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6F2DE648">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29786FFF">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31FB4CE">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1D9C856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72114A0B">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74EEDD1">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37A9095">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855063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455EAE96">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5A2FB7DE">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226F3EA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08BB6B33">
      <w:pPr>
        <w:pStyle w:val="393"/>
        <w:shd w:val="clear"/>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21626E97">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52B5E87A">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0855B67">
      <w:pPr>
        <w:pStyle w:val="393"/>
        <w:shd w:val="clear"/>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03E06243">
      <w:pPr>
        <w:pStyle w:val="23"/>
        <w:shd w:val="clear"/>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01CFE7A">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62356C5">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CF3C15B">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02953099">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4EADA88C">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284E920C">
      <w:pPr>
        <w:pStyle w:val="32"/>
        <w:shd w:val="clear"/>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5F33089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▲（1）供应商满足《中华人民共和国政府采购法》第二十二条规定，应当在响应文件中以书面形式作出信用承诺（承诺函格式见附件）；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3850037D">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▲（2）供应商直接控股股东信息表（格式后附）；</w:t>
      </w:r>
      <w:r>
        <w:rPr>
          <w:rFonts w:hint="eastAsia" w:asciiTheme="minorEastAsia" w:hAnsiTheme="minorEastAsia" w:eastAsiaTheme="minorEastAsia"/>
          <w:b/>
          <w:bCs/>
          <w:color w:val="auto"/>
          <w:sz w:val="24"/>
          <w:highlight w:val="none"/>
        </w:rPr>
        <w:t>（必须提供）</w:t>
      </w:r>
    </w:p>
    <w:p w14:paraId="3C31183F">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▲（3）供应商直接管理关系信息表（格式后附）；</w:t>
      </w:r>
      <w:r>
        <w:rPr>
          <w:rFonts w:hint="eastAsia" w:asciiTheme="minorEastAsia" w:hAnsiTheme="minorEastAsia" w:eastAsiaTheme="minorEastAsia"/>
          <w:b/>
          <w:bCs/>
          <w:color w:val="auto"/>
          <w:sz w:val="24"/>
          <w:highlight w:val="none"/>
        </w:rPr>
        <w:t>（必须提供）</w:t>
      </w:r>
    </w:p>
    <w:p w14:paraId="2D1070D6">
      <w:pPr>
        <w:pStyle w:val="32"/>
        <w:shd w:val="clear"/>
        <w:spacing w:line="360" w:lineRule="auto"/>
        <w:ind w:firstLine="480" w:firstLineChars="200"/>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中小企业声明函</w:t>
      </w:r>
      <w:r>
        <w:rPr>
          <w:rFonts w:hint="eastAsia" w:asciiTheme="minorEastAsia" w:hAnsiTheme="minorEastAsia" w:eastAsiaTheme="minorEastAsia"/>
          <w:color w:val="auto"/>
          <w:sz w:val="24"/>
          <w:highlight w:val="none"/>
          <w:lang w:val="en-US" w:eastAsia="zh-CN"/>
        </w:rPr>
        <w:t>；监狱企业、残疾人福利性单位视同小型和微型企业，需提供监狱企业证明材料或残疾人福利性单位声明函</w:t>
      </w:r>
      <w:r>
        <w:rPr>
          <w:rFonts w:hint="eastAsia" w:hAnsi="宋体" w:cs="宋体"/>
          <w:b w:val="0"/>
          <w:bCs w:val="0"/>
          <w:color w:val="auto"/>
          <w:sz w:val="24"/>
          <w:szCs w:val="24"/>
          <w:highlight w:val="none"/>
          <w:lang w:val="en-US" w:eastAsia="zh-CN"/>
        </w:rPr>
        <w:t>；</w:t>
      </w:r>
      <w:r>
        <w:rPr>
          <w:rFonts w:hint="eastAsia" w:asciiTheme="minorEastAsia" w:hAnsiTheme="minorEastAsia" w:eastAsiaTheme="minorEastAsia"/>
          <w:b/>
          <w:bCs/>
          <w:color w:val="auto"/>
          <w:sz w:val="24"/>
          <w:highlight w:val="none"/>
          <w:lang w:val="en-US" w:eastAsia="zh-CN"/>
        </w:rPr>
        <w:t>（必须提供）</w:t>
      </w:r>
      <w:r>
        <w:rPr>
          <w:rFonts w:hint="eastAsia" w:asciiTheme="minorEastAsia" w:hAnsiTheme="minorEastAsia" w:eastAsiaTheme="minorEastAsia"/>
          <w:color w:val="auto"/>
          <w:sz w:val="24"/>
          <w:highlight w:val="none"/>
          <w:lang w:val="en-US" w:eastAsia="zh-CN"/>
        </w:rPr>
        <w:t>。</w:t>
      </w:r>
    </w:p>
    <w:p w14:paraId="03B9756E">
      <w:pPr>
        <w:pStyle w:val="32"/>
        <w:numPr>
          <w:ilvl w:val="0"/>
          <w:numId w:val="0"/>
        </w:numPr>
        <w:shd w:val="clear"/>
        <w:spacing w:line="360" w:lineRule="auto"/>
        <w:ind w:firstLine="480"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kern w:val="2"/>
          <w:sz w:val="24"/>
          <w:szCs w:val="20"/>
          <w:highlight w:val="none"/>
          <w:lang w:val="en-US" w:eastAsia="zh-CN" w:bidi="ar-SA"/>
        </w:rPr>
        <w:t>（5）</w:t>
      </w:r>
      <w:r>
        <w:rPr>
          <w:rFonts w:hint="eastAsia" w:asciiTheme="minorEastAsia" w:hAnsiTheme="minorEastAsia" w:eastAsiaTheme="minorEastAsia"/>
          <w:color w:val="auto"/>
          <w:sz w:val="24"/>
          <w:highlight w:val="none"/>
          <w:lang w:val="en-US" w:eastAsia="zh-CN"/>
        </w:rPr>
        <w:t>竞标声明（格式后附）；</w:t>
      </w:r>
      <w:r>
        <w:rPr>
          <w:rFonts w:hint="eastAsia" w:asciiTheme="minorEastAsia" w:hAnsiTheme="minorEastAsia" w:eastAsiaTheme="minorEastAsia"/>
          <w:b/>
          <w:bCs/>
          <w:color w:val="auto"/>
          <w:sz w:val="24"/>
          <w:highlight w:val="none"/>
          <w:lang w:val="en-US" w:eastAsia="zh-CN"/>
        </w:rPr>
        <w:t>（必须提供）</w:t>
      </w:r>
    </w:p>
    <w:p w14:paraId="65B68559">
      <w:pPr>
        <w:pStyle w:val="32"/>
        <w:numPr>
          <w:ilvl w:val="0"/>
          <w:numId w:val="0"/>
        </w:numPr>
        <w:shd w:val="clea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（6）</w:t>
      </w:r>
      <w:r>
        <w:rPr>
          <w:rFonts w:hint="eastAsia" w:asciiTheme="minorEastAsia" w:hAnsiTheme="minorEastAsia" w:eastAsiaTheme="minorEastAsia"/>
          <w:color w:val="auto"/>
          <w:sz w:val="24"/>
          <w:highlight w:val="none"/>
          <w:lang w:val="en-US" w:eastAsia="zh-CN"/>
        </w:rPr>
        <w:t>供应商认为需要提供的其他资格文件。</w:t>
      </w:r>
    </w:p>
    <w:p w14:paraId="2B2ECA3B">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32D30678">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232D5B10">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2604B975">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58D8019E">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磋商书</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D290CCA">
      <w:pPr>
        <w:pStyle w:val="32"/>
        <w:shd w:val="clea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648C43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法定代表人（负责人）授权委托书和委托代理人身份证复印件（委托代理时必须提供），法定代表人（负责人）参加磋商时，提供法定代表人（负责人）身份证明书和身份证复印件（格式</w:t>
      </w:r>
      <w:r>
        <w:rPr>
          <w:rFonts w:hint="eastAsia" w:asciiTheme="minorEastAsia" w:hAnsiTheme="minorEastAsia" w:eastAsiaTheme="minorEastAsia"/>
          <w:color w:val="auto"/>
          <w:sz w:val="24"/>
          <w:highlight w:val="none"/>
          <w:lang w:val="en-US" w:eastAsia="zh-CN"/>
        </w:rPr>
        <w:t>后附</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p>
    <w:p w14:paraId="1BC2F2E1">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4D570048">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人员</w:t>
      </w:r>
      <w:r>
        <w:rPr>
          <w:rFonts w:hint="eastAsia" w:asciiTheme="minorEastAsia" w:hAnsiTheme="minorEastAsia" w:eastAsiaTheme="minorEastAsia"/>
          <w:color w:val="auto"/>
          <w:sz w:val="24"/>
          <w:highlight w:val="none"/>
        </w:rPr>
        <w:t>配备情况表（格式后附）；</w:t>
      </w:r>
      <w:r>
        <w:rPr>
          <w:rFonts w:hint="eastAsia" w:asciiTheme="minorEastAsia" w:hAnsiTheme="minorEastAsia" w:eastAsiaTheme="minorEastAsia"/>
          <w:b/>
          <w:bCs/>
          <w:color w:val="auto"/>
          <w:sz w:val="24"/>
          <w:highlight w:val="none"/>
        </w:rPr>
        <w:t>（必须提供）</w:t>
      </w:r>
    </w:p>
    <w:p w14:paraId="3D7F5112">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2F0014">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项目实施方案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18F235">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567E58B8">
      <w:pPr>
        <w:pStyle w:val="32"/>
        <w:shd w:val="clea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4782B46">
      <w:pPr>
        <w:pStyle w:val="32"/>
        <w:shd w:val="clear"/>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0FBFC550">
      <w:pPr>
        <w:shd w:val="clea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1A7CD3A4">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7FBAEA8">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4FF0DD89">
      <w:pPr>
        <w:pStyle w:val="393"/>
        <w:shd w:val="clear"/>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7D15CD90">
      <w:pPr>
        <w:pStyle w:val="393"/>
        <w:shd w:val="clear"/>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02995DD">
      <w:pPr>
        <w:pStyle w:val="393"/>
        <w:shd w:val="clear"/>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1464A2A2">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7614459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2133F5EF">
      <w:pPr>
        <w:pStyle w:val="393"/>
        <w:shd w:val="clear"/>
        <w:spacing w:before="0"/>
        <w:ind w:firstLine="0" w:firstLineChars="0"/>
        <w:rPr>
          <w:rFonts w:hint="eastAsia" w:cs="仿宋_GB2312" w:asciiTheme="minorEastAsia" w:hAnsiTheme="minorEastAsia" w:eastAsiaTheme="minorEastAsia"/>
          <w:b/>
          <w:color w:val="auto"/>
          <w:szCs w:val="24"/>
          <w:highlight w:val="none"/>
        </w:rPr>
      </w:pPr>
    </w:p>
    <w:p w14:paraId="1082B576">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3EDB7E0A">
      <w:pPr>
        <w:pStyle w:val="393"/>
        <w:shd w:val="clear"/>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9F38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3AC0DB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48813D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35432DA8">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6C915964">
      <w:pPr>
        <w:pStyle w:val="32"/>
        <w:shd w:val="clear"/>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A5DACAA">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24D986B5">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42C6676">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141A11C9">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1881F9C">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BB35B1A">
      <w:pPr>
        <w:shd w:val="clea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01F897B3">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59972DAF">
      <w:pPr>
        <w:shd w:val="clea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75F6E08">
      <w:pPr>
        <w:shd w:val="clea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076848E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1DE4BD1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798F5D68">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08C9921A">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2A3969DD">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721E4A39">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068175BD">
      <w:pPr>
        <w:shd w:val="clear"/>
        <w:spacing w:line="360" w:lineRule="auto"/>
        <w:ind w:firstLine="480" w:firstLineChars="200"/>
        <w:rPr>
          <w:rFonts w:hint="eastAsia" w:asciiTheme="minorEastAsia" w:hAnsiTheme="minorEastAsia" w:eastAsiaTheme="minorEastAsia"/>
          <w:color w:val="auto"/>
          <w:sz w:val="24"/>
          <w:highlight w:val="none"/>
        </w:rPr>
      </w:pPr>
    </w:p>
    <w:p w14:paraId="35660D62">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4672F28D">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8E7A13F">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69234A9C">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C274FA6">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0625535">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0FD9EEA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620ACDB7">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0AFF6AC">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14C8D48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BA27FB">
      <w:pPr>
        <w:pStyle w:val="32"/>
        <w:shd w:val="clear"/>
        <w:spacing w:line="360" w:lineRule="auto"/>
        <w:rPr>
          <w:rFonts w:hint="eastAsia" w:cs="仿宋_GB2312" w:asciiTheme="minorEastAsia" w:hAnsiTheme="minorEastAsia" w:eastAsiaTheme="minorEastAsia"/>
          <w:b/>
          <w:color w:val="auto"/>
          <w:sz w:val="24"/>
          <w:szCs w:val="24"/>
          <w:highlight w:val="none"/>
        </w:rPr>
      </w:pPr>
    </w:p>
    <w:p w14:paraId="0FEE6E87">
      <w:pPr>
        <w:shd w:val="clea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A08A13A">
      <w:pPr>
        <w:shd w:val="clea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172B10EE">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0C60D6D">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1D4BB685">
      <w:pPr>
        <w:pStyle w:val="32"/>
        <w:shd w:val="clear"/>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222D8A52">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4BB6DFB">
      <w:pPr>
        <w:shd w:val="clea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29B013AE">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66CB7FEA">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23C0D41">
      <w:pPr>
        <w:pStyle w:val="393"/>
        <w:shd w:val="clear"/>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34D836E9">
      <w:pPr>
        <w:shd w:val="clear"/>
        <w:adjustRightInd/>
        <w:spacing w:line="360" w:lineRule="auto"/>
        <w:jc w:val="center"/>
        <w:rPr>
          <w:rFonts w:hint="eastAsia" w:cs="仿宋_GB2312" w:asciiTheme="minorEastAsia" w:hAnsiTheme="minorEastAsia" w:eastAsiaTheme="minorEastAsia"/>
          <w:color w:val="auto"/>
          <w:sz w:val="24"/>
          <w:highlight w:val="none"/>
        </w:rPr>
      </w:pPr>
    </w:p>
    <w:p w14:paraId="3F5293A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DBEB59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509525C4">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149779D">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680B2EB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D670978">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13C01816">
      <w:pPr>
        <w:shd w:val="clea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B7AE942">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5164C025">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3705D29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4356DE17">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B0B1BE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66B0351C">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443C18E7">
      <w:pPr>
        <w:widowControl/>
        <w:shd w:val="clear" w:color="auto"/>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E3F5404">
      <w:pPr>
        <w:pStyle w:val="393"/>
        <w:shd w:val="clear"/>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3D85512">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C86B7">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7C0B64EF">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895321C">
      <w:pPr>
        <w:pStyle w:val="393"/>
        <w:shd w:val="clear"/>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BA0B38C">
      <w:pPr>
        <w:pStyle w:val="393"/>
        <w:shd w:val="clear"/>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2041752E">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E81E3AD">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0B68559">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08D9E77">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EC7810A">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65A181EC">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79F0FFF">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348B2A8">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5BC78D6F">
      <w:pPr>
        <w:pStyle w:val="633"/>
        <w:shd w:val="clear"/>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9BFF2DF">
      <w:pPr>
        <w:shd w:val="clea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78C30712">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5C1B763">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31B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3BEB6F">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11E1219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1CB29C2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6F75ADC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D55973A">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177096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1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D5237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4C98F6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ED0050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39052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50D1DA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3491717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8B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DC7457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3F8CE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779106B">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04F9EC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0EA64B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5650CFA4">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1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D4F973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A3DF4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2D4491F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21F5429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E7FC6F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7C3B2EF2">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2DC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2385CA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622EF42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1F81A2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1AF62E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02ADF81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6F2B43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97503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C869D4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5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7399F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4F61931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3D021A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75129BE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410DF8A2">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60C5AC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79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E1C3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57C2CB1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510F3E41">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CA4C7A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1EF6ED8">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1B1868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C49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690DF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074E6CB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61F2B60">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p>
        </w:tc>
        <w:tc>
          <w:tcPr>
            <w:tcW w:w="993" w:type="dxa"/>
            <w:vAlign w:val="center"/>
          </w:tcPr>
          <w:p w14:paraId="6A09A87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850" w:type="dxa"/>
            <w:vAlign w:val="center"/>
          </w:tcPr>
          <w:p w14:paraId="5572C94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3366" w:type="dxa"/>
            <w:vAlign w:val="center"/>
          </w:tcPr>
          <w:p w14:paraId="3F084BB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25C9A63">
      <w:pPr>
        <w:pStyle w:val="633"/>
        <w:shd w:val="clear"/>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3075EB2">
      <w:pPr>
        <w:shd w:val="clea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7F100541">
      <w:pPr>
        <w:shd w:val="clea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64AEE11">
      <w:pPr>
        <w:pStyle w:val="633"/>
        <w:shd w:val="clear"/>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4A730CD">
      <w:pPr>
        <w:pStyle w:val="633"/>
        <w:shd w:val="clear"/>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1DB2CE8B">
      <w:pPr>
        <w:pStyle w:val="633"/>
        <w:shd w:val="clear"/>
        <w:rPr>
          <w:rFonts w:hint="eastAsia"/>
          <w:color w:val="auto"/>
          <w:highlight w:val="none"/>
        </w:rPr>
      </w:pPr>
      <w:r>
        <w:rPr>
          <w:color w:val="auto"/>
          <w:highlight w:val="none"/>
        </w:rPr>
        <w:t>4.</w:t>
      </w:r>
      <w:r>
        <w:rPr>
          <w:rFonts w:hint="eastAsia"/>
          <w:color w:val="auto"/>
          <w:highlight w:val="none"/>
        </w:rPr>
        <w:t>预付款</w:t>
      </w:r>
    </w:p>
    <w:p w14:paraId="4B521F06">
      <w:pPr>
        <w:shd w:val="clea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59C20B4D">
      <w:pPr>
        <w:shd w:val="clea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F19184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04C5D7AF">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6CEE236">
      <w:pPr>
        <w:pStyle w:val="24"/>
        <w:shd w:val="clear"/>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4D8D3C97">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E3101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2A79785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9F1D9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366C61">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71826C2C">
      <w:pPr>
        <w:shd w:val="clea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24458BD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17B4CF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514C677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43A9E71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0048D07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D52D8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325D9E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26D898C3">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68057669"/>
      <w:bookmarkEnd w:id="31"/>
      <w:bookmarkStart w:id="32" w:name="_Hlt74714665"/>
      <w:bookmarkEnd w:id="32"/>
      <w:bookmarkStart w:id="33" w:name="_Hlt75236011"/>
      <w:bookmarkEnd w:id="33"/>
      <w:bookmarkStart w:id="34" w:name="_Hlt74707468"/>
      <w:bookmarkEnd w:id="34"/>
      <w:bookmarkStart w:id="35" w:name="_Hlt74729768"/>
      <w:bookmarkEnd w:id="35"/>
      <w:bookmarkStart w:id="36" w:name="_Hlt68072990"/>
      <w:bookmarkEnd w:id="36"/>
      <w:bookmarkStart w:id="37" w:name="_Hlt74730295"/>
      <w:bookmarkEnd w:id="37"/>
      <w:bookmarkStart w:id="38" w:name="_Hlt75236290"/>
      <w:bookmarkEnd w:id="38"/>
      <w:bookmarkStart w:id="39" w:name="_Hlt75236101"/>
      <w:bookmarkEnd w:id="39"/>
      <w:bookmarkStart w:id="40" w:name="第三部分"/>
      <w:bookmarkStart w:id="41" w:name="_Toc164416483"/>
    </w:p>
    <w:p w14:paraId="60DA8378">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5B5944B5">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五</w:t>
      </w:r>
      <w:r>
        <w:rPr>
          <w:rFonts w:hint="eastAsia" w:cs="仿宋_GB2312" w:asciiTheme="minorEastAsia" w:hAnsiTheme="minorEastAsia" w:eastAsiaTheme="minorEastAsia"/>
          <w:b/>
          <w:color w:val="auto"/>
          <w:sz w:val="36"/>
          <w:szCs w:val="36"/>
          <w:highlight w:val="none"/>
        </w:rPr>
        <w:t>、其他事项</w:t>
      </w:r>
    </w:p>
    <w:p w14:paraId="52C832D9">
      <w:pPr>
        <w:shd w:val="clea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288C922">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1.1采购代理费支付方式：</w:t>
      </w:r>
    </w:p>
    <w:p w14:paraId="2D3478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本项目代理服务费由成交供应商一次性向采购代理机构支付。</w:t>
      </w:r>
    </w:p>
    <w:p w14:paraId="328043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□采购人支付。</w:t>
      </w:r>
    </w:p>
    <w:p w14:paraId="29BB0A8E">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1.2采购代理费收取标准：</w:t>
      </w:r>
    </w:p>
    <w:p w14:paraId="14A25B2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以分标（□成交金额/</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采购预算/□暂定成交金额/□其他 / ）为计费额，按代理服务收费标准（</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货物类/</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服务类/□工程类）采用差额定率累进法计算出收费基准价格，采购代理收费以（</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收费基准价格/□收费基准价格下浮 20 %/□收费基准价格上浮 / %）收取。</w:t>
      </w:r>
    </w:p>
    <w:p w14:paraId="3D0A01D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□固定采购代理收费。</w:t>
      </w:r>
    </w:p>
    <w:p w14:paraId="4FD708B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1.3采购代理费收取银行账户</w:t>
      </w:r>
    </w:p>
    <w:p w14:paraId="10DEAA8E">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开户名称：广西北部湾宏亚建设管理有限公司北海分公司 </w:t>
      </w:r>
    </w:p>
    <w:p w14:paraId="29CCDF5F">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开户银行：北海工行江苏路支行</w:t>
      </w:r>
    </w:p>
    <w:p w14:paraId="4EB00196">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银行账号：2107 5309 0930 0049 767</w:t>
      </w:r>
    </w:p>
    <w:p w14:paraId="631390A8">
      <w:pPr>
        <w:shd w:val="clea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1.4代理服务收费标准：</w:t>
      </w: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《关于进一步放开建设项目专业服务价格的通知》（发改价格〔2015〕299号）</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，招标代理</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rPr>
        <w:t>费实行市场调节价，价格由双方协商确定。</w:t>
      </w:r>
    </w:p>
    <w:p w14:paraId="736DEFEF">
      <w:pPr>
        <w:shd w:val="clea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2D45075D">
      <w:pPr>
        <w:pStyle w:val="32"/>
        <w:shd w:val="clear"/>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E78472E">
      <w:pPr>
        <w:pStyle w:val="32"/>
        <w:shd w:val="clear"/>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658A6971">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EDE2F57">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30378F0D">
      <w:pPr>
        <w:pStyle w:val="32"/>
        <w:shd w:val="clear"/>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3E14CDA">
      <w:pPr>
        <w:pStyle w:val="32"/>
        <w:shd w:val="clear"/>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28EC819B">
      <w:pPr>
        <w:pStyle w:val="32"/>
        <w:shd w:val="clear"/>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891FD3B">
      <w:pPr>
        <w:pStyle w:val="73"/>
        <w:shd w:val="clear"/>
        <w:rPr>
          <w:rFonts w:hint="eastAsia"/>
          <w:color w:val="auto"/>
          <w:highlight w:val="none"/>
        </w:rPr>
      </w:pPr>
    </w:p>
    <w:p w14:paraId="49374D86">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2C52C988">
      <w:pPr>
        <w:shd w:val="clear"/>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br w:type="page"/>
      </w:r>
    </w:p>
    <w:p w14:paraId="400DDF49">
      <w:pPr>
        <w:shd w:val="clear"/>
        <w:adjustRightInd/>
        <w:snapToGrid w:val="0"/>
        <w:spacing w:line="360" w:lineRule="auto"/>
        <w:jc w:val="center"/>
        <w:outlineLvl w:val="9"/>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第四部分  采购需求</w:t>
      </w:r>
      <w:bookmarkEnd w:id="42"/>
    </w:p>
    <w:p w14:paraId="6435707C">
      <w:pPr>
        <w:shd w:val="clea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8A038C1">
      <w:pPr>
        <w:keepNext w:val="0"/>
        <w:keepLines w:val="0"/>
        <w:pageBreakBefore w:val="0"/>
        <w:widowControl/>
        <w:shd w:val="clear"/>
        <w:kinsoku/>
        <w:wordWrap/>
        <w:overflowPunct/>
        <w:topLinePunct w:val="0"/>
        <w:autoSpaceDE/>
        <w:autoSpaceDN/>
        <w:bidi w:val="0"/>
        <w:adjustRightInd w:val="0"/>
        <w:snapToGrid/>
        <w:spacing w:line="480" w:lineRule="exact"/>
        <w:ind w:firstLine="482"/>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①采购预算：</w:t>
      </w:r>
      <w:r>
        <w:rPr>
          <w:rFonts w:hint="eastAsia" w:ascii="宋体" w:hAnsi="宋体" w:eastAsia="宋体" w:cs="宋体"/>
          <w:b w:val="0"/>
          <w:bCs/>
          <w:color w:val="auto"/>
          <w:sz w:val="24"/>
          <w:szCs w:val="24"/>
          <w:highlight w:val="none"/>
        </w:rPr>
        <w:t>本项目的政府采购预算为人民</w:t>
      </w:r>
      <w:r>
        <w:rPr>
          <w:rFonts w:hint="eastAsia" w:ascii="宋体" w:hAnsi="宋体" w:eastAsia="宋体" w:cs="宋体"/>
          <w:b w:val="0"/>
          <w:bCs/>
          <w:color w:val="auto"/>
          <w:sz w:val="24"/>
          <w:szCs w:val="24"/>
          <w:highlight w:val="none"/>
          <w:lang w:val="en-US" w:eastAsia="zh-CN"/>
        </w:rPr>
        <w:t>币</w:t>
      </w:r>
      <w:r>
        <w:rPr>
          <w:rFonts w:hint="eastAsia" w:ascii="宋体" w:hAnsi="宋体" w:cs="宋体"/>
          <w:b w:val="0"/>
          <w:bCs/>
          <w:color w:val="auto"/>
          <w:sz w:val="24"/>
          <w:szCs w:val="24"/>
          <w:highlight w:val="none"/>
          <w:lang w:val="en-US" w:eastAsia="zh-CN"/>
        </w:rPr>
        <w:t>壹佰捌拾柒万捌仟玖佰肆拾元零角零分</w:t>
      </w:r>
      <w:r>
        <w:rPr>
          <w:rFonts w:hint="eastAsia" w:ascii="宋体" w:hAnsi="宋体" w:eastAsia="宋体" w:cs="宋体"/>
          <w:b w:val="0"/>
          <w:bCs/>
          <w:color w:val="auto"/>
          <w:sz w:val="24"/>
          <w:szCs w:val="24"/>
          <w:highlight w:val="none"/>
        </w:rPr>
        <w:t>（¥1878940.00元）</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超过预算价的报价视为无效报价。</w:t>
      </w:r>
    </w:p>
    <w:p w14:paraId="35ED143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②</w:t>
      </w:r>
      <w:r>
        <w:rPr>
          <w:rFonts w:hint="eastAsia" w:ascii="宋体" w:hAnsi="宋体" w:eastAsia="宋体" w:cs="宋体"/>
          <w:b w:val="0"/>
          <w:bCs/>
          <w:color w:val="auto"/>
          <w:kern w:val="0"/>
          <w:sz w:val="24"/>
          <w:szCs w:val="24"/>
          <w:highlight w:val="none"/>
        </w:rPr>
        <w:t>本项目类别：服务类。</w:t>
      </w:r>
    </w:p>
    <w:p w14:paraId="0803E4A3">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cs="宋体"/>
          <w:b w:val="0"/>
          <w:bCs/>
          <w:color w:val="auto"/>
          <w:sz w:val="24"/>
          <w:szCs w:val="24"/>
          <w:highlight w:val="none"/>
        </w:rPr>
        <w:t>本项目采购标的对应的中小企业划分标准所属行业为：</w:t>
      </w:r>
      <w:r>
        <w:rPr>
          <w:rFonts w:hint="eastAsia" w:ascii="宋体" w:hAnsi="宋体" w:cs="宋体"/>
          <w:b w:val="0"/>
          <w:bCs/>
          <w:color w:val="auto"/>
          <w:sz w:val="24"/>
          <w:szCs w:val="24"/>
          <w:highlight w:val="none"/>
          <w:lang w:val="en-US" w:eastAsia="zh-CN"/>
        </w:rPr>
        <w:t>其他未列明行业</w:t>
      </w:r>
      <w:r>
        <w:rPr>
          <w:rFonts w:hint="eastAsia" w:ascii="宋体" w:hAnsi="宋体" w:cs="宋体"/>
          <w:b w:val="0"/>
          <w:bCs/>
          <w:color w:val="auto"/>
          <w:sz w:val="24"/>
          <w:szCs w:val="24"/>
          <w:highlight w:val="none"/>
        </w:rPr>
        <w:t xml:space="preserve">。 </w:t>
      </w:r>
    </w:p>
    <w:p w14:paraId="22599D4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kern w:val="0"/>
          <w:sz w:val="24"/>
          <w:szCs w:val="24"/>
          <w:highlight w:val="none"/>
          <w:lang w:val="en-US" w:eastAsia="zh-CN" w:bidi="ar"/>
        </w:rPr>
      </w:pPr>
      <w:r>
        <w:rPr>
          <w:rFonts w:hint="eastAsia" w:cs="Times New Roman"/>
          <w:b w:val="0"/>
          <w:bCs/>
          <w:color w:val="auto"/>
          <w:kern w:val="2"/>
          <w:sz w:val="24"/>
          <w:szCs w:val="24"/>
          <w:highlight w:val="none"/>
          <w:lang w:val="en-US" w:eastAsia="zh-CN" w:bidi="ar-SA"/>
        </w:rPr>
        <w:t>④</w:t>
      </w:r>
      <w:r>
        <w:rPr>
          <w:rFonts w:hint="eastAsia" w:ascii="宋体" w:hAnsi="宋体" w:cs="宋体"/>
          <w:b w:val="0"/>
          <w:bCs/>
          <w:color w:val="auto"/>
          <w:kern w:val="0"/>
          <w:sz w:val="24"/>
          <w:szCs w:val="24"/>
          <w:highlight w:val="none"/>
          <w:lang w:val="en-US" w:eastAsia="zh-CN" w:bidi="ar"/>
        </w:rPr>
        <w:t>本章节所有技术需求、商务要求均为实质性要求，供应商需完全响应，不接受负偏离，否则磋商无效。</w:t>
      </w:r>
    </w:p>
    <w:p w14:paraId="39C9C062">
      <w:pPr>
        <w:shd w:val="clea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43" w:name="heading_0"/>
    </w:p>
    <w:p w14:paraId="4FD6AE36">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一、项目总体概况</w:t>
      </w:r>
      <w:bookmarkEnd w:id="43"/>
    </w:p>
    <w:p w14:paraId="3D9B182D">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4" w:name="heading_1"/>
      <w:r>
        <w:rPr>
          <w:rFonts w:hint="eastAsia" w:ascii="Times New Roman" w:hAnsi="Times New Roman" w:eastAsia="宋体" w:cs="Times New Roman"/>
          <w:b w:val="0"/>
          <w:bCs w:val="0"/>
          <w:color w:val="auto"/>
          <w:sz w:val="24"/>
          <w:szCs w:val="24"/>
          <w:highlight w:val="none"/>
          <w:lang w:val="en-US" w:eastAsia="zh-CN"/>
        </w:rPr>
        <w:t>（一）赛事基本信息</w:t>
      </w:r>
      <w:bookmarkEnd w:id="44"/>
    </w:p>
    <w:p w14:paraId="7C8E27E7">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5" w:name="heading_2"/>
      <w:r>
        <w:rPr>
          <w:rFonts w:hint="eastAsia" w:ascii="Times New Roman" w:hAnsi="Times New Roman" w:eastAsia="宋体" w:cs="Times New Roman"/>
          <w:b w:val="0"/>
          <w:bCs w:val="0"/>
          <w:color w:val="auto"/>
          <w:sz w:val="24"/>
          <w:szCs w:val="24"/>
          <w:highlight w:val="none"/>
          <w:lang w:val="en-US" w:eastAsia="zh-CN"/>
        </w:rPr>
        <w:t>1. 赛事名称：广西壮族自治区第十六届运动会国际摔跤竞技体育项目赛事</w:t>
      </w:r>
    </w:p>
    <w:p w14:paraId="65D5C5F6">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服务地点：北海</w:t>
      </w:r>
      <w:r>
        <w:rPr>
          <w:rFonts w:hint="eastAsia" w:cs="Times New Roman"/>
          <w:b w:val="0"/>
          <w:bCs w:val="0"/>
          <w:color w:val="auto"/>
          <w:sz w:val="24"/>
          <w:szCs w:val="24"/>
          <w:highlight w:val="none"/>
          <w:lang w:val="en-US" w:eastAsia="zh-CN"/>
        </w:rPr>
        <w:t>市</w:t>
      </w:r>
      <w:r>
        <w:rPr>
          <w:rFonts w:hint="eastAsia" w:ascii="Times New Roman" w:hAnsi="Times New Roman" w:eastAsia="宋体" w:cs="Times New Roman"/>
          <w:b w:val="0"/>
          <w:bCs w:val="0"/>
          <w:color w:val="auto"/>
          <w:sz w:val="24"/>
          <w:szCs w:val="24"/>
          <w:highlight w:val="none"/>
          <w:lang w:val="en-US" w:eastAsia="zh-CN"/>
        </w:rPr>
        <w:t>体育馆</w:t>
      </w:r>
    </w:p>
    <w:p w14:paraId="488D7764">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服务周期：覆盖赛前场地适应训练、正式比赛、赛后场地复原全流程，包含赛前筹备、赛中执行、赛后收尾归档全部阶段，正式比赛时间为9月14日—9月17日（共4天），整体服务周期全面覆盖赛事全流程保障工作。</w:t>
      </w:r>
    </w:p>
    <w:p w14:paraId="5CA634DC">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（二）服务覆盖范围</w:t>
      </w:r>
      <w:bookmarkEnd w:id="45"/>
    </w:p>
    <w:p w14:paraId="38C9A357">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6" w:name="heading_3"/>
      <w:r>
        <w:rPr>
          <w:rFonts w:hint="eastAsia" w:ascii="Times New Roman" w:hAnsi="Times New Roman" w:eastAsia="宋体" w:cs="Times New Roman"/>
          <w:b w:val="0"/>
          <w:bCs w:val="0"/>
          <w:color w:val="auto"/>
          <w:sz w:val="24"/>
          <w:szCs w:val="24"/>
          <w:highlight w:val="none"/>
          <w:lang w:val="en-US" w:eastAsia="zh-CN"/>
        </w:rPr>
        <w:t>国际摔跤项目参赛运动员、领队、教练员、裁判员、仲裁人员、技术代表、比赛监督、编排记录人员、电子系统工作人员、兴奋剂检测人员、赛事工作人员、志愿者、安保及医疗保障等全体赛事相关人员。</w:t>
      </w:r>
    </w:p>
    <w:p w14:paraId="6298640B">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（三）项目预算情况</w:t>
      </w:r>
      <w:bookmarkEnd w:id="46"/>
    </w:p>
    <w:p w14:paraId="2248C999">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宋体" w:hAnsi="宋体" w:eastAsia="宋体" w:cs="宋体"/>
          <w:b w:val="0"/>
          <w:bCs/>
          <w:color w:val="auto"/>
          <w:sz w:val="24"/>
          <w:szCs w:val="24"/>
          <w:highlight w:val="none"/>
        </w:rPr>
        <w:t>本项目的政府采购预算为人民</w:t>
      </w:r>
      <w:r>
        <w:rPr>
          <w:rFonts w:hint="eastAsia" w:ascii="宋体" w:hAnsi="宋体" w:eastAsia="宋体" w:cs="宋体"/>
          <w:b w:val="0"/>
          <w:bCs/>
          <w:color w:val="auto"/>
          <w:sz w:val="24"/>
          <w:szCs w:val="24"/>
          <w:highlight w:val="none"/>
          <w:lang w:val="en-US" w:eastAsia="zh-CN"/>
        </w:rPr>
        <w:t>币</w:t>
      </w:r>
      <w:r>
        <w:rPr>
          <w:rFonts w:hint="eastAsia" w:ascii="宋体" w:hAnsi="宋体" w:cs="宋体"/>
          <w:b w:val="0"/>
          <w:bCs/>
          <w:color w:val="auto"/>
          <w:sz w:val="24"/>
          <w:szCs w:val="24"/>
          <w:highlight w:val="none"/>
          <w:lang w:val="en-US" w:eastAsia="zh-CN"/>
        </w:rPr>
        <w:t>壹佰捌拾柒万捌仟玖佰肆拾元零角零分</w:t>
      </w:r>
      <w:r>
        <w:rPr>
          <w:rFonts w:hint="eastAsia" w:ascii="宋体" w:hAnsi="宋体" w:eastAsia="宋体" w:cs="宋体"/>
          <w:b w:val="0"/>
          <w:bCs/>
          <w:color w:val="auto"/>
          <w:sz w:val="24"/>
          <w:szCs w:val="24"/>
          <w:highlight w:val="none"/>
        </w:rPr>
        <w:t>（¥1878940.00元）</w:t>
      </w:r>
      <w:r>
        <w:rPr>
          <w:rFonts w:hint="eastAsia" w:ascii="Times New Roman" w:hAnsi="Times New Roman" w:eastAsia="宋体" w:cs="Times New Roman"/>
          <w:b w:val="0"/>
          <w:bCs w:val="0"/>
          <w:color w:val="auto"/>
          <w:sz w:val="24"/>
          <w:szCs w:val="24"/>
          <w:highlight w:val="none"/>
          <w:lang w:val="en-US" w:eastAsia="zh-CN"/>
        </w:rPr>
        <w:t>。</w:t>
      </w:r>
      <w:r>
        <w:rPr>
          <w:rFonts w:ascii="宋体" w:hAnsi="宋体" w:eastAsia="宋体" w:cs="宋体"/>
          <w:color w:val="auto"/>
          <w:sz w:val="24"/>
          <w:szCs w:val="24"/>
          <w:highlight w:val="none"/>
        </w:rPr>
        <w:t>报价为全包价，包含参赛及赛事相关人员食宿、各类人员劳务补贴、差旅补贴、市内交通接驳、场地搭建、场地租赁、水电运维、专业竞赛器材租赁、电子计时记分与录像回放系统运维、志愿服务补助、宣传氛围物料、办公后勤物资、赛事耗材、医疗安保保障、颁奖礼仪及主持人劳务、网络布线、数据存储设备</w:t>
      </w:r>
      <w:r>
        <w:rPr>
          <w:rFonts w:hint="eastAsia" w:ascii="宋体" w:hAnsi="宋体" w:eastAsia="宋体" w:cs="宋体"/>
          <w:color w:val="auto"/>
          <w:sz w:val="24"/>
          <w:szCs w:val="24"/>
          <w:highlight w:val="none"/>
          <w:lang w:val="en-US" w:eastAsia="zh-CN"/>
        </w:rPr>
        <w:t>耗材</w:t>
      </w:r>
      <w:r>
        <w:rPr>
          <w:rFonts w:ascii="宋体" w:hAnsi="宋体" w:eastAsia="宋体" w:cs="宋体"/>
          <w:color w:val="auto"/>
          <w:sz w:val="24"/>
          <w:szCs w:val="24"/>
          <w:highlight w:val="none"/>
        </w:rPr>
        <w:t>等全部履约费用，采购人不另行支付任何新增费用，资金专项专用、合规列支，无额外财政追加资金</w:t>
      </w:r>
      <w:r>
        <w:rPr>
          <w:rFonts w:hint="eastAsia" w:ascii="Times New Roman" w:hAnsi="Times New Roman" w:eastAsia="宋体" w:cs="Times New Roman"/>
          <w:b w:val="0"/>
          <w:bCs w:val="0"/>
          <w:color w:val="auto"/>
          <w:sz w:val="24"/>
          <w:szCs w:val="24"/>
          <w:highlight w:val="none"/>
          <w:lang w:val="en-US" w:eastAsia="zh-CN"/>
        </w:rPr>
        <w:t>。</w:t>
      </w:r>
    </w:p>
    <w:p w14:paraId="2E09D204">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bookmarkStart w:id="47" w:name="heading_4"/>
      <w:r>
        <w:rPr>
          <w:rFonts w:hint="eastAsia" w:ascii="Times New Roman" w:hAnsi="Times New Roman" w:eastAsia="宋体" w:cs="Times New Roman"/>
          <w:b/>
          <w:bCs/>
          <w:color w:val="auto"/>
          <w:sz w:val="24"/>
          <w:szCs w:val="24"/>
          <w:highlight w:val="none"/>
          <w:lang w:val="en-US" w:eastAsia="zh-CN"/>
        </w:rPr>
        <w:t>二、总体服务要求</w:t>
      </w:r>
      <w:bookmarkEnd w:id="47"/>
    </w:p>
    <w:p w14:paraId="5372AE05">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供应商须承接本项目国际摔跤赛事全链条竞赛配套服务，包含赛事运营统筹、专业技术支撑、场地运维保障、综合赛事保障、志愿服务管理、专业器材及系统租赁运维、成绩辅助统计、售后兜底保障等全部服务内容。结合国际摔跤高强度对抗、专业性强、安全管控严格的赛事特点，落实标准化、专业化、一体化专项保障，全程服从赛事组委会统筹管理，确保赛事零安全事故、零重大失误、零负面舆情，圆满完成国际摔跤项目全部办赛任务</w:t>
      </w:r>
      <w:r>
        <w:rPr>
          <w:rFonts w:hint="eastAsia" w:cs="Times New Roman"/>
          <w:b w:val="0"/>
          <w:bCs w:val="0"/>
          <w:color w:val="auto"/>
          <w:sz w:val="24"/>
          <w:szCs w:val="24"/>
          <w:highlight w:val="none"/>
          <w:lang w:val="en-US" w:eastAsia="zh-CN"/>
        </w:rPr>
        <w:t>。</w:t>
      </w:r>
    </w:p>
    <w:p w14:paraId="57AACA84">
      <w:pPr>
        <w:pStyle w:val="23"/>
        <w:keepNext w:val="0"/>
        <w:keepLines w:val="0"/>
        <w:pageBreakBefore w:val="0"/>
        <w:shd w:val="clear"/>
        <w:kinsoku/>
        <w:wordWrap/>
        <w:overflowPunct/>
        <w:topLinePunct w:val="0"/>
        <w:bidi w:val="0"/>
        <w:spacing w:line="440" w:lineRule="exact"/>
        <w:ind w:leftChars="0"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最低人员配备情况：</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6"/>
        <w:gridCol w:w="1104"/>
        <w:gridCol w:w="1173"/>
        <w:gridCol w:w="4184"/>
      </w:tblGrid>
      <w:tr w14:paraId="39D0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731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216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378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5A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4352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D0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技术代表、裁判长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（外省）</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0A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A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A63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1166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0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仲裁委员会、副裁判长、编排长、检录长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8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DB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B70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6869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6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副编排记录长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EE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F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909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7047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60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编排人员、外地裁判（广西区内）</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B1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2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3FB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0EDE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56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电子系统工作人员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1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77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958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3975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3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兴奋剂检察组组长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3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9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D41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77D3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09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兴奋剂检察组组员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1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F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C53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由组委会邀请，按实际情况支出差旅费、食宿费、往返交通费等</w:t>
            </w:r>
          </w:p>
        </w:tc>
      </w:tr>
      <w:tr w14:paraId="288E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90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驻地医生</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4A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EC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0FC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59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4F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医疗人员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E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75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F8C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1B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0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安保人员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EA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3D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DA6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C0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97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bookmarkStart w:id="48" w:name="heading_5"/>
            <w:r>
              <w:rPr>
                <w:rFonts w:hint="default" w:ascii="宋体" w:hAnsi="宋体" w:eastAsia="宋体" w:cs="宋体"/>
                <w:i w:val="0"/>
                <w:iCs w:val="0"/>
                <w:color w:val="auto"/>
                <w:kern w:val="0"/>
                <w:sz w:val="24"/>
                <w:szCs w:val="24"/>
                <w:highlight w:val="none"/>
                <w:u w:val="none"/>
                <w:lang w:val="en-US" w:eastAsia="zh-CN" w:bidi="ar"/>
              </w:rPr>
              <w:t>礼仪人员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0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8</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1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92C2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B380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23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主持人</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D8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C63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D00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42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赛事志愿者及工作人员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B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4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C4F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5763DD9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三、核心服务内容及执行标准</w:t>
      </w:r>
      <w:bookmarkEnd w:id="48"/>
    </w:p>
    <w:p w14:paraId="4AC0FBF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49" w:name="heading_6"/>
      <w:bookmarkStart w:id="50" w:name="heading_15"/>
      <w:r>
        <w:rPr>
          <w:rFonts w:hint="eastAsia" w:ascii="宋体" w:hAnsi="宋体" w:eastAsia="宋体" w:cs="宋体"/>
          <w:b/>
          <w:color w:val="auto"/>
          <w:sz w:val="24"/>
          <w:szCs w:val="24"/>
          <w:highlight w:val="none"/>
        </w:rPr>
        <w:t>（一）赛事运营服务</w:t>
      </w:r>
      <w:bookmarkEnd w:id="49"/>
    </w:p>
    <w:p w14:paraId="2D88CA6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1" w:name="heading_7"/>
      <w:r>
        <w:rPr>
          <w:rFonts w:hint="eastAsia" w:ascii="宋体" w:hAnsi="宋体" w:eastAsia="宋体" w:cs="宋体"/>
          <w:color w:val="auto"/>
          <w:sz w:val="24"/>
          <w:szCs w:val="24"/>
          <w:highlight w:val="none"/>
        </w:rPr>
        <w:t>1. 方案统筹：严格依据自治区运会办赛规范、国际摔跤项目专项竞赛规则，细化赛事整体执行方案、赛程落地方案、安全管控方案、应急处置方案、场地搭建运维方案，报采购人审核后落地执行。</w:t>
      </w:r>
    </w:p>
    <w:p w14:paraId="448E717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全流程管控：统筹赛前筹备、赛中运行、赛后收尾全流程工作，负责赛程排布、赛事衔接、开颁奖仪式统筹、赛场流程管控、反兴奋剂配套保障，每日建立工作台账，落实节点闭环管控，保障赛事全程有序推进。</w:t>
      </w:r>
    </w:p>
    <w:p w14:paraId="775CA8E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多方对接：精准对接仲裁组、裁判组、技术组、兴奋剂</w:t>
      </w:r>
      <w:r>
        <w:rPr>
          <w:rFonts w:hint="eastAsia" w:ascii="宋体" w:hAnsi="宋体" w:cs="宋体"/>
          <w:color w:val="auto"/>
          <w:sz w:val="24"/>
          <w:szCs w:val="24"/>
          <w:highlight w:val="none"/>
          <w:lang w:val="en-US" w:eastAsia="zh-CN"/>
        </w:rPr>
        <w:t>检察</w:t>
      </w:r>
      <w:r>
        <w:rPr>
          <w:rFonts w:hint="eastAsia" w:ascii="宋体" w:hAnsi="宋体" w:eastAsia="宋体" w:cs="宋体"/>
          <w:color w:val="auto"/>
          <w:sz w:val="24"/>
          <w:szCs w:val="24"/>
          <w:highlight w:val="none"/>
        </w:rPr>
        <w:t>组、各参赛队伍、组委会各工作小组，协调解决赛事运行各类问题，保障多方沟通顺畅、赛事流程高效衔接。</w:t>
      </w:r>
    </w:p>
    <w:p w14:paraId="1673A2A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资料归档：全程收集、整理赛事工作资料、台账、记录、影像素材、数据报表，赛后完成全套赛事运营资料汇编、汇总、归档工作。</w:t>
      </w:r>
    </w:p>
    <w:p w14:paraId="24D9B43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（二）专业技术服务</w:t>
      </w:r>
      <w:bookmarkEnd w:id="51"/>
    </w:p>
    <w:p w14:paraId="0F9BC1B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系统运维保障：全程保障国际摔跤专属电子计分系统、</w:t>
      </w:r>
      <w:r>
        <w:rPr>
          <w:rFonts w:hint="eastAsia" w:ascii="宋体" w:hAnsi="宋体" w:eastAsia="宋体" w:cs="宋体"/>
          <w:color w:val="auto"/>
          <w:sz w:val="24"/>
          <w:szCs w:val="24"/>
          <w:highlight w:val="none"/>
          <w:lang w:val="en-US" w:eastAsia="zh-CN"/>
        </w:rPr>
        <w:t>比赛抽签编排系统</w:t>
      </w:r>
      <w:r>
        <w:rPr>
          <w:rFonts w:hint="eastAsia" w:ascii="宋体" w:hAnsi="宋体" w:eastAsia="宋体" w:cs="宋体"/>
          <w:color w:val="auto"/>
          <w:sz w:val="24"/>
          <w:szCs w:val="24"/>
          <w:highlight w:val="none"/>
        </w:rPr>
        <w:t>、大屏回放系统稳定运行，实现赛事评分数据实时上传、精准统计、大屏实时公示、全程可追溯，杜绝数据卡顿、错漏、丢失、系统故障等问题，完全适配省级国际摔跤赛事执裁标准。</w:t>
      </w:r>
    </w:p>
    <w:p w14:paraId="5D508560">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赛事影像留存：配置多机位专业录像设备及专用录像审议系统，全程完成赛前训练、正式比赛全过程高清影像录像留存，配套显示屏、双摄像头、存储拷贝功能，画质清晰、内容完整，可全面支撑赛事申诉、仲裁取证、成绩复核、赛事复盘工作。</w:t>
      </w:r>
    </w:p>
    <w:p w14:paraId="617762E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设备校准运维：每日赛前对摔跤垫完整性、场地平整度、磁极观测卡、击打计分设备、计时设备等核心竞赛设备开展全面校准检测，赛中常态化巡检运维、赛后核验整理归档，杜绝设备误差影响赛事公平公正。</w:t>
      </w:r>
    </w:p>
    <w:p w14:paraId="363A4AA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技术支撑兜底：全程提供国际摔跤竞赛规则解读、现场技术咨询、软硬件故障排查、赛场技术突发问题应急处置服务，及时解决赛事各类技术问题，保障赛事不间断、零失误运行。</w:t>
      </w:r>
    </w:p>
    <w:p w14:paraId="553E2E9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2" w:name="heading_8"/>
      <w:r>
        <w:rPr>
          <w:rFonts w:hint="eastAsia" w:ascii="宋体" w:hAnsi="宋体" w:eastAsia="宋体" w:cs="宋体"/>
          <w:b/>
          <w:color w:val="auto"/>
          <w:sz w:val="24"/>
          <w:szCs w:val="24"/>
          <w:highlight w:val="none"/>
        </w:rPr>
        <w:t>（三）场地运维服务</w:t>
      </w:r>
      <w:bookmarkEnd w:id="52"/>
    </w:p>
    <w:p w14:paraId="32E650BF">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场地安全运维：负责国际摔跤竞赛场地、热身区域、候赛区、裁判功能室、运动员休息区、颁奖区、各类功能配套区的日常清洁、规整、消杀、安全隐患全面排查，常态化检查专业摔跤垫完好性，及时修复破损、清理污渍，严格落实场地用电、器材摆放、消防安全规范，全面保障对抗性赛事场地安全合规。</w:t>
      </w:r>
    </w:p>
    <w:p w14:paraId="3A2AD07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氛围物料搭建运维：负责赛事背景板、项目标识标牌、通道指示展板、赛场隔离围挡、赛事条幅、颁奖台等形象景观物料的制作、进场搭建、实时维护、赛后拆除清运，统一赛事视觉形象，贴合省级专业赛事办赛标准。</w:t>
      </w:r>
    </w:p>
    <w:p w14:paraId="2D5F530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配套设施保障：安排专人24小时值守，全程保障赛场水电、照明、线路、消防设施稳定供应与正常运行，实时排查处置场地设施、配套设备故障，适配赛事高强度、高频次运行需求，确保场地完全符合国际摔跤专业赛事办赛标准。</w:t>
      </w:r>
    </w:p>
    <w:p w14:paraId="3C5A1E4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赛后场地复原：赛事结束后3个工作日内，完成全场清洁消杀、宣传物料拆除、竞赛设施拆卸、器材清点收纳、场地原貌复原工作，妥善保管共用比赛高台保障后续赛事接续使用，确保场馆设施完好、无杂物遗留、无损坏，圆满完成场地交接。</w:t>
      </w:r>
    </w:p>
    <w:p w14:paraId="6E6CDF7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3" w:name="heading_9"/>
      <w:r>
        <w:rPr>
          <w:rFonts w:hint="eastAsia" w:ascii="宋体" w:hAnsi="宋体" w:eastAsia="宋体" w:cs="宋体"/>
          <w:b/>
          <w:color w:val="auto"/>
          <w:sz w:val="24"/>
          <w:szCs w:val="24"/>
          <w:highlight w:val="none"/>
        </w:rPr>
        <w:t>（四）综合赛事保障服务</w:t>
      </w:r>
      <w:bookmarkEnd w:id="53"/>
    </w:p>
    <w:p w14:paraId="28C74CA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食宿保障：</w:t>
      </w:r>
      <w:r>
        <w:rPr>
          <w:rFonts w:hint="eastAsia" w:ascii="宋体" w:hAnsi="宋体" w:cs="宋体"/>
          <w:color w:val="auto"/>
          <w:sz w:val="24"/>
          <w:szCs w:val="24"/>
          <w:highlight w:val="none"/>
          <w:lang w:val="en-US" w:eastAsia="zh-CN"/>
        </w:rPr>
        <w:t>供应商须</w:t>
      </w:r>
      <w:r>
        <w:rPr>
          <w:rFonts w:hint="eastAsia" w:ascii="宋体" w:hAnsi="宋体" w:eastAsia="宋体" w:cs="宋体"/>
          <w:color w:val="auto"/>
          <w:sz w:val="24"/>
          <w:szCs w:val="24"/>
          <w:highlight w:val="none"/>
        </w:rPr>
        <w:t>为国际摔跤项目参赛领队、教练员、运动员及技术代表、裁判、仲裁、</w:t>
      </w:r>
      <w:r>
        <w:rPr>
          <w:rFonts w:hint="eastAsia" w:ascii="宋体" w:hAnsi="宋体" w:cs="宋体"/>
          <w:color w:val="auto"/>
          <w:sz w:val="24"/>
          <w:szCs w:val="24"/>
          <w:highlight w:val="none"/>
          <w:lang w:eastAsia="zh-CN"/>
        </w:rPr>
        <w:t>兴奋剂检察</w:t>
      </w:r>
      <w:r>
        <w:rPr>
          <w:rFonts w:hint="eastAsia" w:ascii="宋体" w:hAnsi="宋体" w:eastAsia="宋体" w:cs="宋体"/>
          <w:color w:val="auto"/>
          <w:sz w:val="24"/>
          <w:szCs w:val="24"/>
          <w:highlight w:val="none"/>
        </w:rPr>
        <w:t>人员、驻地医生等全部赛事工作人员提供赛前训练及赛事期间食宿保障，严控食品安全、住宿卫生与人身安全，规范食宿台账管理，严格执行赛事经费支出标准，按需调配食宿资源。</w:t>
      </w:r>
    </w:p>
    <w:p w14:paraId="2DCEDB26">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人员劳务保障：足额落实技术代表、裁判长、仲裁委员、各级裁判员、编排记录人员、电子系统工作人员、医护、安保、礼仪、主持人、</w:t>
      </w:r>
      <w:r>
        <w:rPr>
          <w:rFonts w:hint="eastAsia" w:ascii="宋体" w:hAnsi="宋体" w:cs="宋体"/>
          <w:color w:val="auto"/>
          <w:sz w:val="24"/>
          <w:szCs w:val="24"/>
          <w:highlight w:val="none"/>
          <w:lang w:eastAsia="zh-CN"/>
        </w:rPr>
        <w:t>兴奋剂检察</w:t>
      </w:r>
      <w:r>
        <w:rPr>
          <w:rFonts w:hint="eastAsia" w:ascii="宋体" w:hAnsi="宋体" w:eastAsia="宋体" w:cs="宋体"/>
          <w:color w:val="auto"/>
          <w:sz w:val="24"/>
          <w:szCs w:val="24"/>
          <w:highlight w:val="none"/>
        </w:rPr>
        <w:t>人员等所有岗位人员劳务补贴，严格区分区内、区外人员补贴标准，按岗位层级、履职时长规范核算、登记、发放，建立完整劳务台账，确保合规透明、足额到位。</w:t>
      </w:r>
    </w:p>
    <w:p w14:paraId="195A343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交通接驳与差旅保障：</w:t>
      </w:r>
      <w:r>
        <w:rPr>
          <w:rFonts w:hint="eastAsia" w:ascii="Times New Roman" w:hAnsi="Times New Roman" w:eastAsia="宋体" w:cs="Times New Roman"/>
          <w:b w:val="0"/>
          <w:bCs w:val="0"/>
          <w:color w:val="auto"/>
          <w:sz w:val="24"/>
          <w:szCs w:val="24"/>
          <w:highlight w:val="none"/>
          <w:lang w:val="en-US" w:eastAsia="zh-CN"/>
        </w:rPr>
        <w:t>配备具有《道路运输证》的接驳车辆，</w:t>
      </w:r>
      <w:r>
        <w:rPr>
          <w:rFonts w:ascii="宋体" w:hAnsi="宋体" w:eastAsia="宋体" w:cs="宋体"/>
          <w:color w:val="auto"/>
          <w:sz w:val="24"/>
          <w:szCs w:val="24"/>
          <w:highlight w:val="none"/>
        </w:rPr>
        <w:t>驾驶员具备客运从业资格证</w:t>
      </w:r>
      <w:r>
        <w:rPr>
          <w:rFonts w:hint="eastAsia" w:ascii="宋体" w:hAnsi="宋体" w:eastAsia="宋体" w:cs="宋体"/>
          <w:color w:val="auto"/>
          <w:sz w:val="24"/>
          <w:szCs w:val="24"/>
          <w:highlight w:val="none"/>
        </w:rPr>
        <w:t>，完成裁判员、运动员、工作人员驻地至赛场往返专属接驳，保障赛事期间交通准时安全；按标准差异化核算发放裁判员市内交通补贴、异地往返差旅补贴，规范台账管理、合规列支。</w:t>
      </w:r>
    </w:p>
    <w:p w14:paraId="4F1433C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医疗安保保障：赛事驻地及赛场配备专职医生、护士、救护车及全套专项医疗物资，24小时在岗值守，结合国际摔跤高强度对抗赛事特性，增配专项医疗人员及救护设备，畅通赛场急救通道，高效处置运动员运动损伤、突发健康问题。固定配备专职安保人员，负责赛场、功能区域、赛事驻地秩序维护、人流管控、安全巡查、隐患排查，筑牢赛事安全防线，杜绝各类安全事故。</w:t>
      </w:r>
    </w:p>
    <w:p w14:paraId="53C226D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后勤办公与耗材保障：配齐赛事全套办公耗材、执裁辅助物资、医疗耗材、场地运维物资，包含打印机墨盒、各类办公文具、插线板、医用耗材、电线网线、存储设备、手工打分牌、赛事专用工具等全部赛事所需物资，保障赛事办公、执裁、台账整理、资料归档工作正常开展，物资足额储备、按需补充。</w:t>
      </w:r>
    </w:p>
    <w:p w14:paraId="0ACD1B80">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颁奖仪式保障：配置</w:t>
      </w:r>
      <w:r>
        <w:rPr>
          <w:rFonts w:hint="eastAsia" w:ascii="宋体" w:hAnsi="宋体" w:cs="宋体"/>
          <w:color w:val="auto"/>
          <w:sz w:val="24"/>
          <w:szCs w:val="24"/>
          <w:highlight w:val="none"/>
          <w:lang w:val="en-US" w:eastAsia="zh-CN"/>
        </w:rPr>
        <w:t>至少</w:t>
      </w:r>
      <w:r>
        <w:rPr>
          <w:rFonts w:hint="eastAsia" w:ascii="宋体" w:hAnsi="宋体" w:eastAsia="宋体" w:cs="宋体"/>
          <w:color w:val="auto"/>
          <w:sz w:val="24"/>
          <w:szCs w:val="24"/>
          <w:highlight w:val="none"/>
        </w:rPr>
        <w:t>8名专业礼仪人员、2名赛事主持人，负责赛事彩排、正式颁奖仪式全流程服务，规范仪式流程、现场秩序与仪式执行，保障颁奖流程庄重规范、标准统一。</w:t>
      </w:r>
    </w:p>
    <w:p w14:paraId="303E376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4" w:name="heading_10"/>
      <w:r>
        <w:rPr>
          <w:rFonts w:hint="eastAsia" w:ascii="宋体" w:hAnsi="宋体" w:eastAsia="宋体" w:cs="宋体"/>
          <w:b/>
          <w:color w:val="auto"/>
          <w:sz w:val="24"/>
          <w:szCs w:val="24"/>
          <w:highlight w:val="none"/>
        </w:rPr>
        <w:t>（五）志愿服务管理服务</w:t>
      </w:r>
      <w:bookmarkEnd w:id="54"/>
    </w:p>
    <w:p w14:paraId="566ED9F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5" w:name="heading_11"/>
      <w:r>
        <w:rPr>
          <w:rFonts w:hint="eastAsia" w:ascii="宋体" w:hAnsi="宋体" w:eastAsia="宋体" w:cs="宋体"/>
          <w:color w:val="auto"/>
          <w:sz w:val="24"/>
          <w:szCs w:val="24"/>
          <w:highlight w:val="none"/>
        </w:rPr>
        <w:t>1. 人员配置：足额配置30名赛事志愿者</w:t>
      </w:r>
      <w:r>
        <w:rPr>
          <w:rFonts w:hint="eastAsia" w:ascii="宋体" w:hAnsi="宋体" w:cs="宋体"/>
          <w:color w:val="auto"/>
          <w:sz w:val="24"/>
          <w:szCs w:val="24"/>
          <w:highlight w:val="none"/>
          <w:lang w:val="en-US" w:eastAsia="zh-CN"/>
        </w:rPr>
        <w:t>及工作人员</w:t>
      </w:r>
      <w:r>
        <w:rPr>
          <w:rFonts w:hint="eastAsia" w:ascii="宋体" w:hAnsi="宋体" w:eastAsia="宋体" w:cs="宋体"/>
          <w:color w:val="auto"/>
          <w:sz w:val="24"/>
          <w:szCs w:val="24"/>
          <w:highlight w:val="none"/>
        </w:rPr>
        <w:t>，按标准落实交通、误餐等综合补助，匹配赛事全程服务时长开展保障工作。</w:t>
      </w:r>
    </w:p>
    <w:p w14:paraId="300FBC9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岗前培训：赛前组织专项集中培训，覆盖岗位职责、服务规范、赛事礼仪、场地动线、安全纪律、应急处置、国际摔跤赛事基础规则等内容，开展模拟演练，考核合格后方可上岗。</w:t>
      </w:r>
    </w:p>
    <w:p w14:paraId="77B13C9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现场履职：统筹志愿者开展赛场引导、运动员检录协助、物资分发、候场秩序维护、后勤协助、信息对接、成绩辅助公示、赛场氛围维护等服务，全程落实考勤、纪律督导、岗位动态调度，保障赛事服务高效规范。</w:t>
      </w:r>
    </w:p>
    <w:p w14:paraId="3ACE039F">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台账管理：建立志愿者人员台账、考勤台账、服务台账，赛后完成志愿服务总结及资料归档工作。</w:t>
      </w:r>
    </w:p>
    <w:p w14:paraId="04CB3B1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（六）专业器材与系统租赁运维服务</w:t>
      </w:r>
      <w:bookmarkEnd w:id="55"/>
    </w:p>
    <w:p w14:paraId="644512D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6" w:name="heading_12"/>
      <w:r>
        <w:rPr>
          <w:rFonts w:hint="eastAsia" w:ascii="宋体" w:hAnsi="宋体" w:eastAsia="宋体" w:cs="宋体"/>
          <w:color w:val="auto"/>
          <w:sz w:val="24"/>
          <w:szCs w:val="24"/>
          <w:highlight w:val="none"/>
        </w:rPr>
        <w:t>1. 器材配置：本次赛事需租借的设备包括：55 寸液晶屏电视、大屏投影、编排组笔记本电脑、小型打印机、对讲机、广播音响系统、电子计时记分及录像回放系统、热身场地摔跤垫（含运费）、比赛高台等；配套采购的消耗品涵盖办公文具类、裁判竞赛用品类、电器及耗材类、医疗耗材类、清洁用品类以及赛风监督仲裁裁判长席、裁判员休息室、裁判员茶歇等功能区配套设施。</w:t>
      </w:r>
    </w:p>
    <w:p w14:paraId="60FBC1D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全流程运维：负责所有器材的统一运输、进场铺设安装、精准调试校准、赛中每日巡检维保、故障1小时内响应、2小时内维修更换、赛后拆卸清点运回，全程保障器材完好、安全、合规使用，适配赛前训练、赛事彩排及正式比赛全部执裁需求，无设备故障影响赛事开展情况。</w:t>
      </w:r>
    </w:p>
    <w:p w14:paraId="7573458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仿宋" w:hAnsi="仿宋" w:eastAsia="仿宋" w:cs="仿宋"/>
          <w:color w:val="auto"/>
          <w:sz w:val="32"/>
          <w:szCs w:val="32"/>
          <w:highlight w:val="none"/>
        </w:rPr>
      </w:pPr>
      <w:r>
        <w:rPr>
          <w:rFonts w:hint="eastAsia" w:ascii="宋体" w:hAnsi="宋体" w:eastAsia="宋体" w:cs="宋体"/>
          <w:color w:val="auto"/>
          <w:sz w:val="24"/>
          <w:szCs w:val="24"/>
          <w:highlight w:val="none"/>
        </w:rPr>
        <w:t>3. 物资保障：配齐赛事全部辅助耗材、执裁工具、标识物料、收纳物资、医疗应急物资、网络线材等，足额保障赛事全程使用，无短缺、无破损、无失效情况。</w:t>
      </w:r>
    </w:p>
    <w:p w14:paraId="2F30F6A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（七）成绩辅助统计服务</w:t>
      </w:r>
      <w:bookmarkEnd w:id="56"/>
    </w:p>
    <w:p w14:paraId="6259A25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组建专属成绩统计专项团队，全程配合赛事裁判组、技术组开展工作，严格按照国际摔跤竞赛规则，完成赛事成绩实时记录、精准核对、分类统计、汇总公示、归档留存全流程工作。及时更新赛事榜单，同步做好成绩复核、异议对接、数据溯源工作，确保赛事成绩真实、准确、规范。同步建立完整赛事数据台账，整理归档赛事成绩资料，为赛事总结、运动员评优、颁奖工作提供精准数据支撑。</w:t>
      </w:r>
    </w:p>
    <w:p w14:paraId="2AC6B266">
      <w:pPr>
        <w:keepNext w:val="0"/>
        <w:keepLines w:val="0"/>
        <w:pageBreakBefore w:val="0"/>
        <w:shd w:val="clear"/>
        <w:kinsoku/>
        <w:wordWrap/>
        <w:overflowPunct/>
        <w:topLinePunct w:val="0"/>
        <w:bidi w:val="0"/>
        <w:spacing w:line="440" w:lineRule="exact"/>
        <w:ind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四、服务质量与专项技术标准</w:t>
      </w:r>
      <w:bookmarkEnd w:id="50"/>
    </w:p>
    <w:p w14:paraId="1254CA4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bookmarkStart w:id="57" w:name="heading_16"/>
      <w:r>
        <w:rPr>
          <w:rFonts w:hint="eastAsia" w:ascii="宋体" w:hAnsi="宋体" w:eastAsia="宋体" w:cs="宋体"/>
          <w:color w:val="auto"/>
          <w:sz w:val="24"/>
          <w:szCs w:val="24"/>
          <w:highlight w:val="none"/>
          <w:lang w:val="en-US" w:eastAsia="en-US"/>
        </w:rPr>
        <w:t>（一）通用服务标准</w:t>
      </w:r>
      <w:bookmarkEnd w:id="57"/>
    </w:p>
    <w:p w14:paraId="2CA9210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赛事全流程服务流程规范、人员配置充足、响应及时高效，全程落实标准化服务管控。所有工作人员持证上岗、着装统一规范、服务专业严谨，全程杜绝服务投诉、工作失误及安全隐患，保障赛事平稳有序开展。</w:t>
      </w:r>
    </w:p>
    <w:p w14:paraId="155085C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bookmarkStart w:id="58" w:name="heading_17"/>
      <w:r>
        <w:rPr>
          <w:rFonts w:hint="eastAsia" w:ascii="宋体" w:hAnsi="宋体" w:eastAsia="宋体" w:cs="宋体"/>
          <w:color w:val="auto"/>
          <w:sz w:val="24"/>
          <w:szCs w:val="24"/>
          <w:highlight w:val="none"/>
          <w:lang w:val="en-US" w:eastAsia="en-US"/>
        </w:rPr>
        <w:t>（二）专项技术标准</w:t>
      </w:r>
      <w:bookmarkEnd w:id="58"/>
    </w:p>
    <w:p w14:paraId="46A140C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 计分与影像系统：国际摔跤专属电子计分、成绩处理、大屏显示、仲裁录像系统运行稳定流畅，数据传输实时精准，无卡顿、无数据偏差、无系统故障，完全满足专业赛事评分、仲裁申诉、赛事复盘的技术需求。</w:t>
      </w:r>
    </w:p>
    <w:p w14:paraId="451F3BD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 竞赛器材：所有租赁竞赛器材全部符合国际摔跤单项协会认证标准，规格尺寸、材质参数、安全性能完全达标。赛前完成全面检测校准，赛中每日专人巡检维保，适配高强度、多轮次赛事使用需求，摔跤垫、比赛高台、计分设备等核心器材全程完好合规。</w:t>
      </w:r>
    </w:p>
    <w:p w14:paraId="77A01A4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3. 场地设施：竞赛场地搭建规范牢固、标识清晰统一、功能分区合理，水电设施安全合规，赛场氛围布置标准化、专业化，完全贴合国际摔跤赛事竞赛场地技术标准。</w:t>
      </w:r>
    </w:p>
    <w:p w14:paraId="54C742E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bookmarkStart w:id="59" w:name="heading_18"/>
      <w:r>
        <w:rPr>
          <w:rFonts w:hint="eastAsia" w:ascii="宋体" w:hAnsi="宋体" w:eastAsia="宋体" w:cs="宋体"/>
          <w:color w:val="auto"/>
          <w:sz w:val="24"/>
          <w:szCs w:val="24"/>
          <w:highlight w:val="none"/>
          <w:lang w:val="en-US" w:eastAsia="en-US"/>
        </w:rPr>
        <w:t>（三）安全保障标准</w:t>
      </w:r>
      <w:bookmarkEnd w:id="59"/>
    </w:p>
    <w:p w14:paraId="6700EDA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严格落实赛事安全生产责任制，构建医疗、安保、场地、器材全维度安全管控体系，全面排查各类赛事安全隐患，杜绝安全事故、人员伤亡、设备故障等问题，全方位保障参赛人员、工作人员人身安全及赛事整体运行安全。重点强化摔跤对抗性赛事医疗保障，确保急救通道全程畅通、医疗物资齐备、应急处置及时高效。</w:t>
      </w:r>
    </w:p>
    <w:p w14:paraId="69305D56">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cs="宋体"/>
          <w:b/>
          <w:bCs/>
          <w:color w:val="auto"/>
          <w:spacing w:val="-3"/>
          <w:sz w:val="24"/>
          <w:szCs w:val="24"/>
          <w:highlight w:val="none"/>
          <w:lang w:val="en-US" w:eastAsia="zh-CN"/>
        </w:rPr>
      </w:pPr>
      <w:r>
        <w:rPr>
          <w:rFonts w:hint="eastAsia" w:ascii="宋体" w:hAnsi="宋体" w:cs="宋体"/>
          <w:b/>
          <w:bCs/>
          <w:color w:val="auto"/>
          <w:spacing w:val="-3"/>
          <w:sz w:val="24"/>
          <w:szCs w:val="24"/>
          <w:highlight w:val="none"/>
          <w:lang w:val="en-US" w:eastAsia="zh-CN"/>
        </w:rPr>
        <w:t>五、商务要求</w:t>
      </w:r>
    </w:p>
    <w:p w14:paraId="059F426F">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color w:val="auto"/>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一</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3"/>
          <w:sz w:val="24"/>
          <w:szCs w:val="24"/>
          <w:highlight w:val="none"/>
        </w:rPr>
        <w:t>合同签订期：</w:t>
      </w:r>
      <w:r>
        <w:rPr>
          <w:rFonts w:hint="eastAsia" w:ascii="宋体" w:hAnsi="宋体" w:eastAsia="宋体" w:cs="宋体"/>
          <w:color w:val="auto"/>
          <w:spacing w:val="-1"/>
          <w:sz w:val="24"/>
          <w:szCs w:val="24"/>
          <w:highlight w:val="none"/>
        </w:rPr>
        <w:t>自成交通知书发出之日起</w:t>
      </w:r>
      <w:r>
        <w:rPr>
          <w:rFonts w:hint="eastAsia" w:ascii="宋体" w:hAnsi="宋体" w:eastAsia="宋体" w:cs="宋体"/>
          <w:color w:val="auto"/>
          <w:spacing w:val="-1"/>
          <w:sz w:val="24"/>
          <w:szCs w:val="24"/>
          <w:highlight w:val="none"/>
          <w:lang w:val="en-US" w:eastAsia="zh-CN"/>
        </w:rPr>
        <w:t>25</w:t>
      </w:r>
      <w:r>
        <w:rPr>
          <w:rFonts w:hint="eastAsia" w:ascii="宋体" w:hAnsi="宋体" w:eastAsia="宋体" w:cs="宋体"/>
          <w:color w:val="auto"/>
          <w:spacing w:val="-1"/>
          <w:sz w:val="24"/>
          <w:szCs w:val="24"/>
          <w:highlight w:val="none"/>
        </w:rPr>
        <w:t>日内。</w:t>
      </w:r>
    </w:p>
    <w:p w14:paraId="7E3F2067">
      <w:pPr>
        <w:keepNext w:val="0"/>
        <w:keepLines w:val="0"/>
        <w:pageBreakBefore w:val="0"/>
        <w:widowControl w:val="0"/>
        <w:shd w:val="clear"/>
        <w:kinsoku/>
        <w:wordWrap/>
        <w:overflowPunct/>
        <w:topLinePunct w:val="0"/>
        <w:autoSpaceDE/>
        <w:autoSpaceDN/>
        <w:bidi w:val="0"/>
        <w:adjustRightInd w:val="0"/>
        <w:snapToGrid/>
        <w:spacing w:line="440" w:lineRule="exact"/>
        <w:ind w:left="0" w:leftChars="0" w:firstLine="470" w:firstLineChars="200"/>
        <w:textAlignment w:val="auto"/>
        <w:rPr>
          <w:rFonts w:hint="eastAsia" w:ascii="宋体" w:hAnsi="宋体" w:eastAsia="宋体" w:cs="宋体"/>
          <w:b/>
          <w:bCs/>
          <w:color w:val="auto"/>
          <w:spacing w:val="-3"/>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二</w:t>
      </w: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合同履行期限</w:t>
      </w:r>
      <w:r>
        <w:rPr>
          <w:rFonts w:hint="eastAsia" w:ascii="宋体" w:hAnsi="宋体" w:eastAsia="宋体" w:cs="宋体"/>
          <w:b/>
          <w:bCs/>
          <w:color w:val="auto"/>
          <w:spacing w:val="-3"/>
          <w:sz w:val="24"/>
          <w:szCs w:val="24"/>
          <w:highlight w:val="none"/>
        </w:rPr>
        <w:t>：</w:t>
      </w:r>
    </w:p>
    <w:p w14:paraId="41C41596">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 合同签订后3个工作日内：完成赛事细化执行方案、人员定岗、器材清单确认、场地运维方案、应急方案报备、各方对接等全部前期筹备工作。</w:t>
      </w:r>
    </w:p>
    <w:p w14:paraId="16D3E62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 赛事开赛3日前：完成场地整体搭建、专项器材进场安装调试、设备全维度校准检测、工作人员及志愿者岗前专项培训、全流程模拟演练、安全隐患排查整改，所有服务保障、场地设施、设备器材全部到位达标。</w:t>
      </w:r>
    </w:p>
    <w:p w14:paraId="7AEB70D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3. 9月14日—9月17日赛事期间：全程全员在岗，落实赛事运营、技术支撑、场地运维、后勤保障、志愿服务、安全管控、成绩统计等全部服务工作，实时高效处置各类突发问题，保障赛事平稳有序推进。</w:t>
      </w:r>
    </w:p>
    <w:p w14:paraId="3729C2D9">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4. 赛事结束后3个工作日内：完成场地全面复原、器材拆卸清点运回、物资盘点、台账整理、全套资料归档、工作总结、费用对接、问题整改等全部收尾工作。</w:t>
      </w:r>
    </w:p>
    <w:p w14:paraId="29DBF01D">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val="en-US" w:eastAsia="zh-CN"/>
        </w:rPr>
        <w:t>（三）服务</w:t>
      </w:r>
      <w:r>
        <w:rPr>
          <w:rFonts w:hint="eastAsia" w:ascii="宋体" w:hAnsi="宋体" w:eastAsia="宋体" w:cs="宋体"/>
          <w:b/>
          <w:bCs/>
          <w:color w:val="auto"/>
          <w:spacing w:val="-3"/>
          <w:sz w:val="24"/>
          <w:szCs w:val="24"/>
          <w:highlight w:val="none"/>
        </w:rPr>
        <w:t>地点：</w:t>
      </w:r>
      <w:r>
        <w:rPr>
          <w:rFonts w:hint="eastAsia" w:ascii="宋体" w:hAnsi="宋体" w:cs="宋体"/>
          <w:b w:val="0"/>
          <w:bCs/>
          <w:color w:val="auto"/>
          <w:kern w:val="0"/>
          <w:sz w:val="24"/>
          <w:szCs w:val="24"/>
          <w:highlight w:val="none"/>
          <w:lang w:val="en-US" w:eastAsia="zh-CN" w:bidi="ar"/>
        </w:rPr>
        <w:t>北海市体育馆</w:t>
      </w:r>
      <w:r>
        <w:rPr>
          <w:rFonts w:hint="eastAsia" w:ascii="宋体" w:hAnsi="宋体" w:eastAsia="宋体" w:cs="宋体"/>
          <w:b w:val="0"/>
          <w:bCs/>
          <w:color w:val="auto"/>
          <w:kern w:val="0"/>
          <w:sz w:val="24"/>
          <w:szCs w:val="24"/>
          <w:highlight w:val="none"/>
          <w:lang w:val="en-US" w:eastAsia="zh-CN" w:bidi="ar"/>
        </w:rPr>
        <w:t>。</w:t>
      </w:r>
    </w:p>
    <w:p w14:paraId="4FB4E9DD">
      <w:pPr>
        <w:pStyle w:val="23"/>
        <w:keepNext w:val="0"/>
        <w:keepLines w:val="0"/>
        <w:pageBreakBefore w:val="0"/>
        <w:shd w:val="clear"/>
        <w:kinsoku/>
        <w:wordWrap/>
        <w:overflowPunct/>
        <w:topLinePunct w:val="0"/>
        <w:bidi w:val="0"/>
        <w:spacing w:line="440" w:lineRule="exact"/>
        <w:ind w:leftChars="0" w:firstLine="470" w:firstLineChars="200"/>
        <w:rPr>
          <w:rFonts w:hint="eastAsia"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四</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4"/>
          <w:sz w:val="24"/>
          <w:szCs w:val="24"/>
          <w:highlight w:val="none"/>
          <w:lang w:val="en-US" w:eastAsia="zh-CN"/>
        </w:rPr>
        <w:t>报价</w:t>
      </w:r>
      <w:r>
        <w:rPr>
          <w:rFonts w:hint="eastAsia" w:ascii="宋体" w:hAnsi="宋体" w:eastAsia="宋体" w:cs="宋体"/>
          <w:b/>
          <w:bCs/>
          <w:color w:val="auto"/>
          <w:spacing w:val="-4"/>
          <w:sz w:val="24"/>
          <w:szCs w:val="24"/>
          <w:highlight w:val="none"/>
        </w:rPr>
        <w:t>要求：</w:t>
      </w:r>
      <w:r>
        <w:rPr>
          <w:rFonts w:hint="eastAsia" w:ascii="宋体" w:hAnsi="宋体" w:eastAsia="宋体" w:cs="宋体"/>
          <w:b w:val="0"/>
          <w:bCs/>
          <w:color w:val="auto"/>
          <w:sz w:val="24"/>
          <w:szCs w:val="24"/>
          <w:highlight w:val="none"/>
        </w:rPr>
        <w:t>本项目的政府采购预算为人民</w:t>
      </w:r>
      <w:r>
        <w:rPr>
          <w:rFonts w:hint="eastAsia" w:ascii="宋体" w:hAnsi="宋体" w:eastAsia="宋体" w:cs="宋体"/>
          <w:b w:val="0"/>
          <w:bCs/>
          <w:color w:val="auto"/>
          <w:sz w:val="24"/>
          <w:szCs w:val="24"/>
          <w:highlight w:val="none"/>
          <w:lang w:val="en-US" w:eastAsia="zh-CN"/>
        </w:rPr>
        <w:t>币</w:t>
      </w:r>
      <w:r>
        <w:rPr>
          <w:rFonts w:hint="eastAsia" w:ascii="宋体" w:hAnsi="宋体" w:cs="宋体"/>
          <w:b w:val="0"/>
          <w:bCs/>
          <w:color w:val="auto"/>
          <w:sz w:val="24"/>
          <w:szCs w:val="24"/>
          <w:highlight w:val="none"/>
          <w:lang w:val="en-US" w:eastAsia="zh-CN"/>
        </w:rPr>
        <w:t>壹佰捌拾柒万捌仟玖佰肆拾元零角零分</w:t>
      </w:r>
      <w:r>
        <w:rPr>
          <w:rFonts w:hint="eastAsia" w:ascii="宋体" w:hAnsi="宋体" w:eastAsia="宋体" w:cs="宋体"/>
          <w:b w:val="0"/>
          <w:bCs/>
          <w:color w:val="auto"/>
          <w:sz w:val="24"/>
          <w:szCs w:val="24"/>
          <w:highlight w:val="none"/>
        </w:rPr>
        <w:t>（¥1878940.00元）</w:t>
      </w:r>
      <w:r>
        <w:rPr>
          <w:rFonts w:hint="eastAsia" w:ascii="Times New Roman" w:hAnsi="Times New Roman" w:eastAsia="宋体" w:cs="Times New Roman"/>
          <w:b w:val="0"/>
          <w:bCs w:val="0"/>
          <w:color w:val="auto"/>
          <w:sz w:val="24"/>
          <w:szCs w:val="24"/>
          <w:highlight w:val="none"/>
          <w:lang w:val="en-US" w:eastAsia="zh-CN"/>
        </w:rPr>
        <w:t>。</w:t>
      </w:r>
      <w:r>
        <w:rPr>
          <w:rFonts w:ascii="宋体" w:hAnsi="宋体" w:eastAsia="宋体" w:cs="宋体"/>
          <w:color w:val="auto"/>
          <w:sz w:val="24"/>
          <w:szCs w:val="24"/>
          <w:highlight w:val="none"/>
        </w:rPr>
        <w:t>报价为全包价，包含参赛及赛事相关人员食宿、各类人员劳务补贴、差旅补贴、市内交通接驳、场地搭建、场地租赁、水电运维、专业竞赛器材租赁、电子计时记分与录像回放系统运维、志愿服务补助、宣传氛围物料、办公后勤物资、赛事耗材、医疗安保保障、颁奖礼仪及主持人劳务、网络布线、数据存储设备购置租赁等全部履约费用，采购人不另行支付任何新增费用，资金专项专用、合规列支，无额外财政追加资金</w:t>
      </w:r>
      <w:r>
        <w:rPr>
          <w:rFonts w:hint="eastAsia" w:ascii="宋体" w:hAnsi="宋体" w:eastAsia="宋体" w:cs="宋体"/>
          <w:color w:val="auto"/>
          <w:sz w:val="24"/>
          <w:szCs w:val="24"/>
          <w:highlight w:val="none"/>
          <w:lang w:eastAsia="zh-CN"/>
        </w:rPr>
        <w:t>。</w:t>
      </w:r>
    </w:p>
    <w:p w14:paraId="0879985D">
      <w:pPr>
        <w:keepNext w:val="0"/>
        <w:keepLines w:val="0"/>
        <w:pageBreakBefore w:val="0"/>
        <w:shd w:val="clear"/>
        <w:kinsoku/>
        <w:wordWrap/>
        <w:overflowPunct/>
        <w:topLinePunct w:val="0"/>
        <w:bidi w:val="0"/>
        <w:spacing w:line="440" w:lineRule="exact"/>
        <w:ind w:leftChars="0"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（五）付款方式</w:t>
      </w:r>
    </w:p>
    <w:p w14:paraId="1CF1837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签订合同后，五个工作日内支付</w:t>
      </w:r>
      <w:r>
        <w:rPr>
          <w:rFonts w:hint="eastAsia" w:ascii="宋体" w:hAnsi="宋体" w:cs="宋体"/>
          <w:b w:val="0"/>
          <w:bCs/>
          <w:color w:val="auto"/>
          <w:kern w:val="0"/>
          <w:sz w:val="24"/>
          <w:szCs w:val="24"/>
          <w:highlight w:val="none"/>
          <w:lang w:val="en-US" w:eastAsia="zh-CN" w:bidi="ar"/>
        </w:rPr>
        <w:t>合同金额的30%</w:t>
      </w:r>
      <w:r>
        <w:rPr>
          <w:rFonts w:hint="eastAsia" w:ascii="宋体" w:hAnsi="宋体" w:eastAsia="宋体" w:cs="宋体"/>
          <w:b w:val="0"/>
          <w:bCs/>
          <w:color w:val="auto"/>
          <w:kern w:val="0"/>
          <w:sz w:val="24"/>
          <w:szCs w:val="24"/>
          <w:highlight w:val="none"/>
          <w:lang w:val="en-US" w:eastAsia="zh-CN" w:bidi="ar"/>
        </w:rPr>
        <w:t>，履约完成并通过验收，支付合同余款。本项目使用财政资金，所有资金的支付以财政资金</w:t>
      </w:r>
      <w:r>
        <w:rPr>
          <w:rFonts w:hint="eastAsia" w:ascii="宋体" w:hAnsi="宋体" w:cs="宋体"/>
          <w:b w:val="0"/>
          <w:bCs/>
          <w:color w:val="auto"/>
          <w:kern w:val="0"/>
          <w:sz w:val="24"/>
          <w:szCs w:val="24"/>
          <w:highlight w:val="none"/>
          <w:lang w:val="en-US" w:eastAsia="zh-CN" w:bidi="ar"/>
        </w:rPr>
        <w:t>拨付</w:t>
      </w:r>
      <w:r>
        <w:rPr>
          <w:rFonts w:hint="eastAsia" w:ascii="宋体" w:hAnsi="宋体" w:eastAsia="宋体" w:cs="宋体"/>
          <w:b w:val="0"/>
          <w:bCs/>
          <w:color w:val="auto"/>
          <w:kern w:val="0"/>
          <w:sz w:val="24"/>
          <w:szCs w:val="24"/>
          <w:highlight w:val="none"/>
          <w:lang w:val="en-US" w:eastAsia="zh-CN" w:bidi="ar"/>
        </w:rPr>
        <w:t>到位为准。</w:t>
      </w:r>
    </w:p>
    <w:p w14:paraId="2F28C4B0">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（六）验收标准</w:t>
      </w:r>
    </w:p>
    <w:p w14:paraId="6500B467">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服务全覆盖：完整履行本采购需求全部服务内容，无缺项、漏项、降标、脱岗情况，全流程工作节点按时保质完成，各项服务落地到位。</w:t>
      </w:r>
    </w:p>
    <w:p w14:paraId="497BCC9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质量全达标：赛事运行规范有序、安全稳定，无安全事故、无重大工作失误、无负面舆情，技术系统、器材设备、场地保障、医疗安保、后勤服务、志愿服务全部符合国际摔跤专项赛事标准及省级办赛规范。</w:t>
      </w:r>
    </w:p>
    <w:p w14:paraId="509ACA5D">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资料全归档：赛事工作台账、劳务台账、物资台账、数据报表、影像资料、执行方案、总结报告、成绩资料、申诉复核记录等全套资料完整、规范、真实，完全符合赛事归档及验收要求。</w:t>
      </w:r>
    </w:p>
    <w:p w14:paraId="45511331">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场地全复原：赛事竞赛场地、功能区域、配套设施全部清洁复原、完好无损，无杂物遗留、无设施损坏，圆满完成场地交接。</w:t>
      </w:r>
    </w:p>
    <w:p w14:paraId="4A661B2F">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5. 综合验收合格：通过</w:t>
      </w:r>
      <w:r>
        <w:rPr>
          <w:rFonts w:hint="eastAsia" w:ascii="宋体" w:hAnsi="宋体" w:cs="宋体"/>
          <w:b w:val="0"/>
          <w:bCs/>
          <w:color w:val="auto"/>
          <w:kern w:val="0"/>
          <w:sz w:val="24"/>
          <w:szCs w:val="24"/>
          <w:highlight w:val="none"/>
          <w:lang w:val="en-US" w:eastAsia="zh-CN" w:bidi="ar"/>
        </w:rPr>
        <w:t>赛事</w:t>
      </w:r>
      <w:r>
        <w:rPr>
          <w:rFonts w:hint="eastAsia" w:ascii="宋体" w:hAnsi="宋体" w:eastAsia="宋体" w:cs="宋体"/>
          <w:b w:val="0"/>
          <w:bCs/>
          <w:color w:val="auto"/>
          <w:kern w:val="0"/>
          <w:sz w:val="24"/>
          <w:szCs w:val="24"/>
          <w:highlight w:val="none"/>
          <w:lang w:val="en-US" w:eastAsia="zh-CN" w:bidi="ar"/>
        </w:rPr>
        <w:t>组委会</w:t>
      </w:r>
      <w:r>
        <w:rPr>
          <w:rFonts w:hint="eastAsia" w:ascii="宋体" w:hAnsi="宋体" w:cs="宋体"/>
          <w:b w:val="0"/>
          <w:bCs/>
          <w:color w:val="auto"/>
          <w:kern w:val="0"/>
          <w:sz w:val="24"/>
          <w:szCs w:val="24"/>
          <w:highlight w:val="none"/>
          <w:lang w:val="en-US" w:eastAsia="zh-CN" w:bidi="ar"/>
        </w:rPr>
        <w:t>及</w:t>
      </w:r>
      <w:r>
        <w:rPr>
          <w:rFonts w:hint="eastAsia" w:ascii="宋体" w:hAnsi="宋体" w:eastAsia="宋体" w:cs="宋体"/>
          <w:b w:val="0"/>
          <w:bCs/>
          <w:color w:val="auto"/>
          <w:kern w:val="0"/>
          <w:sz w:val="24"/>
          <w:szCs w:val="24"/>
          <w:highlight w:val="none"/>
          <w:lang w:val="en-US" w:eastAsia="zh-CN" w:bidi="ar"/>
        </w:rPr>
        <w:t>采购人联合闭环验收，验收合格后方可办理结算手续。</w:t>
      </w:r>
    </w:p>
    <w:p w14:paraId="342B9F70">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（七）售后服务与履约保障</w:t>
      </w:r>
    </w:p>
    <w:p w14:paraId="0DD43B3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24小时值守保障：赛事全程设立专属服务团队，专人24小时对接组委会、裁判组、参赛队伍，快速响应各类服务、技术、保障需求。</w:t>
      </w:r>
    </w:p>
    <w:p w14:paraId="488AC22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设备质保响应：所有租赁器材、技术设备、办公设备出现故障、损坏、精度不达标等问题，1小时内响应、2小时内完成维修或更换，严禁设备问题影响赛事赛程。</w:t>
      </w:r>
    </w:p>
    <w:p w14:paraId="71604242">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 xml:space="preserve">3. 售后闭环兜底：赛事全部结束后，无条件配合完成资料归档、数据汇总、经费核算、项目验收结算，针对服务瑕疵、质量问题无条件限期整改，确保100%履约达标。  </w:t>
      </w:r>
    </w:p>
    <w:p w14:paraId="749F1536">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（八）其他要求</w:t>
      </w:r>
    </w:p>
    <w:p w14:paraId="3CEE0E9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供应商全程承担赛事人员、设备、场地、运行的全部安全责任、舆情责任、履约责任，出现违规、失误、安全事故，全权承担全部损失及相关法律责任。</w:t>
      </w:r>
    </w:p>
    <w:p w14:paraId="16458236">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供应商须无条件服从采购人及赛事组委会临时工作调整、应急部署、整改要求，全力保障赛事圆满举办。</w:t>
      </w:r>
    </w:p>
    <w:p w14:paraId="18EBC5F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（九）人员要求</w:t>
      </w:r>
    </w:p>
    <w:p w14:paraId="4C5C67F2">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bookmarkStart w:id="60" w:name="_Toc20242"/>
      <w:r>
        <w:rPr>
          <w:rFonts w:hint="eastAsia" w:ascii="宋体" w:hAnsi="宋体" w:eastAsia="宋体" w:cs="宋体"/>
          <w:b w:val="0"/>
          <w:bCs/>
          <w:color w:val="auto"/>
          <w:kern w:val="0"/>
          <w:sz w:val="24"/>
          <w:szCs w:val="24"/>
          <w:highlight w:val="none"/>
          <w:lang w:val="en-US" w:eastAsia="zh-CN" w:bidi="ar"/>
        </w:rPr>
        <w:t>1. 项目负责人要求：供应商须配备1名全职专属项目负责人，赛事全程驻场，全权负责本项目全流程统筹协调、人员调度、问题处置，确保各项工作按要求落地。</w:t>
      </w:r>
    </w:p>
    <w:p w14:paraId="7D8A5419">
      <w:pPr>
        <w:keepNext w:val="0"/>
        <w:keepLines w:val="0"/>
        <w:pageBreakBefore w:val="0"/>
        <w:shd w:val="clear"/>
        <w:kinsoku/>
        <w:wordWrap/>
        <w:overflowPunct/>
        <w:topLinePunct w:val="0"/>
        <w:bidi w:val="0"/>
        <w:spacing w:line="440" w:lineRule="exact"/>
        <w:ind w:leftChars="0" w:firstLine="480" w:firstLineChars="200"/>
        <w:rPr>
          <w:rFonts w:hint="eastAsia" w:cs="仿宋_GB2312" w:asciiTheme="minorEastAsia" w:hAnsiTheme="minorEastAsia" w:eastAsiaTheme="minorEastAsia"/>
          <w:b/>
          <w:color w:val="auto"/>
          <w:sz w:val="36"/>
          <w:szCs w:val="36"/>
          <w:highlight w:val="none"/>
        </w:rPr>
      </w:pPr>
      <w:r>
        <w:rPr>
          <w:rFonts w:hint="eastAsia" w:ascii="宋体" w:hAnsi="宋体" w:eastAsia="宋体" w:cs="宋体"/>
          <w:b w:val="0"/>
          <w:bCs/>
          <w:color w:val="auto"/>
          <w:kern w:val="0"/>
          <w:sz w:val="24"/>
          <w:szCs w:val="24"/>
          <w:highlight w:val="none"/>
          <w:lang w:val="en-US" w:eastAsia="zh-CN" w:bidi="ar"/>
        </w:rPr>
        <w:t>2. 专项团队配置要求：按核心运营、技术保障、场地运维、志愿服务、后勤保障模块配置专项人员，熟悉</w:t>
      </w:r>
      <w:r>
        <w:rPr>
          <w:rFonts w:hint="eastAsia" w:ascii="宋体" w:hAnsi="宋体" w:cs="宋体"/>
          <w:b w:val="0"/>
          <w:bCs/>
          <w:color w:val="auto"/>
          <w:kern w:val="0"/>
          <w:sz w:val="24"/>
          <w:szCs w:val="24"/>
          <w:highlight w:val="none"/>
          <w:lang w:val="en-US" w:eastAsia="zh-CN" w:bidi="ar"/>
        </w:rPr>
        <w:t>体育</w:t>
      </w:r>
      <w:r>
        <w:rPr>
          <w:rFonts w:hint="eastAsia" w:ascii="宋体" w:hAnsi="宋体" w:eastAsia="宋体" w:cs="宋体"/>
          <w:b w:val="0"/>
          <w:bCs/>
          <w:color w:val="auto"/>
          <w:kern w:val="0"/>
          <w:sz w:val="24"/>
          <w:szCs w:val="24"/>
          <w:highlight w:val="none"/>
          <w:lang w:val="en-US" w:eastAsia="zh-CN" w:bidi="ar"/>
        </w:rPr>
        <w:t>赛事办赛流程与相关要求。</w:t>
      </w:r>
      <w:r>
        <w:rPr>
          <w:rFonts w:hint="eastAsia" w:cs="仿宋_GB2312" w:asciiTheme="minorEastAsia" w:hAnsiTheme="minorEastAsia" w:eastAsiaTheme="minorEastAsia"/>
          <w:b/>
          <w:color w:val="auto"/>
          <w:sz w:val="36"/>
          <w:szCs w:val="36"/>
          <w:highlight w:val="none"/>
        </w:rPr>
        <w:br w:type="page"/>
      </w:r>
    </w:p>
    <w:p w14:paraId="4A380574">
      <w:pPr>
        <w:shd w:val="clea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61" w:name="第四部分"/>
      <w:r>
        <w:rPr>
          <w:rFonts w:hint="eastAsia" w:cs="仿宋_GB2312" w:asciiTheme="minorEastAsia" w:hAnsiTheme="minorEastAsia" w:eastAsiaTheme="minorEastAsia"/>
          <w:b/>
          <w:color w:val="auto"/>
          <w:sz w:val="36"/>
          <w:szCs w:val="36"/>
          <w:highlight w:val="none"/>
        </w:rPr>
        <w:t>评审方法及评审标准</w:t>
      </w:r>
      <w:bookmarkEnd w:id="60"/>
    </w:p>
    <w:p w14:paraId="23107771">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32092BCA">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4C5FD13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18C514F">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3CBB8D6A">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4A442F66">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6E636D9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21ECEA4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1C2DB76C">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6D6365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56592ED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2AC233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A78B25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4C68A19C">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0EECB8F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533FEE7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B7BFAF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868F52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647FF82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29E14B3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05F0F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3414A02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161AA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53701C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37D70B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1190228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7346D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64C57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3CAA521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0ADCE043">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02C8A70E">
      <w:pPr>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lang w:val="en-US" w:eastAsia="zh-CN"/>
        </w:rPr>
        <w:t>2.5.1</w:t>
      </w:r>
      <w:r>
        <w:rPr>
          <w:rFonts w:hint="eastAsia" w:cs="仿宋_GB2312" w:asciiTheme="minorEastAsia" w:hAnsiTheme="minorEastAsia" w:eastAsiaTheme="minorEastAsia"/>
          <w:color w:val="auto"/>
          <w:sz w:val="24"/>
          <w:szCs w:val="24"/>
          <w:highlight w:val="none"/>
        </w:rPr>
        <w:t>单位负责人为同一人或者存在直接控股、管理关系的不同供应商参加同一合同项下的政府采购活动的（均无效）；</w:t>
      </w:r>
    </w:p>
    <w:p w14:paraId="55A8D82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2.5.2</w:t>
      </w:r>
      <w:r>
        <w:rPr>
          <w:rFonts w:hint="eastAsia" w:asciiTheme="minorEastAsia" w:hAnsiTheme="minorEastAsia" w:eastAsiaTheme="minorEastAsia"/>
          <w:color w:val="auto"/>
          <w:sz w:val="24"/>
          <w:szCs w:val="24"/>
          <w:highlight w:val="none"/>
        </w:rPr>
        <w:t xml:space="preserve">为采购项目提供整体设计、规范编制或者项目管理、监理、检测等服务的供应商再参加该采购项目的其他采购活动的； </w:t>
      </w:r>
    </w:p>
    <w:p w14:paraId="6E8183C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2.5.3</w:t>
      </w:r>
      <w:r>
        <w:rPr>
          <w:rFonts w:hint="eastAsia" w:asciiTheme="minorEastAsia" w:hAnsiTheme="minorEastAsia" w:eastAsiaTheme="minorEastAsia"/>
          <w:color w:val="auto"/>
          <w:sz w:val="24"/>
          <w:szCs w:val="24"/>
          <w:highlight w:val="none"/>
        </w:rPr>
        <w:t>供应商不具备磋商文件中规定的资格要求的（供应商未提供有效的资格证明文件的，视为供应商不具备磋商文件中规定的资格要求）；</w:t>
      </w:r>
    </w:p>
    <w:p w14:paraId="7628963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2.5.4</w:t>
      </w:r>
      <w:r>
        <w:rPr>
          <w:rFonts w:hint="eastAsia" w:asciiTheme="minorEastAsia" w:hAnsiTheme="minorEastAsia" w:eastAsiaTheme="minorEastAsia"/>
          <w:color w:val="auto"/>
          <w:sz w:val="24"/>
          <w:szCs w:val="24"/>
          <w:highlight w:val="none"/>
        </w:rPr>
        <w:t>如以联合体形式参加政府采购活动的，联合协议不符合磋商文件规定的联合协议要求的；</w:t>
      </w:r>
    </w:p>
    <w:p w14:paraId="54E386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.5响应文件未按磋商文件的澄清、修改的内容编制，又不符合实质性要求的；</w:t>
      </w:r>
    </w:p>
    <w:p w14:paraId="0E9A544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.6响应文件组成漏项，内容不全或内容字迹模糊辨认不清的；</w:t>
      </w:r>
    </w:p>
    <w:p w14:paraId="16B8D31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.7响应文件中法人授权书所载内容与本项目内容有异的；</w:t>
      </w:r>
    </w:p>
    <w:p w14:paraId="78E727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.8响应文件未按照磋商文件要求签署、盖章的；</w:t>
      </w:r>
    </w:p>
    <w:p w14:paraId="3C147C9F">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.9</w:t>
      </w:r>
      <w:r>
        <w:rPr>
          <w:rFonts w:hint="eastAsia" w:ascii="宋体" w:hAnsi="宋体" w:cs="宋体"/>
          <w:color w:val="auto"/>
          <w:kern w:val="0"/>
          <w:sz w:val="24"/>
          <w:szCs w:val="24"/>
          <w:highlight w:val="none"/>
        </w:rPr>
        <w:t>采购人拟采购的产品属于政府强制采购的节能产品品目清单范围的，供应商相应的响应产品未获得国家确定的认证机构出具的、处于有效期之内的节能产品认证证书的；</w:t>
      </w:r>
    </w:p>
    <w:p w14:paraId="458001F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.10响应文件含有采购人不能接受的附加条件的；</w:t>
      </w:r>
    </w:p>
    <w:p w14:paraId="06F8D3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.11响应文件中承诺的响应有效期少于磋商文件中载明的响应有效期的；</w:t>
      </w:r>
    </w:p>
    <w:p w14:paraId="56ABC13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.12供应商所投内容不符合磋商文件中实质性要求的；</w:t>
      </w:r>
    </w:p>
    <w:p w14:paraId="0FE8EC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.13所提交的《最后报价一览表》中出现不是唯一的、有选择性的报价的;</w:t>
      </w:r>
    </w:p>
    <w:p w14:paraId="042B77F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.14最后报价高于本项目采购预算或者最高限价的;</w:t>
      </w:r>
    </w:p>
    <w:p w14:paraId="07FA6227">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.15《最后报价一览表》填写不完整或字迹不能辨认或有漏项的；</w:t>
      </w:r>
    </w:p>
    <w:p w14:paraId="3E2AF67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.16供应商对根据修正原则修正后的最后报价不确认的；</w:t>
      </w:r>
    </w:p>
    <w:p w14:paraId="38DEA04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.17供应商提供虚假材料响应的（包括但不限于以下情节）；</w:t>
      </w:r>
    </w:p>
    <w:p w14:paraId="56A88B6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使用伪造、变造的许可证件；</w:t>
      </w:r>
    </w:p>
    <w:p w14:paraId="7C489FCB">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提供虚假的财务状况或者业绩；</w:t>
      </w:r>
    </w:p>
    <w:p w14:paraId="77272DE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提供虚假的项目负责人或者主要技术人员简历、劳动关系证明；</w:t>
      </w:r>
    </w:p>
    <w:p w14:paraId="2ECCC338">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提供虚假的信用状况；</w:t>
      </w:r>
    </w:p>
    <w:p w14:paraId="5A4CC85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其他弄虚作假的行为。</w:t>
      </w:r>
    </w:p>
    <w:p w14:paraId="5F31D289">
      <w:pPr>
        <w:shd w:val="clear"/>
        <w:spacing w:line="360" w:lineRule="auto"/>
        <w:ind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.18供应商有恶意串通、妨碍其他供应商的竞争行为、损害采购人或者其他供应商的合法权益情形的。有下列情形之一的，属于或视为恶意串通，其响应无效：</w:t>
      </w:r>
    </w:p>
    <w:p w14:paraId="46ED506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供应商直接或者间接从采购人或者采购代理机构处获得其他供应商的相关情况并修改其响应文件；</w:t>
      </w:r>
    </w:p>
    <w:p w14:paraId="4BF8AC4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供应商按照采购人或者采购代理机构的授意撤换、修改投标文件或者响应文件；</w:t>
      </w:r>
    </w:p>
    <w:p w14:paraId="42FDD69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供应商之间协商报价、技术方案等投标文件或者响应文件的实质性内容；</w:t>
      </w:r>
    </w:p>
    <w:p w14:paraId="44016EB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属于同一集团、协会、商会等组织成员的供应商按照该组织要求协同参加政府采购活动；</w:t>
      </w:r>
    </w:p>
    <w:p w14:paraId="0FDC2471">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供应商之间事先约定由某一特定供应商中标、成交；</w:t>
      </w:r>
    </w:p>
    <w:p w14:paraId="1F12A24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供应商之间商定部分供应商放弃参加政府采购活动或者放弃中标、成交；</w:t>
      </w:r>
    </w:p>
    <w:p w14:paraId="2D8DD20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7）</w:t>
      </w:r>
      <w:r>
        <w:rPr>
          <w:rFonts w:hint="eastAsia" w:asciiTheme="minorEastAsia" w:hAnsiTheme="minorEastAsia" w:eastAsiaTheme="minorEastAsia"/>
          <w:color w:val="auto"/>
          <w:sz w:val="24"/>
          <w:szCs w:val="24"/>
          <w:highlight w:val="none"/>
        </w:rPr>
        <w:t>供应商与采购人或者采购代理机构之间、供应商相互之间，为谋求特定供应商中标、成交或者排斥其他供应商的其他串通行为。</w:t>
      </w:r>
    </w:p>
    <w:p w14:paraId="682553A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不同供应商的响应文件由同一单位或者个人编制；</w:t>
      </w:r>
    </w:p>
    <w:p w14:paraId="3D3E77B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不同供应商委托同一单位或者个人办理响应事宜；</w:t>
      </w:r>
    </w:p>
    <w:p w14:paraId="0979995C">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不同供应商的响应文件载明的项目管理成员或者联系人员为同一人；</w:t>
      </w:r>
    </w:p>
    <w:p w14:paraId="628E7015">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不同供应商的响应文件异常一致或者最后报价呈规律性差异。</w:t>
      </w:r>
    </w:p>
    <w:p w14:paraId="18127AE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.19供应商仅提交备份响应文件，没有在电子交易平台传输提交响应文件的，响应无效；</w:t>
      </w:r>
    </w:p>
    <w:p w14:paraId="197F848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.20法律、法规、规章及省级以上规范性文件规定的其他无效情形。</w:t>
      </w:r>
    </w:p>
    <w:p w14:paraId="5EF3D06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716CC2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2FF2FA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F6A8B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53CE07D">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1553047">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6477F0ED">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07DE17D2">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AA98B0">
      <w:pPr>
        <w:keepNext w:val="0"/>
        <w:keepLines w:val="0"/>
        <w:pageBreakBefore w:val="0"/>
        <w:shd w:val="clear"/>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733D12CA">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59EF40C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61703B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161E56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7EE57E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D86E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4E24239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625F275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085321B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628E51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1D51835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4333A92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02C6398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1B7370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121B2D0E">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4CF375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4F077B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4417B8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6D383EF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3F053B2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2C67871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5FAEA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249ED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3DC5E5">
      <w:pPr>
        <w:pStyle w:val="23"/>
        <w:shd w:val="clear"/>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7590A95C">
      <w:pPr>
        <w:shd w:val="clear"/>
        <w:snapToGrid w:val="0"/>
        <w:spacing w:line="360" w:lineRule="auto"/>
        <w:jc w:val="left"/>
        <w:outlineLvl w:val="1"/>
        <w:rPr>
          <w:rFonts w:hint="eastAsia" w:ascii="宋体" w:hAnsi="宋体" w:cs="宋体"/>
          <w:b/>
          <w:color w:val="auto"/>
          <w:sz w:val="24"/>
          <w:szCs w:val="24"/>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047"/>
        <w:gridCol w:w="6786"/>
        <w:gridCol w:w="815"/>
      </w:tblGrid>
      <w:tr w14:paraId="6FF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75D7B4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211C7C3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655" w:type="pct"/>
            <w:vAlign w:val="center"/>
          </w:tcPr>
          <w:p w14:paraId="0B25467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439" w:type="pct"/>
            <w:vAlign w:val="center"/>
          </w:tcPr>
          <w:p w14:paraId="79C73DA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1E7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1309077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13694C2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655" w:type="pct"/>
            <w:vAlign w:val="top"/>
          </w:tcPr>
          <w:p w14:paraId="2A58285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价格分：</w:t>
            </w:r>
          </w:p>
          <w:p w14:paraId="31E86CC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（1）评审价为供应商的最后报价，最终成交供应商的成交金额等于最后报价（如有修正，以确认修正后的最后报价为准）。</w:t>
            </w:r>
          </w:p>
          <w:p w14:paraId="3F34D57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w:t>
            </w:r>
            <w:r>
              <w:rPr>
                <w:rFonts w:hint="eastAsia" w:ascii="宋体" w:hAnsi="宋体" w:cs="宋体"/>
                <w:bCs/>
                <w:color w:val="auto"/>
                <w:sz w:val="24"/>
                <w:szCs w:val="24"/>
                <w:highlight w:val="none"/>
                <w:lang w:val="en-US" w:eastAsia="zh-CN"/>
              </w:rPr>
              <w:t>本项目为</w:t>
            </w:r>
            <w:r>
              <w:rPr>
                <w:rFonts w:hint="eastAsia" w:ascii="宋体" w:hAnsi="宋体" w:eastAsia="宋体" w:cs="宋体"/>
                <w:bCs/>
                <w:color w:val="auto"/>
                <w:sz w:val="24"/>
                <w:szCs w:val="24"/>
                <w:highlight w:val="none"/>
                <w:lang w:eastAsia="zh-CN"/>
              </w:rPr>
              <w:t>专门面向中小企业采购的政府采购项目</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供应商不再重复享受价格折扣</w:t>
            </w:r>
            <w:r>
              <w:rPr>
                <w:rFonts w:hint="eastAsia" w:ascii="宋体" w:hAnsi="宋体" w:eastAsia="宋体" w:cs="宋体"/>
                <w:bCs/>
                <w:color w:val="auto"/>
                <w:sz w:val="24"/>
                <w:szCs w:val="24"/>
                <w:highlight w:val="none"/>
                <w:lang w:eastAsia="zh-CN"/>
              </w:rPr>
              <w:t>。</w:t>
            </w:r>
          </w:p>
          <w:p w14:paraId="0B1C84E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）有效磋商报价的最低价作为评标基准价，其最低报价为满分；按［磋商报价得分=（磋商基准价/磋商报价）*10］的计算公式计算。</w:t>
            </w:r>
          </w:p>
          <w:p w14:paraId="650AC817">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评审过程中，不得去掉报价中的最高报价和最低报价。</w:t>
            </w:r>
          </w:p>
          <w:p w14:paraId="5AF8B23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）异常低价审查处理</w:t>
            </w:r>
          </w:p>
          <w:p w14:paraId="1752F3E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①政府采购评审中出现下列情形之一的，磋商小组应当启动异常低价投标（响应）审查程序：</w:t>
            </w:r>
          </w:p>
          <w:p w14:paraId="658526D2">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A.响应报价低于全部通过符合性审查供应商响应报价平均值65%的，即响应报价＜全部通过符合性审查供应商响应报价平均值×65%；</w:t>
            </w:r>
          </w:p>
          <w:p w14:paraId="7CB18DD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B.响应报价低于通过符合性审查且报价次低供应商响应报价65%的，即响应报价＜通过符合性审查且报价次低供应商响应报价×65%；</w:t>
            </w:r>
          </w:p>
          <w:p w14:paraId="6D99B0D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C.响应报价低于采购项目最高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65%的，即响应</w:t>
            </w:r>
            <w:r>
              <w:rPr>
                <w:rFonts w:hint="eastAsia" w:ascii="宋体" w:hAnsi="宋体" w:cs="宋体"/>
                <w:bCs/>
                <w:color w:val="auto"/>
                <w:sz w:val="24"/>
                <w:szCs w:val="24"/>
                <w:highlight w:val="none"/>
                <w:lang w:val="en-US" w:eastAsia="zh-CN"/>
              </w:rPr>
              <w:t>单价报价</w:t>
            </w:r>
            <w:r>
              <w:rPr>
                <w:rFonts w:hint="eastAsia" w:ascii="宋体" w:hAnsi="宋体" w:eastAsia="宋体" w:cs="宋体"/>
                <w:bCs/>
                <w:color w:val="auto"/>
                <w:sz w:val="24"/>
                <w:szCs w:val="24"/>
                <w:highlight w:val="none"/>
                <w:lang w:eastAsia="zh-CN"/>
              </w:rPr>
              <w:t>＜采购项目最高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w:t>
            </w:r>
          </w:p>
          <w:p w14:paraId="1C80C87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D.其他磋商小组认为供应商报价过低，有可能影响产品质量或者不能诚信履约的情形。</w:t>
            </w:r>
          </w:p>
          <w:p w14:paraId="1CAF030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②审查工作流程：</w:t>
            </w:r>
          </w:p>
          <w:p w14:paraId="3F3B36AC">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4B529028">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Cs/>
                <w:color w:val="auto"/>
                <w:sz w:val="24"/>
                <w:szCs w:val="24"/>
                <w:highlight w:val="none"/>
                <w:u w:val="single"/>
              </w:rPr>
            </w:pPr>
            <w:r>
              <w:rPr>
                <w:rFonts w:hint="eastAsia" w:ascii="宋体" w:hAnsi="宋体" w:eastAsia="宋体" w:cs="宋体"/>
                <w:bCs/>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439" w:type="pct"/>
            <w:vAlign w:val="center"/>
          </w:tcPr>
          <w:p w14:paraId="04415D47">
            <w:pPr>
              <w:keepNext w:val="0"/>
              <w:keepLines w:val="0"/>
              <w:pageBreakBefore w:val="0"/>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23C3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064CD69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7FD3651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655" w:type="pct"/>
            <w:vAlign w:val="center"/>
          </w:tcPr>
          <w:p w14:paraId="608F2DB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39" w:type="pct"/>
            <w:vAlign w:val="center"/>
          </w:tcPr>
          <w:p w14:paraId="55172BC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47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0" w:type="pct"/>
            <w:vAlign w:val="center"/>
          </w:tcPr>
          <w:p w14:paraId="0E3D758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11BF94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服务方案总体框架（满分15分）</w:t>
            </w:r>
          </w:p>
        </w:tc>
        <w:tc>
          <w:tcPr>
            <w:tcW w:w="3655" w:type="pct"/>
            <w:vAlign w:val="center"/>
          </w:tcPr>
          <w:p w14:paraId="737545C4">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一档（15分）：供应商针对本项目国际摔跤赛事实际情况，提供完整的服务方案总体框架，涵盖项目概况、组织架构、服务流程、质量管控、风险防范、赛后总结六大核心模块；服务流程节点完整，含赛前筹备、赛中执行、赛后收尾全过程，各节点设明确时间节点与交付成果；建立可量化的质量管控体系，配套质量检查与持续改进机制；方案整体逻辑严谨、针对性强，完全匹配本项目服务需求。</w:t>
            </w:r>
          </w:p>
          <w:p w14:paraId="2C3A2379">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10分）：供应商提供服务方案总体框架，涵盖主要核心模块；服务流程节点不够完整，覆盖赛前赛中赛后主要环节；有基本的质量管控措施；方案整体较完整，能满足项目基本需求，但针对性和细化程度有待加强。</w:t>
            </w:r>
          </w:p>
          <w:p w14:paraId="61916F30">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三档（5分）：供应商仅提供笼统的服务方案框架，核心模块不完整；服务流程节点关键环节缺失；质量管控措施笼统，缺乏可量化指标；方案落地性不足。</w:t>
            </w:r>
          </w:p>
          <w:p w14:paraId="3EA7B3BE">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w:t>
            </w:r>
            <w:r>
              <w:rPr>
                <w:rFonts w:hint="eastAsia" w:ascii="宋体" w:hAnsi="宋体" w:cs="宋体"/>
                <w:b w:val="0"/>
                <w:bCs/>
                <w:color w:val="auto"/>
                <w:sz w:val="24"/>
                <w:szCs w:val="24"/>
                <w:highlight w:val="none"/>
                <w:lang w:eastAsia="zh-CN" w:bidi="ar"/>
              </w:rPr>
              <w:t>本项目</w:t>
            </w:r>
            <w:r>
              <w:rPr>
                <w:rFonts w:hint="eastAsia" w:ascii="宋体" w:hAnsi="宋体" w:cs="宋体"/>
                <w:b w:val="0"/>
                <w:bCs/>
                <w:color w:val="auto"/>
                <w:sz w:val="24"/>
                <w:szCs w:val="24"/>
                <w:highlight w:val="none"/>
                <w:lang w:val="en-US" w:eastAsia="zh-CN"/>
              </w:rPr>
              <w:t>服务方案，不得分。</w:t>
            </w:r>
          </w:p>
        </w:tc>
        <w:tc>
          <w:tcPr>
            <w:tcW w:w="439" w:type="pct"/>
            <w:vAlign w:val="center"/>
          </w:tcPr>
          <w:p w14:paraId="5CBCA11A">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4A9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7046EBE">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462EAD1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竞赛组织方案（满分20分）</w:t>
            </w:r>
          </w:p>
        </w:tc>
        <w:tc>
          <w:tcPr>
            <w:tcW w:w="3655" w:type="pct"/>
            <w:vAlign w:val="center"/>
          </w:tcPr>
          <w:p w14:paraId="4E13FD4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eastAsia="zh-CN" w:bidi="ar"/>
              </w:rPr>
              <w:t>一档（</w:t>
            </w:r>
            <w:r>
              <w:rPr>
                <w:rFonts w:hint="eastAsia" w:ascii="宋体" w:hAnsi="宋体" w:cs="宋体"/>
                <w:b w:val="0"/>
                <w:bCs/>
                <w:color w:val="auto"/>
                <w:sz w:val="24"/>
                <w:szCs w:val="24"/>
                <w:highlight w:val="none"/>
                <w:lang w:val="en-US" w:eastAsia="zh-CN" w:bidi="ar"/>
              </w:rPr>
              <w:t>20</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供应商针对本项目国际摔跤赛事提供详尽竞赛组织方案，包括但不限于： 赛程安排清晰明确，不同组别、量级赛事的编排顺序科学合理，明确各类赛事对阵安排、抽签规则与执裁评分标准，符合国际摔跤赛事通行规范；开闭幕式及颁奖仪式方案完整成熟，包含流程设计、嘉宾邀请、颁奖环节衔接等配套安排；成绩统计、复核与公示流程闭环完整，可确保赛事结果准确公开；方案专业严谨、可操作性强，完全满足本次国际摔跤赛事的组织要求。</w:t>
            </w:r>
          </w:p>
          <w:p w14:paraId="496E9AC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w:t>
            </w:r>
            <w:r>
              <w:rPr>
                <w:rFonts w:hint="eastAsia" w:ascii="宋体" w:hAnsi="宋体" w:cs="宋体"/>
                <w:b w:val="0"/>
                <w:bCs/>
                <w:color w:val="auto"/>
                <w:sz w:val="24"/>
                <w:szCs w:val="24"/>
                <w:highlight w:val="none"/>
                <w:lang w:eastAsia="zh-CN" w:bidi="ar"/>
              </w:rPr>
              <w:t>（</w:t>
            </w:r>
            <w:r>
              <w:rPr>
                <w:rFonts w:hint="eastAsia" w:ascii="宋体" w:hAnsi="宋体" w:cs="宋体"/>
                <w:b w:val="0"/>
                <w:bCs/>
                <w:color w:val="auto"/>
                <w:sz w:val="24"/>
                <w:szCs w:val="24"/>
                <w:highlight w:val="none"/>
                <w:lang w:val="en-US" w:eastAsia="zh-CN" w:bidi="ar"/>
              </w:rPr>
              <w:t>14</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国际摔跤赛事提供了竞赛组织方案：赛程编排合理，明确赛事编排、抽签与评分规则；开颁奖仪式方案较完整，基本满足仪式的议程设计要求；成绩统计公示流程清晰，能保障结果准确及时；方案整体完整可操作，能够满足赛事组织基本需求。</w:t>
            </w:r>
          </w:p>
          <w:p w14:paraId="774C14F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三档（8分）：供应商仅提供基本的竞赛组织框架内容，赛程编排覆盖主要赛项，开颁奖仪式等核心内容均有涉及，但内容较为笼统，部分环节安排不够明确，可操作性有待加强。</w:t>
            </w:r>
          </w:p>
          <w:p w14:paraId="2ED5933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bidi="ar"/>
              </w:rPr>
            </w:pPr>
            <w:r>
              <w:rPr>
                <w:rFonts w:hint="eastAsia" w:ascii="宋体" w:hAnsi="宋体" w:cs="宋体"/>
                <w:b w:val="0"/>
                <w:bCs/>
                <w:color w:val="auto"/>
                <w:sz w:val="24"/>
                <w:szCs w:val="24"/>
                <w:highlight w:val="none"/>
                <w:lang w:val="en-US" w:eastAsia="zh-CN" w:bidi="ar"/>
              </w:rPr>
              <w:t>四档（0分）：未提供本项目竞赛组织方案，不得分。</w:t>
            </w:r>
          </w:p>
        </w:tc>
        <w:tc>
          <w:tcPr>
            <w:tcW w:w="439" w:type="pct"/>
            <w:vAlign w:val="center"/>
          </w:tcPr>
          <w:p w14:paraId="10CA335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03A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4AED1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2.3</w:t>
            </w:r>
          </w:p>
        </w:tc>
        <w:tc>
          <w:tcPr>
            <w:tcW w:w="564" w:type="pct"/>
            <w:vAlign w:val="center"/>
          </w:tcPr>
          <w:p w14:paraId="2EF3E90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赛事医疗卫生、安全与应急方案</w:t>
            </w:r>
            <w:r>
              <w:rPr>
                <w:rFonts w:hint="eastAsia" w:ascii="宋体" w:hAnsi="宋体" w:eastAsia="宋体" w:cs="宋体"/>
                <w:b/>
                <w:bCs w:val="0"/>
                <w:color w:val="auto"/>
                <w:sz w:val="24"/>
                <w:szCs w:val="24"/>
                <w:highlight w:val="none"/>
                <w:lang w:val="en-US" w:eastAsia="zh-CN"/>
              </w:rPr>
              <w:t>（满分10分）</w:t>
            </w:r>
          </w:p>
        </w:tc>
        <w:tc>
          <w:tcPr>
            <w:tcW w:w="3655" w:type="pct"/>
            <w:vAlign w:val="center"/>
          </w:tcPr>
          <w:p w14:paraId="52C8949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一档（10分）：方案具有高度针对性，紧密结合本项目竞赛特点、赛事规模、参与人群等进行风险评估和需求分析，赛事各阶段保障措施描述全面到位。对各类可能发生的突发事件制定差异化处置流程，明确分级响应体系、指挥责任及响应时限，确保及时高效响应。预案内容覆盖全面、针对性强、科学合理，具备创新性和高落地价值，能有效保障赛事安全有序运行。</w:t>
            </w:r>
          </w:p>
          <w:p w14:paraId="434D604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二档（7分）：方案内容齐全，按赛事保障需求逐项响应，医疗保障、安全防控、应急处置等各模块要素完备，结构清晰，符合赛事基本保障规范，但在针对本项目特点的专属措施方面可进一步加强。</w:t>
            </w:r>
          </w:p>
          <w:p w14:paraId="1BA409B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三档（4分）：方案涵盖医疗、安保、应急等基础内容，框架基本完整，对保障工作的总体思路和各环节安排进行了概述，但结合本项目实际情况的分析不够深入，具体执行层面的细化内容有待充实。</w:t>
            </w:r>
          </w:p>
          <w:p w14:paraId="644A0B5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四档（0分）：未提供赛事医疗卫生、安全与应急方案的，不得分。</w:t>
            </w:r>
          </w:p>
        </w:tc>
        <w:tc>
          <w:tcPr>
            <w:tcW w:w="439" w:type="pct"/>
            <w:vAlign w:val="center"/>
          </w:tcPr>
          <w:p w14:paraId="0D7FC6A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9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B0F310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786DB8A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b/>
                <w:bCs w:val="0"/>
                <w:color w:val="auto"/>
                <w:sz w:val="24"/>
                <w:szCs w:val="24"/>
                <w:highlight w:val="none"/>
                <w:lang w:eastAsia="zh-CN"/>
              </w:rPr>
              <w:t>物资与后勤保障方案分</w:t>
            </w:r>
            <w:r>
              <w:rPr>
                <w:rFonts w:hint="eastAsia" w:ascii="宋体" w:hAnsi="宋体" w:cs="宋体"/>
                <w:b/>
                <w:bCs/>
                <w:color w:val="auto"/>
                <w:sz w:val="24"/>
                <w:szCs w:val="24"/>
                <w:highlight w:val="none"/>
                <w:lang w:val="en-US" w:eastAsia="zh-CN"/>
              </w:rPr>
              <w:t>（满分10分）</w:t>
            </w:r>
          </w:p>
        </w:tc>
        <w:tc>
          <w:tcPr>
            <w:tcW w:w="3655" w:type="pct"/>
            <w:vAlign w:val="center"/>
          </w:tcPr>
          <w:p w14:paraId="168963A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一档（10分）：供应商针对本项目</w:t>
            </w:r>
            <w:r>
              <w:rPr>
                <w:rFonts w:hint="eastAsia" w:ascii="宋体" w:hAnsi="宋体" w:cs="宋体"/>
                <w:b w:val="0"/>
                <w:bCs/>
                <w:color w:val="auto"/>
                <w:sz w:val="24"/>
                <w:szCs w:val="24"/>
                <w:highlight w:val="none"/>
                <w:lang w:val="en-US" w:eastAsia="zh-CN" w:bidi="ar"/>
              </w:rPr>
              <w:t>国际摔跤赛事</w:t>
            </w:r>
            <w:r>
              <w:rPr>
                <w:rFonts w:hint="eastAsia" w:ascii="宋体" w:hAnsi="宋体" w:eastAsia="宋体" w:cs="宋体"/>
                <w:b w:val="0"/>
                <w:bCs/>
                <w:color w:val="auto"/>
                <w:sz w:val="24"/>
                <w:szCs w:val="24"/>
                <w:highlight w:val="none"/>
                <w:lang w:val="en-US" w:eastAsia="zh-CN" w:bidi="ar"/>
              </w:rPr>
              <w:t>提供全面的物资与后勤保障方案。场地搭建与氛围布置方案详细，</w:t>
            </w:r>
            <w:r>
              <w:rPr>
                <w:rFonts w:hint="eastAsia" w:ascii="宋体" w:hAnsi="宋体" w:cs="宋体"/>
                <w:b w:val="0"/>
                <w:bCs/>
                <w:color w:val="auto"/>
                <w:sz w:val="24"/>
                <w:szCs w:val="24"/>
                <w:highlight w:val="none"/>
                <w:lang w:val="en-US" w:eastAsia="zh-CN" w:bidi="ar"/>
              </w:rPr>
              <w:t>提供了初步的物料设计样式和赛场布置设计图，</w:t>
            </w:r>
            <w:r>
              <w:rPr>
                <w:rFonts w:hint="eastAsia" w:ascii="宋体" w:hAnsi="宋体" w:eastAsia="宋体" w:cs="宋体"/>
                <w:b w:val="0"/>
                <w:bCs/>
                <w:color w:val="auto"/>
                <w:sz w:val="24"/>
                <w:szCs w:val="24"/>
                <w:highlight w:val="none"/>
                <w:lang w:val="en-US" w:eastAsia="zh-CN" w:bidi="ar"/>
              </w:rPr>
              <w:t>物料清单完整，含主背景板、签到区、</w:t>
            </w:r>
            <w:r>
              <w:rPr>
                <w:rFonts w:hint="eastAsia" w:ascii="宋体" w:hAnsi="宋体" w:cs="宋体"/>
                <w:b w:val="0"/>
                <w:bCs/>
                <w:color w:val="auto"/>
                <w:sz w:val="24"/>
                <w:szCs w:val="24"/>
                <w:highlight w:val="none"/>
                <w:lang w:val="en-US" w:eastAsia="zh-CN" w:bidi="ar"/>
              </w:rPr>
              <w:t>赛事横幅、</w:t>
            </w:r>
            <w:r>
              <w:rPr>
                <w:rFonts w:hint="eastAsia" w:ascii="宋体" w:hAnsi="宋体" w:eastAsia="宋体" w:cs="宋体"/>
                <w:b w:val="0"/>
                <w:bCs/>
                <w:color w:val="auto"/>
                <w:sz w:val="24"/>
                <w:szCs w:val="24"/>
                <w:highlight w:val="none"/>
                <w:lang w:val="en-US" w:eastAsia="zh-CN" w:bidi="ar"/>
              </w:rPr>
              <w:t>成绩公告栏、功能分区指引</w:t>
            </w:r>
            <w:r>
              <w:rPr>
                <w:rFonts w:hint="eastAsia" w:ascii="宋体" w:hAnsi="宋体" w:cs="宋体"/>
                <w:b w:val="0"/>
                <w:bCs/>
                <w:color w:val="auto"/>
                <w:sz w:val="24"/>
                <w:szCs w:val="24"/>
                <w:highlight w:val="none"/>
                <w:lang w:val="en-US" w:eastAsia="zh-CN" w:bidi="ar"/>
              </w:rPr>
              <w:t>、证书</w:t>
            </w:r>
            <w:r>
              <w:rPr>
                <w:rFonts w:hint="eastAsia" w:ascii="宋体" w:hAnsi="宋体" w:eastAsia="宋体" w:cs="宋体"/>
                <w:b w:val="0"/>
                <w:bCs/>
                <w:color w:val="auto"/>
                <w:sz w:val="24"/>
                <w:szCs w:val="24"/>
                <w:highlight w:val="none"/>
                <w:lang w:val="en-US" w:eastAsia="zh-CN" w:bidi="ar"/>
              </w:rPr>
              <w:t>、</w:t>
            </w:r>
            <w:r>
              <w:rPr>
                <w:rFonts w:hint="eastAsia" w:ascii="宋体" w:hAnsi="宋体" w:cs="宋体"/>
                <w:b w:val="0"/>
                <w:bCs/>
                <w:color w:val="auto"/>
                <w:sz w:val="24"/>
                <w:szCs w:val="24"/>
                <w:highlight w:val="none"/>
                <w:lang w:val="en-US" w:eastAsia="zh-CN" w:bidi="ar"/>
              </w:rPr>
              <w:t>牌匾、</w:t>
            </w:r>
            <w:r>
              <w:rPr>
                <w:rFonts w:hint="eastAsia" w:ascii="宋体" w:hAnsi="宋体" w:eastAsia="宋体" w:cs="宋体"/>
                <w:b w:val="0"/>
                <w:bCs/>
                <w:color w:val="auto"/>
                <w:sz w:val="24"/>
                <w:szCs w:val="24"/>
                <w:highlight w:val="none"/>
                <w:lang w:val="en-US" w:eastAsia="zh-CN" w:bidi="ar"/>
              </w:rPr>
              <w:t>赛事主题装饰等，明确搭建进度计划与安全标准；竞赛器材与设备保障充足，提供完整器材清单</w:t>
            </w:r>
            <w:r>
              <w:rPr>
                <w:rFonts w:hint="eastAsia" w:ascii="宋体" w:hAnsi="宋体" w:cs="宋体"/>
                <w:color w:val="auto"/>
                <w:sz w:val="24"/>
                <w:szCs w:val="24"/>
                <w:highlight w:val="none"/>
                <w:lang w:val="en-US" w:eastAsia="zh-CN"/>
              </w:rPr>
              <w:t>以及</w:t>
            </w:r>
            <w:r>
              <w:rPr>
                <w:rFonts w:hint="eastAsia" w:ascii="宋体" w:hAnsi="宋体" w:eastAsia="宋体" w:cs="宋体"/>
                <w:color w:val="auto"/>
                <w:sz w:val="24"/>
                <w:szCs w:val="24"/>
                <w:highlight w:val="none"/>
              </w:rPr>
              <w:t>配套采购的消耗品</w:t>
            </w:r>
            <w:r>
              <w:rPr>
                <w:rFonts w:hint="eastAsia" w:ascii="宋体" w:hAnsi="宋体" w:eastAsia="宋体" w:cs="宋体"/>
                <w:b w:val="0"/>
                <w:bCs/>
                <w:color w:val="auto"/>
                <w:sz w:val="24"/>
                <w:szCs w:val="24"/>
                <w:highlight w:val="none"/>
                <w:lang w:val="en-US" w:eastAsia="zh-CN" w:bidi="ar"/>
              </w:rPr>
              <w:t>，明确器材规格标准、数量、品牌，建立设备故障应急替换机制；食宿交通保障方案细致，提供详细的食宿交通安排计划；志愿服务保障方案完善；方案整体物资齐全、保障到位，完全满足赛事后勤需求。</w:t>
            </w:r>
          </w:p>
          <w:p w14:paraId="1B2B283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二档（7分）：供应商提供物资与后勤保障方案，场地搭建与氛围布置有基本</w:t>
            </w:r>
            <w:r>
              <w:rPr>
                <w:rFonts w:hint="eastAsia" w:ascii="宋体" w:hAnsi="宋体" w:cs="宋体"/>
                <w:b w:val="0"/>
                <w:bCs/>
                <w:color w:val="auto"/>
                <w:sz w:val="24"/>
                <w:szCs w:val="24"/>
                <w:highlight w:val="none"/>
                <w:lang w:val="en-US" w:eastAsia="zh-CN" w:bidi="ar"/>
              </w:rPr>
              <w:t>设计</w:t>
            </w:r>
            <w:r>
              <w:rPr>
                <w:rFonts w:hint="eastAsia" w:ascii="宋体" w:hAnsi="宋体" w:eastAsia="宋体" w:cs="宋体"/>
                <w:b w:val="0"/>
                <w:bCs/>
                <w:color w:val="auto"/>
                <w:sz w:val="24"/>
                <w:szCs w:val="24"/>
                <w:highlight w:val="none"/>
                <w:lang w:val="en-US" w:eastAsia="zh-CN" w:bidi="ar"/>
              </w:rPr>
              <w:t>方案；提供了竞赛器材与设备有基本清单但</w:t>
            </w:r>
            <w:r>
              <w:rPr>
                <w:rFonts w:hint="eastAsia" w:ascii="宋体" w:hAnsi="宋体" w:cs="宋体"/>
                <w:b w:val="0"/>
                <w:bCs/>
                <w:color w:val="auto"/>
                <w:sz w:val="24"/>
                <w:szCs w:val="24"/>
                <w:highlight w:val="none"/>
                <w:lang w:val="en-US" w:eastAsia="zh-CN" w:bidi="ar"/>
              </w:rPr>
              <w:t>未</w:t>
            </w:r>
            <w:r>
              <w:rPr>
                <w:rFonts w:hint="eastAsia" w:ascii="宋体" w:hAnsi="宋体" w:eastAsia="宋体" w:cs="宋体"/>
                <w:b w:val="0"/>
                <w:bCs/>
                <w:color w:val="auto"/>
                <w:sz w:val="24"/>
                <w:szCs w:val="24"/>
                <w:highlight w:val="none"/>
                <w:lang w:val="en-US" w:eastAsia="zh-CN" w:bidi="ar"/>
              </w:rPr>
              <w:t>能完全</w:t>
            </w:r>
            <w:r>
              <w:rPr>
                <w:rFonts w:hint="eastAsia" w:ascii="宋体" w:hAnsi="宋体" w:cs="宋体"/>
                <w:b w:val="0"/>
                <w:bCs/>
                <w:color w:val="auto"/>
                <w:sz w:val="24"/>
                <w:szCs w:val="24"/>
                <w:highlight w:val="none"/>
                <w:lang w:val="en-US" w:eastAsia="zh-CN" w:bidi="ar"/>
              </w:rPr>
              <w:t>匹配</w:t>
            </w:r>
            <w:r>
              <w:rPr>
                <w:rFonts w:hint="eastAsia" w:ascii="宋体" w:hAnsi="宋体" w:eastAsia="宋体" w:cs="宋体"/>
                <w:b w:val="0"/>
                <w:bCs/>
                <w:color w:val="auto"/>
                <w:sz w:val="24"/>
                <w:szCs w:val="24"/>
                <w:highlight w:val="none"/>
                <w:lang w:val="en-US" w:eastAsia="zh-CN" w:bidi="ar"/>
              </w:rPr>
              <w:t>赛事需求；食宿交通有基本安排；志愿服务保障方案不够完善；方案整体较完整，能满足赛事基本后勤保障需求，但部分内容细化不足。</w:t>
            </w:r>
          </w:p>
          <w:p w14:paraId="1D89CB9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color w:val="auto"/>
                <w:highlight w:val="none"/>
              </w:rPr>
            </w:pPr>
            <w:r>
              <w:rPr>
                <w:rFonts w:hint="eastAsia" w:ascii="宋体" w:hAnsi="宋体" w:cs="宋体"/>
                <w:b w:val="0"/>
                <w:bCs/>
                <w:color w:val="auto"/>
                <w:sz w:val="24"/>
                <w:szCs w:val="24"/>
                <w:highlight w:val="none"/>
                <w:lang w:val="en-US" w:eastAsia="zh-CN" w:bidi="ar"/>
              </w:rPr>
              <w:t>三</w:t>
            </w:r>
            <w:r>
              <w:rPr>
                <w:rFonts w:hint="eastAsia" w:ascii="宋体" w:hAnsi="宋体" w:eastAsia="宋体" w:cs="宋体"/>
                <w:b w:val="0"/>
                <w:bCs/>
                <w:color w:val="auto"/>
                <w:sz w:val="24"/>
                <w:szCs w:val="24"/>
                <w:highlight w:val="none"/>
                <w:lang w:val="en-US" w:eastAsia="zh-CN" w:bidi="ar"/>
              </w:rPr>
              <w:t>档（4分）：供应商仅提供笼统的物资与后勤保障方案，场地搭建物料较少；竞赛器材清单不完整，无明确的应急替换机制；食宿交通安排模糊；志愿服务岗位设置不足；方案落地性不足。</w:t>
            </w:r>
          </w:p>
          <w:p w14:paraId="27866FC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四档（0分）：未提供物资与后勤保障方案，不得分。</w:t>
            </w:r>
          </w:p>
        </w:tc>
        <w:tc>
          <w:tcPr>
            <w:tcW w:w="439" w:type="pct"/>
            <w:vAlign w:val="center"/>
          </w:tcPr>
          <w:p w14:paraId="4FEA698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AC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0A8448F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4" w:type="pct"/>
            <w:vAlign w:val="center"/>
          </w:tcPr>
          <w:p w14:paraId="3520B8E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服务保障承诺（满分10分）</w:t>
            </w:r>
          </w:p>
        </w:tc>
        <w:tc>
          <w:tcPr>
            <w:tcW w:w="3655" w:type="pct"/>
            <w:vAlign w:val="center"/>
          </w:tcPr>
          <w:p w14:paraId="229C6E1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一档（10分）：</w:t>
            </w:r>
            <w:r>
              <w:rPr>
                <w:rFonts w:hint="eastAsia" w:ascii="宋体" w:hAnsi="宋体" w:cs="宋体"/>
                <w:b w:val="0"/>
                <w:bCs/>
                <w:color w:val="auto"/>
                <w:sz w:val="24"/>
                <w:szCs w:val="24"/>
                <w:highlight w:val="none"/>
                <w:lang w:val="en-US" w:eastAsia="zh-CN"/>
              </w:rPr>
              <w:t>供应商针对本项目实际情况，明确了项目负责人及专业服务团队配置岗位；提供了各项赛事服务保障承诺，至少包含：驻场服务承诺明确项目负责人及核心团队全程驻场（赛事期间全时段在岗），沟通响应承诺明确响应时效（设备及系统故障30分钟内响应、1小时内完成维修或更换；一般服务问题10分钟内响应、1小时内给出解决方案）；各项承诺具体可落地、可核查，完全匹配本项目服务保障要求。</w:t>
            </w:r>
          </w:p>
          <w:p w14:paraId="7B19543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二档（7分）：供应商配置了基本服务团队，提出了常规服务保障承诺，包括基本的响应时效（设备及系统故障40分钟内响应、1.5 小时内完成维修或更换；一般服务问题 30 分钟内响应、1.5小时内给出解决方案）、驻场安排等；可满足项目基本服务保障需求，但针对性保障措施不够细化，承诺条款不够具体。</w:t>
            </w:r>
          </w:p>
          <w:p w14:paraId="0220167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三档（</w:t>
            </w:r>
            <w:r>
              <w:rPr>
                <w:rFonts w:hint="eastAsia" w:ascii="宋体" w:hAnsi="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eastAsia="zh-CN"/>
              </w:rPr>
              <w:t>分）：</w:t>
            </w:r>
            <w:r>
              <w:rPr>
                <w:rFonts w:hint="eastAsia" w:ascii="宋体" w:hAnsi="宋体" w:cs="宋体"/>
                <w:b w:val="0"/>
                <w:bCs/>
                <w:color w:val="auto"/>
                <w:sz w:val="24"/>
                <w:szCs w:val="24"/>
                <w:highlight w:val="none"/>
                <w:lang w:val="en-US" w:eastAsia="zh-CN"/>
              </w:rPr>
              <w:t>仅提出笼统的服务保障承诺，未明确团队配置及专项保障措施，包括基本的响应时效（设备及系统故障 1 小时内响应、2 小时内完成维修或更换；一般服务问题 30 分钟内响应、2 小时内给出解决方案）、驻场安排，落地性不足。</w:t>
            </w:r>
          </w:p>
          <w:p w14:paraId="007ABA3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四档（0分）：未提供服务保障承诺，不得分。</w:t>
            </w:r>
          </w:p>
        </w:tc>
        <w:tc>
          <w:tcPr>
            <w:tcW w:w="439" w:type="pct"/>
            <w:vAlign w:val="center"/>
          </w:tcPr>
          <w:p w14:paraId="79E5E61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4937709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4" w:type="pct"/>
            <w:vAlign w:val="center"/>
          </w:tcPr>
          <w:p w14:paraId="7E99EAB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w:t>
            </w:r>
            <w:r>
              <w:rPr>
                <w:rFonts w:hint="eastAsia" w:ascii="宋体" w:hAnsi="宋体" w:eastAsia="宋体" w:cs="宋体"/>
                <w:b/>
                <w:bCs/>
                <w:color w:val="auto"/>
                <w:kern w:val="2"/>
                <w:sz w:val="24"/>
                <w:szCs w:val="24"/>
                <w:highlight w:val="none"/>
                <w:lang w:val="en-US" w:eastAsia="zh-CN" w:bidi="ar"/>
              </w:rPr>
              <w:t>人员配置（满分</w:t>
            </w:r>
            <w:r>
              <w:rPr>
                <w:rFonts w:hint="eastAsia" w:ascii="宋体" w:hAnsi="宋体" w:cs="宋体"/>
                <w:b/>
                <w:bCs/>
                <w:color w:val="auto"/>
                <w:kern w:val="2"/>
                <w:sz w:val="24"/>
                <w:szCs w:val="24"/>
                <w:highlight w:val="none"/>
                <w:lang w:val="en-US" w:eastAsia="zh-CN" w:bidi="ar"/>
              </w:rPr>
              <w:t>15</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4C2544DA">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一档（</w:t>
            </w:r>
            <w:r>
              <w:rPr>
                <w:rFonts w:hint="eastAsia" w:ascii="宋体" w:hAnsi="宋体" w:cs="宋体"/>
                <w:b w:val="0"/>
                <w:bCs w:val="0"/>
                <w:color w:val="auto"/>
                <w:kern w:val="0"/>
                <w:sz w:val="24"/>
                <w:szCs w:val="24"/>
                <w:highlight w:val="none"/>
                <w:lang w:val="en-US" w:eastAsia="zh-CN"/>
              </w:rPr>
              <w:t>15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针对本项目编制完整详细的人员分工方案，岗位设置完整</w:t>
            </w:r>
            <w:r>
              <w:rPr>
                <w:rFonts w:hint="eastAsia" w:ascii="宋体" w:hAnsi="宋体" w:cs="宋体"/>
                <w:color w:val="auto"/>
                <w:sz w:val="24"/>
                <w:szCs w:val="24"/>
                <w:highlight w:val="none"/>
                <w:lang w:eastAsia="zh-CN"/>
              </w:rPr>
              <w:t>国际摔跤赛事</w:t>
            </w:r>
            <w:r>
              <w:rPr>
                <w:rFonts w:hint="default" w:ascii="宋体" w:hAnsi="宋体" w:eastAsia="宋体" w:cs="宋体"/>
                <w:color w:val="auto"/>
                <w:sz w:val="24"/>
                <w:szCs w:val="24"/>
                <w:highlight w:val="none"/>
              </w:rPr>
              <w:t>全部岗位需求，岗位职责清晰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项目负责人及专职竞赛负责人总人数达到10人及以上的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其中具备5</w:t>
            </w:r>
            <w:r>
              <w:rPr>
                <w:rFonts w:hint="eastAsia" w:ascii="宋体" w:hAnsi="宋体" w:eastAsia="宋体" w:cs="宋体"/>
                <w:color w:val="auto"/>
                <w:sz w:val="24"/>
                <w:szCs w:val="24"/>
                <w:highlight w:val="none"/>
                <w:lang w:val="en-US" w:eastAsia="zh-CN"/>
              </w:rPr>
              <w:t>名及以上</w:t>
            </w:r>
            <w:r>
              <w:rPr>
                <w:rFonts w:hint="default" w:ascii="宋体" w:hAnsi="宋体" w:eastAsia="宋体" w:cs="宋体"/>
                <w:color w:val="auto"/>
                <w:sz w:val="24"/>
                <w:szCs w:val="24"/>
                <w:highlight w:val="none"/>
              </w:rPr>
              <w:t>摔跤</w:t>
            </w:r>
            <w:r>
              <w:rPr>
                <w:rFonts w:hint="eastAsia" w:ascii="宋体" w:hAnsi="宋体" w:cs="宋体"/>
                <w:color w:val="auto"/>
                <w:sz w:val="24"/>
                <w:szCs w:val="24"/>
                <w:highlight w:val="none"/>
                <w:lang w:val="en-US" w:eastAsia="zh-CN"/>
              </w:rPr>
              <w:t>赛事的</w:t>
            </w:r>
            <w:r>
              <w:rPr>
                <w:rFonts w:hint="default" w:ascii="宋体" w:hAnsi="宋体" w:eastAsia="宋体" w:cs="宋体"/>
                <w:color w:val="auto"/>
                <w:sz w:val="24"/>
                <w:szCs w:val="24"/>
                <w:highlight w:val="none"/>
              </w:rPr>
              <w:t>裁判</w:t>
            </w:r>
            <w:r>
              <w:rPr>
                <w:rFonts w:hint="eastAsia" w:ascii="宋体" w:hAnsi="宋体" w:cs="宋体"/>
                <w:color w:val="auto"/>
                <w:sz w:val="24"/>
                <w:szCs w:val="24"/>
                <w:highlight w:val="none"/>
                <w:lang w:val="en-US" w:eastAsia="zh-CN"/>
              </w:rPr>
              <w:t>等级</w:t>
            </w:r>
            <w:r>
              <w:rPr>
                <w:rFonts w:hint="default" w:ascii="宋体" w:hAnsi="宋体" w:eastAsia="宋体" w:cs="宋体"/>
                <w:color w:val="auto"/>
                <w:sz w:val="24"/>
                <w:szCs w:val="24"/>
                <w:highlight w:val="none"/>
              </w:rPr>
              <w:t>证书</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按合同</w:t>
            </w:r>
            <w:r>
              <w:rPr>
                <w:rFonts w:hint="eastAsia" w:ascii="宋体" w:hAnsi="宋体" w:cs="宋体"/>
                <w:color w:val="auto"/>
                <w:sz w:val="24"/>
                <w:szCs w:val="24"/>
                <w:highlight w:val="none"/>
                <w:lang w:val="en-US" w:eastAsia="zh-CN"/>
              </w:rPr>
              <w:t>约定</w:t>
            </w:r>
            <w:r>
              <w:rPr>
                <w:rFonts w:hint="default" w:ascii="宋体" w:hAnsi="宋体" w:eastAsia="宋体" w:cs="宋体"/>
                <w:color w:val="auto"/>
                <w:sz w:val="24"/>
                <w:szCs w:val="24"/>
                <w:highlight w:val="none"/>
              </w:rPr>
              <w:t>承担违约责任</w:t>
            </w:r>
            <w:r>
              <w:rPr>
                <w:rFonts w:hint="eastAsia" w:ascii="宋体" w:hAnsi="宋体" w:eastAsia="宋体" w:cs="宋体"/>
                <w:b w:val="0"/>
                <w:bCs w:val="0"/>
                <w:color w:val="auto"/>
                <w:kern w:val="0"/>
                <w:sz w:val="24"/>
                <w:szCs w:val="24"/>
                <w:highlight w:val="none"/>
                <w:lang w:val="en-US" w:eastAsia="zh-CN"/>
              </w:rPr>
              <w:t>。</w:t>
            </w:r>
          </w:p>
          <w:p w14:paraId="5A82B588">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二档（</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分）：供应商提供相对具体的人员分工方案，主要岗位设置基本满足本项目赛事服务需要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项目负责人及专职竞赛负责人总人数达到8人，其中具备3</w:t>
            </w:r>
            <w:r>
              <w:rPr>
                <w:rFonts w:hint="eastAsia" w:ascii="宋体" w:hAnsi="宋体" w:eastAsia="宋体" w:cs="宋体"/>
                <w:color w:val="auto"/>
                <w:sz w:val="24"/>
                <w:szCs w:val="24"/>
                <w:highlight w:val="none"/>
                <w:lang w:val="en-US" w:eastAsia="zh-CN"/>
              </w:rPr>
              <w:t>名及以上</w:t>
            </w:r>
            <w:r>
              <w:rPr>
                <w:rFonts w:hint="default" w:ascii="宋体" w:hAnsi="宋体" w:eastAsia="宋体" w:cs="宋体"/>
                <w:color w:val="auto"/>
                <w:sz w:val="24"/>
                <w:szCs w:val="24"/>
                <w:highlight w:val="none"/>
              </w:rPr>
              <w:t>摔跤</w:t>
            </w:r>
            <w:r>
              <w:rPr>
                <w:rFonts w:hint="eastAsia" w:ascii="宋体" w:hAnsi="宋体" w:cs="宋体"/>
                <w:color w:val="auto"/>
                <w:sz w:val="24"/>
                <w:szCs w:val="24"/>
                <w:highlight w:val="none"/>
                <w:lang w:val="en-US" w:eastAsia="zh-CN"/>
              </w:rPr>
              <w:t>赛事的</w:t>
            </w:r>
            <w:r>
              <w:rPr>
                <w:rFonts w:hint="default" w:ascii="宋体" w:hAnsi="宋体" w:eastAsia="宋体" w:cs="宋体"/>
                <w:color w:val="auto"/>
                <w:sz w:val="24"/>
                <w:szCs w:val="24"/>
                <w:highlight w:val="none"/>
              </w:rPr>
              <w:t>裁判</w:t>
            </w:r>
            <w:r>
              <w:rPr>
                <w:rFonts w:hint="eastAsia" w:ascii="宋体" w:hAnsi="宋体" w:cs="宋体"/>
                <w:color w:val="auto"/>
                <w:sz w:val="24"/>
                <w:szCs w:val="24"/>
                <w:highlight w:val="none"/>
                <w:lang w:val="en-US" w:eastAsia="zh-CN"/>
              </w:rPr>
              <w:t>等级</w:t>
            </w:r>
            <w:r>
              <w:rPr>
                <w:rFonts w:hint="default" w:ascii="宋体" w:hAnsi="宋体" w:eastAsia="宋体" w:cs="宋体"/>
                <w:color w:val="auto"/>
                <w:sz w:val="24"/>
                <w:szCs w:val="24"/>
                <w:highlight w:val="none"/>
              </w:rPr>
              <w:t>证书</w:t>
            </w:r>
            <w:r>
              <w:rPr>
                <w:rFonts w:hint="eastAsia" w:ascii="宋体" w:hAnsi="宋体" w:eastAsia="宋体" w:cs="宋体"/>
                <w:b w:val="0"/>
                <w:bCs w:val="0"/>
                <w:color w:val="auto"/>
                <w:kern w:val="0"/>
                <w:sz w:val="24"/>
                <w:szCs w:val="24"/>
                <w:highlight w:val="none"/>
                <w:lang w:val="en-US" w:eastAsia="zh-CN"/>
              </w:rPr>
              <w:t>；同时在响应文件中承诺：合同履约期间，未经采购人书面同意，核心岗位人员不得擅自更换，若擅自更换</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按合同</w:t>
            </w:r>
            <w:r>
              <w:rPr>
                <w:rFonts w:hint="eastAsia" w:ascii="宋体" w:hAnsi="宋体" w:cs="宋体"/>
                <w:b w:val="0"/>
                <w:bCs w:val="0"/>
                <w:color w:val="auto"/>
                <w:kern w:val="0"/>
                <w:sz w:val="24"/>
                <w:szCs w:val="24"/>
                <w:highlight w:val="none"/>
                <w:lang w:val="en-US" w:eastAsia="zh-CN"/>
              </w:rPr>
              <w:t>约定</w:t>
            </w:r>
            <w:r>
              <w:rPr>
                <w:rFonts w:hint="eastAsia" w:ascii="宋体" w:hAnsi="宋体" w:eastAsia="宋体" w:cs="宋体"/>
                <w:b w:val="0"/>
                <w:bCs w:val="0"/>
                <w:color w:val="auto"/>
                <w:kern w:val="0"/>
                <w:sz w:val="24"/>
                <w:szCs w:val="24"/>
                <w:highlight w:val="none"/>
                <w:lang w:val="en-US" w:eastAsia="zh-CN"/>
              </w:rPr>
              <w:t>承担违约责任。</w:t>
            </w:r>
          </w:p>
          <w:p w14:paraId="3C48775F">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三档（</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提供人员分工安排，具备基础岗位设置，可满足本项目最低赛事服务需要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w:t>
            </w:r>
            <w:r>
              <w:rPr>
                <w:rFonts w:hint="eastAsia" w:cs="宋体"/>
                <w:color w:val="auto"/>
                <w:sz w:val="24"/>
                <w:szCs w:val="24"/>
                <w:highlight w:val="none"/>
                <w:lang w:val="en-US" w:eastAsia="zh-CN"/>
              </w:rPr>
              <w:t>5</w:t>
            </w:r>
            <w:r>
              <w:rPr>
                <w:rFonts w:hint="eastAsia" w:ascii="宋体" w:hAnsi="宋体" w:cs="宋体"/>
                <w:color w:val="auto"/>
                <w:sz w:val="24"/>
                <w:szCs w:val="24"/>
                <w:highlight w:val="none"/>
                <w:lang w:val="en-US" w:eastAsia="zh-CN"/>
              </w:rPr>
              <w:t>人</w:t>
            </w:r>
            <w:r>
              <w:rPr>
                <w:rFonts w:hint="eastAsia" w:cs="宋体"/>
                <w:color w:val="auto"/>
                <w:sz w:val="24"/>
                <w:szCs w:val="24"/>
                <w:highlight w:val="none"/>
                <w:lang w:val="en-US" w:eastAsia="zh-CN"/>
              </w:rPr>
              <w:t>，</w:t>
            </w:r>
            <w:r>
              <w:rPr>
                <w:rFonts w:hint="eastAsia" w:ascii="宋体" w:hAnsi="宋体" w:cs="宋体"/>
                <w:color w:val="auto"/>
                <w:sz w:val="24"/>
                <w:szCs w:val="24"/>
                <w:highlight w:val="none"/>
                <w:lang w:val="en-US" w:eastAsia="zh-CN"/>
              </w:rPr>
              <w:t>其中具备</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名及以上</w:t>
            </w:r>
            <w:r>
              <w:rPr>
                <w:rFonts w:hint="default" w:ascii="宋体" w:hAnsi="宋体" w:eastAsia="宋体" w:cs="宋体"/>
                <w:color w:val="auto"/>
                <w:sz w:val="24"/>
                <w:szCs w:val="24"/>
                <w:highlight w:val="none"/>
              </w:rPr>
              <w:t>摔跤</w:t>
            </w:r>
            <w:r>
              <w:rPr>
                <w:rFonts w:hint="eastAsia" w:ascii="宋体" w:hAnsi="宋体" w:cs="宋体"/>
                <w:color w:val="auto"/>
                <w:sz w:val="24"/>
                <w:szCs w:val="24"/>
                <w:highlight w:val="none"/>
                <w:lang w:val="en-US" w:eastAsia="zh-CN"/>
              </w:rPr>
              <w:t>赛事的</w:t>
            </w:r>
            <w:r>
              <w:rPr>
                <w:rFonts w:hint="default" w:ascii="宋体" w:hAnsi="宋体" w:eastAsia="宋体" w:cs="宋体"/>
                <w:color w:val="auto"/>
                <w:sz w:val="24"/>
                <w:szCs w:val="24"/>
                <w:highlight w:val="none"/>
              </w:rPr>
              <w:t>裁判</w:t>
            </w:r>
            <w:r>
              <w:rPr>
                <w:rFonts w:hint="eastAsia" w:ascii="宋体" w:hAnsi="宋体" w:cs="宋体"/>
                <w:color w:val="auto"/>
                <w:sz w:val="24"/>
                <w:szCs w:val="24"/>
                <w:highlight w:val="none"/>
                <w:lang w:val="en-US" w:eastAsia="zh-CN"/>
              </w:rPr>
              <w:t>等级</w:t>
            </w:r>
            <w:r>
              <w:rPr>
                <w:rFonts w:hint="default" w:ascii="宋体" w:hAnsi="宋体" w:eastAsia="宋体" w:cs="宋体"/>
                <w:color w:val="auto"/>
                <w:sz w:val="24"/>
                <w:szCs w:val="24"/>
                <w:highlight w:val="none"/>
              </w:rPr>
              <w:t>证书；同时在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文件中承诺：合同履约期间，未经采购人书面同意，核心岗位人员不得擅自更换，若擅自更换按合同承担违约责任</w:t>
            </w:r>
            <w:r>
              <w:rPr>
                <w:rFonts w:hint="eastAsia" w:ascii="宋体" w:hAnsi="宋体" w:eastAsia="宋体" w:cs="宋体"/>
                <w:b w:val="0"/>
                <w:bCs w:val="0"/>
                <w:color w:val="auto"/>
                <w:kern w:val="0"/>
                <w:sz w:val="24"/>
                <w:szCs w:val="24"/>
                <w:highlight w:val="none"/>
                <w:lang w:val="en-US" w:eastAsia="zh-CN"/>
              </w:rPr>
              <w:t>。</w:t>
            </w:r>
          </w:p>
          <w:p w14:paraId="0440071F">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cs="宋体"/>
                <w:b w:val="0"/>
                <w:bCs w:val="0"/>
                <w:color w:val="auto"/>
                <w:kern w:val="0"/>
                <w:sz w:val="24"/>
                <w:szCs w:val="24"/>
                <w:highlight w:val="none"/>
                <w:lang w:val="en-US" w:eastAsia="zh-CN"/>
              </w:rPr>
              <w:t>注：以上人员均需在响应文件中提供身份证、劳动合同以及相关证书（如有）复印件并加盖单位公章，否则不予计分。</w:t>
            </w:r>
          </w:p>
        </w:tc>
        <w:tc>
          <w:tcPr>
            <w:tcW w:w="439" w:type="pct"/>
            <w:vAlign w:val="center"/>
          </w:tcPr>
          <w:p w14:paraId="44BC82D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0450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E8544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Cs/>
                <w:color w:val="auto"/>
                <w:kern w:val="0"/>
                <w:sz w:val="24"/>
                <w:szCs w:val="24"/>
                <w:highlight w:val="none"/>
                <w:lang w:val="en-US" w:eastAsia="zh-CN"/>
              </w:rPr>
            </w:pPr>
            <w:r>
              <w:rPr>
                <w:rFonts w:hint="eastAsia" w:ascii="宋体" w:hAnsi="宋体" w:cs="宋体"/>
                <w:b/>
                <w:bCs/>
                <w:color w:val="auto"/>
                <w:kern w:val="0"/>
                <w:sz w:val="24"/>
                <w:szCs w:val="24"/>
                <w:highlight w:val="none"/>
              </w:rPr>
              <w:t>3</w:t>
            </w:r>
          </w:p>
        </w:tc>
        <w:tc>
          <w:tcPr>
            <w:tcW w:w="564" w:type="pct"/>
            <w:vAlign w:val="center"/>
          </w:tcPr>
          <w:p w14:paraId="74EB33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2"/>
                <w:sz w:val="24"/>
                <w:szCs w:val="24"/>
                <w:highlight w:val="none"/>
                <w:lang w:val="en-US" w:eastAsia="zh-CN" w:bidi="ar"/>
              </w:rPr>
            </w:pPr>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p>
        </w:tc>
        <w:tc>
          <w:tcPr>
            <w:tcW w:w="3655" w:type="pct"/>
            <w:vAlign w:val="center"/>
          </w:tcPr>
          <w:p w14:paraId="22C3579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color w:val="auto"/>
                <w:kern w:val="0"/>
                <w:sz w:val="24"/>
                <w:szCs w:val="24"/>
                <w:highlight w:val="none"/>
              </w:rPr>
              <w:t>评审因素</w:t>
            </w:r>
          </w:p>
        </w:tc>
        <w:tc>
          <w:tcPr>
            <w:tcW w:w="439" w:type="pct"/>
            <w:vAlign w:val="center"/>
          </w:tcPr>
          <w:p w14:paraId="581512B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lang w:val="en-US" w:eastAsia="zh-CN"/>
              </w:rPr>
            </w:pPr>
            <w:r>
              <w:rPr>
                <w:rFonts w:hint="eastAsia" w:ascii="宋体" w:hAnsi="宋体" w:cs="宋体"/>
                <w:b/>
                <w:color w:val="auto"/>
                <w:kern w:val="0"/>
                <w:sz w:val="24"/>
                <w:szCs w:val="24"/>
                <w:highlight w:val="none"/>
              </w:rPr>
              <w:t>分值</w:t>
            </w:r>
          </w:p>
        </w:tc>
      </w:tr>
      <w:tr w14:paraId="15A9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21A462A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CCC02B8">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5B81C93B">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19A0C2AA">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供应商自202</w:t>
            </w:r>
            <w:r>
              <w:rPr>
                <w:rFonts w:hint="eastAsia" w:ascii="宋体" w:hAnsi="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年 1 月 1 日以来承担过类似体育</w:t>
            </w:r>
            <w:r>
              <w:rPr>
                <w:rFonts w:hint="eastAsia" w:ascii="宋体" w:hAnsi="宋体" w:cs="宋体"/>
                <w:b w:val="0"/>
                <w:bCs w:val="0"/>
                <w:color w:val="auto"/>
                <w:kern w:val="2"/>
                <w:sz w:val="24"/>
                <w:szCs w:val="24"/>
                <w:highlight w:val="none"/>
                <w:lang w:val="en-US" w:eastAsia="zh-CN" w:bidi="ar"/>
              </w:rPr>
              <w:t>赛事服务</w:t>
            </w:r>
            <w:r>
              <w:rPr>
                <w:rFonts w:hint="eastAsia" w:ascii="宋体" w:hAnsi="宋体" w:eastAsia="宋体" w:cs="宋体"/>
                <w:b w:val="0"/>
                <w:bCs w:val="0"/>
                <w:color w:val="auto"/>
                <w:kern w:val="2"/>
                <w:sz w:val="24"/>
                <w:szCs w:val="24"/>
                <w:highlight w:val="none"/>
                <w:lang w:val="en-US" w:eastAsia="zh-CN" w:bidi="ar"/>
              </w:rPr>
              <w:t>工作的，每项业绩得2分，满分10分。</w:t>
            </w:r>
          </w:p>
          <w:p w14:paraId="0D778872">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b/>
                <w:bCs/>
                <w:color w:val="auto"/>
                <w:kern w:val="2"/>
                <w:sz w:val="24"/>
                <w:szCs w:val="24"/>
                <w:highlight w:val="none"/>
                <w:lang w:val="en-US" w:eastAsia="zh-CN" w:bidi="ar"/>
              </w:rPr>
              <w:t>须提供有效的合同或中标（成交）通知书复印件</w:t>
            </w:r>
            <w:r>
              <w:rPr>
                <w:rFonts w:hint="eastAsia" w:ascii="宋体" w:hAnsi="宋体" w:cs="宋体"/>
                <w:b/>
                <w:bCs/>
                <w:color w:val="auto"/>
                <w:kern w:val="2"/>
                <w:sz w:val="24"/>
                <w:szCs w:val="24"/>
                <w:highlight w:val="none"/>
                <w:lang w:val="en-US" w:eastAsia="zh-CN" w:bidi="ar"/>
              </w:rPr>
              <w:t>（需清晰体现项目内容），</w:t>
            </w:r>
            <w:r>
              <w:rPr>
                <w:rFonts w:hint="eastAsia" w:ascii="宋体" w:hAnsi="宋体" w:eastAsia="宋体" w:cs="宋体"/>
                <w:b/>
                <w:bCs/>
                <w:color w:val="auto"/>
                <w:kern w:val="2"/>
                <w:sz w:val="24"/>
                <w:szCs w:val="24"/>
                <w:highlight w:val="none"/>
                <w:lang w:val="en-US" w:eastAsia="zh-CN" w:bidi="ar"/>
              </w:rPr>
              <w:t>加盖供应商公章。</w:t>
            </w:r>
          </w:p>
        </w:tc>
        <w:tc>
          <w:tcPr>
            <w:tcW w:w="439" w:type="pct"/>
            <w:vAlign w:val="center"/>
          </w:tcPr>
          <w:p w14:paraId="529396B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640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560" w:type="pct"/>
            <w:gridSpan w:val="3"/>
            <w:vAlign w:val="center"/>
          </w:tcPr>
          <w:p w14:paraId="4E0744D8">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hint="default" w:ascii="宋体" w:hAnsi="宋体" w:cs="宋体"/>
                <w:b/>
                <w:bCs/>
                <w:color w:val="auto"/>
                <w:sz w:val="24"/>
                <w:szCs w:val="24"/>
                <w:highlight w:val="none"/>
                <w:lang w:bidi="ar"/>
              </w:rPr>
              <w:t>=</w:t>
            </w:r>
            <w:r>
              <w:rPr>
                <w:rFonts w:hint="eastAsia" w:ascii="宋体" w:hAnsi="宋体" w:cs="宋体"/>
                <w:b/>
                <w:color w:val="auto"/>
                <w:sz w:val="21"/>
                <w:szCs w:val="21"/>
                <w:highlight w:val="none"/>
                <w:lang w:val="en-US" w:eastAsia="zh-CN"/>
              </w:rPr>
              <w:t>价格分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技术分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商务分</w:t>
            </w:r>
          </w:p>
        </w:tc>
        <w:tc>
          <w:tcPr>
            <w:tcW w:w="439" w:type="pct"/>
            <w:vAlign w:val="center"/>
          </w:tcPr>
          <w:p w14:paraId="0BB6A80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262E92C2">
      <w:pPr>
        <w:shd w:val="clear"/>
        <w:rPr>
          <w:color w:val="auto"/>
          <w:highlight w:val="none"/>
        </w:rPr>
      </w:pPr>
    </w:p>
    <w:p w14:paraId="3FFFD5D0">
      <w:pPr>
        <w:shd w:val="clear"/>
        <w:rPr>
          <w:color w:val="auto"/>
          <w:highlight w:val="none"/>
        </w:rPr>
      </w:pPr>
    </w:p>
    <w:p w14:paraId="1AAD3CB3">
      <w:pPr>
        <w:shd w:val="clea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由磋商小组根据综合评分情况，按照评审得分由高到低顺序推荐3名以上成交候选供应商，并编写评审报告，</w:t>
      </w:r>
      <w:r>
        <w:rPr>
          <w:rFonts w:hint="eastAsia" w:ascii="宋体" w:hAnsi="宋体" w:cs="宋体"/>
          <w:color w:val="auto"/>
          <w:sz w:val="24"/>
          <w:szCs w:val="24"/>
          <w:highlight w:val="none"/>
        </w:rPr>
        <w:t>评审报告</w:t>
      </w:r>
      <w:r>
        <w:rPr>
          <w:rFonts w:hint="eastAsia" w:hAnsi="宋体"/>
          <w:color w:val="auto"/>
          <w:sz w:val="24"/>
          <w:szCs w:val="24"/>
          <w:highlight w:val="none"/>
        </w:rPr>
        <w:t>通过电子交易平台向采购人、采购代理机构提交。</w:t>
      </w:r>
      <w:r>
        <w:rPr>
          <w:rFonts w:hint="eastAsia" w:ascii="宋体" w:hAnsi="宋体"/>
          <w:bCs/>
          <w:color w:val="auto"/>
          <w:sz w:val="24"/>
          <w:szCs w:val="24"/>
          <w:highlight w:val="none"/>
        </w:rPr>
        <w:t>评审得分相同的，按照最后报价由低到高的顺序推荐。评审得分且最后报价相同的，按照技术指标优劣顺序推荐（按技术得分由高到低排序，技术得分相同的按照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615111DC">
      <w:pPr>
        <w:shd w:val="clear"/>
        <w:adjustRightInd/>
        <w:spacing w:line="360" w:lineRule="auto"/>
        <w:ind w:firstLine="482" w:firstLineChars="200"/>
        <w:rPr>
          <w:rFonts w:hint="eastAsia" w:cs="Arial" w:asciiTheme="minorEastAsia" w:hAnsiTheme="minorEastAsia" w:eastAsiaTheme="minorEastAsia"/>
          <w:b/>
          <w:color w:val="auto"/>
          <w:kern w:val="0"/>
          <w:sz w:val="24"/>
          <w:highlight w:val="none"/>
        </w:rPr>
      </w:pPr>
    </w:p>
    <w:p w14:paraId="67715BC6">
      <w:pPr>
        <w:rPr>
          <w:rFonts w:hint="eastAsia" w:cs="仿宋_GB2312" w:asciiTheme="minorEastAsia" w:hAnsiTheme="minorEastAsia" w:eastAsiaTheme="minorEastAsia"/>
          <w:b/>
          <w:color w:val="auto"/>
          <w:sz w:val="36"/>
          <w:szCs w:val="36"/>
          <w:highlight w:val="none"/>
        </w:rPr>
      </w:pPr>
      <w:bookmarkStart w:id="62" w:name="_Toc12398"/>
      <w:r>
        <w:rPr>
          <w:rFonts w:hint="eastAsia" w:cs="仿宋_GB2312" w:asciiTheme="minorEastAsia" w:hAnsiTheme="minorEastAsia" w:eastAsiaTheme="minorEastAsia"/>
          <w:b/>
          <w:color w:val="auto"/>
          <w:sz w:val="36"/>
          <w:szCs w:val="36"/>
          <w:highlight w:val="none"/>
        </w:rPr>
        <w:br w:type="page"/>
      </w:r>
    </w:p>
    <w:p w14:paraId="441C4DF9">
      <w:pPr>
        <w:shd w:val="clea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61"/>
      <w:r>
        <w:rPr>
          <w:rFonts w:hint="eastAsia" w:cs="仿宋_GB2312" w:asciiTheme="minorEastAsia" w:hAnsiTheme="minorEastAsia" w:eastAsiaTheme="minorEastAsia"/>
          <w:b/>
          <w:color w:val="auto"/>
          <w:sz w:val="36"/>
          <w:szCs w:val="36"/>
          <w:highlight w:val="none"/>
        </w:rPr>
        <w:t xml:space="preserve">  拟签订的合同文本</w:t>
      </w:r>
      <w:bookmarkEnd w:id="62"/>
    </w:p>
    <w:p w14:paraId="75003C06">
      <w:pPr>
        <w:pStyle w:val="32"/>
        <w:shd w:val="clear"/>
        <w:spacing w:line="360" w:lineRule="auto"/>
        <w:jc w:val="center"/>
        <w:rPr>
          <w:rFonts w:hint="eastAsia" w:ascii="宋体" w:hAnsi="宋体" w:eastAsia="宋体" w:cs="宋体"/>
          <w:b/>
          <w:color w:val="auto"/>
          <w:sz w:val="52"/>
          <w:szCs w:val="52"/>
          <w:highlight w:val="none"/>
        </w:rPr>
      </w:pPr>
      <w:bookmarkStart w:id="63" w:name="第五部分"/>
      <w:bookmarkStart w:id="64" w:name="_Toc86217003"/>
    </w:p>
    <w:p w14:paraId="0275B7B0">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政府</w:t>
      </w:r>
      <w:r>
        <w:rPr>
          <w:rFonts w:hint="eastAsia" w:ascii="宋体" w:hAnsi="宋体" w:cs="宋体"/>
          <w:b/>
          <w:color w:val="auto"/>
          <w:sz w:val="36"/>
          <w:szCs w:val="36"/>
          <w:highlight w:val="none"/>
        </w:rPr>
        <w:t>采购合同参考范本</w:t>
      </w:r>
    </w:p>
    <w:p w14:paraId="04CC7E34">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1C27BC4F">
      <w:pPr>
        <w:pStyle w:val="282"/>
        <w:shd w:val="clear"/>
        <w:ind w:firstLine="2843" w:firstLineChars="1180"/>
        <w:rPr>
          <w:rFonts w:ascii="宋体" w:hAnsi="宋体" w:cs="宋体"/>
          <w:b/>
          <w:color w:val="auto"/>
          <w:szCs w:val="24"/>
          <w:highlight w:val="none"/>
        </w:rPr>
      </w:pPr>
    </w:p>
    <w:p w14:paraId="56FC545B">
      <w:pPr>
        <w:pStyle w:val="24"/>
        <w:shd w:val="clear"/>
        <w:spacing w:after="120"/>
        <w:rPr>
          <w:color w:val="auto"/>
          <w:highlight w:val="none"/>
        </w:rPr>
      </w:pPr>
    </w:p>
    <w:p w14:paraId="22B3C01B">
      <w:pPr>
        <w:pStyle w:val="24"/>
        <w:shd w:val="clear"/>
        <w:spacing w:after="120"/>
        <w:rPr>
          <w:color w:val="auto"/>
          <w:highlight w:val="none"/>
        </w:rPr>
      </w:pPr>
    </w:p>
    <w:p w14:paraId="28E23EBB">
      <w:pPr>
        <w:pStyle w:val="24"/>
        <w:shd w:val="clear"/>
        <w:spacing w:after="120"/>
        <w:rPr>
          <w:color w:val="auto"/>
          <w:highlight w:val="none"/>
        </w:rPr>
      </w:pPr>
    </w:p>
    <w:p w14:paraId="38259424">
      <w:pPr>
        <w:pStyle w:val="24"/>
        <w:shd w:val="clear"/>
        <w:spacing w:after="120"/>
        <w:rPr>
          <w:color w:val="auto"/>
          <w:highlight w:val="none"/>
        </w:rPr>
      </w:pPr>
    </w:p>
    <w:p w14:paraId="613D1E37">
      <w:pPr>
        <w:shd w:val="clear"/>
        <w:adjustRightInd/>
        <w:spacing w:line="360" w:lineRule="auto"/>
        <w:ind w:left="1680" w:leftChars="800"/>
        <w:rPr>
          <w:color w:val="auto"/>
          <w:sz w:val="28"/>
          <w:szCs w:val="28"/>
          <w:highlight w:val="none"/>
        </w:rPr>
      </w:pPr>
      <w:r>
        <w:rPr>
          <w:rFonts w:hint="eastAsia" w:ascii="宋体" w:hAnsi="宋体" w:cs="宋体"/>
          <w:color w:val="auto"/>
          <w:kern w:val="0"/>
          <w:sz w:val="28"/>
          <w:szCs w:val="28"/>
          <w:highlight w:val="none"/>
        </w:rPr>
        <w:t>项目名称：</w:t>
      </w:r>
      <w:r>
        <w:rPr>
          <w:color w:val="auto"/>
          <w:sz w:val="28"/>
          <w:szCs w:val="28"/>
          <w:highlight w:val="none"/>
          <w:u w:val="single"/>
        </w:rPr>
        <w:t xml:space="preserve">                             </w:t>
      </w:r>
    </w:p>
    <w:p w14:paraId="5794C46A">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合同编号：</w:t>
      </w:r>
      <w:r>
        <w:rPr>
          <w:color w:val="auto"/>
          <w:sz w:val="28"/>
          <w:szCs w:val="28"/>
          <w:highlight w:val="none"/>
          <w:u w:val="single"/>
        </w:rPr>
        <w:t xml:space="preserve">                             </w:t>
      </w:r>
    </w:p>
    <w:p w14:paraId="5D16679C">
      <w:pPr>
        <w:shd w:val="clear"/>
        <w:adjustRightInd/>
        <w:spacing w:line="360" w:lineRule="auto"/>
        <w:ind w:left="1680" w:leftChars="800"/>
        <w:rPr>
          <w:color w:val="auto"/>
          <w:sz w:val="28"/>
          <w:szCs w:val="28"/>
          <w:highlight w:val="none"/>
        </w:rPr>
      </w:pPr>
      <w:r>
        <w:rPr>
          <w:rFonts w:hint="eastAsia"/>
          <w:color w:val="auto"/>
          <w:sz w:val="28"/>
          <w:szCs w:val="28"/>
          <w:highlight w:val="none"/>
        </w:rPr>
        <w:t>甲</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19061DF5">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乙</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7C848D12">
      <w:pPr>
        <w:shd w:val="clear"/>
        <w:adjustRightInd/>
        <w:spacing w:line="360" w:lineRule="auto"/>
        <w:ind w:left="1680" w:leftChars="800"/>
        <w:rPr>
          <w:rFonts w:hint="eastAsia" w:eastAsia="宋体"/>
          <w:color w:val="auto"/>
          <w:sz w:val="28"/>
          <w:szCs w:val="28"/>
          <w:highlight w:val="none"/>
          <w:u w:val="none"/>
          <w:lang w:val="en-US" w:eastAsia="zh-CN"/>
        </w:rPr>
      </w:pPr>
      <w:r>
        <w:rPr>
          <w:rFonts w:hint="eastAsia"/>
          <w:color w:val="auto"/>
          <w:sz w:val="28"/>
          <w:szCs w:val="28"/>
          <w:highlight w:val="none"/>
          <w:u w:val="none"/>
          <w:lang w:val="en-US" w:eastAsia="zh-CN"/>
        </w:rPr>
        <w:t>日    期：</w:t>
      </w:r>
      <w:r>
        <w:rPr>
          <w:color w:val="auto"/>
          <w:sz w:val="28"/>
          <w:szCs w:val="28"/>
          <w:highlight w:val="none"/>
          <w:u w:val="single"/>
        </w:rPr>
        <w:t xml:space="preserve">                             </w:t>
      </w:r>
    </w:p>
    <w:p w14:paraId="1B43691A">
      <w:pPr>
        <w:pStyle w:val="633"/>
        <w:shd w:val="clear"/>
        <w:rPr>
          <w:color w:val="auto"/>
          <w:sz w:val="21"/>
          <w:szCs w:val="21"/>
          <w:highlight w:val="none"/>
        </w:rPr>
      </w:pPr>
    </w:p>
    <w:p w14:paraId="1906EB27">
      <w:pPr>
        <w:pStyle w:val="633"/>
        <w:shd w:val="clear"/>
        <w:rPr>
          <w:color w:val="auto"/>
          <w:sz w:val="21"/>
          <w:szCs w:val="21"/>
          <w:highlight w:val="none"/>
        </w:rPr>
      </w:pPr>
    </w:p>
    <w:p w14:paraId="47CAE107">
      <w:pPr>
        <w:pStyle w:val="633"/>
        <w:shd w:val="clear"/>
        <w:rPr>
          <w:color w:val="auto"/>
          <w:sz w:val="21"/>
          <w:szCs w:val="21"/>
          <w:highlight w:val="none"/>
        </w:rPr>
      </w:pPr>
    </w:p>
    <w:p w14:paraId="51E234E2">
      <w:pPr>
        <w:pStyle w:val="633"/>
        <w:shd w:val="clear"/>
        <w:rPr>
          <w:color w:val="auto"/>
          <w:sz w:val="21"/>
          <w:szCs w:val="21"/>
          <w:highlight w:val="none"/>
        </w:rPr>
      </w:pPr>
    </w:p>
    <w:p w14:paraId="3D186CB7">
      <w:pPr>
        <w:pStyle w:val="633"/>
        <w:shd w:val="clear"/>
        <w:jc w:val="center"/>
        <w:rPr>
          <w:rFonts w:ascii="宋体" w:hAnsi="宋体" w:cs="宋体"/>
          <w:b/>
          <w:color w:val="auto"/>
          <w:sz w:val="24"/>
          <w:szCs w:val="24"/>
          <w:highlight w:val="none"/>
        </w:rPr>
      </w:pPr>
      <w:r>
        <w:rPr>
          <w:color w:val="auto"/>
          <w:sz w:val="21"/>
          <w:szCs w:val="21"/>
          <w:highlight w:val="none"/>
        </w:rPr>
        <w:br w:type="page"/>
      </w:r>
      <w:bookmarkStart w:id="65" w:name="_Toc22209"/>
      <w:r>
        <w:rPr>
          <w:rFonts w:hint="eastAsia" w:ascii="宋体" w:hAnsi="宋体"/>
          <w:b/>
          <w:color w:val="auto"/>
          <w:sz w:val="24"/>
          <w:szCs w:val="24"/>
          <w:highlight w:val="none"/>
        </w:rPr>
        <w:t>第一节 政府采购合同协议书</w:t>
      </w:r>
      <w:bookmarkEnd w:id="65"/>
    </w:p>
    <w:p w14:paraId="465CE70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年</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月</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日</w:t>
      </w:r>
      <w:r>
        <w:rPr>
          <w:rFonts w:hint="eastAsia" w:ascii="宋体" w:hAnsi="宋体"/>
          <w:color w:val="auto"/>
          <w:sz w:val="24"/>
          <w:szCs w:val="24"/>
          <w:highlight w:val="none"/>
        </w:rPr>
        <w:t>，</w:t>
      </w:r>
      <w:r>
        <w:rPr>
          <w:rFonts w:hint="eastAsia" w:ascii="宋体" w:hAnsi="宋体"/>
          <w:color w:val="auto"/>
          <w:sz w:val="24"/>
          <w:szCs w:val="24"/>
          <w:highlight w:val="none"/>
          <w:u w:val="none"/>
          <w:lang w:eastAsia="zh-CN"/>
        </w:rPr>
        <w:t>北海市旅游文体局</w:t>
      </w:r>
      <w:r>
        <w:rPr>
          <w:rFonts w:hint="eastAsia" w:ascii="宋体" w:hAnsi="宋体"/>
          <w:color w:val="auto"/>
          <w:sz w:val="24"/>
          <w:szCs w:val="24"/>
          <w:highlight w:val="none"/>
          <w:u w:val="none"/>
        </w:rPr>
        <w:t>以</w:t>
      </w:r>
      <w:r>
        <w:rPr>
          <w:rFonts w:hint="eastAsia" w:ascii="宋体" w:hAnsi="宋体"/>
          <w:color w:val="auto"/>
          <w:sz w:val="24"/>
          <w:szCs w:val="24"/>
          <w:highlight w:val="none"/>
          <w:u w:val="none"/>
          <w:lang w:val="en-US" w:eastAsia="zh-CN"/>
        </w:rPr>
        <w:t>竞争性磋商方式</w:t>
      </w:r>
      <w:r>
        <w:rPr>
          <w:rFonts w:hint="eastAsia" w:ascii="宋体" w:hAnsi="宋体"/>
          <w:color w:val="auto"/>
          <w:sz w:val="24"/>
          <w:szCs w:val="24"/>
          <w:highlight w:val="none"/>
          <w:u w:val="none"/>
        </w:rPr>
        <w:t>对</w:t>
      </w:r>
      <w:r>
        <w:rPr>
          <w:rFonts w:hint="eastAsia" w:ascii="宋体" w:hAnsi="宋体"/>
          <w:color w:val="auto"/>
          <w:sz w:val="24"/>
          <w:szCs w:val="24"/>
          <w:highlight w:val="none"/>
          <w:u w:val="none"/>
          <w:lang w:eastAsia="zh-CN"/>
        </w:rPr>
        <w:t>广西壮族自治区第十六届运动会竞技体育项目（国际摔跤）竞赛服务</w:t>
      </w:r>
      <w:r>
        <w:rPr>
          <w:rFonts w:hint="eastAsia" w:ascii="宋体" w:hAnsi="宋体"/>
          <w:color w:val="auto"/>
          <w:sz w:val="24"/>
          <w:szCs w:val="24"/>
          <w:highlight w:val="none"/>
          <w:u w:val="none"/>
        </w:rPr>
        <w:t>进行了采购。经</w:t>
      </w:r>
      <w:r>
        <w:rPr>
          <w:rFonts w:hint="eastAsia" w:ascii="宋体" w:hAnsi="宋体"/>
          <w:color w:val="auto"/>
          <w:sz w:val="24"/>
          <w:szCs w:val="24"/>
          <w:highlight w:val="none"/>
          <w:u w:val="none"/>
          <w:lang w:val="en-US" w:eastAsia="zh-CN"/>
        </w:rPr>
        <w:t>磋商小组</w:t>
      </w:r>
      <w:r>
        <w:rPr>
          <w:rFonts w:hint="eastAsia" w:ascii="宋体" w:hAnsi="宋体"/>
          <w:color w:val="auto"/>
          <w:sz w:val="24"/>
          <w:szCs w:val="24"/>
          <w:highlight w:val="none"/>
          <w:u w:val="none"/>
        </w:rPr>
        <w:t>评定，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hint="eastAsia" w:ascii="宋体" w:hAnsi="宋体"/>
          <w:color w:val="auto"/>
          <w:sz w:val="24"/>
          <w:szCs w:val="24"/>
          <w:highlight w:val="none"/>
        </w:rPr>
        <w:t>为该项目</w:t>
      </w:r>
      <w:r>
        <w:rPr>
          <w:rFonts w:hint="eastAsia" w:ascii="宋体" w:hAnsi="宋体" w:cs="宋体"/>
          <w:color w:val="auto"/>
          <w:sz w:val="24"/>
          <w:szCs w:val="24"/>
          <w:highlight w:val="none"/>
        </w:rPr>
        <w:t>成交供应商</w:t>
      </w:r>
      <w:r>
        <w:rPr>
          <w:rFonts w:hint="eastAsia" w:ascii="宋体" w:hAnsi="宋体"/>
          <w:color w:val="auto"/>
          <w:sz w:val="24"/>
          <w:szCs w:val="24"/>
          <w:highlight w:val="none"/>
        </w:rPr>
        <w:t>。现于</w:t>
      </w:r>
      <w:r>
        <w:rPr>
          <w:rFonts w:hint="eastAsia" w:ascii="宋体" w:hAnsi="宋体" w:cs="宋体"/>
          <w:color w:val="auto"/>
          <w:sz w:val="24"/>
          <w:szCs w:val="24"/>
          <w:highlight w:val="none"/>
        </w:rPr>
        <w:t>成交通知书</w:t>
      </w:r>
      <w:r>
        <w:rPr>
          <w:rFonts w:hint="eastAsia" w:ascii="宋体" w:hAnsi="宋体"/>
          <w:color w:val="auto"/>
          <w:sz w:val="24"/>
          <w:szCs w:val="24"/>
          <w:highlight w:val="none"/>
        </w:rPr>
        <w:t>发出之日起</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日历日</w:t>
      </w:r>
      <w:r>
        <w:rPr>
          <w:rFonts w:hint="eastAsia" w:ascii="宋体" w:hAnsi="宋体"/>
          <w:color w:val="auto"/>
          <w:sz w:val="24"/>
          <w:szCs w:val="24"/>
          <w:highlight w:val="none"/>
        </w:rPr>
        <w:t>内，按照采购文件确定的事项签订本合同。</w:t>
      </w:r>
    </w:p>
    <w:p w14:paraId="2C81EF6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color w:val="auto"/>
          <w:sz w:val="24"/>
          <w:szCs w:val="24"/>
          <w:highlight w:val="none"/>
          <w:lang w:val="zh-CN" w:eastAsia="zh-CN"/>
        </w:rPr>
        <w:t>北海市旅游文体局</w:t>
      </w:r>
      <w:r>
        <w:rPr>
          <w:rFonts w:ascii="宋体" w:hAnsi="宋体"/>
          <w:color w:val="auto"/>
          <w:sz w:val="24"/>
          <w:szCs w:val="24"/>
          <w:highlight w:val="none"/>
          <w:lang w:val="zh-CN"/>
        </w:rPr>
        <w:t>(以下简称：甲方)和</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ascii="宋体" w:hAnsi="宋体"/>
          <w:color w:val="auto"/>
          <w:sz w:val="24"/>
          <w:szCs w:val="24"/>
          <w:highlight w:val="none"/>
          <w:lang w:val="zh-CN"/>
        </w:rPr>
        <w:t>(以下简称：乙方)协商一致，约定以下合同</w:t>
      </w:r>
      <w:r>
        <w:rPr>
          <w:rFonts w:hint="eastAsia" w:ascii="宋体" w:hAnsi="宋体"/>
          <w:color w:val="auto"/>
          <w:sz w:val="24"/>
          <w:szCs w:val="24"/>
          <w:highlight w:val="none"/>
        </w:rPr>
        <w:t>条款，以兹共同遵守、全面履行。</w:t>
      </w:r>
    </w:p>
    <w:p w14:paraId="776C3CA0">
      <w:pPr>
        <w:shd w:val="clear"/>
        <w:spacing w:line="360" w:lineRule="auto"/>
        <w:ind w:firstLine="482" w:firstLineChars="200"/>
        <w:rPr>
          <w:rFonts w:ascii="宋体" w:hAnsi="宋体"/>
          <w:color w:val="auto"/>
          <w:sz w:val="24"/>
          <w:szCs w:val="24"/>
          <w:highlight w:val="none"/>
        </w:rPr>
      </w:pPr>
      <w:bookmarkStart w:id="66" w:name="_Toc15367"/>
      <w:bookmarkStart w:id="67" w:name="_Toc22967"/>
      <w:bookmarkStart w:id="68" w:name="_Toc28855"/>
      <w:bookmarkStart w:id="69" w:name="_Toc20421"/>
      <w:bookmarkStart w:id="70" w:name="_Toc19273"/>
      <w:r>
        <w:rPr>
          <w:rFonts w:ascii="宋体" w:hAnsi="宋体"/>
          <w:b/>
          <w:color w:val="auto"/>
          <w:sz w:val="24"/>
          <w:szCs w:val="24"/>
          <w:highlight w:val="none"/>
        </w:rPr>
        <w:t xml:space="preserve">1.1 </w:t>
      </w:r>
      <w:r>
        <w:rPr>
          <w:rFonts w:hint="eastAsia" w:ascii="宋体" w:hAnsi="宋体"/>
          <w:b/>
          <w:color w:val="auto"/>
          <w:sz w:val="24"/>
          <w:szCs w:val="24"/>
          <w:highlight w:val="none"/>
        </w:rPr>
        <w:t>合同组成部分</w:t>
      </w:r>
      <w:bookmarkEnd w:id="66"/>
      <w:bookmarkEnd w:id="67"/>
      <w:bookmarkEnd w:id="68"/>
      <w:bookmarkEnd w:id="69"/>
      <w:bookmarkEnd w:id="70"/>
    </w:p>
    <w:p w14:paraId="28B60A5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5A47C5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本合同及其补充合同、变更协议；</w:t>
      </w:r>
    </w:p>
    <w:p w14:paraId="58DD55C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成交通知书；</w:t>
      </w:r>
    </w:p>
    <w:p w14:paraId="77DCE5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响应文件（含澄清或者说明文件）；</w:t>
      </w:r>
    </w:p>
    <w:p w14:paraId="2590818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1.1.4 </w:t>
      </w:r>
      <w:r>
        <w:rPr>
          <w:rFonts w:hint="eastAsia" w:ascii="宋体" w:hAnsi="宋体"/>
          <w:color w:val="auto"/>
          <w:sz w:val="24"/>
          <w:szCs w:val="24"/>
          <w:highlight w:val="none"/>
        </w:rPr>
        <w:t>采购文件（含澄清或者修改文件）；</w:t>
      </w:r>
    </w:p>
    <w:p w14:paraId="113D83C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1.1.5 </w:t>
      </w:r>
      <w:r>
        <w:rPr>
          <w:rFonts w:hint="eastAsia" w:ascii="宋体" w:hAnsi="宋体"/>
          <w:color w:val="auto"/>
          <w:sz w:val="24"/>
          <w:szCs w:val="24"/>
          <w:highlight w:val="none"/>
        </w:rPr>
        <w:t>其他相关采购文件。</w:t>
      </w:r>
    </w:p>
    <w:p w14:paraId="5CF8DAEA">
      <w:pPr>
        <w:shd w:val="clear"/>
        <w:spacing w:line="360" w:lineRule="auto"/>
        <w:ind w:firstLine="482" w:firstLineChars="200"/>
        <w:rPr>
          <w:rFonts w:ascii="宋体" w:hAnsi="宋体"/>
          <w:b/>
          <w:color w:val="auto"/>
          <w:sz w:val="24"/>
          <w:szCs w:val="24"/>
          <w:highlight w:val="none"/>
        </w:rPr>
      </w:pPr>
      <w:bookmarkStart w:id="71" w:name="_Toc6773"/>
      <w:bookmarkStart w:id="72" w:name="_Toc6311"/>
      <w:bookmarkStart w:id="73" w:name="_Toc18585"/>
      <w:bookmarkStart w:id="74" w:name="_Toc22185"/>
      <w:bookmarkStart w:id="75" w:name="_Toc2918"/>
      <w:r>
        <w:rPr>
          <w:rFonts w:ascii="宋体" w:hAnsi="宋体"/>
          <w:b/>
          <w:color w:val="auto"/>
          <w:sz w:val="24"/>
          <w:szCs w:val="24"/>
          <w:highlight w:val="none"/>
        </w:rPr>
        <w:t xml:space="preserve">1.2 </w:t>
      </w:r>
      <w:r>
        <w:rPr>
          <w:rFonts w:hint="eastAsia" w:ascii="宋体" w:hAnsi="宋体"/>
          <w:b/>
          <w:color w:val="auto"/>
          <w:sz w:val="24"/>
          <w:szCs w:val="24"/>
          <w:highlight w:val="none"/>
        </w:rPr>
        <w:t>标的</w:t>
      </w:r>
      <w:bookmarkEnd w:id="71"/>
      <w:bookmarkEnd w:id="72"/>
      <w:bookmarkEnd w:id="73"/>
      <w:bookmarkEnd w:id="74"/>
      <w:bookmarkEnd w:id="75"/>
    </w:p>
    <w:p w14:paraId="3BCFFD45">
      <w:pPr>
        <w:shd w:val="clear"/>
        <w:spacing w:line="360" w:lineRule="auto"/>
        <w:ind w:firstLine="480" w:firstLineChars="200"/>
        <w:rPr>
          <w:rFonts w:hint="eastAsia" w:ascii="宋体" w:hAnsi="宋体" w:eastAsia="宋体"/>
          <w:color w:val="auto"/>
          <w:sz w:val="24"/>
          <w:szCs w:val="24"/>
          <w:highlight w:val="none"/>
          <w:u w:val="single"/>
          <w:lang w:eastAsia="zh-CN"/>
        </w:rPr>
      </w:pPr>
      <w:r>
        <w:rPr>
          <w:rFonts w:ascii="宋体" w:hAnsi="宋体"/>
          <w:color w:val="auto"/>
          <w:sz w:val="24"/>
          <w:szCs w:val="24"/>
          <w:highlight w:val="none"/>
        </w:rPr>
        <w:t xml:space="preserve">1.2.1 </w:t>
      </w:r>
      <w:r>
        <w:rPr>
          <w:rFonts w:hint="eastAsia" w:ascii="宋体" w:hAnsi="宋体"/>
          <w:color w:val="auto"/>
          <w:sz w:val="24"/>
          <w:szCs w:val="24"/>
          <w:highlight w:val="none"/>
        </w:rPr>
        <w:t>服务内容</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w:t>
      </w:r>
    </w:p>
    <w:p w14:paraId="7BC699C4">
      <w:pPr>
        <w:shd w:val="clear"/>
        <w:spacing w:line="360" w:lineRule="auto"/>
        <w:ind w:firstLine="480" w:firstLineChars="200"/>
        <w:rPr>
          <w:rFonts w:ascii="宋体" w:hAnsi="宋体" w:eastAsia="宋体" w:cs="Times New Roman"/>
          <w:b w:val="0"/>
          <w:bCs w:val="0"/>
          <w:color w:val="auto"/>
          <w:kern w:val="2"/>
          <w:sz w:val="24"/>
          <w:szCs w:val="24"/>
          <w:highlight w:val="none"/>
          <w:u w:val="single"/>
          <w:lang w:val="en-US" w:eastAsia="zh-CN" w:bidi="ar-SA"/>
        </w:rPr>
      </w:pPr>
      <w:r>
        <w:rPr>
          <w:rFonts w:ascii="宋体" w:hAnsi="宋体"/>
          <w:color w:val="auto"/>
          <w:sz w:val="24"/>
          <w:szCs w:val="24"/>
          <w:highlight w:val="none"/>
        </w:rPr>
        <w:t xml:space="preserve">1.2.2 </w:t>
      </w:r>
      <w:r>
        <w:rPr>
          <w:rFonts w:hint="eastAsia" w:ascii="宋体" w:hAnsi="宋体"/>
          <w:color w:val="auto"/>
          <w:sz w:val="24"/>
          <w:szCs w:val="24"/>
          <w:highlight w:val="none"/>
        </w:rPr>
        <w:t>服务标准</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eastAsia="宋体" w:cs="Times New Roman"/>
          <w:b w:val="0"/>
          <w:bCs w:val="0"/>
          <w:color w:val="auto"/>
          <w:kern w:val="2"/>
          <w:sz w:val="24"/>
          <w:szCs w:val="24"/>
          <w:highlight w:val="none"/>
          <w:u w:val="single"/>
          <w:lang w:val="en-US" w:eastAsia="zh-CN" w:bidi="ar-SA"/>
        </w:rPr>
        <w:t>。</w:t>
      </w:r>
    </w:p>
    <w:p w14:paraId="1D1CDED8">
      <w:pPr>
        <w:shd w:val="clea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xml:space="preserve"> 服务人员组成：</w:t>
      </w:r>
      <w:r>
        <w:rPr>
          <w:rFonts w:hint="eastAsia" w:ascii="宋体" w:hAnsi="宋体"/>
          <w:color w:val="auto"/>
          <w:sz w:val="24"/>
          <w:szCs w:val="24"/>
          <w:highlight w:val="none"/>
          <w:u w:val="single"/>
          <w:lang w:val="en-US" w:eastAsia="zh-CN"/>
        </w:rPr>
        <w:t>项目负责人：         ；身份证号码：      联系方式：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1A49617">
      <w:pPr>
        <w:shd w:val="clear"/>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5FB9A479">
      <w:pPr>
        <w:shd w:val="clear"/>
        <w:spacing w:line="360" w:lineRule="auto"/>
        <w:ind w:firstLine="480" w:firstLineChars="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合同</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（是/否）涉及货物。</w:t>
      </w:r>
      <w:bookmarkStart w:id="76" w:name="_Toc1386"/>
      <w:bookmarkStart w:id="77" w:name="_Toc5635"/>
      <w:bookmarkStart w:id="78" w:name="_Toc13918"/>
      <w:bookmarkStart w:id="79" w:name="_Toc4929"/>
      <w:bookmarkStart w:id="80" w:name="_Toc21124"/>
    </w:p>
    <w:p w14:paraId="4D9C4241">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1.3 价款</w:t>
      </w:r>
      <w:bookmarkEnd w:id="76"/>
      <w:bookmarkEnd w:id="77"/>
      <w:bookmarkEnd w:id="78"/>
      <w:bookmarkEnd w:id="79"/>
      <w:bookmarkEnd w:id="80"/>
    </w:p>
    <w:p w14:paraId="3DFD5F3C">
      <w:pPr>
        <w:shd w:val="clea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本项目采用以下第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1.3.1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条款规定的计价方式计价。</w:t>
      </w:r>
    </w:p>
    <w:p w14:paraId="53D68324">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1.3.1总价合同，</w:t>
      </w:r>
      <w:r>
        <w:rPr>
          <w:rFonts w:ascii="宋体" w:hAnsi="宋体"/>
          <w:color w:val="auto"/>
          <w:sz w:val="24"/>
          <w:szCs w:val="24"/>
          <w:highlight w:val="none"/>
        </w:rPr>
        <w:t>本合同总价</w:t>
      </w:r>
      <w:r>
        <w:rPr>
          <w:rFonts w:hint="eastAsia" w:ascii="宋体" w:hAnsi="宋体"/>
          <w:color w:val="auto"/>
          <w:sz w:val="24"/>
          <w:szCs w:val="24"/>
          <w:highlight w:val="none"/>
        </w:rPr>
        <w:t>（含税）</w:t>
      </w:r>
      <w:r>
        <w:rPr>
          <w:rFonts w:ascii="宋体" w:hAnsi="宋体"/>
          <w:color w:val="auto"/>
          <w:sz w:val="24"/>
          <w:szCs w:val="24"/>
          <w:highlight w:val="none"/>
        </w:rPr>
        <w:t>为</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hint="eastAsia" w:ascii="宋体" w:hAnsi="宋体"/>
          <w:color w:val="auto"/>
          <w:sz w:val="24"/>
          <w:szCs w:val="24"/>
          <w:highlight w:val="none"/>
        </w:rPr>
        <w:t>（大写：</w:t>
      </w:r>
      <w:r>
        <w:rPr>
          <w:rFonts w:ascii="宋体" w:hAnsi="宋体"/>
          <w:color w:val="auto"/>
          <w:sz w:val="24"/>
          <w:szCs w:val="24"/>
          <w:highlight w:val="none"/>
          <w:u w:val="single"/>
        </w:rPr>
        <w:t xml:space="preserve">                 </w:t>
      </w:r>
      <w:r>
        <w:rPr>
          <w:rFonts w:hint="eastAsia" w:ascii="宋体" w:hAnsi="宋体"/>
          <w:color w:val="auto"/>
          <w:sz w:val="24"/>
          <w:szCs w:val="24"/>
          <w:highlight w:val="none"/>
        </w:rPr>
        <w:t>元人民币）</w:t>
      </w:r>
      <w:r>
        <w:rPr>
          <w:rFonts w:ascii="宋体" w:hAnsi="宋体"/>
          <w:color w:val="auto"/>
          <w:sz w:val="24"/>
          <w:szCs w:val="24"/>
          <w:highlight w:val="none"/>
        </w:rPr>
        <w:t>。</w:t>
      </w:r>
    </w:p>
    <w:p w14:paraId="6E7E2253">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B2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0AE39C3">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序号</w:t>
            </w:r>
          </w:p>
        </w:tc>
        <w:tc>
          <w:tcPr>
            <w:tcW w:w="3402" w:type="dxa"/>
            <w:noWrap w:val="0"/>
            <w:vAlign w:val="center"/>
          </w:tcPr>
          <w:p w14:paraId="27872A7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分项名称</w:t>
            </w:r>
          </w:p>
        </w:tc>
        <w:tc>
          <w:tcPr>
            <w:tcW w:w="2552" w:type="dxa"/>
            <w:noWrap w:val="0"/>
            <w:vAlign w:val="center"/>
          </w:tcPr>
          <w:p w14:paraId="2BB82512">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分项价格</w:t>
            </w:r>
          </w:p>
        </w:tc>
      </w:tr>
      <w:tr w14:paraId="6120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EF2C1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2344021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3390BA0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1CD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6CC244E">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201A180">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60CC3D01">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4A9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192250A">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3414CB2D">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533C51E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79A3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25E9746">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90D93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714821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25F7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46023D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总价</w:t>
            </w:r>
          </w:p>
        </w:tc>
        <w:tc>
          <w:tcPr>
            <w:tcW w:w="2552" w:type="dxa"/>
            <w:noWrap w:val="0"/>
            <w:vAlign w:val="center"/>
          </w:tcPr>
          <w:p w14:paraId="56A6FBB4">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bl>
    <w:p w14:paraId="30EC00B2">
      <w:pPr>
        <w:shd w:val="clear"/>
        <w:spacing w:line="360" w:lineRule="auto"/>
        <w:ind w:firstLine="480" w:firstLineChars="200"/>
        <w:rPr>
          <w:rFonts w:ascii="宋体" w:hAnsi="宋体"/>
          <w:color w:val="auto"/>
          <w:sz w:val="24"/>
          <w:szCs w:val="24"/>
          <w:highlight w:val="none"/>
        </w:rPr>
      </w:pPr>
      <w:bookmarkStart w:id="81" w:name="_Toc3654"/>
      <w:bookmarkStart w:id="82" w:name="_Toc30158"/>
      <w:bookmarkStart w:id="83" w:name="_Toc14993"/>
      <w:bookmarkStart w:id="84" w:name="_Toc30506"/>
      <w:bookmarkStart w:id="85" w:name="_Toc26916"/>
      <w:r>
        <w:rPr>
          <w:rFonts w:hint="eastAsia" w:ascii="宋体" w:hAnsi="宋体"/>
          <w:bCs/>
          <w:color w:val="auto"/>
          <w:sz w:val="24"/>
          <w:szCs w:val="24"/>
          <w:highlight w:val="none"/>
        </w:rPr>
        <w:t>1.3.2单价合同，本合同单价（含税）标准为：</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ascii="宋体" w:hAnsi="宋体"/>
          <w:color w:val="auto"/>
          <w:sz w:val="24"/>
          <w:szCs w:val="24"/>
          <w:highlight w:val="none"/>
        </w:rPr>
        <w:t>。</w:t>
      </w:r>
      <w:r>
        <w:rPr>
          <w:rFonts w:hint="eastAsia" w:ascii="宋体" w:hAnsi="宋体"/>
          <w:color w:val="auto"/>
          <w:sz w:val="24"/>
          <w:szCs w:val="24"/>
          <w:highlight w:val="none"/>
        </w:rPr>
        <w:t>服务工作量的计量方式为：</w:t>
      </w:r>
      <w:r>
        <w:rPr>
          <w:rFonts w:hint="eastAsia" w:ascii="宋体" w:hAnsi="宋体"/>
          <w:bCs/>
          <w:color w:val="auto"/>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bCs/>
          <w:color w:val="auto"/>
          <w:sz w:val="24"/>
          <w:szCs w:val="24"/>
          <w:highlight w:val="none"/>
          <w:u w:val="single"/>
        </w:rPr>
        <w:t xml:space="preserve">  </w:t>
      </w:r>
      <w:r>
        <w:rPr>
          <w:rFonts w:ascii="宋体" w:hAnsi="宋体"/>
          <w:color w:val="auto"/>
          <w:sz w:val="24"/>
          <w:szCs w:val="24"/>
          <w:highlight w:val="none"/>
        </w:rPr>
        <w:t>。</w:t>
      </w:r>
    </w:p>
    <w:p w14:paraId="436DC59C">
      <w:pPr>
        <w:pStyle w:val="633"/>
        <w:shd w:val="clear"/>
        <w:rPr>
          <w:color w:val="auto"/>
          <w:sz w:val="24"/>
          <w:szCs w:val="24"/>
          <w:highlight w:val="none"/>
        </w:rPr>
      </w:pPr>
      <w:r>
        <w:rPr>
          <w:rFonts w:hint="eastAsia"/>
          <w:color w:val="auto"/>
          <w:sz w:val="24"/>
          <w:szCs w:val="24"/>
          <w:highlight w:val="none"/>
        </w:rPr>
        <w:t>1.3.3其他计价方式：</w:t>
      </w:r>
      <w:r>
        <w:rPr>
          <w:rFonts w:hint="eastAsia"/>
          <w:color w:val="auto"/>
          <w:sz w:val="24"/>
          <w:szCs w:val="24"/>
          <w:highlight w:val="none"/>
          <w:u w:val="single"/>
        </w:rPr>
        <w:t xml:space="preserve">                   </w:t>
      </w:r>
      <w:r>
        <w:rPr>
          <w:rFonts w:hint="eastAsia"/>
          <w:color w:val="auto"/>
          <w:sz w:val="24"/>
          <w:szCs w:val="24"/>
          <w:highlight w:val="none"/>
        </w:rPr>
        <w:t>。</w:t>
      </w:r>
    </w:p>
    <w:bookmarkEnd w:id="81"/>
    <w:bookmarkEnd w:id="82"/>
    <w:bookmarkEnd w:id="83"/>
    <w:bookmarkEnd w:id="84"/>
    <w:bookmarkEnd w:id="85"/>
    <w:p w14:paraId="15AAE660">
      <w:pPr>
        <w:pStyle w:val="631"/>
        <w:shd w:val="clear"/>
        <w:spacing w:before="0" w:beforeAutospacing="0" w:after="0" w:afterAutospacing="0" w:line="360" w:lineRule="auto"/>
        <w:ind w:firstLine="480"/>
        <w:rPr>
          <w:b/>
          <w:color w:val="auto"/>
          <w:sz w:val="24"/>
          <w:szCs w:val="24"/>
          <w:highlight w:val="none"/>
        </w:rPr>
      </w:pPr>
      <w:bookmarkStart w:id="86" w:name="_Toc10340"/>
      <w:bookmarkStart w:id="87" w:name="_Toc1814"/>
      <w:bookmarkStart w:id="88" w:name="_Toc22618"/>
      <w:bookmarkStart w:id="89" w:name="_Toc31421"/>
      <w:bookmarkStart w:id="90" w:name="_Toc8772"/>
      <w:bookmarkStart w:id="91" w:name="_Toc4760"/>
      <w:bookmarkStart w:id="92" w:name="_Toc11108"/>
      <w:bookmarkStart w:id="93" w:name="_Toc3625"/>
      <w:r>
        <w:rPr>
          <w:rFonts w:hint="eastAsia"/>
          <w:b/>
          <w:color w:val="auto"/>
          <w:sz w:val="24"/>
          <w:szCs w:val="24"/>
          <w:highlight w:val="none"/>
        </w:rPr>
        <w:t>1.4履约保证金</w:t>
      </w:r>
    </w:p>
    <w:p w14:paraId="76C80FD0">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1.4.1履约保证金的比例为合同金额的</w:t>
      </w:r>
      <w:r>
        <w:rPr>
          <w:rFonts w:hint="eastAsia"/>
          <w:color w:val="auto"/>
          <w:sz w:val="24"/>
          <w:szCs w:val="24"/>
          <w:highlight w:val="none"/>
          <w:u w:val="single"/>
          <w:lang w:val="en-US" w:eastAsia="zh-CN"/>
        </w:rPr>
        <w:t xml:space="preserve"> / </w:t>
      </w:r>
      <w:r>
        <w:rPr>
          <w:rFonts w:hint="eastAsia"/>
          <w:color w:val="auto"/>
          <w:sz w:val="24"/>
          <w:szCs w:val="24"/>
          <w:highlight w:val="none"/>
        </w:rPr>
        <w:t>%:</w:t>
      </w:r>
    </w:p>
    <w:p w14:paraId="261270E6">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乙方</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否</w:t>
      </w:r>
      <w:r>
        <w:rPr>
          <w:rFonts w:hint="eastAsia"/>
          <w:color w:val="auto"/>
          <w:sz w:val="24"/>
          <w:szCs w:val="24"/>
          <w:highlight w:val="none"/>
          <w:u w:val="single"/>
          <w:lang w:val="en-US" w:eastAsia="zh-CN"/>
        </w:rPr>
        <w:t xml:space="preserve"> </w:t>
      </w:r>
      <w:r>
        <w:rPr>
          <w:rFonts w:hint="eastAsia"/>
          <w:color w:val="auto"/>
          <w:sz w:val="24"/>
          <w:szCs w:val="24"/>
          <w:highlight w:val="none"/>
        </w:rPr>
        <w:t>(是/否)需要支付履约保证金。若需要支付履约保证金的，则:</w:t>
      </w:r>
    </w:p>
    <w:p w14:paraId="56FC19EC">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1.4.2履约保证金支付方式详见 合同专用条款:</w:t>
      </w:r>
    </w:p>
    <w:p w14:paraId="08D29EA6">
      <w:pPr>
        <w:pStyle w:val="631"/>
        <w:shd w:val="clear"/>
        <w:spacing w:before="0" w:beforeAutospacing="0" w:after="0" w:afterAutospacing="0" w:line="360" w:lineRule="auto"/>
        <w:ind w:firstLine="480"/>
        <w:rPr>
          <w:rFonts w:hint="default" w:eastAsia="宋体"/>
          <w:color w:val="auto"/>
          <w:sz w:val="24"/>
          <w:szCs w:val="24"/>
          <w:highlight w:val="none"/>
          <w:lang w:val="en-US" w:eastAsia="zh-CN"/>
        </w:rPr>
      </w:pPr>
      <w:r>
        <w:rPr>
          <w:rFonts w:hint="eastAsia"/>
          <w:color w:val="auto"/>
          <w:sz w:val="24"/>
          <w:szCs w:val="24"/>
          <w:highlight w:val="none"/>
        </w:rPr>
        <w:t>1.4.3如果乙方不履行合同，履约保证金不予退还:如果乙方未能按合同约定全面履行义务，那么甲方有权从履约保证金中取得补偿或赔偿，同时不影响甲方要求乙方承</w:t>
      </w:r>
      <w:r>
        <w:rPr>
          <w:rFonts w:hint="eastAsia"/>
          <w:color w:val="auto"/>
          <w:sz w:val="24"/>
          <w:szCs w:val="24"/>
          <w:highlight w:val="none"/>
          <w:lang w:val="en-US" w:eastAsia="zh-CN"/>
        </w:rPr>
        <w:t>担合同约定的超过履约保证金的违约责任的权利；</w:t>
      </w:r>
    </w:p>
    <w:p w14:paraId="7E4536A7">
      <w:pPr>
        <w:shd w:val="clear"/>
        <w:spacing w:line="360" w:lineRule="auto"/>
        <w:ind w:firstLine="480" w:firstLineChars="200"/>
        <w:rPr>
          <w:rFonts w:hint="eastAsia" w:ascii="宋体" w:hAnsi="宋体" w:cs="宋体"/>
          <w:b/>
          <w:color w:val="auto"/>
          <w:sz w:val="24"/>
          <w:szCs w:val="24"/>
          <w:highlight w:val="none"/>
        </w:rPr>
      </w:pPr>
      <w:r>
        <w:rPr>
          <w:rFonts w:hint="eastAsia"/>
          <w:color w:val="auto"/>
          <w:sz w:val="24"/>
          <w:szCs w:val="24"/>
          <w:highlight w:val="none"/>
        </w:rPr>
        <w:t>1.4.4甲方在项目验收结束后及时退还履约保证金。甲方在项目通过验收之日起个工作日内将履约保证金无息退还乙方，逾期退还的，乙方可要求甲方支付违约金，违约金按每迟延退还一日的应退还而未退还金额的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rPr>
        <w:t xml:space="preserve">%计算，最高限额为本合同履约保证金的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lang w:val="en-US" w:eastAsia="zh-CN"/>
        </w:rPr>
        <w:t>%。</w:t>
      </w:r>
    </w:p>
    <w:p w14:paraId="37683D72">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w:t>
      </w:r>
      <w:bookmarkEnd w:id="86"/>
      <w:bookmarkEnd w:id="87"/>
      <w:bookmarkEnd w:id="88"/>
      <w:r>
        <w:rPr>
          <w:rFonts w:hint="eastAsia" w:ascii="宋体" w:hAnsi="宋体" w:cs="宋体"/>
          <w:b/>
          <w:color w:val="auto"/>
          <w:sz w:val="24"/>
          <w:szCs w:val="24"/>
          <w:highlight w:val="none"/>
        </w:rPr>
        <w:t>预付款</w:t>
      </w:r>
    </w:p>
    <w:p w14:paraId="2CFDE6B9">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甲方</w:t>
      </w:r>
      <w:r>
        <w:rPr>
          <w:rFonts w:hint="eastAsia"/>
          <w:color w:val="auto"/>
          <w:sz w:val="24"/>
          <w:szCs w:val="24"/>
          <w:highlight w:val="none"/>
          <w:u w:val="single"/>
          <w:lang w:val="en-US" w:eastAsia="zh-CN"/>
        </w:rPr>
        <w:t xml:space="preserve"> 是 </w:t>
      </w:r>
      <w:r>
        <w:rPr>
          <w:rFonts w:hint="eastAsia"/>
          <w:color w:val="auto"/>
          <w:sz w:val="24"/>
          <w:szCs w:val="24"/>
          <w:highlight w:val="none"/>
        </w:rPr>
        <w:t>（是</w:t>
      </w:r>
      <w:r>
        <w:rPr>
          <w:rFonts w:hint="eastAsia" w:ascii="仿宋" w:hAnsi="仿宋" w:eastAsia="仿宋" w:cs="仿宋"/>
          <w:color w:val="auto"/>
          <w:sz w:val="24"/>
          <w:szCs w:val="24"/>
          <w:highlight w:val="none"/>
        </w:rPr>
        <w:t>/</w:t>
      </w:r>
      <w:r>
        <w:rPr>
          <w:rFonts w:hint="eastAsia"/>
          <w:color w:val="auto"/>
          <w:sz w:val="24"/>
          <w:szCs w:val="24"/>
          <w:highlight w:val="none"/>
        </w:rPr>
        <w:t>否）需要支付预付款。若需要支付预付款的，则：</w:t>
      </w:r>
    </w:p>
    <w:p w14:paraId="54A3DEF9">
      <w:pPr>
        <w:shd w:val="clea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1.5.1预付款比例、支付方式、时间详见</w:t>
      </w:r>
      <w:r>
        <w:rPr>
          <w:rFonts w:hint="eastAsia" w:ascii="宋体" w:hAnsi="宋体" w:cs="宋体"/>
          <w:color w:val="auto"/>
          <w:kern w:val="0"/>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81789B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1.5.2预付款的扣回方式详见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6B363B9F">
      <w:pPr>
        <w:pStyle w:val="631"/>
        <w:shd w:val="clear"/>
        <w:spacing w:before="0" w:beforeAutospacing="0" w:after="0" w:afterAutospacing="0" w:line="360" w:lineRule="auto"/>
        <w:ind w:firstLine="480"/>
        <w:rPr>
          <w:color w:val="auto"/>
          <w:sz w:val="24"/>
          <w:szCs w:val="24"/>
          <w:highlight w:val="none"/>
          <w:u w:val="single"/>
        </w:rPr>
      </w:pPr>
      <w:r>
        <w:rPr>
          <w:rFonts w:hint="eastAsia"/>
          <w:color w:val="auto"/>
          <w:sz w:val="24"/>
          <w:szCs w:val="24"/>
          <w:highlight w:val="none"/>
        </w:rPr>
        <w:t>1.5.3预付款的担保措施详见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08112BA2">
      <w:pPr>
        <w:pStyle w:val="631"/>
        <w:shd w:val="clear"/>
        <w:spacing w:before="0" w:beforeAutospacing="0" w:after="0" w:afterAutospacing="0" w:line="360" w:lineRule="auto"/>
        <w:ind w:firstLine="480"/>
        <w:rPr>
          <w:b/>
          <w:bCs/>
          <w:color w:val="auto"/>
          <w:sz w:val="24"/>
          <w:szCs w:val="24"/>
          <w:highlight w:val="none"/>
        </w:rPr>
      </w:pPr>
      <w:r>
        <w:rPr>
          <w:rFonts w:hint="eastAsia"/>
          <w:b/>
          <w:bCs/>
          <w:color w:val="auto"/>
          <w:sz w:val="24"/>
          <w:szCs w:val="24"/>
          <w:highlight w:val="none"/>
        </w:rPr>
        <w:t>1.6资金支付</w:t>
      </w:r>
    </w:p>
    <w:p w14:paraId="644208E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BAC2CC7">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1.6.2资金支付的方式、时间和条件详见</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w:t>
      </w:r>
    </w:p>
    <w:p w14:paraId="5FD60FA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w:t>
      </w:r>
      <w:r>
        <w:rPr>
          <w:rFonts w:hint="eastAsia" w:ascii="宋体" w:hAnsi="宋体"/>
          <w:b/>
          <w:color w:val="auto"/>
          <w:sz w:val="24"/>
          <w:szCs w:val="24"/>
          <w:highlight w:val="none"/>
        </w:rPr>
        <w:t>7</w:t>
      </w:r>
      <w:r>
        <w:rPr>
          <w:rFonts w:ascii="宋体" w:hAnsi="宋体"/>
          <w:b/>
          <w:color w:val="auto"/>
          <w:sz w:val="24"/>
          <w:szCs w:val="24"/>
          <w:highlight w:val="none"/>
        </w:rPr>
        <w:t xml:space="preserve"> 履行期限</w:t>
      </w:r>
      <w:r>
        <w:rPr>
          <w:rFonts w:hint="eastAsia" w:ascii="宋体" w:hAnsi="宋体"/>
          <w:b/>
          <w:color w:val="auto"/>
          <w:sz w:val="24"/>
          <w:szCs w:val="24"/>
          <w:highlight w:val="none"/>
        </w:rPr>
        <w:t>、地点和方式</w:t>
      </w:r>
      <w:bookmarkEnd w:id="89"/>
      <w:bookmarkEnd w:id="90"/>
      <w:bookmarkEnd w:id="91"/>
      <w:bookmarkEnd w:id="92"/>
      <w:bookmarkEnd w:id="93"/>
    </w:p>
    <w:p w14:paraId="0E24FAF1">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.1 </w:t>
      </w:r>
      <w:r>
        <w:rPr>
          <w:rFonts w:hint="eastAsia" w:ascii="宋体" w:hAnsi="宋体"/>
          <w:color w:val="auto"/>
          <w:sz w:val="24"/>
          <w:szCs w:val="24"/>
          <w:highlight w:val="none"/>
        </w:rPr>
        <w:t>服务交付（实施）的时间（期限）</w:t>
      </w:r>
      <w:r>
        <w:rPr>
          <w:rFonts w:ascii="宋体" w:hAnsi="宋体"/>
          <w:color w:val="auto"/>
          <w:sz w:val="24"/>
          <w:szCs w:val="24"/>
          <w:highlight w:val="none"/>
        </w:rPr>
        <w:t>：</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3C3DCD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.2 </w:t>
      </w:r>
      <w:r>
        <w:rPr>
          <w:rFonts w:hint="eastAsia" w:ascii="宋体" w:hAnsi="宋体"/>
          <w:color w:val="auto"/>
          <w:sz w:val="24"/>
          <w:szCs w:val="24"/>
          <w:highlight w:val="none"/>
        </w:rPr>
        <w:t>服</w:t>
      </w:r>
      <w:r>
        <w:rPr>
          <w:rFonts w:hint="eastAsia" w:ascii="宋体" w:hAnsi="宋体" w:cs="宋体"/>
          <w:color w:val="auto"/>
          <w:sz w:val="24"/>
          <w:szCs w:val="24"/>
          <w:highlight w:val="none"/>
        </w:rPr>
        <w:t>务交付（实施）的地点（地域范围）：</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637D60C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.3 </w:t>
      </w:r>
      <w:r>
        <w:rPr>
          <w:rFonts w:hint="eastAsia" w:ascii="宋体" w:hAnsi="宋体"/>
          <w:color w:val="auto"/>
          <w:sz w:val="24"/>
          <w:szCs w:val="24"/>
          <w:highlight w:val="none"/>
        </w:rPr>
        <w:t>服务交付（实施）的方式：</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54BDDCC0">
      <w:pPr>
        <w:shd w:val="clear"/>
        <w:spacing w:line="360" w:lineRule="auto"/>
        <w:ind w:firstLine="482" w:firstLineChars="200"/>
        <w:rPr>
          <w:rFonts w:ascii="宋体" w:hAnsi="宋体"/>
          <w:color w:val="auto"/>
          <w:sz w:val="24"/>
          <w:szCs w:val="24"/>
          <w:highlight w:val="none"/>
          <w:u w:val="single"/>
        </w:rPr>
      </w:pPr>
      <w:bookmarkStart w:id="94" w:name="_Toc2375"/>
      <w:bookmarkStart w:id="95" w:name="_Toc3079"/>
      <w:bookmarkStart w:id="96" w:name="_Toc24662"/>
      <w:bookmarkStart w:id="97" w:name="_Toc5698"/>
      <w:bookmarkStart w:id="98" w:name="_Toc8586"/>
      <w:r>
        <w:rPr>
          <w:rFonts w:ascii="宋体" w:hAnsi="宋体"/>
          <w:b/>
          <w:color w:val="auto"/>
          <w:sz w:val="24"/>
          <w:szCs w:val="24"/>
          <w:highlight w:val="none"/>
        </w:rPr>
        <w:t>1.</w:t>
      </w:r>
      <w:r>
        <w:rPr>
          <w:rFonts w:hint="eastAsia" w:ascii="宋体" w:hAnsi="宋体"/>
          <w:b/>
          <w:color w:val="auto"/>
          <w:sz w:val="24"/>
          <w:szCs w:val="24"/>
          <w:highlight w:val="none"/>
        </w:rPr>
        <w:t>8违约责任</w:t>
      </w:r>
      <w:bookmarkEnd w:id="94"/>
      <w:bookmarkEnd w:id="95"/>
      <w:bookmarkEnd w:id="96"/>
      <w:bookmarkEnd w:id="97"/>
      <w:bookmarkEnd w:id="98"/>
    </w:p>
    <w:p w14:paraId="5E49671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.1 除不可抗力外，如果乙方没有按照本合同约定的期限</w:t>
      </w:r>
      <w:r>
        <w:rPr>
          <w:rFonts w:hint="eastAsia" w:ascii="宋体" w:hAnsi="宋体"/>
          <w:color w:val="auto"/>
          <w:sz w:val="24"/>
          <w:szCs w:val="24"/>
          <w:highlight w:val="none"/>
        </w:rPr>
        <w:t>、</w:t>
      </w:r>
      <w:r>
        <w:rPr>
          <w:rFonts w:ascii="宋体" w:hAnsi="宋体"/>
          <w:color w:val="auto"/>
          <w:sz w:val="24"/>
          <w:szCs w:val="24"/>
          <w:highlight w:val="none"/>
        </w:rPr>
        <w:t>地点和方式</w:t>
      </w:r>
      <w:r>
        <w:rPr>
          <w:rFonts w:hint="eastAsia" w:ascii="宋体" w:hAnsi="宋体"/>
          <w:color w:val="auto"/>
          <w:sz w:val="24"/>
          <w:szCs w:val="24"/>
          <w:highlight w:val="none"/>
        </w:rPr>
        <w:t>交付服务成果或者实施服务</w:t>
      </w:r>
      <w:r>
        <w:rPr>
          <w:rFonts w:ascii="宋体" w:hAnsi="宋体"/>
          <w:color w:val="auto"/>
          <w:sz w:val="24"/>
          <w:szCs w:val="24"/>
          <w:highlight w:val="none"/>
        </w:rPr>
        <w:t>，那么甲方可要求乙方支付违约金</w:t>
      </w:r>
      <w:r>
        <w:rPr>
          <w:rFonts w:hint="eastAsia" w:ascii="宋体" w:hAnsi="宋体"/>
          <w:color w:val="auto"/>
          <w:sz w:val="24"/>
          <w:szCs w:val="24"/>
          <w:highlight w:val="none"/>
        </w:rPr>
        <w:t>，迟延履行</w:t>
      </w:r>
      <w:r>
        <w:rPr>
          <w:rFonts w:ascii="宋体" w:hAnsi="宋体"/>
          <w:color w:val="auto"/>
          <w:sz w:val="24"/>
          <w:szCs w:val="24"/>
          <w:highlight w:val="none"/>
        </w:rPr>
        <w:t>违约金按每迟延</w:t>
      </w:r>
      <w:r>
        <w:rPr>
          <w:rFonts w:hint="eastAsia" w:ascii="宋体" w:hAnsi="宋体"/>
          <w:color w:val="auto"/>
          <w:sz w:val="24"/>
          <w:szCs w:val="24"/>
          <w:highlight w:val="none"/>
        </w:rPr>
        <w:t>履行</w:t>
      </w:r>
      <w:r>
        <w:rPr>
          <w:rFonts w:ascii="宋体" w:hAnsi="宋体"/>
          <w:color w:val="auto"/>
          <w:sz w:val="24"/>
          <w:szCs w:val="24"/>
          <w:highlight w:val="none"/>
        </w:rPr>
        <w:t>一日的应提供而未</w:t>
      </w:r>
      <w:r>
        <w:rPr>
          <w:rFonts w:hint="eastAsia" w:ascii="宋体" w:hAnsi="宋体"/>
          <w:color w:val="auto"/>
          <w:sz w:val="24"/>
          <w:szCs w:val="24"/>
          <w:highlight w:val="none"/>
        </w:rPr>
        <w:t>提供</w:t>
      </w:r>
      <w:r>
        <w:rPr>
          <w:rFonts w:ascii="宋体" w:hAnsi="宋体"/>
          <w:color w:val="auto"/>
          <w:sz w:val="24"/>
          <w:szCs w:val="24"/>
          <w:highlight w:val="none"/>
        </w:rPr>
        <w:t>服务价格的</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0.05</w:t>
      </w:r>
      <w:r>
        <w:rPr>
          <w:rFonts w:ascii="宋体" w:hAnsi="宋体"/>
          <w:color w:val="auto"/>
          <w:sz w:val="24"/>
          <w:szCs w:val="24"/>
          <w:highlight w:val="none"/>
          <w:u w:val="single"/>
        </w:rPr>
        <w:t xml:space="preserve"> </w:t>
      </w:r>
      <w:r>
        <w:rPr>
          <w:rFonts w:ascii="宋体" w:hAnsi="宋体"/>
          <w:color w:val="auto"/>
          <w:sz w:val="24"/>
          <w:szCs w:val="24"/>
          <w:highlight w:val="none"/>
        </w:rPr>
        <w:t>%计算</w:t>
      </w:r>
      <w:r>
        <w:rPr>
          <w:rFonts w:hint="eastAsia" w:ascii="宋体" w:hAnsi="宋体"/>
          <w:color w:val="auto"/>
          <w:sz w:val="24"/>
          <w:szCs w:val="24"/>
          <w:highlight w:val="none"/>
        </w:rPr>
        <w:t>，</w:t>
      </w:r>
      <w:r>
        <w:rPr>
          <w:rFonts w:ascii="宋体" w:hAnsi="宋体"/>
          <w:color w:val="auto"/>
          <w:sz w:val="24"/>
          <w:szCs w:val="24"/>
          <w:highlight w:val="none"/>
        </w:rPr>
        <w:t>最高限额为</w:t>
      </w:r>
      <w:r>
        <w:rPr>
          <w:rFonts w:hint="eastAsia" w:ascii="宋体" w:hAnsi="宋体"/>
          <w:color w:val="auto"/>
          <w:sz w:val="24"/>
          <w:szCs w:val="24"/>
          <w:highlight w:val="none"/>
        </w:rPr>
        <w:t>本</w:t>
      </w:r>
      <w:r>
        <w:rPr>
          <w:rFonts w:ascii="宋体" w:hAnsi="宋体"/>
          <w:color w:val="auto"/>
          <w:sz w:val="24"/>
          <w:szCs w:val="24"/>
          <w:highlight w:val="none"/>
        </w:rPr>
        <w:t>合同总价的</w:t>
      </w:r>
      <w:r>
        <w:rPr>
          <w:rFonts w:ascii="宋体" w:hAnsi="宋体"/>
          <w:color w:val="auto"/>
          <w:sz w:val="24"/>
          <w:szCs w:val="24"/>
          <w:highlight w:val="none"/>
          <w:u w:val="single"/>
        </w:rPr>
        <w:t xml:space="preserve">  20   </w:t>
      </w:r>
      <w:r>
        <w:rPr>
          <w:rFonts w:ascii="宋体" w:hAnsi="宋体"/>
          <w:color w:val="auto"/>
          <w:sz w:val="24"/>
          <w:szCs w:val="24"/>
          <w:highlight w:val="none"/>
        </w:rPr>
        <w:t>%</w:t>
      </w:r>
      <w:r>
        <w:rPr>
          <w:rFonts w:hint="eastAsia" w:ascii="宋体" w:hAnsi="宋体"/>
          <w:color w:val="auto"/>
          <w:sz w:val="24"/>
          <w:szCs w:val="24"/>
          <w:highlight w:val="none"/>
        </w:rPr>
        <w:t>；</w:t>
      </w:r>
      <w:r>
        <w:rPr>
          <w:rFonts w:ascii="宋体" w:hAnsi="宋体"/>
          <w:color w:val="auto"/>
          <w:sz w:val="24"/>
          <w:szCs w:val="24"/>
          <w:highlight w:val="none"/>
        </w:rPr>
        <w:t>迟延</w:t>
      </w:r>
      <w:r>
        <w:rPr>
          <w:rFonts w:hint="eastAsia" w:ascii="宋体" w:hAnsi="宋体"/>
          <w:color w:val="auto"/>
          <w:sz w:val="24"/>
          <w:szCs w:val="24"/>
          <w:highlight w:val="none"/>
        </w:rPr>
        <w:t>履行</w:t>
      </w:r>
      <w:r>
        <w:rPr>
          <w:rFonts w:ascii="宋体" w:hAnsi="宋体"/>
          <w:color w:val="auto"/>
          <w:sz w:val="24"/>
          <w:szCs w:val="24"/>
          <w:highlight w:val="none"/>
        </w:rPr>
        <w:t>的违约金计算数额达到前述最高限额之日起</w:t>
      </w:r>
      <w:r>
        <w:rPr>
          <w:rFonts w:hint="eastAsia" w:ascii="宋体" w:hAnsi="宋体"/>
          <w:color w:val="auto"/>
          <w:sz w:val="24"/>
          <w:szCs w:val="24"/>
          <w:highlight w:val="none"/>
        </w:rPr>
        <w:t>，</w:t>
      </w:r>
      <w:r>
        <w:rPr>
          <w:rFonts w:ascii="宋体" w:hAnsi="宋体"/>
          <w:color w:val="auto"/>
          <w:sz w:val="24"/>
          <w:szCs w:val="24"/>
          <w:highlight w:val="none"/>
        </w:rPr>
        <w:t>甲方有权在要求乙方支付违约金的同时</w:t>
      </w:r>
      <w:r>
        <w:rPr>
          <w:rFonts w:hint="eastAsia" w:ascii="宋体" w:hAnsi="宋体"/>
          <w:color w:val="auto"/>
          <w:sz w:val="24"/>
          <w:szCs w:val="24"/>
          <w:highlight w:val="none"/>
        </w:rPr>
        <w:t>，书面通知乙方</w:t>
      </w:r>
      <w:r>
        <w:rPr>
          <w:rFonts w:ascii="宋体" w:hAnsi="宋体"/>
          <w:color w:val="auto"/>
          <w:sz w:val="24"/>
          <w:szCs w:val="24"/>
          <w:highlight w:val="none"/>
        </w:rPr>
        <w:t>解除本合同</w:t>
      </w:r>
      <w:r>
        <w:rPr>
          <w:rFonts w:hint="eastAsia" w:ascii="宋体" w:hAnsi="宋体"/>
          <w:color w:val="auto"/>
          <w:sz w:val="24"/>
          <w:szCs w:val="24"/>
          <w:highlight w:val="none"/>
        </w:rPr>
        <w:t>；</w:t>
      </w:r>
    </w:p>
    <w:p w14:paraId="39203DF2">
      <w:pPr>
        <w:pStyle w:val="633"/>
        <w:shd w:val="clear"/>
        <w:rPr>
          <w:b/>
          <w:bCs/>
          <w:color w:val="auto"/>
          <w:sz w:val="24"/>
          <w:szCs w:val="24"/>
          <w:highlight w:val="none"/>
        </w:rPr>
      </w:pPr>
      <w:r>
        <w:rPr>
          <w:rFonts w:hint="eastAsia"/>
          <w:color w:val="auto"/>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sz w:val="24"/>
          <w:szCs w:val="24"/>
          <w:highlight w:val="none"/>
          <w:u w:val="single"/>
        </w:rPr>
        <w:t xml:space="preserve">  0.0</w:t>
      </w:r>
      <w:r>
        <w:rPr>
          <w:rFonts w:hint="eastAsia"/>
          <w:color w:val="auto"/>
          <w:sz w:val="24"/>
          <w:szCs w:val="24"/>
          <w:highlight w:val="none"/>
          <w:u w:val="single"/>
          <w:lang w:val="en-US" w:eastAsia="zh-CN"/>
        </w:rPr>
        <w:t xml:space="preserve">2 </w:t>
      </w:r>
      <w:r>
        <w:rPr>
          <w:rFonts w:hint="eastAsia"/>
          <w:color w:val="auto"/>
          <w:sz w:val="24"/>
          <w:szCs w:val="24"/>
          <w:highlight w:val="none"/>
          <w:u w:val="single"/>
        </w:rPr>
        <w:t xml:space="preserve">  </w:t>
      </w:r>
      <w:r>
        <w:rPr>
          <w:rFonts w:hint="eastAsia"/>
          <w:color w:val="auto"/>
          <w:sz w:val="24"/>
          <w:szCs w:val="24"/>
          <w:highlight w:val="none"/>
        </w:rPr>
        <w:t>%计算，最高限额为本合同总价的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5</w:t>
      </w:r>
      <w:r>
        <w:rPr>
          <w:rFonts w:hint="eastAsia"/>
          <w:color w:val="auto"/>
          <w:sz w:val="24"/>
          <w:szCs w:val="24"/>
          <w:highlight w:val="none"/>
          <w:u w:val="single"/>
        </w:rPr>
        <w:t xml:space="preserve">  </w:t>
      </w:r>
      <w:r>
        <w:rPr>
          <w:rFonts w:hint="eastAsia"/>
          <w:color w:val="auto"/>
          <w:sz w:val="24"/>
          <w:szCs w:val="24"/>
          <w:highlight w:val="none"/>
        </w:rPr>
        <w:t>%；迟延交付货物的违约金计算数额达到前述最高限额之日起，甲方有权在要求乙方支付违约金的同时，书面通知乙方解除本合同</w:t>
      </w:r>
      <w:r>
        <w:rPr>
          <w:rFonts w:hint="eastAsia"/>
          <w:color w:val="auto"/>
          <w:sz w:val="24"/>
          <w:szCs w:val="24"/>
          <w:highlight w:val="none"/>
          <w:lang w:eastAsia="zh-CN"/>
        </w:rPr>
        <w:t>，乙方应赔偿甲方全部经济损失(包括但不限于律师费、诉讼费、保全费等维权产生的费用)</w:t>
      </w:r>
      <w:r>
        <w:rPr>
          <w:rFonts w:hint="eastAsia"/>
          <w:color w:val="auto"/>
          <w:sz w:val="24"/>
          <w:szCs w:val="24"/>
          <w:highlight w:val="none"/>
        </w:rPr>
        <w:t>；</w:t>
      </w:r>
    </w:p>
    <w:p w14:paraId="45FC64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w:t>
      </w:r>
      <w:r>
        <w:rPr>
          <w:rFonts w:hint="eastAsia" w:ascii="宋体" w:hAnsi="宋体"/>
          <w:color w:val="auto"/>
          <w:sz w:val="24"/>
          <w:szCs w:val="24"/>
          <w:highlight w:val="none"/>
        </w:rPr>
        <w:t>3</w:t>
      </w:r>
      <w:r>
        <w:rPr>
          <w:rFonts w:hint="eastAsia" w:ascii="宋体" w:hAnsi="宋体" w:cs="宋体"/>
          <w:color w:val="auto"/>
          <w:sz w:val="24"/>
          <w:szCs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r>
        <w:rPr>
          <w:rFonts w:hint="eastAsia" w:ascii="宋体" w:hAnsi="宋体"/>
          <w:color w:val="auto"/>
          <w:sz w:val="24"/>
          <w:szCs w:val="24"/>
          <w:highlight w:val="none"/>
        </w:rPr>
        <w:t>；</w:t>
      </w:r>
    </w:p>
    <w:p w14:paraId="68388283">
      <w:pPr>
        <w:shd w:val="clear"/>
        <w:spacing w:line="360" w:lineRule="auto"/>
        <w:ind w:firstLine="480" w:firstLineChars="200"/>
        <w:rPr>
          <w:rFonts w:ascii="宋体" w:hAnsi="宋体" w:cs="宋体"/>
          <w:color w:val="auto"/>
          <w:sz w:val="24"/>
          <w:szCs w:val="24"/>
          <w:highlight w:val="none"/>
        </w:rPr>
      </w:pPr>
      <w:bookmarkStart w:id="99" w:name="_Toc18683"/>
      <w:bookmarkStart w:id="100" w:name="_Toc32454"/>
      <w:bookmarkStart w:id="101" w:name="_Toc26807"/>
      <w:bookmarkStart w:id="102" w:name="_Toc9497"/>
      <w:bookmarkStart w:id="103" w:name="_Toc30329"/>
      <w:r>
        <w:rPr>
          <w:rFonts w:hint="eastAsia" w:ascii="宋体" w:hAnsi="宋体" w:cs="宋体"/>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DEB74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7665C6B">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75FAED4">
      <w:pPr>
        <w:shd w:val="clear"/>
        <w:spacing w:line="360" w:lineRule="auto"/>
        <w:ind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1.8.7违约责任</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另有约定的，从其约定。</w:t>
      </w:r>
    </w:p>
    <w:bookmarkEnd w:id="99"/>
    <w:bookmarkEnd w:id="100"/>
    <w:bookmarkEnd w:id="101"/>
    <w:bookmarkEnd w:id="102"/>
    <w:bookmarkEnd w:id="103"/>
    <w:p w14:paraId="6A3F606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1.9合同争议的解决</w:t>
      </w:r>
    </w:p>
    <w:p w14:paraId="48FB5019">
      <w:pPr>
        <w:shd w:val="clear"/>
        <w:spacing w:line="360" w:lineRule="auto"/>
        <w:ind w:left="-61" w:leftChars="-29" w:right="-420" w:rightChars="-200"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szCs w:val="24"/>
          <w:highlight w:val="none"/>
          <w:u w:val="single"/>
        </w:rPr>
        <w:t xml:space="preserve"> </w:t>
      </w:r>
      <w:r>
        <w:rPr>
          <w:rFonts w:hint="eastAsia" w:ascii="宋体" w:hAnsi="宋体" w:cs="宋体"/>
          <w:b/>
          <w:color w:val="auto"/>
          <w:sz w:val="24"/>
          <w:szCs w:val="24"/>
          <w:highlight w:val="none"/>
          <w:u w:val="single"/>
          <w:lang w:val="en-US" w:eastAsia="zh-CN"/>
        </w:rPr>
        <w:t>1.9.2</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条款规定的方式解决：</w:t>
      </w:r>
    </w:p>
    <w:p w14:paraId="54301D18">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1.9.1 将争议提交</w:t>
      </w:r>
      <w:r>
        <w:rPr>
          <w:rFonts w:hint="eastAsia" w:ascii="宋体" w:hAnsi="宋体" w:cs="宋体"/>
          <w:b/>
          <w:color w:val="auto"/>
          <w:sz w:val="24"/>
          <w:szCs w:val="24"/>
          <w:highlight w:val="none"/>
          <w:u w:val="single"/>
          <w:lang w:val="en-US" w:eastAsia="zh-CN"/>
        </w:rPr>
        <w:t>北海</w:t>
      </w:r>
      <w:r>
        <w:rPr>
          <w:rFonts w:hint="eastAsia" w:ascii="宋体" w:hAnsi="宋体" w:cs="宋体"/>
          <w:color w:val="auto"/>
          <w:sz w:val="24"/>
          <w:szCs w:val="24"/>
          <w:highlight w:val="none"/>
        </w:rPr>
        <w:t>仲裁委员会依申请仲裁时其现行有效的仲裁规则裁决；</w:t>
      </w:r>
    </w:p>
    <w:p w14:paraId="08AFA0DB">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1.9.2 向</w:t>
      </w:r>
      <w:r>
        <w:rPr>
          <w:rFonts w:hint="eastAsia" w:ascii="宋体" w:hAnsi="宋体" w:cs="宋体"/>
          <w:b/>
          <w:color w:val="auto"/>
          <w:sz w:val="24"/>
          <w:szCs w:val="24"/>
          <w:highlight w:val="none"/>
          <w:u w:val="single"/>
          <w:lang w:val="en-US" w:eastAsia="zh-CN"/>
        </w:rPr>
        <w:t>甲方所在地</w:t>
      </w:r>
      <w:r>
        <w:rPr>
          <w:rFonts w:hint="eastAsia" w:ascii="宋体" w:hAnsi="宋体" w:cs="宋体"/>
          <w:color w:val="auto"/>
          <w:sz w:val="24"/>
          <w:szCs w:val="24"/>
          <w:highlight w:val="none"/>
        </w:rPr>
        <w:t>人民法院起诉。</w:t>
      </w:r>
    </w:p>
    <w:p w14:paraId="121DFBE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2.0 合同生效</w:t>
      </w:r>
    </w:p>
    <w:p w14:paraId="327FAFAB">
      <w:pPr>
        <w:shd w:val="clea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本合同自双方当事人盖章签字时生效。</w:t>
      </w:r>
    </w:p>
    <w:p w14:paraId="556D8AED">
      <w:pPr>
        <w:shd w:val="clear"/>
        <w:autoSpaceDE w:val="0"/>
        <w:autoSpaceDN w:val="0"/>
        <w:spacing w:line="360" w:lineRule="auto"/>
        <w:rPr>
          <w:rFonts w:ascii="宋体" w:hAnsi="宋体"/>
          <w:color w:val="auto"/>
          <w:sz w:val="24"/>
          <w:szCs w:val="24"/>
          <w:highlight w:val="none"/>
          <w:lang w:val="zh-CN"/>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9"/>
        <w:gridCol w:w="2156"/>
        <w:gridCol w:w="2307"/>
      </w:tblGrid>
      <w:tr w14:paraId="3B1647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noWrap w:val="0"/>
            <w:vAlign w:val="center"/>
          </w:tcPr>
          <w:p w14:paraId="0474244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甲方（采购人</w:t>
            </w:r>
            <w:r>
              <w:rPr>
                <w:rFonts w:hint="eastAsia" w:ascii="宋体" w:hAnsi="宋体"/>
                <w:color w:val="auto"/>
                <w:sz w:val="24"/>
                <w:szCs w:val="24"/>
                <w:highlight w:val="none"/>
              </w:rPr>
              <w:t>、受采购人委托签订合同的单位或</w:t>
            </w:r>
            <w:r>
              <w:rPr>
                <w:rFonts w:hint="eastAsia" w:ascii="Calibri" w:hAnsi="Calibri"/>
                <w:color w:val="auto"/>
                <w:sz w:val="24"/>
                <w:szCs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noWrap w:val="0"/>
            <w:vAlign w:val="center"/>
          </w:tcPr>
          <w:p w14:paraId="635DDB6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乙方（供应商）</w:t>
            </w:r>
          </w:p>
        </w:tc>
      </w:tr>
      <w:tr w14:paraId="514C5B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6AC2DF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78C7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8412D6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2F0EC26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4A96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noWrap w:val="0"/>
            <w:vAlign w:val="center"/>
          </w:tcPr>
          <w:p w14:paraId="731F807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09429DA9">
            <w:pPr>
              <w:keepNext w:val="0"/>
              <w:keepLines w:val="0"/>
              <w:suppressLineNumbers w:val="0"/>
              <w:shd w:val="clear"/>
              <w:snapToGrid w:val="0"/>
              <w:spacing w:before="0" w:beforeAutospacing="0" w:after="0" w:afterAutospacing="0" w:line="360" w:lineRule="auto"/>
              <w:ind w:left="0" w:right="0" w:firstLine="115" w:firstLineChars="48"/>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noWrap w:val="0"/>
            <w:vAlign w:val="center"/>
          </w:tcPr>
          <w:p w14:paraId="48AFD1D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A018BF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508DF96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B23066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r>
      <w:tr w14:paraId="5BD578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noWrap w:val="0"/>
            <w:vAlign w:val="center"/>
          </w:tcPr>
          <w:p w14:paraId="76D35BFB">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noWrap w:val="0"/>
            <w:vAlign w:val="center"/>
          </w:tcPr>
          <w:p w14:paraId="35E18ABD">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411F3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667C4D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25459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19B8DD2">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453C6A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08DB1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771E31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5D65A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880060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49123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A3D6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A14EA74">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FAC42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1FAE21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B8566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C2389A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16F306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E93BE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B8F3E3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E53BF8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221D78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3A34D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6E3AB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24963E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990B0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BF7A3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6E224A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B3FCF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593AA3B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6490F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BA0A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EE13EF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B469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69B7AC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BF39D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8D3C20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3AFE84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F570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D6CB8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CC7CF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F8C6BF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D251AC9">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187F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6A7B661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4FF7E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3F67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C74062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396ABE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04FA39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A7D84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DE034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365B43E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68569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39ABF11">
            <w:pPr>
              <w:keepNext w:val="0"/>
              <w:keepLines w:val="0"/>
              <w:suppressLineNumbers w:val="0"/>
              <w:shd w:val="clear"/>
              <w:snapToGrid w:val="0"/>
              <w:spacing w:before="0" w:beforeAutospacing="0" w:after="0" w:afterAutospacing="0" w:line="360" w:lineRule="auto"/>
              <w:ind w:left="0" w:right="0"/>
              <w:jc w:val="left"/>
              <w:rPr>
                <w:rFonts w:hint="default" w:ascii="Calibri" w:hAnsi="Calibri"/>
                <w:color w:val="auto"/>
                <w:spacing w:val="20"/>
                <w:sz w:val="24"/>
                <w:szCs w:val="24"/>
                <w:highlight w:val="none"/>
              </w:rPr>
            </w:pPr>
            <w:r>
              <w:rPr>
                <w:rFonts w:hint="eastAsia" w:ascii="宋体" w:hAnsi="宋体"/>
                <w:color w:val="auto"/>
                <w:sz w:val="24"/>
                <w:szCs w:val="24"/>
                <w:highlight w:val="none"/>
              </w:rPr>
              <w:t>注：涉及联合体或其他合同主体的信息应按上表格式加列。</w:t>
            </w:r>
          </w:p>
        </w:tc>
      </w:tr>
    </w:tbl>
    <w:p w14:paraId="3D14005E">
      <w:pPr>
        <w:widowControl/>
        <w:shd w:val="clear"/>
        <w:spacing w:line="360" w:lineRule="auto"/>
        <w:jc w:val="left"/>
        <w:rPr>
          <w:rFonts w:ascii="宋体" w:hAnsi="宋体"/>
          <w:b/>
          <w:color w:val="auto"/>
          <w:sz w:val="24"/>
          <w:szCs w:val="24"/>
          <w:highlight w:val="none"/>
        </w:rPr>
      </w:pPr>
    </w:p>
    <w:p w14:paraId="2EF89367">
      <w:pPr>
        <w:pStyle w:val="282"/>
        <w:shd w:val="clear"/>
        <w:spacing w:after="0"/>
        <w:ind w:firstLine="482"/>
        <w:jc w:val="center"/>
        <w:outlineLvl w:val="1"/>
        <w:rPr>
          <w:rFonts w:ascii="宋体" w:hAnsi="宋体"/>
          <w:b/>
          <w:color w:val="auto"/>
          <w:sz w:val="24"/>
          <w:szCs w:val="24"/>
          <w:highlight w:val="none"/>
        </w:rPr>
      </w:pPr>
      <w:r>
        <w:rPr>
          <w:rFonts w:hint="eastAsia" w:ascii="宋体" w:hAnsi="宋体"/>
          <w:b/>
          <w:color w:val="auto"/>
          <w:sz w:val="24"/>
          <w:szCs w:val="24"/>
          <w:highlight w:val="none"/>
        </w:rPr>
        <w:br w:type="page"/>
      </w:r>
      <w:r>
        <w:rPr>
          <w:rFonts w:hint="eastAsia" w:ascii="宋体" w:hAnsi="宋体"/>
          <w:b/>
          <w:color w:val="auto"/>
          <w:sz w:val="24"/>
          <w:szCs w:val="24"/>
          <w:highlight w:val="none"/>
        </w:rPr>
        <w:t>第二节</w:t>
      </w:r>
      <w:r>
        <w:rPr>
          <w:rFonts w:ascii="宋体" w:hAnsi="宋体"/>
          <w:b/>
          <w:color w:val="auto"/>
          <w:sz w:val="24"/>
          <w:szCs w:val="24"/>
          <w:highlight w:val="none"/>
        </w:rPr>
        <w:t xml:space="preserve"> </w:t>
      </w:r>
      <w:r>
        <w:rPr>
          <w:rFonts w:hint="eastAsia" w:ascii="宋体" w:hAnsi="宋体"/>
          <w:b/>
          <w:color w:val="auto"/>
          <w:sz w:val="24"/>
          <w:szCs w:val="24"/>
          <w:highlight w:val="none"/>
        </w:rPr>
        <w:t>合同一般条款</w:t>
      </w:r>
    </w:p>
    <w:p w14:paraId="1082D4BC">
      <w:pPr>
        <w:shd w:val="clear"/>
        <w:spacing w:line="360" w:lineRule="auto"/>
        <w:ind w:firstLine="482" w:firstLineChars="200"/>
        <w:rPr>
          <w:rFonts w:ascii="宋体" w:hAnsi="宋体"/>
          <w:b/>
          <w:color w:val="auto"/>
          <w:sz w:val="24"/>
          <w:szCs w:val="24"/>
          <w:highlight w:val="none"/>
        </w:rPr>
      </w:pPr>
      <w:bookmarkStart w:id="104" w:name="_Toc19680"/>
      <w:bookmarkStart w:id="105" w:name="_Toc14021"/>
      <w:bookmarkStart w:id="106" w:name="_Toc25079"/>
      <w:bookmarkStart w:id="107" w:name="_Toc31297"/>
      <w:bookmarkStart w:id="108" w:name="_Toc5228"/>
      <w:r>
        <w:rPr>
          <w:rFonts w:ascii="宋体" w:hAnsi="宋体"/>
          <w:b/>
          <w:color w:val="auto"/>
          <w:sz w:val="24"/>
          <w:szCs w:val="24"/>
          <w:highlight w:val="none"/>
        </w:rPr>
        <w:t>2.1 定义</w:t>
      </w:r>
      <w:bookmarkEnd w:id="104"/>
      <w:bookmarkEnd w:id="105"/>
      <w:bookmarkEnd w:id="106"/>
      <w:bookmarkEnd w:id="107"/>
      <w:bookmarkEnd w:id="108"/>
    </w:p>
    <w:p w14:paraId="004E9EB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本合同中的下列</w:t>
      </w:r>
      <w:r>
        <w:rPr>
          <w:rFonts w:hint="eastAsia" w:ascii="宋体" w:hAnsi="宋体"/>
          <w:color w:val="auto"/>
          <w:sz w:val="24"/>
          <w:szCs w:val="24"/>
          <w:highlight w:val="none"/>
        </w:rPr>
        <w:t>词</w:t>
      </w:r>
      <w:r>
        <w:rPr>
          <w:rFonts w:ascii="宋体" w:hAnsi="宋体"/>
          <w:color w:val="auto"/>
          <w:sz w:val="24"/>
          <w:szCs w:val="24"/>
          <w:highlight w:val="none"/>
        </w:rPr>
        <w:t>语应</w:t>
      </w:r>
      <w:r>
        <w:rPr>
          <w:rFonts w:hint="eastAsia" w:ascii="宋体" w:hAnsi="宋体"/>
          <w:color w:val="auto"/>
          <w:sz w:val="24"/>
          <w:szCs w:val="24"/>
          <w:highlight w:val="none"/>
        </w:rPr>
        <w:t>按以下内容进行</w:t>
      </w:r>
      <w:r>
        <w:rPr>
          <w:rFonts w:ascii="宋体" w:hAnsi="宋体"/>
          <w:color w:val="auto"/>
          <w:sz w:val="24"/>
          <w:szCs w:val="24"/>
          <w:highlight w:val="none"/>
        </w:rPr>
        <w:t>解释：</w:t>
      </w:r>
    </w:p>
    <w:p w14:paraId="12E44BF4">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 “合同”系指采购人和</w:t>
      </w:r>
      <w:r>
        <w:rPr>
          <w:rFonts w:hint="eastAsia" w:ascii="宋体" w:hAnsi="宋体" w:cs="宋体"/>
          <w:color w:val="auto"/>
          <w:sz w:val="24"/>
          <w:szCs w:val="24"/>
          <w:highlight w:val="none"/>
        </w:rPr>
        <w:t>成交</w:t>
      </w:r>
      <w:r>
        <w:rPr>
          <w:rFonts w:ascii="宋体" w:hAnsi="宋体"/>
          <w:color w:val="auto"/>
          <w:sz w:val="24"/>
          <w:szCs w:val="24"/>
          <w:highlight w:val="none"/>
        </w:rPr>
        <w:t>供应商签订的载明双方当事人所达成的协议，并包括所有的附件、附录和构成合同的其他文件。</w:t>
      </w:r>
    </w:p>
    <w:p w14:paraId="4E72FA9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2.1.2 “合同价”系指根据合同约定，</w:t>
      </w:r>
      <w:r>
        <w:rPr>
          <w:rFonts w:hint="eastAsia" w:ascii="宋体" w:hAnsi="宋体" w:cs="宋体"/>
          <w:color w:val="auto"/>
          <w:sz w:val="24"/>
          <w:szCs w:val="24"/>
          <w:highlight w:val="none"/>
        </w:rPr>
        <w:t>中标或成交</w:t>
      </w:r>
      <w:r>
        <w:rPr>
          <w:rFonts w:ascii="宋体" w:hAnsi="宋体"/>
          <w:color w:val="auto"/>
          <w:sz w:val="24"/>
          <w:szCs w:val="24"/>
          <w:highlight w:val="none"/>
        </w:rPr>
        <w:t>供应商在完全履行合同义务后</w:t>
      </w:r>
      <w:r>
        <w:rPr>
          <w:rFonts w:hint="eastAsia" w:ascii="宋体" w:hAnsi="宋体"/>
          <w:color w:val="auto"/>
          <w:sz w:val="24"/>
          <w:szCs w:val="24"/>
          <w:highlight w:val="none"/>
        </w:rPr>
        <w:t>，</w:t>
      </w:r>
      <w:r>
        <w:rPr>
          <w:rFonts w:ascii="宋体" w:hAnsi="宋体"/>
          <w:color w:val="auto"/>
          <w:sz w:val="24"/>
          <w:szCs w:val="24"/>
          <w:highlight w:val="none"/>
        </w:rPr>
        <w:t>采购人应支付给</w:t>
      </w:r>
      <w:r>
        <w:rPr>
          <w:rFonts w:hint="eastAsia" w:ascii="宋体" w:hAnsi="宋体" w:cs="宋体"/>
          <w:color w:val="auto"/>
          <w:sz w:val="24"/>
          <w:szCs w:val="24"/>
          <w:highlight w:val="none"/>
        </w:rPr>
        <w:t>中标或成交</w:t>
      </w:r>
      <w:r>
        <w:rPr>
          <w:rFonts w:ascii="宋体" w:hAnsi="宋体"/>
          <w:color w:val="auto"/>
          <w:sz w:val="24"/>
          <w:szCs w:val="24"/>
          <w:highlight w:val="none"/>
        </w:rPr>
        <w:t>供应商的价格。</w:t>
      </w:r>
    </w:p>
    <w:p w14:paraId="5C1A05A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2.1.3 “</w:t>
      </w:r>
      <w:r>
        <w:rPr>
          <w:rFonts w:hint="eastAsia" w:ascii="宋体" w:hAnsi="宋体"/>
          <w:color w:val="auto"/>
          <w:sz w:val="24"/>
          <w:szCs w:val="24"/>
          <w:highlight w:val="none"/>
        </w:rPr>
        <w:t>服务</w:t>
      </w:r>
      <w:r>
        <w:rPr>
          <w:rFonts w:ascii="宋体" w:hAnsi="宋体"/>
          <w:color w:val="auto"/>
          <w:sz w:val="24"/>
          <w:szCs w:val="24"/>
          <w:highlight w:val="none"/>
        </w:rPr>
        <w:t>”系指</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根据合同约定应向采购人</w:t>
      </w:r>
      <w:r>
        <w:rPr>
          <w:rFonts w:hint="eastAsia" w:ascii="宋体" w:hAnsi="宋体"/>
          <w:color w:val="auto"/>
          <w:sz w:val="24"/>
          <w:szCs w:val="24"/>
          <w:highlight w:val="none"/>
        </w:rPr>
        <w:t>履行</w:t>
      </w:r>
      <w:r>
        <w:rPr>
          <w:rFonts w:ascii="宋体" w:hAnsi="宋体"/>
          <w:color w:val="auto"/>
          <w:sz w:val="24"/>
          <w:szCs w:val="24"/>
          <w:highlight w:val="none"/>
        </w:rPr>
        <w:t>的</w:t>
      </w:r>
      <w:r>
        <w:rPr>
          <w:rFonts w:hint="eastAsia" w:ascii="宋体" w:hAnsi="宋体"/>
          <w:color w:val="auto"/>
          <w:sz w:val="24"/>
          <w:szCs w:val="24"/>
          <w:highlight w:val="none"/>
        </w:rPr>
        <w:t>除货物和工程以外的其他政府采购对象，包括采购人自身需要的服务和向社会公众提供的公共服务。</w:t>
      </w:r>
    </w:p>
    <w:p w14:paraId="0E2F4C3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 “</w:t>
      </w:r>
      <w:r>
        <w:rPr>
          <w:rFonts w:hint="eastAsia" w:ascii="宋体" w:hAnsi="宋体"/>
          <w:color w:val="auto"/>
          <w:sz w:val="24"/>
          <w:szCs w:val="24"/>
          <w:highlight w:val="none"/>
        </w:rPr>
        <w:t>甲方</w:t>
      </w:r>
      <w:r>
        <w:rPr>
          <w:rFonts w:ascii="宋体" w:hAnsi="宋体"/>
          <w:color w:val="auto"/>
          <w:sz w:val="24"/>
          <w:szCs w:val="24"/>
          <w:highlight w:val="none"/>
        </w:rPr>
        <w:t>”系指与</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签署合同的采购人</w:t>
      </w:r>
      <w:r>
        <w:rPr>
          <w:rFonts w:hint="eastAsia" w:ascii="宋体" w:hAnsi="宋体"/>
          <w:color w:val="auto"/>
          <w:sz w:val="24"/>
          <w:szCs w:val="24"/>
          <w:highlight w:val="none"/>
        </w:rPr>
        <w:t>；采购人委托采购代理机构代表其与乙方签订合同的，采购人的授权委托书作为合同附件。</w:t>
      </w:r>
    </w:p>
    <w:p w14:paraId="305CEA0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2.1.5 “乙方”系指根据合同约定提供服务的</w:t>
      </w:r>
      <w:r>
        <w:rPr>
          <w:rFonts w:hint="eastAsia" w:ascii="宋体" w:hAnsi="宋体" w:cs="宋体"/>
          <w:color w:val="auto"/>
          <w:sz w:val="24"/>
          <w:szCs w:val="24"/>
          <w:highlight w:val="none"/>
        </w:rPr>
        <w:t>中标或成交</w:t>
      </w:r>
      <w:r>
        <w:rPr>
          <w:rFonts w:ascii="宋体" w:hAnsi="宋体"/>
          <w:color w:val="auto"/>
          <w:sz w:val="24"/>
          <w:szCs w:val="24"/>
          <w:highlight w:val="none"/>
        </w:rPr>
        <w:t>供应商</w:t>
      </w:r>
      <w:r>
        <w:rPr>
          <w:rFonts w:hint="eastAsia" w:ascii="宋体" w:hAnsi="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E421E7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2.1.6 “现场”系指合同约定提供服务的地点。</w:t>
      </w:r>
    </w:p>
    <w:p w14:paraId="14EB90A1">
      <w:pPr>
        <w:shd w:val="clear"/>
        <w:spacing w:line="360" w:lineRule="auto"/>
        <w:ind w:firstLine="482" w:firstLineChars="200"/>
        <w:rPr>
          <w:rFonts w:ascii="宋体" w:hAnsi="宋体"/>
          <w:b/>
          <w:color w:val="auto"/>
          <w:sz w:val="24"/>
          <w:szCs w:val="24"/>
          <w:highlight w:val="none"/>
        </w:rPr>
      </w:pPr>
      <w:bookmarkStart w:id="109" w:name="_Toc23289"/>
      <w:bookmarkStart w:id="110" w:name="_Toc31402"/>
      <w:bookmarkStart w:id="111" w:name="_Toc3769"/>
      <w:bookmarkStart w:id="112" w:name="_Toc16752"/>
      <w:bookmarkStart w:id="113" w:name="_Toc19539"/>
      <w:r>
        <w:rPr>
          <w:rFonts w:ascii="宋体" w:hAnsi="宋体"/>
          <w:b/>
          <w:color w:val="auto"/>
          <w:sz w:val="24"/>
          <w:szCs w:val="24"/>
          <w:highlight w:val="none"/>
        </w:rPr>
        <w:t>2.2 技术规范</w:t>
      </w:r>
      <w:bookmarkEnd w:id="109"/>
      <w:bookmarkEnd w:id="110"/>
      <w:bookmarkEnd w:id="111"/>
      <w:bookmarkEnd w:id="112"/>
      <w:bookmarkEnd w:id="113"/>
    </w:p>
    <w:p w14:paraId="752412AC">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服务</w:t>
      </w:r>
      <w:r>
        <w:rPr>
          <w:rFonts w:ascii="宋体" w:hAnsi="宋体"/>
          <w:color w:val="auto"/>
          <w:sz w:val="24"/>
          <w:szCs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szCs w:val="24"/>
          <w:highlight w:val="none"/>
        </w:rPr>
        <w:t>；</w:t>
      </w:r>
      <w:r>
        <w:rPr>
          <w:rFonts w:ascii="宋体" w:hAnsi="宋体"/>
          <w:color w:val="auto"/>
          <w:sz w:val="24"/>
          <w:szCs w:val="24"/>
          <w:highlight w:val="none"/>
        </w:rPr>
        <w:t>如果采购文件中没有技术规范的相应说明，那么应以国家有关部门最新颁布的相应标准</w:t>
      </w:r>
      <w:r>
        <w:rPr>
          <w:rFonts w:hint="eastAsia" w:ascii="宋体" w:hAnsi="宋体"/>
          <w:color w:val="auto"/>
          <w:sz w:val="24"/>
          <w:szCs w:val="24"/>
          <w:highlight w:val="none"/>
        </w:rPr>
        <w:t>和</w:t>
      </w:r>
      <w:r>
        <w:rPr>
          <w:rFonts w:ascii="宋体" w:hAnsi="宋体"/>
          <w:color w:val="auto"/>
          <w:sz w:val="24"/>
          <w:szCs w:val="24"/>
          <w:highlight w:val="none"/>
        </w:rPr>
        <w:t>规范为准。</w:t>
      </w:r>
    </w:p>
    <w:p w14:paraId="0C1E46CB">
      <w:pPr>
        <w:shd w:val="clear"/>
        <w:spacing w:line="360" w:lineRule="auto"/>
        <w:ind w:firstLine="482" w:firstLineChars="200"/>
        <w:rPr>
          <w:rFonts w:ascii="宋体" w:hAnsi="宋体"/>
          <w:b/>
          <w:color w:val="auto"/>
          <w:sz w:val="24"/>
          <w:szCs w:val="24"/>
          <w:highlight w:val="none"/>
        </w:rPr>
      </w:pPr>
      <w:bookmarkStart w:id="114" w:name="_Toc27945"/>
      <w:bookmarkStart w:id="115" w:name="_Toc4133"/>
      <w:bookmarkStart w:id="116" w:name="_Toc9161"/>
      <w:bookmarkStart w:id="117" w:name="_Toc12412"/>
      <w:bookmarkStart w:id="118" w:name="_Toc13673"/>
      <w:r>
        <w:rPr>
          <w:rFonts w:ascii="宋体" w:hAnsi="宋体"/>
          <w:b/>
          <w:color w:val="auto"/>
          <w:sz w:val="24"/>
          <w:szCs w:val="24"/>
          <w:highlight w:val="none"/>
        </w:rPr>
        <w:t>2.3 知识产权</w:t>
      </w:r>
      <w:bookmarkEnd w:id="114"/>
      <w:bookmarkEnd w:id="115"/>
      <w:bookmarkEnd w:id="116"/>
      <w:bookmarkEnd w:id="117"/>
      <w:bookmarkEnd w:id="118"/>
    </w:p>
    <w:p w14:paraId="681C311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2.3.1 </w:t>
      </w:r>
      <w:r>
        <w:rPr>
          <w:rFonts w:hint="eastAsia" w:ascii="宋体" w:hAnsi="宋体"/>
          <w:color w:val="auto"/>
          <w:sz w:val="24"/>
          <w:szCs w:val="24"/>
          <w:highlight w:val="none"/>
        </w:rPr>
        <w:t>乙</w:t>
      </w:r>
      <w:r>
        <w:rPr>
          <w:rFonts w:ascii="宋体" w:hAnsi="宋体"/>
          <w:color w:val="auto"/>
          <w:sz w:val="24"/>
          <w:szCs w:val="24"/>
          <w:highlight w:val="none"/>
        </w:rPr>
        <w:t>方应保证</w:t>
      </w:r>
      <w:r>
        <w:rPr>
          <w:rFonts w:hint="eastAsia" w:ascii="宋体" w:hAnsi="宋体"/>
          <w:color w:val="auto"/>
          <w:sz w:val="24"/>
          <w:szCs w:val="24"/>
          <w:highlight w:val="none"/>
        </w:rPr>
        <w:t>其提供的服务</w:t>
      </w:r>
      <w:r>
        <w:rPr>
          <w:rFonts w:ascii="宋体" w:hAnsi="宋体"/>
          <w:color w:val="auto"/>
          <w:sz w:val="24"/>
          <w:szCs w:val="24"/>
          <w:highlight w:val="none"/>
        </w:rPr>
        <w:t>不受任何第三方提出的侵犯其著作权、商标权、专利权等知识产权方面的起诉</w:t>
      </w:r>
      <w:r>
        <w:rPr>
          <w:rFonts w:hint="eastAsia" w:ascii="宋体" w:hAnsi="宋体"/>
          <w:color w:val="auto"/>
          <w:sz w:val="24"/>
          <w:szCs w:val="24"/>
          <w:highlight w:val="none"/>
        </w:rPr>
        <w:t>；</w:t>
      </w:r>
      <w:r>
        <w:rPr>
          <w:rFonts w:ascii="宋体" w:hAnsi="宋体"/>
          <w:color w:val="auto"/>
          <w:sz w:val="24"/>
          <w:szCs w:val="24"/>
          <w:highlight w:val="none"/>
        </w:rPr>
        <w:t>如果任何第三方提出侵权</w:t>
      </w:r>
      <w:r>
        <w:rPr>
          <w:rFonts w:hint="eastAsia" w:ascii="宋体" w:hAnsi="宋体"/>
          <w:color w:val="auto"/>
          <w:sz w:val="24"/>
          <w:szCs w:val="24"/>
          <w:highlight w:val="none"/>
        </w:rPr>
        <w:t>指控</w:t>
      </w:r>
      <w:r>
        <w:rPr>
          <w:rFonts w:ascii="宋体" w:hAnsi="宋体"/>
          <w:color w:val="auto"/>
          <w:sz w:val="24"/>
          <w:szCs w:val="24"/>
          <w:highlight w:val="none"/>
        </w:rPr>
        <w:t>，那么乙方须与该第三方交涉并承担由此发生的一切责任、费用和赔偿</w:t>
      </w:r>
      <w:r>
        <w:rPr>
          <w:rFonts w:hint="eastAsia" w:ascii="宋体" w:hAnsi="宋体"/>
          <w:color w:val="auto"/>
          <w:sz w:val="24"/>
          <w:szCs w:val="24"/>
          <w:highlight w:val="none"/>
        </w:rPr>
        <w:t>，乙方还应及时澄清相关信息，使甲方声誉免受损害，甲方保留追责的权利。</w:t>
      </w:r>
    </w:p>
    <w:p w14:paraId="3CBCDD4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2.3.2 </w:t>
      </w:r>
      <w:r>
        <w:rPr>
          <w:rFonts w:hint="eastAsia" w:ascii="宋体" w:hAnsi="宋体"/>
          <w:color w:val="auto"/>
          <w:sz w:val="24"/>
          <w:szCs w:val="24"/>
          <w:highlight w:val="none"/>
        </w:rPr>
        <w:t>合同涉及技术成果的归属和收益的分成办法的，</w:t>
      </w: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00F8D7C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 xml:space="preserve">2.4 </w:t>
      </w:r>
      <w:r>
        <w:rPr>
          <w:rFonts w:hint="eastAsia" w:ascii="宋体" w:hAnsi="宋体"/>
          <w:b/>
          <w:color w:val="auto"/>
          <w:sz w:val="24"/>
          <w:szCs w:val="24"/>
          <w:highlight w:val="none"/>
        </w:rPr>
        <w:t>履约检查和问题反馈</w:t>
      </w:r>
    </w:p>
    <w:p w14:paraId="48B1CDC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2.4.1甲方</w:t>
      </w:r>
      <w:r>
        <w:rPr>
          <w:rFonts w:hint="eastAsia" w:ascii="宋体" w:hAnsi="宋体"/>
          <w:color w:val="auto"/>
          <w:sz w:val="24"/>
          <w:szCs w:val="24"/>
          <w:highlight w:val="none"/>
        </w:rPr>
        <w:t>有权</w:t>
      </w:r>
      <w:r>
        <w:rPr>
          <w:rFonts w:ascii="宋体" w:hAnsi="宋体"/>
          <w:color w:val="auto"/>
          <w:sz w:val="24"/>
          <w:szCs w:val="24"/>
          <w:highlight w:val="none"/>
        </w:rPr>
        <w:t>在其认为必要时</w:t>
      </w:r>
      <w:r>
        <w:rPr>
          <w:rFonts w:hint="eastAsia" w:ascii="宋体" w:hAnsi="宋体"/>
          <w:color w:val="auto"/>
          <w:sz w:val="24"/>
          <w:szCs w:val="24"/>
          <w:highlight w:val="none"/>
        </w:rPr>
        <w:t>，对乙方是否能够按照合同约定提供服务进行履约检查，以确保乙方所提供的服务能够依约满足甲方之项目需求，但不得因履约检查妨碍乙方的正常工作，乙方应予积极配合；</w:t>
      </w:r>
    </w:p>
    <w:p w14:paraId="0021FA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合同履行期间，甲方有权将履行过程中出现的问题反馈给乙方，双方当事人应以书面形式约定需要完善和改进的内容。</w:t>
      </w:r>
    </w:p>
    <w:p w14:paraId="5E27A1D6">
      <w:pPr>
        <w:shd w:val="clear"/>
        <w:spacing w:line="360" w:lineRule="auto"/>
        <w:ind w:firstLine="482" w:firstLineChars="200"/>
        <w:rPr>
          <w:rFonts w:ascii="宋体" w:hAnsi="宋体"/>
          <w:b/>
          <w:color w:val="auto"/>
          <w:sz w:val="24"/>
          <w:szCs w:val="24"/>
          <w:highlight w:val="none"/>
        </w:rPr>
      </w:pPr>
      <w:bookmarkStart w:id="119" w:name="_Toc22011"/>
      <w:bookmarkStart w:id="120" w:name="_Toc26555"/>
      <w:bookmarkStart w:id="121" w:name="_Toc32670"/>
      <w:bookmarkStart w:id="122" w:name="_Toc31233"/>
      <w:bookmarkStart w:id="123" w:name="_Toc15447"/>
      <w:r>
        <w:rPr>
          <w:rFonts w:ascii="宋体" w:hAnsi="宋体"/>
          <w:b/>
          <w:color w:val="auto"/>
          <w:sz w:val="24"/>
          <w:szCs w:val="24"/>
          <w:highlight w:val="none"/>
        </w:rPr>
        <w:t>2.5 结算方式和付款条件</w:t>
      </w:r>
      <w:bookmarkEnd w:id="119"/>
      <w:bookmarkEnd w:id="120"/>
      <w:bookmarkEnd w:id="121"/>
      <w:bookmarkEnd w:id="122"/>
      <w:bookmarkEnd w:id="123"/>
    </w:p>
    <w:p w14:paraId="58F6B34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66673063">
      <w:pPr>
        <w:shd w:val="clear"/>
        <w:spacing w:line="360" w:lineRule="auto"/>
        <w:ind w:firstLine="482" w:firstLineChars="200"/>
        <w:rPr>
          <w:rFonts w:ascii="宋体" w:hAnsi="宋体"/>
          <w:b/>
          <w:color w:val="auto"/>
          <w:sz w:val="24"/>
          <w:szCs w:val="24"/>
          <w:highlight w:val="none"/>
        </w:rPr>
      </w:pPr>
      <w:bookmarkStart w:id="124" w:name="_Toc13467"/>
      <w:bookmarkStart w:id="125" w:name="_Toc18990"/>
      <w:bookmarkStart w:id="126" w:name="_Toc30507"/>
      <w:bookmarkStart w:id="127" w:name="_Toc16163"/>
      <w:bookmarkStart w:id="128" w:name="_Toc13154"/>
      <w:r>
        <w:rPr>
          <w:rFonts w:ascii="宋体" w:hAnsi="宋体"/>
          <w:b/>
          <w:color w:val="auto"/>
          <w:sz w:val="24"/>
          <w:szCs w:val="24"/>
          <w:highlight w:val="none"/>
        </w:rPr>
        <w:t>2.6 技术资料和保密义务</w:t>
      </w:r>
      <w:bookmarkEnd w:id="124"/>
      <w:bookmarkEnd w:id="125"/>
      <w:bookmarkEnd w:id="126"/>
      <w:bookmarkEnd w:id="127"/>
      <w:bookmarkEnd w:id="128"/>
    </w:p>
    <w:p w14:paraId="2B4F8CA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2.6.1 乙方有权依据合同约定和项目需要，向甲方了解有关情况，调阅有关资料等，甲方应予积极配合；</w:t>
      </w:r>
    </w:p>
    <w:p w14:paraId="1F95F88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2.6.2 </w:t>
      </w:r>
      <w:r>
        <w:rPr>
          <w:rFonts w:hint="eastAsia" w:ascii="宋体" w:hAnsi="宋体"/>
          <w:color w:val="auto"/>
          <w:sz w:val="24"/>
          <w:szCs w:val="24"/>
          <w:highlight w:val="none"/>
        </w:rPr>
        <w:t>乙方有义务妥善保管和保护由甲方提供的前款信息和资料等；</w:t>
      </w:r>
    </w:p>
    <w:p w14:paraId="4F504A95">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2.6.3 </w:t>
      </w:r>
      <w:r>
        <w:rPr>
          <w:rFonts w:hint="eastAsia" w:ascii="宋体" w:hAnsi="宋体"/>
          <w:color w:val="auto"/>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szCs w:val="24"/>
          <w:highlight w:val="none"/>
        </w:rPr>
        <w:t>技术情报</w:t>
      </w:r>
      <w:r>
        <w:rPr>
          <w:rFonts w:hint="eastAsia" w:ascii="宋体" w:hAnsi="宋体"/>
          <w:color w:val="auto"/>
          <w:sz w:val="24"/>
          <w:szCs w:val="24"/>
          <w:highlight w:val="none"/>
        </w:rPr>
        <w:t>、</w:t>
      </w:r>
      <w:r>
        <w:rPr>
          <w:rFonts w:ascii="宋体" w:hAnsi="宋体"/>
          <w:color w:val="auto"/>
          <w:sz w:val="24"/>
          <w:szCs w:val="24"/>
          <w:highlight w:val="none"/>
        </w:rPr>
        <w:t>技术资料</w:t>
      </w:r>
      <w:r>
        <w:rPr>
          <w:rFonts w:hint="eastAsia" w:ascii="宋体" w:hAnsi="宋体"/>
          <w:color w:val="auto"/>
          <w:sz w:val="24"/>
          <w:szCs w:val="24"/>
          <w:highlight w:val="none"/>
        </w:rPr>
        <w:t>、商业秘密和商业信息等，并采取一切合理和必要措施和方式防止任何第三方接触到对方当事人的上述保密信息和资料。</w:t>
      </w:r>
    </w:p>
    <w:p w14:paraId="4FF2395F">
      <w:pPr>
        <w:shd w:val="clear"/>
        <w:spacing w:line="360" w:lineRule="auto"/>
        <w:ind w:firstLine="482" w:firstLineChars="200"/>
        <w:rPr>
          <w:rFonts w:ascii="宋体" w:hAnsi="宋体"/>
          <w:b/>
          <w:color w:val="auto"/>
          <w:sz w:val="24"/>
          <w:szCs w:val="24"/>
          <w:highlight w:val="none"/>
        </w:rPr>
      </w:pPr>
      <w:bookmarkStart w:id="129" w:name="_Toc19069"/>
      <w:r>
        <w:rPr>
          <w:rFonts w:ascii="宋体" w:hAnsi="宋体"/>
          <w:b/>
          <w:color w:val="auto"/>
          <w:sz w:val="24"/>
          <w:szCs w:val="24"/>
          <w:highlight w:val="none"/>
        </w:rPr>
        <w:t xml:space="preserve">2.7 </w:t>
      </w:r>
      <w:r>
        <w:rPr>
          <w:rFonts w:hint="eastAsia" w:ascii="宋体" w:hAnsi="宋体"/>
          <w:b/>
          <w:color w:val="auto"/>
          <w:sz w:val="24"/>
          <w:szCs w:val="24"/>
          <w:highlight w:val="none"/>
        </w:rPr>
        <w:t>质量保证</w:t>
      </w:r>
      <w:bookmarkEnd w:id="129"/>
    </w:p>
    <w:p w14:paraId="47761108">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2.7.1 </w:t>
      </w:r>
      <w:r>
        <w:rPr>
          <w:rFonts w:hint="eastAsia" w:ascii="宋体" w:hAnsi="宋体"/>
          <w:color w:val="auto"/>
          <w:sz w:val="24"/>
          <w:szCs w:val="24"/>
          <w:highlight w:val="none"/>
        </w:rPr>
        <w:t>乙方应建立和完善履行合同的内部质量保证体系，并提供相关内部规章制度给甲方，以便甲方进行监督检查；</w:t>
      </w:r>
    </w:p>
    <w:p w14:paraId="61DD7B6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2.7.2 </w:t>
      </w:r>
      <w:r>
        <w:rPr>
          <w:rFonts w:hint="eastAsia" w:ascii="宋体" w:hAnsi="宋体"/>
          <w:color w:val="auto"/>
          <w:sz w:val="24"/>
          <w:szCs w:val="24"/>
          <w:highlight w:val="none"/>
        </w:rPr>
        <w:t>乙方应保证履行合同的人员数量和素质、软件和硬件设备的配置、场地、环境和设施等满足全面履行合同的要求，并应接受甲方的监督检查。</w:t>
      </w:r>
    </w:p>
    <w:p w14:paraId="5B95CA4F">
      <w:pPr>
        <w:shd w:val="clear"/>
        <w:spacing w:line="360" w:lineRule="auto"/>
        <w:ind w:firstLine="482" w:firstLineChars="200"/>
        <w:rPr>
          <w:rFonts w:ascii="宋体" w:hAnsi="宋体"/>
          <w:b/>
          <w:color w:val="auto"/>
          <w:sz w:val="24"/>
          <w:szCs w:val="24"/>
          <w:highlight w:val="none"/>
        </w:rPr>
      </w:pPr>
      <w:bookmarkStart w:id="130" w:name="_Toc22267"/>
      <w:r>
        <w:rPr>
          <w:rFonts w:ascii="宋体" w:hAnsi="宋体"/>
          <w:b/>
          <w:color w:val="auto"/>
          <w:sz w:val="24"/>
          <w:szCs w:val="24"/>
          <w:highlight w:val="none"/>
        </w:rPr>
        <w:t xml:space="preserve">2.8 </w:t>
      </w:r>
      <w:r>
        <w:rPr>
          <w:rFonts w:hint="eastAsia" w:ascii="宋体" w:hAnsi="宋体"/>
          <w:b/>
          <w:color w:val="auto"/>
          <w:sz w:val="24"/>
          <w:szCs w:val="24"/>
          <w:highlight w:val="none"/>
        </w:rPr>
        <w:t>延迟履行</w:t>
      </w:r>
      <w:bookmarkEnd w:id="130"/>
    </w:p>
    <w:p w14:paraId="67EB48C2">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甲乙双方签订合同后，乙方应按照合同约定履行合同义务，除不可抗力外，乙方不得延迟履行。</w:t>
      </w:r>
      <w:r>
        <w:rPr>
          <w:rFonts w:ascii="宋体" w:hAnsi="宋体"/>
          <w:color w:val="auto"/>
          <w:sz w:val="24"/>
          <w:szCs w:val="24"/>
          <w:highlight w:val="none"/>
        </w:rPr>
        <w:t>在合同履行过程中，如果</w:t>
      </w:r>
      <w:r>
        <w:rPr>
          <w:rFonts w:hint="eastAsia" w:ascii="宋体" w:hAnsi="宋体"/>
          <w:color w:val="auto"/>
          <w:sz w:val="24"/>
          <w:szCs w:val="24"/>
          <w:highlight w:val="none"/>
        </w:rPr>
        <w:t>因不可抗力，</w:t>
      </w:r>
      <w:r>
        <w:rPr>
          <w:rFonts w:ascii="宋体" w:hAnsi="宋体"/>
          <w:color w:val="auto"/>
          <w:sz w:val="24"/>
          <w:szCs w:val="24"/>
          <w:highlight w:val="none"/>
        </w:rPr>
        <w:t>乙方遇到不能按时</w:t>
      </w:r>
      <w:r>
        <w:rPr>
          <w:rFonts w:hint="eastAsia" w:ascii="宋体" w:hAnsi="宋体"/>
          <w:color w:val="auto"/>
          <w:sz w:val="24"/>
          <w:szCs w:val="24"/>
          <w:highlight w:val="none"/>
        </w:rPr>
        <w:t>提供服务</w:t>
      </w:r>
      <w:r>
        <w:rPr>
          <w:rFonts w:ascii="宋体" w:hAnsi="宋体"/>
          <w:color w:val="auto"/>
          <w:sz w:val="24"/>
          <w:szCs w:val="24"/>
          <w:highlight w:val="none"/>
        </w:rPr>
        <w:t>的情况，应及时以书面形式将不能按时</w:t>
      </w:r>
      <w:r>
        <w:rPr>
          <w:rFonts w:hint="eastAsia" w:ascii="宋体" w:hAnsi="宋体"/>
          <w:color w:val="auto"/>
          <w:sz w:val="24"/>
          <w:szCs w:val="24"/>
          <w:highlight w:val="none"/>
        </w:rPr>
        <w:t>提供服务</w:t>
      </w:r>
      <w:r>
        <w:rPr>
          <w:rFonts w:ascii="宋体" w:hAnsi="宋体"/>
          <w:color w:val="auto"/>
          <w:sz w:val="24"/>
          <w:szCs w:val="24"/>
          <w:highlight w:val="none"/>
        </w:rPr>
        <w:t>的理由、预期延误时间通知甲方</w:t>
      </w:r>
      <w:r>
        <w:rPr>
          <w:rFonts w:hint="eastAsia" w:ascii="宋体" w:hAnsi="宋体"/>
          <w:color w:val="auto"/>
          <w:sz w:val="24"/>
          <w:szCs w:val="24"/>
          <w:highlight w:val="none"/>
        </w:rPr>
        <w:t>；甲</w:t>
      </w:r>
      <w:r>
        <w:rPr>
          <w:rFonts w:ascii="宋体" w:hAnsi="宋体"/>
          <w:color w:val="auto"/>
          <w:sz w:val="24"/>
          <w:szCs w:val="24"/>
          <w:highlight w:val="none"/>
        </w:rPr>
        <w:t>方收到乙方通知后，认为其理由正当的，可以书面形式酌情同意乙方可以延长</w:t>
      </w:r>
      <w:r>
        <w:rPr>
          <w:rFonts w:hint="eastAsia" w:ascii="宋体" w:hAnsi="宋体"/>
          <w:color w:val="auto"/>
          <w:sz w:val="24"/>
          <w:szCs w:val="24"/>
          <w:highlight w:val="none"/>
        </w:rPr>
        <w:t>履行</w:t>
      </w:r>
      <w:r>
        <w:rPr>
          <w:rFonts w:ascii="宋体" w:hAnsi="宋体"/>
          <w:color w:val="auto"/>
          <w:sz w:val="24"/>
          <w:szCs w:val="24"/>
          <w:highlight w:val="none"/>
        </w:rPr>
        <w:t>的具体时间。</w:t>
      </w:r>
    </w:p>
    <w:p w14:paraId="241DF1C5">
      <w:pPr>
        <w:shd w:val="clear"/>
        <w:spacing w:line="360" w:lineRule="auto"/>
        <w:ind w:firstLine="482" w:firstLineChars="200"/>
        <w:rPr>
          <w:rFonts w:ascii="宋体" w:hAnsi="宋体"/>
          <w:b/>
          <w:color w:val="auto"/>
          <w:sz w:val="24"/>
          <w:szCs w:val="24"/>
          <w:highlight w:val="none"/>
        </w:rPr>
      </w:pPr>
      <w:bookmarkStart w:id="131" w:name="_Toc10611"/>
      <w:r>
        <w:rPr>
          <w:rFonts w:ascii="宋体" w:hAnsi="宋体"/>
          <w:b/>
          <w:color w:val="auto"/>
          <w:sz w:val="24"/>
          <w:szCs w:val="24"/>
          <w:highlight w:val="none"/>
        </w:rPr>
        <w:t xml:space="preserve">2.9 </w:t>
      </w:r>
      <w:r>
        <w:rPr>
          <w:rFonts w:hint="eastAsia" w:ascii="宋体" w:hAnsi="宋体"/>
          <w:b/>
          <w:color w:val="auto"/>
          <w:sz w:val="24"/>
          <w:szCs w:val="24"/>
          <w:highlight w:val="none"/>
        </w:rPr>
        <w:t>合同变更</w:t>
      </w:r>
      <w:bookmarkEnd w:id="131"/>
    </w:p>
    <w:p w14:paraId="6EF22BFF">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272EB0F5">
      <w:pPr>
        <w:shd w:val="clear"/>
        <w:spacing w:line="360" w:lineRule="auto"/>
        <w:ind w:firstLine="482" w:firstLineChars="200"/>
        <w:rPr>
          <w:rFonts w:ascii="宋体" w:hAnsi="宋体"/>
          <w:b/>
          <w:color w:val="auto"/>
          <w:sz w:val="24"/>
          <w:szCs w:val="24"/>
          <w:highlight w:val="none"/>
        </w:rPr>
      </w:pPr>
      <w:bookmarkStart w:id="132" w:name="_Toc26689"/>
      <w:bookmarkStart w:id="133" w:name="_Toc42"/>
      <w:bookmarkStart w:id="134" w:name="_Toc10663"/>
      <w:bookmarkStart w:id="135" w:name="_Toc21830"/>
      <w:r>
        <w:rPr>
          <w:rFonts w:ascii="宋体" w:hAnsi="宋体"/>
          <w:b/>
          <w:color w:val="auto"/>
          <w:sz w:val="24"/>
          <w:szCs w:val="24"/>
          <w:highlight w:val="none"/>
        </w:rPr>
        <w:t>2.10 合同转让和分包</w:t>
      </w:r>
      <w:bookmarkEnd w:id="132"/>
      <w:bookmarkEnd w:id="133"/>
      <w:bookmarkEnd w:id="134"/>
      <w:bookmarkEnd w:id="135"/>
    </w:p>
    <w:p w14:paraId="49E4DD9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合同的权利义务依法不</w:t>
      </w:r>
      <w:r>
        <w:rPr>
          <w:rFonts w:hint="eastAsia" w:ascii="宋体" w:hAnsi="宋体"/>
          <w:color w:val="auto"/>
          <w:sz w:val="24"/>
          <w:szCs w:val="24"/>
          <w:highlight w:val="none"/>
        </w:rPr>
        <w:t>得</w:t>
      </w:r>
      <w:r>
        <w:rPr>
          <w:rFonts w:ascii="宋体" w:hAnsi="宋体"/>
          <w:color w:val="auto"/>
          <w:sz w:val="24"/>
          <w:szCs w:val="24"/>
          <w:highlight w:val="none"/>
        </w:rPr>
        <w:t>转让</w:t>
      </w:r>
      <w:r>
        <w:rPr>
          <w:rFonts w:hint="eastAsia" w:ascii="宋体" w:hAnsi="宋体"/>
          <w:color w:val="auto"/>
          <w:sz w:val="24"/>
          <w:szCs w:val="24"/>
          <w:highlight w:val="none"/>
        </w:rPr>
        <w:t>，</w:t>
      </w:r>
      <w:r>
        <w:rPr>
          <w:rFonts w:ascii="宋体" w:hAnsi="宋体"/>
          <w:color w:val="auto"/>
          <w:sz w:val="24"/>
          <w:szCs w:val="24"/>
          <w:highlight w:val="none"/>
        </w:rPr>
        <w:t>但经甲方</w:t>
      </w:r>
      <w:r>
        <w:rPr>
          <w:rFonts w:hint="eastAsia" w:ascii="宋体" w:hAnsi="宋体"/>
          <w:color w:val="auto"/>
          <w:sz w:val="24"/>
          <w:szCs w:val="24"/>
          <w:highlight w:val="none"/>
        </w:rPr>
        <w:t>同意，乙方可以依法采取分包方式履行合同，即：依法可以</w:t>
      </w:r>
      <w:r>
        <w:rPr>
          <w:rFonts w:ascii="宋体" w:hAnsi="宋体"/>
          <w:color w:val="auto"/>
          <w:sz w:val="24"/>
          <w:szCs w:val="24"/>
          <w:highlight w:val="none"/>
        </w:rPr>
        <w:t>将合同项下的部分非主体、非关键性工作分包给他人完成</w:t>
      </w:r>
      <w:r>
        <w:rPr>
          <w:rFonts w:hint="eastAsia" w:ascii="宋体" w:hAnsi="宋体"/>
          <w:color w:val="auto"/>
          <w:sz w:val="24"/>
          <w:szCs w:val="24"/>
          <w:highlight w:val="none"/>
        </w:rPr>
        <w:t>，</w:t>
      </w:r>
      <w:r>
        <w:rPr>
          <w:rFonts w:ascii="宋体" w:hAnsi="宋体"/>
          <w:color w:val="auto"/>
          <w:sz w:val="24"/>
          <w:szCs w:val="24"/>
          <w:highlight w:val="none"/>
        </w:rPr>
        <w:t>接受分包的人应当具备相应的资格条件，并不得再次分包</w:t>
      </w:r>
      <w:r>
        <w:rPr>
          <w:rFonts w:hint="eastAsia" w:ascii="宋体" w:hAnsi="宋体"/>
          <w:color w:val="auto"/>
          <w:sz w:val="24"/>
          <w:szCs w:val="24"/>
          <w:highlight w:val="none"/>
        </w:rPr>
        <w:t>，</w:t>
      </w:r>
      <w:r>
        <w:rPr>
          <w:rFonts w:ascii="宋体" w:hAnsi="宋体"/>
          <w:color w:val="auto"/>
          <w:sz w:val="24"/>
          <w:szCs w:val="24"/>
          <w:highlight w:val="none"/>
        </w:rPr>
        <w:t>且乙方应就分包项目向甲方负责</w:t>
      </w:r>
      <w:r>
        <w:rPr>
          <w:rFonts w:hint="eastAsia" w:ascii="宋体" w:hAnsi="宋体"/>
          <w:color w:val="auto"/>
          <w:sz w:val="24"/>
          <w:szCs w:val="24"/>
          <w:highlight w:val="none"/>
        </w:rPr>
        <w:t>，</w:t>
      </w:r>
      <w:r>
        <w:rPr>
          <w:rFonts w:ascii="宋体" w:hAnsi="宋体"/>
          <w:color w:val="auto"/>
          <w:sz w:val="24"/>
          <w:szCs w:val="24"/>
          <w:highlight w:val="none"/>
        </w:rPr>
        <w:t>并</w:t>
      </w:r>
      <w:r>
        <w:rPr>
          <w:rFonts w:hint="eastAsia" w:ascii="宋体" w:hAnsi="宋体"/>
          <w:color w:val="auto"/>
          <w:sz w:val="24"/>
          <w:szCs w:val="24"/>
          <w:highlight w:val="none"/>
        </w:rPr>
        <w:t>与分包供应商就分包项目向甲方承担连带责任。</w:t>
      </w:r>
    </w:p>
    <w:p w14:paraId="45D630C0">
      <w:pPr>
        <w:shd w:val="clear"/>
        <w:spacing w:line="360" w:lineRule="auto"/>
        <w:ind w:firstLine="482" w:firstLineChars="200"/>
        <w:rPr>
          <w:rFonts w:ascii="宋体" w:hAnsi="宋体"/>
          <w:b/>
          <w:color w:val="auto"/>
          <w:sz w:val="24"/>
          <w:szCs w:val="24"/>
          <w:highlight w:val="none"/>
        </w:rPr>
      </w:pPr>
      <w:bookmarkStart w:id="136" w:name="_Toc4720"/>
      <w:bookmarkStart w:id="137" w:name="_Toc25571"/>
      <w:bookmarkStart w:id="138" w:name="_Toc26633"/>
      <w:bookmarkStart w:id="139" w:name="_Toc32494"/>
      <w:bookmarkStart w:id="140" w:name="_Toc14371"/>
      <w:r>
        <w:rPr>
          <w:rFonts w:ascii="宋体" w:hAnsi="宋体"/>
          <w:b/>
          <w:color w:val="auto"/>
          <w:sz w:val="24"/>
          <w:szCs w:val="24"/>
          <w:highlight w:val="none"/>
        </w:rPr>
        <w:t>2.11 不可抗力</w:t>
      </w:r>
      <w:bookmarkEnd w:id="136"/>
      <w:bookmarkEnd w:id="137"/>
      <w:bookmarkEnd w:id="138"/>
      <w:bookmarkEnd w:id="139"/>
      <w:bookmarkEnd w:id="140"/>
    </w:p>
    <w:p w14:paraId="4A08A23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szCs w:val="24"/>
          <w:highlight w:val="none"/>
        </w:rPr>
        <w:t>；</w:t>
      </w:r>
    </w:p>
    <w:p w14:paraId="02732A6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2.11.2 </w:t>
      </w:r>
      <w:r>
        <w:rPr>
          <w:rFonts w:hint="eastAsia" w:ascii="宋体" w:hAnsi="宋体"/>
          <w:color w:val="auto"/>
          <w:sz w:val="24"/>
          <w:szCs w:val="24"/>
          <w:highlight w:val="none"/>
        </w:rPr>
        <w:t>因不可抗力致使不能实现合同目的的，当事人可以解除合同；</w:t>
      </w:r>
    </w:p>
    <w:p w14:paraId="5C6AF90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2.11.3 </w:t>
      </w:r>
      <w:r>
        <w:rPr>
          <w:rFonts w:hint="eastAsia" w:ascii="宋体" w:hAnsi="宋体"/>
          <w:color w:val="auto"/>
          <w:sz w:val="24"/>
          <w:szCs w:val="24"/>
          <w:highlight w:val="none"/>
        </w:rPr>
        <w:t>因</w:t>
      </w:r>
      <w:r>
        <w:rPr>
          <w:rFonts w:ascii="宋体" w:hAnsi="宋体"/>
          <w:color w:val="auto"/>
          <w:sz w:val="24"/>
          <w:szCs w:val="24"/>
          <w:highlight w:val="none"/>
        </w:rPr>
        <w:t>不可抗力致使合同有变更必要的，双方当事人应在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约定时间内以书面形式变更合同</w:t>
      </w:r>
      <w:r>
        <w:rPr>
          <w:rFonts w:hint="eastAsia" w:ascii="宋体" w:hAnsi="宋体"/>
          <w:color w:val="auto"/>
          <w:sz w:val="24"/>
          <w:szCs w:val="24"/>
          <w:highlight w:val="none"/>
        </w:rPr>
        <w:t>；</w:t>
      </w:r>
    </w:p>
    <w:p w14:paraId="149C4D9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2.11.4受</w:t>
      </w:r>
      <w:r>
        <w:rPr>
          <w:rFonts w:hint="eastAsia" w:ascii="宋体" w:hAnsi="宋体"/>
          <w:color w:val="auto"/>
          <w:sz w:val="24"/>
          <w:szCs w:val="24"/>
          <w:highlight w:val="none"/>
        </w:rPr>
        <w:t>不可抗力</w:t>
      </w:r>
      <w:r>
        <w:rPr>
          <w:rFonts w:ascii="宋体" w:hAnsi="宋体"/>
          <w:color w:val="auto"/>
          <w:sz w:val="24"/>
          <w:szCs w:val="24"/>
          <w:highlight w:val="none"/>
        </w:rPr>
        <w:t>影响的一方在不可抗力发生后</w:t>
      </w:r>
      <w:r>
        <w:rPr>
          <w:rFonts w:hint="eastAsia" w:ascii="宋体" w:hAnsi="宋体"/>
          <w:color w:val="auto"/>
          <w:sz w:val="24"/>
          <w:szCs w:val="24"/>
          <w:highlight w:val="none"/>
        </w:rPr>
        <w:t>，</w:t>
      </w:r>
      <w:r>
        <w:rPr>
          <w:rFonts w:ascii="宋体" w:hAnsi="宋体"/>
          <w:color w:val="auto"/>
          <w:sz w:val="24"/>
          <w:szCs w:val="24"/>
          <w:highlight w:val="none"/>
        </w:rPr>
        <w:t>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约定时间内以书面形式通知</w:t>
      </w:r>
      <w:r>
        <w:rPr>
          <w:rFonts w:hint="eastAsia" w:ascii="宋体" w:hAnsi="宋体"/>
          <w:color w:val="auto"/>
          <w:sz w:val="24"/>
          <w:szCs w:val="24"/>
          <w:highlight w:val="none"/>
        </w:rPr>
        <w:t>对</w:t>
      </w:r>
      <w:r>
        <w:rPr>
          <w:rFonts w:ascii="宋体" w:hAnsi="宋体"/>
          <w:color w:val="auto"/>
          <w:sz w:val="24"/>
          <w:szCs w:val="24"/>
          <w:highlight w:val="none"/>
        </w:rPr>
        <w:t>方当事人，并在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约定时间内，将有关部门出具的证明文件送达</w:t>
      </w:r>
      <w:r>
        <w:rPr>
          <w:rFonts w:hint="eastAsia" w:ascii="宋体" w:hAnsi="宋体"/>
          <w:color w:val="auto"/>
          <w:sz w:val="24"/>
          <w:szCs w:val="24"/>
          <w:highlight w:val="none"/>
        </w:rPr>
        <w:t>对方当事人</w:t>
      </w:r>
      <w:r>
        <w:rPr>
          <w:rFonts w:ascii="宋体" w:hAnsi="宋体"/>
          <w:color w:val="auto"/>
          <w:sz w:val="24"/>
          <w:szCs w:val="24"/>
          <w:highlight w:val="none"/>
        </w:rPr>
        <w:t>。</w:t>
      </w:r>
    </w:p>
    <w:p w14:paraId="2FDD42A7">
      <w:pPr>
        <w:shd w:val="clear"/>
        <w:spacing w:line="360" w:lineRule="auto"/>
        <w:ind w:firstLine="482" w:firstLineChars="200"/>
        <w:rPr>
          <w:rFonts w:ascii="宋体" w:hAnsi="宋体"/>
          <w:b/>
          <w:color w:val="auto"/>
          <w:sz w:val="24"/>
          <w:szCs w:val="24"/>
          <w:highlight w:val="none"/>
        </w:rPr>
      </w:pPr>
      <w:bookmarkStart w:id="141" w:name="_Toc3638"/>
      <w:bookmarkStart w:id="142" w:name="_Toc14115"/>
      <w:bookmarkStart w:id="143" w:name="_Toc25783"/>
      <w:bookmarkStart w:id="144" w:name="_Toc24465"/>
      <w:bookmarkStart w:id="145" w:name="_Toc23854"/>
      <w:r>
        <w:rPr>
          <w:rFonts w:ascii="宋体" w:hAnsi="宋体"/>
          <w:b/>
          <w:color w:val="auto"/>
          <w:sz w:val="24"/>
          <w:szCs w:val="24"/>
          <w:highlight w:val="none"/>
        </w:rPr>
        <w:t>2.12 税费</w:t>
      </w:r>
      <w:bookmarkEnd w:id="141"/>
      <w:bookmarkEnd w:id="142"/>
      <w:bookmarkEnd w:id="143"/>
      <w:bookmarkEnd w:id="144"/>
      <w:bookmarkEnd w:id="145"/>
    </w:p>
    <w:p w14:paraId="6429A99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与合同有关的一切税费</w:t>
      </w:r>
      <w:r>
        <w:rPr>
          <w:rFonts w:hint="eastAsia" w:ascii="宋体" w:hAnsi="宋体"/>
          <w:color w:val="auto"/>
          <w:sz w:val="24"/>
          <w:szCs w:val="24"/>
          <w:highlight w:val="none"/>
        </w:rPr>
        <w:t>，</w:t>
      </w:r>
      <w:r>
        <w:rPr>
          <w:rFonts w:ascii="宋体" w:hAnsi="宋体"/>
          <w:color w:val="auto"/>
          <w:sz w:val="24"/>
          <w:szCs w:val="24"/>
          <w:highlight w:val="none"/>
        </w:rPr>
        <w:t>均按照中华人民共和国法律的相关规定缴纳。</w:t>
      </w:r>
    </w:p>
    <w:p w14:paraId="63F8A2F2">
      <w:pPr>
        <w:shd w:val="clear"/>
        <w:spacing w:line="360" w:lineRule="auto"/>
        <w:ind w:firstLine="482" w:firstLineChars="200"/>
        <w:rPr>
          <w:rFonts w:ascii="宋体" w:hAnsi="宋体"/>
          <w:b/>
          <w:color w:val="auto"/>
          <w:sz w:val="24"/>
          <w:szCs w:val="24"/>
          <w:highlight w:val="none"/>
        </w:rPr>
      </w:pPr>
      <w:bookmarkStart w:id="146" w:name="_Toc25525"/>
      <w:bookmarkStart w:id="147" w:name="_Toc7315"/>
      <w:bookmarkStart w:id="148" w:name="_Toc26883"/>
      <w:bookmarkStart w:id="149" w:name="_Toc30105"/>
      <w:bookmarkStart w:id="150" w:name="_Toc14814"/>
      <w:r>
        <w:rPr>
          <w:rFonts w:ascii="宋体" w:hAnsi="宋体"/>
          <w:b/>
          <w:color w:val="auto"/>
          <w:sz w:val="24"/>
          <w:szCs w:val="24"/>
          <w:highlight w:val="none"/>
        </w:rPr>
        <w:t>2.13 乙方破产</w:t>
      </w:r>
      <w:bookmarkEnd w:id="146"/>
      <w:bookmarkEnd w:id="147"/>
      <w:bookmarkEnd w:id="148"/>
      <w:bookmarkEnd w:id="149"/>
      <w:bookmarkEnd w:id="150"/>
    </w:p>
    <w:p w14:paraId="4C2856D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如果乙方破产导致合同无法履行时，甲方可以书面形式通知乙方终止合同且不给予乙方任何补偿和赔偿</w:t>
      </w:r>
      <w:r>
        <w:rPr>
          <w:rFonts w:hint="eastAsia" w:ascii="宋体" w:hAnsi="宋体"/>
          <w:color w:val="auto"/>
          <w:sz w:val="24"/>
          <w:szCs w:val="24"/>
          <w:highlight w:val="none"/>
        </w:rPr>
        <w:t>，但合同的</w:t>
      </w:r>
      <w:r>
        <w:rPr>
          <w:rFonts w:ascii="宋体" w:hAnsi="宋体"/>
          <w:color w:val="auto"/>
          <w:sz w:val="24"/>
          <w:szCs w:val="24"/>
          <w:highlight w:val="none"/>
        </w:rPr>
        <w:t>终止不损害或不影响甲方已经采取或将要采取的任何要求乙方支付违约金</w:t>
      </w:r>
      <w:r>
        <w:rPr>
          <w:rFonts w:hint="eastAsia" w:ascii="宋体" w:hAnsi="宋体"/>
          <w:color w:val="auto"/>
          <w:sz w:val="24"/>
          <w:szCs w:val="24"/>
          <w:highlight w:val="none"/>
        </w:rPr>
        <w:t>、</w:t>
      </w:r>
      <w:r>
        <w:rPr>
          <w:rFonts w:ascii="宋体" w:hAnsi="宋体"/>
          <w:color w:val="auto"/>
          <w:sz w:val="24"/>
          <w:szCs w:val="24"/>
          <w:highlight w:val="none"/>
        </w:rPr>
        <w:t>赔偿损失等的行动或补救措施的权利</w:t>
      </w:r>
      <w:r>
        <w:rPr>
          <w:rFonts w:hint="eastAsia" w:ascii="宋体" w:hAnsi="宋体"/>
          <w:color w:val="auto"/>
          <w:sz w:val="24"/>
          <w:szCs w:val="24"/>
          <w:highlight w:val="none"/>
        </w:rPr>
        <w:t>。</w:t>
      </w:r>
    </w:p>
    <w:p w14:paraId="340A5BF2">
      <w:pPr>
        <w:shd w:val="clear"/>
        <w:spacing w:line="360" w:lineRule="auto"/>
        <w:ind w:firstLine="482" w:firstLineChars="200"/>
        <w:rPr>
          <w:rFonts w:ascii="宋体" w:hAnsi="宋体"/>
          <w:b/>
          <w:color w:val="auto"/>
          <w:sz w:val="24"/>
          <w:szCs w:val="24"/>
          <w:highlight w:val="none"/>
        </w:rPr>
      </w:pPr>
      <w:bookmarkStart w:id="151" w:name="_Toc1123"/>
      <w:bookmarkStart w:id="152" w:name="_Toc2016"/>
      <w:bookmarkStart w:id="153" w:name="_Toc23323"/>
      <w:r>
        <w:rPr>
          <w:rFonts w:ascii="宋体" w:hAnsi="宋体"/>
          <w:b/>
          <w:color w:val="auto"/>
          <w:sz w:val="24"/>
          <w:szCs w:val="24"/>
          <w:highlight w:val="none"/>
        </w:rPr>
        <w:t>2.14 合同中止、终止</w:t>
      </w:r>
      <w:bookmarkEnd w:id="151"/>
      <w:bookmarkEnd w:id="152"/>
      <w:bookmarkEnd w:id="153"/>
    </w:p>
    <w:p w14:paraId="7EAC72E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2.14.1 </w:t>
      </w:r>
      <w:r>
        <w:rPr>
          <w:rFonts w:hint="eastAsia" w:ascii="宋体" w:hAnsi="宋体"/>
          <w:color w:val="auto"/>
          <w:sz w:val="24"/>
          <w:szCs w:val="24"/>
          <w:highlight w:val="none"/>
        </w:rPr>
        <w:t>双方当事人不得擅自中止或者终止合同；</w:t>
      </w:r>
    </w:p>
    <w:p w14:paraId="018D281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71323C1">
      <w:pPr>
        <w:shd w:val="clear"/>
        <w:spacing w:line="360" w:lineRule="auto"/>
        <w:ind w:firstLine="482" w:firstLineChars="200"/>
        <w:rPr>
          <w:rFonts w:ascii="宋体" w:hAnsi="宋体"/>
          <w:b/>
          <w:color w:val="auto"/>
          <w:sz w:val="24"/>
          <w:szCs w:val="24"/>
          <w:highlight w:val="none"/>
        </w:rPr>
      </w:pPr>
      <w:bookmarkStart w:id="154" w:name="_Toc14525"/>
      <w:bookmarkStart w:id="155" w:name="_Toc1969"/>
      <w:bookmarkStart w:id="156" w:name="_Toc17363"/>
      <w:r>
        <w:rPr>
          <w:rFonts w:ascii="宋体" w:hAnsi="宋体"/>
          <w:b/>
          <w:color w:val="auto"/>
          <w:sz w:val="24"/>
          <w:szCs w:val="24"/>
          <w:highlight w:val="none"/>
        </w:rPr>
        <w:t>2.15 检验和验收</w:t>
      </w:r>
      <w:bookmarkEnd w:id="154"/>
      <w:bookmarkEnd w:id="155"/>
      <w:bookmarkEnd w:id="156"/>
    </w:p>
    <w:p w14:paraId="162C8131">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2.15.1 </w:t>
      </w:r>
      <w:r>
        <w:rPr>
          <w:rFonts w:hint="eastAsia" w:ascii="宋体" w:hAnsi="宋体"/>
          <w:color w:val="auto"/>
          <w:sz w:val="24"/>
          <w:szCs w:val="24"/>
          <w:highlight w:val="none"/>
        </w:rPr>
        <w:t>乙方按照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w:t>
      </w:r>
      <w:r>
        <w:rPr>
          <w:rFonts w:hint="eastAsia" w:ascii="宋体" w:hAnsi="宋体"/>
          <w:color w:val="auto"/>
          <w:sz w:val="24"/>
          <w:szCs w:val="24"/>
          <w:highlight w:val="none"/>
        </w:rPr>
        <w:t>，</w:t>
      </w:r>
      <w:r>
        <w:rPr>
          <w:rFonts w:ascii="宋体" w:hAnsi="宋体"/>
          <w:color w:val="auto"/>
          <w:sz w:val="24"/>
          <w:szCs w:val="24"/>
          <w:highlight w:val="none"/>
        </w:rPr>
        <w:t>定期提交服务报告</w:t>
      </w:r>
      <w:r>
        <w:rPr>
          <w:rFonts w:hint="eastAsia" w:ascii="宋体" w:hAnsi="宋体"/>
          <w:color w:val="auto"/>
          <w:sz w:val="24"/>
          <w:szCs w:val="24"/>
          <w:highlight w:val="none"/>
        </w:rPr>
        <w:t>，甲方按照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的约定进行定期验收</w:t>
      </w:r>
      <w:r>
        <w:rPr>
          <w:rFonts w:hint="eastAsia" w:ascii="宋体" w:hAnsi="宋体"/>
          <w:color w:val="auto"/>
          <w:sz w:val="24"/>
          <w:szCs w:val="24"/>
          <w:highlight w:val="none"/>
        </w:rPr>
        <w:t>；</w:t>
      </w:r>
    </w:p>
    <w:p w14:paraId="2E58B205">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2.15.2 </w:t>
      </w:r>
      <w:r>
        <w:rPr>
          <w:rFonts w:hint="eastAsia" w:ascii="宋体" w:hAnsi="宋体"/>
          <w:color w:val="auto"/>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0D7FD97">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2.15.3 </w:t>
      </w:r>
      <w:r>
        <w:rPr>
          <w:rFonts w:hint="eastAsia" w:ascii="宋体" w:hAnsi="宋体"/>
          <w:color w:val="auto"/>
          <w:sz w:val="24"/>
          <w:szCs w:val="24"/>
          <w:highlight w:val="none"/>
        </w:rPr>
        <w:t>检验和验收标准、程序等具体内容以及前述验收书的效力详见</w:t>
      </w:r>
      <w:r>
        <w:rPr>
          <w:rFonts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9C7CAFD">
      <w:pPr>
        <w:shd w:val="clear"/>
        <w:spacing w:line="360" w:lineRule="auto"/>
        <w:ind w:firstLine="482" w:firstLineChars="200"/>
        <w:rPr>
          <w:rFonts w:ascii="宋体" w:hAnsi="宋体"/>
          <w:b/>
          <w:color w:val="auto"/>
          <w:sz w:val="24"/>
          <w:szCs w:val="24"/>
          <w:highlight w:val="none"/>
        </w:rPr>
      </w:pPr>
      <w:bookmarkStart w:id="157" w:name="_Toc31892"/>
      <w:bookmarkStart w:id="158" w:name="_Toc25198"/>
      <w:bookmarkStart w:id="159" w:name="_Toc9808"/>
      <w:bookmarkStart w:id="160" w:name="_Toc12666"/>
      <w:bookmarkStart w:id="161" w:name="_Toc2308"/>
      <w:r>
        <w:rPr>
          <w:rFonts w:ascii="宋体" w:hAnsi="宋体"/>
          <w:b/>
          <w:color w:val="auto"/>
          <w:sz w:val="24"/>
          <w:szCs w:val="24"/>
          <w:highlight w:val="none"/>
        </w:rPr>
        <w:t>2.16 通知和送达</w:t>
      </w:r>
      <w:bookmarkEnd w:id="157"/>
      <w:bookmarkEnd w:id="158"/>
      <w:bookmarkEnd w:id="159"/>
      <w:bookmarkEnd w:id="160"/>
      <w:bookmarkEnd w:id="161"/>
    </w:p>
    <w:p w14:paraId="0EFE709E">
      <w:pPr>
        <w:shd w:val="clear"/>
        <w:spacing w:line="360" w:lineRule="auto"/>
        <w:ind w:firstLine="480" w:firstLineChars="200"/>
        <w:rPr>
          <w:rFonts w:ascii="宋体" w:hAnsi="宋体"/>
          <w:color w:val="auto"/>
          <w:sz w:val="24"/>
          <w:szCs w:val="24"/>
          <w:highlight w:val="none"/>
        </w:rPr>
      </w:pPr>
      <w:bookmarkStart w:id="162" w:name="_Toc27674"/>
      <w:bookmarkStart w:id="163" w:name="_Toc18401"/>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.1</w:t>
      </w:r>
      <w:r>
        <w:rPr>
          <w:rFonts w:hint="eastAsia" w:ascii="宋体" w:hAnsi="宋体"/>
          <w:color w:val="auto"/>
          <w:sz w:val="24"/>
          <w:szCs w:val="24"/>
          <w:highlight w:val="none"/>
        </w:rPr>
        <w:t>任何一方因履行合同而以合同第一部分尾部所列明的传真或电子邮件</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发出的所有通知、文件、材料，均视为已向对方当事人送达；任何一方变更上述送达方式或者地址的，应于</w:t>
      </w:r>
      <w:r>
        <w:rPr>
          <w:rFonts w:ascii="宋体" w:hAnsi="宋体"/>
          <w:color w:val="auto"/>
          <w:sz w:val="24"/>
          <w:szCs w:val="24"/>
          <w:highlight w:val="none"/>
          <w:u w:val="single"/>
        </w:rPr>
        <w:t>3</w:t>
      </w:r>
      <w:r>
        <w:rPr>
          <w:rFonts w:hint="eastAsia" w:ascii="宋体" w:hAnsi="宋体"/>
          <w:color w:val="auto"/>
          <w:sz w:val="24"/>
          <w:szCs w:val="24"/>
          <w:highlight w:val="none"/>
        </w:rPr>
        <w:t>个工作日内书面通知对方当事人，在对方当事人收到有关变更通知之前，变更前的约定送达方式或者地址仍视为有效。</w:t>
      </w:r>
    </w:p>
    <w:p w14:paraId="3D5E57B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w:t>
      </w:r>
      <w:r>
        <w:rPr>
          <w:rFonts w:hint="eastAsia" w:ascii="宋体" w:hAnsi="宋体"/>
          <w:color w:val="auto"/>
          <w:sz w:val="24"/>
          <w:szCs w:val="24"/>
          <w:highlight w:val="none"/>
          <w:lang w:val="en-US" w:eastAsia="zh-CN"/>
        </w:rPr>
        <w:t>6</w:t>
      </w:r>
      <w:r>
        <w:rPr>
          <w:rFonts w:ascii="宋体" w:hAnsi="宋体"/>
          <w:color w:val="auto"/>
          <w:sz w:val="24"/>
          <w:szCs w:val="24"/>
          <w:highlight w:val="none"/>
        </w:rPr>
        <w:t>.2以当面交付方式送达的，交付之时视为送达；以电子邮件方式送达的，发出电子邮件之时视为送达；以传真方式送达的，发出传真之时视为送达；以邮寄方式送达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szCs w:val="24"/>
          <w:highlight w:val="none"/>
        </w:rPr>
        <w:t>的，邮件挂号寄出或者交邮之日之次日视为送达。</w:t>
      </w:r>
      <w:bookmarkEnd w:id="162"/>
      <w:bookmarkEnd w:id="163"/>
    </w:p>
    <w:p w14:paraId="31479B60">
      <w:pPr>
        <w:shd w:val="clear"/>
        <w:spacing w:line="360" w:lineRule="auto"/>
        <w:ind w:firstLine="482" w:firstLineChars="200"/>
        <w:rPr>
          <w:rFonts w:ascii="宋体" w:hAnsi="宋体"/>
          <w:b/>
          <w:color w:val="auto"/>
          <w:sz w:val="24"/>
          <w:szCs w:val="24"/>
          <w:highlight w:val="none"/>
        </w:rPr>
      </w:pPr>
      <w:bookmarkStart w:id="164" w:name="_Toc12254"/>
      <w:bookmarkStart w:id="165" w:name="_Toc5063"/>
      <w:bookmarkStart w:id="166" w:name="_Toc28906"/>
      <w:bookmarkStart w:id="167" w:name="_Toc20808"/>
      <w:bookmarkStart w:id="168" w:name="_Toc27644"/>
      <w:r>
        <w:rPr>
          <w:rFonts w:ascii="宋体" w:hAnsi="宋体"/>
          <w:b/>
          <w:color w:val="auto"/>
          <w:sz w:val="24"/>
          <w:szCs w:val="24"/>
          <w:highlight w:val="none"/>
        </w:rPr>
        <w:t xml:space="preserve">2.17 </w:t>
      </w:r>
      <w:r>
        <w:rPr>
          <w:rFonts w:hint="eastAsia" w:ascii="宋体" w:hAnsi="宋体"/>
          <w:b/>
          <w:color w:val="auto"/>
          <w:sz w:val="24"/>
          <w:szCs w:val="24"/>
          <w:highlight w:val="none"/>
        </w:rPr>
        <w:t>合同使用的文字和</w:t>
      </w:r>
      <w:r>
        <w:rPr>
          <w:rFonts w:ascii="宋体" w:hAnsi="宋体"/>
          <w:b/>
          <w:color w:val="auto"/>
          <w:sz w:val="24"/>
          <w:szCs w:val="24"/>
          <w:highlight w:val="none"/>
        </w:rPr>
        <w:t>适用的法律</w:t>
      </w:r>
      <w:bookmarkEnd w:id="164"/>
      <w:bookmarkEnd w:id="165"/>
      <w:bookmarkEnd w:id="166"/>
      <w:bookmarkEnd w:id="167"/>
      <w:bookmarkEnd w:id="168"/>
    </w:p>
    <w:p w14:paraId="5DACA4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2.17.1 合同使用汉语书就</w:t>
      </w:r>
      <w:r>
        <w:rPr>
          <w:rFonts w:hint="eastAsia" w:ascii="宋体" w:hAnsi="宋体"/>
          <w:color w:val="auto"/>
          <w:sz w:val="24"/>
          <w:szCs w:val="24"/>
          <w:highlight w:val="none"/>
        </w:rPr>
        <w:t>、</w:t>
      </w:r>
      <w:r>
        <w:rPr>
          <w:rFonts w:ascii="宋体" w:hAnsi="宋体"/>
          <w:color w:val="auto"/>
          <w:sz w:val="24"/>
          <w:szCs w:val="24"/>
          <w:highlight w:val="none"/>
        </w:rPr>
        <w:t>变更和解释</w:t>
      </w:r>
      <w:r>
        <w:rPr>
          <w:rFonts w:hint="eastAsia" w:ascii="宋体" w:hAnsi="宋体"/>
          <w:color w:val="auto"/>
          <w:sz w:val="24"/>
          <w:szCs w:val="24"/>
          <w:highlight w:val="none"/>
        </w:rPr>
        <w:t>；</w:t>
      </w:r>
    </w:p>
    <w:p w14:paraId="4A9E489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2.17.2 </w:t>
      </w:r>
      <w:r>
        <w:rPr>
          <w:rFonts w:hint="eastAsia" w:ascii="宋体" w:hAnsi="宋体"/>
          <w:color w:val="auto"/>
          <w:sz w:val="24"/>
          <w:szCs w:val="24"/>
          <w:highlight w:val="none"/>
        </w:rPr>
        <w:t>合同适用</w:t>
      </w:r>
      <w:r>
        <w:rPr>
          <w:rFonts w:ascii="宋体" w:hAnsi="宋体"/>
          <w:color w:val="auto"/>
          <w:sz w:val="24"/>
          <w:szCs w:val="24"/>
          <w:highlight w:val="none"/>
        </w:rPr>
        <w:t>中华人民共和国法律。</w:t>
      </w:r>
    </w:p>
    <w:p w14:paraId="6C8A2637">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2.18 计量单位</w:t>
      </w:r>
    </w:p>
    <w:p w14:paraId="71C527E0">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除技术规范中另有规定外,合同的计量单位均使用国家法定计量单位。</w:t>
      </w:r>
    </w:p>
    <w:p w14:paraId="009BF31E">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2.</w:t>
      </w:r>
      <w:r>
        <w:rPr>
          <w:rFonts w:hint="eastAsia" w:ascii="宋体" w:hAnsi="宋体"/>
          <w:b/>
          <w:color w:val="auto"/>
          <w:sz w:val="24"/>
          <w:szCs w:val="24"/>
          <w:highlight w:val="none"/>
        </w:rPr>
        <w:t>19</w:t>
      </w:r>
      <w:r>
        <w:rPr>
          <w:rFonts w:ascii="宋体" w:hAnsi="宋体"/>
          <w:b/>
          <w:color w:val="auto"/>
          <w:sz w:val="24"/>
          <w:szCs w:val="24"/>
          <w:highlight w:val="none"/>
        </w:rPr>
        <w:t>合同份数</w:t>
      </w:r>
    </w:p>
    <w:p w14:paraId="2D13771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合同份数按</w:t>
      </w:r>
      <w:r>
        <w:rPr>
          <w:rFonts w:ascii="宋体" w:hAnsi="宋体"/>
          <w:b/>
          <w:color w:val="auto"/>
          <w:sz w:val="24"/>
          <w:szCs w:val="24"/>
          <w:highlight w:val="none"/>
          <w:u w:val="single"/>
        </w:rPr>
        <w:t>合同专用条款</w:t>
      </w:r>
      <w:r>
        <w:rPr>
          <w:rFonts w:ascii="宋体" w:hAnsi="宋体"/>
          <w:color w:val="auto"/>
          <w:sz w:val="24"/>
          <w:szCs w:val="24"/>
          <w:highlight w:val="none"/>
        </w:rPr>
        <w:t>规定</w:t>
      </w:r>
      <w:r>
        <w:rPr>
          <w:rFonts w:hint="eastAsia" w:ascii="宋体" w:hAnsi="宋体"/>
          <w:color w:val="auto"/>
          <w:sz w:val="24"/>
          <w:szCs w:val="24"/>
          <w:highlight w:val="none"/>
        </w:rPr>
        <w:t>，</w:t>
      </w:r>
      <w:r>
        <w:rPr>
          <w:rFonts w:ascii="宋体" w:hAnsi="宋体"/>
          <w:color w:val="auto"/>
          <w:sz w:val="24"/>
          <w:szCs w:val="24"/>
          <w:highlight w:val="none"/>
        </w:rPr>
        <w:t>每份均具有同等法律效力</w:t>
      </w:r>
      <w:r>
        <w:rPr>
          <w:rFonts w:hint="eastAsia" w:ascii="宋体" w:hAnsi="宋体"/>
          <w:color w:val="auto"/>
          <w:sz w:val="24"/>
          <w:szCs w:val="24"/>
          <w:highlight w:val="none"/>
        </w:rPr>
        <w:t>。</w:t>
      </w:r>
    </w:p>
    <w:p w14:paraId="1898FD03">
      <w:pPr>
        <w:shd w:val="clear"/>
        <w:spacing w:line="360" w:lineRule="auto"/>
        <w:jc w:val="center"/>
        <w:outlineLvl w:val="1"/>
        <w:rPr>
          <w:rFonts w:ascii="宋体" w:hAnsi="宋体" w:cs="宋体"/>
          <w:b/>
          <w:color w:val="auto"/>
          <w:sz w:val="24"/>
          <w:szCs w:val="24"/>
          <w:highlight w:val="none"/>
        </w:rPr>
      </w:pPr>
      <w:r>
        <w:rPr>
          <w:rFonts w:hint="eastAsia" w:ascii="宋体" w:hAnsi="宋体" w:cs="宋体"/>
          <w:color w:val="auto"/>
          <w:kern w:val="0"/>
          <w:sz w:val="24"/>
          <w:szCs w:val="24"/>
          <w:highlight w:val="none"/>
        </w:rPr>
        <w:br w:type="page"/>
      </w:r>
      <w:r>
        <w:rPr>
          <w:rFonts w:hint="eastAsia" w:ascii="宋体" w:hAnsi="宋体" w:cs="宋体"/>
          <w:b/>
          <w:color w:val="auto"/>
          <w:sz w:val="24"/>
          <w:szCs w:val="24"/>
          <w:highlight w:val="none"/>
        </w:rPr>
        <w:t>第三节 合同专用条款</w:t>
      </w:r>
    </w:p>
    <w:p w14:paraId="2C2953D4">
      <w:pPr>
        <w:shd w:val="clear"/>
        <w:spacing w:line="360" w:lineRule="auto"/>
        <w:ind w:left="-420" w:leftChars="-200"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2"/>
      </w:tblGrid>
      <w:tr w14:paraId="2C6C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535" w:type="pct"/>
            <w:tcBorders>
              <w:left w:val="single" w:color="auto" w:sz="4" w:space="0"/>
            </w:tcBorders>
            <w:noWrap w:val="0"/>
            <w:vAlign w:val="center"/>
          </w:tcPr>
          <w:p w14:paraId="30E04F3D">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4464" w:type="pct"/>
            <w:noWrap w:val="0"/>
            <w:vAlign w:val="center"/>
          </w:tcPr>
          <w:p w14:paraId="21ACCA10">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约定内容</w:t>
            </w:r>
          </w:p>
        </w:tc>
      </w:tr>
      <w:tr w14:paraId="6C01D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A0E6FBF">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1.5.1 </w:t>
            </w:r>
          </w:p>
        </w:tc>
        <w:tc>
          <w:tcPr>
            <w:tcW w:w="4464" w:type="pct"/>
            <w:noWrap w:val="0"/>
            <w:vAlign w:val="center"/>
          </w:tcPr>
          <w:p w14:paraId="1C85DDBD">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w:t>
            </w:r>
          </w:p>
        </w:tc>
      </w:tr>
      <w:tr w14:paraId="5C266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63AD6B6">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1.6.2</w:t>
            </w:r>
          </w:p>
        </w:tc>
        <w:tc>
          <w:tcPr>
            <w:tcW w:w="4464" w:type="pct"/>
            <w:noWrap w:val="0"/>
            <w:vAlign w:val="center"/>
          </w:tcPr>
          <w:p w14:paraId="6E7A2F7B">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240AC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479377">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1.7.1</w:t>
            </w:r>
          </w:p>
        </w:tc>
        <w:tc>
          <w:tcPr>
            <w:tcW w:w="4464" w:type="pct"/>
            <w:noWrap w:val="0"/>
            <w:vAlign w:val="center"/>
          </w:tcPr>
          <w:p w14:paraId="4628706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1. 合同签订后3个工作日内：完成赛事细化执行方案、人员定岗、器材清单确认、场地运维方案、应急方案报备、各方对接等全部前期筹备工作。</w:t>
            </w:r>
          </w:p>
          <w:p w14:paraId="4288698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2. 赛事开赛3日前：完成场地整体搭建、专项器材进场安装调试、设备全维度校准检测、工作人员及志愿者岗前专项培训、全流程模拟演练、安全隐患排查整改，所有服务保障、场地设施、设备器材全部到位达标。</w:t>
            </w:r>
          </w:p>
          <w:p w14:paraId="12BD0954">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en-US"/>
              </w:rPr>
              <w:t>3. 9月14日—9月17日赛事期间：全程全员在岗，落实赛事运营、技术支撑、场地运维、后勤保障、志愿服务、安全管控、成绩统计等全部服务工作，实时高效处置各类突发问题，保障赛事平稳有序推进。</w:t>
            </w:r>
          </w:p>
          <w:p w14:paraId="5976398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eastAsia" w:ascii="宋体" w:hAnsi="宋体" w:eastAsia="宋体" w:cs="宋体"/>
                <w:color w:val="auto"/>
                <w:sz w:val="24"/>
                <w:szCs w:val="24"/>
                <w:highlight w:val="none"/>
                <w:lang w:val="en-US" w:eastAsia="en-US"/>
              </w:rPr>
              <w:t>4. 赛事结束后3个工作日内：完成场地全面复原、器材拆卸清点运回、物资盘点、台账整理、全套资料归档、工作总结、费用对接、问题整改等全部收尾工作。</w:t>
            </w:r>
          </w:p>
        </w:tc>
      </w:tr>
      <w:tr w14:paraId="0729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1A2BC65">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1.7.2</w:t>
            </w:r>
          </w:p>
        </w:tc>
        <w:tc>
          <w:tcPr>
            <w:tcW w:w="4464" w:type="pct"/>
            <w:noWrap w:val="0"/>
            <w:vAlign w:val="center"/>
          </w:tcPr>
          <w:p w14:paraId="769D7A4B">
            <w:pPr>
              <w:keepNext w:val="0"/>
              <w:keepLines w:val="0"/>
              <w:pageBreakBefore w:val="0"/>
              <w:suppressLineNumbers w:val="0"/>
              <w:shd w:val="clear"/>
              <w:kinsoku/>
              <w:wordWrap/>
              <w:overflowPunct/>
              <w:topLinePunct w:val="0"/>
              <w:bidi w:val="0"/>
              <w:spacing w:before="0" w:beforeAutospacing="0" w:after="0" w:afterAutospacing="0" w:line="440" w:lineRule="exact"/>
              <w:ind w:left="0" w:leftChars="0" w:right="0" w:firstLine="480" w:firstLineChars="200"/>
              <w:rPr>
                <w:rFonts w:hint="default" w:ascii="宋体" w:hAnsi="宋体" w:eastAsia="宋体" w:cs="宋体"/>
                <w:color w:val="auto"/>
                <w:sz w:val="24"/>
                <w:szCs w:val="24"/>
                <w:highlight w:val="none"/>
                <w:lang w:val="en-US" w:eastAsia="zh-CN"/>
              </w:rPr>
            </w:pPr>
            <w:r>
              <w:rPr>
                <w:rFonts w:hint="eastAsia" w:ascii="宋体" w:hAnsi="宋体" w:cs="宋体"/>
                <w:b w:val="0"/>
                <w:bCs/>
                <w:color w:val="auto"/>
                <w:kern w:val="0"/>
                <w:sz w:val="24"/>
                <w:szCs w:val="24"/>
                <w:highlight w:val="none"/>
                <w:lang w:val="en-US" w:eastAsia="zh-CN" w:bidi="ar"/>
              </w:rPr>
              <w:t>北海市体育馆</w:t>
            </w:r>
          </w:p>
        </w:tc>
      </w:tr>
      <w:tr w14:paraId="5A339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02749368">
            <w:pPr>
              <w:keepNext w:val="0"/>
              <w:keepLines w:val="0"/>
              <w:suppressLineNumbers w:val="0"/>
              <w:shd w:val="clear"/>
              <w:spacing w:before="0" w:beforeAutospacing="0" w:after="0" w:afterAutospacing="0" w:line="360" w:lineRule="auto"/>
              <w:ind w:left="0" w:right="0"/>
              <w:rPr>
                <w:rFonts w:hint="eastAsia" w:ascii="宋体" w:hAnsi="宋体" w:cs="宋体"/>
                <w:color w:val="auto"/>
                <w:sz w:val="24"/>
                <w:szCs w:val="24"/>
                <w:highlight w:val="none"/>
              </w:rPr>
            </w:pPr>
            <w:r>
              <w:rPr>
                <w:rFonts w:hint="default" w:ascii="宋体" w:hAnsi="宋体" w:eastAsia="宋体" w:cs="宋体"/>
                <w:color w:val="auto"/>
                <w:sz w:val="24"/>
                <w:szCs w:val="24"/>
                <w:highlight w:val="none"/>
              </w:rPr>
              <w:t>1.8.1</w:t>
            </w:r>
          </w:p>
        </w:tc>
        <w:tc>
          <w:tcPr>
            <w:tcW w:w="4464" w:type="pct"/>
            <w:noWrap w:val="0"/>
            <w:vAlign w:val="center"/>
          </w:tcPr>
          <w:p w14:paraId="3A9AECD7">
            <w:pPr>
              <w:keepNext w:val="0"/>
              <w:keepLines w:val="0"/>
              <w:pageBreakBefore w:val="0"/>
              <w:widowControl w:val="0"/>
              <w:numPr>
                <w:ilvl w:val="0"/>
                <w:numId w:val="7"/>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 xml:space="preserve">乙方未按合同约定时限完成赛前筹备、赛事执行或赛后收尾（含场地复原、资料归档移交）的，每迟延一日按合同总价的 </w:t>
            </w:r>
            <w:r>
              <w:rPr>
                <w:rStyle w:val="64"/>
                <w:rFonts w:hint="default" w:ascii="宋体" w:hAnsi="宋体" w:eastAsia="宋体" w:cs="宋体"/>
                <w:b w:val="0"/>
                <w:bCs w:val="0"/>
                <w:color w:val="auto"/>
                <w:sz w:val="24"/>
                <w:szCs w:val="24"/>
                <w:highlight w:val="none"/>
              </w:rPr>
              <w:t>0.3%</w:t>
            </w:r>
            <w:r>
              <w:rPr>
                <w:rFonts w:hint="default" w:ascii="宋体" w:hAnsi="宋体" w:eastAsia="宋体" w:cs="宋体"/>
                <w:b w:val="0"/>
                <w:bCs w:val="0"/>
                <w:color w:val="auto"/>
                <w:sz w:val="24"/>
                <w:szCs w:val="24"/>
                <w:highlight w:val="none"/>
              </w:rPr>
              <w:t xml:space="preserve"> 支付违约金；因乙方原因导致赛事延误或当日赛程无法完成的，按该单项赛事分项预算的 </w:t>
            </w:r>
            <w:r>
              <w:rPr>
                <w:rStyle w:val="64"/>
                <w:rFonts w:hint="eastAsia" w:ascii="宋体" w:hAnsi="宋体" w:eastAsia="宋体" w:cs="宋体"/>
                <w:b w:val="0"/>
                <w:bCs w:val="0"/>
                <w:color w:val="auto"/>
                <w:sz w:val="24"/>
                <w:szCs w:val="24"/>
                <w:highlight w:val="none"/>
                <w:lang w:val="en-US" w:eastAsia="zh-CN"/>
              </w:rPr>
              <w:t>1</w:t>
            </w:r>
            <w:r>
              <w:rPr>
                <w:rStyle w:val="64"/>
                <w:rFonts w:hint="default" w:ascii="宋体" w:hAnsi="宋体" w:eastAsia="宋体" w:cs="宋体"/>
                <w:b w:val="0"/>
                <w:bCs w:val="0"/>
                <w:color w:val="auto"/>
                <w:sz w:val="24"/>
                <w:szCs w:val="24"/>
                <w:highlight w:val="none"/>
              </w:rPr>
              <w:t>%—</w:t>
            </w:r>
            <w:r>
              <w:rPr>
                <w:rStyle w:val="64"/>
                <w:rFonts w:hint="eastAsia" w:ascii="宋体" w:hAnsi="宋体" w:eastAsia="宋体" w:cs="宋体"/>
                <w:b w:val="0"/>
                <w:bCs w:val="0"/>
                <w:color w:val="auto"/>
                <w:sz w:val="24"/>
                <w:szCs w:val="24"/>
                <w:highlight w:val="none"/>
                <w:lang w:val="en-US" w:eastAsia="zh-CN"/>
              </w:rPr>
              <w:t>3</w:t>
            </w:r>
            <w:r>
              <w:rPr>
                <w:rStyle w:val="64"/>
                <w:rFonts w:hint="default" w:ascii="宋体" w:hAnsi="宋体" w:eastAsia="宋体" w:cs="宋体"/>
                <w:b w:val="0"/>
                <w:bCs w:val="0"/>
                <w:color w:val="auto"/>
                <w:sz w:val="24"/>
                <w:szCs w:val="24"/>
                <w:highlight w:val="none"/>
              </w:rPr>
              <w:t>%</w:t>
            </w:r>
            <w:r>
              <w:rPr>
                <w:rFonts w:hint="default" w:ascii="宋体" w:hAnsi="宋体" w:eastAsia="宋体" w:cs="宋体"/>
                <w:b w:val="0"/>
                <w:bCs w:val="0"/>
                <w:color w:val="auto"/>
                <w:sz w:val="24"/>
                <w:szCs w:val="24"/>
                <w:highlight w:val="none"/>
              </w:rPr>
              <w:t xml:space="preserve"> 支付违约金，并承担由此产生的全部追加费用。</w:t>
            </w:r>
          </w:p>
          <w:p w14:paraId="17DB9389">
            <w:pPr>
              <w:keepNext w:val="0"/>
              <w:keepLines w:val="0"/>
              <w:pageBreakBefore w:val="0"/>
              <w:widowControl w:val="0"/>
              <w:numPr>
                <w:ilvl w:val="0"/>
                <w:numId w:val="7"/>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因乙方安全管理不到位导致人员受伤、财产损失或赛事中断的，乙方承担全部赔偿费用；未落实医疗保障、提供餐饮不符合食品安全标准的，每次按合同总价的</w:t>
            </w:r>
            <w:r>
              <w:rPr>
                <w:rStyle w:val="64"/>
                <w:rFonts w:hint="default" w:ascii="宋体" w:hAnsi="宋体" w:eastAsia="宋体" w:cs="宋体"/>
                <w:b w:val="0"/>
                <w:bCs w:val="0"/>
                <w:color w:val="auto"/>
                <w:sz w:val="24"/>
                <w:szCs w:val="24"/>
                <w:highlight w:val="none"/>
              </w:rPr>
              <w:t>1%</w:t>
            </w:r>
            <w:r>
              <w:rPr>
                <w:rFonts w:hint="default" w:ascii="宋体" w:hAnsi="宋体" w:eastAsia="宋体" w:cs="宋体"/>
                <w:b w:val="0"/>
                <w:bCs w:val="0"/>
                <w:color w:val="auto"/>
                <w:sz w:val="24"/>
                <w:szCs w:val="24"/>
                <w:highlight w:val="none"/>
              </w:rPr>
              <w:t>支付违约金并承担全部责任。发生重大安全事故的，甲方有权解除合同。</w:t>
            </w:r>
          </w:p>
          <w:p w14:paraId="3F12CDA8">
            <w:pPr>
              <w:keepNext w:val="0"/>
              <w:keepLines w:val="0"/>
              <w:pageBreakBefore w:val="0"/>
              <w:widowControl w:val="0"/>
              <w:numPr>
                <w:ilvl w:val="0"/>
                <w:numId w:val="7"/>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乙方出现下列情形之一的，甲方有权解除合同，</w:t>
            </w:r>
            <w:r>
              <w:rPr>
                <w:rFonts w:hint="eastAsia" w:ascii="宋体" w:hAnsi="宋体" w:eastAsia="宋体" w:cs="宋体"/>
                <w:b w:val="0"/>
                <w:bCs w:val="0"/>
                <w:color w:val="auto"/>
                <w:sz w:val="24"/>
                <w:szCs w:val="24"/>
                <w:highlight w:val="none"/>
                <w:lang w:val="en-US" w:eastAsia="zh-CN"/>
              </w:rPr>
              <w:t>造成甲方或者第三方损失的需</w:t>
            </w:r>
            <w:r>
              <w:rPr>
                <w:rFonts w:hint="default" w:ascii="宋体" w:hAnsi="宋体" w:eastAsia="宋体" w:cs="宋体"/>
                <w:b w:val="0"/>
                <w:bCs w:val="0"/>
                <w:color w:val="auto"/>
                <w:sz w:val="24"/>
                <w:szCs w:val="24"/>
                <w:highlight w:val="none"/>
              </w:rPr>
              <w:t>赔偿全部损失：</w:t>
            </w:r>
          </w:p>
          <w:p w14:paraId="762AA6E2">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①</w:t>
            </w:r>
            <w:r>
              <w:rPr>
                <w:rFonts w:hint="default" w:ascii="宋体" w:hAnsi="宋体" w:eastAsia="宋体" w:cs="宋体"/>
                <w:b w:val="0"/>
                <w:bCs w:val="0"/>
                <w:color w:val="auto"/>
                <w:sz w:val="24"/>
                <w:szCs w:val="24"/>
                <w:highlight w:val="none"/>
              </w:rPr>
              <w:t>发生重大安全事故或赛事责任事故的</w:t>
            </w:r>
            <w:r>
              <w:rPr>
                <w:rFonts w:hint="eastAsia" w:ascii="宋体" w:hAnsi="宋体" w:eastAsia="宋体" w:cs="宋体"/>
                <w:b w:val="0"/>
                <w:bCs w:val="0"/>
                <w:color w:val="auto"/>
                <w:sz w:val="24"/>
                <w:szCs w:val="24"/>
                <w:highlight w:val="none"/>
                <w:lang w:eastAsia="zh-CN"/>
              </w:rPr>
              <w:t>；</w:t>
            </w:r>
          </w:p>
          <w:p w14:paraId="0443BF17">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w:t>
            </w:r>
            <w:r>
              <w:rPr>
                <w:rFonts w:hint="default" w:ascii="宋体" w:hAnsi="宋体" w:eastAsia="宋体" w:cs="宋体"/>
                <w:b w:val="0"/>
                <w:bCs w:val="0"/>
                <w:color w:val="auto"/>
                <w:sz w:val="24"/>
                <w:szCs w:val="24"/>
                <w:highlight w:val="none"/>
              </w:rPr>
              <w:t>其他严重违约致使合同目的无法实现的</w:t>
            </w:r>
            <w:r>
              <w:rPr>
                <w:rFonts w:hint="eastAsia" w:ascii="宋体" w:hAnsi="宋体" w:eastAsia="宋体" w:cs="宋体"/>
                <w:b w:val="0"/>
                <w:bCs w:val="0"/>
                <w:color w:val="auto"/>
                <w:sz w:val="24"/>
                <w:szCs w:val="24"/>
                <w:highlight w:val="none"/>
                <w:lang w:eastAsia="zh-CN"/>
              </w:rPr>
              <w:t>。</w:t>
            </w:r>
          </w:p>
        </w:tc>
      </w:tr>
      <w:tr w14:paraId="7072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9F23EBA">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w:t>
            </w:r>
          </w:p>
        </w:tc>
        <w:tc>
          <w:tcPr>
            <w:tcW w:w="4464" w:type="pct"/>
            <w:shd w:val="clear" w:color="auto" w:fill="auto"/>
            <w:noWrap w:val="0"/>
            <w:vAlign w:val="center"/>
          </w:tcPr>
          <w:p w14:paraId="6FE5CDB3">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签订合同后，五个工作日内支付合同金额的30%，履约完成并通过验收，支付合同余款。本项目使用财政资金，所有资金的支付以财政资金拨付到位为准。</w:t>
            </w:r>
          </w:p>
        </w:tc>
      </w:tr>
      <w:tr w14:paraId="68FA0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BC8C82">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2.11.3</w:t>
            </w:r>
          </w:p>
        </w:tc>
        <w:tc>
          <w:tcPr>
            <w:tcW w:w="4464" w:type="pct"/>
            <w:noWrap w:val="0"/>
            <w:vAlign w:val="center"/>
          </w:tcPr>
          <w:p w14:paraId="7E64EC0D">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7天</w:t>
            </w:r>
          </w:p>
        </w:tc>
      </w:tr>
      <w:tr w14:paraId="4FE4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A96AD99">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2.11.4</w:t>
            </w:r>
          </w:p>
        </w:tc>
        <w:tc>
          <w:tcPr>
            <w:tcW w:w="4464" w:type="pct"/>
            <w:noWrap w:val="0"/>
            <w:vAlign w:val="center"/>
          </w:tcPr>
          <w:p w14:paraId="24062D74">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7天</w:t>
            </w:r>
          </w:p>
        </w:tc>
      </w:tr>
      <w:tr w14:paraId="36B8A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55E9F31">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default" w:ascii="宋体" w:hAnsi="宋体"/>
                <w:color w:val="auto"/>
                <w:sz w:val="24"/>
                <w:szCs w:val="24"/>
                <w:highlight w:val="none"/>
              </w:rPr>
              <w:t>2.15.3</w:t>
            </w:r>
          </w:p>
        </w:tc>
        <w:tc>
          <w:tcPr>
            <w:tcW w:w="4464" w:type="pct"/>
            <w:noWrap w:val="0"/>
            <w:vAlign w:val="center"/>
          </w:tcPr>
          <w:p w14:paraId="0D7BF154">
            <w:pPr>
              <w:keepNext w:val="0"/>
              <w:keepLines w:val="0"/>
              <w:suppressLineNumbers w:val="0"/>
              <w:shd w:val="clear"/>
              <w:spacing w:before="21" w:beforeAutospacing="0" w:after="0" w:afterAutospacing="0" w:line="360" w:lineRule="auto"/>
              <w:ind w:left="0" w:right="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7F3DF62">
            <w:pPr>
              <w:keepNext w:val="0"/>
              <w:keepLines w:val="0"/>
              <w:suppressLineNumbers w:val="0"/>
              <w:shd w:val="clear"/>
              <w:spacing w:before="21" w:beforeAutospacing="0" w:after="0" w:afterAutospacing="0" w:line="360" w:lineRule="auto"/>
              <w:ind w:left="0" w:right="0" w:firstLine="480" w:firstLineChars="200"/>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2. 闭环验收标准：</w:t>
            </w:r>
            <w:r>
              <w:rPr>
                <w:rFonts w:hint="eastAsia" w:ascii="宋体" w:hAnsi="宋体" w:cs="宋体"/>
                <w:b w:val="0"/>
                <w:bCs/>
                <w:color w:val="auto"/>
                <w:kern w:val="0"/>
                <w:sz w:val="24"/>
                <w:szCs w:val="24"/>
                <w:highlight w:val="none"/>
                <w:lang w:val="en-US" w:eastAsia="zh-CN" w:bidi="ar"/>
              </w:rPr>
              <w:t>国际摔跤赛事</w:t>
            </w:r>
            <w:r>
              <w:rPr>
                <w:rFonts w:hint="eastAsia" w:ascii="宋体" w:hAnsi="宋体" w:eastAsia="宋体" w:cs="宋体"/>
                <w:b w:val="0"/>
                <w:bCs/>
                <w:color w:val="auto"/>
                <w:kern w:val="0"/>
                <w:sz w:val="24"/>
                <w:szCs w:val="24"/>
                <w:highlight w:val="none"/>
                <w:lang w:val="en-US" w:eastAsia="zh-CN" w:bidi="ar"/>
              </w:rPr>
              <w:t>全部结束后统一验收，满足服务全覆盖、质量全达标、资料全归档、场地全复原、无安全事故、无重大履约问题，方可验收合格、办理结算；验收不合格的，限期整改，整改仍不达标不予结算并追究违约责任。</w:t>
            </w:r>
          </w:p>
        </w:tc>
      </w:tr>
      <w:tr w14:paraId="5ED51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B2D86D6">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2.19</w:t>
            </w:r>
          </w:p>
        </w:tc>
        <w:tc>
          <w:tcPr>
            <w:tcW w:w="4464" w:type="pct"/>
            <w:noWrap w:val="0"/>
            <w:vAlign w:val="center"/>
          </w:tcPr>
          <w:p w14:paraId="7200BDA1">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eastAsia="宋体" w:cs="宋体"/>
                <w:color w:val="auto"/>
                <w:sz w:val="24"/>
                <w:szCs w:val="24"/>
                <w:highlight w:val="none"/>
              </w:rPr>
              <w:t>合同份数：一正五副，每份具有同等法律效力</w:t>
            </w:r>
          </w:p>
        </w:tc>
      </w:tr>
    </w:tbl>
    <w:p w14:paraId="3135143C">
      <w:pPr>
        <w:shd w:val="clear"/>
        <w:rPr>
          <w:rFonts w:ascii="宋体" w:hAnsi="宋体" w:cs="宋体"/>
          <w:color w:val="auto"/>
          <w:highlight w:val="none"/>
        </w:rPr>
      </w:pPr>
      <w:r>
        <w:rPr>
          <w:color w:val="auto"/>
          <w:spacing w:val="9"/>
          <w:sz w:val="43"/>
          <w:szCs w:val="43"/>
          <w:highlight w:val="none"/>
          <w14:textOutline w14:w="7972" w14:cap="sq" w14:cmpd="sng">
            <w14:solidFill>
              <w14:srgbClr w14:val="000000"/>
            </w14:solidFill>
            <w14:prstDash w14:val="solid"/>
            <w14:bevel/>
          </w14:textOutline>
        </w:rPr>
        <w:br w:type="page"/>
      </w:r>
      <w:r>
        <w:rPr>
          <w:rFonts w:hint="eastAsia" w:hAnsi="宋体"/>
          <w:b/>
          <w:color w:val="auto"/>
          <w:sz w:val="24"/>
          <w:szCs w:val="24"/>
          <w:highlight w:val="none"/>
          <w:lang w:val="en-US" w:eastAsia="zh-CN"/>
        </w:rPr>
        <w:t xml:space="preserve">                 </w:t>
      </w:r>
    </w:p>
    <w:p w14:paraId="438C16C0">
      <w:pPr>
        <w:shd w:val="clea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169" w:name="_Toc802"/>
      <w:r>
        <w:rPr>
          <w:rFonts w:hint="eastAsia" w:cs="仿宋_GB2312" w:asciiTheme="minorEastAsia" w:hAnsiTheme="minorEastAsia" w:eastAsiaTheme="minorEastAsia"/>
          <w:b/>
          <w:color w:val="auto"/>
          <w:sz w:val="36"/>
          <w:szCs w:val="20"/>
          <w:highlight w:val="none"/>
        </w:rPr>
        <w:t>第七部分</w:t>
      </w:r>
      <w:bookmarkEnd w:id="63"/>
      <w:r>
        <w:rPr>
          <w:rFonts w:hint="eastAsia" w:cs="仿宋_GB2312" w:asciiTheme="minorEastAsia" w:hAnsiTheme="minorEastAsia" w:eastAsiaTheme="minorEastAsia"/>
          <w:b/>
          <w:color w:val="auto"/>
          <w:sz w:val="36"/>
          <w:szCs w:val="20"/>
          <w:highlight w:val="none"/>
        </w:rPr>
        <w:t xml:space="preserve">  </w:t>
      </w:r>
      <w:bookmarkEnd w:id="64"/>
      <w:r>
        <w:rPr>
          <w:rFonts w:hint="eastAsia" w:cs="仿宋_GB2312" w:asciiTheme="minorEastAsia" w:hAnsiTheme="minorEastAsia" w:eastAsiaTheme="minorEastAsia"/>
          <w:b/>
          <w:color w:val="auto"/>
          <w:sz w:val="36"/>
          <w:szCs w:val="20"/>
          <w:highlight w:val="none"/>
        </w:rPr>
        <w:t>应提交的有关格式范例</w:t>
      </w:r>
      <w:bookmarkEnd w:id="169"/>
    </w:p>
    <w:p w14:paraId="6AB0FF84">
      <w:pPr>
        <w:shd w:val="clea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2B566A1E">
      <w:pPr>
        <w:shd w:val="clear"/>
        <w:spacing w:before="120" w:after="50" w:line="360" w:lineRule="exact"/>
        <w:rPr>
          <w:rFonts w:ascii="宋体" w:hAnsi="宋体" w:cs="宋体"/>
          <w:b/>
          <w:color w:val="auto"/>
          <w:kern w:val="1"/>
          <w:szCs w:val="21"/>
          <w:highlight w:val="none"/>
        </w:rPr>
      </w:pPr>
    </w:p>
    <w:p w14:paraId="732EBA70">
      <w:pPr>
        <w:keepNext w:val="0"/>
        <w:keepLines w:val="0"/>
        <w:widowControl/>
        <w:suppressLineNumbers w:val="0"/>
        <w:shd w:val="clear"/>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59F9F40B">
      <w:pPr>
        <w:keepNext w:val="0"/>
        <w:keepLines w:val="0"/>
        <w:widowControl/>
        <w:suppressLineNumbers w:val="0"/>
        <w:shd w:val="clear"/>
        <w:jc w:val="left"/>
        <w:rPr>
          <w:color w:val="auto"/>
          <w:highlight w:val="none"/>
        </w:rPr>
      </w:pPr>
    </w:p>
    <w:p w14:paraId="186FF433">
      <w:pPr>
        <w:keepNext w:val="0"/>
        <w:keepLines w:val="0"/>
        <w:widowControl/>
        <w:suppressLineNumbers w:val="0"/>
        <w:shd w:val="clear"/>
        <w:ind w:firstLine="3010" w:firstLineChars="700"/>
        <w:jc w:val="left"/>
        <w:rPr>
          <w:rFonts w:hint="eastAsia" w:ascii="宋体" w:hAnsi="宋体" w:eastAsia="宋体" w:cs="宋体"/>
          <w:color w:val="auto"/>
          <w:kern w:val="0"/>
          <w:sz w:val="43"/>
          <w:szCs w:val="43"/>
          <w:highlight w:val="none"/>
          <w:lang w:val="en-US" w:eastAsia="zh-CN" w:bidi="ar"/>
        </w:rPr>
      </w:pPr>
    </w:p>
    <w:p w14:paraId="4456CF8C">
      <w:pPr>
        <w:shd w:val="clea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F3839FC">
      <w:pPr>
        <w:shd w:val="clear"/>
        <w:snapToGrid w:val="0"/>
        <w:spacing w:before="156" w:beforeLines="50" w:after="50"/>
        <w:rPr>
          <w:rFonts w:ascii="宋体" w:hAnsi="宋体"/>
          <w:color w:val="auto"/>
          <w:sz w:val="24"/>
          <w:szCs w:val="20"/>
          <w:highlight w:val="none"/>
        </w:rPr>
      </w:pPr>
    </w:p>
    <w:p w14:paraId="1C2301A0">
      <w:pPr>
        <w:shd w:val="clea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BA20B19">
      <w:pPr>
        <w:shd w:val="clear"/>
        <w:snapToGrid w:val="0"/>
        <w:spacing w:before="156" w:beforeLines="50" w:after="50"/>
        <w:rPr>
          <w:rFonts w:ascii="宋体" w:hAnsi="宋体"/>
          <w:bCs/>
          <w:color w:val="auto"/>
          <w:sz w:val="24"/>
          <w:szCs w:val="20"/>
          <w:highlight w:val="none"/>
        </w:rPr>
      </w:pPr>
    </w:p>
    <w:p w14:paraId="1F59EF32">
      <w:pPr>
        <w:shd w:val="clear"/>
        <w:snapToGrid w:val="0"/>
        <w:spacing w:before="156" w:beforeLines="50" w:after="50"/>
        <w:rPr>
          <w:rFonts w:ascii="宋体" w:hAnsi="宋体"/>
          <w:bCs/>
          <w:color w:val="auto"/>
          <w:sz w:val="24"/>
          <w:szCs w:val="20"/>
          <w:highlight w:val="none"/>
        </w:rPr>
      </w:pPr>
    </w:p>
    <w:p w14:paraId="4B2914BD">
      <w:pPr>
        <w:shd w:val="clear"/>
        <w:snapToGrid w:val="0"/>
        <w:spacing w:before="156" w:beforeLines="50" w:after="50"/>
        <w:rPr>
          <w:rFonts w:ascii="宋体" w:hAnsi="宋体"/>
          <w:bCs/>
          <w:color w:val="auto"/>
          <w:sz w:val="24"/>
          <w:szCs w:val="20"/>
          <w:highlight w:val="none"/>
        </w:rPr>
      </w:pPr>
    </w:p>
    <w:p w14:paraId="4D9338E2">
      <w:pPr>
        <w:shd w:val="clear"/>
        <w:snapToGrid w:val="0"/>
        <w:spacing w:before="156" w:beforeLines="50" w:after="50"/>
        <w:rPr>
          <w:rFonts w:ascii="宋体" w:hAnsi="宋体"/>
          <w:bCs/>
          <w:color w:val="auto"/>
          <w:sz w:val="24"/>
          <w:szCs w:val="20"/>
          <w:highlight w:val="none"/>
        </w:rPr>
      </w:pPr>
    </w:p>
    <w:p w14:paraId="6A7ADB4B">
      <w:pPr>
        <w:shd w:val="clear"/>
        <w:snapToGrid w:val="0"/>
        <w:spacing w:before="156" w:beforeLines="50" w:after="50"/>
        <w:rPr>
          <w:rFonts w:ascii="宋体" w:hAnsi="宋体"/>
          <w:bCs/>
          <w:color w:val="auto"/>
          <w:sz w:val="24"/>
          <w:szCs w:val="20"/>
          <w:highlight w:val="none"/>
        </w:rPr>
      </w:pPr>
    </w:p>
    <w:p w14:paraId="1B1E133E">
      <w:pPr>
        <w:shd w:val="clea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F536AF">
      <w:pPr>
        <w:shd w:val="clear"/>
        <w:snapToGrid w:val="0"/>
        <w:spacing w:before="156" w:beforeLines="50" w:after="50"/>
        <w:ind w:firstLine="720" w:firstLineChars="225"/>
        <w:rPr>
          <w:rFonts w:ascii="宋体" w:hAnsi="宋体" w:cs="仿宋_GB2312"/>
          <w:bCs/>
          <w:color w:val="auto"/>
          <w:sz w:val="32"/>
          <w:szCs w:val="32"/>
          <w:highlight w:val="none"/>
        </w:rPr>
      </w:pPr>
    </w:p>
    <w:p w14:paraId="526B5A3A">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48683F">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9612F22">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D1ADF4">
      <w:pPr>
        <w:shd w:val="clear"/>
        <w:snapToGrid w:val="0"/>
        <w:spacing w:before="156" w:beforeLines="50" w:after="50"/>
        <w:ind w:firstLine="720" w:firstLineChars="225"/>
        <w:rPr>
          <w:rFonts w:ascii="宋体" w:hAnsi="宋体" w:cs="仿宋_GB2312"/>
          <w:bCs/>
          <w:color w:val="auto"/>
          <w:sz w:val="32"/>
          <w:szCs w:val="32"/>
          <w:highlight w:val="none"/>
        </w:rPr>
      </w:pPr>
    </w:p>
    <w:p w14:paraId="52094AA7">
      <w:pPr>
        <w:pStyle w:val="16"/>
        <w:shd w:val="clea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59ADBCF">
      <w:pPr>
        <w:shd w:val="clear"/>
        <w:snapToGrid w:val="0"/>
        <w:spacing w:before="156" w:beforeLines="50" w:after="50"/>
        <w:ind w:firstLine="640" w:firstLineChars="200"/>
        <w:rPr>
          <w:rFonts w:ascii="宋体" w:hAnsi="宋体" w:cs="仿宋_GB2312"/>
          <w:bCs/>
          <w:color w:val="auto"/>
          <w:sz w:val="32"/>
          <w:szCs w:val="32"/>
          <w:highlight w:val="none"/>
        </w:rPr>
      </w:pPr>
    </w:p>
    <w:p w14:paraId="352C49D5">
      <w:pPr>
        <w:pStyle w:val="16"/>
        <w:shd w:val="clear"/>
        <w:snapToGrid w:val="0"/>
        <w:spacing w:before="50" w:after="50"/>
        <w:ind w:firstLine="720" w:firstLineChars="225"/>
        <w:rPr>
          <w:rFonts w:ascii="宋体" w:hAnsi="宋体" w:cs="仿宋_GB2312"/>
          <w:bCs/>
          <w:color w:val="auto"/>
          <w:sz w:val="32"/>
          <w:szCs w:val="32"/>
          <w:highlight w:val="none"/>
        </w:rPr>
      </w:pPr>
    </w:p>
    <w:p w14:paraId="7E0550AF">
      <w:pPr>
        <w:pStyle w:val="16"/>
        <w:shd w:val="clear"/>
        <w:snapToGrid w:val="0"/>
        <w:spacing w:before="50" w:after="50"/>
        <w:ind w:firstLine="720" w:firstLineChars="225"/>
        <w:rPr>
          <w:rFonts w:ascii="宋体" w:hAnsi="宋体" w:cs="仿宋_GB2312"/>
          <w:bCs/>
          <w:color w:val="auto"/>
          <w:sz w:val="32"/>
          <w:szCs w:val="32"/>
          <w:highlight w:val="none"/>
        </w:rPr>
      </w:pPr>
    </w:p>
    <w:p w14:paraId="724C2920">
      <w:pPr>
        <w:pStyle w:val="16"/>
        <w:shd w:val="clear"/>
        <w:snapToGrid w:val="0"/>
        <w:spacing w:before="50" w:after="50"/>
        <w:ind w:firstLine="1280" w:firstLineChars="400"/>
        <w:rPr>
          <w:rFonts w:ascii="宋体" w:hAnsi="宋体" w:cs="仿宋_GB2312"/>
          <w:bCs/>
          <w:color w:val="auto"/>
          <w:sz w:val="32"/>
          <w:szCs w:val="32"/>
          <w:highlight w:val="none"/>
        </w:rPr>
      </w:pPr>
    </w:p>
    <w:p w14:paraId="4B9AA373">
      <w:pPr>
        <w:shd w:val="clear"/>
        <w:snapToGrid w:val="0"/>
        <w:spacing w:before="156" w:beforeLines="50" w:after="50"/>
        <w:jc w:val="center"/>
        <w:rPr>
          <w:rFonts w:ascii="宋体" w:hAnsi="宋体"/>
          <w:color w:val="auto"/>
          <w:szCs w:val="21"/>
          <w:highlight w:val="none"/>
        </w:rPr>
      </w:pPr>
      <w:r>
        <w:rPr>
          <w:rFonts w:hint="eastAsia" w:ascii="宋体" w:hAnsi="宋体" w:cs="仿宋_GB2312"/>
          <w:color w:val="auto"/>
          <w:sz w:val="32"/>
          <w:szCs w:val="32"/>
          <w:highlight w:val="none"/>
        </w:rPr>
        <w:t>年    月    日</w:t>
      </w:r>
    </w:p>
    <w:p w14:paraId="7D05B98D">
      <w:pPr>
        <w:shd w:val="clear"/>
        <w:spacing w:line="380" w:lineRule="exact"/>
        <w:ind w:left="142"/>
        <w:rPr>
          <w:rFonts w:ascii="宋体" w:hAnsi="宋体"/>
          <w:b/>
          <w:bCs/>
          <w:color w:val="auto"/>
          <w:sz w:val="24"/>
          <w:highlight w:val="none"/>
        </w:rPr>
      </w:pPr>
    </w:p>
    <w:p w14:paraId="64EEDFCA">
      <w:pPr>
        <w:shd w:val="clea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B6760CF">
      <w:pPr>
        <w:shd w:val="clear"/>
        <w:spacing w:line="380" w:lineRule="exact"/>
        <w:jc w:val="center"/>
        <w:rPr>
          <w:b/>
          <w:bCs/>
          <w:color w:val="auto"/>
          <w:kern w:val="0"/>
          <w:sz w:val="32"/>
          <w:szCs w:val="32"/>
          <w:highlight w:val="none"/>
        </w:rPr>
      </w:pPr>
    </w:p>
    <w:p w14:paraId="78B16481">
      <w:pPr>
        <w:shd w:val="clear"/>
        <w:wordWrap w:val="0"/>
        <w:spacing w:line="360" w:lineRule="auto"/>
        <w:rPr>
          <w:color w:val="auto"/>
          <w:kern w:val="0"/>
          <w:sz w:val="24"/>
          <w:highlight w:val="none"/>
        </w:rPr>
      </w:pPr>
      <w:r>
        <w:rPr>
          <w:rFonts w:hint="eastAsia"/>
          <w:color w:val="auto"/>
          <w:kern w:val="0"/>
          <w:sz w:val="24"/>
          <w:highlight w:val="none"/>
        </w:rPr>
        <w:t>致（采购人或采购代理机构）：</w:t>
      </w:r>
    </w:p>
    <w:p w14:paraId="0F4292A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1B87EB9">
      <w:pPr>
        <w:pStyle w:val="59"/>
        <w:shd w:val="clear"/>
        <w:ind w:firstLine="210"/>
        <w:rPr>
          <w:color w:val="auto"/>
          <w:highlight w:val="none"/>
        </w:rPr>
      </w:pPr>
    </w:p>
    <w:p w14:paraId="2484A05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204D844D">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A53850F">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99231C6">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8ED79F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F305664">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D74A9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9E06779">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15DD3A68">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320A9A58">
      <w:pPr>
        <w:shd w:val="clear"/>
        <w:snapToGrid w:val="0"/>
        <w:spacing w:line="360" w:lineRule="auto"/>
        <w:jc w:val="left"/>
        <w:rPr>
          <w:rFonts w:ascii="宋体" w:hAnsi="宋体"/>
          <w:color w:val="auto"/>
          <w:sz w:val="24"/>
          <w:highlight w:val="none"/>
        </w:rPr>
      </w:pPr>
    </w:p>
    <w:p w14:paraId="5173CF6A">
      <w:pPr>
        <w:shd w:val="clea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w:t>
      </w:r>
      <w:r>
        <w:rPr>
          <w:rFonts w:hint="eastAsia" w:ascii="宋体" w:hAnsi="宋体" w:cs="宋体"/>
          <w:color w:val="auto"/>
          <w:kern w:val="0"/>
          <w:sz w:val="24"/>
          <w:highlight w:val="none"/>
          <w:lang w:eastAsia="zh-CN"/>
        </w:rPr>
        <w:t>签字或者盖章或者电子签名</w:t>
      </w:r>
      <w:r>
        <w:rPr>
          <w:rFonts w:hint="eastAsia" w:ascii="宋体" w:hAnsi="宋体" w:cs="宋体"/>
          <w:color w:val="auto"/>
          <w:kern w:val="0"/>
          <w:sz w:val="24"/>
          <w:highlight w:val="none"/>
        </w:rPr>
        <w:t xml:space="preserve">）： </w:t>
      </w:r>
    </w:p>
    <w:p w14:paraId="6BE9C4F5">
      <w:pPr>
        <w:shd w:val="clea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0351ADA9">
      <w:pPr>
        <w:shd w:val="clea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399EFD9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3C28979">
      <w:pPr>
        <w:shd w:val="clear"/>
        <w:spacing w:line="320" w:lineRule="exact"/>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755C130">
      <w:pPr>
        <w:shd w:val="clear"/>
        <w:spacing w:line="300" w:lineRule="auto"/>
        <w:rPr>
          <w:rFonts w:ascii="宋体" w:hAnsi="宋体"/>
          <w:color w:val="auto"/>
          <w:szCs w:val="21"/>
          <w:highlight w:val="none"/>
        </w:rPr>
      </w:pPr>
    </w:p>
    <w:p w14:paraId="5AA0AE52">
      <w:pPr>
        <w:shd w:val="clear"/>
        <w:spacing w:line="300" w:lineRule="auto"/>
        <w:rPr>
          <w:rFonts w:ascii="宋体" w:hAnsi="宋体"/>
          <w:color w:val="auto"/>
          <w:szCs w:val="21"/>
          <w:highlight w:val="none"/>
        </w:rPr>
      </w:pPr>
    </w:p>
    <w:p w14:paraId="603E6EA8">
      <w:pPr>
        <w:shd w:val="clear"/>
        <w:spacing w:line="300" w:lineRule="auto"/>
        <w:rPr>
          <w:rFonts w:ascii="宋体" w:hAnsi="宋体"/>
          <w:color w:val="auto"/>
          <w:szCs w:val="21"/>
          <w:highlight w:val="none"/>
        </w:rPr>
      </w:pPr>
    </w:p>
    <w:p w14:paraId="137D5D60">
      <w:pPr>
        <w:shd w:val="clear"/>
        <w:spacing w:line="300" w:lineRule="auto"/>
        <w:rPr>
          <w:rFonts w:ascii="宋体" w:hAnsi="宋体"/>
          <w:color w:val="auto"/>
          <w:szCs w:val="21"/>
          <w:highlight w:val="none"/>
        </w:rPr>
      </w:pPr>
    </w:p>
    <w:p w14:paraId="444BB259">
      <w:pPr>
        <w:shd w:val="clear"/>
        <w:spacing w:line="320" w:lineRule="exact"/>
        <w:jc w:val="left"/>
        <w:rPr>
          <w:rFonts w:ascii="宋体" w:hAnsi="宋体"/>
          <w:b/>
          <w:color w:val="auto"/>
          <w:sz w:val="24"/>
          <w:highlight w:val="none"/>
        </w:rPr>
      </w:pPr>
      <w:r>
        <w:rPr>
          <w:rFonts w:ascii="宋体" w:hAnsi="宋体"/>
          <w:color w:val="auto"/>
          <w:szCs w:val="21"/>
          <w:highlight w:val="none"/>
        </w:rPr>
        <w:br w:type="page"/>
      </w:r>
    </w:p>
    <w:p w14:paraId="0C1130DA">
      <w:pPr>
        <w:shd w:val="clear"/>
        <w:snapToGrid w:val="0"/>
        <w:spacing w:before="50" w:after="156" w:afterLines="50"/>
        <w:jc w:val="center"/>
        <w:rPr>
          <w:rFonts w:ascii="宋体" w:hAnsi="宋体"/>
          <w:b/>
          <w:color w:val="auto"/>
          <w:sz w:val="28"/>
          <w:szCs w:val="28"/>
          <w:highlight w:val="none"/>
        </w:rPr>
      </w:pPr>
    </w:p>
    <w:p w14:paraId="02A64393">
      <w:pPr>
        <w:shd w:val="clea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770D911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AAF7D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00E0BE">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32A71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9A861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FC909C">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3DC517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6CA5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B55F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85AD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C3F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5C7F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22B386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BFF9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AB72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5BB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1A4F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AEF5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B6AA35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6491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2AF6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4E273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E2D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5C47">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C1DC96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9F469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9EB7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ECB1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9CB9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95B1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225C67D4">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51BBFF7">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D86DE">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40F3E0FA">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46170BB6">
      <w:pPr>
        <w:shd w:val="clear"/>
        <w:snapToGrid w:val="0"/>
        <w:spacing w:line="360" w:lineRule="auto"/>
        <w:jc w:val="left"/>
        <w:rPr>
          <w:rFonts w:ascii="宋体" w:hAnsi="宋体"/>
          <w:color w:val="auto"/>
          <w:sz w:val="24"/>
          <w:highlight w:val="none"/>
        </w:rPr>
      </w:pPr>
    </w:p>
    <w:p w14:paraId="5ACE4554">
      <w:pPr>
        <w:shd w:val="clear"/>
        <w:snapToGrid w:val="0"/>
        <w:spacing w:line="360" w:lineRule="auto"/>
        <w:jc w:val="left"/>
        <w:rPr>
          <w:rFonts w:ascii="宋体" w:hAnsi="宋体"/>
          <w:color w:val="auto"/>
          <w:sz w:val="24"/>
          <w:highlight w:val="none"/>
        </w:rPr>
      </w:pPr>
    </w:p>
    <w:p w14:paraId="3391C136">
      <w:pPr>
        <w:shd w:val="clear"/>
        <w:snapToGrid w:val="0"/>
        <w:spacing w:line="360" w:lineRule="auto"/>
        <w:jc w:val="left"/>
        <w:rPr>
          <w:rFonts w:ascii="宋体" w:hAnsi="宋体"/>
          <w:color w:val="auto"/>
          <w:sz w:val="24"/>
          <w:highlight w:val="none"/>
        </w:rPr>
      </w:pPr>
    </w:p>
    <w:p w14:paraId="3CB5F19D">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3E168B4C">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1AC9E90">
      <w:pPr>
        <w:shd w:val="clea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81BEC6C">
      <w:pPr>
        <w:shd w:val="clear"/>
        <w:snapToGrid w:val="0"/>
        <w:jc w:val="center"/>
        <w:rPr>
          <w:rFonts w:ascii="宋体" w:hAnsi="宋体"/>
          <w:b/>
          <w:color w:val="auto"/>
          <w:sz w:val="28"/>
          <w:szCs w:val="28"/>
          <w:highlight w:val="none"/>
        </w:rPr>
      </w:pPr>
    </w:p>
    <w:p w14:paraId="11454CBD">
      <w:pPr>
        <w:shd w:val="clea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6BDE697">
      <w:pPr>
        <w:shd w:val="clear"/>
        <w:snapToGrid w:val="0"/>
        <w:spacing w:line="360" w:lineRule="auto"/>
        <w:jc w:val="center"/>
        <w:rPr>
          <w:rFonts w:hint="eastAsia" w:ascii="宋体" w:hAnsi="宋体"/>
          <w:b/>
          <w:color w:val="auto"/>
          <w:sz w:val="32"/>
          <w:szCs w:val="32"/>
          <w:highlight w:val="none"/>
        </w:rPr>
      </w:pPr>
    </w:p>
    <w:p w14:paraId="3C1E77DA">
      <w:pPr>
        <w:shd w:val="clea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D17107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6D27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281560">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B3D7C8">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6BD9D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A71D7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1C3A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E833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1D08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FA7C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B94E11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0B03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B9A8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E784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9687A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8FBD8F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533A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AA65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541A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3B11B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604B98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81B13">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D9A6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7E59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BF46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520C26DD">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6622225">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C7889EA">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D750723">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F69D58">
      <w:pPr>
        <w:shd w:val="clear"/>
        <w:snapToGrid w:val="0"/>
        <w:spacing w:line="360" w:lineRule="auto"/>
        <w:jc w:val="left"/>
        <w:rPr>
          <w:rFonts w:ascii="宋体" w:hAnsi="宋体"/>
          <w:color w:val="auto"/>
          <w:sz w:val="24"/>
          <w:highlight w:val="none"/>
        </w:rPr>
      </w:pPr>
    </w:p>
    <w:p w14:paraId="4E5D5079">
      <w:pPr>
        <w:shd w:val="clear"/>
        <w:snapToGrid w:val="0"/>
        <w:spacing w:line="360" w:lineRule="auto"/>
        <w:jc w:val="left"/>
        <w:rPr>
          <w:rFonts w:ascii="宋体" w:hAnsi="宋体"/>
          <w:color w:val="auto"/>
          <w:sz w:val="24"/>
          <w:highlight w:val="none"/>
        </w:rPr>
      </w:pPr>
    </w:p>
    <w:p w14:paraId="55D4FEBD">
      <w:pPr>
        <w:shd w:val="clear"/>
        <w:snapToGrid w:val="0"/>
        <w:spacing w:line="360" w:lineRule="auto"/>
        <w:jc w:val="left"/>
        <w:rPr>
          <w:rFonts w:ascii="宋体" w:hAnsi="宋体"/>
          <w:color w:val="auto"/>
          <w:sz w:val="24"/>
          <w:highlight w:val="none"/>
        </w:rPr>
      </w:pPr>
    </w:p>
    <w:p w14:paraId="57BDCACE">
      <w:pPr>
        <w:shd w:val="clear"/>
        <w:snapToGrid w:val="0"/>
        <w:spacing w:line="360" w:lineRule="auto"/>
        <w:jc w:val="left"/>
        <w:rPr>
          <w:color w:val="auto"/>
          <w:sz w:val="24"/>
          <w:highlight w:val="none"/>
        </w:rPr>
      </w:pPr>
    </w:p>
    <w:p w14:paraId="22ECC1B0">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42D42367">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75DCFF5D">
      <w:pPr>
        <w:shd w:val="clea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C2A213">
      <w:pPr>
        <w:shd w:val="clear"/>
        <w:snapToGrid w:val="0"/>
        <w:spacing w:before="156" w:beforeLines="50" w:after="50"/>
        <w:jc w:val="left"/>
        <w:rPr>
          <w:rFonts w:ascii="宋体" w:hAnsi="宋体"/>
          <w:color w:val="auto"/>
          <w:sz w:val="24"/>
          <w:highlight w:val="none"/>
        </w:rPr>
      </w:pPr>
    </w:p>
    <w:p w14:paraId="7F075DA1">
      <w:pPr>
        <w:shd w:val="clear"/>
        <w:rPr>
          <w:rFonts w:ascii="宋体" w:hAnsi="宋体"/>
          <w:b/>
          <w:color w:val="auto"/>
          <w:sz w:val="28"/>
          <w:szCs w:val="28"/>
          <w:highlight w:val="none"/>
        </w:rPr>
      </w:pPr>
      <w:r>
        <w:rPr>
          <w:rFonts w:ascii="宋体" w:hAnsi="宋体"/>
          <w:b/>
          <w:color w:val="auto"/>
          <w:sz w:val="28"/>
          <w:szCs w:val="28"/>
          <w:highlight w:val="none"/>
        </w:rPr>
        <w:br w:type="page"/>
      </w:r>
    </w:p>
    <w:p w14:paraId="11EE0ED8">
      <w:pPr>
        <w:widowControl/>
        <w:shd w:val="clear"/>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60103261">
      <w:pPr>
        <w:widowControl/>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5A288AC7">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F2E071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A070DA1">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5A8B1606">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4A2BE8B9">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371EC622">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28E2A25D">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53FC8E37">
      <w:pPr>
        <w:widowControl/>
        <w:shd w:val="clear"/>
        <w:spacing w:line="360" w:lineRule="auto"/>
        <w:ind w:firstLine="420"/>
        <w:rPr>
          <w:rFonts w:ascii="宋体" w:hAnsi="宋体" w:cs="宋体"/>
          <w:color w:val="auto"/>
          <w:kern w:val="1"/>
          <w:sz w:val="24"/>
          <w:szCs w:val="24"/>
          <w:highlight w:val="none"/>
        </w:rPr>
      </w:pPr>
    </w:p>
    <w:p w14:paraId="22A8F86D">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362CCA34">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0FE3221A">
      <w:pPr>
        <w:widowControl/>
        <w:shd w:val="clear"/>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52FBDC79">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78B500C5">
      <w:pPr>
        <w:shd w:val="clear"/>
        <w:spacing w:line="360" w:lineRule="exact"/>
        <w:ind w:firstLine="6720"/>
        <w:rPr>
          <w:rFonts w:ascii="宋体" w:hAnsi="宋体" w:cs="Courier New"/>
          <w:color w:val="auto"/>
          <w:kern w:val="1"/>
          <w:szCs w:val="21"/>
          <w:highlight w:val="none"/>
        </w:rPr>
      </w:pPr>
    </w:p>
    <w:p w14:paraId="71ACD811">
      <w:pPr>
        <w:shd w:val="clear"/>
        <w:spacing w:line="360" w:lineRule="exact"/>
        <w:ind w:firstLine="6720"/>
        <w:rPr>
          <w:rFonts w:ascii="宋体" w:hAnsi="宋体" w:cs="Courier New"/>
          <w:color w:val="auto"/>
          <w:kern w:val="1"/>
          <w:szCs w:val="21"/>
          <w:highlight w:val="none"/>
        </w:rPr>
      </w:pPr>
    </w:p>
    <w:p w14:paraId="08DC5309">
      <w:pPr>
        <w:shd w:val="clear"/>
        <w:spacing w:line="360" w:lineRule="exact"/>
        <w:ind w:firstLine="6720"/>
        <w:rPr>
          <w:rFonts w:ascii="宋体" w:hAnsi="宋体" w:cs="Courier New"/>
          <w:color w:val="auto"/>
          <w:kern w:val="1"/>
          <w:szCs w:val="21"/>
          <w:highlight w:val="none"/>
        </w:rPr>
      </w:pPr>
    </w:p>
    <w:p w14:paraId="31E66A62">
      <w:pPr>
        <w:shd w:val="clear"/>
        <w:spacing w:line="360" w:lineRule="exact"/>
        <w:ind w:firstLine="6720"/>
        <w:rPr>
          <w:rFonts w:ascii="宋体" w:hAnsi="宋体" w:cs="Courier New"/>
          <w:color w:val="auto"/>
          <w:kern w:val="1"/>
          <w:szCs w:val="21"/>
          <w:highlight w:val="none"/>
        </w:rPr>
      </w:pPr>
    </w:p>
    <w:p w14:paraId="13711E08">
      <w:pPr>
        <w:shd w:val="clear"/>
        <w:spacing w:line="380" w:lineRule="exact"/>
        <w:jc w:val="center"/>
        <w:rPr>
          <w:rFonts w:hint="eastAsia"/>
          <w:b/>
          <w:bCs/>
          <w:color w:val="auto"/>
          <w:kern w:val="0"/>
          <w:sz w:val="32"/>
          <w:szCs w:val="32"/>
          <w:highlight w:val="none"/>
        </w:rPr>
      </w:pPr>
      <w:r>
        <w:rPr>
          <w:rFonts w:hint="eastAsia"/>
          <w:b/>
          <w:bCs/>
          <w:color w:val="auto"/>
          <w:kern w:val="0"/>
          <w:sz w:val="32"/>
          <w:szCs w:val="32"/>
          <w:highlight w:val="none"/>
        </w:rPr>
        <w:t>残疾人福利性单位声明函</w:t>
      </w:r>
    </w:p>
    <w:p w14:paraId="2B11D94F">
      <w:pPr>
        <w:shd w:val="clear"/>
        <w:spacing w:line="588" w:lineRule="exact"/>
        <w:rPr>
          <w:rFonts w:ascii="宋体" w:hAnsi="宋体" w:cs="宋体"/>
          <w:color w:val="auto"/>
          <w:kern w:val="1"/>
          <w:szCs w:val="21"/>
          <w:highlight w:val="none"/>
        </w:rPr>
      </w:pPr>
    </w:p>
    <w:p w14:paraId="08033ECF">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59C270">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33205F4F">
      <w:pPr>
        <w:shd w:val="clear"/>
        <w:spacing w:line="588" w:lineRule="exact"/>
        <w:ind w:firstLine="420"/>
        <w:rPr>
          <w:rFonts w:ascii="宋体" w:hAnsi="宋体" w:cs="宋体"/>
          <w:color w:val="auto"/>
          <w:kern w:val="1"/>
          <w:sz w:val="24"/>
          <w:szCs w:val="24"/>
          <w:highlight w:val="none"/>
        </w:rPr>
      </w:pPr>
    </w:p>
    <w:p w14:paraId="6D9B90A3">
      <w:pPr>
        <w:shd w:val="clear"/>
        <w:spacing w:line="588" w:lineRule="exact"/>
        <w:ind w:firstLine="420"/>
        <w:rPr>
          <w:rFonts w:ascii="宋体" w:hAnsi="宋体" w:cs="宋体"/>
          <w:color w:val="auto"/>
          <w:kern w:val="1"/>
          <w:sz w:val="24"/>
          <w:szCs w:val="24"/>
          <w:highlight w:val="none"/>
        </w:rPr>
      </w:pPr>
    </w:p>
    <w:p w14:paraId="28618A4C">
      <w:pPr>
        <w:shd w:val="clea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469F8683">
      <w:pPr>
        <w:widowControl/>
        <w:shd w:val="clear"/>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152EC1EC">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197308A1">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6366B025">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66577041">
      <w:pPr>
        <w:shd w:val="clea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17518E11">
      <w:pPr>
        <w:shd w:val="clear"/>
        <w:spacing w:line="320" w:lineRule="exact"/>
        <w:jc w:val="center"/>
        <w:rPr>
          <w:rFonts w:ascii="宋体" w:hAnsi="宋体"/>
          <w:b/>
          <w:color w:val="auto"/>
          <w:sz w:val="32"/>
          <w:szCs w:val="32"/>
          <w:highlight w:val="none"/>
        </w:rPr>
      </w:pPr>
    </w:p>
    <w:p w14:paraId="18A7C03E">
      <w:pPr>
        <w:shd w:val="clear"/>
        <w:spacing w:line="380" w:lineRule="exact"/>
        <w:jc w:val="center"/>
        <w:rPr>
          <w:rFonts w:hint="default"/>
          <w:b/>
          <w:bCs/>
          <w:color w:val="auto"/>
          <w:kern w:val="0"/>
          <w:sz w:val="32"/>
          <w:szCs w:val="32"/>
          <w:highlight w:val="none"/>
          <w:lang w:val="en-US" w:eastAsia="zh-CN"/>
        </w:rPr>
      </w:pPr>
      <w:r>
        <w:rPr>
          <w:rFonts w:hint="eastAsia"/>
          <w:b/>
          <w:bCs/>
          <w:color w:val="auto"/>
          <w:kern w:val="0"/>
          <w:sz w:val="32"/>
          <w:szCs w:val="32"/>
          <w:highlight w:val="none"/>
        </w:rPr>
        <w:t>竞标声明</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5114D55D">
      <w:pPr>
        <w:shd w:val="clear"/>
        <w:spacing w:line="320" w:lineRule="exact"/>
        <w:jc w:val="center"/>
        <w:rPr>
          <w:rFonts w:ascii="宋体" w:hAnsi="宋体"/>
          <w:color w:val="auto"/>
          <w:sz w:val="24"/>
          <w:szCs w:val="20"/>
          <w:highlight w:val="none"/>
        </w:rPr>
      </w:pPr>
    </w:p>
    <w:p w14:paraId="059EC9F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FE6796">
      <w:pPr>
        <w:shd w:val="clea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92740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CE064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75DDBE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0F1496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D1AAD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D1DE8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963EE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CD5C2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607448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9EC6A4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C8A45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043CD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D376BB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EDF75A5">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F7DF74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269E31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4807B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905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3EC116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3C2B7">
      <w:pPr>
        <w:pStyle w:val="32"/>
        <w:shd w:val="clear"/>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1418233">
      <w:pPr>
        <w:pStyle w:val="32"/>
        <w:shd w:val="clear"/>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511806B">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1BC3D06">
      <w:pPr>
        <w:pStyle w:val="26"/>
        <w:shd w:val="clear"/>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2A88123">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B65FA7">
      <w:pPr>
        <w:shd w:val="clea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47BA16AA">
      <w:pPr>
        <w:shd w:val="clear"/>
        <w:spacing w:line="360" w:lineRule="auto"/>
        <w:contextualSpacing/>
        <w:jc w:val="left"/>
        <w:rPr>
          <w:rFonts w:ascii="宋体" w:hAnsi="宋体" w:cs="宋体"/>
          <w:color w:val="auto"/>
          <w:szCs w:val="21"/>
          <w:highlight w:val="none"/>
        </w:rPr>
      </w:pPr>
    </w:p>
    <w:p w14:paraId="3CD91042">
      <w:pPr>
        <w:shd w:val="clea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3427E887">
      <w:pPr>
        <w:shd w:val="clea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24B07A9">
      <w:pPr>
        <w:pStyle w:val="26"/>
        <w:shd w:val="clear"/>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3F68BFE8">
      <w:pPr>
        <w:shd w:val="clear"/>
        <w:rPr>
          <w:rFonts w:ascii="宋体" w:hAnsi="宋体" w:eastAsia="宋体" w:cs="宋体"/>
          <w:color w:val="auto"/>
          <w:sz w:val="21"/>
          <w:szCs w:val="21"/>
          <w:highlight w:val="none"/>
        </w:rPr>
      </w:pPr>
      <w:r>
        <w:rPr>
          <w:rFonts w:ascii="宋体" w:hAnsi="宋体" w:eastAsia="宋体" w:cs="宋体"/>
          <w:color w:val="auto"/>
          <w:sz w:val="21"/>
          <w:szCs w:val="21"/>
          <w:highlight w:val="none"/>
        </w:rPr>
        <w:br w:type="page"/>
      </w:r>
    </w:p>
    <w:p w14:paraId="11652EDA">
      <w:pPr>
        <w:shd w:val="clea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1D7CC71B">
      <w:pPr>
        <w:shd w:val="clea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2417535E">
      <w:pPr>
        <w:shd w:val="clear"/>
        <w:spacing w:line="281" w:lineRule="auto"/>
        <w:rPr>
          <w:rFonts w:ascii="Arial"/>
          <w:color w:val="auto"/>
          <w:sz w:val="21"/>
          <w:highlight w:val="none"/>
        </w:rPr>
      </w:pPr>
    </w:p>
    <w:p w14:paraId="6E8B6ADF">
      <w:pPr>
        <w:shd w:val="clear"/>
        <w:spacing w:line="281" w:lineRule="auto"/>
        <w:rPr>
          <w:rFonts w:ascii="Arial"/>
          <w:color w:val="auto"/>
          <w:sz w:val="21"/>
          <w:highlight w:val="none"/>
        </w:rPr>
      </w:pPr>
    </w:p>
    <w:p w14:paraId="1F1EA72C">
      <w:pPr>
        <w:shd w:val="clear"/>
        <w:spacing w:line="282" w:lineRule="auto"/>
        <w:rPr>
          <w:rFonts w:ascii="Arial"/>
          <w:color w:val="auto"/>
          <w:sz w:val="21"/>
          <w:highlight w:val="none"/>
        </w:rPr>
      </w:pPr>
    </w:p>
    <w:p w14:paraId="2AFAB344">
      <w:pPr>
        <w:shd w:val="clea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4934CA72">
      <w:pPr>
        <w:shd w:val="clear"/>
        <w:spacing w:line="264" w:lineRule="auto"/>
        <w:rPr>
          <w:rFonts w:ascii="Arial"/>
          <w:color w:val="auto"/>
          <w:sz w:val="21"/>
          <w:highlight w:val="none"/>
        </w:rPr>
      </w:pPr>
    </w:p>
    <w:p w14:paraId="335E3979">
      <w:pPr>
        <w:shd w:val="clear"/>
        <w:spacing w:line="265" w:lineRule="auto"/>
        <w:rPr>
          <w:rFonts w:ascii="Arial"/>
          <w:color w:val="auto"/>
          <w:sz w:val="21"/>
          <w:highlight w:val="none"/>
        </w:rPr>
      </w:pPr>
    </w:p>
    <w:p w14:paraId="46FDD3E4">
      <w:pPr>
        <w:shd w:val="clear"/>
        <w:spacing w:line="265" w:lineRule="auto"/>
        <w:rPr>
          <w:rFonts w:ascii="Arial"/>
          <w:color w:val="auto"/>
          <w:sz w:val="21"/>
          <w:highlight w:val="none"/>
        </w:rPr>
      </w:pPr>
    </w:p>
    <w:p w14:paraId="4DD91BB1">
      <w:pPr>
        <w:shd w:val="clear"/>
        <w:spacing w:line="265" w:lineRule="auto"/>
        <w:rPr>
          <w:rFonts w:ascii="Arial"/>
          <w:color w:val="auto"/>
          <w:sz w:val="21"/>
          <w:highlight w:val="none"/>
        </w:rPr>
      </w:pPr>
    </w:p>
    <w:p w14:paraId="03948C22">
      <w:pPr>
        <w:shd w:val="clea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48D25060">
      <w:pPr>
        <w:shd w:val="clear"/>
        <w:spacing w:line="242" w:lineRule="auto"/>
        <w:rPr>
          <w:rFonts w:ascii="Arial"/>
          <w:color w:val="auto"/>
          <w:sz w:val="21"/>
          <w:highlight w:val="none"/>
        </w:rPr>
      </w:pPr>
    </w:p>
    <w:p w14:paraId="4FA5BE2B">
      <w:pPr>
        <w:shd w:val="clear"/>
        <w:spacing w:line="243" w:lineRule="auto"/>
        <w:rPr>
          <w:rFonts w:ascii="Arial"/>
          <w:color w:val="auto"/>
          <w:sz w:val="21"/>
          <w:highlight w:val="none"/>
        </w:rPr>
      </w:pPr>
    </w:p>
    <w:p w14:paraId="12AACE55">
      <w:pPr>
        <w:shd w:val="clear"/>
        <w:spacing w:line="243" w:lineRule="auto"/>
        <w:rPr>
          <w:rFonts w:ascii="Arial"/>
          <w:color w:val="auto"/>
          <w:sz w:val="21"/>
          <w:highlight w:val="none"/>
        </w:rPr>
      </w:pPr>
    </w:p>
    <w:p w14:paraId="32182EF8">
      <w:pPr>
        <w:shd w:val="clear"/>
        <w:spacing w:line="243" w:lineRule="auto"/>
        <w:rPr>
          <w:rFonts w:ascii="Arial"/>
          <w:color w:val="auto"/>
          <w:sz w:val="21"/>
          <w:highlight w:val="none"/>
        </w:rPr>
      </w:pPr>
    </w:p>
    <w:p w14:paraId="585596DE">
      <w:pPr>
        <w:shd w:val="clear"/>
        <w:spacing w:line="243" w:lineRule="auto"/>
        <w:rPr>
          <w:rFonts w:ascii="Arial"/>
          <w:color w:val="auto"/>
          <w:sz w:val="21"/>
          <w:highlight w:val="none"/>
        </w:rPr>
      </w:pPr>
    </w:p>
    <w:p w14:paraId="7D4CE206">
      <w:pPr>
        <w:shd w:val="clear"/>
        <w:spacing w:line="243" w:lineRule="auto"/>
        <w:rPr>
          <w:rFonts w:ascii="Arial"/>
          <w:color w:val="auto"/>
          <w:sz w:val="21"/>
          <w:highlight w:val="none"/>
        </w:rPr>
      </w:pPr>
    </w:p>
    <w:p w14:paraId="0AEC7335">
      <w:pPr>
        <w:shd w:val="clear"/>
        <w:spacing w:line="243" w:lineRule="auto"/>
        <w:rPr>
          <w:rFonts w:ascii="Arial"/>
          <w:color w:val="auto"/>
          <w:sz w:val="21"/>
          <w:highlight w:val="none"/>
        </w:rPr>
      </w:pPr>
    </w:p>
    <w:p w14:paraId="7E250D0F">
      <w:pPr>
        <w:shd w:val="clear"/>
        <w:spacing w:line="243" w:lineRule="auto"/>
        <w:rPr>
          <w:rFonts w:ascii="Arial"/>
          <w:color w:val="auto"/>
          <w:sz w:val="21"/>
          <w:highlight w:val="none"/>
        </w:rPr>
      </w:pPr>
    </w:p>
    <w:p w14:paraId="40DBE0D2">
      <w:pPr>
        <w:shd w:val="clear"/>
        <w:spacing w:line="243" w:lineRule="auto"/>
        <w:rPr>
          <w:rFonts w:ascii="Arial"/>
          <w:color w:val="auto"/>
          <w:sz w:val="21"/>
          <w:highlight w:val="none"/>
        </w:rPr>
      </w:pPr>
    </w:p>
    <w:p w14:paraId="6A14F79E">
      <w:pPr>
        <w:shd w:val="clear"/>
        <w:spacing w:line="243" w:lineRule="auto"/>
        <w:rPr>
          <w:rFonts w:ascii="Arial"/>
          <w:color w:val="auto"/>
          <w:sz w:val="21"/>
          <w:highlight w:val="none"/>
        </w:rPr>
      </w:pPr>
    </w:p>
    <w:p w14:paraId="14597E29">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5523C7E6">
      <w:pPr>
        <w:shd w:val="clear"/>
        <w:spacing w:line="328" w:lineRule="auto"/>
        <w:rPr>
          <w:rFonts w:ascii="Arial"/>
          <w:color w:val="auto"/>
          <w:sz w:val="21"/>
          <w:highlight w:val="none"/>
        </w:rPr>
      </w:pPr>
    </w:p>
    <w:p w14:paraId="2E314441">
      <w:pPr>
        <w:shd w:val="clear"/>
        <w:spacing w:line="328" w:lineRule="auto"/>
        <w:rPr>
          <w:rFonts w:ascii="Arial"/>
          <w:color w:val="auto"/>
          <w:sz w:val="21"/>
          <w:highlight w:val="none"/>
        </w:rPr>
      </w:pPr>
    </w:p>
    <w:p w14:paraId="51BF4868">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4059EFEA">
      <w:pPr>
        <w:shd w:val="clear"/>
        <w:spacing w:line="328" w:lineRule="auto"/>
        <w:rPr>
          <w:rFonts w:ascii="Arial"/>
          <w:color w:val="auto"/>
          <w:sz w:val="21"/>
          <w:highlight w:val="none"/>
        </w:rPr>
      </w:pPr>
    </w:p>
    <w:p w14:paraId="0C85C7A8">
      <w:pPr>
        <w:shd w:val="clear"/>
        <w:spacing w:line="328" w:lineRule="auto"/>
        <w:rPr>
          <w:rFonts w:ascii="Arial"/>
          <w:color w:val="auto"/>
          <w:sz w:val="21"/>
          <w:highlight w:val="none"/>
        </w:rPr>
      </w:pPr>
    </w:p>
    <w:p w14:paraId="2665BB63">
      <w:pPr>
        <w:shd w:val="clea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070EF4">
      <w:pPr>
        <w:shd w:val="clear"/>
        <w:spacing w:line="276" w:lineRule="auto"/>
        <w:rPr>
          <w:rFonts w:ascii="Arial"/>
          <w:color w:val="auto"/>
          <w:sz w:val="21"/>
          <w:highlight w:val="none"/>
        </w:rPr>
      </w:pPr>
    </w:p>
    <w:p w14:paraId="5D385587">
      <w:pPr>
        <w:shd w:val="clear"/>
        <w:spacing w:line="276" w:lineRule="auto"/>
        <w:rPr>
          <w:rFonts w:ascii="Arial"/>
          <w:color w:val="auto"/>
          <w:sz w:val="21"/>
          <w:highlight w:val="none"/>
        </w:rPr>
      </w:pPr>
    </w:p>
    <w:p w14:paraId="407F06C8">
      <w:pPr>
        <w:shd w:val="clea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2C45255A">
      <w:pPr>
        <w:shd w:val="clear"/>
        <w:spacing w:line="242" w:lineRule="auto"/>
        <w:rPr>
          <w:rFonts w:ascii="Arial"/>
          <w:color w:val="auto"/>
          <w:sz w:val="21"/>
          <w:highlight w:val="none"/>
        </w:rPr>
      </w:pPr>
    </w:p>
    <w:p w14:paraId="1EDDA899">
      <w:pPr>
        <w:shd w:val="clear"/>
        <w:spacing w:line="242" w:lineRule="auto"/>
        <w:rPr>
          <w:rFonts w:ascii="Arial"/>
          <w:color w:val="auto"/>
          <w:sz w:val="21"/>
          <w:highlight w:val="none"/>
        </w:rPr>
      </w:pPr>
    </w:p>
    <w:p w14:paraId="2F70FA5A">
      <w:pPr>
        <w:shd w:val="clear"/>
        <w:spacing w:line="242" w:lineRule="auto"/>
        <w:rPr>
          <w:rFonts w:ascii="Arial"/>
          <w:color w:val="auto"/>
          <w:sz w:val="21"/>
          <w:highlight w:val="none"/>
        </w:rPr>
      </w:pPr>
    </w:p>
    <w:p w14:paraId="4BA54688">
      <w:pPr>
        <w:shd w:val="clear"/>
        <w:spacing w:line="242" w:lineRule="auto"/>
        <w:rPr>
          <w:rFonts w:ascii="Arial"/>
          <w:color w:val="auto"/>
          <w:sz w:val="21"/>
          <w:highlight w:val="none"/>
        </w:rPr>
      </w:pPr>
    </w:p>
    <w:p w14:paraId="03B2B111">
      <w:pPr>
        <w:shd w:val="clear"/>
        <w:spacing w:line="243" w:lineRule="auto"/>
        <w:rPr>
          <w:rFonts w:ascii="Arial"/>
          <w:color w:val="auto"/>
          <w:sz w:val="21"/>
          <w:highlight w:val="none"/>
        </w:rPr>
      </w:pPr>
    </w:p>
    <w:p w14:paraId="19DB1880">
      <w:pPr>
        <w:shd w:val="clear"/>
        <w:spacing w:line="243" w:lineRule="auto"/>
        <w:rPr>
          <w:rFonts w:ascii="Arial"/>
          <w:color w:val="auto"/>
          <w:sz w:val="21"/>
          <w:highlight w:val="none"/>
        </w:rPr>
      </w:pPr>
    </w:p>
    <w:p w14:paraId="29E3DCFA">
      <w:pPr>
        <w:shd w:val="clear"/>
        <w:spacing w:line="243" w:lineRule="auto"/>
        <w:rPr>
          <w:rFonts w:ascii="Arial"/>
          <w:color w:val="auto"/>
          <w:sz w:val="21"/>
          <w:highlight w:val="none"/>
        </w:rPr>
      </w:pPr>
    </w:p>
    <w:p w14:paraId="23DD77E2">
      <w:pPr>
        <w:shd w:val="clear"/>
        <w:spacing w:line="243" w:lineRule="auto"/>
        <w:rPr>
          <w:rFonts w:ascii="Arial"/>
          <w:color w:val="auto"/>
          <w:sz w:val="21"/>
          <w:highlight w:val="none"/>
        </w:rPr>
      </w:pPr>
    </w:p>
    <w:p w14:paraId="5A229655">
      <w:pPr>
        <w:shd w:val="clea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4A552CAE">
      <w:pPr>
        <w:shd w:val="clear"/>
        <w:spacing w:line="226" w:lineRule="auto"/>
        <w:rPr>
          <w:rFonts w:ascii="宋体" w:hAnsi="宋体" w:eastAsia="宋体" w:cs="宋体"/>
          <w:color w:val="auto"/>
          <w:sz w:val="31"/>
          <w:szCs w:val="31"/>
          <w:highlight w:val="none"/>
        </w:rPr>
        <w:sectPr>
          <w:headerReference r:id="rId6" w:type="default"/>
          <w:footerReference r:id="rId7" w:type="default"/>
          <w:pgSz w:w="11907" w:h="16839"/>
          <w:pgMar w:top="1417" w:right="1417" w:bottom="1417" w:left="1417" w:header="0" w:footer="856" w:gutter="0"/>
          <w:pgNumType w:fmt="decimal"/>
          <w:cols w:space="720" w:num="1"/>
          <w:rtlGutter w:val="0"/>
        </w:sectPr>
      </w:pPr>
    </w:p>
    <w:p w14:paraId="0FC0033D">
      <w:pPr>
        <w:keepNext w:val="0"/>
        <w:keepLines w:val="0"/>
        <w:widowControl/>
        <w:suppressLineNumbers w:val="0"/>
        <w:shd w:val="clear"/>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B8DB747">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B77A45E">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3440D17">
      <w:pPr>
        <w:keepNext w:val="0"/>
        <w:keepLines w:val="0"/>
        <w:widowControl/>
        <w:suppressLineNumbers w:val="0"/>
        <w:shd w:val="clear"/>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3211D732">
      <w:pPr>
        <w:numPr>
          <w:ilvl w:val="0"/>
          <w:numId w:val="0"/>
        </w:numPr>
        <w:shd w:val="clear"/>
        <w:spacing w:before="183" w:line="360" w:lineRule="auto"/>
        <w:ind w:left="0" w:right="2" w:firstLine="0"/>
        <w:rPr>
          <w:rFonts w:ascii="宋体" w:hAnsi="宋体" w:eastAsia="宋体" w:cs="宋体"/>
          <w:color w:val="auto"/>
          <w:spacing w:val="2"/>
          <w:sz w:val="21"/>
          <w:szCs w:val="21"/>
          <w:highlight w:val="none"/>
        </w:rPr>
        <w:sectPr>
          <w:footerReference r:id="rId8" w:type="default"/>
          <w:pgSz w:w="11907" w:h="16839"/>
          <w:pgMar w:top="1417" w:right="1417" w:bottom="1417" w:left="1417" w:header="1134" w:footer="1134" w:gutter="0"/>
          <w:pgNumType w:fmt="decimal"/>
          <w:cols w:space="720" w:num="1"/>
          <w:rtlGutter w:val="0"/>
        </w:sectPr>
      </w:pPr>
    </w:p>
    <w:p w14:paraId="5BC2C67E">
      <w:pPr>
        <w:shd w:val="clear"/>
        <w:spacing w:line="292" w:lineRule="auto"/>
        <w:rPr>
          <w:rFonts w:ascii="Arial"/>
          <w:color w:val="auto"/>
          <w:sz w:val="21"/>
          <w:highlight w:val="none"/>
        </w:rPr>
      </w:pPr>
    </w:p>
    <w:p w14:paraId="463BF7D1">
      <w:pPr>
        <w:pStyle w:val="32"/>
        <w:shd w:val="clear"/>
        <w:jc w:val="both"/>
        <w:rPr>
          <w:b/>
          <w:color w:val="auto"/>
          <w:sz w:val="32"/>
          <w:highlight w:val="none"/>
        </w:rPr>
      </w:pPr>
      <w:r>
        <w:rPr>
          <w:rFonts w:hint="eastAsia" w:ascii="宋体" w:hAnsi="宋体" w:cs="宋体"/>
          <w:b/>
          <w:color w:val="auto"/>
          <w:sz w:val="24"/>
          <w:highlight w:val="none"/>
          <w:lang w:val="en-US" w:eastAsia="zh-CN"/>
        </w:rPr>
        <w:t xml:space="preserve">                              </w:t>
      </w:r>
      <w:r>
        <w:rPr>
          <w:rFonts w:hint="eastAsia" w:ascii="宋体" w:eastAsia="宋体" w:cs="Times New Roman"/>
          <w:b/>
          <w:color w:val="auto"/>
          <w:sz w:val="32"/>
          <w:highlight w:val="none"/>
          <w:lang w:val="en-US" w:eastAsia="zh-CN"/>
        </w:rPr>
        <w:t xml:space="preserve">竞 标 </w:t>
      </w:r>
      <w:r>
        <w:rPr>
          <w:rFonts w:ascii="宋体" w:eastAsia="宋体" w:cs="Times New Roman"/>
          <w:b/>
          <w:color w:val="auto"/>
          <w:sz w:val="32"/>
          <w:highlight w:val="none"/>
        </w:rPr>
        <w:t>报</w:t>
      </w:r>
      <w:r>
        <w:rPr>
          <w:rFonts w:hint="eastAsia" w:ascii="宋体" w:eastAsia="宋体" w:cs="Times New Roman"/>
          <w:b/>
          <w:color w:val="auto"/>
          <w:sz w:val="32"/>
          <w:highlight w:val="none"/>
          <w:lang w:val="en-US" w:eastAsia="zh-CN"/>
        </w:rPr>
        <w:t xml:space="preserve"> </w:t>
      </w:r>
      <w:r>
        <w:rPr>
          <w:b/>
          <w:color w:val="auto"/>
          <w:sz w:val="32"/>
          <w:highlight w:val="none"/>
        </w:rPr>
        <w:t>价</w:t>
      </w:r>
      <w:r>
        <w:rPr>
          <w:rFonts w:hint="eastAsia"/>
          <w:b/>
          <w:color w:val="auto"/>
          <w:sz w:val="32"/>
          <w:highlight w:val="none"/>
          <w:lang w:val="en-US" w:eastAsia="zh-CN"/>
        </w:rPr>
        <w:t xml:space="preserve"> </w:t>
      </w:r>
      <w:r>
        <w:rPr>
          <w:b/>
          <w:color w:val="auto"/>
          <w:sz w:val="32"/>
          <w:highlight w:val="none"/>
        </w:rPr>
        <w:t>表</w:t>
      </w:r>
      <w:r>
        <w:rPr>
          <w:rFonts w:ascii="宋体" w:hAnsi="宋体" w:cs="宋体"/>
          <w:b/>
          <w:color w:val="auto"/>
          <w:spacing w:val="5"/>
          <w:kern w:val="1"/>
          <w:sz w:val="32"/>
          <w:szCs w:val="32"/>
          <w:highlight w:val="none"/>
        </w:rPr>
        <w:t>（格式）</w:t>
      </w:r>
    </w:p>
    <w:p w14:paraId="1AC5DA70">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5F8E54B8">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24FFF7A">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934" w:type="dxa"/>
        <w:jc w:val="center"/>
        <w:tblLayout w:type="fixed"/>
        <w:tblCellMar>
          <w:top w:w="0" w:type="dxa"/>
          <w:left w:w="108" w:type="dxa"/>
          <w:bottom w:w="0" w:type="dxa"/>
          <w:right w:w="108" w:type="dxa"/>
        </w:tblCellMar>
      </w:tblPr>
      <w:tblGrid>
        <w:gridCol w:w="514"/>
        <w:gridCol w:w="2900"/>
        <w:gridCol w:w="1601"/>
        <w:gridCol w:w="1210"/>
        <w:gridCol w:w="1550"/>
        <w:gridCol w:w="1159"/>
      </w:tblGrid>
      <w:tr w14:paraId="1C4ED22F">
        <w:tblPrEx>
          <w:tblCellMar>
            <w:top w:w="0" w:type="dxa"/>
            <w:left w:w="108" w:type="dxa"/>
            <w:bottom w:w="0" w:type="dxa"/>
            <w:right w:w="108" w:type="dxa"/>
          </w:tblCellMar>
        </w:tblPrEx>
        <w:trPr>
          <w:trHeight w:val="1115"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40274D0C">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900" w:type="dxa"/>
            <w:tcBorders>
              <w:top w:val="single" w:color="000000" w:sz="8" w:space="0"/>
              <w:left w:val="nil"/>
              <w:bottom w:val="single" w:color="000000" w:sz="8" w:space="0"/>
              <w:right w:val="single" w:color="000000" w:sz="8" w:space="0"/>
            </w:tcBorders>
            <w:noWrap w:val="0"/>
            <w:vAlign w:val="center"/>
          </w:tcPr>
          <w:p w14:paraId="134EBD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29996203">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9E85DA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3E405B0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78DB07D1">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10A3392E">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01AD8D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900" w:type="dxa"/>
            <w:tcBorders>
              <w:top w:val="single" w:color="000000" w:sz="8" w:space="0"/>
              <w:left w:val="nil"/>
              <w:bottom w:val="single" w:color="000000" w:sz="8" w:space="0"/>
              <w:right w:val="single" w:color="auto" w:sz="4" w:space="0"/>
            </w:tcBorders>
            <w:noWrap w:val="0"/>
            <w:vAlign w:val="center"/>
          </w:tcPr>
          <w:p w14:paraId="77F2425D">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584FB316">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689FA47B">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4B7B38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4E79C7">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C3128C5">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73D888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117BCB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4242FFEB">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3DB47D23">
      <w:pPr>
        <w:shd w:val="clear"/>
        <w:spacing w:line="500" w:lineRule="exact"/>
        <w:rPr>
          <w:rFonts w:ascii="宋体" w:hAnsi="宋体" w:cs="宋体"/>
          <w:color w:val="auto"/>
          <w:kern w:val="1"/>
          <w:sz w:val="24"/>
          <w:szCs w:val="24"/>
          <w:highlight w:val="none"/>
        </w:rPr>
      </w:pPr>
    </w:p>
    <w:p w14:paraId="61C3DF95">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注：</w:t>
      </w:r>
    </w:p>
    <w:p w14:paraId="0169C056">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1.供应商的报价表必须加盖供应商公章并由法定代表人或者委托代理人签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7B4CFF7A">
      <w:pPr>
        <w:pStyle w:val="23"/>
        <w:shd w:val="clear"/>
        <w:ind w:firstLine="482" w:firstLineChars="200"/>
        <w:rPr>
          <w:rFonts w:hint="eastAsia" w:eastAsia="宋体"/>
          <w:color w:val="auto"/>
          <w:highlight w:val="none"/>
          <w:lang w:eastAsia="zh-CN"/>
        </w:rPr>
      </w:pPr>
      <w:r>
        <w:rPr>
          <w:rFonts w:hint="eastAsia" w:ascii="宋体" w:hAnsi="宋体" w:cs="宋体"/>
          <w:b/>
          <w:color w:val="auto"/>
          <w:kern w:val="1"/>
          <w:sz w:val="24"/>
          <w:szCs w:val="24"/>
          <w:highlight w:val="none"/>
        </w:rPr>
        <w:t>2.报价一经涂改，应在涂改处加盖供应商公章或者由法定代表人或者委托代理人签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07C96B2F">
      <w:pPr>
        <w:shd w:val="clea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1DAB910">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w:t>
      </w:r>
      <w:r>
        <w:rPr>
          <w:rFonts w:hint="eastAsia" w:ascii="宋体" w:hAnsi="宋体"/>
          <w:color w:val="auto"/>
          <w:sz w:val="24"/>
          <w:highlight w:val="none"/>
        </w:rPr>
        <w:t>签字或者盖章或者电子签名</w:t>
      </w:r>
      <w:r>
        <w:rPr>
          <w:rFonts w:hint="eastAsia" w:ascii="宋体" w:hAnsi="宋体"/>
          <w:b/>
          <w:bCs/>
          <w:color w:val="auto"/>
          <w:kern w:val="2"/>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1C89C5DF">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4BB7A3AF">
      <w:pPr>
        <w:shd w:val="clea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674774FA">
      <w:pPr>
        <w:shd w:val="clear"/>
        <w:rPr>
          <w:rFonts w:ascii="宋体" w:hAnsi="宋体" w:cs="宋体"/>
          <w:color w:val="auto"/>
          <w:kern w:val="1"/>
          <w:highlight w:val="none"/>
        </w:rPr>
      </w:pPr>
      <w:r>
        <w:rPr>
          <w:rFonts w:ascii="宋体" w:hAnsi="宋体" w:cs="宋体"/>
          <w:color w:val="auto"/>
          <w:kern w:val="1"/>
          <w:highlight w:val="none"/>
        </w:rPr>
        <w:br w:type="page"/>
      </w:r>
    </w:p>
    <w:p w14:paraId="06B4D98B">
      <w:pPr>
        <w:shd w:val="clear"/>
        <w:spacing w:before="101" w:line="676" w:lineRule="exact"/>
        <w:ind w:left="0"/>
        <w:rPr>
          <w:rFonts w:ascii="宋体" w:hAnsi="宋体" w:eastAsia="宋体" w:cs="宋体"/>
          <w:color w:val="auto"/>
          <w:sz w:val="31"/>
          <w:szCs w:val="31"/>
          <w:highlight w:val="none"/>
        </w:rPr>
      </w:pPr>
      <w:r>
        <w:rPr>
          <w:rFonts w:ascii="宋体" w:hAnsi="宋体" w:eastAsia="宋体" w:cs="宋体"/>
          <w:color w:val="auto"/>
          <w:spacing w:val="9"/>
          <w:position w:val="27"/>
          <w:sz w:val="31"/>
          <w:szCs w:val="31"/>
          <w:highlight w:val="none"/>
        </w:rPr>
        <w:t>三、商务技术文件格式</w:t>
      </w:r>
    </w:p>
    <w:p w14:paraId="2266530E">
      <w:pPr>
        <w:shd w:val="clea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0350C46D">
      <w:pPr>
        <w:shd w:val="clear"/>
        <w:spacing w:line="280" w:lineRule="auto"/>
        <w:rPr>
          <w:rFonts w:ascii="Arial"/>
          <w:color w:val="auto"/>
          <w:sz w:val="21"/>
          <w:highlight w:val="none"/>
        </w:rPr>
      </w:pPr>
    </w:p>
    <w:p w14:paraId="6B013B40">
      <w:pPr>
        <w:shd w:val="clear"/>
        <w:spacing w:line="281" w:lineRule="auto"/>
        <w:rPr>
          <w:rFonts w:ascii="Arial"/>
          <w:color w:val="auto"/>
          <w:sz w:val="21"/>
          <w:highlight w:val="none"/>
        </w:rPr>
      </w:pPr>
    </w:p>
    <w:p w14:paraId="167086D4">
      <w:pPr>
        <w:shd w:val="clear"/>
        <w:spacing w:line="281" w:lineRule="auto"/>
        <w:rPr>
          <w:rFonts w:ascii="Arial"/>
          <w:color w:val="auto"/>
          <w:sz w:val="21"/>
          <w:highlight w:val="none"/>
        </w:rPr>
      </w:pPr>
    </w:p>
    <w:p w14:paraId="17CE2F68">
      <w:pPr>
        <w:shd w:val="clea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62344EB1">
      <w:pPr>
        <w:shd w:val="clear"/>
        <w:spacing w:line="265" w:lineRule="auto"/>
        <w:rPr>
          <w:rFonts w:ascii="Arial"/>
          <w:color w:val="auto"/>
          <w:sz w:val="21"/>
          <w:highlight w:val="none"/>
        </w:rPr>
      </w:pPr>
    </w:p>
    <w:p w14:paraId="623360FD">
      <w:pPr>
        <w:shd w:val="clear"/>
        <w:spacing w:line="265" w:lineRule="auto"/>
        <w:rPr>
          <w:rFonts w:ascii="Arial"/>
          <w:color w:val="auto"/>
          <w:sz w:val="21"/>
          <w:highlight w:val="none"/>
        </w:rPr>
      </w:pPr>
    </w:p>
    <w:p w14:paraId="656730B7">
      <w:pPr>
        <w:shd w:val="clear"/>
        <w:spacing w:line="266" w:lineRule="auto"/>
        <w:rPr>
          <w:rFonts w:ascii="Arial"/>
          <w:color w:val="auto"/>
          <w:sz w:val="21"/>
          <w:highlight w:val="none"/>
        </w:rPr>
      </w:pPr>
    </w:p>
    <w:p w14:paraId="6DE5B7DD">
      <w:pPr>
        <w:shd w:val="clear"/>
        <w:spacing w:line="266" w:lineRule="auto"/>
        <w:rPr>
          <w:rFonts w:ascii="Arial"/>
          <w:color w:val="auto"/>
          <w:sz w:val="21"/>
          <w:highlight w:val="none"/>
        </w:rPr>
      </w:pPr>
    </w:p>
    <w:p w14:paraId="57986B08">
      <w:pPr>
        <w:shd w:val="clea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1E7458DF">
      <w:pPr>
        <w:shd w:val="clear"/>
        <w:spacing w:line="242" w:lineRule="auto"/>
        <w:rPr>
          <w:rFonts w:ascii="Arial"/>
          <w:color w:val="auto"/>
          <w:sz w:val="21"/>
          <w:highlight w:val="none"/>
        </w:rPr>
      </w:pPr>
    </w:p>
    <w:p w14:paraId="2E72B084">
      <w:pPr>
        <w:shd w:val="clear"/>
        <w:spacing w:line="243" w:lineRule="auto"/>
        <w:rPr>
          <w:rFonts w:ascii="Arial"/>
          <w:color w:val="auto"/>
          <w:sz w:val="21"/>
          <w:highlight w:val="none"/>
        </w:rPr>
      </w:pPr>
    </w:p>
    <w:p w14:paraId="3932725C">
      <w:pPr>
        <w:shd w:val="clear"/>
        <w:spacing w:line="243" w:lineRule="auto"/>
        <w:rPr>
          <w:rFonts w:ascii="Arial"/>
          <w:color w:val="auto"/>
          <w:sz w:val="21"/>
          <w:highlight w:val="none"/>
        </w:rPr>
      </w:pPr>
    </w:p>
    <w:p w14:paraId="2F99C4AF">
      <w:pPr>
        <w:shd w:val="clear"/>
        <w:spacing w:line="243" w:lineRule="auto"/>
        <w:rPr>
          <w:rFonts w:ascii="Arial"/>
          <w:color w:val="auto"/>
          <w:sz w:val="21"/>
          <w:highlight w:val="none"/>
        </w:rPr>
      </w:pPr>
    </w:p>
    <w:p w14:paraId="5807C1A5">
      <w:pPr>
        <w:shd w:val="clear"/>
        <w:spacing w:line="243" w:lineRule="auto"/>
        <w:rPr>
          <w:rFonts w:ascii="Arial"/>
          <w:color w:val="auto"/>
          <w:sz w:val="21"/>
          <w:highlight w:val="none"/>
        </w:rPr>
      </w:pPr>
    </w:p>
    <w:p w14:paraId="302275BC">
      <w:pPr>
        <w:shd w:val="clear"/>
        <w:spacing w:line="243" w:lineRule="auto"/>
        <w:rPr>
          <w:rFonts w:ascii="Arial"/>
          <w:color w:val="auto"/>
          <w:sz w:val="21"/>
          <w:highlight w:val="none"/>
        </w:rPr>
      </w:pPr>
    </w:p>
    <w:p w14:paraId="2BCAA46F">
      <w:pPr>
        <w:shd w:val="clear"/>
        <w:spacing w:line="243" w:lineRule="auto"/>
        <w:rPr>
          <w:rFonts w:ascii="Arial"/>
          <w:color w:val="auto"/>
          <w:sz w:val="21"/>
          <w:highlight w:val="none"/>
        </w:rPr>
      </w:pPr>
    </w:p>
    <w:p w14:paraId="5FBEBC38">
      <w:pPr>
        <w:shd w:val="clear"/>
        <w:spacing w:line="243" w:lineRule="auto"/>
        <w:rPr>
          <w:rFonts w:ascii="Arial"/>
          <w:color w:val="auto"/>
          <w:sz w:val="21"/>
          <w:highlight w:val="none"/>
        </w:rPr>
      </w:pPr>
    </w:p>
    <w:p w14:paraId="443FC182">
      <w:pPr>
        <w:shd w:val="clear"/>
        <w:spacing w:line="243" w:lineRule="auto"/>
        <w:rPr>
          <w:rFonts w:ascii="Arial"/>
          <w:color w:val="auto"/>
          <w:sz w:val="21"/>
          <w:highlight w:val="none"/>
        </w:rPr>
      </w:pPr>
    </w:p>
    <w:p w14:paraId="0FC8D923">
      <w:pPr>
        <w:shd w:val="clear"/>
        <w:spacing w:line="243" w:lineRule="auto"/>
        <w:rPr>
          <w:rFonts w:ascii="Arial"/>
          <w:color w:val="auto"/>
          <w:sz w:val="21"/>
          <w:highlight w:val="none"/>
        </w:rPr>
      </w:pPr>
    </w:p>
    <w:p w14:paraId="0E9F97C9">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1E4CFCCD">
      <w:pPr>
        <w:shd w:val="clear"/>
        <w:spacing w:line="328" w:lineRule="auto"/>
        <w:rPr>
          <w:rFonts w:ascii="Arial"/>
          <w:color w:val="auto"/>
          <w:sz w:val="21"/>
          <w:highlight w:val="none"/>
        </w:rPr>
      </w:pPr>
    </w:p>
    <w:p w14:paraId="76059816">
      <w:pPr>
        <w:shd w:val="clear"/>
        <w:spacing w:line="328" w:lineRule="auto"/>
        <w:rPr>
          <w:rFonts w:ascii="Arial"/>
          <w:color w:val="auto"/>
          <w:sz w:val="21"/>
          <w:highlight w:val="none"/>
        </w:rPr>
      </w:pPr>
    </w:p>
    <w:p w14:paraId="5891EBEF">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65C00F09">
      <w:pPr>
        <w:shd w:val="clear"/>
        <w:spacing w:line="328" w:lineRule="auto"/>
        <w:rPr>
          <w:rFonts w:ascii="Arial"/>
          <w:color w:val="auto"/>
          <w:sz w:val="21"/>
          <w:highlight w:val="none"/>
        </w:rPr>
      </w:pPr>
    </w:p>
    <w:p w14:paraId="02F640F2">
      <w:pPr>
        <w:shd w:val="clear"/>
        <w:spacing w:line="328" w:lineRule="auto"/>
        <w:rPr>
          <w:rFonts w:ascii="Arial"/>
          <w:color w:val="auto"/>
          <w:sz w:val="21"/>
          <w:highlight w:val="none"/>
        </w:rPr>
      </w:pPr>
    </w:p>
    <w:p w14:paraId="2BD4DC0B">
      <w:pPr>
        <w:shd w:val="clea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DA1629">
      <w:pPr>
        <w:shd w:val="clear"/>
        <w:spacing w:line="276" w:lineRule="auto"/>
        <w:rPr>
          <w:rFonts w:ascii="Arial"/>
          <w:color w:val="auto"/>
          <w:sz w:val="21"/>
          <w:highlight w:val="none"/>
        </w:rPr>
      </w:pPr>
    </w:p>
    <w:p w14:paraId="2A7B9976">
      <w:pPr>
        <w:shd w:val="clear"/>
        <w:spacing w:line="276" w:lineRule="auto"/>
        <w:rPr>
          <w:rFonts w:ascii="Arial"/>
          <w:color w:val="auto"/>
          <w:sz w:val="21"/>
          <w:highlight w:val="none"/>
        </w:rPr>
      </w:pPr>
    </w:p>
    <w:p w14:paraId="46E39E1B">
      <w:pPr>
        <w:shd w:val="clea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08FB910C">
      <w:pPr>
        <w:shd w:val="clear"/>
        <w:spacing w:line="242" w:lineRule="auto"/>
        <w:rPr>
          <w:rFonts w:ascii="Arial"/>
          <w:color w:val="auto"/>
          <w:sz w:val="21"/>
          <w:highlight w:val="none"/>
        </w:rPr>
      </w:pPr>
    </w:p>
    <w:p w14:paraId="7212C342">
      <w:pPr>
        <w:shd w:val="clear"/>
        <w:spacing w:line="242" w:lineRule="auto"/>
        <w:rPr>
          <w:rFonts w:ascii="Arial"/>
          <w:color w:val="auto"/>
          <w:sz w:val="21"/>
          <w:highlight w:val="none"/>
        </w:rPr>
      </w:pPr>
    </w:p>
    <w:p w14:paraId="0B791AA1">
      <w:pPr>
        <w:shd w:val="clear"/>
        <w:spacing w:line="242" w:lineRule="auto"/>
        <w:rPr>
          <w:rFonts w:ascii="Arial"/>
          <w:color w:val="auto"/>
          <w:sz w:val="21"/>
          <w:highlight w:val="none"/>
        </w:rPr>
      </w:pPr>
    </w:p>
    <w:p w14:paraId="1AD2363E">
      <w:pPr>
        <w:shd w:val="clear"/>
        <w:spacing w:line="242" w:lineRule="auto"/>
        <w:rPr>
          <w:rFonts w:ascii="Arial"/>
          <w:color w:val="auto"/>
          <w:sz w:val="21"/>
          <w:highlight w:val="none"/>
        </w:rPr>
      </w:pPr>
    </w:p>
    <w:p w14:paraId="06929DF5">
      <w:pPr>
        <w:shd w:val="clear"/>
        <w:spacing w:line="243" w:lineRule="auto"/>
        <w:rPr>
          <w:rFonts w:ascii="Arial"/>
          <w:color w:val="auto"/>
          <w:sz w:val="21"/>
          <w:highlight w:val="none"/>
        </w:rPr>
      </w:pPr>
    </w:p>
    <w:p w14:paraId="5F0BB939">
      <w:pPr>
        <w:shd w:val="clear"/>
        <w:spacing w:line="243" w:lineRule="auto"/>
        <w:rPr>
          <w:rFonts w:ascii="Arial"/>
          <w:color w:val="auto"/>
          <w:sz w:val="21"/>
          <w:highlight w:val="none"/>
        </w:rPr>
      </w:pPr>
    </w:p>
    <w:p w14:paraId="22CB2731">
      <w:pPr>
        <w:shd w:val="clear"/>
        <w:spacing w:line="243" w:lineRule="auto"/>
        <w:rPr>
          <w:rFonts w:ascii="Arial"/>
          <w:color w:val="auto"/>
          <w:sz w:val="21"/>
          <w:highlight w:val="none"/>
        </w:rPr>
      </w:pPr>
    </w:p>
    <w:p w14:paraId="299E0A48">
      <w:pPr>
        <w:shd w:val="clear"/>
        <w:spacing w:line="243" w:lineRule="auto"/>
        <w:rPr>
          <w:rFonts w:ascii="Arial"/>
          <w:color w:val="auto"/>
          <w:sz w:val="21"/>
          <w:highlight w:val="none"/>
        </w:rPr>
      </w:pPr>
    </w:p>
    <w:p w14:paraId="0726CE5E">
      <w:pPr>
        <w:shd w:val="clea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B2024A3">
      <w:pPr>
        <w:shd w:val="clear"/>
        <w:spacing w:line="226" w:lineRule="auto"/>
        <w:rPr>
          <w:rFonts w:ascii="宋体" w:hAnsi="宋体" w:eastAsia="宋体" w:cs="宋体"/>
          <w:color w:val="auto"/>
          <w:sz w:val="31"/>
          <w:szCs w:val="31"/>
          <w:highlight w:val="none"/>
        </w:rPr>
        <w:sectPr>
          <w:footerReference r:id="rId9" w:type="default"/>
          <w:pgSz w:w="11907" w:h="16839"/>
          <w:pgMar w:top="1417" w:right="1417" w:bottom="1417" w:left="1417" w:header="1134" w:footer="1134" w:gutter="0"/>
          <w:pgNumType w:fmt="decimal"/>
          <w:cols w:space="720" w:num="1"/>
          <w:rtlGutter w:val="0"/>
        </w:sectPr>
      </w:pPr>
    </w:p>
    <w:p w14:paraId="5BD55C1C">
      <w:pPr>
        <w:shd w:val="clea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7A054958">
      <w:pPr>
        <w:shd w:val="clear"/>
        <w:spacing w:line="295" w:lineRule="auto"/>
        <w:rPr>
          <w:rFonts w:ascii="Arial"/>
          <w:color w:val="auto"/>
          <w:sz w:val="21"/>
          <w:highlight w:val="none"/>
        </w:rPr>
      </w:pPr>
    </w:p>
    <w:p w14:paraId="0D6DE343">
      <w:pPr>
        <w:shd w:val="clea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407CB6FE">
      <w:pPr>
        <w:shd w:val="clea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2D1FC291">
      <w:pPr>
        <w:shd w:val="clear"/>
        <w:spacing w:line="225" w:lineRule="auto"/>
        <w:rPr>
          <w:rFonts w:ascii="宋体" w:hAnsi="宋体" w:eastAsia="宋体" w:cs="宋体"/>
          <w:color w:val="auto"/>
          <w:sz w:val="31"/>
          <w:szCs w:val="31"/>
          <w:highlight w:val="none"/>
        </w:rPr>
        <w:sectPr>
          <w:footerReference r:id="rId10" w:type="default"/>
          <w:pgSz w:w="11907" w:h="16839"/>
          <w:pgMar w:top="1417" w:right="1417" w:bottom="1417" w:left="1417" w:header="0" w:footer="856" w:gutter="0"/>
          <w:pgNumType w:fmt="decimal"/>
          <w:cols w:space="720" w:num="1"/>
          <w:rtlGutter w:val="0"/>
        </w:sectPr>
      </w:pPr>
    </w:p>
    <w:p w14:paraId="25DF411C">
      <w:pPr>
        <w:shd w:val="clea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r>
        <w:rPr>
          <w:rFonts w:ascii="宋体" w:hAnsi="宋体" w:cs="宋体"/>
          <w:b/>
          <w:color w:val="auto"/>
          <w:spacing w:val="5"/>
          <w:kern w:val="1"/>
          <w:sz w:val="32"/>
          <w:szCs w:val="32"/>
          <w:highlight w:val="none"/>
        </w:rPr>
        <w:t>（格式）</w:t>
      </w:r>
    </w:p>
    <w:p w14:paraId="5724BD47">
      <w:pPr>
        <w:shd w:val="clear"/>
        <w:spacing w:line="520" w:lineRule="exact"/>
        <w:jc w:val="center"/>
        <w:rPr>
          <w:rFonts w:ascii="宋体" w:hAnsi="宋体" w:cs="宋体"/>
          <w:b/>
          <w:color w:val="auto"/>
          <w:kern w:val="1"/>
          <w:szCs w:val="21"/>
          <w:highlight w:val="none"/>
        </w:rPr>
      </w:pPr>
    </w:p>
    <w:p w14:paraId="14457641">
      <w:pPr>
        <w:pStyle w:val="32"/>
        <w:shd w:val="clear"/>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76D37235">
      <w:pPr>
        <w:pStyle w:val="32"/>
        <w:shd w:val="clear"/>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571BF3AD">
      <w:pPr>
        <w:pStyle w:val="32"/>
        <w:shd w:val="clear"/>
        <w:spacing w:line="520" w:lineRule="exact"/>
        <w:ind w:firstLine="480"/>
        <w:rPr>
          <w:color w:val="auto"/>
          <w:sz w:val="24"/>
          <w:szCs w:val="24"/>
          <w:highlight w:val="none"/>
        </w:rPr>
      </w:pPr>
      <w:r>
        <w:rPr>
          <w:color w:val="auto"/>
          <w:sz w:val="24"/>
          <w:szCs w:val="24"/>
          <w:highlight w:val="none"/>
        </w:rPr>
        <w:t>1. 报价表；</w:t>
      </w:r>
    </w:p>
    <w:p w14:paraId="62B9D31C">
      <w:pPr>
        <w:pStyle w:val="32"/>
        <w:shd w:val="clear"/>
        <w:spacing w:line="520" w:lineRule="exact"/>
        <w:ind w:firstLine="480"/>
        <w:rPr>
          <w:color w:val="auto"/>
          <w:sz w:val="24"/>
          <w:szCs w:val="24"/>
          <w:highlight w:val="none"/>
        </w:rPr>
      </w:pPr>
      <w:r>
        <w:rPr>
          <w:color w:val="auto"/>
          <w:sz w:val="24"/>
          <w:szCs w:val="24"/>
          <w:highlight w:val="none"/>
        </w:rPr>
        <w:t>2．服务方案(含服务承诺)；</w:t>
      </w:r>
    </w:p>
    <w:p w14:paraId="4AEA47E2">
      <w:pPr>
        <w:pStyle w:val="32"/>
        <w:shd w:val="clear"/>
        <w:spacing w:line="520" w:lineRule="exact"/>
        <w:ind w:firstLine="480"/>
        <w:rPr>
          <w:color w:val="auto"/>
          <w:sz w:val="24"/>
          <w:szCs w:val="24"/>
          <w:highlight w:val="none"/>
        </w:rPr>
      </w:pPr>
      <w:r>
        <w:rPr>
          <w:color w:val="auto"/>
          <w:sz w:val="24"/>
          <w:szCs w:val="24"/>
          <w:highlight w:val="none"/>
        </w:rPr>
        <w:t xml:space="preserve">3. 资格证明文件； </w:t>
      </w:r>
    </w:p>
    <w:p w14:paraId="69EB5935">
      <w:pPr>
        <w:pStyle w:val="32"/>
        <w:shd w:val="clear"/>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1316D93B">
      <w:pPr>
        <w:pStyle w:val="32"/>
        <w:shd w:val="clear"/>
        <w:spacing w:line="520" w:lineRule="exact"/>
        <w:ind w:firstLine="315"/>
        <w:rPr>
          <w:color w:val="auto"/>
          <w:sz w:val="24"/>
          <w:szCs w:val="24"/>
          <w:highlight w:val="none"/>
        </w:rPr>
      </w:pPr>
      <w:r>
        <w:rPr>
          <w:color w:val="auto"/>
          <w:sz w:val="24"/>
          <w:szCs w:val="24"/>
          <w:highlight w:val="none"/>
        </w:rPr>
        <w:t>在此，授权代表宣布同意如下：</w:t>
      </w:r>
    </w:p>
    <w:p w14:paraId="78D23589">
      <w:pPr>
        <w:pStyle w:val="32"/>
        <w:shd w:val="clear"/>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0F4E3401">
      <w:pPr>
        <w:pStyle w:val="32"/>
        <w:shd w:val="clear"/>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39B59297">
      <w:pPr>
        <w:pStyle w:val="32"/>
        <w:shd w:val="clear"/>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61B32029">
      <w:pPr>
        <w:pStyle w:val="32"/>
        <w:shd w:val="clear"/>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B61DE59">
      <w:pPr>
        <w:pStyle w:val="32"/>
        <w:shd w:val="clear"/>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3E440FBB">
      <w:pPr>
        <w:pStyle w:val="32"/>
        <w:shd w:val="clear"/>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26BA7175">
      <w:pPr>
        <w:pStyle w:val="32"/>
        <w:shd w:val="clear"/>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463C1CD5">
      <w:pPr>
        <w:pStyle w:val="32"/>
        <w:shd w:val="clear"/>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w:t>
      </w:r>
      <w:r>
        <w:rPr>
          <w:rFonts w:hint="eastAsia"/>
          <w:b/>
          <w:bCs/>
          <w:color w:val="auto"/>
          <w:kern w:val="2"/>
          <w:sz w:val="24"/>
          <w:szCs w:val="24"/>
          <w:highlight w:val="none"/>
          <w:lang w:eastAsia="zh-CN"/>
        </w:rPr>
        <w:t>签字或者盖章或者电子签名</w:t>
      </w:r>
      <w:r>
        <w:rPr>
          <w:rFonts w:hint="eastAsia"/>
          <w:b/>
          <w:bCs/>
          <w:color w:val="auto"/>
          <w:kern w:val="2"/>
          <w:sz w:val="24"/>
          <w:szCs w:val="24"/>
          <w:highlight w:val="none"/>
        </w:rPr>
        <w:t>）</w:t>
      </w:r>
      <w:r>
        <w:rPr>
          <w:color w:val="auto"/>
          <w:sz w:val="24"/>
          <w:szCs w:val="24"/>
          <w:highlight w:val="none"/>
        </w:rPr>
        <w:t>：</w:t>
      </w:r>
      <w:r>
        <w:rPr>
          <w:color w:val="auto"/>
          <w:sz w:val="24"/>
          <w:szCs w:val="24"/>
          <w:highlight w:val="none"/>
          <w:u w:val="single"/>
        </w:rPr>
        <w:t xml:space="preserve">                        </w:t>
      </w:r>
    </w:p>
    <w:p w14:paraId="4BEE8925">
      <w:pPr>
        <w:pStyle w:val="32"/>
        <w:shd w:val="clear"/>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1E0A06B4">
      <w:pPr>
        <w:shd w:val="clear"/>
        <w:spacing w:line="500" w:lineRule="exact"/>
        <w:rPr>
          <w:rFonts w:ascii="宋体" w:hAnsi="宋体" w:cs="宋体"/>
          <w:color w:val="auto"/>
          <w:kern w:val="1"/>
          <w:szCs w:val="21"/>
          <w:highlight w:val="none"/>
        </w:rPr>
      </w:pPr>
    </w:p>
    <w:p w14:paraId="0C53FC77">
      <w:pPr>
        <w:shd w:val="clear"/>
        <w:spacing w:line="300" w:lineRule="auto"/>
        <w:jc w:val="center"/>
        <w:rPr>
          <w:rFonts w:ascii="黑体" w:hAnsi="黑体" w:eastAsia="黑体" w:cs="黑体"/>
          <w:color w:val="auto"/>
          <w:sz w:val="32"/>
          <w:szCs w:val="21"/>
          <w:highlight w:val="none"/>
        </w:rPr>
      </w:pPr>
      <w:r>
        <w:rPr>
          <w:color w:val="auto"/>
          <w:kern w:val="1"/>
          <w:highlight w:val="none"/>
        </w:rPr>
        <w:br w:type="page"/>
      </w:r>
      <w:r>
        <w:rPr>
          <w:rFonts w:ascii="宋体" w:hAnsi="宋体" w:cs="宋体"/>
          <w:b/>
          <w:color w:val="auto"/>
          <w:spacing w:val="5"/>
          <w:kern w:val="1"/>
          <w:sz w:val="32"/>
          <w:szCs w:val="32"/>
          <w:highlight w:val="none"/>
        </w:rPr>
        <w:t>承诺函（格式）</w:t>
      </w:r>
    </w:p>
    <w:p w14:paraId="3028E3CB">
      <w:pPr>
        <w:widowControl/>
        <w:shd w:val="clear"/>
        <w:ind w:firstLine="640"/>
        <w:jc w:val="left"/>
        <w:rPr>
          <w:rFonts w:ascii="仿宋_GB2312" w:hAnsi="仿宋_GB2312" w:eastAsia="仿宋" w:cs="仿宋_GB2312"/>
          <w:color w:val="auto"/>
          <w:sz w:val="32"/>
          <w:szCs w:val="21"/>
          <w:highlight w:val="none"/>
        </w:rPr>
      </w:pPr>
    </w:p>
    <w:p w14:paraId="2AE0D2F6">
      <w:pPr>
        <w:widowControl/>
        <w:shd w:val="clear"/>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7B93FDEC">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228A2280">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3A4AC81">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C1F4BE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3990D70A">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29DA6BF2">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52AAE4C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0D7FACEF">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20F95D8">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1D057C76">
      <w:pPr>
        <w:shd w:val="clear"/>
        <w:spacing w:line="300" w:lineRule="auto"/>
        <w:ind w:right="1470"/>
        <w:rPr>
          <w:rFonts w:ascii="宋体" w:hAnsi="宋体" w:cs="宋体"/>
          <w:color w:val="auto"/>
          <w:sz w:val="24"/>
          <w:szCs w:val="24"/>
          <w:highlight w:val="none"/>
        </w:rPr>
      </w:pPr>
    </w:p>
    <w:p w14:paraId="061DFFDC">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EFCFA92">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7E1917">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EBB305F">
      <w:pPr>
        <w:shd w:val="clea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r>
        <w:rPr>
          <w:rFonts w:hint="eastAsia" w:ascii="宋体" w:hAnsi="宋体" w:eastAsia="宋体" w:cs="宋体"/>
          <w:b/>
          <w:bCs w:val="0"/>
          <w:color w:val="auto"/>
          <w:sz w:val="32"/>
          <w:szCs w:val="32"/>
          <w:highlight w:val="none"/>
        </w:rPr>
        <w:t>（格式）</w:t>
      </w:r>
    </w:p>
    <w:p w14:paraId="6B3C8F43">
      <w:pPr>
        <w:shd w:val="clear"/>
        <w:spacing w:line="300" w:lineRule="auto"/>
        <w:rPr>
          <w:rFonts w:ascii="宋体" w:hAnsi="宋体" w:cs="宋体"/>
          <w:color w:val="auto"/>
          <w:kern w:val="1"/>
          <w:szCs w:val="21"/>
          <w:highlight w:val="none"/>
        </w:rPr>
      </w:pPr>
    </w:p>
    <w:p w14:paraId="04C9EFB8">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49FE4935">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7D61796E">
      <w:pPr>
        <w:shd w:val="clea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18F6CC0E">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74BFF38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6FE2DC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51DFCC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2EB445B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0B1E52F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说明</w:t>
            </w:r>
          </w:p>
        </w:tc>
      </w:tr>
      <w:tr w14:paraId="4E380F11">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5DD6AA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商务部分</w:t>
            </w:r>
          </w:p>
        </w:tc>
      </w:tr>
      <w:tr w14:paraId="160C71BF">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646F3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A15937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4DDB41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3435B3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95E666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3CEEA2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9A345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FAF00F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E2102D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90BEB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42CF126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4C1D4C6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BC6E9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10F6B388">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3D2E3AB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75323CA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BD37A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0C1E3CF8">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323873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66D6542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59B3F6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84AE1B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649E8BA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E70FCA0">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2648C9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服务（技术）部分</w:t>
            </w:r>
          </w:p>
        </w:tc>
      </w:tr>
      <w:tr w14:paraId="35E5AFB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0DB803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DF8C58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0D9FD4B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3D3C65A">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380AC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A445D5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47BA5E0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393B0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4C56A4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488BC78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6B64C1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2E61115F">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BBF723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B19A21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326E75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F14F50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358F0E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7080AA73">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1AECAEA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2C40F4B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2633EF8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0892CA6D">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5C416D1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bl>
    <w:p w14:paraId="3711A693">
      <w:pPr>
        <w:shd w:val="clea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56215F2F">
      <w:pPr>
        <w:shd w:val="clea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2.应对照竞争性磋商文件“第</w:t>
      </w:r>
      <w:r>
        <w:rPr>
          <w:rFonts w:hint="eastAsia" w:ascii="宋体" w:hAnsi="宋体" w:cs="宋体"/>
          <w:color w:val="auto"/>
          <w:kern w:val="1"/>
          <w:sz w:val="24"/>
          <w:szCs w:val="24"/>
          <w:highlight w:val="none"/>
          <w:lang w:val="en-US" w:eastAsia="zh-CN"/>
        </w:rPr>
        <w:t>四部分</w:t>
      </w:r>
      <w:r>
        <w:rPr>
          <w:rFonts w:ascii="宋体" w:hAnsi="宋体" w:cs="宋体"/>
          <w:color w:val="auto"/>
          <w:kern w:val="1"/>
          <w:sz w:val="24"/>
          <w:szCs w:val="24"/>
          <w:highlight w:val="none"/>
        </w:rPr>
        <w:t xml:space="preserve">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5CD6F23">
      <w:pPr>
        <w:shd w:val="clear"/>
        <w:spacing w:line="360" w:lineRule="exact"/>
        <w:rPr>
          <w:rFonts w:ascii="宋体" w:hAnsi="宋体" w:cs="Courier New"/>
          <w:color w:val="auto"/>
          <w:kern w:val="1"/>
          <w:sz w:val="24"/>
          <w:szCs w:val="24"/>
          <w:highlight w:val="none"/>
        </w:rPr>
      </w:pPr>
    </w:p>
    <w:p w14:paraId="2CF7E5CF">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2CBE8B9">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12B8A72">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70A69242">
      <w:pPr>
        <w:shd w:val="clear"/>
        <w:spacing w:line="360" w:lineRule="exact"/>
        <w:ind w:firstLine="6720"/>
        <w:rPr>
          <w:rFonts w:ascii="宋体" w:hAnsi="宋体" w:cs="Courier New"/>
          <w:color w:val="auto"/>
          <w:kern w:val="1"/>
          <w:szCs w:val="21"/>
          <w:highlight w:val="none"/>
        </w:rPr>
      </w:pPr>
    </w:p>
    <w:p w14:paraId="746F4E2B">
      <w:pPr>
        <w:shd w:val="clear"/>
        <w:spacing w:line="300" w:lineRule="auto"/>
        <w:rPr>
          <w:color w:val="auto"/>
          <w:kern w:val="1"/>
          <w:highlight w:val="none"/>
        </w:rPr>
        <w:sectPr>
          <w:pgSz w:w="11906" w:h="16838"/>
          <w:pgMar w:top="1417" w:right="1417" w:bottom="1417" w:left="1417" w:header="851" w:footer="992" w:gutter="0"/>
          <w:pgNumType w:fmt="decimal"/>
          <w:cols w:space="720" w:num="1"/>
          <w:titlePg/>
          <w:rtlGutter w:val="0"/>
        </w:sectPr>
      </w:pPr>
    </w:p>
    <w:p w14:paraId="34A3783F">
      <w:pPr>
        <w:shd w:val="clea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宋体" w:hAnsi="宋体" w:eastAsia="宋体" w:cs="宋体"/>
          <w:b/>
          <w:bCs w:val="0"/>
          <w:color w:val="auto"/>
          <w:sz w:val="32"/>
          <w:szCs w:val="32"/>
          <w:highlight w:val="none"/>
        </w:rPr>
        <w:t>法定代表人证明书（格式）</w:t>
      </w:r>
    </w:p>
    <w:p w14:paraId="632E571F">
      <w:pPr>
        <w:shd w:val="clear"/>
        <w:spacing w:line="360" w:lineRule="auto"/>
        <w:ind w:left="540"/>
        <w:contextualSpacing/>
        <w:rPr>
          <w:rFonts w:ascii="仿宋_GB2312" w:hAnsi="仿宋_GB2312" w:eastAsia="仿宋_GB2312" w:cs="仿宋_GB2312"/>
          <w:color w:val="auto"/>
          <w:sz w:val="32"/>
          <w:szCs w:val="32"/>
          <w:highlight w:val="none"/>
        </w:rPr>
      </w:pPr>
    </w:p>
    <w:p w14:paraId="013EAEEB">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3F9D22B3">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05130FFD">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1BCFC89F">
      <w:pPr>
        <w:shd w:val="clear"/>
        <w:spacing w:line="360" w:lineRule="auto"/>
        <w:ind w:left="540"/>
        <w:contextualSpacing/>
        <w:rPr>
          <w:rFonts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132A8487">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p>
    <w:p w14:paraId="7BD3DCD6">
      <w:pPr>
        <w:shd w:val="clear"/>
        <w:spacing w:line="360" w:lineRule="auto"/>
        <w:ind w:firstLine="480" w:firstLineChars="2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6CE7A841">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672AB88D">
      <w:pPr>
        <w:shd w:val="clear"/>
        <w:spacing w:line="360" w:lineRule="auto"/>
        <w:ind w:left="540"/>
        <w:contextualSpacing/>
        <w:rPr>
          <w:rFonts w:ascii="宋体" w:hAnsi="宋体" w:eastAsia="宋体" w:cs="仿宋_GB2312"/>
          <w:color w:val="auto"/>
          <w:sz w:val="24"/>
          <w:highlight w:val="none"/>
        </w:rPr>
      </w:pPr>
    </w:p>
    <w:p w14:paraId="00A85B72">
      <w:pPr>
        <w:shd w:val="clear"/>
        <w:spacing w:line="360" w:lineRule="auto"/>
        <w:ind w:left="540"/>
        <w:contextualSpacing/>
        <w:rPr>
          <w:rFonts w:ascii="宋体" w:hAnsi="宋体" w:eastAsia="宋体" w:cs="仿宋_GB2312"/>
          <w:color w:val="auto"/>
          <w:sz w:val="24"/>
          <w:highlight w:val="none"/>
        </w:rPr>
      </w:pPr>
    </w:p>
    <w:p w14:paraId="3BAA90E8">
      <w:pPr>
        <w:shd w:val="clear"/>
        <w:spacing w:line="360" w:lineRule="auto"/>
        <w:ind w:left="540"/>
        <w:contextualSpacing/>
        <w:rPr>
          <w:rFonts w:ascii="宋体" w:hAnsi="宋体" w:eastAsia="宋体" w:cs="仿宋_GB2312"/>
          <w:color w:val="auto"/>
          <w:sz w:val="24"/>
          <w:highlight w:val="none"/>
        </w:rPr>
      </w:pPr>
    </w:p>
    <w:p w14:paraId="393C44DA">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2F901948">
      <w:pPr>
        <w:shd w:val="clear"/>
        <w:spacing w:line="360" w:lineRule="auto"/>
        <w:ind w:left="540"/>
        <w:contextualSpacing/>
        <w:rPr>
          <w:rFonts w:ascii="宋体" w:hAnsi="宋体" w:eastAsia="宋体" w:cs="仿宋_GB2312"/>
          <w:color w:val="auto"/>
          <w:sz w:val="24"/>
          <w:highlight w:val="none"/>
        </w:rPr>
      </w:pPr>
    </w:p>
    <w:p w14:paraId="7B44B548">
      <w:pPr>
        <w:shd w:val="clear"/>
        <w:spacing w:line="360" w:lineRule="auto"/>
        <w:ind w:left="540"/>
        <w:contextualSpacing/>
        <w:jc w:val="right"/>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r>
        <w:rPr>
          <w:rFonts w:hint="eastAsia" w:ascii="宋体" w:hAnsi="宋体" w:eastAsia="宋体" w:cs="仿宋_GB2312"/>
          <w:color w:val="auto"/>
          <w:sz w:val="24"/>
          <w:highlight w:val="none"/>
          <w:u w:val="single"/>
        </w:rPr>
        <w:t xml:space="preserve">               </w:t>
      </w:r>
    </w:p>
    <w:p w14:paraId="314ED7A8">
      <w:pPr>
        <w:shd w:val="clear"/>
        <w:spacing w:line="360" w:lineRule="auto"/>
        <w:ind w:firstLine="4080" w:firstLineChars="17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年</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月</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日</w:t>
      </w:r>
    </w:p>
    <w:p w14:paraId="775DF090">
      <w:pPr>
        <w:shd w:val="clear"/>
        <w:spacing w:line="360" w:lineRule="auto"/>
        <w:contextualSpacing/>
        <w:jc w:val="center"/>
        <w:rPr>
          <w:rFonts w:ascii="宋体" w:hAnsi="宋体" w:eastAsia="宋体" w:cs="仿宋_GB2312"/>
          <w:b/>
          <w:color w:val="auto"/>
          <w:sz w:val="24"/>
          <w:highlight w:val="none"/>
        </w:rPr>
      </w:pPr>
    </w:p>
    <w:p w14:paraId="362D6D4C">
      <w:pPr>
        <w:shd w:val="clear"/>
        <w:spacing w:line="360" w:lineRule="auto"/>
        <w:contextualSpacing/>
        <w:jc w:val="left"/>
        <w:rPr>
          <w:rFonts w:ascii="宋体" w:hAnsi="宋体" w:eastAsia="宋体" w:cs="仿宋_GB2312"/>
          <w:color w:val="auto"/>
          <w:sz w:val="24"/>
          <w:highlight w:val="none"/>
        </w:rPr>
      </w:pPr>
    </w:p>
    <w:p w14:paraId="00128237">
      <w:pPr>
        <w:shd w:val="clear"/>
        <w:spacing w:line="360" w:lineRule="auto"/>
        <w:contextualSpacing/>
        <w:jc w:val="left"/>
        <w:rPr>
          <w:rFonts w:ascii="宋体" w:hAnsi="宋体" w:eastAsia="宋体" w:cs="仿宋_GB2312"/>
          <w:color w:val="auto"/>
          <w:sz w:val="24"/>
          <w:highlight w:val="none"/>
        </w:rPr>
      </w:pPr>
      <w:r>
        <w:rPr>
          <w:rFonts w:hint="eastAsia" w:ascii="宋体" w:hAnsi="宋体" w:eastAsia="宋体" w:cs="仿宋_GB2312"/>
          <w:color w:val="auto"/>
          <w:sz w:val="24"/>
          <w:highlight w:val="none"/>
        </w:rPr>
        <w:t>注：自然人竞标的无需提供，联合体竞标的只需牵头人出具。</w:t>
      </w:r>
    </w:p>
    <w:p w14:paraId="7BF7C750">
      <w:pPr>
        <w:shd w:val="clear"/>
        <w:adjustRightInd w:val="0"/>
        <w:snapToGrid w:val="0"/>
        <w:spacing w:line="300" w:lineRule="auto"/>
        <w:jc w:val="left"/>
        <w:rPr>
          <w:rFonts w:ascii="宋体" w:hAnsi="宋体" w:eastAsia="宋体" w:cs="Times New Roman"/>
          <w:b/>
          <w:color w:val="auto"/>
          <w:szCs w:val="21"/>
          <w:highlight w:val="none"/>
        </w:rPr>
      </w:pPr>
    </w:p>
    <w:p w14:paraId="429BBA7D">
      <w:pPr>
        <w:shd w:val="clea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749AFC90">
      <w:pPr>
        <w:shd w:val="clear"/>
        <w:snapToGrid w:val="0"/>
        <w:spacing w:line="360" w:lineRule="auto"/>
        <w:ind w:firstLine="2872" w:firstLineChars="894"/>
        <w:rPr>
          <w:rFonts w:ascii="宋体" w:hAnsi="宋体" w:cs="宋体"/>
          <w:color w:val="auto"/>
          <w:highlight w:val="none"/>
        </w:rPr>
      </w:pPr>
      <w:bookmarkStart w:id="170" w:name="_Hlk65853542"/>
      <w:r>
        <w:rPr>
          <w:rFonts w:hint="eastAsia" w:ascii="宋体" w:hAnsi="宋体" w:cs="宋体"/>
          <w:b/>
          <w:color w:val="auto"/>
          <w:kern w:val="0"/>
          <w:sz w:val="32"/>
          <w:szCs w:val="32"/>
          <w:highlight w:val="none"/>
          <w:lang w:val="zh-CN"/>
        </w:rPr>
        <w:t>授权委托书</w:t>
      </w:r>
      <w:r>
        <w:rPr>
          <w:rFonts w:hint="eastAsia" w:ascii="宋体" w:hAnsi="宋体" w:cs="宋体"/>
          <w:color w:val="auto"/>
          <w:highlight w:val="none"/>
        </w:rPr>
        <w:t xml:space="preserve">                              </w:t>
      </w:r>
    </w:p>
    <w:p w14:paraId="073BE341">
      <w:pPr>
        <w:shd w:val="clea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0B026DA">
      <w:pPr>
        <w:shd w:val="clea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政府采购磋商的一切事项，其法律后果由我方承担。</w:t>
      </w:r>
    </w:p>
    <w:p w14:paraId="100AB008">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294CF89F">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0E4725E">
      <w:pPr>
        <w:shd w:val="clea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磋商供应商名称（公章）：</w:t>
      </w:r>
    </w:p>
    <w:p w14:paraId="3E4A99F4">
      <w:pPr>
        <w:shd w:val="clea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D08F050">
      <w:pPr>
        <w:shd w:val="clea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DF6D335">
      <w:pPr>
        <w:shd w:val="clear"/>
        <w:adjustRightInd/>
        <w:spacing w:line="360" w:lineRule="auto"/>
        <w:rPr>
          <w:rFonts w:ascii="宋体" w:hAnsi="宋体"/>
          <w:color w:val="auto"/>
          <w:sz w:val="24"/>
          <w:szCs w:val="21"/>
          <w:highlight w:val="none"/>
        </w:rPr>
      </w:pPr>
    </w:p>
    <w:p w14:paraId="0D26181E">
      <w:pPr>
        <w:shd w:val="clea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85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C4E286">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29507249">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1E46A95A">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65DED08C">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0E6B4FD8">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3C4D20BE">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tc>
      </w:tr>
    </w:tbl>
    <w:p w14:paraId="7577A7BA">
      <w:pPr>
        <w:shd w:val="clear"/>
        <w:rPr>
          <w:rFonts w:ascii="宋体" w:hAnsi="宋体" w:eastAsia="宋体" w:cs="仿宋_GB2312"/>
          <w:color w:val="auto"/>
          <w:sz w:val="24"/>
          <w:highlight w:val="none"/>
        </w:rPr>
      </w:pPr>
    </w:p>
    <w:p w14:paraId="32E71A78">
      <w:pPr>
        <w:shd w:val="clear"/>
        <w:rPr>
          <w:rFonts w:hint="eastAsia" w:ascii="宋体" w:hAnsi="宋体" w:cs="宋体"/>
          <w:color w:val="auto"/>
          <w:kern w:val="0"/>
          <w:sz w:val="24"/>
          <w:highlight w:val="none"/>
        </w:rPr>
      </w:pPr>
      <w:r>
        <w:rPr>
          <w:rFonts w:hint="eastAsia" w:ascii="宋体" w:hAnsi="宋体" w:cs="宋体"/>
          <w:color w:val="auto"/>
          <w:kern w:val="0"/>
          <w:sz w:val="24"/>
          <w:highlight w:val="none"/>
        </w:rPr>
        <w:br w:type="page"/>
      </w:r>
    </w:p>
    <w:p w14:paraId="4C483700">
      <w:pPr>
        <w:shd w:val="clear"/>
        <w:spacing w:line="52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人员</w:t>
      </w:r>
      <w:r>
        <w:rPr>
          <w:rFonts w:hint="eastAsia" w:ascii="宋体" w:hAnsi="宋体" w:eastAsia="宋体" w:cs="宋体"/>
          <w:b/>
          <w:bCs w:val="0"/>
          <w:color w:val="auto"/>
          <w:sz w:val="32"/>
          <w:szCs w:val="32"/>
          <w:highlight w:val="none"/>
        </w:rPr>
        <w:t>配备情况表（格式）</w:t>
      </w:r>
    </w:p>
    <w:p w14:paraId="760DC690">
      <w:pPr>
        <w:widowControl w:val="0"/>
        <w:shd w:val="clear"/>
        <w:jc w:val="both"/>
        <w:rPr>
          <w:rFonts w:ascii="Times New Roman" w:hAnsi="Times New Roman" w:eastAsia="宋体" w:cs="Times New Roman"/>
          <w:color w:val="auto"/>
          <w:kern w:val="2"/>
          <w:sz w:val="21"/>
          <w:szCs w:val="24"/>
          <w:highlight w:val="none"/>
          <w:u w:val="single"/>
          <w:lang w:val="en-US" w:eastAsia="zh-CN" w:bidi="ar-SA"/>
        </w:rPr>
      </w:pPr>
    </w:p>
    <w:p w14:paraId="4806C90B">
      <w:pPr>
        <w:widowControl w:val="0"/>
        <w:shd w:val="clear"/>
        <w:jc w:val="both"/>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（项目名称）</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4"/>
          <w:highlight w:val="none"/>
          <w:lang w:val="en-US" w:eastAsia="zh-CN" w:bidi="ar-SA"/>
        </w:rPr>
        <w:t xml:space="preserve"> </w:t>
      </w:r>
    </w:p>
    <w:p w14:paraId="2D5465BE">
      <w:pPr>
        <w:widowControl w:val="0"/>
        <w:shd w:val="clear"/>
        <w:jc w:val="both"/>
        <w:rPr>
          <w:rFonts w:ascii="Times New Roman" w:hAnsi="Times New Roman" w:eastAsia="宋体" w:cs="Times New Roman"/>
          <w:color w:val="auto"/>
          <w:kern w:val="2"/>
          <w:sz w:val="21"/>
          <w:szCs w:val="24"/>
          <w:highlight w:val="none"/>
          <w:lang w:val="en-US" w:eastAsia="zh-CN" w:bidi="ar-SA"/>
        </w:rPr>
      </w:pPr>
    </w:p>
    <w:tbl>
      <w:tblPr>
        <w:tblStyle w:val="61"/>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368"/>
        <w:gridCol w:w="1936"/>
        <w:gridCol w:w="2198"/>
      </w:tblGrid>
      <w:tr w14:paraId="20D3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blHeader/>
          <w:jc w:val="center"/>
        </w:trPr>
        <w:tc>
          <w:tcPr>
            <w:tcW w:w="2096" w:type="dxa"/>
            <w:vMerge w:val="restart"/>
            <w:noWrap w:val="0"/>
            <w:vAlign w:val="center"/>
          </w:tcPr>
          <w:p w14:paraId="64B0347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岗位</w:t>
            </w:r>
          </w:p>
        </w:tc>
        <w:tc>
          <w:tcPr>
            <w:tcW w:w="2368" w:type="dxa"/>
            <w:vMerge w:val="restart"/>
            <w:noWrap w:val="0"/>
            <w:vAlign w:val="center"/>
          </w:tcPr>
          <w:p w14:paraId="6FE33F5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姓名</w:t>
            </w:r>
          </w:p>
        </w:tc>
        <w:tc>
          <w:tcPr>
            <w:tcW w:w="1936" w:type="dxa"/>
            <w:vMerge w:val="restart"/>
            <w:noWrap w:val="0"/>
            <w:vAlign w:val="center"/>
          </w:tcPr>
          <w:p w14:paraId="6939FC2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eastAsia" w:eastAsia="宋体"/>
                <w:b/>
                <w:color w:val="auto"/>
                <w:highlight w:val="none"/>
                <w:lang w:eastAsia="zh-CN"/>
              </w:rPr>
            </w:pPr>
            <w:r>
              <w:rPr>
                <w:rFonts w:hint="eastAsia"/>
                <w:b/>
                <w:color w:val="auto"/>
                <w:highlight w:val="none"/>
                <w:lang w:val="en-US" w:eastAsia="zh-CN"/>
              </w:rPr>
              <w:t>证书名称</w:t>
            </w:r>
          </w:p>
        </w:tc>
        <w:tc>
          <w:tcPr>
            <w:tcW w:w="2198" w:type="dxa"/>
            <w:vMerge w:val="restart"/>
            <w:noWrap w:val="0"/>
            <w:vAlign w:val="center"/>
          </w:tcPr>
          <w:p w14:paraId="2108B41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eastAsia="宋体"/>
                <w:b/>
                <w:color w:val="auto"/>
                <w:highlight w:val="none"/>
                <w:lang w:val="en-US" w:eastAsia="zh-CN"/>
              </w:rPr>
            </w:pPr>
            <w:r>
              <w:rPr>
                <w:rFonts w:hint="eastAsia" w:ascii="Times New Roman" w:eastAsia="宋体"/>
                <w:b/>
                <w:color w:val="auto"/>
                <w:highlight w:val="none"/>
                <w:lang w:val="en-US" w:eastAsia="zh-CN"/>
              </w:rPr>
              <w:t>从业年限</w:t>
            </w:r>
          </w:p>
        </w:tc>
      </w:tr>
      <w:tr w14:paraId="72D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2096" w:type="dxa"/>
            <w:vMerge w:val="continue"/>
            <w:noWrap w:val="0"/>
            <w:vAlign w:val="center"/>
          </w:tcPr>
          <w:p w14:paraId="79DE3DD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368" w:type="dxa"/>
            <w:vMerge w:val="continue"/>
            <w:noWrap w:val="0"/>
            <w:vAlign w:val="center"/>
          </w:tcPr>
          <w:p w14:paraId="150E01E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1936" w:type="dxa"/>
            <w:vMerge w:val="continue"/>
            <w:noWrap w:val="0"/>
            <w:vAlign w:val="center"/>
          </w:tcPr>
          <w:p w14:paraId="20910E0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198" w:type="dxa"/>
            <w:vMerge w:val="continue"/>
            <w:noWrap w:val="0"/>
            <w:vAlign w:val="center"/>
          </w:tcPr>
          <w:p w14:paraId="11BA50A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r>
      <w:tr w14:paraId="355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2213988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F5EDD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70D0F4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05F560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770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4944E65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5108FAC0">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1DC92AA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461E8F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ED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649629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10F4166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DEE74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29CAFC9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AB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14D928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64887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7A334B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CFAFE7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6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5F9203A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0556F35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1748AE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85108A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546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942E4DE">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236EED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CEB1AC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5257E81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E3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096" w:type="dxa"/>
            <w:noWrap w:val="0"/>
            <w:vAlign w:val="center"/>
          </w:tcPr>
          <w:p w14:paraId="5A4D221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13DBC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5D17D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4DF0F7F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bl>
    <w:p w14:paraId="0D2710A9">
      <w:pPr>
        <w:shd w:val="clear"/>
        <w:adjustRightInd/>
        <w:spacing w:line="360" w:lineRule="auto"/>
        <w:contextualSpacing/>
        <w:rPr>
          <w:rFonts w:ascii="宋体" w:hAnsi="宋体"/>
          <w:color w:val="auto"/>
          <w:sz w:val="24"/>
          <w:highlight w:val="none"/>
        </w:rPr>
      </w:pPr>
    </w:p>
    <w:p w14:paraId="68941B9F">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磋商供应商（公章）：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FCA19B">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olor w:val="auto"/>
          <w:sz w:val="24"/>
          <w:highlight w:val="none"/>
        </w:rPr>
        <w:t>签字或者盖章或者电子签名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3B8999">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ascii="宋体" w:hAnsi="宋体" w:cs="宋体"/>
          <w:color w:val="auto"/>
          <w:kern w:val="0"/>
          <w:sz w:val="24"/>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kern w:val="0"/>
          <w:sz w:val="24"/>
          <w:highlight w:val="none"/>
        </w:rPr>
        <w:t xml:space="preserve">         </w:t>
      </w:r>
    </w:p>
    <w:p w14:paraId="55A92BFC">
      <w:pPr>
        <w:shd w:val="clear"/>
        <w:snapToGrid w:val="0"/>
        <w:spacing w:line="360" w:lineRule="auto"/>
        <w:ind w:right="480"/>
        <w:rPr>
          <w:rFonts w:ascii="宋体" w:hAnsi="宋体" w:cs="宋体"/>
          <w:b/>
          <w:color w:val="auto"/>
          <w:kern w:val="0"/>
          <w:sz w:val="32"/>
          <w:szCs w:val="32"/>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bookmarkEnd w:id="170"/>
    <w:p w14:paraId="17F6F947">
      <w:pPr>
        <w:pStyle w:val="393"/>
        <w:shd w:val="clear"/>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171"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171"/>
    </w:p>
    <w:p w14:paraId="3EFE0EB6">
      <w:pPr>
        <w:pStyle w:val="633"/>
        <w:shd w:val="clear"/>
        <w:jc w:val="center"/>
        <w:rPr>
          <w:rFonts w:hint="eastAsia"/>
          <w:b/>
          <w:color w:val="auto"/>
          <w:sz w:val="32"/>
          <w:szCs w:val="32"/>
          <w:highlight w:val="none"/>
        </w:rPr>
      </w:pPr>
      <w:r>
        <w:rPr>
          <w:rFonts w:hint="eastAsia"/>
          <w:b/>
          <w:color w:val="auto"/>
          <w:sz w:val="32"/>
          <w:szCs w:val="32"/>
          <w:highlight w:val="none"/>
        </w:rPr>
        <w:t>（一）报价一览表</w:t>
      </w:r>
    </w:p>
    <w:p w14:paraId="238894F7">
      <w:pPr>
        <w:shd w:val="clea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007861D">
      <w:pPr>
        <w:shd w:val="clea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w:t>
      </w:r>
      <w:r>
        <w:rPr>
          <w:rFonts w:hint="eastAsia" w:cs="仿宋_GB2312" w:asciiTheme="minorEastAsia" w:hAnsiTheme="minorEastAsia" w:eastAsiaTheme="minorEastAsia"/>
          <w:color w:val="auto"/>
          <w:sz w:val="24"/>
          <w:highlight w:val="none"/>
          <w:u w:val="single"/>
          <w:lang w:val="en-US" w:eastAsia="zh-CN"/>
        </w:rPr>
        <w:t xml:space="preserve">      </w:t>
      </w:r>
      <w:r>
        <w:rPr>
          <w:rFonts w:hint="eastAsia" w:cs="仿宋_GB2312" w:asciiTheme="minorEastAsia" w:hAnsiTheme="minorEastAsia" w:eastAsiaTheme="minorEastAsia"/>
          <w:color w:val="auto"/>
          <w:sz w:val="24"/>
          <w:highlight w:val="none"/>
        </w:rPr>
        <w:t>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u w:val="singl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7F4A4793">
      <w:pPr>
        <w:shd w:val="clear"/>
        <w:snapToGrid w:val="0"/>
        <w:spacing w:line="360" w:lineRule="auto"/>
        <w:ind w:left="480"/>
        <w:jc w:val="center"/>
        <w:rPr>
          <w:rFonts w:hint="eastAsia" w:cs="仿宋_GB2312" w:asciiTheme="minorEastAsia" w:hAnsiTheme="minorEastAsia" w:eastAsiaTheme="minorEastAsia"/>
          <w:b/>
          <w:color w:val="auto"/>
          <w:kern w:val="0"/>
          <w:sz w:val="24"/>
          <w:highlight w:val="none"/>
          <w:lang w:val="en-US" w:eastAsia="zh-CN"/>
        </w:rPr>
      </w:pPr>
      <w:r>
        <w:rPr>
          <w:rFonts w:hint="eastAsia" w:cs="仿宋_GB2312" w:asciiTheme="minorEastAsia" w:hAnsiTheme="minorEastAsia" w:eastAsiaTheme="minorEastAsia"/>
          <w:b/>
          <w:color w:val="auto"/>
          <w:kern w:val="0"/>
          <w:sz w:val="24"/>
          <w:highlight w:val="none"/>
          <w:lang w:val="zh-CN"/>
        </w:rPr>
        <w:t>报价一览</w:t>
      </w:r>
      <w:r>
        <w:rPr>
          <w:rFonts w:hint="eastAsia" w:cs="仿宋_GB2312" w:asciiTheme="minorEastAsia" w:hAnsiTheme="minorEastAsia" w:eastAsiaTheme="minorEastAsia"/>
          <w:b/>
          <w:color w:val="auto"/>
          <w:kern w:val="0"/>
          <w:sz w:val="24"/>
          <w:highlight w:val="none"/>
          <w:lang w:val="en-US" w:eastAsia="zh-CN"/>
        </w:rPr>
        <w:t>表</w:t>
      </w:r>
    </w:p>
    <w:tbl>
      <w:tblPr>
        <w:tblStyle w:val="61"/>
        <w:tblW w:w="8934" w:type="dxa"/>
        <w:jc w:val="center"/>
        <w:tblLayout w:type="fixed"/>
        <w:tblCellMar>
          <w:top w:w="0" w:type="dxa"/>
          <w:left w:w="108" w:type="dxa"/>
          <w:bottom w:w="0" w:type="dxa"/>
          <w:right w:w="108" w:type="dxa"/>
        </w:tblCellMar>
      </w:tblPr>
      <w:tblGrid>
        <w:gridCol w:w="514"/>
        <w:gridCol w:w="2900"/>
        <w:gridCol w:w="1601"/>
        <w:gridCol w:w="1210"/>
        <w:gridCol w:w="1550"/>
        <w:gridCol w:w="1159"/>
      </w:tblGrid>
      <w:tr w14:paraId="29E2AF91">
        <w:tblPrEx>
          <w:tblCellMar>
            <w:top w:w="0" w:type="dxa"/>
            <w:left w:w="108" w:type="dxa"/>
            <w:bottom w:w="0" w:type="dxa"/>
            <w:right w:w="108" w:type="dxa"/>
          </w:tblCellMar>
        </w:tblPrEx>
        <w:trPr>
          <w:trHeight w:val="1115"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56F4AC8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900" w:type="dxa"/>
            <w:tcBorders>
              <w:top w:val="single" w:color="000000" w:sz="8" w:space="0"/>
              <w:left w:val="nil"/>
              <w:bottom w:val="single" w:color="000000" w:sz="8" w:space="0"/>
              <w:right w:val="single" w:color="000000" w:sz="8" w:space="0"/>
            </w:tcBorders>
            <w:noWrap w:val="0"/>
            <w:vAlign w:val="center"/>
          </w:tcPr>
          <w:p w14:paraId="5E52D79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7BA825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A98288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6608203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227D504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7E32B096">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3E93B17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900" w:type="dxa"/>
            <w:tcBorders>
              <w:top w:val="single" w:color="000000" w:sz="8" w:space="0"/>
              <w:left w:val="nil"/>
              <w:bottom w:val="single" w:color="000000" w:sz="8" w:space="0"/>
              <w:right w:val="single" w:color="auto" w:sz="4" w:space="0"/>
            </w:tcBorders>
            <w:noWrap w:val="0"/>
            <w:vAlign w:val="center"/>
          </w:tcPr>
          <w:p w14:paraId="1462CF2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0ED898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8BBBCC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E6F9BB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7044119">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09F8009">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94C33C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39769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1D0826">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4883A24C">
      <w:pPr>
        <w:shd w:val="clea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492CF96B">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51D8EF89">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8CB7FCB">
      <w:pPr>
        <w:shd w:val="clea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6345211E">
      <w:pPr>
        <w:shd w:val="clea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2EFC9CC">
      <w:pPr>
        <w:shd w:val="clea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法定代表人（负责人）或委托代理人(</w:t>
      </w:r>
      <w:r>
        <w:rPr>
          <w:rFonts w:hint="eastAsia" w:ascii="宋体" w:hAnsi="宋体"/>
          <w:color w:val="auto"/>
          <w:sz w:val="24"/>
          <w:highlight w:val="none"/>
        </w:rPr>
        <w:t>签字或者盖章或者电子签名</w:t>
      </w:r>
      <w:r>
        <w:rPr>
          <w:rFonts w:hint="eastAsia" w:cs="仿宋_GB2312" w:asciiTheme="minorEastAsia" w:hAnsiTheme="minorEastAsia" w:eastAsiaTheme="minorEastAsia"/>
          <w:color w:val="auto"/>
          <w:kern w:val="0"/>
          <w:sz w:val="24"/>
          <w:highlight w:val="none"/>
          <w:lang w:val="zh-CN"/>
        </w:rPr>
        <w:t xml:space="preserve">)：              </w:t>
      </w:r>
    </w:p>
    <w:p w14:paraId="1F1F159D">
      <w:pPr>
        <w:shd w:val="clea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sectPr>
      <w:headerReference r:id="rId16" w:type="first"/>
      <w:footerReference r:id="rId18" w:type="first"/>
      <w:headerReference r:id="rId15" w:type="default"/>
      <w:footerReference r:id="rId17" w:type="default"/>
      <w:pgSz w:w="11906" w:h="16838"/>
      <w:pgMar w:top="1417" w:right="1417" w:bottom="1417" w:left="1417" w:header="851" w:footer="992"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B26B2A8-BB7E-4FDC-A706-09847AAF5CF9}"/>
  </w:font>
  <w:font w:name="Arial">
    <w:panose1 w:val="020B0604020202020204"/>
    <w:charset w:val="01"/>
    <w:family w:val="swiss"/>
    <w:pitch w:val="default"/>
    <w:sig w:usb0="E0002EFF" w:usb1="C000785B" w:usb2="00000009" w:usb3="00000000" w:csb0="400001FF" w:csb1="FFFF0000"/>
    <w:embedRegular r:id="rId2" w:fontKey="{8CA8D10E-8974-44BE-A04C-B9F2640B23EC}"/>
  </w:font>
  <w:font w:name="黑体">
    <w:panose1 w:val="02010609060101010101"/>
    <w:charset w:val="86"/>
    <w:family w:val="auto"/>
    <w:pitch w:val="default"/>
    <w:sig w:usb0="800002BF" w:usb1="38CF7CFA" w:usb2="00000016" w:usb3="00000000" w:csb0="00040001" w:csb1="00000000"/>
    <w:embedRegular r:id="rId3" w:fontKey="{E07AE2E5-1B6B-46E6-8505-7C5AD18BCFCB}"/>
  </w:font>
  <w:font w:name="Courier New">
    <w:panose1 w:val="02070309020205020404"/>
    <w:charset w:val="01"/>
    <w:family w:val="modern"/>
    <w:pitch w:val="default"/>
    <w:sig w:usb0="E0002EFF" w:usb1="C0007843" w:usb2="00000009" w:usb3="00000000" w:csb0="400001FF" w:csb1="FFFF0000"/>
    <w:embedRegular r:id="rId4" w:fontKey="{7B8A4779-0873-47AD-ABFA-397847ECC05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69829E46-2156-427F-B876-3F5D4504F86A}"/>
  </w:font>
  <w:font w:name="仿宋_GB2312">
    <w:panose1 w:val="02010609030101010101"/>
    <w:charset w:val="86"/>
    <w:family w:val="modern"/>
    <w:pitch w:val="default"/>
    <w:sig w:usb0="00000001" w:usb1="080E0000" w:usb2="00000000" w:usb3="00000000" w:csb0="00040000" w:csb1="00000000"/>
    <w:embedRegular r:id="rId6" w:fontKey="{72FE8AEA-12E1-49F0-A43F-242E5D1E54BD}"/>
  </w:font>
  <w:font w:name="仿宋">
    <w:panose1 w:val="02010609060101010101"/>
    <w:charset w:val="86"/>
    <w:family w:val="modern"/>
    <w:pitch w:val="default"/>
    <w:sig w:usb0="800002BF" w:usb1="38CF7CFA" w:usb2="00000016" w:usb3="00000000" w:csb0="00040001" w:csb1="00000000"/>
    <w:embedRegular r:id="rId7" w:fontKey="{8548101D-2D1F-4C98-B3D0-97EBBFC285FB}"/>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8" w:fontKey="{7EFC6120-B58D-409A-8C02-F5813C573954}"/>
  </w:font>
  <w:font w:name="隶书">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embedRegular r:id="rId9" w:fontKey="{B8E32419-DE0E-4430-BD6F-87663A7EF3F6}"/>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utura Hv">
    <w:altName w:val="DejaVu Math TeX Gyre"/>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10" w:fontKey="{7350CAF7-6617-48AD-A61F-CC57D285C1D1}"/>
  </w:font>
  <w:font w:name="幼圆">
    <w:altName w:val="宋体"/>
    <w:panose1 w:val="02010509060101010101"/>
    <w:charset w:val="86"/>
    <w:family w:val="modern"/>
    <w:pitch w:val="default"/>
    <w:sig w:usb0="00000000" w:usb1="00000000" w:usb2="00000000" w:usb3="00000000" w:csb0="00040000" w:csb1="00000000"/>
  </w:font>
  <w:font w:name="Aldine401 BT">
    <w:altName w:val="DejaVu Math TeX Gyre"/>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embedRegular r:id="rId11" w:fontKey="{71307456-37C6-404B-A30C-11BB549E3950}"/>
  </w:font>
  <w:font w:name="方正小标宋简体">
    <w:panose1 w:val="02000000000000000000"/>
    <w:charset w:val="86"/>
    <w:family w:val="auto"/>
    <w:pitch w:val="default"/>
    <w:sig w:usb0="00000001" w:usb1="08000000" w:usb2="00000000" w:usb3="00000000" w:csb0="00040000" w:csb1="00000000"/>
    <w:embedRegular r:id="rId12" w:fontKey="{A125D43E-ECE8-4C26-835C-CBFF63146C83}"/>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65C7">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7A5FA">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17B0">
                          <w:pPr>
                            <w:pStyle w:val="3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1617B0">
                    <w:pPr>
                      <w:pStyle w:val="3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0F7B">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030F">
                          <w:pPr>
                            <w:pStyle w:val="3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2030F">
                    <w:pPr>
                      <w:pStyle w:val="3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31A8">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89CBA">
                          <w:pPr>
                            <w:pStyle w:val="3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089CBA">
                    <w:pPr>
                      <w:pStyle w:val="3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57D7">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69D0">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469D0">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FDAA">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9396F">
                          <w:pPr>
                            <w:pStyle w:val="3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19396F">
                    <w:pPr>
                      <w:pStyle w:val="3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8B98">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15402">
                          <w:pPr>
                            <w:pStyle w:val="38"/>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EF15402">
                    <w:pPr>
                      <w:pStyle w:val="3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D80">
    <w:pPr>
      <w:pStyle w:val="3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C0CA6">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FAC0CA6">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23B">
    <w:pPr>
      <w:pStyle w:val="38"/>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E4">
                          <w:pPr>
                            <w:pStyle w:val="3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7C18E4">
                    <w:pPr>
                      <w:pStyle w:val="3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764">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3665">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F1B">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4FC1">
    <w:pPr>
      <w:pStyle w:val="39"/>
      <w:pBdr>
        <w:bottom w:val="none" w:color="auto" w:sz="0" w:space="1"/>
      </w:pBdr>
      <w:spacing w:after="120"/>
      <w:jc w:val="right"/>
      <w:rPr>
        <w:rFonts w:ascii="仿宋_GB2312" w:eastAsia="仿宋_GB2312"/>
        <w:b/>
        <w:i/>
        <w:u w:val="single"/>
      </w:rPr>
    </w:pPr>
    <w:r>
      <w:t></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87FC">
    <w:pPr>
      <w:pStyle w:val="39"/>
      <w:pBdr>
        <w:bottom w:val="none" w:color="auto" w:sz="0" w:space="1"/>
      </w:pBdr>
      <w:spacing w:after="120"/>
    </w:pPr>
    <w:r>
      <w:t></w:t>
    </w:r>
    <w:r>
      <w:rPr>
        <w:rFonts w:hint="eastAsia"/>
      </w:rPr>
      <w:t xml:space="preserve">         </w:t>
    </w:r>
  </w:p>
  <w:p w14:paraId="224C0E27">
    <w:pPr>
      <w:pStyle w:val="39"/>
      <w:pBdr>
        <w:bottom w:val="none" w:color="auto" w:sz="0" w:space="1"/>
      </w:pBdr>
      <w:spacing w:after="120"/>
      <w:rPr>
        <w:sz w:val="21"/>
        <w:szCs w:val="21"/>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9E06">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A010">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4">
    <w:nsid w:val="23F163C2"/>
    <w:multiLevelType w:val="singleLevel"/>
    <w:tmpl w:val="23F163C2"/>
    <w:lvl w:ilvl="0" w:tentative="0">
      <w:start w:val="1"/>
      <w:numFmt w:val="decimal"/>
      <w:lvlText w:val="%1."/>
      <w:lvlJc w:val="left"/>
      <w:pPr>
        <w:tabs>
          <w:tab w:val="left" w:pos="312"/>
        </w:tabs>
      </w:pPr>
    </w:lvl>
  </w:abstractNum>
  <w:abstractNum w:abstractNumId="5">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2"/>
  </w:num>
  <w:num w:numId="3">
    <w:abstractNumId w:val="0"/>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ZCKlCFxl9Vdy78V9u5B8nfDBmpQ=" w:salt="0Wis63Occ0r+aT3pkoQF4g=="/>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047"/>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130D"/>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C45B8B"/>
    <w:rsid w:val="02A94CC1"/>
    <w:rsid w:val="02DA0C0E"/>
    <w:rsid w:val="03315CCB"/>
    <w:rsid w:val="039F5D5C"/>
    <w:rsid w:val="03DD35E4"/>
    <w:rsid w:val="03E5160F"/>
    <w:rsid w:val="04207E21"/>
    <w:rsid w:val="04452310"/>
    <w:rsid w:val="050B6D23"/>
    <w:rsid w:val="0575419C"/>
    <w:rsid w:val="05880374"/>
    <w:rsid w:val="065A6178"/>
    <w:rsid w:val="065C6F27"/>
    <w:rsid w:val="0711386E"/>
    <w:rsid w:val="07337610"/>
    <w:rsid w:val="075562B7"/>
    <w:rsid w:val="07B63510"/>
    <w:rsid w:val="07F6164B"/>
    <w:rsid w:val="080418C3"/>
    <w:rsid w:val="087A1B7A"/>
    <w:rsid w:val="08B84AAC"/>
    <w:rsid w:val="09396AE2"/>
    <w:rsid w:val="096B2097"/>
    <w:rsid w:val="0A3544BF"/>
    <w:rsid w:val="0A5B7E63"/>
    <w:rsid w:val="0A945D6F"/>
    <w:rsid w:val="0AC66A54"/>
    <w:rsid w:val="0BA332B2"/>
    <w:rsid w:val="0BB023D2"/>
    <w:rsid w:val="0BC1638D"/>
    <w:rsid w:val="0BC33EB3"/>
    <w:rsid w:val="0C0E2FD9"/>
    <w:rsid w:val="0C7901F8"/>
    <w:rsid w:val="0C87121B"/>
    <w:rsid w:val="0DF702FE"/>
    <w:rsid w:val="0E090A60"/>
    <w:rsid w:val="0E24353F"/>
    <w:rsid w:val="0E3F698B"/>
    <w:rsid w:val="0E511C4A"/>
    <w:rsid w:val="0EC71759"/>
    <w:rsid w:val="0F0C62E5"/>
    <w:rsid w:val="0F21508F"/>
    <w:rsid w:val="0F711E78"/>
    <w:rsid w:val="0F816ACD"/>
    <w:rsid w:val="0FB94501"/>
    <w:rsid w:val="0FE13153"/>
    <w:rsid w:val="10675755"/>
    <w:rsid w:val="10B047CF"/>
    <w:rsid w:val="10CF6E57"/>
    <w:rsid w:val="10FC16EA"/>
    <w:rsid w:val="11494E5B"/>
    <w:rsid w:val="11646051"/>
    <w:rsid w:val="11755C50"/>
    <w:rsid w:val="118963A1"/>
    <w:rsid w:val="125924A8"/>
    <w:rsid w:val="127723A9"/>
    <w:rsid w:val="13072A44"/>
    <w:rsid w:val="130F3E82"/>
    <w:rsid w:val="14105EEE"/>
    <w:rsid w:val="14362FF1"/>
    <w:rsid w:val="145044FA"/>
    <w:rsid w:val="14A1100E"/>
    <w:rsid w:val="16AB3EC2"/>
    <w:rsid w:val="1742023F"/>
    <w:rsid w:val="17C865A3"/>
    <w:rsid w:val="18461624"/>
    <w:rsid w:val="186742B0"/>
    <w:rsid w:val="18E13BCB"/>
    <w:rsid w:val="195245AB"/>
    <w:rsid w:val="19C177A8"/>
    <w:rsid w:val="1AEB4AD1"/>
    <w:rsid w:val="1B0160AB"/>
    <w:rsid w:val="1B2A271F"/>
    <w:rsid w:val="1B2B37F3"/>
    <w:rsid w:val="1B522B5E"/>
    <w:rsid w:val="1B890139"/>
    <w:rsid w:val="1C2B6D42"/>
    <w:rsid w:val="1CD16C47"/>
    <w:rsid w:val="1D266CE1"/>
    <w:rsid w:val="1D3963AF"/>
    <w:rsid w:val="1DA12CEA"/>
    <w:rsid w:val="1E2E469B"/>
    <w:rsid w:val="1E6908EA"/>
    <w:rsid w:val="1E714A66"/>
    <w:rsid w:val="1EC026D9"/>
    <w:rsid w:val="1F444EB4"/>
    <w:rsid w:val="1F4D1F21"/>
    <w:rsid w:val="1FE868A9"/>
    <w:rsid w:val="20937EA1"/>
    <w:rsid w:val="211E26D6"/>
    <w:rsid w:val="21283D08"/>
    <w:rsid w:val="21A4660B"/>
    <w:rsid w:val="21AA6172"/>
    <w:rsid w:val="22C30ADD"/>
    <w:rsid w:val="22C456A9"/>
    <w:rsid w:val="235C0A1E"/>
    <w:rsid w:val="243279D1"/>
    <w:rsid w:val="24B81507"/>
    <w:rsid w:val="250D6DDF"/>
    <w:rsid w:val="25847A9B"/>
    <w:rsid w:val="25B440B3"/>
    <w:rsid w:val="261A4BC0"/>
    <w:rsid w:val="26272B27"/>
    <w:rsid w:val="262B0B7B"/>
    <w:rsid w:val="26A12BEB"/>
    <w:rsid w:val="26AA5F44"/>
    <w:rsid w:val="272917D9"/>
    <w:rsid w:val="27646D45"/>
    <w:rsid w:val="278A3680"/>
    <w:rsid w:val="27CB6172"/>
    <w:rsid w:val="285A6198"/>
    <w:rsid w:val="28C72DDD"/>
    <w:rsid w:val="2A063491"/>
    <w:rsid w:val="2A20167B"/>
    <w:rsid w:val="2AA1365A"/>
    <w:rsid w:val="2C7936C6"/>
    <w:rsid w:val="2DD15014"/>
    <w:rsid w:val="2DF857E7"/>
    <w:rsid w:val="2EC92CDF"/>
    <w:rsid w:val="2FD25781"/>
    <w:rsid w:val="300C7F94"/>
    <w:rsid w:val="30274161"/>
    <w:rsid w:val="305F2622"/>
    <w:rsid w:val="309377A4"/>
    <w:rsid w:val="30F84731"/>
    <w:rsid w:val="312307EC"/>
    <w:rsid w:val="312468F3"/>
    <w:rsid w:val="313A5EF4"/>
    <w:rsid w:val="319C6071"/>
    <w:rsid w:val="32005658"/>
    <w:rsid w:val="32681C29"/>
    <w:rsid w:val="32AB107A"/>
    <w:rsid w:val="32DB72BE"/>
    <w:rsid w:val="3367539F"/>
    <w:rsid w:val="337155D7"/>
    <w:rsid w:val="342E63AB"/>
    <w:rsid w:val="345D260B"/>
    <w:rsid w:val="347418D4"/>
    <w:rsid w:val="349218F6"/>
    <w:rsid w:val="34961A70"/>
    <w:rsid w:val="34C82096"/>
    <w:rsid w:val="34DFABBF"/>
    <w:rsid w:val="34EE2159"/>
    <w:rsid w:val="354143D0"/>
    <w:rsid w:val="35C73043"/>
    <w:rsid w:val="35F40F8A"/>
    <w:rsid w:val="36136406"/>
    <w:rsid w:val="363946D8"/>
    <w:rsid w:val="365302AE"/>
    <w:rsid w:val="370D28C1"/>
    <w:rsid w:val="375009D7"/>
    <w:rsid w:val="37F142D2"/>
    <w:rsid w:val="381C7444"/>
    <w:rsid w:val="39241FCC"/>
    <w:rsid w:val="39A13F14"/>
    <w:rsid w:val="39A704E3"/>
    <w:rsid w:val="3AEC1764"/>
    <w:rsid w:val="3B514310"/>
    <w:rsid w:val="3C443E4F"/>
    <w:rsid w:val="3C5938F5"/>
    <w:rsid w:val="3C5F759A"/>
    <w:rsid w:val="3D2959BD"/>
    <w:rsid w:val="3D5C78D4"/>
    <w:rsid w:val="3D9E0827"/>
    <w:rsid w:val="3DF03D49"/>
    <w:rsid w:val="3E255E57"/>
    <w:rsid w:val="3EB219E2"/>
    <w:rsid w:val="3F1757A8"/>
    <w:rsid w:val="3F450160"/>
    <w:rsid w:val="3F7B287D"/>
    <w:rsid w:val="3FFF72A6"/>
    <w:rsid w:val="4038198F"/>
    <w:rsid w:val="40E83C04"/>
    <w:rsid w:val="416E62DC"/>
    <w:rsid w:val="417711C1"/>
    <w:rsid w:val="41E940F1"/>
    <w:rsid w:val="420E1545"/>
    <w:rsid w:val="42CF228D"/>
    <w:rsid w:val="42D64FF5"/>
    <w:rsid w:val="42E1381E"/>
    <w:rsid w:val="434C5E8F"/>
    <w:rsid w:val="43B753A5"/>
    <w:rsid w:val="43E3402A"/>
    <w:rsid w:val="43FB717C"/>
    <w:rsid w:val="451E447A"/>
    <w:rsid w:val="45345B76"/>
    <w:rsid w:val="45EA6BA0"/>
    <w:rsid w:val="45F71264"/>
    <w:rsid w:val="463E1738"/>
    <w:rsid w:val="469851D1"/>
    <w:rsid w:val="46A9614D"/>
    <w:rsid w:val="46DC530D"/>
    <w:rsid w:val="470740ED"/>
    <w:rsid w:val="471373E8"/>
    <w:rsid w:val="47307808"/>
    <w:rsid w:val="47544185"/>
    <w:rsid w:val="48581C61"/>
    <w:rsid w:val="486F747C"/>
    <w:rsid w:val="48B90FEF"/>
    <w:rsid w:val="48F618EF"/>
    <w:rsid w:val="491D6A75"/>
    <w:rsid w:val="49D45CAC"/>
    <w:rsid w:val="49DD673C"/>
    <w:rsid w:val="4A244932"/>
    <w:rsid w:val="4AC9433B"/>
    <w:rsid w:val="4B227705"/>
    <w:rsid w:val="4D861CF6"/>
    <w:rsid w:val="4EC31F2F"/>
    <w:rsid w:val="4F036B23"/>
    <w:rsid w:val="4F103A13"/>
    <w:rsid w:val="4F292918"/>
    <w:rsid w:val="505D4E55"/>
    <w:rsid w:val="50B25872"/>
    <w:rsid w:val="51595DDE"/>
    <w:rsid w:val="516C5A20"/>
    <w:rsid w:val="51A0432A"/>
    <w:rsid w:val="527140E5"/>
    <w:rsid w:val="5292508F"/>
    <w:rsid w:val="529C2335"/>
    <w:rsid w:val="52A96B6F"/>
    <w:rsid w:val="532822B7"/>
    <w:rsid w:val="54041F40"/>
    <w:rsid w:val="541D3690"/>
    <w:rsid w:val="54991EC3"/>
    <w:rsid w:val="550764A4"/>
    <w:rsid w:val="551926E0"/>
    <w:rsid w:val="561279B9"/>
    <w:rsid w:val="56363B92"/>
    <w:rsid w:val="56515F3B"/>
    <w:rsid w:val="572B71CA"/>
    <w:rsid w:val="5741191B"/>
    <w:rsid w:val="57627542"/>
    <w:rsid w:val="57E958DA"/>
    <w:rsid w:val="587D7756"/>
    <w:rsid w:val="58810003"/>
    <w:rsid w:val="58AE4F0C"/>
    <w:rsid w:val="58B22DEB"/>
    <w:rsid w:val="58C0677E"/>
    <w:rsid w:val="594D25DB"/>
    <w:rsid w:val="59816B33"/>
    <w:rsid w:val="598D4D94"/>
    <w:rsid w:val="59FA153A"/>
    <w:rsid w:val="5A0504B5"/>
    <w:rsid w:val="5A117165"/>
    <w:rsid w:val="5A2A7C7B"/>
    <w:rsid w:val="5A522C07"/>
    <w:rsid w:val="5AB23368"/>
    <w:rsid w:val="5C80234E"/>
    <w:rsid w:val="5C8210D4"/>
    <w:rsid w:val="5C8618C3"/>
    <w:rsid w:val="5CE64FEF"/>
    <w:rsid w:val="5CED695D"/>
    <w:rsid w:val="5D131446"/>
    <w:rsid w:val="5DBF62A8"/>
    <w:rsid w:val="5DF222A0"/>
    <w:rsid w:val="5E261785"/>
    <w:rsid w:val="5E4B7FE7"/>
    <w:rsid w:val="5FCC5339"/>
    <w:rsid w:val="5FCF0764"/>
    <w:rsid w:val="5FE70807"/>
    <w:rsid w:val="60267922"/>
    <w:rsid w:val="60483AFC"/>
    <w:rsid w:val="6093384F"/>
    <w:rsid w:val="60E53485"/>
    <w:rsid w:val="61054A27"/>
    <w:rsid w:val="611D2366"/>
    <w:rsid w:val="625613A5"/>
    <w:rsid w:val="62885958"/>
    <w:rsid w:val="62A56FE4"/>
    <w:rsid w:val="62FC6C60"/>
    <w:rsid w:val="63144820"/>
    <w:rsid w:val="6453752A"/>
    <w:rsid w:val="647A264F"/>
    <w:rsid w:val="648A46E4"/>
    <w:rsid w:val="64CE2EAA"/>
    <w:rsid w:val="64E930D8"/>
    <w:rsid w:val="660D267B"/>
    <w:rsid w:val="662E75B1"/>
    <w:rsid w:val="66342C2E"/>
    <w:rsid w:val="663E784C"/>
    <w:rsid w:val="66650FE6"/>
    <w:rsid w:val="67AA7DA2"/>
    <w:rsid w:val="67BF6A43"/>
    <w:rsid w:val="68064B3E"/>
    <w:rsid w:val="68144827"/>
    <w:rsid w:val="685867EC"/>
    <w:rsid w:val="68A35D74"/>
    <w:rsid w:val="69102733"/>
    <w:rsid w:val="69943834"/>
    <w:rsid w:val="69A27DD9"/>
    <w:rsid w:val="69EA0EC0"/>
    <w:rsid w:val="69EA7CF6"/>
    <w:rsid w:val="6AAD27D4"/>
    <w:rsid w:val="6AF85FCE"/>
    <w:rsid w:val="6B9145AA"/>
    <w:rsid w:val="6BA43AA1"/>
    <w:rsid w:val="6BDF70C3"/>
    <w:rsid w:val="6C04327E"/>
    <w:rsid w:val="6C077E73"/>
    <w:rsid w:val="6CB5278A"/>
    <w:rsid w:val="6CB96113"/>
    <w:rsid w:val="6CCA7D73"/>
    <w:rsid w:val="6D0F0AFD"/>
    <w:rsid w:val="6D4E0208"/>
    <w:rsid w:val="6D581C9A"/>
    <w:rsid w:val="6E8E12EF"/>
    <w:rsid w:val="6EA12907"/>
    <w:rsid w:val="6F58599B"/>
    <w:rsid w:val="6FF13959"/>
    <w:rsid w:val="703A503B"/>
    <w:rsid w:val="706202C3"/>
    <w:rsid w:val="706525A2"/>
    <w:rsid w:val="70745789"/>
    <w:rsid w:val="71557E27"/>
    <w:rsid w:val="71883B65"/>
    <w:rsid w:val="71D43752"/>
    <w:rsid w:val="727D26A3"/>
    <w:rsid w:val="733D0DD5"/>
    <w:rsid w:val="739A7D73"/>
    <w:rsid w:val="73DD6243"/>
    <w:rsid w:val="743B50B2"/>
    <w:rsid w:val="746C2532"/>
    <w:rsid w:val="747405C4"/>
    <w:rsid w:val="749C4185"/>
    <w:rsid w:val="74EC6B9B"/>
    <w:rsid w:val="75DA2C18"/>
    <w:rsid w:val="76FF2D0F"/>
    <w:rsid w:val="774322F8"/>
    <w:rsid w:val="775319EF"/>
    <w:rsid w:val="77BE04D4"/>
    <w:rsid w:val="78D81199"/>
    <w:rsid w:val="790F1C77"/>
    <w:rsid w:val="79180FAF"/>
    <w:rsid w:val="7A67303B"/>
    <w:rsid w:val="7A684727"/>
    <w:rsid w:val="7A8552D9"/>
    <w:rsid w:val="7AAA11E4"/>
    <w:rsid w:val="7AAB1D04"/>
    <w:rsid w:val="7ABA4368"/>
    <w:rsid w:val="7B08614E"/>
    <w:rsid w:val="7B23367A"/>
    <w:rsid w:val="7B257FFD"/>
    <w:rsid w:val="7C2B1DA5"/>
    <w:rsid w:val="7DBC5841"/>
    <w:rsid w:val="7DF4317E"/>
    <w:rsid w:val="7E64308B"/>
    <w:rsid w:val="7E784333"/>
    <w:rsid w:val="7F546FE2"/>
    <w:rsid w:val="7F6A0F42"/>
    <w:rsid w:val="7F9C6ED1"/>
    <w:rsid w:val="B6FF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4"/>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85</Pages>
  <Words>4236</Words>
  <Characters>5152</Characters>
  <Lines>364</Lines>
  <Paragraphs>102</Paragraphs>
  <TotalTime>12</TotalTime>
  <ScaleCrop>false</ScaleCrop>
  <LinksUpToDate>false</LinksUpToDate>
  <CharactersWithSpaces>5236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2025-02-20T10:26:00Z</dcterms:created>
  <dc:creator>北海市政府采购中心</dc:creator>
  <cp:lastModifiedBy>韦丽丹</cp:lastModifiedBy>
  <cp:lastPrinted>2025-12-25T16:37:00Z</cp:lastPrinted>
  <dcterms:modified xsi:type="dcterms:W3CDTF">2026-08-28T07:08:01Z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9C6699D3931A4F55BD99DDABD315A695_13</vt:lpwstr>
  </property>
  <property fmtid="{D5CDD505-2E9C-101B-9397-08002B2CF9AE}" pid="4" name="KSOTemplateDocerSaveRecord">
    <vt:lpwstr>eyJoZGlkIjoiZGMwNmNjYmEwMzExMjc5NTlhZTNkZjJhNDBmMzM2MWMiLCJ1c2VySWQiOiI0OTg2OTAyMTMifQ==</vt:lpwstr>
  </property>
</Properties>
</file>