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8E9BC">
      <w:pPr>
        <w:spacing w:line="360" w:lineRule="auto"/>
        <w:jc w:val="center"/>
        <w:rPr>
          <w:rFonts w:hint="eastAsia" w:ascii="宋体" w:hAnsi="宋体" w:cs="仿宋_GB2312"/>
          <w:b/>
          <w:color w:val="auto"/>
          <w:sz w:val="44"/>
          <w:szCs w:val="44"/>
          <w:highlight w:val="none"/>
        </w:rPr>
      </w:pPr>
      <w:bookmarkStart w:id="0" w:name="OLE_LINK1"/>
    </w:p>
    <w:p w14:paraId="5CF771C8">
      <w:pPr>
        <w:spacing w:line="360" w:lineRule="auto"/>
        <w:jc w:val="center"/>
        <w:rPr>
          <w:rFonts w:hint="eastAsia" w:ascii="宋体" w:hAnsi="宋体" w:eastAsia="宋体" w:cs="仿宋_GB2312"/>
          <w:b/>
          <w:bCs w:val="0"/>
          <w:color w:val="auto"/>
          <w:sz w:val="48"/>
          <w:szCs w:val="48"/>
          <w:highlight w:val="none"/>
          <w:lang w:eastAsia="zh-CN"/>
        </w:rPr>
      </w:pPr>
      <w:r>
        <w:rPr>
          <w:rFonts w:hint="eastAsia" w:ascii="宋体" w:hAnsi="宋体" w:cs="仿宋_GB2312"/>
          <w:b/>
          <w:bCs w:val="0"/>
          <w:color w:val="auto"/>
          <w:sz w:val="48"/>
          <w:szCs w:val="48"/>
          <w:highlight w:val="none"/>
          <w:lang w:eastAsia="zh-CN"/>
        </w:rPr>
        <w:t>2026年度执法船艇维修保养项目</w:t>
      </w:r>
    </w:p>
    <w:p w14:paraId="4A04DFFC">
      <w:pPr>
        <w:spacing w:line="360" w:lineRule="auto"/>
        <w:jc w:val="center"/>
        <w:rPr>
          <w:rFonts w:hint="eastAsia" w:ascii="宋体" w:hAnsi="宋体" w:cs="仿宋_GB2312"/>
          <w:b/>
          <w:bCs/>
          <w:color w:val="auto"/>
          <w:w w:val="95"/>
          <w:sz w:val="72"/>
          <w:szCs w:val="72"/>
          <w:highlight w:val="none"/>
          <w:lang w:val="zh-CN"/>
        </w:rPr>
      </w:pPr>
    </w:p>
    <w:p w14:paraId="3D8EA7A3">
      <w:pPr>
        <w:spacing w:line="360" w:lineRule="auto"/>
        <w:jc w:val="center"/>
        <w:rPr>
          <w:rFonts w:hint="eastAsia" w:ascii="宋体" w:hAnsi="宋体" w:cs="仿宋_GB2312"/>
          <w:b/>
          <w:bCs/>
          <w:color w:val="auto"/>
          <w:w w:val="95"/>
          <w:sz w:val="72"/>
          <w:szCs w:val="72"/>
          <w:highlight w:val="none"/>
          <w:lang w:val="zh-CN"/>
        </w:rPr>
      </w:pPr>
    </w:p>
    <w:p w14:paraId="2716667B">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竞争性磋商</w:t>
      </w:r>
      <w:r>
        <w:rPr>
          <w:rFonts w:hint="eastAsia" w:ascii="宋体" w:hAnsi="宋体" w:cs="仿宋_GB2312"/>
          <w:b/>
          <w:color w:val="auto"/>
          <w:sz w:val="72"/>
          <w:szCs w:val="72"/>
          <w:highlight w:val="none"/>
        </w:rPr>
        <w:t>文件</w:t>
      </w:r>
    </w:p>
    <w:p w14:paraId="4F5A20AC">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3E91A4CD">
      <w:pPr>
        <w:adjustRightInd w:val="0"/>
        <w:snapToGrid w:val="0"/>
        <w:spacing w:line="360" w:lineRule="auto"/>
        <w:jc w:val="center"/>
        <w:rPr>
          <w:rFonts w:ascii="宋体" w:hAnsi="宋体" w:cs="仿宋_GB2312"/>
          <w:color w:val="auto"/>
          <w:sz w:val="30"/>
          <w:szCs w:val="30"/>
          <w:highlight w:val="none"/>
        </w:rPr>
      </w:pPr>
    </w:p>
    <w:p w14:paraId="3B99B5FC">
      <w:pPr>
        <w:adjustRightInd w:val="0"/>
        <w:snapToGrid w:val="0"/>
        <w:spacing w:line="360" w:lineRule="auto"/>
        <w:jc w:val="center"/>
        <w:rPr>
          <w:rFonts w:hint="eastAsia" w:ascii="宋体" w:hAnsi="宋体" w:eastAsia="宋体" w:cs="仿宋_GB2312"/>
          <w:color w:val="auto"/>
          <w:sz w:val="28"/>
          <w:szCs w:val="20"/>
          <w:highlight w:val="none"/>
          <w:lang w:eastAsia="zh-CN"/>
        </w:rPr>
      </w:pPr>
      <w:r>
        <w:rPr>
          <w:rFonts w:hint="eastAsia" w:ascii="宋体" w:hAnsi="宋体" w:cs="仿宋_GB2312"/>
          <w:color w:val="auto"/>
          <w:sz w:val="30"/>
          <w:szCs w:val="30"/>
          <w:highlight w:val="none"/>
          <w:lang w:eastAsia="zh-CN"/>
        </w:rPr>
        <w:t>项目编号：BHZC2026-C3-990250-BBWH</w:t>
      </w:r>
    </w:p>
    <w:p w14:paraId="5D3EF8B7">
      <w:pPr>
        <w:adjustRightInd w:val="0"/>
        <w:spacing w:line="360" w:lineRule="auto"/>
        <w:jc w:val="center"/>
        <w:rPr>
          <w:rFonts w:ascii="宋体" w:hAnsi="宋体" w:cs="仿宋_GB2312"/>
          <w:color w:val="auto"/>
          <w:sz w:val="24"/>
          <w:highlight w:val="none"/>
        </w:rPr>
      </w:pPr>
      <w:r>
        <w:rPr>
          <w:rFonts w:hint="eastAsia" w:ascii="宋体" w:hAnsi="宋体" w:eastAsia="宋体" w:cs="宋体"/>
          <w:color w:val="auto"/>
          <w:sz w:val="28"/>
          <w:highlight w:val="none"/>
        </w:rPr>
        <w:drawing>
          <wp:inline distT="0" distB="0" distL="114300" distR="114300">
            <wp:extent cx="1760855" cy="1590675"/>
            <wp:effectExtent l="0" t="0" r="0" b="0"/>
            <wp:docPr id="20" name="图片 20"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宏亚logo"/>
                    <pic:cNvPicPr>
                      <a:picLocks noChangeAspect="1"/>
                    </pic:cNvPicPr>
                  </pic:nvPicPr>
                  <pic:blipFill>
                    <a:blip r:embed="rId17"/>
                    <a:srcRect l="12828" t="14873" r="17146" b="15096"/>
                    <a:stretch>
                      <a:fillRect/>
                    </a:stretch>
                  </pic:blipFill>
                  <pic:spPr>
                    <a:xfrm>
                      <a:off x="0" y="0"/>
                      <a:ext cx="1760855" cy="1590675"/>
                    </a:xfrm>
                    <a:prstGeom prst="rect">
                      <a:avLst/>
                    </a:prstGeom>
                    <a:noFill/>
                    <a:ln>
                      <a:noFill/>
                    </a:ln>
                  </pic:spPr>
                </pic:pic>
              </a:graphicData>
            </a:graphic>
          </wp:inline>
        </w:drawing>
      </w:r>
    </w:p>
    <w:p w14:paraId="09236A94">
      <w:pPr>
        <w:adjustRightInd w:val="0"/>
        <w:spacing w:line="360" w:lineRule="auto"/>
        <w:rPr>
          <w:rFonts w:hint="eastAsia" w:ascii="宋体" w:hAnsi="宋体" w:cs="仿宋_GB2312"/>
          <w:color w:val="auto"/>
          <w:sz w:val="24"/>
          <w:highlight w:val="none"/>
        </w:rPr>
      </w:pPr>
    </w:p>
    <w:p w14:paraId="2D2F1F87">
      <w:pPr>
        <w:adjustRightInd w:val="0"/>
        <w:spacing w:line="360" w:lineRule="auto"/>
        <w:rPr>
          <w:rFonts w:hint="eastAsia" w:ascii="宋体" w:hAnsi="宋体" w:cs="仿宋_GB2312"/>
          <w:color w:val="auto"/>
          <w:sz w:val="24"/>
          <w:highlight w:val="none"/>
        </w:rPr>
      </w:pPr>
    </w:p>
    <w:p w14:paraId="54886C4D">
      <w:pPr>
        <w:adjustRightInd w:val="0"/>
        <w:spacing w:line="360" w:lineRule="auto"/>
        <w:rPr>
          <w:rFonts w:hint="eastAsia" w:ascii="宋体" w:hAnsi="宋体" w:cs="仿宋_GB2312"/>
          <w:color w:val="auto"/>
          <w:sz w:val="24"/>
          <w:highlight w:val="none"/>
        </w:rPr>
      </w:pPr>
    </w:p>
    <w:p w14:paraId="64AF9CBE">
      <w:pPr>
        <w:adjustRightInd w:val="0"/>
        <w:spacing w:line="360" w:lineRule="auto"/>
        <w:rPr>
          <w:rFonts w:hint="eastAsia" w:ascii="宋体" w:hAnsi="宋体" w:cs="仿宋_GB2312"/>
          <w:color w:val="auto"/>
          <w:sz w:val="24"/>
          <w:highlight w:val="none"/>
        </w:rPr>
      </w:pPr>
    </w:p>
    <w:p w14:paraId="378E464F">
      <w:pPr>
        <w:adjustRightInd w:val="0"/>
        <w:spacing w:line="360" w:lineRule="auto"/>
        <w:ind w:firstLine="960" w:firstLineChars="300"/>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w:t>
      </w:r>
      <w:r>
        <w:rPr>
          <w:rFonts w:hint="eastAsia" w:ascii="宋体" w:hAnsi="宋体" w:cs="仿宋_GB2312"/>
          <w:b w:val="0"/>
          <w:bCs/>
          <w:color w:val="auto"/>
          <w:sz w:val="32"/>
          <w:szCs w:val="32"/>
          <w:highlight w:val="none"/>
          <w:lang w:val="en-US" w:eastAsia="zh-CN"/>
        </w:rPr>
        <w:t xml:space="preserve">  </w:t>
      </w:r>
      <w:r>
        <w:rPr>
          <w:rFonts w:hint="eastAsia" w:ascii="宋体" w:hAnsi="宋体" w:eastAsia="宋体" w:cs="仿宋_GB2312"/>
          <w:b w:val="0"/>
          <w:bCs/>
          <w:color w:val="auto"/>
          <w:sz w:val="32"/>
          <w:szCs w:val="32"/>
          <w:highlight w:val="none"/>
          <w:lang w:val="en-US" w:eastAsia="zh-CN"/>
        </w:rPr>
        <w:t>购</w:t>
      </w:r>
      <w:r>
        <w:rPr>
          <w:rFonts w:hint="eastAsia" w:ascii="宋体" w:hAnsi="宋体" w:cs="仿宋_GB2312"/>
          <w:b w:val="0"/>
          <w:bCs/>
          <w:color w:val="auto"/>
          <w:sz w:val="32"/>
          <w:szCs w:val="32"/>
          <w:highlight w:val="none"/>
          <w:lang w:val="en-US" w:eastAsia="zh-CN"/>
        </w:rPr>
        <w:t xml:space="preserve">  </w:t>
      </w:r>
      <w:r>
        <w:rPr>
          <w:rFonts w:hint="eastAsia" w:ascii="宋体" w:hAnsi="宋体" w:eastAsia="宋体" w:cs="仿宋_GB2312"/>
          <w:b w:val="0"/>
          <w:bCs/>
          <w:color w:val="auto"/>
          <w:sz w:val="32"/>
          <w:szCs w:val="32"/>
          <w:highlight w:val="none"/>
          <w:lang w:val="en-US" w:eastAsia="zh-CN"/>
        </w:rPr>
        <w:t>人：</w:t>
      </w:r>
      <w:r>
        <w:rPr>
          <w:rFonts w:hint="eastAsia" w:ascii="宋体" w:hAnsi="宋体" w:cs="仿宋_GB2312"/>
          <w:b w:val="0"/>
          <w:bCs/>
          <w:color w:val="auto"/>
          <w:sz w:val="32"/>
          <w:szCs w:val="32"/>
          <w:highlight w:val="none"/>
          <w:lang w:val="en-US" w:eastAsia="zh-CN"/>
        </w:rPr>
        <w:t>北海市海洋与渔业综合执法支队</w:t>
      </w:r>
    </w:p>
    <w:p w14:paraId="15EC45D7">
      <w:pPr>
        <w:adjustRightInd w:val="0"/>
        <w:spacing w:line="360" w:lineRule="auto"/>
        <w:jc w:val="center"/>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采购代理机构：</w:t>
      </w:r>
      <w:r>
        <w:rPr>
          <w:rFonts w:hint="eastAsia" w:ascii="宋体" w:hAnsi="宋体" w:eastAsia="宋体" w:cs="仿宋_GB2312"/>
          <w:b w:val="0"/>
          <w:bCs/>
          <w:color w:val="auto"/>
          <w:sz w:val="32"/>
          <w:szCs w:val="32"/>
          <w:highlight w:val="none"/>
        </w:rPr>
        <w:t>广西北部湾宏亚建设管理有限公司</w:t>
      </w:r>
    </w:p>
    <w:p w14:paraId="53507E58">
      <w:pPr>
        <w:adjustRightInd w:val="0"/>
        <w:snapToGrid w:val="0"/>
        <w:spacing w:line="360" w:lineRule="auto"/>
        <w:jc w:val="center"/>
        <w:rPr>
          <w:rFonts w:hint="eastAsia" w:ascii="宋体" w:hAnsi="宋体" w:cs="仿宋_GB2312"/>
          <w:bCs/>
          <w:color w:val="auto"/>
          <w:sz w:val="32"/>
          <w:szCs w:val="32"/>
          <w:highlight w:val="none"/>
        </w:rPr>
      </w:pPr>
    </w:p>
    <w:p w14:paraId="74BB7AF4">
      <w:pP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八月</w:t>
      </w:r>
      <w:bookmarkEnd w:id="0"/>
    </w:p>
    <w:p w14:paraId="7B4CD979">
      <w:pPr>
        <w:pStyle w:val="32"/>
        <w:adjustRightInd w:val="0"/>
        <w:snapToGrid w:val="0"/>
        <w:spacing w:line="360" w:lineRule="auto"/>
        <w:ind w:firstLine="15"/>
        <w:jc w:val="center"/>
        <w:rPr>
          <w:color w:val="auto"/>
          <w:sz w:val="32"/>
          <w:szCs w:val="32"/>
          <w:highlight w:val="none"/>
        </w:rPr>
        <w:sectPr>
          <w:headerReference r:id="rId4" w:type="first"/>
          <w:footerReference r:id="rId5" w:type="first"/>
          <w:headerReference r:id="rId3" w:type="default"/>
          <w:pgSz w:w="11906" w:h="16838"/>
          <w:pgMar w:top="1417" w:right="1417" w:bottom="1417" w:left="1417" w:header="851" w:footer="992" w:gutter="0"/>
          <w:pgNumType w:fmt="decimal" w:start="1"/>
          <w:cols w:space="720" w:num="1"/>
          <w:rtlGutter w:val="0"/>
          <w:docGrid w:type="lines" w:linePitch="312" w:charSpace="0"/>
        </w:sectPr>
      </w:pPr>
    </w:p>
    <w:p w14:paraId="4B54E3BC">
      <w:pPr>
        <w:spacing w:line="360" w:lineRule="auto"/>
        <w:jc w:val="center"/>
        <w:rPr>
          <w:rFonts w:hint="eastAsia" w:cs="仿宋_GB2312" w:asciiTheme="minorEastAsia" w:hAnsiTheme="minorEastAsia" w:eastAsiaTheme="minorEastAsia"/>
          <w:b/>
          <w:color w:val="auto"/>
          <w:sz w:val="48"/>
          <w:szCs w:val="48"/>
          <w:highlight w:val="none"/>
        </w:rPr>
      </w:pPr>
      <w:bookmarkStart w:id="1" w:name="_Hlt67893495"/>
      <w:bookmarkEnd w:id="1"/>
      <w:r>
        <w:rPr>
          <w:rFonts w:hint="eastAsia" w:cs="仿宋_GB2312" w:asciiTheme="minorEastAsia" w:hAnsiTheme="minorEastAsia" w:eastAsiaTheme="minorEastAsia"/>
          <w:b/>
          <w:color w:val="auto"/>
          <w:sz w:val="48"/>
          <w:szCs w:val="48"/>
          <w:highlight w:val="none"/>
        </w:rPr>
        <w:t>目  录</w:t>
      </w:r>
    </w:p>
    <w:p w14:paraId="1E1C2610">
      <w:pPr>
        <w:spacing w:line="360" w:lineRule="auto"/>
        <w:rPr>
          <w:rFonts w:hint="eastAsia" w:cs="仿宋_GB2312" w:asciiTheme="minorEastAsia" w:hAnsiTheme="minorEastAsia" w:eastAsiaTheme="minorEastAsia"/>
          <w:color w:val="auto"/>
          <w:sz w:val="32"/>
          <w:szCs w:val="32"/>
          <w:highlight w:val="none"/>
        </w:rPr>
      </w:pPr>
    </w:p>
    <w:p w14:paraId="6992339F">
      <w:pPr>
        <w:pStyle w:val="41"/>
        <w:tabs>
          <w:tab w:val="right" w:leader="dot" w:pos="9446"/>
        </w:tabs>
        <w:spacing w:line="360" w:lineRule="auto"/>
        <w:rPr>
          <w:color w:val="auto"/>
          <w:sz w:val="24"/>
          <w:szCs w:val="24"/>
          <w:highlight w:val="none"/>
        </w:rPr>
      </w:pPr>
      <w:bookmarkStart w:id="2" w:name="_Hlt91233176"/>
      <w:bookmarkEnd w:id="2"/>
      <w:bookmarkStart w:id="3" w:name="_Toc91899869"/>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w:instrText>
      </w:r>
      <w:r>
        <w:rPr>
          <w:rFonts w:hint="eastAsia" w:cs="仿宋_GB2312" w:asciiTheme="minorEastAsia" w:hAnsiTheme="minorEastAsia" w:eastAsiaTheme="minorEastAsia"/>
          <w:color w:val="auto"/>
          <w:sz w:val="24"/>
          <w:szCs w:val="24"/>
          <w:highlight w:val="none"/>
        </w:rPr>
        <w:instrText xml:space="preserve">TOC \o "1-1" \h \z \u</w:instrText>
      </w:r>
      <w:r>
        <w:rPr>
          <w:rFonts w:cs="仿宋_GB2312" w:asciiTheme="minorEastAsia" w:hAnsiTheme="minorEastAsia" w:eastAsiaTheme="minorEastAsia"/>
          <w:color w:val="auto"/>
          <w:sz w:val="24"/>
          <w:szCs w:val="24"/>
          <w:highlight w:val="none"/>
        </w:rPr>
        <w:instrText xml:space="preserve"> </w:instrText>
      </w:r>
      <w:r>
        <w:rPr>
          <w:rFonts w:cs="仿宋_GB2312" w:asciiTheme="minorEastAsia" w:hAnsiTheme="minorEastAsia" w:eastAsiaTheme="minorEastAsia"/>
          <w:color w:val="auto"/>
          <w:sz w:val="24"/>
          <w:szCs w:val="24"/>
          <w:highlight w:val="none"/>
        </w:rPr>
        <w:fldChar w:fldCharType="separate"/>
      </w: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_Toc14733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lang w:val="en-US" w:eastAsia="zh-CN"/>
        </w:rPr>
        <w:t>第一部分  邀请供应商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_Toc14733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0336D5C3">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第二部分  竞争性磋商流程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_Toc8027 \h </w:instrText>
      </w:r>
      <w:r>
        <w:rPr>
          <w:color w:val="auto"/>
          <w:sz w:val="24"/>
          <w:szCs w:val="24"/>
          <w:highlight w:val="none"/>
        </w:rPr>
        <w:fldChar w:fldCharType="separate"/>
      </w:r>
      <w:r>
        <w:rPr>
          <w:color w:val="auto"/>
          <w:sz w:val="24"/>
          <w:szCs w:val="24"/>
          <w:highlight w:val="none"/>
        </w:rPr>
        <w:t>5</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559A366">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_Toc25086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第三部分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_Toc25086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49ECDCCE">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_Toc21470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第四部分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_Toc21470 \h </w:instrText>
      </w:r>
      <w:r>
        <w:rPr>
          <w:color w:val="auto"/>
          <w:sz w:val="24"/>
          <w:szCs w:val="24"/>
          <w:highlight w:val="none"/>
        </w:rPr>
        <w:fldChar w:fldCharType="separate"/>
      </w:r>
      <w:r>
        <w:rPr>
          <w:color w:val="auto"/>
          <w:sz w:val="24"/>
          <w:szCs w:val="24"/>
          <w:highlight w:val="none"/>
        </w:rPr>
        <w:t>31</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61DD4A74">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_Toc20242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第五部分  评审方法及评审标准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_Toc20242 \h </w:instrText>
      </w:r>
      <w:r>
        <w:rPr>
          <w:color w:val="auto"/>
          <w:sz w:val="24"/>
          <w:szCs w:val="24"/>
          <w:highlight w:val="none"/>
        </w:rPr>
        <w:fldChar w:fldCharType="separate"/>
      </w:r>
      <w:r>
        <w:rPr>
          <w:color w:val="auto"/>
          <w:sz w:val="24"/>
          <w:szCs w:val="24"/>
          <w:highlight w:val="none"/>
        </w:rPr>
        <w:t>56</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51A46D2">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_Toc12398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第六部分  拟签订的合同文本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_Toc12398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741D99C0">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第七部分  应提交的有关格式范例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1F188923">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_Toc6047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 xml:space="preserve">第八部分  </w:t>
      </w:r>
      <w:r>
        <w:rPr>
          <w:rFonts w:hint="eastAsia" w:cs="仿宋_GB2312" w:asciiTheme="minorEastAsia" w:hAnsiTheme="minorEastAsia" w:eastAsiaTheme="minorEastAsia"/>
          <w:color w:val="auto"/>
          <w:sz w:val="24"/>
          <w:szCs w:val="24"/>
          <w:highlight w:val="none"/>
          <w:lang w:val="en-US" w:eastAsia="zh-CN"/>
        </w:rPr>
        <w:t>最后</w:t>
      </w:r>
      <w:r>
        <w:rPr>
          <w:rFonts w:hint="eastAsia" w:cs="仿宋_GB2312" w:asciiTheme="minorEastAsia" w:hAnsiTheme="minorEastAsia" w:eastAsiaTheme="minorEastAsia"/>
          <w:color w:val="auto"/>
          <w:sz w:val="24"/>
          <w:szCs w:val="24"/>
          <w:highlight w:val="none"/>
        </w:rPr>
        <w:t>报价格式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_Toc6047 \h </w:instrText>
      </w:r>
      <w:r>
        <w:rPr>
          <w:color w:val="auto"/>
          <w:sz w:val="24"/>
          <w:szCs w:val="24"/>
          <w:highlight w:val="none"/>
        </w:rPr>
        <w:fldChar w:fldCharType="separate"/>
      </w:r>
      <w:r>
        <w:rPr>
          <w:color w:val="auto"/>
          <w:sz w:val="24"/>
          <w:szCs w:val="24"/>
          <w:highlight w:val="none"/>
        </w:rPr>
        <w:t>90</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757D9384">
      <w:pPr>
        <w:spacing w:line="360" w:lineRule="auto"/>
        <w:ind w:firstLine="549" w:firstLineChars="229"/>
        <w:rPr>
          <w:rFonts w:hint="eastAsia"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szCs w:val="24"/>
          <w:highlight w:val="none"/>
        </w:rPr>
        <w:fldChar w:fldCharType="end"/>
      </w:r>
    </w:p>
    <w:p w14:paraId="245834F2">
      <w:pPr>
        <w:spacing w:line="360" w:lineRule="auto"/>
        <w:ind w:firstLine="549" w:firstLineChars="229"/>
        <w:rPr>
          <w:rFonts w:hint="eastAsia" w:cs="仿宋_GB2312" w:asciiTheme="minorEastAsia" w:hAnsiTheme="minorEastAsia" w:eastAsiaTheme="minorEastAsia"/>
          <w:color w:val="auto"/>
          <w:sz w:val="24"/>
          <w:highlight w:val="none"/>
        </w:rPr>
      </w:pPr>
    </w:p>
    <w:p w14:paraId="3859D704">
      <w:pPr>
        <w:spacing w:line="360" w:lineRule="auto"/>
        <w:ind w:firstLine="549" w:firstLineChars="229"/>
        <w:rPr>
          <w:rFonts w:hint="eastAsia" w:cs="仿宋_GB2312" w:asciiTheme="minorEastAsia" w:hAnsiTheme="minorEastAsia" w:eastAsiaTheme="minorEastAsia"/>
          <w:color w:val="auto"/>
          <w:sz w:val="24"/>
          <w:highlight w:val="none"/>
        </w:rPr>
      </w:pPr>
    </w:p>
    <w:p w14:paraId="46D866CF">
      <w:pPr>
        <w:spacing w:line="360" w:lineRule="auto"/>
        <w:ind w:firstLine="549" w:firstLineChars="229"/>
        <w:rPr>
          <w:rFonts w:hint="eastAsia" w:cs="仿宋_GB2312" w:asciiTheme="minorEastAsia" w:hAnsiTheme="minorEastAsia" w:eastAsiaTheme="minorEastAsia"/>
          <w:color w:val="auto"/>
          <w:sz w:val="24"/>
          <w:highlight w:val="none"/>
        </w:rPr>
      </w:pPr>
    </w:p>
    <w:p w14:paraId="6EFCA4F6">
      <w:pPr>
        <w:spacing w:line="360" w:lineRule="auto"/>
        <w:ind w:firstLine="549" w:firstLineChars="229"/>
        <w:rPr>
          <w:rFonts w:hint="eastAsia" w:cs="仿宋_GB2312" w:asciiTheme="minorEastAsia" w:hAnsiTheme="minorEastAsia" w:eastAsiaTheme="minorEastAsia"/>
          <w:color w:val="auto"/>
          <w:sz w:val="24"/>
          <w:highlight w:val="none"/>
        </w:rPr>
      </w:pPr>
    </w:p>
    <w:p w14:paraId="42EEA98C">
      <w:pPr>
        <w:spacing w:line="360" w:lineRule="auto"/>
        <w:ind w:firstLine="549" w:firstLineChars="229"/>
        <w:rPr>
          <w:rFonts w:hint="eastAsia" w:cs="仿宋_GB2312" w:asciiTheme="minorEastAsia" w:hAnsiTheme="minorEastAsia" w:eastAsiaTheme="minorEastAsia"/>
          <w:color w:val="auto"/>
          <w:sz w:val="24"/>
          <w:highlight w:val="none"/>
        </w:rPr>
      </w:pPr>
    </w:p>
    <w:p w14:paraId="374C34E8">
      <w:pPr>
        <w:spacing w:line="360" w:lineRule="auto"/>
        <w:ind w:firstLine="549" w:firstLineChars="229"/>
        <w:rPr>
          <w:rFonts w:hint="eastAsia" w:cs="仿宋_GB2312" w:asciiTheme="minorEastAsia" w:hAnsiTheme="minorEastAsia" w:eastAsiaTheme="minorEastAsia"/>
          <w:color w:val="auto"/>
          <w:sz w:val="24"/>
          <w:highlight w:val="none"/>
        </w:rPr>
      </w:pPr>
    </w:p>
    <w:p w14:paraId="55A8550D">
      <w:pPr>
        <w:spacing w:line="360" w:lineRule="auto"/>
        <w:ind w:firstLine="549" w:firstLineChars="229"/>
        <w:rPr>
          <w:rFonts w:hint="eastAsia" w:cs="仿宋_GB2312" w:asciiTheme="minorEastAsia" w:hAnsiTheme="minorEastAsia" w:eastAsiaTheme="minorEastAsia"/>
          <w:color w:val="auto"/>
          <w:sz w:val="24"/>
          <w:highlight w:val="none"/>
        </w:rPr>
      </w:pPr>
    </w:p>
    <w:p w14:paraId="3ED770A5">
      <w:pPr>
        <w:spacing w:line="360" w:lineRule="auto"/>
        <w:ind w:firstLine="549" w:firstLineChars="229"/>
        <w:rPr>
          <w:rFonts w:hint="eastAsia" w:cs="仿宋_GB2312" w:asciiTheme="minorEastAsia" w:hAnsiTheme="minorEastAsia" w:eastAsiaTheme="minorEastAsia"/>
          <w:color w:val="auto"/>
          <w:sz w:val="24"/>
          <w:highlight w:val="none"/>
        </w:rPr>
      </w:pPr>
    </w:p>
    <w:p w14:paraId="6977D84A">
      <w:pPr>
        <w:spacing w:line="360" w:lineRule="auto"/>
        <w:ind w:firstLine="549" w:firstLineChars="229"/>
        <w:rPr>
          <w:rFonts w:hint="eastAsia" w:cs="仿宋_GB2312" w:asciiTheme="minorEastAsia" w:hAnsiTheme="minorEastAsia" w:eastAsiaTheme="minorEastAsia"/>
          <w:color w:val="auto"/>
          <w:sz w:val="24"/>
          <w:highlight w:val="none"/>
        </w:rPr>
      </w:pPr>
    </w:p>
    <w:p w14:paraId="74A8D360">
      <w:pPr>
        <w:spacing w:line="360" w:lineRule="auto"/>
        <w:ind w:firstLine="549" w:firstLineChars="229"/>
        <w:rPr>
          <w:rFonts w:hint="eastAsia" w:cs="仿宋_GB2312" w:asciiTheme="minorEastAsia" w:hAnsiTheme="minorEastAsia" w:eastAsiaTheme="minorEastAsia"/>
          <w:color w:val="auto"/>
          <w:sz w:val="24"/>
          <w:highlight w:val="none"/>
        </w:rPr>
      </w:pPr>
    </w:p>
    <w:p w14:paraId="240D72DD">
      <w:pPr>
        <w:spacing w:line="360" w:lineRule="auto"/>
        <w:ind w:firstLine="549" w:firstLineChars="229"/>
        <w:rPr>
          <w:rFonts w:hint="eastAsia" w:cs="仿宋_GB2312" w:asciiTheme="minorEastAsia" w:hAnsiTheme="minorEastAsia" w:eastAsiaTheme="minorEastAsia"/>
          <w:color w:val="auto"/>
          <w:sz w:val="24"/>
          <w:highlight w:val="none"/>
        </w:rPr>
      </w:pPr>
    </w:p>
    <w:p w14:paraId="13494B79">
      <w:pPr>
        <w:spacing w:line="360" w:lineRule="auto"/>
        <w:ind w:firstLine="549" w:firstLineChars="229"/>
        <w:rPr>
          <w:rFonts w:hint="eastAsia" w:cs="仿宋_GB2312" w:asciiTheme="minorEastAsia" w:hAnsiTheme="minorEastAsia" w:eastAsiaTheme="minorEastAsia"/>
          <w:color w:val="auto"/>
          <w:sz w:val="24"/>
          <w:highlight w:val="none"/>
        </w:rPr>
      </w:pPr>
    </w:p>
    <w:p w14:paraId="1A8F61AE">
      <w:pPr>
        <w:spacing w:line="360" w:lineRule="auto"/>
        <w:rPr>
          <w:rFonts w:hint="eastAsia" w:cs="仿宋_GB2312" w:asciiTheme="minorEastAsia" w:hAnsiTheme="minorEastAsia" w:eastAsiaTheme="minorEastAsia"/>
          <w:color w:val="auto"/>
          <w:sz w:val="24"/>
          <w:highlight w:val="none"/>
        </w:rPr>
      </w:pPr>
    </w:p>
    <w:bookmarkEnd w:id="3"/>
    <w:p w14:paraId="6D38D638">
      <w:pPr>
        <w:adjustRightInd/>
        <w:jc w:val="center"/>
        <w:outlineLvl w:val="0"/>
        <w:rPr>
          <w:rFonts w:hint="eastAsia" w:cs="仿宋_GB2312" w:asciiTheme="minorEastAsia" w:hAnsiTheme="minorEastAsia" w:eastAsiaTheme="minorEastAsia"/>
          <w:b/>
          <w:color w:val="auto"/>
          <w:sz w:val="36"/>
          <w:szCs w:val="20"/>
          <w:highlight w:val="none"/>
          <w:lang w:eastAsia="zh-CN"/>
        </w:rPr>
        <w:sectPr>
          <w:pgSz w:w="11907" w:h="16839"/>
          <w:pgMar w:top="1417" w:right="1417" w:bottom="1417" w:left="1417" w:header="850" w:footer="850" w:gutter="0"/>
          <w:pgNumType w:fmt="decimal"/>
          <w:cols w:space="720" w:num="1"/>
          <w:rtlGutter w:val="0"/>
        </w:sectPr>
      </w:pPr>
      <w:bookmarkStart w:id="4" w:name="_Hlt74729822"/>
      <w:bookmarkEnd w:id="4"/>
      <w:bookmarkStart w:id="5" w:name="_Hlt74728647"/>
      <w:bookmarkEnd w:id="5"/>
      <w:bookmarkStart w:id="6" w:name="_Hlt74707423"/>
      <w:bookmarkEnd w:id="6"/>
      <w:bookmarkStart w:id="7" w:name="_Hlt74649545"/>
      <w:bookmarkEnd w:id="7"/>
      <w:bookmarkStart w:id="8" w:name="第二部分"/>
      <w:bookmarkStart w:id="9" w:name="_Toc91899870"/>
      <w:bookmarkStart w:id="10" w:name="_Toc91899871"/>
    </w:p>
    <w:p w14:paraId="391A423B">
      <w:pPr>
        <w:adjustRightInd/>
        <w:jc w:val="center"/>
        <w:outlineLvl w:val="0"/>
        <w:rPr>
          <w:rFonts w:hint="eastAsia" w:cs="仿宋_GB2312" w:asciiTheme="minorEastAsia" w:hAnsiTheme="minorEastAsia" w:eastAsiaTheme="minorEastAsia"/>
          <w:b/>
          <w:color w:val="auto"/>
          <w:sz w:val="36"/>
          <w:szCs w:val="20"/>
          <w:highlight w:val="none"/>
          <w:lang w:val="en-US" w:eastAsia="zh-CN"/>
        </w:rPr>
      </w:pPr>
      <w:bookmarkStart w:id="11" w:name="_Toc14733"/>
      <w:r>
        <w:rPr>
          <w:rFonts w:hint="eastAsia" w:cs="仿宋_GB2312" w:asciiTheme="minorEastAsia" w:hAnsiTheme="minorEastAsia" w:eastAsiaTheme="minorEastAsia"/>
          <w:b/>
          <w:color w:val="auto"/>
          <w:sz w:val="36"/>
          <w:szCs w:val="20"/>
          <w:highlight w:val="none"/>
          <w:lang w:val="en-US" w:eastAsia="zh-CN"/>
        </w:rPr>
        <w:t>第一部分 邀请供应商</w:t>
      </w:r>
      <w:bookmarkEnd w:id="11"/>
    </w:p>
    <w:p w14:paraId="0BB77836">
      <w:pPr>
        <w:adjustRightInd/>
        <w:jc w:val="center"/>
        <w:outlineLvl w:val="9"/>
        <w:rPr>
          <w:rFonts w:hint="eastAsia" w:cs="仿宋_GB2312" w:asciiTheme="minorEastAsia" w:hAnsiTheme="minorEastAsia" w:eastAsiaTheme="minorEastAsia"/>
          <w:b/>
          <w:color w:val="auto"/>
          <w:sz w:val="32"/>
          <w:szCs w:val="32"/>
          <w:highlight w:val="none"/>
          <w:lang w:eastAsia="zh-CN"/>
        </w:rPr>
      </w:pPr>
    </w:p>
    <w:p w14:paraId="452E45EA">
      <w:pPr>
        <w:adjustRightInd/>
        <w:jc w:val="center"/>
        <w:outlineLvl w:val="9"/>
        <w:rPr>
          <w:rFonts w:hint="eastAsia" w:cs="仿宋_GB2312" w:asciiTheme="minorEastAsia" w:hAnsiTheme="minorEastAsia" w:eastAsiaTheme="minorEastAsia"/>
          <w:b/>
          <w:color w:val="auto"/>
          <w:sz w:val="32"/>
          <w:szCs w:val="32"/>
          <w:highlight w:val="none"/>
          <w:lang w:eastAsia="zh-CN"/>
        </w:rPr>
      </w:pPr>
      <w:r>
        <w:rPr>
          <w:rFonts w:hint="eastAsia" w:cs="仿宋_GB2312" w:asciiTheme="minorEastAsia" w:hAnsiTheme="minorEastAsia" w:eastAsiaTheme="minorEastAsia"/>
          <w:b/>
          <w:color w:val="auto"/>
          <w:sz w:val="32"/>
          <w:szCs w:val="32"/>
          <w:highlight w:val="none"/>
          <w:lang w:eastAsia="zh-CN"/>
        </w:rPr>
        <w:t>广西北部湾宏亚建设管理有限公司</w:t>
      </w:r>
      <w:r>
        <w:rPr>
          <w:rFonts w:hint="eastAsia" w:cs="仿宋_GB2312" w:asciiTheme="minorEastAsia" w:hAnsiTheme="minorEastAsia" w:eastAsiaTheme="minorEastAsia"/>
          <w:b/>
          <w:color w:val="auto"/>
          <w:sz w:val="32"/>
          <w:szCs w:val="32"/>
          <w:highlight w:val="none"/>
        </w:rPr>
        <w:t>关于</w:t>
      </w:r>
      <w:r>
        <w:rPr>
          <w:rFonts w:hint="eastAsia" w:cs="仿宋_GB2312" w:asciiTheme="minorEastAsia" w:hAnsiTheme="minorEastAsia" w:eastAsiaTheme="minorEastAsia"/>
          <w:b/>
          <w:color w:val="auto"/>
          <w:sz w:val="32"/>
          <w:szCs w:val="32"/>
          <w:highlight w:val="none"/>
          <w:lang w:eastAsia="zh-CN"/>
        </w:rPr>
        <w:t>2026年度执法船艇维修保养项目</w:t>
      </w:r>
      <w:r>
        <w:rPr>
          <w:rFonts w:hint="eastAsia" w:cs="仿宋_GB2312" w:asciiTheme="minorEastAsia" w:hAnsiTheme="minorEastAsia" w:eastAsiaTheme="minorEastAsia"/>
          <w:b/>
          <w:color w:val="auto"/>
          <w:sz w:val="32"/>
          <w:szCs w:val="32"/>
          <w:highlight w:val="none"/>
        </w:rPr>
        <w:t>(</w:t>
      </w:r>
      <w:r>
        <w:rPr>
          <w:rFonts w:hint="eastAsia" w:cs="仿宋_GB2312" w:asciiTheme="minorEastAsia" w:hAnsiTheme="minorEastAsia" w:eastAsiaTheme="minorEastAsia"/>
          <w:b/>
          <w:color w:val="auto"/>
          <w:sz w:val="32"/>
          <w:szCs w:val="32"/>
          <w:highlight w:val="none"/>
          <w:lang w:val="en-US" w:eastAsia="zh-CN"/>
        </w:rPr>
        <w:t>项目编号：BHZC2026-C3-990250-BBWH</w:t>
      </w:r>
      <w:r>
        <w:rPr>
          <w:rFonts w:hint="eastAsia" w:cs="仿宋_GB2312" w:asciiTheme="minorEastAsia" w:hAnsiTheme="minorEastAsia" w:eastAsiaTheme="minorEastAsia"/>
          <w:b/>
          <w:color w:val="auto"/>
          <w:sz w:val="32"/>
          <w:szCs w:val="32"/>
          <w:highlight w:val="none"/>
        </w:rPr>
        <w:t>)竞争性磋商公告</w:t>
      </w:r>
      <w:r>
        <w:rPr>
          <w:rFonts w:hint="eastAsia" w:cs="仿宋_GB2312" w:asciiTheme="minorEastAsia" w:hAnsiTheme="minorEastAsia" w:eastAsiaTheme="minorEastAsia"/>
          <w:b/>
          <w:color w:val="auto"/>
          <w:sz w:val="32"/>
          <w:szCs w:val="32"/>
          <w:highlight w:val="none"/>
          <w:lang w:eastAsia="zh-CN"/>
        </w:rPr>
        <w:t>（</w:t>
      </w:r>
      <w:r>
        <w:rPr>
          <w:rFonts w:hint="eastAsia" w:cs="仿宋_GB2312" w:asciiTheme="minorEastAsia" w:hAnsiTheme="minorEastAsia" w:eastAsiaTheme="minorEastAsia"/>
          <w:b/>
          <w:color w:val="auto"/>
          <w:sz w:val="32"/>
          <w:szCs w:val="32"/>
          <w:highlight w:val="none"/>
          <w:lang w:val="en-US" w:eastAsia="zh-CN"/>
        </w:rPr>
        <w:t>远程异地评标</w:t>
      </w:r>
      <w:r>
        <w:rPr>
          <w:rFonts w:hint="eastAsia" w:cs="仿宋_GB2312" w:asciiTheme="minorEastAsia" w:hAnsiTheme="minorEastAsia" w:eastAsiaTheme="minorEastAsia"/>
          <w:b/>
          <w:color w:val="auto"/>
          <w:sz w:val="32"/>
          <w:szCs w:val="32"/>
          <w:highlight w:val="none"/>
          <w:lang w:eastAsia="zh-CN"/>
        </w:rPr>
        <w:t>）</w:t>
      </w:r>
    </w:p>
    <w:p w14:paraId="75BA4E63">
      <w:pPr>
        <w:spacing w:line="360" w:lineRule="auto"/>
        <w:rPr>
          <w:rFonts w:hint="eastAsia" w:asciiTheme="minorEastAsia" w:hAnsiTheme="minorEastAsia" w:eastAsiaTheme="minorEastAsia"/>
          <w:color w:val="auto"/>
          <w:sz w:val="24"/>
          <w:szCs w:val="24"/>
          <w:highlight w:val="none"/>
        </w:rPr>
      </w:pPr>
    </w:p>
    <w:tbl>
      <w:tblPr>
        <w:tblStyle w:val="61"/>
        <w:tblpPr w:leftFromText="180" w:rightFromText="180" w:vertAnchor="text" w:horzAnchor="page" w:tblpX="1151" w:tblpY="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14:paraId="45FA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noWrap w:val="0"/>
            <w:vAlign w:val="top"/>
          </w:tcPr>
          <w:p w14:paraId="17EA9DD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项目概况 </w:t>
            </w:r>
          </w:p>
          <w:p w14:paraId="3A10BF21">
            <w:pPr>
              <w:spacing w:line="360" w:lineRule="auto"/>
              <w:ind w:firstLine="480" w:firstLineChars="200"/>
              <w:rPr>
                <w:rFonts w:hint="eastAsia" w:ascii="宋体" w:hAnsi="宋体" w:cs="宋体"/>
                <w:color w:val="auto"/>
                <w:sz w:val="24"/>
                <w:szCs w:val="24"/>
                <w:highlight w:val="none"/>
              </w:rPr>
            </w:pPr>
            <w:r>
              <w:rPr>
                <w:rFonts w:hint="eastAsia" w:ascii="宋体" w:hAnsi="宋体" w:cs="宋体"/>
                <w:b w:val="0"/>
                <w:color w:val="auto"/>
                <w:kern w:val="0"/>
                <w:sz w:val="24"/>
                <w:szCs w:val="24"/>
                <w:highlight w:val="none"/>
                <w:u w:val="none"/>
                <w:lang w:eastAsia="zh-CN"/>
              </w:rPr>
              <w:t>2026年度执法船艇维修保养项目</w:t>
            </w:r>
            <w:r>
              <w:rPr>
                <w:rFonts w:hint="eastAsia" w:ascii="宋体" w:hAnsi="宋体" w:cs="宋体"/>
                <w:color w:val="auto"/>
                <w:sz w:val="24"/>
                <w:szCs w:val="24"/>
                <w:highlight w:val="none"/>
              </w:rPr>
              <w:t>的潜在供应商应在</w:t>
            </w:r>
            <w:r>
              <w:rPr>
                <w:rFonts w:hint="eastAsia" w:hAnsi="宋体"/>
                <w:color w:val="auto"/>
                <w:sz w:val="24"/>
                <w:szCs w:val="24"/>
                <w:highlight w:val="none"/>
              </w:rPr>
              <w:t>广西政府采购云平台（</w:t>
            </w:r>
            <w:r>
              <w:rPr>
                <w:rFonts w:hAnsi="宋体"/>
                <w:color w:val="auto"/>
                <w:sz w:val="24"/>
                <w:szCs w:val="24"/>
                <w:highlight w:val="none"/>
              </w:rPr>
              <w:t>https://www.zcygov.cn/</w:t>
            </w:r>
            <w:r>
              <w:rPr>
                <w:rFonts w:hint="eastAsia" w:hAnsi="宋体"/>
                <w:color w:val="auto"/>
                <w:sz w:val="24"/>
                <w:szCs w:val="24"/>
                <w:highlight w:val="none"/>
              </w:rPr>
              <w:t>）</w:t>
            </w:r>
            <w:r>
              <w:rPr>
                <w:rFonts w:hint="eastAsia" w:ascii="宋体" w:hAnsi="宋体" w:cs="宋体"/>
                <w:color w:val="auto"/>
                <w:sz w:val="24"/>
                <w:szCs w:val="24"/>
                <w:highlight w:val="none"/>
              </w:rPr>
              <w:t>获取采购文件，并于</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09时</w:t>
            </w:r>
            <w:r>
              <w:rPr>
                <w:rFonts w:hint="eastAsia" w:ascii="宋体" w:hAnsi="宋体" w:cs="宋体"/>
                <w:color w:val="auto"/>
                <w:sz w:val="24"/>
                <w:szCs w:val="24"/>
                <w:highlight w:val="none"/>
              </w:rPr>
              <w:t>00</w:t>
            </w:r>
            <w:r>
              <w:rPr>
                <w:rFonts w:hint="eastAsia" w:ascii="宋体" w:hAnsi="宋体" w:cs="宋体"/>
                <w:color w:val="auto"/>
                <w:sz w:val="24"/>
                <w:szCs w:val="24"/>
                <w:highlight w:val="none"/>
                <w:lang w:val="en-US" w:eastAsia="zh-CN"/>
              </w:rPr>
              <w:t>分</w:t>
            </w:r>
            <w:r>
              <w:rPr>
                <w:rFonts w:hint="eastAsia" w:ascii="宋体" w:hAnsi="宋体" w:cs="宋体"/>
                <w:color w:val="auto"/>
                <w:sz w:val="24"/>
                <w:szCs w:val="24"/>
                <w:highlight w:val="none"/>
              </w:rPr>
              <w:t xml:space="preserve">（北京时间）前提交响应文件。 </w:t>
            </w:r>
          </w:p>
        </w:tc>
      </w:tr>
    </w:tbl>
    <w:p w14:paraId="583CCCF9">
      <w:pPr>
        <w:spacing w:line="360" w:lineRule="auto"/>
        <w:rPr>
          <w:rFonts w:hint="eastAsia" w:ascii="宋体" w:hAnsi="宋体" w:cs="宋体"/>
          <w:b/>
          <w:bCs/>
          <w:color w:val="auto"/>
          <w:sz w:val="24"/>
          <w:szCs w:val="24"/>
          <w:highlight w:val="none"/>
        </w:rPr>
      </w:pPr>
    </w:p>
    <w:p w14:paraId="7726D246">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一、项目基本情况</w:t>
      </w:r>
    </w:p>
    <w:p w14:paraId="1F05882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项目编号：BHZC2026-C3-990250-BBWH</w:t>
      </w:r>
    </w:p>
    <w:p w14:paraId="3B39764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b w:val="0"/>
          <w:color w:val="auto"/>
          <w:kern w:val="0"/>
          <w:sz w:val="24"/>
          <w:szCs w:val="24"/>
          <w:highlight w:val="none"/>
          <w:u w:val="none"/>
          <w:lang w:eastAsia="zh-CN"/>
        </w:rPr>
        <w:t>2026年度执法船艇维修保养项目</w:t>
      </w:r>
    </w:p>
    <w:p w14:paraId="474FB26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采购方式：竞争性磋商</w:t>
      </w:r>
    </w:p>
    <w:p w14:paraId="2755114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预算</w:t>
      </w:r>
      <w:r>
        <w:rPr>
          <w:rFonts w:hint="eastAsia" w:ascii="宋体" w:hAnsi="宋体" w:cs="宋体"/>
          <w:color w:val="auto"/>
          <w:sz w:val="24"/>
          <w:szCs w:val="24"/>
          <w:highlight w:val="none"/>
          <w:lang w:eastAsia="zh-CN"/>
        </w:rPr>
        <w:t>总</w:t>
      </w:r>
      <w:r>
        <w:rPr>
          <w:rFonts w:hint="eastAsia" w:ascii="宋体" w:hAnsi="宋体" w:cs="宋体"/>
          <w:color w:val="auto"/>
          <w:sz w:val="24"/>
          <w:szCs w:val="24"/>
          <w:highlight w:val="none"/>
        </w:rPr>
        <w:t>金额（元）：</w:t>
      </w:r>
      <w:r>
        <w:rPr>
          <w:rFonts w:hint="eastAsia" w:ascii="宋体" w:hAnsi="宋体" w:cs="宋体"/>
          <w:b w:val="0"/>
          <w:bCs w:val="0"/>
          <w:color w:val="auto"/>
          <w:sz w:val="24"/>
          <w:szCs w:val="24"/>
          <w:highlight w:val="none"/>
          <w:u w:val="none"/>
          <w:lang w:val="en-US" w:eastAsia="zh-CN"/>
        </w:rPr>
        <w:t>871700.00</w:t>
      </w:r>
    </w:p>
    <w:p w14:paraId="16341C5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p w14:paraId="5AB9E67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b w:val="0"/>
          <w:color w:val="auto"/>
          <w:kern w:val="0"/>
          <w:sz w:val="24"/>
          <w:szCs w:val="24"/>
          <w:highlight w:val="none"/>
          <w:u w:val="none"/>
          <w:lang w:val="en-US" w:eastAsia="zh-CN"/>
        </w:rPr>
      </w:pPr>
      <w:r>
        <w:rPr>
          <w:rFonts w:hint="eastAsia" w:ascii="宋体" w:hAnsi="宋体" w:cs="宋体"/>
          <w:color w:val="auto"/>
          <w:sz w:val="24"/>
          <w:szCs w:val="24"/>
          <w:highlight w:val="none"/>
        </w:rPr>
        <w:t>标项名称：</w:t>
      </w:r>
      <w:r>
        <w:rPr>
          <w:rFonts w:hint="eastAsia" w:ascii="宋体" w:hAnsi="宋体" w:cs="宋体"/>
          <w:b w:val="0"/>
          <w:color w:val="auto"/>
          <w:kern w:val="0"/>
          <w:sz w:val="24"/>
          <w:szCs w:val="24"/>
          <w:highlight w:val="none"/>
          <w:u w:val="none"/>
          <w:lang w:eastAsia="zh-CN"/>
        </w:rPr>
        <w:t>2026年度执法船艇维修保养项目</w:t>
      </w:r>
    </w:p>
    <w:p w14:paraId="35F8640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数量：1项</w:t>
      </w:r>
    </w:p>
    <w:p w14:paraId="6336069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预算金额（元）：</w:t>
      </w:r>
      <w:r>
        <w:rPr>
          <w:rFonts w:hint="eastAsia" w:ascii="宋体" w:hAnsi="宋体" w:cs="宋体"/>
          <w:b w:val="0"/>
          <w:bCs w:val="0"/>
          <w:color w:val="auto"/>
          <w:sz w:val="24"/>
          <w:szCs w:val="24"/>
          <w:highlight w:val="none"/>
          <w:u w:val="none"/>
          <w:lang w:val="en-US" w:eastAsia="zh-CN"/>
        </w:rPr>
        <w:t>871700.00</w:t>
      </w:r>
    </w:p>
    <w:p w14:paraId="4E62F86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ascii="仿宋" w:hAnsi="仿宋"/>
          <w:color w:val="auto"/>
          <w:sz w:val="24"/>
          <w:szCs w:val="24"/>
          <w:highlight w:val="none"/>
        </w:rPr>
        <w:t>简要规格描述或项目基本概况介绍、用途：</w:t>
      </w:r>
      <w:r>
        <w:rPr>
          <w:rFonts w:hint="eastAsia" w:ascii="仿宋" w:hAnsi="仿宋"/>
          <w:color w:val="auto"/>
          <w:sz w:val="24"/>
          <w:szCs w:val="24"/>
          <w:highlight w:val="none"/>
          <w:lang w:val="en-US" w:eastAsia="zh-CN"/>
        </w:rPr>
        <w:t>为北海市海洋与渔业综合执法支队各执法船艇提供维修保养服务</w:t>
      </w:r>
      <w:r>
        <w:rPr>
          <w:rFonts w:hint="eastAsia" w:ascii="仿宋" w:hAnsi="仿宋"/>
          <w:color w:val="auto"/>
          <w:sz w:val="24"/>
          <w:szCs w:val="24"/>
          <w:highlight w:val="none"/>
        </w:rPr>
        <w:t>，</w:t>
      </w:r>
      <w:r>
        <w:rPr>
          <w:rFonts w:hint="eastAsia" w:ascii="仿宋" w:hAnsi="仿宋"/>
          <w:color w:val="auto"/>
          <w:sz w:val="24"/>
          <w:szCs w:val="24"/>
          <w:highlight w:val="none"/>
          <w:lang w:val="en-US" w:eastAsia="zh-CN"/>
        </w:rPr>
        <w:t>具体内容</w:t>
      </w:r>
      <w:r>
        <w:rPr>
          <w:rFonts w:hint="eastAsia" w:ascii="仿宋" w:hAnsi="仿宋"/>
          <w:color w:val="auto"/>
          <w:sz w:val="24"/>
          <w:szCs w:val="24"/>
          <w:highlight w:val="none"/>
        </w:rPr>
        <w:t>详见</w:t>
      </w:r>
      <w:r>
        <w:rPr>
          <w:rFonts w:hint="eastAsia" w:ascii="仿宋" w:hAnsi="仿宋"/>
          <w:color w:val="auto"/>
          <w:sz w:val="24"/>
          <w:szCs w:val="24"/>
          <w:highlight w:val="none"/>
          <w:lang w:val="en-US" w:eastAsia="zh-CN"/>
        </w:rPr>
        <w:t>竞争性</w:t>
      </w:r>
      <w:r>
        <w:rPr>
          <w:rFonts w:hint="eastAsia" w:ascii="仿宋" w:hAnsi="仿宋"/>
          <w:color w:val="auto"/>
          <w:sz w:val="24"/>
          <w:szCs w:val="24"/>
          <w:highlight w:val="none"/>
        </w:rPr>
        <w:t>磋商文件</w:t>
      </w:r>
      <w:r>
        <w:rPr>
          <w:rFonts w:hint="eastAsia"/>
          <w:color w:val="auto"/>
          <w:sz w:val="24"/>
          <w:szCs w:val="24"/>
          <w:highlight w:val="none"/>
        </w:rPr>
        <w:t>。</w:t>
      </w:r>
    </w:p>
    <w:p w14:paraId="7DDA708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宋体" w:hAnsi="宋体" w:cs="宋体"/>
          <w:color w:val="auto"/>
          <w:sz w:val="24"/>
          <w:szCs w:val="24"/>
          <w:highlight w:val="none"/>
          <w:lang w:val="en-US"/>
        </w:rPr>
      </w:pPr>
      <w:r>
        <w:rPr>
          <w:rFonts w:ascii="宋体" w:hAnsi="宋体" w:cs="宋体"/>
          <w:color w:val="auto"/>
          <w:sz w:val="24"/>
          <w:szCs w:val="24"/>
          <w:highlight w:val="none"/>
        </w:rPr>
        <w:t>最高限价（如有）：</w:t>
      </w:r>
      <w:r>
        <w:rPr>
          <w:rFonts w:hint="eastAsia" w:ascii="宋体" w:hAnsi="宋体" w:cs="宋体"/>
          <w:b w:val="0"/>
          <w:bCs w:val="0"/>
          <w:color w:val="auto"/>
          <w:sz w:val="24"/>
          <w:szCs w:val="24"/>
          <w:highlight w:val="none"/>
          <w:u w:val="none"/>
          <w:lang w:val="en-US" w:eastAsia="zh-CN"/>
        </w:rPr>
        <w:t>871700.00</w:t>
      </w:r>
    </w:p>
    <w:p w14:paraId="6BA0B93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color w:val="auto"/>
          <w:sz w:val="24"/>
          <w:szCs w:val="24"/>
          <w:highlight w:val="none"/>
          <w:lang w:val="en-US" w:eastAsia="zh-CN"/>
        </w:rPr>
      </w:pPr>
      <w:r>
        <w:rPr>
          <w:rFonts w:hint="eastAsia" w:ascii="仿宋" w:hAnsi="仿宋"/>
          <w:color w:val="auto"/>
          <w:sz w:val="24"/>
          <w:szCs w:val="24"/>
          <w:highlight w:val="none"/>
        </w:rPr>
        <w:t>合同履约期限：</w:t>
      </w:r>
      <w:r>
        <w:rPr>
          <w:rFonts w:hint="eastAsia" w:ascii="仿宋" w:hAnsi="仿宋"/>
          <w:color w:val="auto"/>
          <w:sz w:val="24"/>
          <w:szCs w:val="24"/>
          <w:highlight w:val="none"/>
          <w:lang w:val="en-US" w:eastAsia="zh-CN"/>
        </w:rPr>
        <w:t>详见磋商文件采购需求。</w:t>
      </w:r>
    </w:p>
    <w:p w14:paraId="3153E74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仿宋" w:hAnsi="仿宋" w:eastAsia="宋体" w:cs="Times New Roman"/>
          <w:color w:val="auto"/>
          <w:sz w:val="24"/>
          <w:szCs w:val="24"/>
          <w:highlight w:val="none"/>
        </w:rPr>
      </w:pPr>
      <w:r>
        <w:rPr>
          <w:rFonts w:ascii="仿宋" w:hAnsi="仿宋" w:eastAsia="宋体" w:cs="Times New Roman"/>
          <w:color w:val="auto"/>
          <w:sz w:val="24"/>
          <w:szCs w:val="24"/>
          <w:highlight w:val="none"/>
        </w:rPr>
        <w:t>本标项</w:t>
      </w:r>
      <w:r>
        <w:rPr>
          <w:rFonts w:hint="default" w:ascii="仿宋" w:hAnsi="仿宋" w:eastAsia="宋体" w:cs="Times New Roman"/>
          <w:color w:val="auto"/>
          <w:sz w:val="24"/>
          <w:szCs w:val="24"/>
          <w:highlight w:val="none"/>
          <w:lang w:eastAsia="zh-CN"/>
        </w:rPr>
        <w:t>（否）接受</w:t>
      </w:r>
      <w:r>
        <w:rPr>
          <w:rFonts w:ascii="仿宋" w:hAnsi="仿宋" w:eastAsia="宋体" w:cs="Times New Roman"/>
          <w:color w:val="auto"/>
          <w:sz w:val="24"/>
          <w:szCs w:val="24"/>
          <w:highlight w:val="none"/>
        </w:rPr>
        <w:t>联合体</w:t>
      </w:r>
      <w:r>
        <w:rPr>
          <w:rFonts w:hint="default" w:ascii="仿宋" w:hAnsi="仿宋" w:eastAsia="宋体" w:cs="Times New Roman"/>
          <w:color w:val="auto"/>
          <w:sz w:val="24"/>
          <w:szCs w:val="24"/>
          <w:highlight w:val="none"/>
          <w:lang w:eastAsia="zh-CN"/>
        </w:rPr>
        <w:t>投标</w:t>
      </w:r>
      <w:r>
        <w:rPr>
          <w:rFonts w:hint="default" w:ascii="仿宋" w:hAnsi="仿宋" w:eastAsia="宋体" w:cs="Times New Roman"/>
          <w:color w:val="auto"/>
          <w:sz w:val="24"/>
          <w:szCs w:val="24"/>
          <w:highlight w:val="none"/>
        </w:rPr>
        <w:t>。</w:t>
      </w:r>
    </w:p>
    <w:p w14:paraId="623ED84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仿宋" w:hAnsi="仿宋" w:eastAsia="宋体" w:cs="Times New Roman"/>
          <w:color w:val="auto"/>
          <w:kern w:val="0"/>
          <w:sz w:val="24"/>
          <w:szCs w:val="24"/>
          <w:highlight w:val="none"/>
        </w:rPr>
      </w:pPr>
      <w:r>
        <w:rPr>
          <w:rFonts w:ascii="仿宋" w:hAnsi="仿宋" w:eastAsia="宋体" w:cs="Times New Roman"/>
          <w:i w:val="0"/>
          <w:iCs w:val="0"/>
          <w:caps w:val="0"/>
          <w:color w:val="auto"/>
          <w:spacing w:val="0"/>
          <w:kern w:val="0"/>
          <w:sz w:val="24"/>
          <w:szCs w:val="24"/>
          <w:highlight w:val="none"/>
          <w:shd w:val="clear" w:color="auto" w:fill="auto"/>
        </w:rPr>
        <w:t>备注：</w:t>
      </w:r>
      <w:r>
        <w:rPr>
          <w:rFonts w:hint="default" w:ascii="仿宋" w:hAnsi="仿宋" w:eastAsia="宋体" w:cs="Times New Roman"/>
          <w:i w:val="0"/>
          <w:iCs w:val="0"/>
          <w:caps w:val="0"/>
          <w:color w:val="auto"/>
          <w:spacing w:val="0"/>
          <w:kern w:val="0"/>
          <w:sz w:val="24"/>
          <w:szCs w:val="24"/>
          <w:highlight w:val="none"/>
          <w:shd w:val="clear" w:color="auto" w:fill="auto"/>
        </w:rPr>
        <w:t>/</w:t>
      </w:r>
    </w:p>
    <w:p w14:paraId="24FD2015">
      <w:pP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二、申请人的资格要求：</w:t>
      </w:r>
    </w:p>
    <w:p w14:paraId="16BA0D35">
      <w:pP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1.满足《中华人民共和国政府采购法》第二十二条规定；</w:t>
      </w:r>
    </w:p>
    <w:p w14:paraId="3560C8A0">
      <w:pPr>
        <w:spacing w:line="360" w:lineRule="auto"/>
        <w:ind w:firstLine="420"/>
        <w:rPr>
          <w:rFonts w:hint="eastAsia" w:ascii="宋体" w:hAnsi="宋体" w:cs="宋体"/>
          <w:color w:val="auto"/>
          <w:kern w:val="1"/>
          <w:sz w:val="24"/>
          <w:szCs w:val="24"/>
          <w:highlight w:val="none"/>
          <w:lang w:val="en-US" w:eastAsia="zh-CN"/>
        </w:rPr>
      </w:pPr>
      <w:r>
        <w:rPr>
          <w:rFonts w:hint="eastAsia" w:ascii="宋体" w:hAnsi="宋体" w:cs="宋体"/>
          <w:color w:val="auto"/>
          <w:kern w:val="1"/>
          <w:sz w:val="24"/>
          <w:szCs w:val="24"/>
          <w:highlight w:val="none"/>
        </w:rPr>
        <w:t>2.落实政府采购政策需满足的资格要求：</w:t>
      </w:r>
      <w:r>
        <w:rPr>
          <w:rFonts w:hint="eastAsia" w:ascii="宋体" w:hAnsi="宋体" w:cs="宋体"/>
          <w:color w:val="auto"/>
          <w:kern w:val="1"/>
          <w:sz w:val="24"/>
          <w:szCs w:val="24"/>
          <w:highlight w:val="none"/>
          <w:lang w:val="en-US" w:eastAsia="zh-CN"/>
        </w:rPr>
        <w:t>本项目专门面向小微企业采购，服务全部由符合政策要求的小微企业承接，监狱企业、残疾人福利性单位视同小型和微型企业。</w:t>
      </w:r>
    </w:p>
    <w:p w14:paraId="2452602E">
      <w:pPr>
        <w:spacing w:line="360" w:lineRule="auto"/>
        <w:ind w:firstLine="420"/>
        <w:rPr>
          <w:rFonts w:hint="default" w:eastAsia="宋体"/>
          <w:color w:val="auto"/>
          <w:kern w:val="2"/>
          <w:sz w:val="24"/>
          <w:szCs w:val="24"/>
          <w:highlight w:val="none"/>
          <w:lang w:val="en-US" w:eastAsia="zh-CN"/>
        </w:rPr>
      </w:pPr>
      <w:r>
        <w:rPr>
          <w:rFonts w:hint="eastAsia" w:cs="宋体"/>
          <w:color w:val="auto"/>
          <w:kern w:val="1"/>
          <w:sz w:val="24"/>
          <w:szCs w:val="24"/>
          <w:highlight w:val="none"/>
        </w:rPr>
        <w:t>3.本项目的特定资格要求：</w:t>
      </w:r>
      <w:r>
        <w:rPr>
          <w:rFonts w:hint="eastAsia" w:ascii="宋体" w:hAnsi="宋体" w:cs="宋体"/>
          <w:color w:val="auto"/>
          <w:kern w:val="1"/>
          <w:sz w:val="24"/>
          <w:szCs w:val="24"/>
          <w:highlight w:val="none"/>
          <w:lang w:val="en-US" w:eastAsia="zh-CN"/>
        </w:rPr>
        <w:t>无。</w:t>
      </w:r>
    </w:p>
    <w:p w14:paraId="67498CB8">
      <w:pPr>
        <w:pStyle w:val="633"/>
        <w:ind w:firstLine="0"/>
        <w:rPr>
          <w:b/>
          <w:color w:val="auto"/>
          <w:highlight w:val="none"/>
        </w:rPr>
      </w:pPr>
      <w:r>
        <w:rPr>
          <w:rFonts w:hint="eastAsia"/>
          <w:b/>
          <w:color w:val="auto"/>
          <w:highlight w:val="none"/>
        </w:rPr>
        <w:t>三、获取（下载）采购文件</w:t>
      </w:r>
    </w:p>
    <w:p w14:paraId="0859047B">
      <w:pPr>
        <w:spacing w:line="360" w:lineRule="auto"/>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时间：202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8</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26</w:t>
      </w:r>
      <w:r>
        <w:rPr>
          <w:rFonts w:hint="eastAsia" w:cs="宋体" w:asciiTheme="minorEastAsia" w:hAnsiTheme="minorEastAsia" w:eastAsiaTheme="minorEastAsia"/>
          <w:color w:val="auto"/>
          <w:sz w:val="24"/>
          <w:highlight w:val="none"/>
        </w:rPr>
        <w:t>日至202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9</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日，每天上午</w:t>
      </w:r>
      <w:r>
        <w:rPr>
          <w:rFonts w:hint="eastAsia" w:asciiTheme="minorEastAsia" w:hAnsiTheme="minorEastAsia" w:eastAsiaTheme="minorEastAsia"/>
          <w:color w:val="auto"/>
          <w:sz w:val="24"/>
          <w:highlight w:val="none"/>
        </w:rPr>
        <w:t>00:00至12:00 ，下午12:00至23:59</w:t>
      </w:r>
      <w:r>
        <w:rPr>
          <w:rFonts w:hint="eastAsia" w:cs="宋体" w:asciiTheme="minorEastAsia" w:hAnsiTheme="minorEastAsia" w:eastAsiaTheme="minorEastAsia"/>
          <w:color w:val="auto"/>
          <w:sz w:val="24"/>
          <w:highlight w:val="none"/>
        </w:rPr>
        <w:t>（北京时间，法定节假日除外）；</w:t>
      </w:r>
    </w:p>
    <w:p w14:paraId="083EB6A2">
      <w:pPr>
        <w:spacing w:line="360" w:lineRule="auto"/>
        <w:ind w:firstLine="540"/>
        <w:rPr>
          <w:rFonts w:cs="宋体" w:asciiTheme="minorEastAsia" w:hAnsiTheme="minorEastAsia" w:eastAsiaTheme="minorEastAsia"/>
          <w:color w:val="auto"/>
          <w:sz w:val="28"/>
          <w:szCs w:val="28"/>
          <w:highlight w:val="none"/>
          <w:u w:val="single"/>
        </w:rPr>
      </w:pPr>
      <w:r>
        <w:rPr>
          <w:rFonts w:hint="eastAsia" w:cs="宋体" w:asciiTheme="minorEastAsia" w:hAnsiTheme="minorEastAsia" w:eastAsiaTheme="minorEastAsia"/>
          <w:color w:val="auto"/>
          <w:sz w:val="24"/>
          <w:highlight w:val="none"/>
        </w:rPr>
        <w:t>地点（网址）：</w:t>
      </w:r>
      <w:r>
        <w:rPr>
          <w:rFonts w:hint="eastAsia" w:ascii="宋体" w:hAnsi="宋体" w:cs="宋体"/>
          <w:color w:val="auto"/>
          <w:sz w:val="24"/>
          <w:highlight w:val="none"/>
        </w:rPr>
        <w:t>广西政府采购云平台（https://www.gcy.zfcg.gxzf.gov.cn/）</w:t>
      </w:r>
    </w:p>
    <w:p w14:paraId="00F1BA56">
      <w:pPr>
        <w:spacing w:line="360" w:lineRule="auto"/>
        <w:ind w:firstLine="540"/>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方式：供应商登录</w:t>
      </w:r>
      <w:r>
        <w:rPr>
          <w:rFonts w:hint="eastAsia" w:ascii="宋体" w:hAnsi="宋体" w:cs="宋体"/>
          <w:color w:val="auto"/>
          <w:sz w:val="24"/>
          <w:highlight w:val="none"/>
        </w:rPr>
        <w:t>广西政府采购云平台（https://www.gcy.zfcg.gxzf.gov.cn/）</w:t>
      </w:r>
      <w:r>
        <w:rPr>
          <w:rFonts w:hint="eastAsia" w:cs="宋体" w:asciiTheme="minorEastAsia" w:hAnsiTheme="minorEastAsia" w:eastAsiaTheme="minorEastAsia"/>
          <w:color w:val="auto"/>
          <w:sz w:val="24"/>
          <w:highlight w:val="none"/>
        </w:rPr>
        <w:t>在线申请获取采购文件（进入“项目采购”应用，在获取采购文件菜单中选择项目，申请获取采购文件）。</w:t>
      </w:r>
    </w:p>
    <w:p w14:paraId="1605BD60">
      <w:pPr>
        <w:spacing w:line="360" w:lineRule="auto"/>
        <w:ind w:firstLine="540"/>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b/>
          <w:color w:val="auto"/>
          <w:sz w:val="24"/>
          <w:highlight w:val="none"/>
        </w:rPr>
        <w:t>售价：</w:t>
      </w:r>
      <w:r>
        <w:rPr>
          <w:rFonts w:hint="eastAsia" w:cs="仿宋_GB2312" w:asciiTheme="minorEastAsia" w:hAnsiTheme="minorEastAsia" w:eastAsiaTheme="minorEastAsia"/>
          <w:color w:val="auto"/>
          <w:sz w:val="24"/>
          <w:highlight w:val="none"/>
        </w:rPr>
        <w:t>0。</w:t>
      </w:r>
    </w:p>
    <w:p w14:paraId="19ACB483">
      <w:pPr>
        <w:pStyle w:val="633"/>
        <w:ind w:firstLine="0"/>
        <w:rPr>
          <w:b/>
          <w:color w:val="auto"/>
          <w:highlight w:val="none"/>
        </w:rPr>
      </w:pPr>
      <w:bookmarkStart w:id="12" w:name="_Toc28359092"/>
      <w:bookmarkStart w:id="13" w:name="_Toc35393801"/>
      <w:bookmarkStart w:id="14" w:name="_Toc28359015"/>
      <w:bookmarkStart w:id="15" w:name="_Toc35393632"/>
      <w:r>
        <w:rPr>
          <w:rFonts w:hint="eastAsia"/>
          <w:b/>
          <w:color w:val="auto"/>
          <w:highlight w:val="none"/>
        </w:rPr>
        <w:t>四、响应文件提交</w:t>
      </w:r>
      <w:bookmarkEnd w:id="12"/>
      <w:bookmarkEnd w:id="13"/>
      <w:bookmarkEnd w:id="14"/>
      <w:bookmarkEnd w:id="15"/>
    </w:p>
    <w:p w14:paraId="0197F4C2">
      <w:pP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截止时间：202</w:t>
      </w:r>
      <w:r>
        <w:rPr>
          <w:rFonts w:hint="eastAsia" w:asciiTheme="minorEastAsia" w:hAnsiTheme="minorEastAsia" w:eastAsiaTheme="minorEastAsia"/>
          <w:color w:val="auto"/>
          <w:sz w:val="24"/>
          <w:highlight w:val="none"/>
          <w:u w:val="none"/>
          <w:lang w:val="en-US" w:eastAsia="zh-CN"/>
        </w:rPr>
        <w:t>6</w:t>
      </w:r>
      <w:r>
        <w:rPr>
          <w:rFonts w:hint="eastAsia" w:asciiTheme="minorEastAsia" w:hAnsiTheme="minorEastAsia" w:eastAsiaTheme="minorEastAsia"/>
          <w:bCs/>
          <w:color w:val="auto"/>
          <w:sz w:val="24"/>
          <w:highlight w:val="none"/>
          <w:u w:val="none"/>
        </w:rPr>
        <w:t>年</w:t>
      </w:r>
      <w:r>
        <w:rPr>
          <w:rFonts w:hint="eastAsia" w:asciiTheme="minorEastAsia" w:hAnsiTheme="minorEastAsia" w:eastAsiaTheme="minorEastAsia"/>
          <w:bCs/>
          <w:color w:val="auto"/>
          <w:sz w:val="24"/>
          <w:highlight w:val="none"/>
          <w:u w:val="none"/>
          <w:lang w:val="en-US" w:eastAsia="zh-CN"/>
        </w:rPr>
        <w:t>9</w:t>
      </w:r>
      <w:r>
        <w:rPr>
          <w:rFonts w:hint="eastAsia" w:asciiTheme="minorEastAsia" w:hAnsiTheme="minorEastAsia" w:eastAsiaTheme="minorEastAsia"/>
          <w:bCs/>
          <w:color w:val="auto"/>
          <w:sz w:val="24"/>
          <w:highlight w:val="none"/>
          <w:u w:val="none"/>
        </w:rPr>
        <w:t>月</w:t>
      </w:r>
      <w:r>
        <w:rPr>
          <w:rFonts w:hint="eastAsia" w:asciiTheme="minorEastAsia" w:hAnsiTheme="minorEastAsia" w:eastAsiaTheme="minorEastAsia"/>
          <w:bCs/>
          <w:color w:val="auto"/>
          <w:sz w:val="24"/>
          <w:highlight w:val="none"/>
          <w:u w:val="none"/>
          <w:lang w:val="en-US" w:eastAsia="zh-CN"/>
        </w:rPr>
        <w:t>8</w:t>
      </w:r>
      <w:r>
        <w:rPr>
          <w:rFonts w:hint="eastAsia" w:asciiTheme="minorEastAsia" w:hAnsiTheme="minorEastAsia" w:eastAsiaTheme="minorEastAsia"/>
          <w:bCs/>
          <w:color w:val="auto"/>
          <w:sz w:val="24"/>
          <w:highlight w:val="none"/>
          <w:u w:val="none"/>
        </w:rPr>
        <w:t>日</w:t>
      </w:r>
      <w:r>
        <w:rPr>
          <w:rFonts w:hint="eastAsia" w:asciiTheme="minorEastAsia" w:hAnsiTheme="minorEastAsia" w:eastAsiaTheme="minorEastAsia"/>
          <w:bCs/>
          <w:color w:val="auto"/>
          <w:sz w:val="24"/>
          <w:highlight w:val="none"/>
          <w:u w:val="none"/>
          <w:lang w:val="en-US" w:eastAsia="zh-CN"/>
        </w:rPr>
        <w:t>9时00</w:t>
      </w:r>
      <w:r>
        <w:rPr>
          <w:rFonts w:hint="eastAsia" w:asciiTheme="minorEastAsia" w:hAnsiTheme="minorEastAsia" w:eastAsiaTheme="minorEastAsia"/>
          <w:bCs/>
          <w:color w:val="auto"/>
          <w:sz w:val="24"/>
          <w:highlight w:val="none"/>
          <w:u w:val="none"/>
        </w:rPr>
        <w:t>分（北京时间）</w:t>
      </w:r>
    </w:p>
    <w:p w14:paraId="5F9C65CE">
      <w:pP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广西政府采购云平台（https://www.gcy.zfcg.gxzf.gov.cn/）</w:t>
      </w:r>
      <w:r>
        <w:rPr>
          <w:rFonts w:hint="eastAsia" w:cs="仿宋_GB2312" w:asciiTheme="minorEastAsia" w:hAnsiTheme="minorEastAsia" w:eastAsiaTheme="minorEastAsia"/>
          <w:b/>
          <w:color w:val="auto"/>
          <w:sz w:val="24"/>
          <w:highlight w:val="none"/>
          <w:u w:val="none"/>
        </w:rPr>
        <w:t>。</w:t>
      </w:r>
    </w:p>
    <w:p w14:paraId="34FB8390">
      <w:pPr>
        <w:pStyle w:val="633"/>
        <w:ind w:firstLine="0"/>
        <w:rPr>
          <w:b/>
          <w:color w:val="auto"/>
          <w:highlight w:val="none"/>
          <w:u w:val="none"/>
        </w:rPr>
      </w:pPr>
      <w:bookmarkStart w:id="16" w:name="_Toc28359016"/>
      <w:bookmarkStart w:id="17" w:name="_Toc28359093"/>
      <w:bookmarkStart w:id="18" w:name="_Toc35393802"/>
      <w:bookmarkStart w:id="19" w:name="_Toc35393633"/>
      <w:r>
        <w:rPr>
          <w:rFonts w:hint="eastAsia"/>
          <w:b/>
          <w:color w:val="auto"/>
          <w:highlight w:val="none"/>
          <w:u w:val="none"/>
        </w:rPr>
        <w:t>五、响应文件开启</w:t>
      </w:r>
      <w:bookmarkEnd w:id="16"/>
      <w:bookmarkEnd w:id="17"/>
      <w:bookmarkEnd w:id="18"/>
      <w:bookmarkEnd w:id="19"/>
    </w:p>
    <w:p w14:paraId="381DA522">
      <w:pP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时间：202</w:t>
      </w:r>
      <w:r>
        <w:rPr>
          <w:rFonts w:hint="eastAsia" w:asciiTheme="minorEastAsia" w:hAnsiTheme="minorEastAsia" w:eastAsiaTheme="minorEastAsia"/>
          <w:color w:val="auto"/>
          <w:sz w:val="24"/>
          <w:highlight w:val="none"/>
          <w:u w:val="none"/>
          <w:lang w:val="en-US" w:eastAsia="zh-CN"/>
        </w:rPr>
        <w:t>6</w:t>
      </w:r>
      <w:r>
        <w:rPr>
          <w:rFonts w:hint="eastAsia" w:asciiTheme="minorEastAsia" w:hAnsiTheme="minorEastAsia" w:eastAsiaTheme="minorEastAsia"/>
          <w:bCs/>
          <w:color w:val="auto"/>
          <w:sz w:val="24"/>
          <w:highlight w:val="none"/>
          <w:u w:val="none"/>
        </w:rPr>
        <w:t>年</w:t>
      </w:r>
      <w:r>
        <w:rPr>
          <w:rFonts w:hint="eastAsia" w:asciiTheme="minorEastAsia" w:hAnsiTheme="minorEastAsia" w:eastAsiaTheme="minorEastAsia"/>
          <w:bCs/>
          <w:color w:val="auto"/>
          <w:sz w:val="24"/>
          <w:highlight w:val="none"/>
          <w:u w:val="none"/>
          <w:lang w:val="en-US" w:eastAsia="zh-CN"/>
        </w:rPr>
        <w:t>9</w:t>
      </w:r>
      <w:r>
        <w:rPr>
          <w:rFonts w:hint="eastAsia" w:asciiTheme="minorEastAsia" w:hAnsiTheme="minorEastAsia" w:eastAsiaTheme="minorEastAsia"/>
          <w:bCs/>
          <w:color w:val="auto"/>
          <w:sz w:val="24"/>
          <w:highlight w:val="none"/>
          <w:u w:val="none"/>
        </w:rPr>
        <w:t>月</w:t>
      </w:r>
      <w:r>
        <w:rPr>
          <w:rFonts w:hint="eastAsia" w:asciiTheme="minorEastAsia" w:hAnsiTheme="minorEastAsia" w:eastAsiaTheme="minorEastAsia"/>
          <w:bCs/>
          <w:color w:val="auto"/>
          <w:sz w:val="24"/>
          <w:highlight w:val="none"/>
          <w:u w:val="none"/>
          <w:lang w:val="en-US" w:eastAsia="zh-CN"/>
        </w:rPr>
        <w:t>8</w:t>
      </w:r>
      <w:r>
        <w:rPr>
          <w:rFonts w:hint="eastAsia" w:asciiTheme="minorEastAsia" w:hAnsiTheme="minorEastAsia" w:eastAsiaTheme="minorEastAsia"/>
          <w:bCs/>
          <w:color w:val="auto"/>
          <w:sz w:val="24"/>
          <w:highlight w:val="none"/>
          <w:u w:val="none"/>
        </w:rPr>
        <w:t>日</w:t>
      </w:r>
      <w:r>
        <w:rPr>
          <w:rFonts w:hint="eastAsia" w:asciiTheme="minorEastAsia" w:hAnsiTheme="minorEastAsia" w:eastAsiaTheme="minorEastAsia"/>
          <w:bCs/>
          <w:color w:val="auto"/>
          <w:sz w:val="24"/>
          <w:highlight w:val="none"/>
          <w:u w:val="none"/>
          <w:lang w:val="en-US" w:eastAsia="zh-CN"/>
        </w:rPr>
        <w:t>9时00</w:t>
      </w:r>
      <w:r>
        <w:rPr>
          <w:rFonts w:hint="eastAsia" w:asciiTheme="minorEastAsia" w:hAnsiTheme="minorEastAsia" w:eastAsiaTheme="minorEastAsia"/>
          <w:bCs/>
          <w:color w:val="auto"/>
          <w:sz w:val="24"/>
          <w:highlight w:val="none"/>
          <w:u w:val="none"/>
        </w:rPr>
        <w:t>分（北京时间）</w:t>
      </w:r>
    </w:p>
    <w:p w14:paraId="610869F6">
      <w:pP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w:t>
      </w:r>
      <w:r>
        <w:rPr>
          <w:rFonts w:hint="eastAsia" w:ascii="宋体" w:hAnsi="宋体" w:cs="宋体"/>
          <w:color w:val="auto"/>
          <w:sz w:val="24"/>
          <w:highlight w:val="none"/>
        </w:rPr>
        <w:t>tps://www.gcy.zfcg.gxzf.gov.cn/）</w:t>
      </w:r>
      <w:r>
        <w:rPr>
          <w:rFonts w:hint="eastAsia" w:cs="宋体" w:asciiTheme="minorEastAsia" w:hAnsiTheme="minorEastAsia" w:eastAsiaTheme="minorEastAsia"/>
          <w:color w:val="auto"/>
          <w:sz w:val="24"/>
          <w:highlight w:val="none"/>
        </w:rPr>
        <w:t>。</w:t>
      </w:r>
    </w:p>
    <w:p w14:paraId="72D6689F">
      <w:pPr>
        <w:pStyle w:val="633"/>
        <w:ind w:firstLine="0"/>
        <w:rPr>
          <w:b/>
          <w:color w:val="auto"/>
          <w:highlight w:val="none"/>
        </w:rPr>
      </w:pPr>
      <w:bookmarkStart w:id="20" w:name="_Toc35393803"/>
      <w:bookmarkStart w:id="21" w:name="_Toc35393634"/>
      <w:bookmarkStart w:id="22" w:name="_Toc28359017"/>
      <w:bookmarkStart w:id="23" w:name="_Toc28359094"/>
      <w:r>
        <w:rPr>
          <w:rFonts w:hint="eastAsia"/>
          <w:b/>
          <w:color w:val="auto"/>
          <w:highlight w:val="none"/>
        </w:rPr>
        <w:t>六、公告期限</w:t>
      </w:r>
      <w:bookmarkEnd w:id="20"/>
      <w:bookmarkEnd w:id="21"/>
      <w:bookmarkEnd w:id="22"/>
      <w:bookmarkEnd w:id="23"/>
    </w:p>
    <w:p w14:paraId="79311CDA">
      <w:pPr>
        <w:spacing w:line="360" w:lineRule="auto"/>
        <w:ind w:firstLine="480" w:firstLineChars="200"/>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自本公告发布之日起3个工作日。</w:t>
      </w:r>
    </w:p>
    <w:p w14:paraId="2F8D4C0C">
      <w:pPr>
        <w:pStyle w:val="633"/>
        <w:ind w:firstLine="0"/>
        <w:rPr>
          <w:b/>
          <w:color w:val="auto"/>
          <w:highlight w:val="none"/>
        </w:rPr>
      </w:pPr>
      <w:bookmarkStart w:id="24" w:name="_Toc35393804"/>
      <w:bookmarkStart w:id="25" w:name="_Toc35393635"/>
      <w:r>
        <w:rPr>
          <w:rFonts w:hint="eastAsia"/>
          <w:b/>
          <w:color w:val="auto"/>
          <w:highlight w:val="none"/>
        </w:rPr>
        <w:t>七、其他补充事宜</w:t>
      </w:r>
      <w:bookmarkEnd w:id="24"/>
      <w:bookmarkEnd w:id="25"/>
    </w:p>
    <w:p w14:paraId="6DD43C77">
      <w:pPr>
        <w:adjustRightIn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1.磋商保证金：</w:t>
      </w:r>
      <w:r>
        <w:rPr>
          <w:rFonts w:hint="eastAsia" w:ascii="宋体" w:hAnsi="宋体" w:cs="宋体"/>
          <w:color w:val="auto"/>
          <w:sz w:val="24"/>
          <w:szCs w:val="24"/>
          <w:highlight w:val="none"/>
          <w:lang w:val="en-US" w:eastAsia="zh-CN"/>
        </w:rPr>
        <w:t>本项目不收取磋商保证金</w:t>
      </w:r>
      <w:r>
        <w:rPr>
          <w:rFonts w:hint="eastAsia" w:ascii="宋体" w:hAnsi="宋体" w:cs="宋体"/>
          <w:color w:val="auto"/>
          <w:sz w:val="24"/>
          <w:szCs w:val="24"/>
          <w:highlight w:val="none"/>
        </w:rPr>
        <w:t>。</w:t>
      </w:r>
    </w:p>
    <w:p w14:paraId="2304B658">
      <w:pPr>
        <w:adjustRightIn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工程项目，以及预留份额政府采购工程项目中的非预留部分标项，对小型和微型企业的磋商报价给予3%-5%的扣除，用扣除后的价格参与评审。（4）支持监狱企业、残疾人福利性单位发展：监狱企业、残疾人福利性单位视同小型和微型企业。（5）支持创新发展：优先采购被认定为首台</w:t>
      </w:r>
      <w:r>
        <w:rPr>
          <w:rFonts w:hint="eastAsia" w:ascii="宋体" w:hAnsi="宋体" w:cs="宋体"/>
          <w:color w:val="auto"/>
          <w:sz w:val="24"/>
          <w:szCs w:val="24"/>
          <w:highlight w:val="none"/>
          <w:lang w:val="en-US" w:eastAsia="zh-CN"/>
        </w:rPr>
        <w:t>首</w:t>
      </w:r>
      <w:r>
        <w:rPr>
          <w:rFonts w:hint="eastAsia" w:ascii="宋体" w:hAnsi="宋体" w:cs="宋体"/>
          <w:color w:val="auto"/>
          <w:sz w:val="24"/>
          <w:szCs w:val="24"/>
          <w:highlight w:val="none"/>
        </w:rPr>
        <w:t>套产品和“制造精品”的自主创新产品。（6）平等对待内外资企业和符合条件的破产重整企业。</w:t>
      </w:r>
    </w:p>
    <w:p w14:paraId="0EB25A9B">
      <w:pPr>
        <w:adjustRightIn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其他要求：（1）</w:t>
      </w:r>
      <w:r>
        <w:rPr>
          <w:rFonts w:hint="eastAsia" w:ascii="宋体" w:hAnsi="宋体" w:cs="宋体"/>
          <w:color w:val="auto"/>
          <w:sz w:val="24"/>
          <w:szCs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5A845B5">
      <w:pPr>
        <w:adjustRightIn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未被“信用中国”（www.creditchina.gov.cn)、中国政府采购网（www.ccgp.gov.cn）列入失信被执行人、</w:t>
      </w:r>
      <w:r>
        <w:rPr>
          <w:rFonts w:hint="eastAsia" w:ascii="宋体" w:hAnsi="宋体" w:cs="宋体"/>
          <w:color w:val="auto"/>
          <w:sz w:val="24"/>
          <w:szCs w:val="24"/>
          <w:highlight w:val="none"/>
          <w:lang w:eastAsia="zh-CN"/>
        </w:rPr>
        <w:t>重大税收违法失信主体名单</w:t>
      </w:r>
      <w:r>
        <w:rPr>
          <w:rFonts w:hint="eastAsia" w:ascii="宋体" w:hAnsi="宋体" w:cs="宋体"/>
          <w:color w:val="auto"/>
          <w:sz w:val="24"/>
          <w:szCs w:val="24"/>
          <w:highlight w:val="none"/>
        </w:rPr>
        <w:t>、政府采购严重违法失信行为记录名单</w:t>
      </w:r>
      <w:r>
        <w:rPr>
          <w:rFonts w:hint="eastAsia" w:ascii="宋体" w:hAnsi="宋体" w:cs="宋体"/>
          <w:color w:val="auto"/>
          <w:sz w:val="24"/>
          <w:szCs w:val="24"/>
          <w:highlight w:val="none"/>
          <w:lang w:eastAsia="zh-CN"/>
        </w:rPr>
        <w:t>。</w:t>
      </w:r>
    </w:p>
    <w:p w14:paraId="0CCA11C9">
      <w:pPr>
        <w:adjustRightInd w:val="0"/>
        <w:spacing w:line="360" w:lineRule="auto"/>
        <w:ind w:firstLine="480" w:firstLineChars="200"/>
        <w:rPr>
          <w:color w:val="auto"/>
          <w:sz w:val="24"/>
          <w:szCs w:val="24"/>
          <w:highlight w:val="none"/>
        </w:rPr>
      </w:pPr>
      <w:r>
        <w:rPr>
          <w:rFonts w:hint="eastAsia" w:ascii="宋体" w:hAnsi="宋体" w:cs="宋体"/>
          <w:snapToGrid w:val="0"/>
          <w:color w:val="auto"/>
          <w:kern w:val="28"/>
          <w:sz w:val="24"/>
          <w:szCs w:val="24"/>
          <w:highlight w:val="none"/>
          <w:lang w:val="en-US" w:eastAsia="zh-CN"/>
        </w:rPr>
        <w:t>4.</w:t>
      </w:r>
      <w:r>
        <w:rPr>
          <w:rFonts w:hint="eastAsia" w:ascii="宋体" w:hAnsi="宋体" w:cs="宋体"/>
          <w:snapToGrid w:val="0"/>
          <w:color w:val="auto"/>
          <w:kern w:val="28"/>
          <w:sz w:val="24"/>
          <w:szCs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20E15C71">
      <w:pPr>
        <w:adjustRightIn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.网上公告媒体查询：</w:t>
      </w:r>
      <w:r>
        <w:rPr>
          <w:rFonts w:hint="eastAsia" w:ascii="宋体" w:hAnsi="宋体" w:cs="宋体"/>
          <w:color w:val="auto"/>
          <w:sz w:val="24"/>
          <w:szCs w:val="24"/>
          <w:highlight w:val="none"/>
          <w:lang w:val="en-US" w:eastAsia="zh-CN"/>
        </w:rPr>
        <w:t>中国政府采购网(www.ccgp.gov.cn)、广西壮族自治区政府采购网（http://zfcg.gxzf.gov.cn/）</w:t>
      </w:r>
      <w:r>
        <w:rPr>
          <w:rFonts w:hint="eastAsia" w:ascii="宋体" w:hAnsi="宋体" w:cs="宋体"/>
          <w:color w:val="auto"/>
          <w:sz w:val="24"/>
          <w:szCs w:val="24"/>
          <w:highlight w:val="none"/>
        </w:rPr>
        <w:t>。</w:t>
      </w:r>
    </w:p>
    <w:p w14:paraId="23C65C3B">
      <w:pPr>
        <w:adjustRightIn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0A35A7E4">
      <w:pPr>
        <w:adjustRightIn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49E5BF58">
      <w:pPr>
        <w:adjustRightInd w:val="0"/>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.本项目采用远程异地评标。</w:t>
      </w:r>
    </w:p>
    <w:p w14:paraId="2A0A797F">
      <w:pP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八、凡对本次招标提出询问，请按以下方式联系</w:t>
      </w:r>
    </w:p>
    <w:p w14:paraId="4A6866E9">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1.采购人信息</w:t>
      </w:r>
    </w:p>
    <w:p w14:paraId="2FF51F93">
      <w:pPr>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名 称：</w:t>
      </w:r>
      <w:r>
        <w:rPr>
          <w:rFonts w:hint="eastAsia" w:ascii="宋体" w:hAnsi="宋体"/>
          <w:color w:val="auto"/>
          <w:sz w:val="24"/>
          <w:szCs w:val="24"/>
          <w:highlight w:val="none"/>
          <w:lang w:eastAsia="zh-CN"/>
        </w:rPr>
        <w:t>北海市海洋与渔业综合执法支队</w:t>
      </w:r>
    </w:p>
    <w:p w14:paraId="439B1775">
      <w:pPr>
        <w:spacing w:line="360" w:lineRule="auto"/>
        <w:ind w:firstLine="480" w:firstLineChars="200"/>
        <w:jc w:val="left"/>
        <w:rPr>
          <w:rFonts w:hint="eastAsia" w:ascii="宋体" w:hAnsi="宋体" w:eastAsia="宋体" w:cs="Times New Roman"/>
          <w:color w:val="auto"/>
          <w:sz w:val="24"/>
          <w:szCs w:val="24"/>
          <w:highlight w:val="none"/>
          <w:shd w:val="clear" w:color="auto" w:fill="auto"/>
        </w:rPr>
      </w:pPr>
      <w:r>
        <w:rPr>
          <w:rFonts w:hint="eastAsia" w:ascii="宋体" w:hAnsi="宋体"/>
          <w:color w:val="auto"/>
          <w:sz w:val="24"/>
          <w:szCs w:val="24"/>
          <w:highlight w:val="none"/>
        </w:rPr>
        <w:t>地址：</w:t>
      </w:r>
      <w:bookmarkStart w:id="26" w:name="_Toc28359086"/>
      <w:bookmarkStart w:id="27" w:name="_Toc28359009"/>
      <w:r>
        <w:rPr>
          <w:rFonts w:hint="eastAsia" w:ascii="宋体" w:hAnsi="宋体" w:eastAsia="宋体" w:cs="Times New Roman"/>
          <w:color w:val="auto"/>
          <w:kern w:val="0"/>
          <w:sz w:val="24"/>
          <w:szCs w:val="24"/>
          <w:highlight w:val="none"/>
          <w:shd w:val="clear" w:color="auto" w:fill="auto"/>
          <w:lang w:eastAsia="zh-CN"/>
        </w:rPr>
        <w:t>广西北海市银海区广东南路241号</w:t>
      </w:r>
    </w:p>
    <w:p w14:paraId="00D0FF0F">
      <w:pPr>
        <w:spacing w:line="360" w:lineRule="auto"/>
        <w:ind w:firstLine="480" w:firstLineChars="200"/>
        <w:jc w:val="left"/>
        <w:rPr>
          <w:rFonts w:hint="eastAsia" w:ascii="宋体" w:hAnsi="宋体" w:eastAsia="宋体" w:cs="Times New Roman"/>
          <w:color w:val="auto"/>
          <w:sz w:val="24"/>
          <w:szCs w:val="24"/>
          <w:highlight w:val="none"/>
          <w:shd w:val="clear" w:color="auto" w:fill="auto"/>
          <w:lang w:val="en-US" w:eastAsia="zh-CN"/>
        </w:rPr>
      </w:pPr>
      <w:r>
        <w:rPr>
          <w:rFonts w:hint="eastAsia" w:ascii="宋体" w:hAnsi="宋体" w:eastAsia="宋体" w:cs="Times New Roman"/>
          <w:color w:val="auto"/>
          <w:sz w:val="24"/>
          <w:szCs w:val="24"/>
          <w:highlight w:val="none"/>
          <w:shd w:val="clear" w:color="auto" w:fill="auto"/>
        </w:rPr>
        <w:t>项目联系人：</w:t>
      </w:r>
      <w:r>
        <w:rPr>
          <w:rFonts w:hint="eastAsia" w:ascii="宋体" w:hAnsi="宋体" w:cs="Times New Roman"/>
          <w:color w:val="auto"/>
          <w:sz w:val="24"/>
          <w:szCs w:val="24"/>
          <w:highlight w:val="none"/>
          <w:shd w:val="clear" w:color="auto" w:fill="auto"/>
          <w:lang w:val="en-US" w:eastAsia="zh-CN"/>
        </w:rPr>
        <w:t>符工</w:t>
      </w:r>
    </w:p>
    <w:p w14:paraId="1046FA88">
      <w:pPr>
        <w:spacing w:line="360" w:lineRule="auto"/>
        <w:ind w:firstLine="480" w:firstLineChars="200"/>
        <w:jc w:val="left"/>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项目联系方式：0779-</w:t>
      </w:r>
      <w:r>
        <w:rPr>
          <w:rFonts w:hint="eastAsia" w:ascii="宋体" w:hAnsi="宋体"/>
          <w:color w:val="auto"/>
          <w:sz w:val="24"/>
          <w:szCs w:val="24"/>
          <w:highlight w:val="none"/>
          <w:lang w:val="en-US" w:eastAsia="zh-CN"/>
        </w:rPr>
        <w:t>3058352</w:t>
      </w:r>
    </w:p>
    <w:bookmarkEnd w:id="26"/>
    <w:bookmarkEnd w:id="27"/>
    <w:p w14:paraId="240F175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14:paraId="27305554">
      <w:pPr>
        <w:pStyle w:val="633"/>
        <w:rPr>
          <w:rFonts w:hint="eastAsia"/>
          <w:color w:val="auto"/>
          <w:highlight w:val="none"/>
        </w:rPr>
      </w:pPr>
      <w:r>
        <w:rPr>
          <w:rFonts w:hint="eastAsia"/>
          <w:color w:val="auto"/>
          <w:highlight w:val="none"/>
        </w:rPr>
        <w:t>名    称：</w:t>
      </w:r>
      <w:r>
        <w:rPr>
          <w:rFonts w:hint="eastAsia"/>
          <w:color w:val="auto"/>
          <w:highlight w:val="none"/>
          <w:lang w:val="en-US" w:eastAsia="zh-CN"/>
        </w:rPr>
        <w:t>广西北部湾宏亚建设管理有限公司</w:t>
      </w:r>
      <w:r>
        <w:rPr>
          <w:rFonts w:hint="eastAsia"/>
          <w:color w:val="auto"/>
          <w:highlight w:val="none"/>
        </w:rPr>
        <w:t xml:space="preserve">             </w:t>
      </w:r>
    </w:p>
    <w:p w14:paraId="2955B5FE">
      <w:pPr>
        <w:pStyle w:val="633"/>
        <w:rPr>
          <w:rFonts w:hint="default"/>
          <w:color w:val="auto"/>
          <w:highlight w:val="none"/>
          <w:lang w:val="en-US" w:eastAsia="zh-CN"/>
        </w:rPr>
      </w:pPr>
      <w:r>
        <w:rPr>
          <w:rFonts w:hint="eastAsia"/>
          <w:color w:val="auto"/>
          <w:highlight w:val="none"/>
        </w:rPr>
        <w:t>地    址：</w:t>
      </w:r>
      <w:r>
        <w:rPr>
          <w:rFonts w:hint="eastAsia"/>
          <w:color w:val="auto"/>
          <w:highlight w:val="none"/>
          <w:lang w:eastAsia="zh-CN"/>
        </w:rPr>
        <w:t>广西北海市海城区银河城市科技产业城2栋0101号</w:t>
      </w:r>
      <w:r>
        <w:rPr>
          <w:rFonts w:hint="eastAsia"/>
          <w:color w:val="auto"/>
          <w:highlight w:val="none"/>
        </w:rPr>
        <w:t xml:space="preserve"> </w:t>
      </w:r>
    </w:p>
    <w:p w14:paraId="56359DC4">
      <w:pPr>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韦丽丹</w:t>
      </w:r>
    </w:p>
    <w:p w14:paraId="7E448D2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w:t>
      </w:r>
      <w:r>
        <w:rPr>
          <w:rFonts w:hint="eastAsia" w:ascii="宋体" w:hAnsi="宋体" w:cs="宋体"/>
          <w:color w:val="auto"/>
          <w:sz w:val="24"/>
          <w:highlight w:val="none"/>
          <w:lang w:val="en-US" w:eastAsia="zh-CN"/>
        </w:rPr>
        <w:t>0779-3928925</w:t>
      </w:r>
    </w:p>
    <w:p w14:paraId="759B0C09">
      <w:pPr>
        <w:pStyle w:val="633"/>
        <w:rPr>
          <w:rFonts w:hint="eastAsia"/>
          <w:color w:val="auto"/>
          <w:highlight w:val="none"/>
        </w:rPr>
      </w:pPr>
    </w:p>
    <w:p w14:paraId="3D1A2CC7">
      <w:pPr>
        <w:pStyle w:val="633"/>
        <w:rPr>
          <w:color w:val="auto"/>
          <w:highlight w:val="none"/>
        </w:rPr>
      </w:pPr>
    </w:p>
    <w:p w14:paraId="751E4F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409CBFA4">
      <w:pPr>
        <w:spacing w:line="360" w:lineRule="auto"/>
        <w:rPr>
          <w:rFonts w:hint="eastAsia" w:cs="仿宋_GB2312" w:asciiTheme="minorEastAsia" w:hAnsiTheme="minorEastAsia" w:eastAsiaTheme="minorEastAsia"/>
          <w:color w:val="auto"/>
          <w:sz w:val="24"/>
          <w:highlight w:val="none"/>
        </w:rPr>
      </w:pPr>
    </w:p>
    <w:p w14:paraId="514243A0">
      <w:pPr>
        <w:pStyle w:val="32"/>
        <w:spacing w:line="360" w:lineRule="auto"/>
        <w:ind w:firstLine="480" w:firstLineChars="200"/>
        <w:rPr>
          <w:rFonts w:hint="eastAsia" w:cs="仿宋_GB2312" w:asciiTheme="minorEastAsia" w:hAnsiTheme="minorEastAsia" w:eastAsiaTheme="minorEastAsia"/>
          <w:color w:val="auto"/>
          <w:sz w:val="24"/>
          <w:szCs w:val="24"/>
          <w:highlight w:val="none"/>
        </w:rPr>
      </w:pPr>
    </w:p>
    <w:p w14:paraId="55B0F85B">
      <w:pPr>
        <w:adjustRightInd/>
        <w:spacing w:line="360" w:lineRule="auto"/>
        <w:jc w:val="center"/>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br w:type="page"/>
      </w:r>
    </w:p>
    <w:p w14:paraId="378125C3">
      <w:pPr>
        <w:adjustRightInd/>
        <w:spacing w:line="360" w:lineRule="auto"/>
        <w:jc w:val="center"/>
        <w:outlineLvl w:val="0"/>
        <w:rPr>
          <w:rFonts w:hint="eastAsia" w:cs="仿宋_GB2312" w:asciiTheme="minorEastAsia" w:hAnsiTheme="minorEastAsia" w:eastAsiaTheme="minorEastAsia"/>
          <w:b/>
          <w:color w:val="auto"/>
          <w:sz w:val="32"/>
          <w:szCs w:val="20"/>
          <w:highlight w:val="none"/>
        </w:rPr>
      </w:pPr>
      <w:bookmarkStart w:id="28" w:name="_Toc8027"/>
      <w:r>
        <w:rPr>
          <w:rFonts w:hint="eastAsia" w:cs="仿宋_GB2312" w:asciiTheme="minorEastAsia" w:hAnsiTheme="minorEastAsia" w:eastAsiaTheme="minorEastAsia"/>
          <w:b/>
          <w:color w:val="auto"/>
          <w:sz w:val="36"/>
          <w:szCs w:val="20"/>
          <w:highlight w:val="none"/>
        </w:rPr>
        <w:t>第二部分  竞争性磋商流程</w:t>
      </w:r>
      <w:bookmarkEnd w:id="28"/>
    </w:p>
    <w:p w14:paraId="3FBC8120">
      <w:pPr>
        <w:pStyle w:val="393"/>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3015DA51">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41B080D4">
      <w:pPr>
        <w:pStyle w:val="393"/>
        <w:spacing w:before="0"/>
        <w:ind w:firstLine="480"/>
        <w:rPr>
          <w:rFonts w:hint="eastAsia"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1B2ECB4F">
      <w:pPr>
        <w:pStyle w:val="393"/>
        <w:spacing w:before="0"/>
        <w:ind w:firstLine="480"/>
        <w:rPr>
          <w:rFonts w:hint="eastAsia"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w:t>
      </w:r>
      <w:r>
        <w:rPr>
          <w:rFonts w:hint="eastAsia" w:asciiTheme="minorEastAsia" w:hAnsiTheme="minorEastAsia" w:eastAsiaTheme="minorEastAsia"/>
          <w:b/>
          <w:color w:val="auto"/>
          <w:szCs w:val="24"/>
          <w:highlight w:val="none"/>
        </w:rPr>
        <w:t>采用随机抽取方式邀请供应商的，</w:t>
      </w:r>
      <w:r>
        <w:rPr>
          <w:rFonts w:hint="eastAsia" w:asciiTheme="minorEastAsia" w:hAnsiTheme="minorEastAsia" w:eastAsiaTheme="minorEastAsia"/>
          <w:color w:val="auto"/>
          <w:szCs w:val="24"/>
          <w:highlight w:val="none"/>
        </w:rPr>
        <w:t>由采购人、采购代理机构从省级以上财政部门建立的供应商库中随机抽取不少于3家符合相应资格条件的供应商参与竞争性磋商采购活动。</w:t>
      </w:r>
    </w:p>
    <w:p w14:paraId="2843F7B6">
      <w:pPr>
        <w:pStyle w:val="393"/>
        <w:spacing w:before="0"/>
        <w:ind w:firstLine="480"/>
        <w:rPr>
          <w:rFonts w:hint="eastAsia"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w:t>
      </w:r>
      <w:r>
        <w:rPr>
          <w:rFonts w:hint="eastAsia" w:asciiTheme="minorEastAsia" w:hAnsiTheme="minorEastAsia" w:eastAsiaTheme="minorEastAsia"/>
          <w:b/>
          <w:color w:val="auto"/>
          <w:szCs w:val="24"/>
          <w:highlight w:val="none"/>
        </w:rPr>
        <w:t>采用书面推荐方式邀请供应商的，</w:t>
      </w:r>
      <w:r>
        <w:rPr>
          <w:rFonts w:hint="eastAsia" w:asciiTheme="minorEastAsia" w:hAnsiTheme="minorEastAsia" w:eastAsiaTheme="minorEastAsia"/>
          <w:color w:val="auto"/>
          <w:szCs w:val="24"/>
          <w:highlight w:val="none"/>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14:paraId="262B9312">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1.2供应商获取磋商文件。</w:t>
      </w:r>
    </w:p>
    <w:p w14:paraId="262A2C6C">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48537477">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1.4发布更正（延期）公告，澄清或修改磋商文件（如果有）。</w:t>
      </w:r>
    </w:p>
    <w:p w14:paraId="17001A7F">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1.5供应商按磋商文件要求编制响应文件。</w:t>
      </w:r>
    </w:p>
    <w:p w14:paraId="707D4B88">
      <w:pPr>
        <w:pStyle w:val="393"/>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22D16722">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562BC260">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14:paraId="55A1C28A">
      <w:pPr>
        <w:pStyle w:val="393"/>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3.磋商与评审</w:t>
      </w:r>
    </w:p>
    <w:p w14:paraId="44E3E757">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3.1磋商小组签到。</w:t>
      </w:r>
    </w:p>
    <w:p w14:paraId="313C1BC3">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3.2采购代理机构宣布有关纪律以及磋商、评审工作程序。</w:t>
      </w:r>
    </w:p>
    <w:p w14:paraId="08AEA76A">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3.3磋商小组审查确认磋商文件。磋商文件内容违反国家有关强制性规定的，磋商小组应当停止评审并向采购代理机构说明情况。</w:t>
      </w:r>
    </w:p>
    <w:p w14:paraId="7C236ADD">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3.4磋商小组对供应商的资格进行审查。</w:t>
      </w:r>
    </w:p>
    <w:p w14:paraId="5B3983BC">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3.5磋商小组审查响应文件。</w:t>
      </w:r>
    </w:p>
    <w:p w14:paraId="2950F93B">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3.6对于未实质性响应磋商文件的响应文件由磋商小组认定响应无效，并告知该供应商。</w:t>
      </w:r>
    </w:p>
    <w:p w14:paraId="0B5EC8E2">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0E03A613">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6249EF81">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3.9经磋商确定磋商文件的变动情况。对磋商文件作出的实质性变动是磋商文件的有效组成部分，磋商小组应当及时以书面形式同时通知所有参加磋商的供应商。</w:t>
      </w:r>
    </w:p>
    <w:p w14:paraId="1AA04181">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337B2D0">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3.11磋商小组按照下列方式确定提交最后报价的供应商，有特殊规定的从其规定：</w:t>
      </w:r>
    </w:p>
    <w:p w14:paraId="1FD36A24">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52F2221E">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743410CF">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7F5F6617">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2604ABC5">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3.14磋商小组应当根据综合评分情况，按照评审得分由高到低顺序推荐3名以上成交候选供应商，并编写评审报告。</w:t>
      </w:r>
    </w:p>
    <w:p w14:paraId="78AD3D39">
      <w:pPr>
        <w:pStyle w:val="393"/>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 成交</w:t>
      </w:r>
    </w:p>
    <w:p w14:paraId="4C3F27A9">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w:t>
      </w:r>
      <w:r>
        <w:rPr>
          <w:rFonts w:hint="eastAsia" w:ascii="宋体" w:hAnsi="宋体" w:cs="宋体"/>
          <w:color w:val="auto"/>
          <w:szCs w:val="24"/>
          <w:highlight w:val="none"/>
        </w:rPr>
        <w:t>依法及时</w:t>
      </w:r>
      <w:r>
        <w:rPr>
          <w:rFonts w:hint="eastAsia" w:asciiTheme="minorEastAsia" w:hAnsiTheme="minorEastAsia" w:eastAsiaTheme="minorEastAsia"/>
          <w:color w:val="auto"/>
          <w:szCs w:val="24"/>
          <w:highlight w:val="none"/>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212A1ACE">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w:t>
      </w:r>
      <w:r>
        <w:rPr>
          <w:rFonts w:hint="eastAsia" w:ascii="宋体" w:hAnsi="宋体" w:cs="宋体"/>
          <w:color w:val="auto"/>
          <w:sz w:val="24"/>
          <w:szCs w:val="24"/>
          <w:highlight w:val="none"/>
          <w:lang w:val="en-US" w:eastAsia="zh-CN"/>
        </w:rPr>
        <w:t>中国政府采购网(www.ccgp.gov.cn)、广西壮族自治区政府采购网（http://zfcg.gxzf.gov.cn/）</w:t>
      </w:r>
      <w:r>
        <w:rPr>
          <w:rFonts w:hint="eastAsia" w:asciiTheme="minorEastAsia" w:hAnsiTheme="minorEastAsia" w:eastAsiaTheme="minorEastAsia"/>
          <w:color w:val="auto"/>
          <w:szCs w:val="24"/>
          <w:highlight w:val="none"/>
        </w:rPr>
        <w:t>上公告成交结果，同时向成交供应商发出成交通知书，并将磋商文件随成交结果同时公告。</w:t>
      </w:r>
    </w:p>
    <w:p w14:paraId="4F13AD55">
      <w:pPr>
        <w:pStyle w:val="393"/>
        <w:spacing w:before="0"/>
        <w:ind w:firstLine="0" w:firstLineChars="0"/>
        <w:rPr>
          <w:rFonts w:hint="eastAsia"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0D7FE29B">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75319089">
      <w:pPr>
        <w:tabs>
          <w:tab w:val="left" w:pos="0"/>
        </w:tabs>
        <w:spacing w:line="360" w:lineRule="auto"/>
        <w:ind w:firstLine="48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352963E6">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65F7D678">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19F08528">
      <w:pPr>
        <w:widowControl/>
        <w:adjustRightInd/>
        <w:jc w:val="left"/>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366EC67B">
      <w:pPr>
        <w:pStyle w:val="393"/>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6.竞争性磋商流程图</w:t>
      </w:r>
    </w:p>
    <w:p w14:paraId="434512D5">
      <w:pPr>
        <w:pStyle w:val="393"/>
        <w:spacing w:before="0"/>
        <w:ind w:firstLine="0" w:firstLineChars="0"/>
        <w:rPr>
          <w:rFonts w:hint="eastAsia" w:asciiTheme="minorEastAsia" w:hAnsiTheme="minorEastAsia" w:eastAsiaTheme="minorEastAsia"/>
          <w:b/>
          <w:color w:val="auto"/>
          <w:highlight w:val="none"/>
        </w:rPr>
      </w:pPr>
    </w:p>
    <w:p w14:paraId="3755F0E6">
      <w:pPr>
        <w:widowControl/>
        <w:adjustRightInd/>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468B2CD2">
      <w:pPr>
        <w:widowControl/>
        <w:adjustRightInd/>
        <w:jc w:val="left"/>
        <w:rPr>
          <w:rFonts w:hint="eastAsia"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F372C4">
                            <w:pPr>
                              <w:rPr>
                                <w:rFonts w:hint="eastAsia" w:asciiTheme="minorEastAsia" w:hAnsiTheme="minorEastAsia" w:eastAsiaTheme="minorEastAsia"/>
                              </w:rPr>
                            </w:pPr>
                            <w:r>
                              <w:rPr>
                                <w:rFonts w:hint="eastAsia" w:asciiTheme="minorEastAsia" w:hAnsiTheme="minorEastAsia" w:eastAsiaTheme="minorEastAsia"/>
                              </w:rPr>
                              <w:t>验收</w:t>
                            </w:r>
                          </w:p>
                          <w:p w14:paraId="0339E130">
                            <w:pPr>
                              <w:rPr>
                                <w:rFonts w:ascii="仿宋_GB2312" w:eastAsia="仿宋_GB2312"/>
                              </w:rPr>
                            </w:pPr>
                            <w:r>
                              <w:rPr>
                                <w:rFonts w:hint="eastAsia" w:ascii="仿宋_GB2312" w:eastAsia="仿宋_GB2312"/>
                              </w:rPr>
                              <w:t>立项</w:t>
                            </w:r>
                          </w:p>
                          <w:p w14:paraId="6A98E11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27F372C4">
                      <w:pPr>
                        <w:rPr>
                          <w:rFonts w:hint="eastAsia" w:asciiTheme="minorEastAsia" w:hAnsiTheme="minorEastAsia" w:eastAsiaTheme="minorEastAsia"/>
                        </w:rPr>
                      </w:pPr>
                      <w:r>
                        <w:rPr>
                          <w:rFonts w:hint="eastAsia" w:asciiTheme="minorEastAsia" w:hAnsiTheme="minorEastAsia" w:eastAsiaTheme="minorEastAsia"/>
                        </w:rPr>
                        <w:t>验收</w:t>
                      </w:r>
                    </w:p>
                    <w:p w14:paraId="0339E130">
                      <w:pPr>
                        <w:rPr>
                          <w:rFonts w:ascii="仿宋_GB2312" w:eastAsia="仿宋_GB2312"/>
                        </w:rPr>
                      </w:pPr>
                      <w:r>
                        <w:rPr>
                          <w:rFonts w:hint="eastAsia" w:ascii="仿宋_GB2312" w:eastAsia="仿宋_GB2312"/>
                        </w:rPr>
                        <w:t>立项</w:t>
                      </w:r>
                    </w:p>
                    <w:p w14:paraId="6A98E114">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9887FD">
                            <w:pPr>
                              <w:rPr>
                                <w:rFonts w:hint="eastAsia" w:asciiTheme="minorEastAsia" w:hAnsiTheme="minorEastAsia" w:eastAsiaTheme="minorEastAsia"/>
                              </w:rPr>
                            </w:pPr>
                            <w:r>
                              <w:rPr>
                                <w:rFonts w:hint="eastAsia" w:asciiTheme="minorEastAsia" w:hAnsiTheme="minorEastAsia" w:eastAsiaTheme="minorEastAsia"/>
                              </w:rPr>
                              <w:t>履约</w:t>
                            </w:r>
                          </w:p>
                          <w:p w14:paraId="65DEBD1D">
                            <w:pPr>
                              <w:rPr>
                                <w:rFonts w:ascii="仿宋_GB2312" w:eastAsia="仿宋_GB2312"/>
                              </w:rPr>
                            </w:pPr>
                            <w:r>
                              <w:rPr>
                                <w:rFonts w:hint="eastAsia" w:ascii="仿宋_GB2312" w:eastAsia="仿宋_GB2312"/>
                              </w:rPr>
                              <w:t>立项</w:t>
                            </w:r>
                          </w:p>
                          <w:p w14:paraId="34DC22E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509887FD">
                      <w:pPr>
                        <w:rPr>
                          <w:rFonts w:hint="eastAsia" w:asciiTheme="minorEastAsia" w:hAnsiTheme="minorEastAsia" w:eastAsiaTheme="minorEastAsia"/>
                        </w:rPr>
                      </w:pPr>
                      <w:r>
                        <w:rPr>
                          <w:rFonts w:hint="eastAsia" w:asciiTheme="minorEastAsia" w:hAnsiTheme="minorEastAsia" w:eastAsiaTheme="minorEastAsia"/>
                        </w:rPr>
                        <w:t>履约</w:t>
                      </w:r>
                    </w:p>
                    <w:p w14:paraId="65DEBD1D">
                      <w:pPr>
                        <w:rPr>
                          <w:rFonts w:ascii="仿宋_GB2312" w:eastAsia="仿宋_GB2312"/>
                        </w:rPr>
                      </w:pPr>
                      <w:r>
                        <w:rPr>
                          <w:rFonts w:hint="eastAsia" w:ascii="仿宋_GB2312" w:eastAsia="仿宋_GB2312"/>
                        </w:rPr>
                        <w:t>立项</w:t>
                      </w:r>
                    </w:p>
                    <w:p w14:paraId="34DC22E4">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A16B3E">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451871A6">
                            <w:pPr>
                              <w:rPr>
                                <w:rFonts w:ascii="仿宋_GB2312" w:eastAsia="仿宋_GB2312"/>
                              </w:rPr>
                            </w:pPr>
                            <w:r>
                              <w:rPr>
                                <w:rFonts w:hint="eastAsia" w:ascii="仿宋_GB2312" w:eastAsia="仿宋_GB2312"/>
                              </w:rPr>
                              <w:t>立项</w:t>
                            </w:r>
                          </w:p>
                          <w:p w14:paraId="5B5850B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0EA16B3E">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451871A6">
                      <w:pPr>
                        <w:rPr>
                          <w:rFonts w:ascii="仿宋_GB2312" w:eastAsia="仿宋_GB2312"/>
                        </w:rPr>
                      </w:pPr>
                      <w:r>
                        <w:rPr>
                          <w:rFonts w:hint="eastAsia" w:ascii="仿宋_GB2312" w:eastAsia="仿宋_GB2312"/>
                        </w:rPr>
                        <w:t>立项</w:t>
                      </w:r>
                    </w:p>
                    <w:p w14:paraId="5B5850B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02664C">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6D6EB17E">
                            <w:pPr>
                              <w:rPr>
                                <w:rFonts w:ascii="仿宋_GB2312" w:eastAsia="仿宋_GB2312"/>
                              </w:rPr>
                            </w:pPr>
                            <w:r>
                              <w:rPr>
                                <w:rFonts w:hint="eastAsia" w:ascii="仿宋_GB2312" w:eastAsia="仿宋_GB2312"/>
                              </w:rPr>
                              <w:t>立项</w:t>
                            </w:r>
                          </w:p>
                          <w:p w14:paraId="1F8D3B7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1C02664C">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6D6EB17E">
                      <w:pPr>
                        <w:rPr>
                          <w:rFonts w:ascii="仿宋_GB2312" w:eastAsia="仿宋_GB2312"/>
                        </w:rPr>
                      </w:pPr>
                      <w:r>
                        <w:rPr>
                          <w:rFonts w:hint="eastAsia" w:ascii="仿宋_GB2312" w:eastAsia="仿宋_GB2312"/>
                        </w:rPr>
                        <w:t>立项</w:t>
                      </w:r>
                    </w:p>
                    <w:p w14:paraId="1F8D3B7E">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54F333">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3C6F39C6">
                            <w:pPr>
                              <w:rPr>
                                <w:rFonts w:ascii="仿宋_GB2312" w:eastAsia="仿宋_GB2312"/>
                              </w:rPr>
                            </w:pPr>
                            <w:r>
                              <w:rPr>
                                <w:rFonts w:hint="eastAsia" w:ascii="仿宋_GB2312" w:eastAsia="仿宋_GB2312"/>
                              </w:rPr>
                              <w:t>立项</w:t>
                            </w:r>
                          </w:p>
                          <w:p w14:paraId="3FB50419">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4854F333">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3C6F39C6">
                      <w:pPr>
                        <w:rPr>
                          <w:rFonts w:ascii="仿宋_GB2312" w:eastAsia="仿宋_GB2312"/>
                        </w:rPr>
                      </w:pPr>
                      <w:r>
                        <w:rPr>
                          <w:rFonts w:hint="eastAsia" w:ascii="仿宋_GB2312" w:eastAsia="仿宋_GB2312"/>
                        </w:rPr>
                        <w:t>立项</w:t>
                      </w:r>
                    </w:p>
                    <w:p w14:paraId="3FB50419">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FE7B53">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3EE3B380">
                            <w:pPr>
                              <w:rPr>
                                <w:rFonts w:ascii="仿宋_GB2312" w:eastAsia="仿宋_GB2312"/>
                              </w:rPr>
                            </w:pPr>
                            <w:r>
                              <w:rPr>
                                <w:rFonts w:hint="eastAsia" w:ascii="仿宋_GB2312" w:eastAsia="仿宋_GB2312"/>
                              </w:rPr>
                              <w:t>立项</w:t>
                            </w:r>
                          </w:p>
                          <w:p w14:paraId="49D9C07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23FE7B53">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3EE3B380">
                      <w:pPr>
                        <w:rPr>
                          <w:rFonts w:ascii="仿宋_GB2312" w:eastAsia="仿宋_GB2312"/>
                        </w:rPr>
                      </w:pPr>
                      <w:r>
                        <w:rPr>
                          <w:rFonts w:hint="eastAsia" w:ascii="仿宋_GB2312" w:eastAsia="仿宋_GB2312"/>
                        </w:rPr>
                        <w:t>立项</w:t>
                      </w:r>
                    </w:p>
                    <w:p w14:paraId="49D9C076">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DC4ABB">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187FB2DF">
                            <w:pPr>
                              <w:rPr>
                                <w:rFonts w:ascii="仿宋_GB2312" w:eastAsia="仿宋_GB2312"/>
                              </w:rPr>
                            </w:pPr>
                            <w:r>
                              <w:rPr>
                                <w:rFonts w:hint="eastAsia" w:ascii="仿宋_GB2312" w:eastAsia="仿宋_GB2312"/>
                              </w:rPr>
                              <w:t>立项</w:t>
                            </w:r>
                          </w:p>
                          <w:p w14:paraId="07CB2CF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71DC4ABB">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187FB2DF">
                      <w:pPr>
                        <w:rPr>
                          <w:rFonts w:ascii="仿宋_GB2312" w:eastAsia="仿宋_GB2312"/>
                        </w:rPr>
                      </w:pPr>
                      <w:r>
                        <w:rPr>
                          <w:rFonts w:hint="eastAsia" w:ascii="仿宋_GB2312" w:eastAsia="仿宋_GB2312"/>
                        </w:rPr>
                        <w:t>立项</w:t>
                      </w:r>
                    </w:p>
                    <w:p w14:paraId="07CB2CFB">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EABE2C">
                            <w:pPr>
                              <w:jc w:val="center"/>
                              <w:rPr>
                                <w:rFonts w:hint="eastAsia"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46EABE2C">
                      <w:pPr>
                        <w:jc w:val="center"/>
                        <w:rPr>
                          <w:rFonts w:hint="eastAsia"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B34F2F">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3123DC88">
                            <w:pPr>
                              <w:jc w:val="center"/>
                              <w:rPr>
                                <w:rFonts w:ascii="仿宋_GB2312" w:eastAsia="仿宋_GB2312"/>
                              </w:rPr>
                            </w:pPr>
                          </w:p>
                          <w:p w14:paraId="4E472FCB">
                            <w:pPr>
                              <w:rPr>
                                <w:rFonts w:ascii="仿宋_GB2312" w:eastAsia="仿宋_GB2312"/>
                              </w:rPr>
                            </w:pPr>
                            <w:r>
                              <w:rPr>
                                <w:rFonts w:hint="eastAsia" w:ascii="仿宋_GB2312" w:eastAsia="仿宋_GB2312"/>
                              </w:rPr>
                              <w:t>立项</w:t>
                            </w:r>
                          </w:p>
                          <w:p w14:paraId="56A6067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72B34F2F">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3123DC88">
                      <w:pPr>
                        <w:jc w:val="center"/>
                        <w:rPr>
                          <w:rFonts w:ascii="仿宋_GB2312" w:eastAsia="仿宋_GB2312"/>
                        </w:rPr>
                      </w:pPr>
                    </w:p>
                    <w:p w14:paraId="4E472FCB">
                      <w:pPr>
                        <w:rPr>
                          <w:rFonts w:ascii="仿宋_GB2312" w:eastAsia="仿宋_GB2312"/>
                        </w:rPr>
                      </w:pPr>
                      <w:r>
                        <w:rPr>
                          <w:rFonts w:hint="eastAsia" w:ascii="仿宋_GB2312" w:eastAsia="仿宋_GB2312"/>
                        </w:rPr>
                        <w:t>立项</w:t>
                      </w:r>
                    </w:p>
                    <w:p w14:paraId="56A6067A">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BEEC56">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7BEEC56">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A89B25">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47C72EA8">
                            <w:pPr>
                              <w:rPr>
                                <w:rFonts w:ascii="仿宋_GB2312" w:eastAsia="仿宋_GB2312"/>
                              </w:rPr>
                            </w:pPr>
                            <w:r>
                              <w:rPr>
                                <w:rFonts w:hint="eastAsia" w:ascii="仿宋_GB2312" w:eastAsia="仿宋_GB2312"/>
                              </w:rPr>
                              <w:t>立项</w:t>
                            </w:r>
                          </w:p>
                          <w:p w14:paraId="3D9281F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0EA89B25">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47C72EA8">
                      <w:pPr>
                        <w:rPr>
                          <w:rFonts w:ascii="仿宋_GB2312" w:eastAsia="仿宋_GB2312"/>
                        </w:rPr>
                      </w:pPr>
                      <w:r>
                        <w:rPr>
                          <w:rFonts w:hint="eastAsia" w:ascii="仿宋_GB2312" w:eastAsia="仿宋_GB2312"/>
                        </w:rPr>
                        <w:t>立项</w:t>
                      </w:r>
                    </w:p>
                    <w:p w14:paraId="3D9281FC">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EECDE2">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1D15B913">
                            <w:pPr>
                              <w:rPr>
                                <w:rFonts w:ascii="仿宋_GB2312" w:eastAsia="仿宋_GB2312"/>
                              </w:rPr>
                            </w:pPr>
                            <w:r>
                              <w:rPr>
                                <w:rFonts w:hint="eastAsia" w:ascii="仿宋_GB2312" w:eastAsia="仿宋_GB2312"/>
                              </w:rPr>
                              <w:t>立项</w:t>
                            </w:r>
                          </w:p>
                          <w:p w14:paraId="09AFBB0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57EECDE2">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1D15B913">
                      <w:pPr>
                        <w:rPr>
                          <w:rFonts w:ascii="仿宋_GB2312" w:eastAsia="仿宋_GB2312"/>
                        </w:rPr>
                      </w:pPr>
                      <w:r>
                        <w:rPr>
                          <w:rFonts w:hint="eastAsia" w:ascii="仿宋_GB2312" w:eastAsia="仿宋_GB2312"/>
                        </w:rPr>
                        <w:t>立项</w:t>
                      </w:r>
                    </w:p>
                    <w:p w14:paraId="09AFBB0B">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231B4677">
      <w:pPr>
        <w:adjustRightInd/>
        <w:spacing w:line="360" w:lineRule="auto"/>
        <w:jc w:val="center"/>
        <w:outlineLvl w:val="0"/>
        <w:rPr>
          <w:rFonts w:hint="eastAsia" w:cs="仿宋_GB2312" w:asciiTheme="minorEastAsia" w:hAnsiTheme="minorEastAsia" w:eastAsiaTheme="minorEastAsia"/>
          <w:b/>
          <w:color w:val="auto"/>
          <w:sz w:val="36"/>
          <w:szCs w:val="20"/>
          <w:highlight w:val="none"/>
        </w:rPr>
      </w:pPr>
      <w:bookmarkStart w:id="29" w:name="_Toc25086"/>
      <w:r>
        <w:rPr>
          <w:rFonts w:hint="eastAsia" w:cs="仿宋_GB2312" w:asciiTheme="minorEastAsia" w:hAnsiTheme="minorEastAsia" w:eastAsiaTheme="minorEastAsia"/>
          <w:b/>
          <w:color w:val="auto"/>
          <w:sz w:val="36"/>
          <w:szCs w:val="20"/>
          <w:highlight w:val="none"/>
        </w:rPr>
        <w:t>第三部分</w:t>
      </w:r>
      <w:bookmarkEnd w:id="8"/>
      <w:r>
        <w:rPr>
          <w:rFonts w:hint="eastAsia" w:cs="仿宋_GB2312" w:asciiTheme="minorEastAsia" w:hAnsiTheme="minorEastAsia" w:eastAsiaTheme="minorEastAsia"/>
          <w:b/>
          <w:color w:val="auto"/>
          <w:sz w:val="36"/>
          <w:szCs w:val="20"/>
          <w:highlight w:val="none"/>
        </w:rPr>
        <w:t xml:space="preserve">  供应商须知</w:t>
      </w:r>
      <w:bookmarkEnd w:id="9"/>
      <w:bookmarkEnd w:id="29"/>
    </w:p>
    <w:p w14:paraId="3FA9E58A">
      <w:pPr>
        <w:adjustRightInd/>
        <w:spacing w:line="360" w:lineRule="auto"/>
        <w:jc w:val="center"/>
        <w:outlineLvl w:val="1"/>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一、前附表</w:t>
      </w:r>
    </w:p>
    <w:tbl>
      <w:tblPr>
        <w:tblStyle w:val="61"/>
        <w:tblW w:w="966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28" w:type="dxa"/>
          <w:bottom w:w="0" w:type="dxa"/>
          <w:right w:w="28" w:type="dxa"/>
        </w:tblCellMar>
      </w:tblPr>
      <w:tblGrid>
        <w:gridCol w:w="769"/>
        <w:gridCol w:w="2727"/>
        <w:gridCol w:w="6166"/>
      </w:tblGrid>
      <w:tr w14:paraId="34DB2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tblHeader/>
          <w:jc w:val="center"/>
        </w:trPr>
        <w:tc>
          <w:tcPr>
            <w:tcW w:w="769" w:type="dxa"/>
            <w:tcBorders>
              <w:top w:val="single" w:color="auto" w:sz="4" w:space="0"/>
              <w:left w:val="single" w:color="auto" w:sz="4" w:space="0"/>
              <w:bottom w:val="single" w:color="auto" w:sz="4" w:space="0"/>
              <w:right w:val="single" w:color="auto" w:sz="4" w:space="0"/>
            </w:tcBorders>
            <w:vAlign w:val="center"/>
          </w:tcPr>
          <w:p w14:paraId="28A7B966">
            <w:pPr>
              <w:snapToGrid w:val="0"/>
              <w:spacing w:line="240" w:lineRule="auto"/>
              <w:ind w:left="0" w:leftChars="0" w:right="0" w:rightChars="0" w:firstLine="0" w:firstLineChars="0"/>
              <w:jc w:val="center"/>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序号</w:t>
            </w:r>
          </w:p>
        </w:tc>
        <w:tc>
          <w:tcPr>
            <w:tcW w:w="2727" w:type="dxa"/>
            <w:tcBorders>
              <w:top w:val="single" w:color="000000" w:sz="8" w:space="0"/>
              <w:left w:val="single" w:color="auto" w:sz="4" w:space="0"/>
              <w:bottom w:val="single" w:color="000000" w:sz="8" w:space="0"/>
              <w:right w:val="single" w:color="000000" w:sz="8" w:space="0"/>
            </w:tcBorders>
            <w:vAlign w:val="center"/>
          </w:tcPr>
          <w:p w14:paraId="04B47C16">
            <w:pPr>
              <w:snapToGrid w:val="0"/>
              <w:spacing w:line="360" w:lineRule="auto"/>
              <w:ind w:left="0" w:leftChars="0" w:right="0" w:rightChars="0" w:firstLine="0" w:firstLineChars="0"/>
              <w:jc w:val="center"/>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事项</w:t>
            </w:r>
          </w:p>
        </w:tc>
        <w:tc>
          <w:tcPr>
            <w:tcW w:w="6166" w:type="dxa"/>
            <w:tcBorders>
              <w:top w:val="single" w:color="000000" w:sz="8" w:space="0"/>
              <w:left w:val="single" w:color="000000" w:sz="2" w:space="0"/>
              <w:bottom w:val="single" w:color="000000" w:sz="8" w:space="0"/>
              <w:right w:val="single" w:color="000000" w:sz="8" w:space="0"/>
            </w:tcBorders>
            <w:vAlign w:val="center"/>
          </w:tcPr>
          <w:p w14:paraId="63CB86C6">
            <w:pPr>
              <w:snapToGrid w:val="0"/>
              <w:spacing w:line="360" w:lineRule="auto"/>
              <w:ind w:left="0" w:leftChars="0" w:right="0" w:rightChars="0" w:firstLine="0" w:firstLineChars="0"/>
              <w:jc w:val="center"/>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本项目的特别规定</w:t>
            </w:r>
          </w:p>
        </w:tc>
      </w:tr>
      <w:tr w14:paraId="5157AD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66" w:hRule="atLeast"/>
          <w:tblHeader/>
          <w:jc w:val="center"/>
        </w:trPr>
        <w:tc>
          <w:tcPr>
            <w:tcW w:w="769" w:type="dxa"/>
            <w:tcBorders>
              <w:top w:val="single" w:color="auto" w:sz="4" w:space="0"/>
              <w:left w:val="single" w:color="auto" w:sz="4" w:space="0"/>
              <w:bottom w:val="single" w:color="auto" w:sz="4" w:space="0"/>
              <w:right w:val="single" w:color="auto" w:sz="4" w:space="0"/>
            </w:tcBorders>
            <w:vAlign w:val="center"/>
          </w:tcPr>
          <w:p w14:paraId="7E4ACC8D">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1</w:t>
            </w:r>
          </w:p>
        </w:tc>
        <w:tc>
          <w:tcPr>
            <w:tcW w:w="2727" w:type="dxa"/>
            <w:tcBorders>
              <w:top w:val="single" w:color="000000" w:sz="8" w:space="0"/>
              <w:left w:val="single" w:color="auto" w:sz="4" w:space="0"/>
              <w:bottom w:val="single" w:color="000000" w:sz="8" w:space="0"/>
              <w:right w:val="single" w:color="000000" w:sz="8" w:space="0"/>
            </w:tcBorders>
            <w:vAlign w:val="center"/>
          </w:tcPr>
          <w:p w14:paraId="6868D663">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b/>
                <w:color w:val="auto"/>
                <w:sz w:val="24"/>
                <w:highlight w:val="none"/>
              </w:rPr>
              <w:t>项目属性</w:t>
            </w:r>
          </w:p>
        </w:tc>
        <w:tc>
          <w:tcPr>
            <w:tcW w:w="6166" w:type="dxa"/>
            <w:tcBorders>
              <w:top w:val="single" w:color="000000" w:sz="8" w:space="0"/>
              <w:left w:val="single" w:color="000000" w:sz="2" w:space="0"/>
              <w:bottom w:val="single" w:color="000000" w:sz="8" w:space="0"/>
              <w:right w:val="single" w:color="000000" w:sz="8" w:space="0"/>
            </w:tcBorders>
            <w:vAlign w:val="center"/>
          </w:tcPr>
          <w:p w14:paraId="599B24D3">
            <w:pPr>
              <w:snapToGrid w:val="0"/>
              <w:spacing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服务类。</w:t>
            </w:r>
          </w:p>
        </w:tc>
      </w:tr>
      <w:tr w14:paraId="79958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39" w:hRule="atLeast"/>
          <w:tblHeader/>
          <w:jc w:val="center"/>
        </w:trPr>
        <w:tc>
          <w:tcPr>
            <w:tcW w:w="769" w:type="dxa"/>
            <w:tcBorders>
              <w:top w:val="single" w:color="auto" w:sz="4" w:space="0"/>
              <w:left w:val="single" w:color="auto" w:sz="4" w:space="0"/>
              <w:bottom w:val="single" w:color="auto" w:sz="4" w:space="0"/>
              <w:right w:val="single" w:color="auto" w:sz="4" w:space="0"/>
            </w:tcBorders>
            <w:vAlign w:val="center"/>
          </w:tcPr>
          <w:p w14:paraId="75DF31B8">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2</w:t>
            </w:r>
          </w:p>
        </w:tc>
        <w:tc>
          <w:tcPr>
            <w:tcW w:w="2727" w:type="dxa"/>
            <w:tcBorders>
              <w:top w:val="single" w:color="000000" w:sz="8" w:space="0"/>
              <w:left w:val="single" w:color="auto" w:sz="4" w:space="0"/>
              <w:bottom w:val="single" w:color="000000" w:sz="8" w:space="0"/>
              <w:right w:val="single" w:color="000000" w:sz="8" w:space="0"/>
            </w:tcBorders>
            <w:vAlign w:val="center"/>
          </w:tcPr>
          <w:p w14:paraId="5DF7CF6E">
            <w:pPr>
              <w:snapToGrid w:val="0"/>
              <w:spacing w:line="360" w:lineRule="auto"/>
              <w:ind w:left="0" w:leftChars="0" w:right="0" w:rightChars="0" w:firstLine="0" w:firstLineChars="0"/>
              <w:jc w:val="left"/>
              <w:rPr>
                <w:rFonts w:hint="eastAsia" w:ascii="宋体" w:eastAsia="宋体" w:cs="宋体" w:hAnsiTheme="minorEastAsia"/>
                <w:b/>
                <w:color w:val="auto"/>
                <w:kern w:val="0"/>
                <w:sz w:val="24"/>
                <w:highlight w:val="none"/>
              </w:rPr>
            </w:pPr>
            <w:r>
              <w:rPr>
                <w:rFonts w:hint="eastAsia" w:ascii="宋体" w:eastAsia="宋体" w:cs="宋体" w:hAnsiTheme="minorEastAsia"/>
                <w:b/>
                <w:color w:val="auto"/>
                <w:kern w:val="0"/>
                <w:sz w:val="24"/>
                <w:highlight w:val="none"/>
              </w:rPr>
              <w:t>采购标的及其对应的中小企业划分标准所属行业</w:t>
            </w:r>
          </w:p>
        </w:tc>
        <w:tc>
          <w:tcPr>
            <w:tcW w:w="6166" w:type="dxa"/>
            <w:tcBorders>
              <w:top w:val="single" w:color="000000" w:sz="8" w:space="0"/>
              <w:left w:val="single" w:color="000000" w:sz="2" w:space="0"/>
              <w:bottom w:val="single" w:color="000000" w:sz="8" w:space="0"/>
              <w:right w:val="single" w:color="000000" w:sz="8" w:space="0"/>
            </w:tcBorders>
            <w:vAlign w:val="center"/>
          </w:tcPr>
          <w:p w14:paraId="0F1A5C7C">
            <w:pPr>
              <w:snapToGrid w:val="0"/>
              <w:spacing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（1）标的：</w:t>
            </w:r>
            <w:r>
              <w:rPr>
                <w:rFonts w:hint="eastAsia" w:ascii="宋体" w:eastAsia="宋体" w:cs="宋体" w:hAnsiTheme="minorEastAsia"/>
                <w:color w:val="auto"/>
                <w:kern w:val="0"/>
                <w:sz w:val="24"/>
                <w:highlight w:val="none"/>
                <w:u w:val="single"/>
              </w:rPr>
              <w:t xml:space="preserve"> </w:t>
            </w:r>
            <w:r>
              <w:rPr>
                <w:rFonts w:hint="eastAsia" w:ascii="宋体" w:eastAsia="宋体" w:cs="宋体" w:hAnsiTheme="minorEastAsia"/>
                <w:color w:val="auto"/>
                <w:kern w:val="0"/>
                <w:sz w:val="24"/>
                <w:highlight w:val="none"/>
                <w:u w:val="single"/>
                <w:lang w:val="en-US" w:eastAsia="zh-CN"/>
              </w:rPr>
              <w:t>其他维修和保养服务</w:t>
            </w:r>
            <w:r>
              <w:rPr>
                <w:rFonts w:hint="eastAsia" w:ascii="宋体" w:eastAsia="宋体" w:cs="宋体" w:hAnsiTheme="minorEastAsia"/>
                <w:color w:val="auto"/>
                <w:kern w:val="0"/>
                <w:sz w:val="24"/>
                <w:highlight w:val="none"/>
                <w:u w:val="single"/>
              </w:rPr>
              <w:t xml:space="preserve"> </w:t>
            </w:r>
            <w:r>
              <w:rPr>
                <w:rFonts w:hint="eastAsia" w:ascii="宋体" w:eastAsia="宋体" w:cs="宋体" w:hAnsiTheme="minorEastAsia"/>
                <w:color w:val="auto"/>
                <w:kern w:val="0"/>
                <w:sz w:val="24"/>
                <w:highlight w:val="none"/>
              </w:rPr>
              <w:t>，属于</w:t>
            </w:r>
            <w:r>
              <w:rPr>
                <w:rFonts w:hint="eastAsia" w:ascii="宋体" w:eastAsia="宋体" w:cs="宋体" w:hAnsiTheme="minorEastAsia"/>
                <w:color w:val="auto"/>
                <w:kern w:val="0"/>
                <w:sz w:val="24"/>
                <w:highlight w:val="none"/>
                <w:u w:val="single"/>
              </w:rPr>
              <w:t xml:space="preserve"> </w:t>
            </w:r>
            <w:r>
              <w:rPr>
                <w:rFonts w:hint="eastAsia" w:ascii="宋体" w:eastAsia="宋体" w:cs="宋体" w:hAnsiTheme="minorEastAsia"/>
                <w:color w:val="auto"/>
                <w:kern w:val="0"/>
                <w:sz w:val="24"/>
                <w:highlight w:val="none"/>
                <w:u w:val="single"/>
                <w:lang w:val="en-US" w:eastAsia="zh-CN"/>
              </w:rPr>
              <w:t>其他未列明行业</w:t>
            </w:r>
            <w:r>
              <w:rPr>
                <w:rFonts w:hint="eastAsia" w:ascii="宋体" w:eastAsia="宋体" w:cs="宋体" w:hAnsiTheme="minorEastAsia"/>
                <w:color w:val="auto"/>
                <w:kern w:val="0"/>
                <w:sz w:val="24"/>
                <w:highlight w:val="none"/>
                <w:u w:val="single"/>
              </w:rPr>
              <w:t xml:space="preserve"> </w:t>
            </w:r>
            <w:r>
              <w:rPr>
                <w:rFonts w:hint="eastAsia" w:ascii="宋体" w:eastAsia="宋体" w:cs="宋体" w:hAnsiTheme="minorEastAsia"/>
                <w:color w:val="auto"/>
                <w:kern w:val="0"/>
                <w:sz w:val="24"/>
                <w:highlight w:val="none"/>
              </w:rPr>
              <w:t>；</w:t>
            </w:r>
          </w:p>
        </w:tc>
      </w:tr>
      <w:tr w14:paraId="4A0C9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61" w:hRule="atLeast"/>
          <w:tblHeader/>
          <w:jc w:val="center"/>
        </w:trPr>
        <w:tc>
          <w:tcPr>
            <w:tcW w:w="769" w:type="dxa"/>
            <w:tcBorders>
              <w:top w:val="single" w:color="auto" w:sz="4" w:space="0"/>
              <w:left w:val="single" w:color="auto" w:sz="4" w:space="0"/>
              <w:bottom w:val="single" w:color="auto" w:sz="4" w:space="0"/>
              <w:right w:val="single" w:color="auto" w:sz="4" w:space="0"/>
            </w:tcBorders>
            <w:vAlign w:val="center"/>
          </w:tcPr>
          <w:p w14:paraId="1774E10D">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lang w:val="en-US" w:eastAsia="zh-CN"/>
              </w:rPr>
            </w:pPr>
            <w:r>
              <w:rPr>
                <w:rFonts w:hint="eastAsia" w:ascii="宋体" w:eastAsia="宋体" w:cs="宋体" w:hAnsiTheme="minorEastAsia"/>
                <w:color w:val="auto"/>
                <w:sz w:val="24"/>
                <w:highlight w:val="none"/>
                <w:lang w:val="en-US" w:eastAsia="zh-CN"/>
              </w:rPr>
              <w:t>3</w:t>
            </w:r>
          </w:p>
        </w:tc>
        <w:tc>
          <w:tcPr>
            <w:tcW w:w="2727" w:type="dxa"/>
            <w:tcBorders>
              <w:top w:val="single" w:color="000000" w:sz="8" w:space="0"/>
              <w:left w:val="single" w:color="auto" w:sz="4" w:space="0"/>
              <w:bottom w:val="single" w:color="000000" w:sz="8" w:space="0"/>
              <w:right w:val="single" w:color="000000" w:sz="8" w:space="0"/>
            </w:tcBorders>
            <w:vAlign w:val="center"/>
          </w:tcPr>
          <w:p w14:paraId="5E4D19DE">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b/>
                <w:color w:val="auto"/>
                <w:sz w:val="24"/>
                <w:highlight w:val="none"/>
              </w:rPr>
              <w:t>分包</w:t>
            </w:r>
          </w:p>
        </w:tc>
        <w:tc>
          <w:tcPr>
            <w:tcW w:w="6166" w:type="dxa"/>
            <w:tcBorders>
              <w:top w:val="single" w:color="000000" w:sz="8" w:space="0"/>
              <w:left w:val="single" w:color="000000" w:sz="2" w:space="0"/>
              <w:bottom w:val="single" w:color="000000" w:sz="8" w:space="0"/>
              <w:right w:val="single" w:color="000000" w:sz="8" w:space="0"/>
            </w:tcBorders>
            <w:vAlign w:val="center"/>
          </w:tcPr>
          <w:p w14:paraId="3E705F19">
            <w:pPr>
              <w:snapToGrid w:val="0"/>
              <w:spacing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不同意分包。</w:t>
            </w:r>
          </w:p>
        </w:tc>
      </w:tr>
      <w:tr w14:paraId="3C74F0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71" w:hRule="atLeast"/>
          <w:tblHeader/>
          <w:jc w:val="center"/>
        </w:trPr>
        <w:tc>
          <w:tcPr>
            <w:tcW w:w="769" w:type="dxa"/>
            <w:tcBorders>
              <w:top w:val="single" w:color="auto" w:sz="4" w:space="0"/>
              <w:left w:val="single" w:color="auto" w:sz="4" w:space="0"/>
              <w:bottom w:val="single" w:color="auto" w:sz="4" w:space="0"/>
              <w:right w:val="single" w:color="auto" w:sz="4" w:space="0"/>
            </w:tcBorders>
            <w:vAlign w:val="center"/>
          </w:tcPr>
          <w:p w14:paraId="48A9D2B0">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lang w:val="en-US" w:eastAsia="zh-CN"/>
              </w:rPr>
            </w:pPr>
            <w:r>
              <w:rPr>
                <w:rFonts w:hint="eastAsia" w:ascii="宋体" w:eastAsia="宋体" w:cs="宋体" w:hAnsiTheme="minorEastAsia"/>
                <w:color w:val="auto"/>
                <w:sz w:val="24"/>
                <w:highlight w:val="none"/>
                <w:lang w:val="en-US" w:eastAsia="zh-CN"/>
              </w:rPr>
              <w:t>4</w:t>
            </w:r>
          </w:p>
        </w:tc>
        <w:tc>
          <w:tcPr>
            <w:tcW w:w="2727" w:type="dxa"/>
            <w:tcBorders>
              <w:top w:val="single" w:color="000000" w:sz="8" w:space="0"/>
              <w:left w:val="single" w:color="auto" w:sz="4" w:space="0"/>
              <w:bottom w:val="single" w:color="000000" w:sz="8" w:space="0"/>
              <w:right w:val="single" w:color="000000" w:sz="8" w:space="0"/>
            </w:tcBorders>
            <w:vAlign w:val="center"/>
          </w:tcPr>
          <w:p w14:paraId="744EFF8D">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b/>
                <w:color w:val="auto"/>
                <w:sz w:val="24"/>
                <w:highlight w:val="none"/>
              </w:rPr>
              <w:t>开标前答疑会或现场考察</w:t>
            </w:r>
          </w:p>
        </w:tc>
        <w:tc>
          <w:tcPr>
            <w:tcW w:w="6166" w:type="dxa"/>
            <w:tcBorders>
              <w:top w:val="single" w:color="000000" w:sz="8" w:space="0"/>
              <w:left w:val="single" w:color="000000" w:sz="2" w:space="0"/>
              <w:bottom w:val="single" w:color="000000" w:sz="8" w:space="0"/>
              <w:right w:val="single" w:color="000000" w:sz="8" w:space="0"/>
            </w:tcBorders>
            <w:vAlign w:val="center"/>
          </w:tcPr>
          <w:p w14:paraId="27A09B5B">
            <w:pPr>
              <w:snapToGrid w:val="0"/>
              <w:spacing w:line="360" w:lineRule="auto"/>
              <w:ind w:left="0" w:leftChars="0" w:right="0" w:rightChars="0" w:firstLine="0" w:firstLineChars="0"/>
              <w:jc w:val="left"/>
              <w:rPr>
                <w:rFonts w:hint="eastAsia" w:ascii="宋体" w:eastAsia="宋体" w:cs="宋体" w:hAnsiTheme="minorEastAsia"/>
                <w:color w:val="auto"/>
                <w:sz w:val="24"/>
                <w:szCs w:val="20"/>
                <w:highlight w:val="none"/>
              </w:rPr>
            </w:pPr>
            <w:r>
              <w:rPr>
                <w:rFonts w:hint="eastAsia" w:ascii="宋体" w:eastAsia="宋体" w:cs="宋体" w:hAnsiTheme="minorEastAsia"/>
                <w:color w:val="auto"/>
                <w:sz w:val="24"/>
                <w:highlight w:val="none"/>
              </w:rPr>
              <w:t>不组织。</w:t>
            </w:r>
          </w:p>
        </w:tc>
      </w:tr>
      <w:tr w14:paraId="294F3F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38" w:hRule="atLeast"/>
          <w:tblHeader/>
          <w:jc w:val="center"/>
        </w:trPr>
        <w:tc>
          <w:tcPr>
            <w:tcW w:w="769" w:type="dxa"/>
            <w:tcBorders>
              <w:top w:val="single" w:color="auto" w:sz="4" w:space="0"/>
              <w:left w:val="single" w:color="auto" w:sz="4" w:space="0"/>
              <w:bottom w:val="single" w:color="auto" w:sz="4" w:space="0"/>
              <w:right w:val="single" w:color="auto" w:sz="4" w:space="0"/>
            </w:tcBorders>
            <w:vAlign w:val="center"/>
          </w:tcPr>
          <w:p w14:paraId="19F0A19F">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lang w:val="en-US" w:eastAsia="zh-CN"/>
              </w:rPr>
            </w:pPr>
            <w:r>
              <w:rPr>
                <w:rFonts w:hint="eastAsia" w:ascii="宋体" w:eastAsia="宋体" w:cs="宋体" w:hAnsiTheme="minorEastAsia"/>
                <w:color w:val="auto"/>
                <w:sz w:val="24"/>
                <w:highlight w:val="none"/>
                <w:lang w:val="en-US" w:eastAsia="zh-CN"/>
              </w:rPr>
              <w:t>5</w:t>
            </w:r>
          </w:p>
        </w:tc>
        <w:tc>
          <w:tcPr>
            <w:tcW w:w="2727" w:type="dxa"/>
            <w:tcBorders>
              <w:top w:val="single" w:color="000000" w:sz="8" w:space="0"/>
              <w:left w:val="single" w:color="auto" w:sz="4" w:space="0"/>
              <w:bottom w:val="single" w:color="000000" w:sz="8" w:space="0"/>
              <w:right w:val="single" w:color="000000" w:sz="8" w:space="0"/>
            </w:tcBorders>
            <w:vAlign w:val="center"/>
          </w:tcPr>
          <w:p w14:paraId="5D7BDF86">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b/>
                <w:color w:val="auto"/>
                <w:sz w:val="24"/>
                <w:highlight w:val="none"/>
              </w:rPr>
              <w:t>样品提供</w:t>
            </w:r>
          </w:p>
        </w:tc>
        <w:tc>
          <w:tcPr>
            <w:tcW w:w="6166" w:type="dxa"/>
            <w:tcBorders>
              <w:top w:val="single" w:color="000000" w:sz="8" w:space="0"/>
              <w:left w:val="single" w:color="000000" w:sz="2" w:space="0"/>
              <w:bottom w:val="single" w:color="000000" w:sz="8" w:space="0"/>
              <w:right w:val="single" w:color="000000" w:sz="8" w:space="0"/>
            </w:tcBorders>
            <w:vAlign w:val="center"/>
          </w:tcPr>
          <w:p w14:paraId="4B1C755C">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color w:val="auto"/>
                <w:sz w:val="24"/>
                <w:highlight w:val="none"/>
              </w:rPr>
              <w:t>不要求提供。</w:t>
            </w:r>
          </w:p>
        </w:tc>
      </w:tr>
      <w:tr w14:paraId="0DF3BA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73" w:hRule="atLeast"/>
          <w:tblHeader/>
          <w:jc w:val="center"/>
        </w:trPr>
        <w:tc>
          <w:tcPr>
            <w:tcW w:w="769" w:type="dxa"/>
            <w:tcBorders>
              <w:top w:val="single" w:color="auto" w:sz="4" w:space="0"/>
              <w:left w:val="single" w:color="auto" w:sz="4" w:space="0"/>
              <w:bottom w:val="single" w:color="auto" w:sz="4" w:space="0"/>
              <w:right w:val="single" w:color="auto" w:sz="4" w:space="0"/>
            </w:tcBorders>
            <w:vAlign w:val="center"/>
          </w:tcPr>
          <w:p w14:paraId="16212176">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lang w:val="en-US" w:eastAsia="zh-CN"/>
              </w:rPr>
            </w:pPr>
            <w:r>
              <w:rPr>
                <w:rFonts w:hint="eastAsia" w:ascii="宋体" w:eastAsia="宋体" w:cs="宋体" w:hAnsiTheme="minorEastAsia"/>
                <w:color w:val="auto"/>
                <w:sz w:val="24"/>
                <w:highlight w:val="none"/>
                <w:lang w:val="en-US" w:eastAsia="zh-CN"/>
              </w:rPr>
              <w:t>6</w:t>
            </w:r>
          </w:p>
        </w:tc>
        <w:tc>
          <w:tcPr>
            <w:tcW w:w="2727" w:type="dxa"/>
            <w:tcBorders>
              <w:top w:val="single" w:color="000000" w:sz="8" w:space="0"/>
              <w:left w:val="single" w:color="auto" w:sz="4" w:space="0"/>
              <w:bottom w:val="single" w:color="000000" w:sz="8" w:space="0"/>
              <w:right w:val="single" w:color="000000" w:sz="8" w:space="0"/>
            </w:tcBorders>
            <w:vAlign w:val="center"/>
          </w:tcPr>
          <w:p w14:paraId="22D616AE">
            <w:pPr>
              <w:snapToGrid w:val="0"/>
              <w:spacing w:line="360" w:lineRule="auto"/>
              <w:ind w:left="0" w:leftChars="0" w:right="0" w:rightChars="0" w:firstLine="0" w:firstLineChars="0"/>
              <w:jc w:val="left"/>
              <w:rPr>
                <w:rFonts w:hint="eastAsia" w:ascii="宋体" w:eastAsia="宋体" w:cs="宋体" w:hAnsiTheme="minorEastAsia"/>
                <w:bCs/>
                <w:color w:val="auto"/>
                <w:sz w:val="24"/>
                <w:highlight w:val="none"/>
              </w:rPr>
            </w:pPr>
            <w:r>
              <w:rPr>
                <w:rFonts w:hint="eastAsia" w:ascii="宋体" w:eastAsia="宋体" w:cs="宋体" w:hAnsiTheme="minorEastAsia"/>
                <w:b/>
                <w:color w:val="auto"/>
                <w:sz w:val="24"/>
                <w:highlight w:val="none"/>
              </w:rPr>
              <w:t>方案讲解演示</w:t>
            </w:r>
          </w:p>
        </w:tc>
        <w:tc>
          <w:tcPr>
            <w:tcW w:w="6166" w:type="dxa"/>
            <w:tcBorders>
              <w:top w:val="single" w:color="000000" w:sz="8" w:space="0"/>
              <w:left w:val="single" w:color="000000" w:sz="2" w:space="0"/>
              <w:bottom w:val="single" w:color="000000" w:sz="8" w:space="0"/>
              <w:right w:val="single" w:color="000000" w:sz="8" w:space="0"/>
            </w:tcBorders>
            <w:vAlign w:val="center"/>
          </w:tcPr>
          <w:p w14:paraId="72F43239">
            <w:pPr>
              <w:snapToGrid w:val="0"/>
              <w:spacing w:line="360" w:lineRule="auto"/>
              <w:ind w:left="0" w:leftChars="0" w:right="0" w:rightChars="0" w:firstLine="0" w:firstLineChars="0"/>
              <w:jc w:val="left"/>
              <w:rPr>
                <w:rFonts w:hint="eastAsia" w:ascii="宋体" w:eastAsia="宋体" w:cs="宋体" w:hAnsiTheme="minorEastAsia"/>
                <w:b/>
                <w:color w:val="auto"/>
                <w:kern w:val="0"/>
                <w:sz w:val="24"/>
                <w:highlight w:val="none"/>
                <w:lang w:val="zh-CN"/>
              </w:rPr>
            </w:pPr>
            <w:r>
              <w:rPr>
                <w:rFonts w:hint="eastAsia" w:ascii="宋体" w:eastAsia="宋体" w:cs="宋体" w:hAnsiTheme="minorEastAsia"/>
                <w:color w:val="auto"/>
                <w:sz w:val="24"/>
                <w:highlight w:val="none"/>
              </w:rPr>
              <w:t>不组织。</w:t>
            </w:r>
          </w:p>
        </w:tc>
      </w:tr>
      <w:tr w14:paraId="0268D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670" w:hRule="atLeast"/>
          <w:tblHeader/>
          <w:jc w:val="center"/>
        </w:trPr>
        <w:tc>
          <w:tcPr>
            <w:tcW w:w="769" w:type="dxa"/>
            <w:vMerge w:val="restart"/>
            <w:tcBorders>
              <w:top w:val="single" w:color="auto" w:sz="4" w:space="0"/>
              <w:left w:val="single" w:color="auto" w:sz="4" w:space="0"/>
              <w:right w:val="single" w:color="auto" w:sz="4" w:space="0"/>
            </w:tcBorders>
            <w:vAlign w:val="center"/>
          </w:tcPr>
          <w:p w14:paraId="26171E73">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lang w:val="en-US" w:eastAsia="zh-CN"/>
              </w:rPr>
            </w:pPr>
            <w:r>
              <w:rPr>
                <w:rFonts w:hint="eastAsia" w:ascii="宋体" w:eastAsia="宋体" w:cs="宋体" w:hAnsiTheme="minorEastAsia"/>
                <w:color w:val="auto"/>
                <w:sz w:val="24"/>
                <w:highlight w:val="none"/>
                <w:lang w:val="en-US" w:eastAsia="zh-CN"/>
              </w:rPr>
              <w:t>7</w:t>
            </w:r>
          </w:p>
        </w:tc>
        <w:tc>
          <w:tcPr>
            <w:tcW w:w="2727" w:type="dxa"/>
            <w:vMerge w:val="restart"/>
            <w:tcBorders>
              <w:top w:val="single" w:color="000000" w:sz="8" w:space="0"/>
              <w:left w:val="single" w:color="auto" w:sz="4" w:space="0"/>
              <w:right w:val="single" w:color="000000" w:sz="8" w:space="0"/>
            </w:tcBorders>
            <w:vAlign w:val="center"/>
          </w:tcPr>
          <w:p w14:paraId="12CA0AB2">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b/>
                <w:color w:val="auto"/>
                <w:sz w:val="24"/>
                <w:highlight w:val="none"/>
              </w:rPr>
              <w:t>供应商应当提供的资格、资信证明文件</w:t>
            </w:r>
          </w:p>
        </w:tc>
        <w:tc>
          <w:tcPr>
            <w:tcW w:w="6166" w:type="dxa"/>
            <w:tcBorders>
              <w:top w:val="single" w:color="000000" w:sz="8" w:space="0"/>
              <w:left w:val="single" w:color="000000" w:sz="2" w:space="0"/>
              <w:bottom w:val="single" w:color="auto" w:sz="4" w:space="0"/>
              <w:right w:val="single" w:color="000000" w:sz="8" w:space="0"/>
            </w:tcBorders>
            <w:vAlign w:val="center"/>
          </w:tcPr>
          <w:p w14:paraId="2A9C68EB">
            <w:pPr>
              <w:snapToGrid w:val="0"/>
              <w:spacing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（1）资格证明文件：见磋商文件第三部分。</w:t>
            </w:r>
          </w:p>
          <w:p w14:paraId="53724FCF">
            <w:pPr>
              <w:snapToGrid w:val="0"/>
              <w:spacing w:line="360" w:lineRule="auto"/>
              <w:ind w:left="0" w:leftChars="0" w:right="0" w:rightChars="0" w:firstLine="0" w:firstLineChars="0"/>
              <w:jc w:val="left"/>
              <w:rPr>
                <w:rFonts w:hint="eastAsia" w:ascii="宋体" w:eastAsia="宋体" w:cs="宋体" w:hAnsiTheme="minorEastAsia"/>
                <w:snapToGrid w:val="0"/>
                <w:color w:val="auto"/>
                <w:kern w:val="0"/>
                <w:sz w:val="24"/>
                <w:szCs w:val="21"/>
                <w:highlight w:val="none"/>
              </w:rPr>
            </w:pPr>
            <w:r>
              <w:rPr>
                <w:rFonts w:hint="eastAsia" w:ascii="宋体" w:eastAsia="宋体" w:cs="宋体" w:hAnsiTheme="minorEastAsia"/>
                <w:color w:val="auto"/>
                <w:kern w:val="0"/>
                <w:sz w:val="24"/>
                <w:highlight w:val="none"/>
                <w:lang w:val="zh-CN"/>
              </w:rPr>
              <w:t>供应商未提供有效的资格证明文件的，视为供应商不具备磋商文件中规定的资格要求，响应无效。</w:t>
            </w:r>
          </w:p>
        </w:tc>
      </w:tr>
      <w:tr w14:paraId="3D925D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6" w:hRule="atLeast"/>
          <w:tblHeader/>
          <w:jc w:val="center"/>
        </w:trPr>
        <w:tc>
          <w:tcPr>
            <w:tcW w:w="769" w:type="dxa"/>
            <w:vMerge w:val="continue"/>
            <w:tcBorders>
              <w:left w:val="single" w:color="auto" w:sz="4" w:space="0"/>
              <w:bottom w:val="single" w:color="auto" w:sz="4" w:space="0"/>
              <w:right w:val="single" w:color="auto" w:sz="4" w:space="0"/>
            </w:tcBorders>
            <w:vAlign w:val="center"/>
          </w:tcPr>
          <w:p w14:paraId="60B63713">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rPr>
            </w:pPr>
          </w:p>
        </w:tc>
        <w:tc>
          <w:tcPr>
            <w:tcW w:w="2727" w:type="dxa"/>
            <w:vMerge w:val="continue"/>
            <w:tcBorders>
              <w:left w:val="single" w:color="auto" w:sz="4" w:space="0"/>
              <w:bottom w:val="single" w:color="000000" w:sz="8" w:space="0"/>
              <w:right w:val="single" w:color="000000" w:sz="8" w:space="0"/>
            </w:tcBorders>
            <w:vAlign w:val="center"/>
          </w:tcPr>
          <w:p w14:paraId="3EA0CD77">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p>
        </w:tc>
        <w:tc>
          <w:tcPr>
            <w:tcW w:w="6166" w:type="dxa"/>
            <w:tcBorders>
              <w:top w:val="single" w:color="auto" w:sz="4" w:space="0"/>
              <w:left w:val="single" w:color="000000" w:sz="2" w:space="0"/>
              <w:bottom w:val="single" w:color="000000" w:sz="8" w:space="0"/>
              <w:right w:val="single" w:color="000000" w:sz="8" w:space="0"/>
            </w:tcBorders>
            <w:vAlign w:val="center"/>
          </w:tcPr>
          <w:p w14:paraId="640C829A">
            <w:pPr>
              <w:snapToGrid w:val="0"/>
              <w:spacing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（2）资信证明文件：根据磋商文件采购需求和评审标准要求提供。</w:t>
            </w:r>
          </w:p>
        </w:tc>
      </w:tr>
      <w:tr w14:paraId="68D87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275" w:hRule="atLeast"/>
          <w:tblHeader/>
          <w:jc w:val="center"/>
        </w:trPr>
        <w:tc>
          <w:tcPr>
            <w:tcW w:w="769" w:type="dxa"/>
            <w:tcBorders>
              <w:top w:val="single" w:color="auto" w:sz="4" w:space="0"/>
              <w:left w:val="single" w:color="000000" w:sz="8" w:space="0"/>
              <w:bottom w:val="single" w:color="auto" w:sz="4" w:space="0"/>
              <w:right w:val="single" w:color="000000" w:sz="2" w:space="0"/>
            </w:tcBorders>
            <w:vAlign w:val="center"/>
          </w:tcPr>
          <w:p w14:paraId="58B78C4E">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lang w:val="en-US" w:eastAsia="zh-CN"/>
              </w:rPr>
            </w:pPr>
            <w:r>
              <w:rPr>
                <w:rFonts w:hint="eastAsia" w:ascii="宋体" w:eastAsia="宋体" w:cs="宋体" w:hAnsiTheme="minorEastAsia"/>
                <w:color w:val="auto"/>
                <w:sz w:val="24"/>
                <w:highlight w:val="none"/>
                <w:lang w:val="en-US" w:eastAsia="zh-CN"/>
              </w:rPr>
              <w:t>8</w:t>
            </w:r>
          </w:p>
        </w:tc>
        <w:tc>
          <w:tcPr>
            <w:tcW w:w="2727" w:type="dxa"/>
            <w:tcBorders>
              <w:top w:val="single" w:color="000000" w:sz="8" w:space="0"/>
              <w:left w:val="single" w:color="000000" w:sz="2" w:space="0"/>
              <w:bottom w:val="single" w:color="000000" w:sz="8" w:space="0"/>
              <w:right w:val="single" w:color="000000" w:sz="8" w:space="0"/>
            </w:tcBorders>
            <w:vAlign w:val="center"/>
          </w:tcPr>
          <w:p w14:paraId="00CDE6AC">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b/>
                <w:color w:val="auto"/>
                <w:sz w:val="24"/>
                <w:highlight w:val="none"/>
              </w:rPr>
              <w:t>节能产品、环境标志产品</w:t>
            </w:r>
          </w:p>
        </w:tc>
        <w:tc>
          <w:tcPr>
            <w:tcW w:w="6166" w:type="dxa"/>
            <w:tcBorders>
              <w:top w:val="single" w:color="000000" w:sz="8" w:space="0"/>
              <w:left w:val="single" w:color="000000" w:sz="2" w:space="0"/>
              <w:bottom w:val="single" w:color="000000" w:sz="8" w:space="0"/>
              <w:right w:val="single" w:color="000000" w:sz="8" w:space="0"/>
            </w:tcBorders>
            <w:vAlign w:val="center"/>
          </w:tcPr>
          <w:p w14:paraId="7A0A1C93">
            <w:pPr>
              <w:snapToGrid w:val="0"/>
              <w:spacing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654C3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tblHeader/>
          <w:jc w:val="center"/>
        </w:trPr>
        <w:tc>
          <w:tcPr>
            <w:tcW w:w="769" w:type="dxa"/>
            <w:tcBorders>
              <w:top w:val="single" w:color="auto" w:sz="4" w:space="0"/>
              <w:left w:val="single" w:color="000000" w:sz="8" w:space="0"/>
              <w:bottom w:val="single" w:color="auto" w:sz="4" w:space="0"/>
              <w:right w:val="single" w:color="000000" w:sz="2" w:space="0"/>
            </w:tcBorders>
            <w:vAlign w:val="center"/>
          </w:tcPr>
          <w:p w14:paraId="43D18BA1">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lang w:eastAsia="zh-CN"/>
              </w:rPr>
            </w:pPr>
            <w:r>
              <w:rPr>
                <w:rFonts w:hint="eastAsia" w:ascii="宋体" w:eastAsia="宋体" w:cs="宋体" w:hAnsiTheme="minorEastAsia"/>
                <w:color w:val="auto"/>
                <w:sz w:val="24"/>
                <w:highlight w:val="none"/>
                <w:lang w:val="en-US" w:eastAsia="zh-CN"/>
              </w:rPr>
              <w:t>9</w:t>
            </w:r>
          </w:p>
        </w:tc>
        <w:tc>
          <w:tcPr>
            <w:tcW w:w="2727" w:type="dxa"/>
            <w:tcBorders>
              <w:top w:val="single" w:color="000000" w:sz="8" w:space="0"/>
              <w:left w:val="single" w:color="000000" w:sz="2" w:space="0"/>
              <w:bottom w:val="single" w:color="000000" w:sz="8" w:space="0"/>
              <w:right w:val="single" w:color="000000" w:sz="8" w:space="0"/>
            </w:tcBorders>
            <w:vAlign w:val="center"/>
          </w:tcPr>
          <w:p w14:paraId="3A03250D">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b/>
                <w:color w:val="auto"/>
                <w:sz w:val="24"/>
                <w:highlight w:val="none"/>
              </w:rPr>
              <w:t>最后报价要求</w:t>
            </w:r>
          </w:p>
        </w:tc>
        <w:tc>
          <w:tcPr>
            <w:tcW w:w="6166" w:type="dxa"/>
            <w:tcBorders>
              <w:top w:val="single" w:color="000000" w:sz="8" w:space="0"/>
              <w:left w:val="single" w:color="000000" w:sz="2" w:space="0"/>
              <w:bottom w:val="single" w:color="000000" w:sz="8" w:space="0"/>
              <w:right w:val="single" w:color="000000" w:sz="8" w:space="0"/>
            </w:tcBorders>
            <w:vAlign w:val="center"/>
          </w:tcPr>
          <w:p w14:paraId="2B008D43">
            <w:pPr>
              <w:snapToGrid w:val="0"/>
              <w:spacing w:line="360" w:lineRule="auto"/>
              <w:ind w:left="0" w:leftChars="0" w:right="0" w:rightChars="0" w:firstLine="0" w:firstLineChars="0"/>
              <w:jc w:val="left"/>
              <w:rPr>
                <w:rFonts w:hint="eastAsia" w:ascii="宋体" w:eastAsia="宋体" w:cs="宋体" w:hAnsiTheme="minorEastAsia"/>
                <w:b/>
                <w:color w:val="auto"/>
                <w:kern w:val="0"/>
                <w:sz w:val="24"/>
                <w:highlight w:val="none"/>
                <w:lang w:val="zh-CN"/>
              </w:rPr>
            </w:pPr>
            <w:r>
              <w:rPr>
                <w:rFonts w:hint="eastAsia" w:ascii="宋体" w:eastAsia="宋体" w:cs="宋体" w:hAnsiTheme="minorEastAsia"/>
                <w:b/>
                <w:color w:val="auto"/>
                <w:kern w:val="0"/>
                <w:sz w:val="24"/>
                <w:highlight w:val="none"/>
                <w:lang w:val="zh-CN"/>
              </w:rPr>
              <w:t xml:space="preserve">1、本次维修服务报价均包含货物、服务、随配附件、备品备件、工具、货物运抵指定交货地点、安装、调试的各种费用和售后服务、上排费、管理费、税金及其它所有成本、费用的总和，采购人不再额外支付任何费。 </w:t>
            </w:r>
          </w:p>
          <w:p w14:paraId="1AD06B42">
            <w:pPr>
              <w:snapToGrid w:val="0"/>
              <w:spacing w:line="360" w:lineRule="auto"/>
              <w:ind w:left="0" w:leftChars="0" w:right="0" w:rightChars="0" w:firstLine="0" w:firstLineChars="0"/>
              <w:jc w:val="left"/>
              <w:rPr>
                <w:rFonts w:hint="default" w:ascii="宋体" w:eastAsia="宋体" w:cs="宋体" w:hAnsiTheme="minorEastAsia"/>
                <w:b/>
                <w:color w:val="auto"/>
                <w:kern w:val="0"/>
                <w:sz w:val="24"/>
                <w:highlight w:val="none"/>
                <w:lang w:val="en-US" w:eastAsia="zh-CN"/>
              </w:rPr>
            </w:pPr>
            <w:r>
              <w:rPr>
                <w:rFonts w:hint="eastAsia" w:ascii="宋体" w:eastAsia="宋体" w:cs="宋体" w:hAnsiTheme="minorEastAsia"/>
                <w:b/>
                <w:color w:val="auto"/>
                <w:kern w:val="0"/>
                <w:sz w:val="24"/>
                <w:highlight w:val="none"/>
                <w:lang w:val="zh-CN"/>
              </w:rPr>
              <w:t>2、报价：本项目</w:t>
            </w:r>
            <w:r>
              <w:rPr>
                <w:rFonts w:hint="eastAsia" w:ascii="宋体" w:cs="宋体" w:hAnsiTheme="minorEastAsia"/>
                <w:b/>
                <w:color w:val="auto"/>
                <w:kern w:val="0"/>
                <w:sz w:val="24"/>
                <w:highlight w:val="none"/>
                <w:lang w:val="en-US" w:eastAsia="zh-CN"/>
              </w:rPr>
              <w:t>按折扣率</w:t>
            </w:r>
            <w:r>
              <w:rPr>
                <w:rFonts w:hint="eastAsia" w:ascii="宋体" w:eastAsia="宋体" w:cs="宋体" w:hAnsiTheme="minorEastAsia"/>
                <w:b/>
                <w:color w:val="auto"/>
                <w:kern w:val="0"/>
                <w:sz w:val="24"/>
                <w:highlight w:val="none"/>
                <w:lang w:val="zh-CN"/>
              </w:rPr>
              <w:t>报价</w:t>
            </w:r>
            <w:r>
              <w:rPr>
                <w:rFonts w:hint="eastAsia" w:ascii="宋体" w:cs="宋体" w:hAnsiTheme="minorEastAsia"/>
                <w:b/>
                <w:color w:val="auto"/>
                <w:kern w:val="0"/>
                <w:sz w:val="24"/>
                <w:highlight w:val="none"/>
                <w:lang w:val="zh-CN"/>
              </w:rPr>
              <w:t>。</w:t>
            </w:r>
            <w:r>
              <w:rPr>
                <w:rFonts w:hint="eastAsia" w:ascii="宋体" w:cs="宋体" w:hAnsiTheme="minorEastAsia"/>
                <w:b/>
                <w:color w:val="auto"/>
                <w:kern w:val="0"/>
                <w:sz w:val="24"/>
                <w:highlight w:val="none"/>
                <w:lang w:val="en-US" w:eastAsia="zh-CN"/>
              </w:rPr>
              <w:t>采购合同暂定价为：采购预算（871700.00元）</w:t>
            </w:r>
            <w:r>
              <w:rPr>
                <w:rFonts w:hint="default" w:ascii="Arial" w:hAnsi="Arial" w:cs="Arial"/>
                <w:b/>
                <w:color w:val="auto"/>
                <w:kern w:val="0"/>
                <w:sz w:val="24"/>
                <w:highlight w:val="none"/>
                <w:lang w:val="en-US" w:eastAsia="zh-CN"/>
              </w:rPr>
              <w:t>×</w:t>
            </w:r>
            <w:r>
              <w:rPr>
                <w:rFonts w:hint="eastAsia" w:ascii="宋体" w:cs="宋体" w:hAnsiTheme="minorEastAsia"/>
                <w:b/>
                <w:color w:val="auto"/>
                <w:kern w:val="0"/>
                <w:sz w:val="24"/>
                <w:highlight w:val="none"/>
                <w:lang w:val="en-US" w:eastAsia="zh-CN"/>
              </w:rPr>
              <w:t>成交折扣率。具体维修项目详见采购需求，完成所有维修保养工作内容，并经采购方全部验收合格后，供应商向采购人提供船舶维修结算单，结算单由采购人委托第三方机构进行评估得出审后结算价，最终支付价款＝成交折扣率×审后结算价。</w:t>
            </w:r>
          </w:p>
          <w:p w14:paraId="1ED1429C">
            <w:pPr>
              <w:snapToGrid w:val="0"/>
              <w:spacing w:line="360" w:lineRule="auto"/>
              <w:ind w:left="0" w:leftChars="0" w:right="0" w:rightChars="0" w:firstLine="0" w:firstLineChars="0"/>
              <w:jc w:val="left"/>
              <w:rPr>
                <w:rFonts w:hint="eastAsia" w:ascii="宋体" w:cs="宋体" w:hAnsiTheme="minorEastAsia"/>
                <w:b/>
                <w:color w:val="auto"/>
                <w:kern w:val="0"/>
                <w:sz w:val="24"/>
                <w:highlight w:val="none"/>
                <w:lang w:val="en-US" w:eastAsia="zh-CN"/>
              </w:rPr>
            </w:pPr>
            <w:r>
              <w:rPr>
                <w:rFonts w:hint="eastAsia" w:ascii="宋体" w:cs="宋体" w:hAnsiTheme="minorEastAsia"/>
                <w:b/>
                <w:color w:val="auto"/>
                <w:kern w:val="0"/>
                <w:sz w:val="24"/>
                <w:highlight w:val="none"/>
                <w:lang w:val="en-US" w:eastAsia="zh-CN"/>
              </w:rPr>
              <w:t>3、折扣率报价的有效范围：0 ≤ 折扣率 ≤ 100%</w:t>
            </w:r>
          </w:p>
          <w:p w14:paraId="40A87942">
            <w:pPr>
              <w:snapToGrid w:val="0"/>
              <w:spacing w:line="360" w:lineRule="auto"/>
              <w:ind w:left="0" w:leftChars="0" w:right="0" w:rightChars="0" w:firstLine="0" w:firstLineChars="0"/>
              <w:jc w:val="left"/>
              <w:rPr>
                <w:rFonts w:hint="eastAsia" w:ascii="宋体" w:eastAsia="宋体" w:cs="宋体" w:hAnsiTheme="minorEastAsia"/>
                <w:b/>
                <w:color w:val="auto"/>
                <w:kern w:val="0"/>
                <w:sz w:val="24"/>
                <w:highlight w:val="none"/>
                <w:lang w:val="zh-CN"/>
              </w:rPr>
            </w:pPr>
            <w:r>
              <w:rPr>
                <w:rFonts w:hint="eastAsia" w:ascii="宋体" w:cs="宋体" w:hAnsiTheme="minorEastAsia"/>
                <w:b/>
                <w:color w:val="auto"/>
                <w:kern w:val="0"/>
                <w:sz w:val="24"/>
                <w:highlight w:val="none"/>
                <w:lang w:val="en-US" w:eastAsia="zh-CN"/>
              </w:rPr>
              <w:t>4</w:t>
            </w:r>
            <w:r>
              <w:rPr>
                <w:rFonts w:hint="eastAsia" w:ascii="宋体" w:eastAsia="宋体" w:cs="宋体" w:hAnsiTheme="minorEastAsia"/>
                <w:b/>
                <w:color w:val="auto"/>
                <w:kern w:val="0"/>
                <w:sz w:val="24"/>
                <w:highlight w:val="none"/>
                <w:lang w:val="en-US" w:eastAsia="zh-CN"/>
              </w:rPr>
              <w:t>、</w:t>
            </w:r>
            <w:r>
              <w:rPr>
                <w:rFonts w:hint="eastAsia" w:ascii="宋体" w:eastAsia="宋体" w:cs="宋体" w:hAnsiTheme="minorEastAsia"/>
                <w:b/>
                <w:color w:val="auto"/>
                <w:kern w:val="0"/>
                <w:sz w:val="24"/>
                <w:highlight w:val="none"/>
                <w:lang w:val="zh-CN"/>
              </w:rPr>
              <w:t>最后报价出现下列情形的，响应无效：</w:t>
            </w:r>
          </w:p>
          <w:p w14:paraId="44B32567">
            <w:pPr>
              <w:snapToGrid w:val="0"/>
              <w:spacing w:line="360" w:lineRule="auto"/>
              <w:ind w:left="0" w:leftChars="0" w:right="0" w:rightChars="0" w:firstLine="0" w:firstLineChars="0"/>
              <w:jc w:val="left"/>
              <w:rPr>
                <w:rFonts w:hint="eastAsia" w:ascii="宋体" w:eastAsia="宋体" w:cs="宋体" w:hAnsiTheme="minorEastAsia"/>
                <w:b/>
                <w:color w:val="auto"/>
                <w:kern w:val="0"/>
                <w:sz w:val="24"/>
                <w:highlight w:val="none"/>
                <w:lang w:val="zh-CN"/>
              </w:rPr>
            </w:pPr>
            <w:r>
              <w:rPr>
                <w:rFonts w:hint="eastAsia" w:ascii="宋体" w:eastAsia="宋体" w:cs="宋体" w:hAnsiTheme="minorEastAsia"/>
                <w:b/>
                <w:color w:val="auto"/>
                <w:kern w:val="0"/>
                <w:sz w:val="24"/>
                <w:highlight w:val="none"/>
                <w:lang w:val="zh-CN"/>
              </w:rPr>
              <w:t>（</w:t>
            </w:r>
            <w:r>
              <w:rPr>
                <w:rFonts w:hint="eastAsia" w:ascii="宋体" w:eastAsia="宋体" w:cs="宋体" w:hAnsiTheme="minorEastAsia"/>
                <w:b/>
                <w:color w:val="auto"/>
                <w:kern w:val="0"/>
                <w:sz w:val="24"/>
                <w:highlight w:val="none"/>
                <w:lang w:val="en-US" w:eastAsia="zh-CN"/>
              </w:rPr>
              <w:t>1）</w:t>
            </w:r>
            <w:r>
              <w:rPr>
                <w:rFonts w:hint="eastAsia" w:ascii="宋体" w:eastAsia="宋体" w:cs="宋体" w:hAnsiTheme="minorEastAsia"/>
                <w:b/>
                <w:color w:val="auto"/>
                <w:kern w:val="0"/>
                <w:sz w:val="24"/>
                <w:highlight w:val="none"/>
                <w:lang w:val="zh-CN"/>
              </w:rPr>
              <w:t>响应文件出现不是唯一的、有选择性的最后报价的；</w:t>
            </w:r>
          </w:p>
          <w:p w14:paraId="7C25FD8E">
            <w:pPr>
              <w:snapToGrid w:val="0"/>
              <w:spacing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b/>
                <w:color w:val="auto"/>
                <w:kern w:val="0"/>
                <w:sz w:val="24"/>
                <w:highlight w:val="none"/>
                <w:lang w:val="zh-CN"/>
              </w:rPr>
              <w:t>（</w:t>
            </w:r>
            <w:r>
              <w:rPr>
                <w:rFonts w:hint="eastAsia" w:ascii="宋体" w:eastAsia="宋体" w:cs="宋体" w:hAnsiTheme="minorEastAsia"/>
                <w:b/>
                <w:color w:val="auto"/>
                <w:kern w:val="0"/>
                <w:sz w:val="24"/>
                <w:highlight w:val="none"/>
                <w:lang w:val="en-US" w:eastAsia="zh-CN"/>
              </w:rPr>
              <w:t>2）</w:t>
            </w:r>
            <w:r>
              <w:rPr>
                <w:rFonts w:hint="eastAsia" w:ascii="宋体" w:eastAsia="宋体" w:cs="宋体" w:hAnsiTheme="minorEastAsia"/>
                <w:b/>
                <w:color w:val="auto"/>
                <w:kern w:val="0"/>
                <w:sz w:val="24"/>
                <w:highlight w:val="none"/>
                <w:lang w:val="zh-CN"/>
              </w:rPr>
              <w:t>最后报价超过磋商文件中规定的预算金额或者</w:t>
            </w:r>
            <w:r>
              <w:rPr>
                <w:rFonts w:hint="eastAsia" w:ascii="宋体" w:eastAsia="宋体" w:cs="宋体" w:hAnsiTheme="minorEastAsia"/>
                <w:b/>
                <w:color w:val="auto"/>
                <w:kern w:val="0"/>
                <w:sz w:val="24"/>
                <w:highlight w:val="none"/>
                <w:lang w:val="en-US" w:eastAsia="zh-CN"/>
              </w:rPr>
              <w:t>有效报价范围的</w:t>
            </w:r>
            <w:r>
              <w:rPr>
                <w:rFonts w:hint="eastAsia" w:ascii="宋体" w:eastAsia="宋体" w:cs="宋体" w:hAnsiTheme="minorEastAsia"/>
                <w:b/>
                <w:color w:val="auto"/>
                <w:kern w:val="0"/>
                <w:sz w:val="24"/>
                <w:highlight w:val="none"/>
                <w:lang w:val="zh-CN"/>
              </w:rPr>
              <w:t>;</w:t>
            </w:r>
          </w:p>
          <w:p w14:paraId="1303FDB1">
            <w:pPr>
              <w:snapToGrid w:val="0"/>
              <w:spacing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b/>
                <w:color w:val="auto"/>
                <w:kern w:val="0"/>
                <w:sz w:val="24"/>
                <w:highlight w:val="none"/>
                <w:lang w:eastAsia="zh-CN"/>
              </w:rPr>
              <w:t>（</w:t>
            </w:r>
            <w:r>
              <w:rPr>
                <w:rFonts w:hint="eastAsia" w:ascii="宋体" w:eastAsia="宋体" w:cs="宋体" w:hAnsiTheme="minorEastAsia"/>
                <w:b/>
                <w:color w:val="auto"/>
                <w:kern w:val="0"/>
                <w:sz w:val="24"/>
                <w:highlight w:val="none"/>
                <w:lang w:val="en-US" w:eastAsia="zh-CN"/>
              </w:rPr>
              <w:t>3）</w:t>
            </w:r>
            <w:r>
              <w:rPr>
                <w:rFonts w:hint="eastAsia" w:ascii="宋体" w:eastAsia="宋体" w:cs="宋体" w:hAnsiTheme="minorEastAsia"/>
                <w:b/>
                <w:color w:val="auto"/>
                <w:kern w:val="0"/>
                <w:sz w:val="24"/>
                <w:highlight w:val="none"/>
              </w:rPr>
              <w:t>供应商对根据修正原则修正后的报价不确认的</w:t>
            </w:r>
            <w:r>
              <w:rPr>
                <w:rFonts w:hint="eastAsia" w:ascii="宋体" w:eastAsia="宋体" w:cs="宋体" w:hAnsiTheme="minorEastAsia"/>
                <w:b/>
                <w:color w:val="auto"/>
                <w:sz w:val="24"/>
                <w:highlight w:val="none"/>
              </w:rPr>
              <w:t>。</w:t>
            </w:r>
          </w:p>
        </w:tc>
      </w:tr>
      <w:tr w14:paraId="451783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tblHeader/>
          <w:jc w:val="center"/>
        </w:trPr>
        <w:tc>
          <w:tcPr>
            <w:tcW w:w="769" w:type="dxa"/>
            <w:tcBorders>
              <w:top w:val="single" w:color="auto" w:sz="4" w:space="0"/>
              <w:left w:val="single" w:color="000000" w:sz="8" w:space="0"/>
              <w:right w:val="single" w:color="000000" w:sz="2" w:space="0"/>
            </w:tcBorders>
            <w:vAlign w:val="center"/>
          </w:tcPr>
          <w:p w14:paraId="517FD5D0">
            <w:pPr>
              <w:snapToGrid w:val="0"/>
              <w:spacing w:line="240" w:lineRule="auto"/>
              <w:ind w:left="0" w:leftChars="0" w:right="0" w:rightChars="0" w:firstLine="0" w:firstLineChars="0"/>
              <w:jc w:val="center"/>
              <w:rPr>
                <w:rFonts w:hint="default" w:ascii="宋体" w:eastAsia="宋体" w:cs="宋体" w:hAnsiTheme="minorEastAsia"/>
                <w:color w:val="auto"/>
                <w:sz w:val="24"/>
                <w:highlight w:val="none"/>
                <w:lang w:val="en-US" w:eastAsia="zh-CN"/>
              </w:rPr>
            </w:pPr>
            <w:r>
              <w:rPr>
                <w:rFonts w:hint="eastAsia" w:ascii="宋体" w:eastAsia="宋体" w:cs="宋体" w:hAnsiTheme="minorEastAsia"/>
                <w:color w:val="auto"/>
                <w:sz w:val="24"/>
                <w:highlight w:val="none"/>
                <w:lang w:val="en-US" w:eastAsia="zh-CN"/>
              </w:rPr>
              <w:t>10</w:t>
            </w:r>
          </w:p>
        </w:tc>
        <w:tc>
          <w:tcPr>
            <w:tcW w:w="2727" w:type="dxa"/>
            <w:tcBorders>
              <w:top w:val="single" w:color="000000" w:sz="8" w:space="0"/>
              <w:left w:val="single" w:color="000000" w:sz="2" w:space="0"/>
              <w:right w:val="single" w:color="000000" w:sz="8" w:space="0"/>
            </w:tcBorders>
            <w:vAlign w:val="center"/>
          </w:tcPr>
          <w:p w14:paraId="18941811">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b/>
                <w:color w:val="auto"/>
                <w:sz w:val="24"/>
                <w:highlight w:val="none"/>
              </w:rPr>
              <w:t>中小企业信用融资</w:t>
            </w:r>
          </w:p>
        </w:tc>
        <w:tc>
          <w:tcPr>
            <w:tcW w:w="6166" w:type="dxa"/>
            <w:tcBorders>
              <w:top w:val="single" w:color="000000" w:sz="8" w:space="0"/>
              <w:left w:val="single" w:color="000000" w:sz="2" w:space="0"/>
              <w:right w:val="single" w:color="000000" w:sz="8" w:space="0"/>
            </w:tcBorders>
            <w:vAlign w:val="center"/>
          </w:tcPr>
          <w:p w14:paraId="7C85D8BB">
            <w:pPr>
              <w:snapToGrid w:val="0"/>
              <w:spacing w:line="360" w:lineRule="auto"/>
              <w:ind w:left="0" w:leftChars="0" w:right="0" w:rightChars="0" w:firstLine="0" w:firstLineChars="0"/>
              <w:jc w:val="left"/>
              <w:rPr>
                <w:rFonts w:hint="eastAsia" w:ascii="宋体" w:eastAsia="宋体" w:cs="宋体" w:hAnsiTheme="minorEastAsia"/>
                <w:snapToGrid w:val="0"/>
                <w:color w:val="auto"/>
                <w:kern w:val="28"/>
                <w:sz w:val="24"/>
                <w:highlight w:val="none"/>
              </w:rPr>
            </w:pPr>
            <w:r>
              <w:rPr>
                <w:rFonts w:hint="eastAsia" w:ascii="宋体" w:eastAsia="宋体" w:cs="宋体" w:hAnsiTheme="minorEastAsia"/>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w:t>
            </w:r>
            <w:r>
              <w:rPr>
                <w:rFonts w:hint="eastAsia" w:ascii="宋体" w:eastAsia="宋体" w:cs="宋体" w:hAnsiTheme="minorEastAsia"/>
                <w:snapToGrid w:val="0"/>
                <w:color w:val="auto"/>
                <w:kern w:val="28"/>
                <w:sz w:val="24"/>
                <w:highlight w:val="none"/>
                <w:lang w:eastAsia="zh-CN"/>
              </w:rPr>
              <w:t>广西北部湾宏亚建设管理有限公司</w:t>
            </w:r>
            <w:r>
              <w:rPr>
                <w:rFonts w:hint="eastAsia" w:ascii="宋体" w:eastAsia="宋体" w:cs="宋体" w:hAnsiTheme="minorEastAsia"/>
                <w:snapToGrid w:val="0"/>
                <w:color w:val="auto"/>
                <w:kern w:val="28"/>
                <w:sz w:val="24"/>
                <w:highlight w:val="none"/>
              </w:rPr>
              <w:t>网站自助查询。</w:t>
            </w:r>
          </w:p>
          <w:p w14:paraId="5AEC9288">
            <w:pPr>
              <w:snapToGrid w:val="0"/>
              <w:spacing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snapToGrid w:val="0"/>
                <w:color w:val="auto"/>
                <w:kern w:val="28"/>
                <w:sz w:val="24"/>
                <w:highlight w:val="none"/>
              </w:rPr>
              <w:t>供应商成交后也可在“广西政府采购云”平台申请政采贷：操作路径：登录广西政府采购云平台-金融服务中心-【融资服务】，可在热门申请中选择产品直接申请。</w:t>
            </w:r>
          </w:p>
        </w:tc>
      </w:tr>
      <w:tr w14:paraId="4F968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tblHeader/>
          <w:jc w:val="center"/>
        </w:trPr>
        <w:tc>
          <w:tcPr>
            <w:tcW w:w="769" w:type="dxa"/>
            <w:tcBorders>
              <w:top w:val="single" w:color="auto" w:sz="4" w:space="0"/>
              <w:left w:val="single" w:color="000000" w:sz="8" w:space="0"/>
              <w:bottom w:val="single" w:color="auto" w:sz="4" w:space="0"/>
              <w:right w:val="single" w:color="000000" w:sz="2" w:space="0"/>
            </w:tcBorders>
            <w:vAlign w:val="center"/>
          </w:tcPr>
          <w:p w14:paraId="1D474398">
            <w:pPr>
              <w:snapToGrid w:val="0"/>
              <w:spacing w:line="240" w:lineRule="auto"/>
              <w:ind w:left="0" w:leftChars="0" w:right="0" w:rightChars="0" w:firstLine="0" w:firstLineChars="0"/>
              <w:jc w:val="center"/>
              <w:rPr>
                <w:rFonts w:hint="default" w:ascii="宋体" w:eastAsia="宋体" w:cs="宋体" w:hAnsiTheme="minorEastAsia"/>
                <w:color w:val="auto"/>
                <w:sz w:val="24"/>
                <w:highlight w:val="none"/>
                <w:lang w:val="en-US" w:eastAsia="zh-CN"/>
              </w:rPr>
            </w:pPr>
            <w:r>
              <w:rPr>
                <w:rFonts w:hint="eastAsia" w:ascii="宋体" w:eastAsia="宋体" w:cs="宋体" w:hAnsiTheme="minorEastAsia"/>
                <w:color w:val="auto"/>
                <w:sz w:val="24"/>
                <w:highlight w:val="none"/>
                <w:lang w:val="en-US" w:eastAsia="zh-CN"/>
              </w:rPr>
              <w:t>11</w:t>
            </w:r>
          </w:p>
        </w:tc>
        <w:tc>
          <w:tcPr>
            <w:tcW w:w="2727" w:type="dxa"/>
            <w:tcBorders>
              <w:top w:val="single" w:color="000000" w:sz="8" w:space="0"/>
              <w:left w:val="single" w:color="000000" w:sz="2" w:space="0"/>
              <w:bottom w:val="single" w:color="000000" w:sz="8" w:space="0"/>
              <w:right w:val="single" w:color="000000" w:sz="8" w:space="0"/>
            </w:tcBorders>
            <w:vAlign w:val="center"/>
          </w:tcPr>
          <w:p w14:paraId="78FAFE8A">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b/>
                <w:color w:val="auto"/>
                <w:sz w:val="24"/>
                <w:highlight w:val="none"/>
              </w:rPr>
              <w:t xml:space="preserve">备份响应文件送达地点和签收人员 </w:t>
            </w:r>
          </w:p>
        </w:tc>
        <w:tc>
          <w:tcPr>
            <w:tcW w:w="6166" w:type="dxa"/>
            <w:tcBorders>
              <w:top w:val="single" w:color="000000" w:sz="8" w:space="0"/>
              <w:left w:val="single" w:color="000000" w:sz="2" w:space="0"/>
              <w:bottom w:val="single" w:color="000000" w:sz="8" w:space="0"/>
              <w:right w:val="single" w:color="000000" w:sz="8" w:space="0"/>
            </w:tcBorders>
            <w:vAlign w:val="center"/>
          </w:tcPr>
          <w:p w14:paraId="3525E11B">
            <w:pPr>
              <w:snapToGrid w:val="0"/>
              <w:spacing w:line="360" w:lineRule="auto"/>
              <w:ind w:left="0" w:leftChars="0" w:right="0" w:rightChars="0" w:firstLine="0" w:firstLineChars="0"/>
              <w:jc w:val="left"/>
              <w:rPr>
                <w:rFonts w:hint="eastAsia" w:ascii="宋体" w:hAnsi="宋体" w:eastAsia="宋体" w:cs="宋体"/>
                <w:color w:val="auto"/>
                <w:kern w:val="28"/>
                <w:sz w:val="24"/>
                <w:highlight w:val="none"/>
              </w:rPr>
            </w:pPr>
            <w:sdt>
              <w:sdtPr>
                <w:rPr>
                  <w:rFonts w:hint="eastAsia" w:ascii="宋体" w:hAnsi="宋体" w:eastAsia="宋体" w:cs="宋体"/>
                  <w:color w:val="auto"/>
                  <w:kern w:val="0"/>
                  <w:sz w:val="24"/>
                  <w:highlight w:val="none"/>
                </w:rPr>
                <w:id w:val="1297724926"/>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bookmarkStart w:id="70" w:name="_GoBack"/>
                <w:r>
                  <w:rPr>
                    <w:rFonts w:hint="eastAsia" w:ascii="宋体" w:hAnsi="宋体" w:eastAsia="宋体" w:cs="宋体"/>
                    <w:color w:val="auto"/>
                    <w:kern w:val="0"/>
                    <w:sz w:val="24"/>
                    <w:highlight w:val="none"/>
                  </w:rPr>
                  <w:sym w:font="Wingdings" w:char="F0FE"/>
                </w:r>
                <w:bookmarkEnd w:id="70"/>
              </w:sdtContent>
            </w:sdt>
            <w:r>
              <w:rPr>
                <w:rFonts w:hint="eastAsia" w:ascii="宋体" w:hAnsi="宋体" w:cs="宋体"/>
                <w:color w:val="auto"/>
                <w:kern w:val="0"/>
                <w:sz w:val="24"/>
                <w:highlight w:val="none"/>
                <w:lang w:val="en-US" w:eastAsia="zh-CN"/>
              </w:rPr>
              <w:t xml:space="preserve"> 本项目不要求提交备份响应文件</w:t>
            </w:r>
            <w:r>
              <w:rPr>
                <w:rFonts w:hint="eastAsia" w:ascii="宋体" w:hAnsi="宋体" w:eastAsia="宋体" w:cs="宋体"/>
                <w:color w:val="auto"/>
                <w:sz w:val="24"/>
                <w:highlight w:val="none"/>
              </w:rPr>
              <w:t>。</w:t>
            </w:r>
          </w:p>
        </w:tc>
      </w:tr>
      <w:tr w14:paraId="74B4DA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tblHeader/>
          <w:jc w:val="center"/>
        </w:trPr>
        <w:tc>
          <w:tcPr>
            <w:tcW w:w="769" w:type="dxa"/>
            <w:vMerge w:val="restart"/>
            <w:tcBorders>
              <w:top w:val="single" w:color="auto" w:sz="4" w:space="0"/>
              <w:left w:val="single" w:color="000000" w:sz="8" w:space="0"/>
              <w:right w:val="single" w:color="000000" w:sz="2" w:space="0"/>
            </w:tcBorders>
            <w:vAlign w:val="center"/>
          </w:tcPr>
          <w:p w14:paraId="71EE9C41">
            <w:pPr>
              <w:snapToGrid w:val="0"/>
              <w:spacing w:line="240" w:lineRule="auto"/>
              <w:ind w:left="0" w:leftChars="0" w:right="0" w:rightChars="0" w:firstLine="0" w:firstLineChars="0"/>
              <w:jc w:val="center"/>
              <w:rPr>
                <w:rFonts w:hint="default" w:ascii="宋体" w:eastAsia="宋体" w:cs="宋体" w:hAnsiTheme="minorEastAsia"/>
                <w:color w:val="auto"/>
                <w:sz w:val="24"/>
                <w:highlight w:val="none"/>
                <w:lang w:val="en-US" w:eastAsia="zh-CN"/>
              </w:rPr>
            </w:pPr>
            <w:r>
              <w:rPr>
                <w:rFonts w:hint="eastAsia" w:ascii="宋体" w:eastAsia="宋体" w:cs="宋体" w:hAnsiTheme="minorEastAsia"/>
                <w:color w:val="auto"/>
                <w:sz w:val="24"/>
                <w:highlight w:val="none"/>
                <w:lang w:val="en-US" w:eastAsia="zh-CN"/>
              </w:rPr>
              <w:t>12</w:t>
            </w:r>
          </w:p>
        </w:tc>
        <w:tc>
          <w:tcPr>
            <w:tcW w:w="2727" w:type="dxa"/>
            <w:vMerge w:val="restart"/>
            <w:tcBorders>
              <w:top w:val="single" w:color="000000" w:sz="8" w:space="0"/>
              <w:left w:val="single" w:color="000000" w:sz="2" w:space="0"/>
              <w:right w:val="single" w:color="000000" w:sz="8" w:space="0"/>
            </w:tcBorders>
            <w:vAlign w:val="center"/>
          </w:tcPr>
          <w:p w14:paraId="6EEC18E2">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r>
              <w:rPr>
                <w:rFonts w:hint="eastAsia" w:ascii="宋体" w:eastAsia="宋体" w:cs="宋体" w:hAnsiTheme="minorEastAsia"/>
                <w:b/>
                <w:color w:val="auto"/>
                <w:sz w:val="24"/>
                <w:highlight w:val="none"/>
              </w:rPr>
              <w:t>特别说明</w:t>
            </w:r>
          </w:p>
        </w:tc>
        <w:tc>
          <w:tcPr>
            <w:tcW w:w="6166" w:type="dxa"/>
            <w:tcBorders>
              <w:top w:val="single" w:color="000000" w:sz="8" w:space="0"/>
              <w:left w:val="single" w:color="000000" w:sz="2" w:space="0"/>
              <w:bottom w:val="single" w:color="000000" w:sz="8" w:space="0"/>
              <w:right w:val="single" w:color="000000" w:sz="8" w:space="0"/>
            </w:tcBorders>
            <w:vAlign w:val="center"/>
          </w:tcPr>
          <w:p w14:paraId="17E58094">
            <w:pPr>
              <w:snapToGrid w:val="0"/>
              <w:spacing w:line="360" w:lineRule="auto"/>
              <w:ind w:left="0" w:leftChars="0" w:right="0" w:rightChars="0" w:firstLine="0" w:firstLineChars="0"/>
              <w:jc w:val="left"/>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联合体响应的，联合体各方分别提供与联合体协议中规定的分工内容相应的业绩证明材料，业绩数量以提供材料较少的一方为准。</w:t>
            </w:r>
          </w:p>
        </w:tc>
      </w:tr>
      <w:tr w14:paraId="19B0E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tblHeader/>
          <w:jc w:val="center"/>
        </w:trPr>
        <w:tc>
          <w:tcPr>
            <w:tcW w:w="769" w:type="dxa"/>
            <w:vMerge w:val="continue"/>
            <w:tcBorders>
              <w:left w:val="single" w:color="000000" w:sz="8" w:space="0"/>
              <w:bottom w:val="single" w:color="auto" w:sz="4" w:space="0"/>
              <w:right w:val="single" w:color="000000" w:sz="2" w:space="0"/>
            </w:tcBorders>
            <w:vAlign w:val="center"/>
          </w:tcPr>
          <w:p w14:paraId="4B31CB8E">
            <w:pPr>
              <w:snapToGrid w:val="0"/>
              <w:spacing w:line="240" w:lineRule="auto"/>
              <w:ind w:left="0" w:leftChars="0" w:right="0" w:rightChars="0" w:firstLine="0" w:firstLineChars="0"/>
              <w:jc w:val="center"/>
              <w:rPr>
                <w:rFonts w:hint="eastAsia" w:ascii="宋体" w:eastAsia="宋体" w:cs="宋体" w:hAnsiTheme="minorEastAsia"/>
                <w:color w:val="auto"/>
                <w:sz w:val="24"/>
                <w:highlight w:val="none"/>
              </w:rPr>
            </w:pPr>
          </w:p>
        </w:tc>
        <w:tc>
          <w:tcPr>
            <w:tcW w:w="2727" w:type="dxa"/>
            <w:vMerge w:val="continue"/>
            <w:tcBorders>
              <w:left w:val="single" w:color="000000" w:sz="2" w:space="0"/>
              <w:bottom w:val="single" w:color="auto" w:sz="4" w:space="0"/>
              <w:right w:val="single" w:color="000000" w:sz="8" w:space="0"/>
            </w:tcBorders>
            <w:vAlign w:val="center"/>
          </w:tcPr>
          <w:p w14:paraId="7A241512">
            <w:pPr>
              <w:snapToGrid w:val="0"/>
              <w:spacing w:line="360" w:lineRule="auto"/>
              <w:ind w:left="0" w:leftChars="0" w:right="0" w:rightChars="0" w:firstLine="0" w:firstLineChars="0"/>
              <w:jc w:val="left"/>
              <w:rPr>
                <w:rFonts w:hint="eastAsia" w:ascii="宋体" w:eastAsia="宋体" w:cs="宋体" w:hAnsiTheme="minorEastAsia"/>
                <w:b/>
                <w:color w:val="auto"/>
                <w:sz w:val="24"/>
                <w:highlight w:val="none"/>
              </w:rPr>
            </w:pPr>
          </w:p>
        </w:tc>
        <w:tc>
          <w:tcPr>
            <w:tcW w:w="6166" w:type="dxa"/>
            <w:tcBorders>
              <w:top w:val="single" w:color="000000" w:sz="8" w:space="0"/>
              <w:left w:val="single" w:color="000000" w:sz="2" w:space="0"/>
              <w:bottom w:val="single" w:color="auto" w:sz="4" w:space="0"/>
              <w:right w:val="single" w:color="000000" w:sz="8" w:space="0"/>
            </w:tcBorders>
            <w:vAlign w:val="center"/>
          </w:tcPr>
          <w:p w14:paraId="03325445">
            <w:pPr>
              <w:snapToGrid w:val="0"/>
              <w:spacing w:line="360" w:lineRule="auto"/>
              <w:ind w:left="0" w:leftChars="0" w:right="0" w:rightChars="0" w:firstLine="0" w:firstLineChars="0"/>
              <w:jc w:val="left"/>
              <w:rPr>
                <w:rFonts w:hint="eastAsia" w:ascii="宋体" w:hAnsi="宋体" w:eastAsia="宋体" w:cs="宋体"/>
                <w:snapToGrid w:val="0"/>
                <w:color w:val="auto"/>
                <w:kern w:val="28"/>
                <w:sz w:val="24"/>
                <w:highlight w:val="none"/>
              </w:rPr>
            </w:pPr>
            <w:sdt>
              <w:sdtPr>
                <w:rPr>
                  <w:rFonts w:hint="eastAsia" w:ascii="宋体" w:eastAsia="宋体" w:cs="Arial" w:hAnsiTheme="minorEastAsia"/>
                  <w:color w:val="auto"/>
                  <w:kern w:val="0"/>
                  <w:sz w:val="24"/>
                  <w:highlight w:val="none"/>
                </w:rPr>
                <w:id w:val="-1816336663"/>
                <w14:checkbox>
                  <w14:checked w14:val="0"/>
                  <w14:checkedState w14:val="00FE" w14:font="Wingdings"/>
                  <w14:uncheckedState w14:val="2610" w14:font="MS Gothic"/>
                </w14:checkbox>
              </w:sdtPr>
              <w:sdtEndPr>
                <w:rPr>
                  <w:rFonts w:hint="eastAsia" w:ascii="宋体" w:eastAsia="宋体" w:cs="Arial"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联合体响应的，联合体各方均需按磋商文件第五部分评审标准要求提供资信证明文件，否则视为不符合相关要求。</w:t>
            </w:r>
          </w:p>
          <w:p w14:paraId="21DE3749">
            <w:pPr>
              <w:snapToGrid w:val="0"/>
              <w:spacing w:line="360" w:lineRule="auto"/>
              <w:ind w:left="0" w:leftChars="0" w:right="0" w:rightChars="0" w:firstLine="0" w:firstLineChars="0"/>
              <w:jc w:val="left"/>
              <w:rPr>
                <w:rFonts w:hint="eastAsia" w:ascii="宋体" w:hAnsi="宋体" w:eastAsia="宋体" w:cs="宋体"/>
                <w:snapToGrid w:val="0"/>
                <w:color w:val="auto"/>
                <w:kern w:val="28"/>
                <w:sz w:val="24"/>
                <w:highlight w:val="none"/>
              </w:rPr>
            </w:pPr>
            <w:sdt>
              <w:sdtPr>
                <w:rPr>
                  <w:rFonts w:hint="eastAsia" w:ascii="宋体" w:eastAsia="宋体" w:cs="Arial" w:hAnsiTheme="minorEastAsia"/>
                  <w:color w:val="auto"/>
                  <w:kern w:val="0"/>
                  <w:sz w:val="24"/>
                  <w:highlight w:val="none"/>
                </w:rPr>
                <w:id w:val="-232311894"/>
                <w14:checkbox>
                  <w14:checked w14:val="0"/>
                  <w14:checkedState w14:val="00FE" w14:font="Wingdings"/>
                  <w14:uncheckedState w14:val="2610" w14:font="MS Gothic"/>
                </w14:checkbox>
              </w:sdtPr>
              <w:sdtEndPr>
                <w:rPr>
                  <w:rFonts w:hint="eastAsia" w:ascii="宋体" w:eastAsia="宋体" w:cs="Arial" w:hAnsiTheme="minorEastAsia"/>
                  <w:color w:val="auto"/>
                  <w:kern w:val="0"/>
                  <w:sz w:val="24"/>
                  <w:highlight w:val="none"/>
                </w:rPr>
              </w:sdtEndPr>
              <w:sdtContent>
                <w:r>
                  <w:rPr>
                    <w:rFonts w:hint="eastAsia" w:ascii="宋体" w:hAnsi="MS Gothic" w:eastAsia="宋体" w:cs="Arial"/>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联合体响应的，联合体中有一方或者联合体成员根据分工按磋商文件第五部分评审标准要求提供资信证明文件的，视为符合了相关要求。</w:t>
            </w:r>
          </w:p>
        </w:tc>
      </w:tr>
      <w:tr w14:paraId="3C5B0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tblHeader/>
          <w:jc w:val="center"/>
        </w:trPr>
        <w:tc>
          <w:tcPr>
            <w:tcW w:w="769" w:type="dxa"/>
            <w:tcBorders>
              <w:top w:val="single" w:color="auto" w:sz="4" w:space="0"/>
              <w:left w:val="single" w:color="auto" w:sz="4" w:space="0"/>
              <w:bottom w:val="single" w:color="auto" w:sz="4" w:space="0"/>
              <w:right w:val="single" w:color="auto" w:sz="4" w:space="0"/>
            </w:tcBorders>
            <w:vAlign w:val="center"/>
          </w:tcPr>
          <w:p w14:paraId="4196AFFC">
            <w:pPr>
              <w:snapToGrid w:val="0"/>
              <w:spacing w:line="240" w:lineRule="auto"/>
              <w:ind w:left="0" w:leftChars="0" w:right="0" w:rightChars="0" w:firstLine="0" w:firstLineChars="0"/>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w:t>
            </w:r>
          </w:p>
        </w:tc>
        <w:tc>
          <w:tcPr>
            <w:tcW w:w="2727" w:type="dxa"/>
            <w:tcBorders>
              <w:top w:val="single" w:color="auto" w:sz="4" w:space="0"/>
              <w:left w:val="single" w:color="auto" w:sz="4" w:space="0"/>
              <w:bottom w:val="single" w:color="auto" w:sz="4" w:space="0"/>
              <w:right w:val="single" w:color="auto" w:sz="4" w:space="0"/>
            </w:tcBorders>
            <w:vAlign w:val="center"/>
          </w:tcPr>
          <w:p w14:paraId="13C97B93">
            <w:pPr>
              <w:snapToGrid w:val="0"/>
              <w:spacing w:line="360" w:lineRule="auto"/>
              <w:ind w:left="0" w:leftChars="0" w:right="0" w:rightChars="0" w:firstLine="0" w:firstLineChars="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6166" w:type="dxa"/>
            <w:tcBorders>
              <w:top w:val="single" w:color="auto" w:sz="4" w:space="0"/>
              <w:left w:val="single" w:color="auto" w:sz="4" w:space="0"/>
              <w:bottom w:val="single" w:color="auto" w:sz="4" w:space="0"/>
              <w:right w:val="single" w:color="auto" w:sz="4" w:space="0"/>
            </w:tcBorders>
            <w:vAlign w:val="center"/>
          </w:tcPr>
          <w:p w14:paraId="13F3D5C0">
            <w:pPr>
              <w:snapToGrid w:val="0"/>
              <w:spacing w:line="360" w:lineRule="auto"/>
              <w:ind w:left="0" w:leftChars="0" w:right="0" w:rightChars="0" w:firstLine="0" w:firstLineChars="0"/>
              <w:jc w:val="left"/>
              <w:rPr>
                <w:rFonts w:hint="eastAsia" w:ascii="宋体" w:eastAsia="宋体" w:cs="Arial" w:hAnsiTheme="minorEastAsia"/>
                <w:color w:val="auto"/>
                <w:kern w:val="0"/>
                <w:sz w:val="24"/>
                <w:highlight w:val="none"/>
              </w:rPr>
            </w:pPr>
            <w:r>
              <w:rPr>
                <w:rFonts w:hint="eastAsia" w:ascii="宋体" w:eastAsia="宋体" w:cs="Arial" w:hAnsiTheme="minorEastAsia"/>
                <w:color w:val="auto"/>
                <w:kern w:val="0"/>
                <w:sz w:val="24"/>
                <w:highlight w:val="none"/>
              </w:rPr>
              <w:t>本磋商文件解释权属采购人及代理机构。</w:t>
            </w:r>
          </w:p>
        </w:tc>
      </w:tr>
    </w:tbl>
    <w:p w14:paraId="4F8873E9">
      <w:pPr>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br w:type="page"/>
      </w:r>
    </w:p>
    <w:p w14:paraId="10D8B5D6">
      <w:pPr>
        <w:adjustRightInd/>
        <w:spacing w:line="360" w:lineRule="auto"/>
        <w:ind w:firstLine="3845" w:firstLineChars="1197"/>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二、总则</w:t>
      </w:r>
    </w:p>
    <w:p w14:paraId="1B675FCE">
      <w:pPr>
        <w:snapToGrid w:val="0"/>
        <w:spacing w:line="360" w:lineRule="auto"/>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14:paraId="35B9BBB3">
      <w:pPr>
        <w:snapToGrid w:val="0"/>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本磋商文件适用于该项目的邀请、响应、开启响应文件、信用信息查询、资格性审查、评审、成交、合同、验收等行为（法律、法规另有规定的，从其规定）。</w:t>
      </w:r>
    </w:p>
    <w:p w14:paraId="126D48B3">
      <w:pP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2.定义</w:t>
      </w:r>
    </w:p>
    <w:p w14:paraId="6B81582A">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“采购人”系指磋商邀请公告中载明的本项目的采购人。</w:t>
      </w:r>
    </w:p>
    <w:p w14:paraId="2812F986">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“采购代理机构”系指磋商邀请公告中载明的本项目的采购代理机构。</w:t>
      </w:r>
    </w:p>
    <w:p w14:paraId="745BBE1E">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“供应商”系指响应磋商、参加本次竞争的法人、其他组织或自然人。</w:t>
      </w:r>
    </w:p>
    <w:p w14:paraId="7964EE0E">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72B5C622">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14:paraId="32BEF72C">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2.6“响应文件”系指供应商提交的商务技术文件。供应商提交最后报价后，最后报价是供应商响应文件的有效组成部分。</w:t>
      </w:r>
    </w:p>
    <w:p w14:paraId="34B3FE48">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2.7“电子交易平台”系指本项目政府采购活动所依托的</w:t>
      </w:r>
      <w:r>
        <w:rPr>
          <w:rFonts w:hint="eastAsia" w:ascii="宋体" w:hAnsi="宋体" w:cs="宋体"/>
          <w:color w:val="auto"/>
          <w:sz w:val="24"/>
          <w:highlight w:val="none"/>
        </w:rPr>
        <w:t>广西政府采购云平台（https://www.gcy.zfcg.gxzf.gov.cn/）</w:t>
      </w:r>
      <w:r>
        <w:rPr>
          <w:rFonts w:hint="eastAsia" w:asciiTheme="minorEastAsia" w:hAnsiTheme="minorEastAsia" w:eastAsiaTheme="minorEastAsia"/>
          <w:color w:val="auto"/>
          <w:sz w:val="24"/>
          <w:highlight w:val="none"/>
        </w:rPr>
        <w:t>。</w:t>
      </w:r>
    </w:p>
    <w:p w14:paraId="77558E2E">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p>
    <w:p w14:paraId="29FF996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556D6090">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14:paraId="78EF263C">
      <w:pPr>
        <w:snapToGrid w:val="0"/>
        <w:spacing w:line="360" w:lineRule="auto"/>
        <w:ind w:firstLine="480" w:firstLineChars="200"/>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 “※”系指磋商过程中可能实质性变动的内容，</w:t>
      </w:r>
      <w:r>
        <w:rPr>
          <w:rFonts w:asciiTheme="minorEastAsia" w:hAnsiTheme="minorEastAsia" w:eastAsiaTheme="minorEastAsia"/>
          <w:color w:val="auto"/>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44F537CF">
      <w:pP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14:paraId="576A9FC6">
      <w:pPr>
        <w:spacing w:line="360" w:lineRule="auto"/>
        <w:ind w:firstLine="480" w:firstLineChars="200"/>
        <w:rPr>
          <w:rFonts w:hint="eastAsia"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诺的响应有效期少于磋商文件中载明的磋商有效期的，响应无效。</w:t>
      </w:r>
    </w:p>
    <w:p w14:paraId="789314F8">
      <w:pPr>
        <w:pStyle w:val="393"/>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3.2响应文件合格提交后，自响应截止日期起，在响应有效期内有效。</w:t>
      </w:r>
    </w:p>
    <w:p w14:paraId="0398425A">
      <w:pPr>
        <w:pStyle w:val="393"/>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3.3在原定响应有效期满之前，如果出现特殊情况，采购代理机构可以以书面形式通知供应商延长响应有效期。供应商同意延长的，不得要求或被允许修改其响应文件;供应商拒绝延长的，其响应无效。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highlight w:val="none"/>
        </w:rPr>
        <w:t>拒绝延长磋商有效期的供应商不得再参与该项目后续采购活动。</w:t>
      </w:r>
    </w:p>
    <w:p w14:paraId="4A4BB6A3">
      <w:pPr>
        <w:tabs>
          <w:tab w:val="left" w:pos="378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4．响应费用</w:t>
      </w:r>
    </w:p>
    <w:p w14:paraId="44AE6DCA">
      <w:pPr>
        <w:pStyle w:val="32"/>
        <w:spacing w:line="360" w:lineRule="auto"/>
        <w:ind w:firstLine="480" w:firstLineChars="200"/>
        <w:rPr>
          <w:rFonts w:hint="eastAsia"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6EE518E3">
      <w:pPr>
        <w:spacing w:line="360" w:lineRule="auto"/>
        <w:jc w:val="center"/>
        <w:rPr>
          <w:rFonts w:hint="eastAsia" w:cs="仿宋_GB2312" w:asciiTheme="minorEastAsia" w:hAnsiTheme="minorEastAsia" w:eastAsiaTheme="minorEastAsia"/>
          <w:b/>
          <w:color w:val="auto"/>
          <w:sz w:val="24"/>
          <w:highlight w:val="none"/>
        </w:rPr>
      </w:pPr>
    </w:p>
    <w:p w14:paraId="6DF44711">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三、需要落实的政府采购政策</w:t>
      </w:r>
    </w:p>
    <w:p w14:paraId="22366D9C">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hint="eastAsia" w:asciiTheme="minorEastAsia" w:hAnsiTheme="minorEastAsia" w:eastAsiaTheme="minorEastAsia"/>
          <w:b/>
          <w:color w:val="auto"/>
          <w:sz w:val="24"/>
          <w:highlight w:val="none"/>
        </w:rPr>
        <w:t>.支持绿色发展</w:t>
      </w:r>
    </w:p>
    <w:p w14:paraId="5116151A">
      <w:pPr>
        <w:spacing w:line="360" w:lineRule="auto"/>
        <w:ind w:firstLine="480" w:firstLineChars="200"/>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1CBCA1F2">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.2</w:t>
      </w:r>
      <w:r>
        <w:rPr>
          <w:rFonts w:hint="eastAsia" w:ascii="宋体" w:hAnsi="宋体" w:cs="宋体"/>
          <w:color w:val="auto"/>
          <w:sz w:val="24"/>
          <w:highlight w:val="none"/>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547AE007">
      <w:pPr>
        <w:spacing w:line="360" w:lineRule="auto"/>
        <w:ind w:firstLine="480" w:firstLineChars="200"/>
        <w:rPr>
          <w:rFonts w:hint="eastAsia" w:ascii="宋体" w:hAnsi="宋体" w:cs="宋体"/>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27C98D8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ascii="宋体" w:hAnsi="宋体" w:cs="宋体"/>
          <w:color w:val="auto"/>
          <w:sz w:val="24"/>
          <w:highlight w:val="none"/>
        </w:rPr>
        <w:t xml:space="preserve">.4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2DC8FE10">
      <w:pPr>
        <w:pStyle w:val="32"/>
        <w:spacing w:line="360" w:lineRule="auto"/>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w:t>
      </w:r>
      <w:r>
        <w:rPr>
          <w:rFonts w:hint="eastAsia" w:asciiTheme="minorEastAsia" w:hAnsiTheme="minorEastAsia" w:eastAsiaTheme="minorEastAsia"/>
          <w:b/>
          <w:color w:val="auto"/>
          <w:sz w:val="24"/>
          <w:szCs w:val="24"/>
          <w:highlight w:val="none"/>
        </w:rPr>
        <w:t>.支持中小企业发展。</w:t>
      </w:r>
    </w:p>
    <w:p w14:paraId="0C395DFE">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7F1AA2D9">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63ADB596">
      <w:pPr>
        <w:widowControl/>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bCs/>
          <w:color w:val="auto"/>
          <w:sz w:val="24"/>
          <w:highlight w:val="none"/>
          <w:lang w:val="en-US" w:eastAsia="zh-CN"/>
        </w:rPr>
        <w:t>2</w:t>
      </w:r>
      <w:r>
        <w:rPr>
          <w:rFonts w:cs="宋体" w:asciiTheme="minorEastAsia" w:hAnsiTheme="minorEastAsia" w:eastAsiaTheme="minorEastAsia"/>
          <w:bCs/>
          <w:color w:val="auto"/>
          <w:sz w:val="24"/>
          <w:highlight w:val="none"/>
        </w:rPr>
        <w:t>.2</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422848E0">
      <w:pPr>
        <w:widowControl/>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2FA37E5A">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7209DC5A">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.4符合《关于促进残疾人就业政府采购政策的通知》（财库〔2017〕141号）规定的条件并提供《残疾人福利性单位声明函》的残疾人福利性单位视同小型、微型企业；</w:t>
      </w:r>
    </w:p>
    <w:p w14:paraId="37CB087D">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14:paraId="3720FD5A">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4EA6D328">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.7中小企业享受扶持政策获得政府采购合同的，小微企业不得将合同分包给大中型企业，中型企业不得将合同分包给大型企业。</w:t>
      </w:r>
    </w:p>
    <w:p w14:paraId="54AC3194">
      <w:pPr>
        <w:spacing w:line="360" w:lineRule="auto"/>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3</w:t>
      </w:r>
      <w:r>
        <w:rPr>
          <w:rFonts w:hint="eastAsia" w:cs="宋体" w:asciiTheme="minorEastAsia" w:hAnsiTheme="minorEastAsia" w:eastAsiaTheme="minorEastAsia"/>
          <w:b/>
          <w:color w:val="auto"/>
          <w:sz w:val="24"/>
          <w:highlight w:val="none"/>
        </w:rPr>
        <w:t>.</w:t>
      </w:r>
      <w:r>
        <w:rPr>
          <w:rFonts w:hint="eastAsia" w:cs="宋体" w:asciiTheme="minorEastAsia" w:hAnsiTheme="minorEastAsia" w:eastAsiaTheme="minorEastAsia"/>
          <w:b/>
          <w:bCs/>
          <w:color w:val="auto"/>
          <w:sz w:val="24"/>
          <w:highlight w:val="none"/>
        </w:rPr>
        <w:t>支持创新发展</w:t>
      </w:r>
    </w:p>
    <w:p w14:paraId="1A75F0E6">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.1 采购人优先采购被认定为首台套产品和“制造精品”的自主创新产品。</w:t>
      </w:r>
    </w:p>
    <w:p w14:paraId="327013AC">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49935ECA">
      <w:pPr>
        <w:spacing w:line="360" w:lineRule="auto"/>
        <w:rPr>
          <w:rFonts w:hint="eastAsia" w:ascii="宋体" w:hAnsi="宋体" w:cs="宋体"/>
          <w:b/>
          <w:color w:val="auto"/>
          <w:sz w:val="24"/>
          <w:highlight w:val="none"/>
        </w:rPr>
      </w:pPr>
      <w:r>
        <w:rPr>
          <w:rFonts w:hint="eastAsia" w:cs="宋体" w:asciiTheme="minorEastAsia" w:hAnsiTheme="minorEastAsia" w:eastAsiaTheme="minorEastAsia"/>
          <w:b/>
          <w:color w:val="auto"/>
          <w:sz w:val="24"/>
          <w:highlight w:val="none"/>
          <w:lang w:val="en-US" w:eastAsia="zh-CN"/>
        </w:rPr>
        <w:t>4</w:t>
      </w:r>
      <w:r>
        <w:rPr>
          <w:rFonts w:hint="eastAsia" w:cs="宋体" w:asciiTheme="minorEastAsia" w:hAnsiTheme="minorEastAsia" w:eastAsiaTheme="minorEastAsia"/>
          <w:b/>
          <w:color w:val="auto"/>
          <w:sz w:val="24"/>
          <w:highlight w:val="none"/>
        </w:rPr>
        <w:t>.</w:t>
      </w:r>
      <w:r>
        <w:rPr>
          <w:rFonts w:hint="eastAsia" w:ascii="宋体" w:hAnsi="宋体" w:cs="宋体"/>
          <w:b/>
          <w:color w:val="auto"/>
          <w:sz w:val="24"/>
          <w:highlight w:val="none"/>
        </w:rPr>
        <w:t>平等对待内外资企业</w:t>
      </w:r>
    </w:p>
    <w:p w14:paraId="6DA0C49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261B03CA">
      <w:pPr>
        <w:pStyle w:val="633"/>
        <w:ind w:firstLine="0"/>
        <w:rPr>
          <w:rFonts w:hint="eastAsia"/>
          <w:b/>
          <w:bCs/>
          <w:color w:val="auto"/>
          <w:highlight w:val="none"/>
        </w:rPr>
      </w:pPr>
      <w:r>
        <w:rPr>
          <w:rFonts w:hint="eastAsia" w:cs="宋体" w:asciiTheme="minorEastAsia" w:hAnsiTheme="minorEastAsia" w:eastAsiaTheme="minorEastAsia"/>
          <w:b/>
          <w:color w:val="auto"/>
          <w:highlight w:val="none"/>
          <w:lang w:val="en-US" w:eastAsia="zh-CN"/>
        </w:rPr>
        <w:t>5</w:t>
      </w:r>
      <w:r>
        <w:rPr>
          <w:rFonts w:hint="eastAsia" w:cs="宋体" w:asciiTheme="minorEastAsia" w:hAnsiTheme="minorEastAsia" w:eastAsiaTheme="minorEastAsia"/>
          <w:b/>
          <w:color w:val="auto"/>
          <w:highlight w:val="none"/>
        </w:rPr>
        <w:t>.</w:t>
      </w:r>
      <w:r>
        <w:rPr>
          <w:rFonts w:hint="eastAsia"/>
          <w:b/>
          <w:color w:val="auto"/>
          <w:highlight w:val="none"/>
        </w:rPr>
        <w:t>平等对待符合条件的破产重整企业</w:t>
      </w:r>
    </w:p>
    <w:p w14:paraId="21AEAD3F">
      <w:pPr>
        <w:pStyle w:val="633"/>
        <w:rPr>
          <w:rFonts w:hint="eastAsia"/>
          <w:color w:val="auto"/>
          <w:highlight w:val="none"/>
        </w:rPr>
      </w:pPr>
      <w:r>
        <w:rPr>
          <w:rFonts w:hint="eastAsia" w:cs="宋体"/>
          <w:color w:val="auto"/>
          <w:highlight w:val="none"/>
        </w:rPr>
        <w:t>平等对待符合条件的破产重整企业，切实保障企业公平竞争，平等维护企业的合法利益。</w:t>
      </w:r>
    </w:p>
    <w:p w14:paraId="0B039A2D">
      <w:pPr>
        <w:spacing w:line="360" w:lineRule="auto"/>
        <w:ind w:firstLine="480" w:firstLineChars="200"/>
        <w:rPr>
          <w:rFonts w:hint="eastAsia" w:asciiTheme="minorEastAsia" w:hAnsiTheme="minorEastAsia" w:eastAsiaTheme="minorEastAsia"/>
          <w:color w:val="auto"/>
          <w:sz w:val="24"/>
          <w:highlight w:val="none"/>
        </w:rPr>
      </w:pPr>
    </w:p>
    <w:p w14:paraId="4C21CD3A">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四、询问、质疑与投诉</w:t>
      </w:r>
    </w:p>
    <w:p w14:paraId="6D5CB1F0">
      <w:pPr>
        <w:pStyle w:val="32"/>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1.在线询问、质疑、投诉</w:t>
      </w:r>
    </w:p>
    <w:p w14:paraId="617A3ECA">
      <w:pPr>
        <w:spacing w:line="360" w:lineRule="auto"/>
        <w:ind w:firstLine="480" w:firstLineChars="200"/>
        <w:rPr>
          <w:rFonts w:hint="eastAsia"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 xml:space="preserve">根据《北海市财政局  </w:t>
      </w:r>
      <w:r>
        <w:rPr>
          <w:rFonts w:hint="eastAsia" w:asciiTheme="minorEastAsia" w:hAnsiTheme="minorEastAsia" w:eastAsiaTheme="minorEastAsia"/>
          <w:color w:val="auto"/>
          <w:sz w:val="24"/>
          <w:highlight w:val="none"/>
          <w:lang w:val="en-US" w:eastAsia="zh-CN"/>
        </w:rPr>
        <w:t>北海市政府采购中心</w:t>
      </w:r>
      <w:r>
        <w:rPr>
          <w:rFonts w:hint="eastAsia" w:asciiTheme="minorEastAsia" w:hAnsiTheme="minorEastAsia" w:eastAsiaTheme="minorEastAsia"/>
          <w:color w:val="auto"/>
          <w:sz w:val="24"/>
          <w:highlight w:val="none"/>
          <w:lang w:val="zh-CN"/>
        </w:rPr>
        <w:t>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52CE0F78">
      <w:pPr>
        <w:pStyle w:val="633"/>
        <w:rPr>
          <w:rFonts w:hint="eastAsia"/>
          <w:color w:val="auto"/>
          <w:highlight w:val="none"/>
          <w:lang w:val="en-US" w:eastAsia="zh-CN"/>
        </w:rPr>
      </w:pPr>
      <w:r>
        <w:rPr>
          <w:rFonts w:hint="eastAsia"/>
          <w:color w:val="auto"/>
          <w:highlight w:val="none"/>
        </w:rPr>
        <w:t>询问联系部门：</w:t>
      </w:r>
      <w:r>
        <w:rPr>
          <w:rFonts w:hint="eastAsia"/>
          <w:color w:val="auto"/>
          <w:highlight w:val="none"/>
          <w:lang w:val="en-US" w:eastAsia="zh-CN"/>
        </w:rPr>
        <w:t>广西北部湾宏亚建设管理有限公司</w:t>
      </w:r>
    </w:p>
    <w:p w14:paraId="1AE538B0">
      <w:pPr>
        <w:pStyle w:val="633"/>
        <w:rPr>
          <w:rFonts w:hint="eastAsia" w:eastAsia="宋体"/>
          <w:color w:val="auto"/>
          <w:highlight w:val="none"/>
          <w:lang w:eastAsia="zh-CN"/>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地址：</w:t>
      </w:r>
      <w:r>
        <w:rPr>
          <w:rFonts w:hint="eastAsia" w:cs="Times New Roman"/>
          <w:b w:val="0"/>
          <w:bCs w:val="0"/>
          <w:color w:val="auto"/>
          <w:sz w:val="24"/>
          <w:szCs w:val="20"/>
          <w:highlight w:val="none"/>
          <w:lang w:eastAsia="zh-CN"/>
        </w:rPr>
        <w:t>广西北海市海城区银河城市科技产业城2栋0101号</w:t>
      </w:r>
    </w:p>
    <w:p w14:paraId="4819B185">
      <w:pPr>
        <w:pStyle w:val="633"/>
        <w:ind w:firstLine="480" w:firstLineChars="200"/>
        <w:rPr>
          <w:rFonts w:hint="eastAsia"/>
          <w:color w:val="auto"/>
          <w:highlight w:val="none"/>
        </w:rPr>
      </w:pPr>
      <w:r>
        <w:rPr>
          <w:rFonts w:hint="eastAsia"/>
          <w:color w:val="auto"/>
          <w:highlight w:val="none"/>
        </w:rPr>
        <w:t>质疑联系部门：</w:t>
      </w:r>
      <w:r>
        <w:rPr>
          <w:rFonts w:hint="eastAsia"/>
          <w:color w:val="auto"/>
          <w:highlight w:val="none"/>
          <w:lang w:val="en-US" w:eastAsia="zh-CN"/>
        </w:rPr>
        <w:t>广西北部湾宏亚建设管理有限公司</w:t>
      </w:r>
      <w:r>
        <w:rPr>
          <w:rFonts w:hint="eastAsia"/>
          <w:color w:val="auto"/>
          <w:highlight w:val="none"/>
        </w:rPr>
        <w:t xml:space="preserve">        </w:t>
      </w:r>
    </w:p>
    <w:p w14:paraId="45EEF9AC">
      <w:pPr>
        <w:pStyle w:val="633"/>
        <w:ind w:firstLine="480" w:firstLineChars="200"/>
        <w:rPr>
          <w:color w:val="auto"/>
          <w:highlight w:val="none"/>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s="Times New Roman"/>
          <w:b w:val="0"/>
          <w:bCs w:val="0"/>
          <w:color w:val="auto"/>
          <w:sz w:val="24"/>
          <w:szCs w:val="20"/>
          <w:highlight w:val="none"/>
          <w:lang w:eastAsia="zh-CN"/>
        </w:rPr>
        <w:t>广西北海市海城区银河城市科技产业城2栋0101号</w:t>
      </w:r>
      <w:r>
        <w:rPr>
          <w:rFonts w:hint="eastAsia"/>
          <w:color w:val="auto"/>
          <w:highlight w:val="none"/>
        </w:rPr>
        <w:t xml:space="preserve"> </w:t>
      </w:r>
    </w:p>
    <w:p w14:paraId="2A636718">
      <w:pPr>
        <w:pStyle w:val="633"/>
        <w:rPr>
          <w:rFonts w:hint="eastAsia"/>
          <w:color w:val="auto"/>
          <w:highlight w:val="none"/>
        </w:rPr>
      </w:pPr>
      <w:r>
        <w:rPr>
          <w:rFonts w:hint="eastAsia"/>
          <w:color w:val="auto"/>
          <w:highlight w:val="none"/>
        </w:rPr>
        <w:t>投诉联系部门：</w:t>
      </w:r>
      <w:r>
        <w:rPr>
          <w:rFonts w:hint="eastAsia"/>
          <w:bCs/>
          <w:color w:val="auto"/>
          <w:highlight w:val="none"/>
          <w:lang w:eastAsia="zh-CN"/>
        </w:rPr>
        <w:t>北海市财政局</w:t>
      </w:r>
      <w:r>
        <w:rPr>
          <w:rFonts w:hint="eastAsia"/>
          <w:bCs/>
          <w:color w:val="auto"/>
          <w:highlight w:val="none"/>
        </w:rPr>
        <w:t>（财政监督部门）</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w:t>
      </w:r>
    </w:p>
    <w:p w14:paraId="5CF2FAF1">
      <w:pPr>
        <w:pStyle w:val="633"/>
        <w:rPr>
          <w:color w:val="auto"/>
          <w:highlight w:val="none"/>
        </w:rPr>
      </w:pPr>
      <w:r>
        <w:rPr>
          <w:rFonts w:hint="eastAsia"/>
          <w:color w:val="auto"/>
          <w:highlight w:val="none"/>
        </w:rPr>
        <w:t>联系电话：</w:t>
      </w:r>
      <w:r>
        <w:rPr>
          <w:rFonts w:hint="eastAsia"/>
          <w:bCs/>
          <w:color w:val="auto"/>
          <w:highlight w:val="none"/>
          <w:lang w:eastAsia="zh-CN"/>
        </w:rPr>
        <w:t>0779-3063975</w:t>
      </w:r>
      <w:r>
        <w:rPr>
          <w:rFonts w:hint="eastAsia"/>
          <w:color w:val="auto"/>
          <w:highlight w:val="none"/>
        </w:rPr>
        <w:t xml:space="preserve">  地址：北海市海城区北部湾西路19号</w:t>
      </w:r>
    </w:p>
    <w:p w14:paraId="088C3C15">
      <w:pP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14:paraId="5E4082DB">
      <w:pPr>
        <w:autoSpaceDE w:val="0"/>
        <w:autoSpaceDN w:val="0"/>
        <w:spacing w:line="360" w:lineRule="auto"/>
        <w:ind w:firstLine="480" w:firstLineChars="200"/>
        <w:jc w:val="left"/>
        <w:rPr>
          <w:rFonts w:hint="eastAsia"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783EC1B7">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14:paraId="2EFC0826">
      <w:pPr>
        <w:pStyle w:val="32"/>
        <w:spacing w:line="360" w:lineRule="auto"/>
        <w:ind w:firstLine="482" w:firstLineChars="200"/>
        <w:rPr>
          <w:rFonts w:hint="eastAsia"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.1质疑提出时效</w:t>
      </w:r>
    </w:p>
    <w:p w14:paraId="572B536B">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3.1.1提出质疑的供应商应当是参与所质疑项目采购活动的供应商。潜在供应商已依法获取其可质疑的采购文件的，可以对该文件提出质疑。</w:t>
      </w:r>
    </w:p>
    <w:p w14:paraId="706BFB92">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36B9485">
      <w:pPr>
        <w:pStyle w:val="16"/>
        <w:spacing w:line="360" w:lineRule="auto"/>
        <w:ind w:firstLine="434" w:firstLineChars="181"/>
        <w:rPr>
          <w:rFonts w:hint="eastAsia" w:asciiTheme="minorEastAsia" w:hAnsiTheme="minorEastAsia" w:eastAsiaTheme="minorEastAsia"/>
          <w:snapToGrid/>
          <w:color w:val="auto"/>
          <w:kern w:val="2"/>
          <w:sz w:val="24"/>
          <w:highlight w:val="none"/>
        </w:rPr>
      </w:pPr>
      <w:r>
        <w:rPr>
          <w:rFonts w:hint="eastAsia" w:asciiTheme="minorEastAsia" w:hAnsiTheme="minorEastAsia" w:eastAsiaTheme="minorEastAsia"/>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265F3152">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3.1.2.2对采购过程提出质疑的，质疑期限为各采购程序环节结束之日起计算。</w:t>
      </w:r>
    </w:p>
    <w:p w14:paraId="56777568">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3.1.2.3对采购结果提出质疑的，质疑期限自采购结果公告期限届满之日起计算。</w:t>
      </w:r>
    </w:p>
    <w:p w14:paraId="2D72721F">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3.1.2.4对同一采购程序环节的质疑，供应商须一次性提出。</w:t>
      </w:r>
    </w:p>
    <w:p w14:paraId="270C582C">
      <w:pPr>
        <w:pStyle w:val="32"/>
        <w:spacing w:line="360" w:lineRule="auto"/>
        <w:ind w:firstLine="482"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3.2质疑答复</w:t>
      </w:r>
    </w:p>
    <w:p w14:paraId="2B4BBE1A">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3.2.1根据采购人与采购代理机构签订采购委托协议的规定，质疑答复责任主体如下：</w:t>
      </w:r>
    </w:p>
    <w:p w14:paraId="6F25E640">
      <w:pPr>
        <w:widowControl/>
        <w:adjustRightInd/>
        <w:jc w:val="center"/>
        <w:rPr>
          <w:rFonts w:hint="eastAsia"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718E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3E288FE3">
            <w:pPr>
              <w:pStyle w:val="32"/>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vAlign w:val="center"/>
          </w:tcPr>
          <w:p w14:paraId="7BD4D4A4">
            <w:pPr>
              <w:pStyle w:val="32"/>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10A7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1FDFE4E6">
            <w:pPr>
              <w:pStyle w:val="32"/>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vAlign w:val="center"/>
          </w:tcPr>
          <w:p w14:paraId="5A542CBA">
            <w:pPr>
              <w:pStyle w:val="32"/>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vAlign w:val="center"/>
          </w:tcPr>
          <w:p w14:paraId="66B451C6">
            <w:pPr>
              <w:pStyle w:val="32"/>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3EA8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BF58128">
            <w:pPr>
              <w:pStyle w:val="32"/>
              <w:spacing w:line="360" w:lineRule="auto"/>
              <w:jc w:val="center"/>
              <w:rPr>
                <w:rFonts w:hint="eastAsia" w:asciiTheme="minorEastAsia" w:hAnsiTheme="minorEastAsia" w:eastAsiaTheme="minorEastAsia"/>
                <w:color w:val="auto"/>
                <w:sz w:val="24"/>
                <w:highlight w:val="none"/>
              </w:rPr>
            </w:pPr>
          </w:p>
        </w:tc>
        <w:tc>
          <w:tcPr>
            <w:tcW w:w="4536" w:type="dxa"/>
            <w:vAlign w:val="center"/>
          </w:tcPr>
          <w:p w14:paraId="76A473CA">
            <w:pPr>
              <w:pStyle w:val="32"/>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vAlign w:val="center"/>
          </w:tcPr>
          <w:p w14:paraId="02F11DE5">
            <w:pPr>
              <w:pStyle w:val="32"/>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4D53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150F73F5">
            <w:pPr>
              <w:pStyle w:val="32"/>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vAlign w:val="center"/>
          </w:tcPr>
          <w:p w14:paraId="2829E7C4">
            <w:pPr>
              <w:pStyle w:val="32"/>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vAlign w:val="center"/>
          </w:tcPr>
          <w:p w14:paraId="5792F176">
            <w:pPr>
              <w:pStyle w:val="32"/>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2E66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1F82468">
            <w:pPr>
              <w:pStyle w:val="32"/>
              <w:spacing w:line="360" w:lineRule="auto"/>
              <w:jc w:val="center"/>
              <w:rPr>
                <w:rFonts w:hint="eastAsia" w:asciiTheme="minorEastAsia" w:hAnsiTheme="minorEastAsia" w:eastAsiaTheme="minorEastAsia"/>
                <w:color w:val="auto"/>
                <w:sz w:val="24"/>
                <w:highlight w:val="none"/>
              </w:rPr>
            </w:pPr>
          </w:p>
        </w:tc>
        <w:tc>
          <w:tcPr>
            <w:tcW w:w="4536" w:type="dxa"/>
            <w:vAlign w:val="center"/>
          </w:tcPr>
          <w:p w14:paraId="3524DEEE">
            <w:pPr>
              <w:pStyle w:val="32"/>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vAlign w:val="center"/>
          </w:tcPr>
          <w:p w14:paraId="3803579A">
            <w:pPr>
              <w:pStyle w:val="32"/>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23DC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4988DBFF">
            <w:pPr>
              <w:pStyle w:val="32"/>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vAlign w:val="center"/>
          </w:tcPr>
          <w:p w14:paraId="41E888B2">
            <w:pPr>
              <w:pStyle w:val="32"/>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vAlign w:val="center"/>
          </w:tcPr>
          <w:p w14:paraId="696E74BD">
            <w:pPr>
              <w:pStyle w:val="32"/>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2D118EE0">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注：采购人或代理机构应当协助质疑答复责任主体及时答复供应商的书面质疑。</w:t>
      </w:r>
    </w:p>
    <w:p w14:paraId="0E0A604A">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16D7642E">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 2.3询问或者质疑事项可能影响采购结果的，采购人应当暂停签订合同，已经签订合同的，应当中止履行合同。</w:t>
      </w:r>
    </w:p>
    <w:p w14:paraId="7332438F">
      <w:pPr>
        <w:pStyle w:val="32"/>
        <w:spacing w:line="360" w:lineRule="auto"/>
        <w:ind w:firstLine="482"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3.3质疑函</w:t>
      </w:r>
    </w:p>
    <w:p w14:paraId="2025F4A6">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3.3.1供应商提出质疑应当提交质疑函和必要的证明材料。质疑函应当包括下列内容：</w:t>
      </w:r>
    </w:p>
    <w:p w14:paraId="6580AE0E">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szCs w:val="24"/>
          <w:highlight w:val="none"/>
        </w:rPr>
        <w:t>供应商的姓名或者名称、地址、邮编、联系人及联系电话；</w:t>
      </w:r>
    </w:p>
    <w:p w14:paraId="16495CA7">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szCs w:val="24"/>
          <w:highlight w:val="none"/>
        </w:rPr>
        <w:t>质疑项目的名称、编号；</w:t>
      </w:r>
    </w:p>
    <w:p w14:paraId="73819DE1">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szCs w:val="24"/>
          <w:highlight w:val="none"/>
        </w:rPr>
        <w:t>具体、明确的质疑事项和与质疑事项相关的请求；</w:t>
      </w:r>
    </w:p>
    <w:p w14:paraId="0397BDB3">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szCs w:val="24"/>
          <w:highlight w:val="none"/>
        </w:rPr>
        <w:t>事实依据；</w:t>
      </w:r>
    </w:p>
    <w:p w14:paraId="30CE987E">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szCs w:val="24"/>
          <w:highlight w:val="none"/>
        </w:rPr>
        <w:t>必要的法律依据；</w:t>
      </w:r>
    </w:p>
    <w:p w14:paraId="5169F010">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szCs w:val="24"/>
          <w:highlight w:val="none"/>
        </w:rPr>
        <w:t>提出质疑的日期。</w:t>
      </w:r>
    </w:p>
    <w:p w14:paraId="3EEDC11A">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3.3.1.7供应商提交的质疑函需一式三份。供应商为自然人的，应当由本人签字；供应商为法人或者其他组织的，应当由法定代表人、主要负责人，或者其授权代表签字或者盖章，并加盖公章。</w:t>
      </w:r>
    </w:p>
    <w:p w14:paraId="4EE3F2F2">
      <w:pPr>
        <w:pStyle w:val="32"/>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2AA38DAB">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.供应商投诉</w:t>
      </w:r>
    </w:p>
    <w:p w14:paraId="660FA56C">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5D185B92">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7BACC693">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.3供应</w:t>
      </w:r>
      <w:r>
        <w:rPr>
          <w:rFonts w:hint="eastAsia" w:asciiTheme="minorEastAsia" w:hAnsiTheme="minorEastAsia" w:eastAsiaTheme="minorEastAsia"/>
          <w:color w:val="auto"/>
          <w:sz w:val="24"/>
          <w:highlight w:val="none"/>
        </w:rPr>
        <w:t>商投诉应当有明确的请求和必要的证明材料。</w:t>
      </w:r>
    </w:p>
    <w:p w14:paraId="38FEDA00">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7E7C1A6D">
      <w:pPr>
        <w:pStyle w:val="32"/>
        <w:spacing w:line="360" w:lineRule="auto"/>
        <w:ind w:firstLine="482" w:firstLineChars="200"/>
        <w:rPr>
          <w:rFonts w:hint="eastAsia" w:asciiTheme="minorEastAsia" w:hAnsiTheme="minorEastAsia" w:eastAsiaTheme="minorEastAsia"/>
          <w:b/>
          <w:color w:val="auto"/>
          <w:sz w:val="24"/>
          <w:highlight w:val="none"/>
        </w:rPr>
      </w:pPr>
    </w:p>
    <w:p w14:paraId="235C6F6C">
      <w:pPr>
        <w:adjustRightInd/>
        <w:spacing w:line="360" w:lineRule="auto"/>
        <w:jc w:val="center"/>
        <w:rPr>
          <w:rFonts w:hint="eastAsia" w:cs="仿宋_GB2312" w:asciiTheme="minorEastAsia" w:hAnsiTheme="minorEastAsia" w:eastAsiaTheme="minorEastAsia"/>
          <w:b/>
          <w:color w:val="auto"/>
          <w:sz w:val="32"/>
          <w:szCs w:val="20"/>
          <w:highlight w:val="none"/>
        </w:rPr>
      </w:pPr>
    </w:p>
    <w:p w14:paraId="764A8319">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五、磋商文件构成、修改、解释</w:t>
      </w:r>
    </w:p>
    <w:p w14:paraId="2B0C8534">
      <w:pPr>
        <w:autoSpaceDE w:val="0"/>
        <w:autoSpaceDN w:val="0"/>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1．磋商文件的构成</w:t>
      </w:r>
    </w:p>
    <w:p w14:paraId="01868054">
      <w:pPr>
        <w:pStyle w:val="32"/>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磋商文件包括下列文件及附件</w:t>
      </w:r>
    </w:p>
    <w:p w14:paraId="589E8A47">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714A4408">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竞争性磋商流程</w:t>
      </w:r>
    </w:p>
    <w:p w14:paraId="7BAFB7A3">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17822BF9">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2E6ECEC4">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评审方法及评审标准</w:t>
      </w:r>
    </w:p>
    <w:p w14:paraId="4B6F53FC">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0DAA18C4">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225CB163">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70710700">
      <w:pPr>
        <w:pStyle w:val="32"/>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澄清或者修改的内容为磋商文件的组成部分</w:t>
      </w:r>
      <w:r>
        <w:rPr>
          <w:rFonts w:hint="eastAsia" w:cs="仿宋_GB2312" w:asciiTheme="minorEastAsia" w:hAnsiTheme="minorEastAsia" w:eastAsiaTheme="minorEastAsia"/>
          <w:color w:val="auto"/>
          <w:sz w:val="24"/>
          <w:highlight w:val="none"/>
        </w:rPr>
        <w:t>。</w:t>
      </w:r>
    </w:p>
    <w:p w14:paraId="0F2D4336">
      <w:pPr>
        <w:pStyle w:val="32"/>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磋商文件的</w:t>
      </w:r>
      <w:r>
        <w:rPr>
          <w:rFonts w:hint="eastAsia" w:cs="仿宋_GB2312" w:asciiTheme="minorEastAsia" w:hAnsiTheme="minorEastAsia" w:eastAsiaTheme="minorEastAsia"/>
          <w:b/>
          <w:color w:val="auto"/>
          <w:sz w:val="24"/>
          <w:szCs w:val="24"/>
          <w:highlight w:val="none"/>
        </w:rPr>
        <w:t>澄清、修改</w:t>
      </w:r>
    </w:p>
    <w:p w14:paraId="41BDAF00">
      <w:pPr>
        <w:pStyle w:val="393"/>
        <w:snapToGrid w:val="0"/>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2.1已获取磋商文件的潜在供应商，若有问题需要澄清，应于提交首次响应文件截止时间前，以书面形式向采购代理机构提出。</w:t>
      </w:r>
    </w:p>
    <w:p w14:paraId="47A59135">
      <w:pPr>
        <w:pStyle w:val="393"/>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cs="宋体" w:asciiTheme="minorEastAsia" w:hAnsiTheme="minorEastAsia" w:eastAsiaTheme="minorEastAsia"/>
          <w:color w:val="auto"/>
          <w:highlight w:val="none"/>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响应文件截止时间和响应文件开启时间。该澄清或者修改的内容为磋商文件的组成部分。</w:t>
      </w:r>
    </w:p>
    <w:p w14:paraId="3DAF5BE4">
      <w:pPr>
        <w:pStyle w:val="393"/>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通知所有获取磋商文件的供应商；不足5日的，采购人、采购代理机构应当顺延提交首次响应文件截止时间。</w:t>
      </w:r>
    </w:p>
    <w:p w14:paraId="6D812BDB">
      <w:pPr>
        <w:pStyle w:val="393"/>
        <w:snapToGrid w:val="0"/>
        <w:spacing w:before="0"/>
        <w:ind w:firstLine="482"/>
        <w:rPr>
          <w:rFonts w:hint="eastAsia"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响应文件未按磋商文件的澄清、修改的内容编制，又不符合实质性要求的，响应无效。</w:t>
      </w:r>
    </w:p>
    <w:p w14:paraId="6B68B913">
      <w:pPr>
        <w:pStyle w:val="23"/>
        <w:rPr>
          <w:rFonts w:hint="eastAsia" w:cs="仿宋_GB2312" w:asciiTheme="minorEastAsia" w:hAnsiTheme="minorEastAsia" w:eastAsiaTheme="minorEastAsia"/>
          <w:color w:val="auto"/>
          <w:sz w:val="18"/>
          <w:szCs w:val="18"/>
          <w:highlight w:val="none"/>
          <w:lang w:val="en-US"/>
        </w:rPr>
      </w:pPr>
      <w:r>
        <w:rPr>
          <w:rFonts w:hint="eastAsia" w:cs="仿宋_GB2312" w:asciiTheme="minorEastAsia" w:hAnsiTheme="minorEastAsia" w:eastAsiaTheme="minorEastAsia"/>
          <w:color w:val="auto"/>
          <w:szCs w:val="24"/>
          <w:highlight w:val="none"/>
          <w:lang w:val="en-US"/>
        </w:rPr>
        <w:t xml:space="preserve">    </w:t>
      </w:r>
    </w:p>
    <w:p w14:paraId="29E44283">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六、响应文件的编制</w:t>
      </w:r>
    </w:p>
    <w:p w14:paraId="7DDCF57E">
      <w:pPr>
        <w:pStyle w:val="32"/>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响应文件的语言</w:t>
      </w:r>
    </w:p>
    <w:p w14:paraId="3A19E88F">
      <w:pPr>
        <w:pStyle w:val="32"/>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4D256E4C">
      <w:pPr>
        <w:pStyle w:val="32"/>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2. 响应文件的组成</w:t>
      </w:r>
    </w:p>
    <w:p w14:paraId="2A804E4D">
      <w:pPr>
        <w:pStyle w:val="32"/>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响应文件应当包括以下主要内容：</w:t>
      </w:r>
    </w:p>
    <w:p w14:paraId="5ED7163B">
      <w:pPr>
        <w:pStyle w:val="32"/>
        <w:spacing w:line="360" w:lineRule="auto"/>
        <w:ind w:firstLine="482" w:firstLineChars="200"/>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2.1</w:t>
      </w:r>
      <w:r>
        <w:rPr>
          <w:rFonts w:hint="eastAsia" w:asciiTheme="minorEastAsia" w:hAnsiTheme="minorEastAsia" w:eastAsiaTheme="minorEastAsia"/>
          <w:b/>
          <w:color w:val="auto"/>
          <w:sz w:val="24"/>
          <w:szCs w:val="24"/>
          <w:highlight w:val="none"/>
        </w:rPr>
        <w:t>资格文件</w:t>
      </w:r>
    </w:p>
    <w:p w14:paraId="57612314">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▲（1）北海市政府采购供应商信用承诺函</w:t>
      </w:r>
      <w:r>
        <w:rPr>
          <w:rFonts w:hint="eastAsia" w:asciiTheme="minorEastAsia" w:hAnsiTheme="minorEastAsia" w:eastAsiaTheme="minorEastAsia"/>
          <w:color w:val="auto"/>
          <w:sz w:val="24"/>
          <w:highlight w:val="none"/>
          <w:lang w:val="en-US" w:eastAsia="zh-CN"/>
        </w:rPr>
        <w:t>；</w:t>
      </w:r>
      <w:r>
        <w:rPr>
          <w:rFonts w:hint="eastAsia" w:asciiTheme="minorEastAsia" w:hAnsiTheme="minorEastAsia" w:eastAsiaTheme="minorEastAsia"/>
          <w:b/>
          <w:bCs/>
          <w:color w:val="auto"/>
          <w:sz w:val="24"/>
          <w:highlight w:val="none"/>
        </w:rPr>
        <w:t>（必须提供，格式</w:t>
      </w:r>
      <w:r>
        <w:rPr>
          <w:rFonts w:hint="eastAsia" w:asciiTheme="minorEastAsia" w:hAnsiTheme="minorEastAsia" w:eastAsiaTheme="minorEastAsia"/>
          <w:b/>
          <w:bCs/>
          <w:color w:val="auto"/>
          <w:sz w:val="24"/>
          <w:highlight w:val="none"/>
          <w:lang w:val="en-US" w:eastAsia="zh-CN"/>
        </w:rPr>
        <w:t>后附</w:t>
      </w:r>
      <w:r>
        <w:rPr>
          <w:rFonts w:hint="eastAsia" w:asciiTheme="minorEastAsia" w:hAnsiTheme="minorEastAsia" w:eastAsiaTheme="minorEastAsia"/>
          <w:b/>
          <w:bCs/>
          <w:color w:val="auto"/>
          <w:sz w:val="24"/>
          <w:highlight w:val="none"/>
        </w:rPr>
        <w:t>）</w:t>
      </w:r>
    </w:p>
    <w:p w14:paraId="0A0778ED">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b w:val="0"/>
          <w:bCs/>
          <w:color w:val="auto"/>
          <w:sz w:val="24"/>
          <w:szCs w:val="24"/>
          <w:highlight w:val="none"/>
        </w:rPr>
        <w:t>本项目为专门面向</w:t>
      </w:r>
      <w:r>
        <w:rPr>
          <w:rFonts w:hint="eastAsia" w:asciiTheme="minorEastAsia" w:hAnsiTheme="minorEastAsia" w:eastAsiaTheme="minorEastAsia"/>
          <w:b w:val="0"/>
          <w:bCs/>
          <w:color w:val="auto"/>
          <w:sz w:val="24"/>
          <w:szCs w:val="24"/>
          <w:highlight w:val="none"/>
          <w:lang w:val="en-US" w:eastAsia="zh-CN"/>
        </w:rPr>
        <w:t>小微</w:t>
      </w:r>
      <w:r>
        <w:rPr>
          <w:rFonts w:hint="eastAsia" w:asciiTheme="minorEastAsia" w:hAnsiTheme="minorEastAsia" w:eastAsiaTheme="minorEastAsia"/>
          <w:b w:val="0"/>
          <w:bCs/>
          <w:color w:val="auto"/>
          <w:sz w:val="24"/>
          <w:szCs w:val="24"/>
          <w:highlight w:val="none"/>
        </w:rPr>
        <w:t>企业采购的项目。供应商必须提供中小企业声明函</w:t>
      </w:r>
      <w:r>
        <w:rPr>
          <w:rFonts w:hint="eastAsia" w:asciiTheme="minorEastAsia" w:hAnsiTheme="minorEastAsia" w:eastAsiaTheme="minorEastAsia"/>
          <w:b w:val="0"/>
          <w:bCs/>
          <w:color w:val="auto"/>
          <w:sz w:val="24"/>
          <w:szCs w:val="24"/>
          <w:highlight w:val="none"/>
          <w:lang w:eastAsia="zh-CN"/>
        </w:rPr>
        <w:t>（</w:t>
      </w:r>
      <w:r>
        <w:rPr>
          <w:rFonts w:hint="eastAsia" w:asciiTheme="minorEastAsia" w:hAnsiTheme="minorEastAsia" w:eastAsiaTheme="minorEastAsia"/>
          <w:b w:val="0"/>
          <w:bCs/>
          <w:color w:val="auto"/>
          <w:sz w:val="24"/>
          <w:szCs w:val="24"/>
          <w:highlight w:val="none"/>
          <w:lang w:val="en-US" w:eastAsia="zh-CN"/>
        </w:rPr>
        <w:t>格式后附）</w:t>
      </w:r>
      <w:r>
        <w:rPr>
          <w:rFonts w:hint="eastAsia" w:asciiTheme="minorEastAsia" w:hAnsiTheme="minorEastAsia" w:eastAsiaTheme="minorEastAsia"/>
          <w:b w:val="0"/>
          <w:bCs/>
          <w:color w:val="auto"/>
          <w:sz w:val="24"/>
          <w:szCs w:val="24"/>
          <w:highlight w:val="none"/>
        </w:rPr>
        <w:t>或者残疾人福利性单位声明函（格式后附）</w:t>
      </w:r>
      <w:r>
        <w:rPr>
          <w:rFonts w:hint="eastAsia" w:asciiTheme="minorEastAsia" w:hAnsiTheme="minorEastAsia" w:eastAsiaTheme="minorEastAsia"/>
          <w:b w:val="0"/>
          <w:bCs/>
          <w:color w:val="auto"/>
          <w:sz w:val="24"/>
          <w:szCs w:val="24"/>
          <w:highlight w:val="none"/>
          <w:lang w:eastAsia="zh-CN"/>
        </w:rPr>
        <w:t>，</w:t>
      </w:r>
      <w:r>
        <w:rPr>
          <w:rFonts w:hint="eastAsia" w:asciiTheme="minorEastAsia" w:hAnsiTheme="minorEastAsia" w:eastAsiaTheme="minorEastAsia"/>
          <w:b w:val="0"/>
          <w:bCs/>
          <w:color w:val="auto"/>
          <w:sz w:val="24"/>
          <w:szCs w:val="24"/>
          <w:highlight w:val="none"/>
        </w:rPr>
        <w:t>或者供应商属于监狱企业的需提供由省级以上监狱管理局、戒毒管理局（含新疆生产建设兵团）出具的属于监狱企业的证明文件；</w:t>
      </w:r>
      <w:r>
        <w:rPr>
          <w:rFonts w:hint="eastAsia" w:asciiTheme="minorEastAsia" w:hAnsiTheme="minorEastAsia" w:eastAsiaTheme="minorEastAsia"/>
          <w:b/>
          <w:bCs/>
          <w:color w:val="auto"/>
          <w:sz w:val="24"/>
          <w:highlight w:val="none"/>
        </w:rPr>
        <w:t>（必须提供）</w:t>
      </w:r>
    </w:p>
    <w:p w14:paraId="4B88BABB">
      <w:pPr>
        <w:pStyle w:val="32"/>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default" w:asciiTheme="minorEastAsia" w:hAnsiTheme="minorEastAsia" w:eastAsiaTheme="minorEastAsia"/>
          <w:color w:val="auto"/>
          <w:sz w:val="24"/>
          <w:highlight w:val="none"/>
          <w:lang w:val="en-US" w:eastAsia="zh-CN"/>
        </w:rPr>
        <w:t>供应商直接控股股东信息表（格式后附）；</w:t>
      </w:r>
      <w:r>
        <w:rPr>
          <w:rFonts w:hint="default" w:asciiTheme="minorEastAsia" w:hAnsiTheme="minorEastAsia" w:eastAsiaTheme="minorEastAsia"/>
          <w:b/>
          <w:bCs/>
          <w:color w:val="auto"/>
          <w:sz w:val="24"/>
          <w:highlight w:val="none"/>
          <w:lang w:val="en-US" w:eastAsia="zh-CN"/>
        </w:rPr>
        <w:t>（必须提供）</w:t>
      </w:r>
    </w:p>
    <w:p w14:paraId="59C4E4ED">
      <w:pPr>
        <w:pStyle w:val="32"/>
        <w:spacing w:line="360" w:lineRule="auto"/>
        <w:ind w:firstLine="480" w:firstLineChars="200"/>
        <w:rPr>
          <w:rFonts w:hint="default" w:asciiTheme="minorEastAsia" w:hAnsiTheme="minorEastAsia" w:eastAsiaTheme="minorEastAsia"/>
          <w:b/>
          <w:bCs/>
          <w:color w:val="auto"/>
          <w:sz w:val="24"/>
          <w:highlight w:val="none"/>
          <w:lang w:val="en-US" w:eastAsia="zh-CN"/>
        </w:rPr>
      </w:pPr>
      <w:r>
        <w:rPr>
          <w:rFonts w:hint="default" w:asciiTheme="minorEastAsia" w:hAnsiTheme="minorEastAsia" w:eastAsiaTheme="minorEastAsia"/>
          <w:color w:val="auto"/>
          <w:sz w:val="24"/>
          <w:highlight w:val="none"/>
          <w:lang w:val="en-US" w:eastAsia="zh-CN"/>
        </w:rPr>
        <w:t>▲</w:t>
      </w:r>
      <w:r>
        <w:rPr>
          <w:rFonts w:hint="default" w:asciiTheme="minorEastAsia" w:hAnsiTheme="minorEastAsia" w:eastAsiaTheme="minorEastAsia"/>
          <w:b w:val="0"/>
          <w:bCs w:val="0"/>
          <w:color w:val="auto"/>
          <w:sz w:val="24"/>
          <w:highlight w:val="none"/>
          <w:lang w:val="en-US" w:eastAsia="zh-CN"/>
        </w:rPr>
        <w:t>（</w:t>
      </w:r>
      <w:r>
        <w:rPr>
          <w:rFonts w:hint="eastAsia" w:asciiTheme="minorEastAsia" w:hAnsiTheme="minorEastAsia" w:eastAsiaTheme="minorEastAsia"/>
          <w:b w:val="0"/>
          <w:bCs w:val="0"/>
          <w:color w:val="auto"/>
          <w:sz w:val="24"/>
          <w:highlight w:val="none"/>
          <w:lang w:val="en-US" w:eastAsia="zh-CN"/>
        </w:rPr>
        <w:t>4</w:t>
      </w:r>
      <w:r>
        <w:rPr>
          <w:rFonts w:hint="default" w:asciiTheme="minorEastAsia" w:hAnsiTheme="minorEastAsia" w:eastAsiaTheme="minorEastAsia"/>
          <w:b w:val="0"/>
          <w:bCs w:val="0"/>
          <w:color w:val="auto"/>
          <w:sz w:val="24"/>
          <w:highlight w:val="none"/>
          <w:lang w:val="en-US" w:eastAsia="zh-CN"/>
        </w:rPr>
        <w:t>）</w:t>
      </w:r>
      <w:r>
        <w:rPr>
          <w:rFonts w:hint="default" w:asciiTheme="minorEastAsia" w:hAnsiTheme="minorEastAsia" w:eastAsiaTheme="minorEastAsia"/>
          <w:color w:val="auto"/>
          <w:sz w:val="24"/>
          <w:highlight w:val="none"/>
          <w:lang w:val="en-US" w:eastAsia="zh-CN"/>
        </w:rPr>
        <w:t>供应商直接管理关系信息表（格式后附）；</w:t>
      </w:r>
      <w:r>
        <w:rPr>
          <w:rFonts w:hint="default" w:asciiTheme="minorEastAsia" w:hAnsiTheme="minorEastAsia" w:eastAsiaTheme="minorEastAsia"/>
          <w:b/>
          <w:bCs/>
          <w:color w:val="auto"/>
          <w:sz w:val="24"/>
          <w:highlight w:val="none"/>
          <w:lang w:val="en-US" w:eastAsia="zh-CN"/>
        </w:rPr>
        <w:t>（必须提供）</w:t>
      </w:r>
    </w:p>
    <w:p w14:paraId="7087DEB3">
      <w:pPr>
        <w:pStyle w:val="32"/>
        <w:numPr>
          <w:ilvl w:val="0"/>
          <w:numId w:val="0"/>
        </w:numPr>
        <w:spacing w:line="360" w:lineRule="auto"/>
        <w:ind w:firstLine="480" w:firstLineChars="200"/>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kern w:val="2"/>
          <w:sz w:val="24"/>
          <w:szCs w:val="20"/>
          <w:highlight w:val="none"/>
          <w:lang w:val="en-US" w:eastAsia="zh-CN" w:bidi="ar-SA"/>
        </w:rPr>
        <w:t>（5）</w:t>
      </w:r>
      <w:r>
        <w:rPr>
          <w:rFonts w:hint="eastAsia" w:asciiTheme="minorEastAsia" w:hAnsiTheme="minorEastAsia" w:eastAsiaTheme="minorEastAsia"/>
          <w:color w:val="auto"/>
          <w:sz w:val="24"/>
          <w:highlight w:val="none"/>
          <w:lang w:val="en-US" w:eastAsia="zh-CN"/>
        </w:rPr>
        <w:t>竞标声明（格式后附）；</w:t>
      </w:r>
      <w:r>
        <w:rPr>
          <w:rFonts w:hint="eastAsia" w:asciiTheme="minorEastAsia" w:hAnsiTheme="minorEastAsia" w:eastAsiaTheme="minorEastAsia"/>
          <w:b/>
          <w:bCs/>
          <w:color w:val="auto"/>
          <w:sz w:val="24"/>
          <w:highlight w:val="none"/>
          <w:lang w:val="en-US" w:eastAsia="zh-CN"/>
        </w:rPr>
        <w:t>（必须提供）</w:t>
      </w:r>
    </w:p>
    <w:p w14:paraId="3CE619D2">
      <w:pPr>
        <w:pStyle w:val="32"/>
        <w:numPr>
          <w:ilvl w:val="0"/>
          <w:numId w:val="0"/>
        </w:num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kern w:val="2"/>
          <w:sz w:val="24"/>
          <w:szCs w:val="20"/>
          <w:highlight w:val="none"/>
          <w:lang w:val="en-US" w:eastAsia="zh-CN" w:bidi="ar-SA"/>
        </w:rPr>
        <w:t>（6）</w:t>
      </w:r>
      <w:r>
        <w:rPr>
          <w:rFonts w:hint="eastAsia" w:asciiTheme="minorEastAsia" w:hAnsiTheme="minorEastAsia" w:eastAsiaTheme="minorEastAsia"/>
          <w:color w:val="auto"/>
          <w:sz w:val="24"/>
          <w:highlight w:val="none"/>
          <w:lang w:val="en-US" w:eastAsia="zh-CN"/>
        </w:rPr>
        <w:t>供应商认为需要提供的其他资格文件。</w:t>
      </w:r>
    </w:p>
    <w:p w14:paraId="1C30E755">
      <w:pPr>
        <w:pStyle w:val="32"/>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2.2 </w:t>
      </w:r>
      <w:r>
        <w:rPr>
          <w:rFonts w:hint="eastAsia" w:asciiTheme="minorEastAsia" w:hAnsiTheme="minorEastAsia" w:eastAsiaTheme="minorEastAsia"/>
          <w:b/>
          <w:bCs/>
          <w:color w:val="auto"/>
          <w:sz w:val="24"/>
          <w:highlight w:val="none"/>
        </w:rPr>
        <w:t>报价文件</w:t>
      </w:r>
      <w:r>
        <w:rPr>
          <w:rFonts w:hint="eastAsia" w:asciiTheme="minorEastAsia" w:hAnsiTheme="minorEastAsia" w:eastAsiaTheme="minorEastAsia"/>
          <w:b/>
          <w:bCs/>
          <w:color w:val="auto"/>
          <w:sz w:val="24"/>
          <w:highlight w:val="none"/>
          <w:lang w:eastAsia="zh-CN"/>
        </w:rPr>
        <w:t>：</w:t>
      </w:r>
    </w:p>
    <w:p w14:paraId="0AC37BCE">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竞标报价表（格式后附）；</w:t>
      </w:r>
      <w:r>
        <w:rPr>
          <w:rFonts w:hint="eastAsia" w:asciiTheme="minorEastAsia" w:hAnsiTheme="minorEastAsia" w:eastAsiaTheme="minorEastAsia"/>
          <w:b/>
          <w:bCs/>
          <w:color w:val="auto"/>
          <w:sz w:val="24"/>
          <w:highlight w:val="none"/>
        </w:rPr>
        <w:t>（必须提供）</w:t>
      </w:r>
    </w:p>
    <w:p w14:paraId="33826CEC">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报价文件</w:t>
      </w:r>
      <w:r>
        <w:rPr>
          <w:rFonts w:hint="eastAsia" w:asciiTheme="minorEastAsia" w:hAnsiTheme="minorEastAsia" w:eastAsiaTheme="minorEastAsia"/>
          <w:color w:val="auto"/>
          <w:sz w:val="24"/>
          <w:highlight w:val="none"/>
        </w:rPr>
        <w:t>。</w:t>
      </w:r>
    </w:p>
    <w:p w14:paraId="7E2C24C1">
      <w:pPr>
        <w:pStyle w:val="32"/>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2.3 </w:t>
      </w:r>
      <w:r>
        <w:rPr>
          <w:rFonts w:hint="eastAsia" w:asciiTheme="minorEastAsia" w:hAnsiTheme="minorEastAsia" w:eastAsiaTheme="minorEastAsia"/>
          <w:b/>
          <w:bCs/>
          <w:color w:val="auto"/>
          <w:sz w:val="24"/>
          <w:highlight w:val="none"/>
        </w:rPr>
        <w:t>商务技术文件</w:t>
      </w:r>
      <w:r>
        <w:rPr>
          <w:rFonts w:hint="eastAsia" w:asciiTheme="minorEastAsia" w:hAnsiTheme="minorEastAsia" w:eastAsiaTheme="minorEastAsia"/>
          <w:b/>
          <w:bCs/>
          <w:color w:val="auto"/>
          <w:sz w:val="24"/>
          <w:highlight w:val="none"/>
          <w:lang w:eastAsia="zh-CN"/>
        </w:rPr>
        <w:t>：</w:t>
      </w:r>
    </w:p>
    <w:p w14:paraId="22FCB0E8">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无串通竞标行为的承诺函（格式后附）；</w:t>
      </w:r>
      <w:r>
        <w:rPr>
          <w:rFonts w:hint="eastAsia" w:asciiTheme="minorEastAsia" w:hAnsiTheme="minorEastAsia" w:eastAsiaTheme="minorEastAsia"/>
          <w:b/>
          <w:bCs/>
          <w:color w:val="auto"/>
          <w:sz w:val="24"/>
          <w:highlight w:val="none"/>
        </w:rPr>
        <w:t>（必须提供）</w:t>
      </w:r>
    </w:p>
    <w:p w14:paraId="089E54B5">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法定代表人身份证明书及法定代表人有效身份证正反面复印件（格式后附）；</w:t>
      </w:r>
      <w:r>
        <w:rPr>
          <w:rFonts w:hint="eastAsia" w:asciiTheme="minorEastAsia" w:hAnsiTheme="minorEastAsia" w:eastAsiaTheme="minorEastAsia"/>
          <w:b/>
          <w:bCs/>
          <w:color w:val="auto"/>
          <w:sz w:val="24"/>
          <w:highlight w:val="none"/>
        </w:rPr>
        <w:t>（除自然人竞标外必须提供）</w:t>
      </w:r>
    </w:p>
    <w:p w14:paraId="43578E76">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授权委托书及委托代理人有效身份证正反面复印件（格式后附）；</w:t>
      </w:r>
      <w:r>
        <w:rPr>
          <w:rFonts w:hint="eastAsia" w:asciiTheme="minorEastAsia" w:hAnsiTheme="minorEastAsia" w:eastAsiaTheme="minorEastAsia"/>
          <w:b/>
          <w:bCs/>
          <w:color w:val="auto"/>
          <w:sz w:val="24"/>
          <w:highlight w:val="none"/>
        </w:rPr>
        <w:t>（委托时必须提供）</w:t>
      </w:r>
    </w:p>
    <w:p w14:paraId="59DFAC4A">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宋体" w:hAnsi="宋体"/>
          <w:color w:val="auto"/>
          <w:sz w:val="24"/>
          <w:highlight w:val="none"/>
        </w:rPr>
        <w:t>商务、服务（技术）响应、偏离情况说明表</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3B9C2A48">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（5)拟投入本项目人员配置一览表</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70A172AB">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(6）服务承诺</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3C2C20D0">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（7）服务方案</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32EB70DA">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商务技术文件</w:t>
      </w:r>
      <w:r>
        <w:rPr>
          <w:rFonts w:hint="eastAsia" w:asciiTheme="minorEastAsia" w:hAnsiTheme="minorEastAsia" w:eastAsiaTheme="minorEastAsia"/>
          <w:color w:val="auto"/>
          <w:sz w:val="24"/>
          <w:highlight w:val="none"/>
        </w:rPr>
        <w:t>。</w:t>
      </w:r>
    </w:p>
    <w:p w14:paraId="3C637865">
      <w:pPr>
        <w:pStyle w:val="32"/>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注：以上标明“必须提供”的材料</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供应商需按照要求如实提供，否则按响应无效处理。</w:t>
      </w:r>
      <w:r>
        <w:rPr>
          <w:rFonts w:hint="eastAsia" w:asciiTheme="minorEastAsia" w:hAnsiTheme="minorEastAsia" w:eastAsiaTheme="minorEastAsia"/>
          <w:b/>
          <w:bCs/>
          <w:color w:val="auto"/>
          <w:sz w:val="24"/>
          <w:highlight w:val="none"/>
        </w:rPr>
        <w:t>属于复印件的，</w:t>
      </w:r>
      <w:r>
        <w:rPr>
          <w:rFonts w:hint="eastAsia" w:asciiTheme="minorEastAsia" w:hAnsiTheme="minorEastAsia" w:eastAsiaTheme="minorEastAsia"/>
          <w:b/>
          <w:bCs/>
          <w:color w:val="auto"/>
          <w:sz w:val="24"/>
          <w:highlight w:val="none"/>
          <w:lang w:val="en-US" w:eastAsia="zh-CN"/>
        </w:rPr>
        <w:t>需</w:t>
      </w:r>
      <w:r>
        <w:rPr>
          <w:rFonts w:hint="eastAsia" w:asciiTheme="minorEastAsia" w:hAnsiTheme="minorEastAsia" w:eastAsiaTheme="minorEastAsia"/>
          <w:b/>
          <w:bCs/>
          <w:color w:val="auto"/>
          <w:sz w:val="24"/>
          <w:highlight w:val="none"/>
        </w:rPr>
        <w:t>加盖供应商电子签章。</w:t>
      </w:r>
    </w:p>
    <w:p w14:paraId="6997B807">
      <w:pPr>
        <w:pStyle w:val="32"/>
        <w:spacing w:line="360" w:lineRule="auto"/>
        <w:ind w:firstLine="482"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7308723E">
      <w:pPr>
        <w:spacing w:line="360" w:lineRule="auto"/>
        <w:ind w:firstLine="480" w:firstLineChars="200"/>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3.1各供应商在编制响应文件时请按照磋商文件第七部分规定的格式进行，混乱的编排导致响应文件被误读或磋商小组查找不到有效文件是供应商的风险。</w:t>
      </w:r>
    </w:p>
    <w:p w14:paraId="32C5A98F">
      <w:pP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7D4CEA4F">
      <w:pP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0166285C">
      <w:pPr>
        <w:pStyle w:val="393"/>
        <w:snapToGrid w:val="0"/>
        <w:spacing w:before="0"/>
        <w:ind w:firstLine="48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3.4响应文件按照磋商文件第七部分格式要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供应商的响应文件未按照磋商文件要求签署、盖章的，其响应无效</w:t>
      </w:r>
      <w:r>
        <w:rPr>
          <w:rFonts w:hint="eastAsia" w:cs="仿宋_GB2312" w:asciiTheme="minorEastAsia" w:hAnsiTheme="minorEastAsia" w:eastAsiaTheme="minorEastAsia"/>
          <w:color w:val="auto"/>
          <w:szCs w:val="24"/>
          <w:highlight w:val="none"/>
        </w:rPr>
        <w:t>。</w:t>
      </w:r>
    </w:p>
    <w:p w14:paraId="5C05D3EF">
      <w:pPr>
        <w:pStyle w:val="393"/>
        <w:snapToGrid w:val="0"/>
        <w:spacing w:before="0"/>
        <w:ind w:firstLine="480"/>
        <w:rPr>
          <w:rFonts w:hint="eastAsia"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4BB6FE95">
      <w:pPr>
        <w:pStyle w:val="393"/>
        <w:snapToGrid w:val="0"/>
        <w:spacing w:before="0"/>
        <w:ind w:firstLine="480"/>
        <w:rPr>
          <w:rFonts w:hint="eastAsia"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3.6磋商文件对响应文件签</w:t>
      </w:r>
      <w:r>
        <w:rPr>
          <w:rFonts w:hint="eastAsia" w:ascii="宋体" w:hAnsi="宋体" w:cs="宋体"/>
          <w:color w:val="auto"/>
          <w:highlight w:val="none"/>
        </w:rPr>
        <w:t>署、盖章的要求适用于电子签名、CA签章以及</w:t>
      </w:r>
      <w:r>
        <w:rPr>
          <w:rFonts w:hint="eastAsia" w:cs="宋体" w:asciiTheme="minorEastAsia" w:hAnsiTheme="minorEastAsia" w:eastAsiaTheme="minorEastAsia"/>
          <w:color w:val="auto"/>
          <w:highlight w:val="none"/>
        </w:rPr>
        <w:t>磋商</w:t>
      </w:r>
      <w:r>
        <w:rPr>
          <w:rFonts w:hint="eastAsia" w:ascii="宋体" w:hAnsi="宋体" w:cs="宋体"/>
          <w:color w:val="auto"/>
          <w:highlight w:val="none"/>
        </w:rPr>
        <w:t>文件明确允许的其他方式。</w:t>
      </w:r>
    </w:p>
    <w:p w14:paraId="7746E170">
      <w:pPr>
        <w:pStyle w:val="32"/>
        <w:spacing w:line="360" w:lineRule="auto"/>
        <w:ind w:firstLine="480" w:firstLineChars="200"/>
        <w:rPr>
          <w:rFonts w:hint="eastAsia" w:cs="仿宋_GB2312" w:asciiTheme="minorEastAsia" w:hAnsiTheme="minorEastAsia" w:eastAsiaTheme="minorEastAsia"/>
          <w:color w:val="auto"/>
          <w:sz w:val="24"/>
          <w:szCs w:val="24"/>
          <w:highlight w:val="none"/>
        </w:rPr>
      </w:pPr>
    </w:p>
    <w:p w14:paraId="047392E0">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七、</w:t>
      </w:r>
      <w:r>
        <w:rPr>
          <w:rFonts w:hint="eastAsia" w:asciiTheme="minorEastAsia" w:hAnsiTheme="minorEastAsia" w:eastAsiaTheme="minorEastAsia"/>
          <w:b/>
          <w:color w:val="auto"/>
          <w:sz w:val="32"/>
          <w:szCs w:val="32"/>
          <w:highlight w:val="none"/>
        </w:rPr>
        <w:t>响应</w:t>
      </w:r>
      <w:r>
        <w:rPr>
          <w:rFonts w:hint="eastAsia" w:cs="仿宋_GB2312" w:asciiTheme="minorEastAsia" w:hAnsiTheme="minorEastAsia" w:eastAsiaTheme="minorEastAsia"/>
          <w:b/>
          <w:color w:val="auto"/>
          <w:sz w:val="32"/>
          <w:szCs w:val="20"/>
          <w:highlight w:val="none"/>
        </w:rPr>
        <w:t>文件的提交和备份</w:t>
      </w:r>
    </w:p>
    <w:p w14:paraId="4453133A">
      <w:pPr>
        <w:pStyle w:val="393"/>
        <w:spacing w:before="0"/>
        <w:ind w:firstLine="0" w:firstLineChars="0"/>
        <w:rPr>
          <w:rFonts w:hint="eastAsia" w:cs="仿宋_GB2312" w:asciiTheme="minorEastAsia" w:hAnsiTheme="minorEastAsia" w:eastAsiaTheme="minorEastAsia"/>
          <w:b/>
          <w:color w:val="auto"/>
          <w:szCs w:val="24"/>
          <w:highlight w:val="none"/>
        </w:rPr>
      </w:pPr>
    </w:p>
    <w:p w14:paraId="1F48BEDD">
      <w:pPr>
        <w:pStyle w:val="393"/>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1.响应文件的提交、补充、修改、撤回</w:t>
      </w:r>
    </w:p>
    <w:p w14:paraId="588F6E65">
      <w:pPr>
        <w:pStyle w:val="393"/>
        <w:ind w:firstLine="480"/>
        <w:rPr>
          <w:rFonts w:hint="eastAsia"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1881E620">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7B917F53">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在提交“最后报价”后，供应商不能退出磋商。</w:t>
      </w:r>
    </w:p>
    <w:p w14:paraId="4B5322B4">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0573C194">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14D8CDF8">
      <w:pPr>
        <w:pStyle w:val="32"/>
        <w:spacing w:line="360" w:lineRule="auto"/>
        <w:rPr>
          <w:rFonts w:hint="default" w:cs="仿宋_GB2312" w:asciiTheme="minorEastAsia" w:hAnsiTheme="minorEastAsia" w:eastAsiaTheme="minorEastAsia"/>
          <w:b/>
          <w:color w:val="auto"/>
          <w:sz w:val="24"/>
          <w:szCs w:val="24"/>
          <w:highlight w:val="none"/>
          <w:lang w:val="en-US" w:eastAsia="zh-CN"/>
        </w:rPr>
      </w:pPr>
      <w:r>
        <w:rPr>
          <w:rFonts w:hint="eastAsia" w:cs="仿宋_GB2312" w:asciiTheme="minorEastAsia" w:hAnsiTheme="minorEastAsia" w:eastAsiaTheme="minorEastAsia"/>
          <w:b/>
          <w:color w:val="auto"/>
          <w:sz w:val="24"/>
          <w:szCs w:val="24"/>
          <w:highlight w:val="none"/>
        </w:rPr>
        <w:t>2.备份响应文件</w:t>
      </w:r>
      <w:r>
        <w:rPr>
          <w:rFonts w:hint="eastAsia" w:cs="仿宋_GB2312" w:asciiTheme="minorEastAsia" w:hAnsiTheme="minorEastAsia" w:eastAsiaTheme="minorEastAsia"/>
          <w:b/>
          <w:color w:val="auto"/>
          <w:sz w:val="24"/>
          <w:szCs w:val="24"/>
          <w:highlight w:val="none"/>
          <w:lang w:eastAsia="zh-CN"/>
        </w:rPr>
        <w:t>（</w:t>
      </w:r>
      <w:r>
        <w:rPr>
          <w:rFonts w:hint="eastAsia" w:cs="仿宋_GB2312" w:asciiTheme="minorEastAsia" w:hAnsiTheme="minorEastAsia" w:eastAsiaTheme="minorEastAsia"/>
          <w:b/>
          <w:color w:val="auto"/>
          <w:sz w:val="24"/>
          <w:szCs w:val="24"/>
          <w:highlight w:val="none"/>
          <w:lang w:val="en-US" w:eastAsia="zh-CN"/>
        </w:rPr>
        <w:t>注：本项目不要求提供备份响应文件）</w:t>
      </w:r>
    </w:p>
    <w:p w14:paraId="66C1F7DF">
      <w:pPr>
        <w:pStyle w:val="32"/>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auto"/>
          <w:sz w:val="24"/>
          <w:szCs w:val="24"/>
          <w:highlight w:val="none"/>
        </w:rPr>
        <w:t>但采购人、采购代理机构不强制或变相强制供应商提交备份响应文件。</w:t>
      </w:r>
    </w:p>
    <w:p w14:paraId="5E4F59E7">
      <w:pPr>
        <w:pStyle w:val="32"/>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2.2 备份响应文件须在“广西政府采购云平台投标客户端”制作生成，并储存在不可修改的</w:t>
      </w:r>
      <w:r>
        <w:rPr>
          <w:rFonts w:hint="eastAsia" w:asciiTheme="minorEastAsia" w:hAnsiTheme="minorEastAsia" w:eastAsiaTheme="minorEastAsia"/>
          <w:b/>
          <w:color w:val="auto"/>
          <w:sz w:val="24"/>
          <w:highlight w:val="none"/>
        </w:rPr>
        <w:t>电子光盘等存储介质</w:t>
      </w:r>
      <w:r>
        <w:rPr>
          <w:rFonts w:hint="eastAsia" w:cs="仿宋_GB2312" w:asciiTheme="minorEastAsia" w:hAnsiTheme="minorEastAsia" w:eastAsiaTheme="minorEastAsia"/>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highlight w:val="none"/>
        </w:rPr>
        <w:t>▲不符合上述制作、</w:t>
      </w:r>
      <w:r>
        <w:rPr>
          <w:rFonts w:hint="eastAsia" w:cs="仿宋_GB2312" w:asciiTheme="minorEastAsia" w:hAnsiTheme="minorEastAsia" w:eastAsiaTheme="minorEastAsia"/>
          <w:b/>
          <w:color w:val="auto"/>
          <w:sz w:val="24"/>
          <w:szCs w:val="24"/>
          <w:highlight w:val="none"/>
        </w:rPr>
        <w:t>存储、密封规定的备份响应文件将被视为无效或者被拒绝接收。</w:t>
      </w:r>
    </w:p>
    <w:p w14:paraId="2BF6FE81">
      <w:pPr>
        <w:pStyle w:val="32"/>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2BB774B3">
      <w:pPr>
        <w:pStyle w:val="32"/>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highlight w:val="none"/>
        </w:rPr>
        <w:t>磋商文件第三部分供应商须知前附表规定的备份响应文件送达地点</w:t>
      </w:r>
      <w:r>
        <w:rPr>
          <w:rFonts w:hint="eastAsia" w:cs="仿宋_GB2312" w:asciiTheme="minorEastAsia" w:hAnsiTheme="minorEastAsia" w:eastAsiaTheme="minorEastAsia"/>
          <w:color w:val="auto"/>
          <w:sz w:val="24"/>
          <w:szCs w:val="24"/>
          <w:highlight w:val="none"/>
        </w:rPr>
        <w:t>；送达时间以签收人签收时间为准。采购代理机构将拒绝接受逾期送达的备份响应文件。邮寄过程中，电子备份响应文件发生泄露、遗失、损坏或延期送达等情况的，由供应商自行负责。</w:t>
      </w:r>
    </w:p>
    <w:p w14:paraId="4750A796">
      <w:pPr>
        <w:pStyle w:val="32"/>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 xml:space="preserve">2.5 </w:t>
      </w:r>
      <w:r>
        <w:rPr>
          <w:rFonts w:hint="eastAsia" w:asciiTheme="minorEastAsia" w:hAnsiTheme="minorEastAsia" w:eastAsiaTheme="minorEastAsia"/>
          <w:b/>
          <w:color w:val="auto"/>
          <w:sz w:val="24"/>
          <w:highlight w:val="none"/>
        </w:rPr>
        <w:t>▲</w:t>
      </w:r>
      <w:r>
        <w:rPr>
          <w:rFonts w:hint="eastAsia" w:cs="仿宋_GB2312" w:asciiTheme="minorEastAsia" w:hAnsiTheme="minorEastAsia" w:eastAsiaTheme="minorEastAsia"/>
          <w:b/>
          <w:color w:val="auto"/>
          <w:sz w:val="24"/>
          <w:szCs w:val="24"/>
          <w:highlight w:val="none"/>
        </w:rPr>
        <w:t>供应商仅提交备份响应文件，未在电子交易平台传输提交响应文件的，响应无效。</w:t>
      </w:r>
    </w:p>
    <w:p w14:paraId="485447DC">
      <w:pPr>
        <w:spacing w:line="360" w:lineRule="auto"/>
        <w:rPr>
          <w:rFonts w:hint="default" w:ascii="宋体" w:hAnsi="宋体" w:eastAsia="宋体" w:cs="宋体"/>
          <w:b/>
          <w:snapToGrid w:val="0"/>
          <w:color w:val="auto"/>
          <w:highlight w:val="none"/>
          <w:lang w:val="en-US" w:eastAsia="zh-CN"/>
        </w:rPr>
      </w:pPr>
      <w:r>
        <w:rPr>
          <w:rFonts w:hint="eastAsia" w:cs="仿宋_GB2312" w:asciiTheme="minorEastAsia" w:hAnsiTheme="minorEastAsia" w:eastAsiaTheme="minorEastAsia"/>
          <w:b/>
          <w:color w:val="auto"/>
          <w:sz w:val="24"/>
          <w:highlight w:val="none"/>
        </w:rPr>
        <w:t>3.</w:t>
      </w:r>
      <w:r>
        <w:rPr>
          <w:rFonts w:hint="eastAsia" w:ascii="宋体" w:hAnsi="宋体" w:cs="宋体"/>
          <w:b/>
          <w:snapToGrid w:val="0"/>
          <w:color w:val="auto"/>
          <w:kern w:val="28"/>
          <w:sz w:val="24"/>
          <w:highlight w:val="none"/>
        </w:rPr>
        <w:t>磋商保证金</w:t>
      </w:r>
      <w:r>
        <w:rPr>
          <w:rFonts w:hint="eastAsia" w:ascii="宋体" w:hAnsi="宋体" w:cs="宋体"/>
          <w:b/>
          <w:snapToGrid w:val="0"/>
          <w:color w:val="auto"/>
          <w:kern w:val="28"/>
          <w:sz w:val="24"/>
          <w:highlight w:val="none"/>
          <w:lang w:eastAsia="zh-CN"/>
        </w:rPr>
        <w:t>（</w:t>
      </w:r>
      <w:r>
        <w:rPr>
          <w:rFonts w:hint="eastAsia" w:ascii="宋体" w:hAnsi="宋体" w:cs="宋体"/>
          <w:b/>
          <w:snapToGrid w:val="0"/>
          <w:color w:val="auto"/>
          <w:kern w:val="28"/>
          <w:sz w:val="24"/>
          <w:highlight w:val="none"/>
          <w:lang w:val="en-US" w:eastAsia="zh-CN"/>
        </w:rPr>
        <w:t>注：本项目不要求提交磋商保证金）</w:t>
      </w:r>
    </w:p>
    <w:p w14:paraId="2C57ECFC">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63B4F96F">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699CE6BA">
      <w:pPr>
        <w:snapToGrid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p>
    <w:p w14:paraId="69848859">
      <w:pP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p>
    <w:p w14:paraId="54DEEFF7">
      <w:pP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6E68DEF2">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7444BB0F">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4A079C8D">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采购人或者采购代理机构逾期退还磋商保证金的，除应当退还磋商保证金本金外，还应当按中国人民银行同期贷款基准利率上浮20％后的利率支付超期资金占用费，但因供应商自身原因导致无法及时退还的除外。</w:t>
      </w:r>
    </w:p>
    <w:p w14:paraId="27C3555A">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47B9FB1E">
      <w:pPr>
        <w:spacing w:line="360" w:lineRule="auto"/>
        <w:ind w:firstLine="480" w:firstLineChars="200"/>
        <w:rPr>
          <w:rFonts w:hint="eastAsia" w:asciiTheme="minorEastAsia" w:hAnsiTheme="minorEastAsia" w:eastAsiaTheme="minorEastAsia"/>
          <w:color w:val="auto"/>
          <w:sz w:val="24"/>
          <w:highlight w:val="none"/>
        </w:rPr>
      </w:pPr>
    </w:p>
    <w:p w14:paraId="5E73BDD9">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八、</w:t>
      </w:r>
      <w:r>
        <w:rPr>
          <w:rFonts w:hint="eastAsia" w:asciiTheme="minorEastAsia" w:hAnsiTheme="minorEastAsia" w:eastAsiaTheme="minorEastAsia"/>
          <w:b/>
          <w:color w:val="auto"/>
          <w:sz w:val="32"/>
          <w:szCs w:val="32"/>
          <w:highlight w:val="none"/>
        </w:rPr>
        <w:t>开启响应文件与信用信息查询</w:t>
      </w:r>
    </w:p>
    <w:p w14:paraId="091E43C7">
      <w:pPr>
        <w:pStyle w:val="32"/>
        <w:spacing w:line="360" w:lineRule="auto"/>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14:paraId="48163E6A">
      <w:pPr>
        <w:pStyle w:val="32"/>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7370E3AC">
      <w:pPr>
        <w:pStyle w:val="32"/>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1.2开启响应文件时，电子交易平台按开启响应文件时间自动提取所有响应文件。采购代理机构依托电子交易平台发起开始解密指令，供应商按照平台提示和磋商文件的规定在半小时内完成在线解密。</w:t>
      </w:r>
    </w:p>
    <w:p w14:paraId="4623CA87">
      <w:pPr>
        <w:pStyle w:val="32"/>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4EE7DD6A">
      <w:pPr>
        <w:pStyle w:val="393"/>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2.信用信息查询</w:t>
      </w:r>
    </w:p>
    <w:p w14:paraId="20AF99EB">
      <w:pPr>
        <w:pStyle w:val="393"/>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2.1信用信息查询渠道及截止时间：采购人或采购代理机构将通过“信用中国”网站(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14:paraId="5A4605DE">
      <w:pPr>
        <w:pStyle w:val="393"/>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2.2信用信息查询记录和证据留存的具体方式：现场查询的供应商的信用记录、查询结果经确认后存档。</w:t>
      </w:r>
    </w:p>
    <w:p w14:paraId="344B2DA5">
      <w:pPr>
        <w:pStyle w:val="393"/>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39DA66DF">
      <w:pPr>
        <w:pStyle w:val="393"/>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B3C9138">
      <w:pPr>
        <w:pStyle w:val="32"/>
        <w:spacing w:line="360" w:lineRule="auto"/>
        <w:rPr>
          <w:rFonts w:hint="eastAsia" w:cs="仿宋_GB2312" w:asciiTheme="minorEastAsia" w:hAnsiTheme="minorEastAsia" w:eastAsiaTheme="minorEastAsia"/>
          <w:b/>
          <w:color w:val="auto"/>
          <w:sz w:val="24"/>
          <w:szCs w:val="24"/>
          <w:highlight w:val="none"/>
        </w:rPr>
      </w:pPr>
    </w:p>
    <w:p w14:paraId="6771F1FC">
      <w:pPr>
        <w:adjustRightInd/>
        <w:spacing w:line="360" w:lineRule="auto"/>
        <w:jc w:val="center"/>
        <w:outlineLvl w:val="1"/>
        <w:rPr>
          <w:rFonts w:hint="eastAsia"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九</w:t>
      </w:r>
      <w:r>
        <w:rPr>
          <w:rFonts w:hint="eastAsia" w:cs="仿宋_GB2312" w:asciiTheme="minorEastAsia" w:hAnsiTheme="minorEastAsia" w:eastAsiaTheme="minorEastAsia"/>
          <w:b/>
          <w:color w:val="auto"/>
          <w:sz w:val="32"/>
          <w:szCs w:val="20"/>
          <w:highlight w:val="none"/>
        </w:rPr>
        <w:t>、提交</w:t>
      </w:r>
      <w:r>
        <w:rPr>
          <w:rFonts w:hint="eastAsia" w:asciiTheme="minorEastAsia" w:hAnsiTheme="minorEastAsia" w:eastAsiaTheme="minorEastAsia"/>
          <w:b/>
          <w:color w:val="auto"/>
          <w:sz w:val="32"/>
          <w:szCs w:val="32"/>
          <w:highlight w:val="none"/>
        </w:rPr>
        <w:t>最后报价</w:t>
      </w:r>
    </w:p>
    <w:p w14:paraId="5D379A15">
      <w:pPr>
        <w:snapToGrid w:val="0"/>
        <w:spacing w:line="360" w:lineRule="auto"/>
        <w:rPr>
          <w:rFonts w:hint="eastAsia" w:cs="仿宋_GB2312" w:asciiTheme="minorEastAsia" w:hAnsiTheme="minorEastAsia" w:eastAsiaTheme="minorEastAsia"/>
          <w:color w:val="auto"/>
          <w:sz w:val="24"/>
          <w:highlight w:val="none"/>
          <w:u w:val="single"/>
          <w:lang w:val="zh-CN"/>
        </w:rPr>
      </w:pPr>
      <w:r>
        <w:rPr>
          <w:rFonts w:hint="eastAsia" w:asciiTheme="minorEastAsia" w:hAnsiTheme="minorEastAsia" w:eastAsiaTheme="minorEastAsia"/>
          <w:b/>
          <w:color w:val="auto"/>
          <w:sz w:val="24"/>
          <w:highlight w:val="none"/>
        </w:rPr>
        <w:t>1.</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p>
    <w:p w14:paraId="2073757E">
      <w:pPr>
        <w:pStyle w:val="32"/>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1.1最后报价一览表；</w:t>
      </w:r>
    </w:p>
    <w:p w14:paraId="5BC7DCD7">
      <w:pPr>
        <w:pStyle w:val="32"/>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1.2中小企业声明函（如果有）。</w:t>
      </w:r>
    </w:p>
    <w:p w14:paraId="7B17D06C">
      <w:pPr>
        <w:pStyle w:val="32"/>
        <w:snapToGrid w:val="0"/>
        <w:spacing w:line="360" w:lineRule="auto"/>
        <w:ind w:firstLine="480" w:firstLineChars="200"/>
        <w:rPr>
          <w:rFonts w:hint="eastAsia" w:cs="仿宋_GB2312" w:asciiTheme="minorEastAsia" w:hAnsiTheme="minorEastAsia" w:eastAsiaTheme="minorEastAsia"/>
          <w:color w:val="auto"/>
          <w:sz w:val="24"/>
          <w:szCs w:val="24"/>
          <w:highlight w:val="none"/>
        </w:rPr>
      </w:pPr>
    </w:p>
    <w:p w14:paraId="50056AF0">
      <w:pPr>
        <w:adjustRightInd/>
        <w:spacing w:line="360" w:lineRule="auto"/>
        <w:jc w:val="center"/>
        <w:rPr>
          <w:rFonts w:hint="eastAsia" w:cs="仿宋_GB2312" w:asciiTheme="minorEastAsia" w:hAnsiTheme="minorEastAsia" w:eastAsiaTheme="minorEastAsia"/>
          <w:b/>
          <w:color w:val="auto"/>
          <w:sz w:val="32"/>
          <w:szCs w:val="20"/>
          <w:highlight w:val="none"/>
        </w:rPr>
      </w:pPr>
    </w:p>
    <w:p w14:paraId="18743748">
      <w:pPr>
        <w:adjustRightInd/>
        <w:spacing w:line="360" w:lineRule="auto"/>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szCs w:val="20"/>
          <w:highlight w:val="none"/>
        </w:rPr>
        <w:t>十、</w:t>
      </w:r>
      <w:r>
        <w:rPr>
          <w:rFonts w:hint="eastAsia" w:asciiTheme="minorEastAsia" w:hAnsiTheme="minorEastAsia" w:eastAsiaTheme="minorEastAsia"/>
          <w:b/>
          <w:color w:val="auto"/>
          <w:sz w:val="32"/>
          <w:szCs w:val="32"/>
          <w:highlight w:val="none"/>
        </w:rPr>
        <w:t>评审</w:t>
      </w:r>
    </w:p>
    <w:p w14:paraId="0F2C5692">
      <w:pPr>
        <w:pStyle w:val="393"/>
        <w:spacing w:before="0"/>
        <w:ind w:firstLine="0" w:firstLineChars="0"/>
        <w:rPr>
          <w:rFonts w:hint="eastAsia" w:cs="仿宋_GB2312"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highlight w:val="none"/>
        </w:rPr>
        <w:t xml:space="preserve"> 评审方法：</w:t>
      </w:r>
      <w:r>
        <w:rPr>
          <w:rFonts w:hint="eastAsia" w:cs="仿宋_GB2312" w:asciiTheme="minorEastAsia" w:hAnsiTheme="minorEastAsia" w:eastAsiaTheme="minorEastAsia"/>
          <w:color w:val="auto"/>
          <w:highlight w:val="none"/>
        </w:rPr>
        <w:t>综合评分法。</w:t>
      </w:r>
    </w:p>
    <w:p w14:paraId="75B2B9AF">
      <w:pPr>
        <w:pStyle w:val="393"/>
        <w:spacing w:before="0"/>
        <w:ind w:firstLine="0" w:firstLineChars="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highlight w:val="none"/>
        </w:rPr>
        <w:t>2. 价格分计算方法：</w:t>
      </w:r>
      <w:r>
        <w:rPr>
          <w:rFonts w:hint="eastAsia" w:cs="仿宋_GB2312" w:asciiTheme="minorEastAsia" w:hAnsiTheme="minorEastAsia" w:eastAsiaTheme="minorEastAsia"/>
          <w:color w:val="auto"/>
          <w:highlight w:val="none"/>
        </w:rPr>
        <w:t>低价优先法。</w:t>
      </w:r>
    </w:p>
    <w:p w14:paraId="17C1956C">
      <w:pPr>
        <w:pStyle w:val="393"/>
        <w:spacing w:before="0"/>
        <w:ind w:firstLine="0" w:firstLineChars="0"/>
        <w:rPr>
          <w:rFonts w:hint="eastAsia"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3. 评审要求：</w:t>
      </w:r>
      <w:r>
        <w:rPr>
          <w:rFonts w:hint="eastAsia" w:cs="仿宋_GB2312" w:asciiTheme="minorEastAsia" w:hAnsiTheme="minorEastAsia" w:eastAsiaTheme="minorEastAsia"/>
          <w:color w:val="auto"/>
          <w:highlight w:val="none"/>
        </w:rPr>
        <w:t>详见磋商文件第五部分“评审方法及评审标准”。</w:t>
      </w:r>
    </w:p>
    <w:p w14:paraId="7C7EAB47">
      <w:pPr>
        <w:adjustRightInd/>
        <w:spacing w:line="360" w:lineRule="auto"/>
        <w:jc w:val="center"/>
        <w:rPr>
          <w:rFonts w:hint="eastAsia" w:cs="仿宋_GB2312" w:asciiTheme="minorEastAsia" w:hAnsiTheme="minorEastAsia" w:eastAsiaTheme="minorEastAsia"/>
          <w:color w:val="auto"/>
          <w:sz w:val="24"/>
          <w:highlight w:val="none"/>
        </w:rPr>
      </w:pPr>
    </w:p>
    <w:p w14:paraId="0EA2B4DD">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十一、</w:t>
      </w:r>
      <w:r>
        <w:rPr>
          <w:rFonts w:hint="eastAsia" w:asciiTheme="minorEastAsia" w:hAnsiTheme="minorEastAsia" w:eastAsiaTheme="minorEastAsia"/>
          <w:b/>
          <w:color w:val="auto"/>
          <w:sz w:val="32"/>
          <w:szCs w:val="32"/>
          <w:highlight w:val="none"/>
        </w:rPr>
        <w:t>成交</w:t>
      </w:r>
    </w:p>
    <w:p w14:paraId="4EAB0D77">
      <w:pPr>
        <w:pStyle w:val="32"/>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14:paraId="7402D8E2">
      <w:pP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3AA31356">
      <w:pPr>
        <w:pStyle w:val="32"/>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14:paraId="44F09257">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120E6E34">
      <w:pP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3．成交通知及成交结果公告</w:t>
      </w:r>
    </w:p>
    <w:p w14:paraId="607074D8">
      <w:pPr>
        <w:spacing w:line="360" w:lineRule="auto"/>
        <w:ind w:firstLine="480" w:firstLineChars="200"/>
        <w:rPr>
          <w:rFonts w:hint="eastAsia" w:ascii="宋体" w:hAnsi="宋体" w:cs="宋体"/>
          <w:color w:val="auto"/>
          <w:sz w:val="24"/>
          <w:highlight w:val="none"/>
        </w:rPr>
      </w:pPr>
      <w:r>
        <w:rPr>
          <w:rFonts w:hint="eastAsia" w:asciiTheme="minorEastAsia" w:hAnsiTheme="minorEastAsia" w:eastAsiaTheme="minorEastAsia"/>
          <w:color w:val="auto"/>
          <w:sz w:val="24"/>
          <w:szCs w:val="21"/>
          <w:highlight w:val="none"/>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627D22BA">
      <w:pP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30" w:name="_Hlk101184471"/>
      <w:r>
        <w:rPr>
          <w:rFonts w:hint="eastAsia" w:cs="宋体" w:asciiTheme="minorEastAsia" w:hAnsiTheme="minorEastAsia" w:eastAsiaTheme="minorEastAsia"/>
          <w:color w:val="auto"/>
          <w:sz w:val="24"/>
          <w:highlight w:val="none"/>
        </w:rPr>
        <w:t>评审专家抽取规则、</w:t>
      </w:r>
      <w:bookmarkEnd w:id="30"/>
      <w:r>
        <w:rPr>
          <w:rFonts w:hint="eastAsia" w:cs="宋体" w:asciiTheme="minorEastAsia" w:hAnsiTheme="minorEastAsia" w:eastAsiaTheme="minorEastAsia"/>
          <w:color w:val="auto"/>
          <w:sz w:val="24"/>
          <w:highlight w:val="none"/>
        </w:rPr>
        <w:t>未成交情况说明、成交公告期限以及评审专家名单、成交供应商和未成交供应商的评审总得分及排名。</w:t>
      </w:r>
    </w:p>
    <w:p w14:paraId="6DF1943F">
      <w:pP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3.3公告期限为1个工作日。</w:t>
      </w:r>
    </w:p>
    <w:p w14:paraId="67649BBB">
      <w:pPr>
        <w:snapToGrid w:val="0"/>
        <w:spacing w:line="360" w:lineRule="auto"/>
        <w:jc w:val="center"/>
        <w:rPr>
          <w:rFonts w:hint="eastAsia" w:cs="仿宋_GB2312" w:asciiTheme="minorEastAsia" w:hAnsiTheme="minorEastAsia" w:eastAsiaTheme="minorEastAsia"/>
          <w:b/>
          <w:color w:val="auto"/>
          <w:sz w:val="36"/>
          <w:szCs w:val="36"/>
          <w:highlight w:val="none"/>
        </w:rPr>
      </w:pPr>
    </w:p>
    <w:p w14:paraId="41C045E4">
      <w:pP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十二、合同</w:t>
      </w:r>
    </w:p>
    <w:p w14:paraId="558F467C">
      <w:pP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1.合同主要条款：</w:t>
      </w:r>
      <w:r>
        <w:rPr>
          <w:rFonts w:hint="eastAsia" w:asciiTheme="minorEastAsia" w:hAnsiTheme="minorEastAsia" w:eastAsiaTheme="minorEastAsia"/>
          <w:color w:val="auto"/>
          <w:sz w:val="24"/>
          <w:highlight w:val="none"/>
        </w:rPr>
        <w:t>详见“第六部分拟签订的合同文本”。</w:t>
      </w:r>
    </w:p>
    <w:p w14:paraId="258367F0">
      <w:pP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2.合同的签订</w:t>
      </w:r>
    </w:p>
    <w:p w14:paraId="03FE5EE5">
      <w:pPr>
        <w:widowControl/>
        <w:shd w:val="clear" w:color="auto" w:fill="FFFFFF"/>
        <w:spacing w:line="360" w:lineRule="auto"/>
        <w:ind w:firstLine="480"/>
        <w:jc w:val="left"/>
        <w:rPr>
          <w:rFonts w:hint="eastAsia" w:cs="宋体" w:asciiTheme="minorEastAsia" w:hAnsiTheme="minorEastAsia" w:eastAsiaTheme="minorEastAsia"/>
          <w:color w:val="auto"/>
          <w:kern w:val="0"/>
          <w:sz w:val="24"/>
          <w:highlight w:val="none"/>
        </w:rPr>
      </w:pPr>
      <w:r>
        <w:rPr>
          <w:rFonts w:hint="eastAsia" w:asciiTheme="minorEastAsia" w:hAnsiTheme="minorEastAsia" w:eastAsiaTheme="minorEastAsia"/>
          <w:color w:val="auto"/>
          <w:sz w:val="24"/>
          <w:highlight w:val="none"/>
        </w:rPr>
        <w:t>2.1</w:t>
      </w:r>
      <w:r>
        <w:rPr>
          <w:rFonts w:hint="eastAsia" w:ascii="宋体" w:hAnsi="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34ECC16">
      <w:pPr>
        <w:pStyle w:val="393"/>
        <w:snapToGrid w:val="0"/>
        <w:spacing w:before="0"/>
        <w:ind w:firstLine="480"/>
        <w:rPr>
          <w:rFonts w:hint="eastAsia"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065D1DFA">
      <w:pP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7B97D8EA">
      <w:pP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5DB7A6DC">
      <w:pP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2.5如签订合同并生效后，供应商无故拒绝或延期，除按照合同条款处理外，列入不良行为记录一次，并给予通报。</w:t>
      </w:r>
    </w:p>
    <w:p w14:paraId="04D2AB06">
      <w:pPr>
        <w:pStyle w:val="393"/>
        <w:snapToGrid w:val="0"/>
        <w:spacing w:before="0" w:after="120"/>
        <w:ind w:firstLine="480"/>
        <w:rPr>
          <w:rFonts w:hint="eastAsia"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磋商文件、响应文件等内容通过政府采购电子交易平台在线签订，自动备案。</w:t>
      </w:r>
    </w:p>
    <w:p w14:paraId="4723F253">
      <w:pPr>
        <w:pStyle w:val="393"/>
        <w:snapToGrid w:val="0"/>
        <w:spacing w:before="0"/>
        <w:ind w:firstLine="480"/>
        <w:rPr>
          <w:rFonts w:hint="eastAsia" w:ascii="宋体" w:hAnsi="宋体" w:cs="宋体"/>
          <w:color w:val="auto"/>
          <w:highlight w:val="none"/>
        </w:rPr>
      </w:pPr>
      <w:r>
        <w:rPr>
          <w:rFonts w:hint="eastAsia" w:ascii="宋体" w:hAnsi="宋体" w:cs="宋体"/>
          <w:color w:val="auto"/>
          <w:highlight w:val="none"/>
        </w:rPr>
        <w:t>2.7政采贷</w:t>
      </w:r>
    </w:p>
    <w:p w14:paraId="37BFE731">
      <w:pP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7C6A658">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36E275A2">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5EED7576">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48520C99">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58504155">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18290ADC">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435731F7">
      <w:pP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w:t>
      </w:r>
      <w:r>
        <w:rPr>
          <w:rFonts w:hint="eastAsia" w:ascii="宋体" w:hAnsi="宋体" w:cs="宋体"/>
          <w:color w:val="auto"/>
          <w:sz w:val="24"/>
          <w:szCs w:val="20"/>
          <w:highlight w:val="none"/>
          <w:lang w:eastAsia="zh-CN"/>
        </w:rPr>
        <w:t>广西北部湾宏亚建设管理有限公司</w:t>
      </w:r>
      <w:r>
        <w:rPr>
          <w:rFonts w:hint="eastAsia" w:ascii="宋体" w:hAnsi="宋体" w:cs="宋体"/>
          <w:color w:val="auto"/>
          <w:sz w:val="24"/>
          <w:szCs w:val="20"/>
          <w:highlight w:val="none"/>
        </w:rPr>
        <w:t>首页“政采贷”板块。</w:t>
      </w:r>
    </w:p>
    <w:p w14:paraId="1D728369">
      <w:pPr>
        <w:pStyle w:val="633"/>
        <w:rPr>
          <w:rFonts w:hint="eastAsia"/>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18EF4AD9">
      <w:pPr>
        <w:autoSpaceDE w:val="0"/>
        <w:autoSpaceDN w:val="0"/>
        <w:adjustRightInd/>
        <w:snapToGrid w:val="0"/>
        <w:spacing w:line="360" w:lineRule="auto"/>
        <w:ind w:firstLine="480" w:firstLineChars="200"/>
        <w:textAlignment w:val="bottom"/>
        <w:rPr>
          <w:rFonts w:hint="eastAsia"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4E5EDC1A">
      <w:pP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405C69B4">
      <w:pP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6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9EE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4C1D11A">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vAlign w:val="center"/>
          </w:tcPr>
          <w:p w14:paraId="74B5DC0C">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vAlign w:val="center"/>
          </w:tcPr>
          <w:p w14:paraId="0115C750">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vAlign w:val="center"/>
          </w:tcPr>
          <w:p w14:paraId="4BAB431C">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vAlign w:val="center"/>
          </w:tcPr>
          <w:p w14:paraId="06F58971">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vAlign w:val="center"/>
          </w:tcPr>
          <w:p w14:paraId="545CC958">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1F52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F26ADB5">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vAlign w:val="center"/>
          </w:tcPr>
          <w:p w14:paraId="711C22C7">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vAlign w:val="center"/>
          </w:tcPr>
          <w:p w14:paraId="28E62057">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vAlign w:val="center"/>
          </w:tcPr>
          <w:p w14:paraId="4B7C2256">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43776EEC">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vAlign w:val="center"/>
          </w:tcPr>
          <w:p w14:paraId="41E0C29A">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024E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92F361C">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vAlign w:val="center"/>
          </w:tcPr>
          <w:p w14:paraId="1C5B978E">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vAlign w:val="center"/>
          </w:tcPr>
          <w:p w14:paraId="73431749">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26579B08">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vAlign w:val="center"/>
          </w:tcPr>
          <w:p w14:paraId="596AAA3A">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vAlign w:val="center"/>
          </w:tcPr>
          <w:p w14:paraId="289E0C79">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497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F391C45">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vAlign w:val="center"/>
          </w:tcPr>
          <w:p w14:paraId="747C3AE1">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vAlign w:val="center"/>
          </w:tcPr>
          <w:p w14:paraId="7B1012BA">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vAlign w:val="center"/>
          </w:tcPr>
          <w:p w14:paraId="3C59FCC1">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4BA1D0F2">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vAlign w:val="center"/>
          </w:tcPr>
          <w:p w14:paraId="08A5C5EB">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5AE6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8E717E8">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vAlign w:val="center"/>
          </w:tcPr>
          <w:p w14:paraId="387ADDB5">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vAlign w:val="center"/>
          </w:tcPr>
          <w:p w14:paraId="411892D3">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vAlign w:val="center"/>
          </w:tcPr>
          <w:p w14:paraId="20CE9DA2">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货物类1年</w:t>
            </w:r>
          </w:p>
          <w:p w14:paraId="6F3DD0D1">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服务类3年</w:t>
            </w:r>
          </w:p>
          <w:p w14:paraId="22BA379F">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vAlign w:val="center"/>
          </w:tcPr>
          <w:p w14:paraId="3D96871E">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3E1A5122">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764F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188EC99">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vAlign w:val="center"/>
          </w:tcPr>
          <w:p w14:paraId="749B69B1">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vAlign w:val="center"/>
          </w:tcPr>
          <w:p w14:paraId="37D86F5E">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vAlign w:val="center"/>
          </w:tcPr>
          <w:p w14:paraId="54F46977">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vAlign w:val="center"/>
          </w:tcPr>
          <w:p w14:paraId="756C83EA">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vAlign w:val="center"/>
          </w:tcPr>
          <w:p w14:paraId="5509FD64">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62C4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8A19090">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vAlign w:val="center"/>
          </w:tcPr>
          <w:p w14:paraId="7622405F">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vAlign w:val="center"/>
          </w:tcPr>
          <w:p w14:paraId="2B3C244F">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5786E612">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5D7ECB12">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5395E7A3">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49F7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725F7BE">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vAlign w:val="center"/>
          </w:tcPr>
          <w:p w14:paraId="3ED88152">
            <w:pPr>
              <w:snapToGrid w:val="0"/>
              <w:spacing w:line="360" w:lineRule="auto"/>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vAlign w:val="center"/>
          </w:tcPr>
          <w:p w14:paraId="55DCF593">
            <w:pPr>
              <w:snapToGrid w:val="0"/>
              <w:spacing w:line="360" w:lineRule="auto"/>
              <w:jc w:val="left"/>
              <w:rPr>
                <w:rFonts w:hint="eastAsia" w:ascii="宋体" w:hAnsi="宋体"/>
                <w:color w:val="auto"/>
                <w:kern w:val="0"/>
                <w:sz w:val="24"/>
                <w:szCs w:val="20"/>
                <w:highlight w:val="none"/>
              </w:rPr>
            </w:pPr>
          </w:p>
        </w:tc>
        <w:tc>
          <w:tcPr>
            <w:tcW w:w="993" w:type="dxa"/>
            <w:vAlign w:val="center"/>
          </w:tcPr>
          <w:p w14:paraId="333F1A9B">
            <w:pPr>
              <w:snapToGrid w:val="0"/>
              <w:spacing w:line="360" w:lineRule="auto"/>
              <w:jc w:val="center"/>
              <w:rPr>
                <w:rFonts w:hint="eastAsia" w:ascii="宋体" w:hAnsi="宋体"/>
                <w:color w:val="auto"/>
                <w:kern w:val="0"/>
                <w:sz w:val="24"/>
                <w:szCs w:val="20"/>
                <w:highlight w:val="none"/>
              </w:rPr>
            </w:pPr>
          </w:p>
        </w:tc>
        <w:tc>
          <w:tcPr>
            <w:tcW w:w="850" w:type="dxa"/>
            <w:vAlign w:val="center"/>
          </w:tcPr>
          <w:p w14:paraId="47650D83">
            <w:pPr>
              <w:snapToGrid w:val="0"/>
              <w:spacing w:line="360" w:lineRule="auto"/>
              <w:jc w:val="center"/>
              <w:rPr>
                <w:rFonts w:hint="eastAsia" w:ascii="宋体" w:hAnsi="宋体"/>
                <w:color w:val="auto"/>
                <w:kern w:val="0"/>
                <w:sz w:val="24"/>
                <w:szCs w:val="20"/>
                <w:highlight w:val="none"/>
              </w:rPr>
            </w:pPr>
          </w:p>
        </w:tc>
        <w:tc>
          <w:tcPr>
            <w:tcW w:w="3366" w:type="dxa"/>
            <w:vAlign w:val="center"/>
          </w:tcPr>
          <w:p w14:paraId="616C9A7F">
            <w:pPr>
              <w:snapToGrid w:val="0"/>
              <w:spacing w:line="360" w:lineRule="auto"/>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22FEBCF5">
      <w:pPr>
        <w:pStyle w:val="633"/>
        <w:rPr>
          <w:rFonts w:hint="eastAsia"/>
          <w:color w:val="auto"/>
          <w:highlight w:val="none"/>
        </w:rPr>
      </w:pPr>
      <w:r>
        <w:rPr>
          <w:rFonts w:hint="eastAsia"/>
          <w:color w:val="auto"/>
          <w:highlight w:val="none"/>
        </w:rPr>
        <w:t>注：表中联系电话、授信金额、授信期限、最低利率等信息可能动态更新，仅供参考，具体以办理时相关银行公布的为准。</w:t>
      </w:r>
    </w:p>
    <w:p w14:paraId="58E5E406">
      <w:pPr>
        <w:tabs>
          <w:tab w:val="left" w:pos="0"/>
        </w:tabs>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3．履约保证金（注</w:t>
      </w:r>
      <w:r>
        <w:rPr>
          <w:rFonts w:asciiTheme="minorEastAsia" w:hAnsiTheme="minorEastAsia" w:eastAsiaTheme="minorEastAsia"/>
          <w:b/>
          <w:color w:val="auto"/>
          <w:sz w:val="24"/>
          <w:highlight w:val="none"/>
        </w:rPr>
        <w:t>：本项目不收履约保证金</w:t>
      </w:r>
      <w:r>
        <w:rPr>
          <w:rFonts w:hint="eastAsia" w:asciiTheme="minorEastAsia" w:hAnsiTheme="minorEastAsia" w:eastAsiaTheme="minorEastAsia"/>
          <w:b/>
          <w:color w:val="auto"/>
          <w:sz w:val="24"/>
          <w:highlight w:val="none"/>
        </w:rPr>
        <w:t>）</w:t>
      </w:r>
    </w:p>
    <w:p w14:paraId="58C91E7A">
      <w:pP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3.1拟签订的合同文本要求成交供应商提交履约保证金的，供应商应当以支票、汇票、本票或者金融机构、担保机构出具的保函等非现金形式提交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79356188">
      <w:pPr>
        <w:pStyle w:val="633"/>
        <w:ind w:firstLine="480" w:firstLineChars="200"/>
        <w:rPr>
          <w:rFonts w:cs="宋体"/>
          <w:color w:val="auto"/>
          <w:kern w:val="2"/>
          <w:szCs w:val="24"/>
          <w:highlight w:val="none"/>
        </w:rPr>
      </w:pPr>
      <w:r>
        <w:rPr>
          <w:rFonts w:hint="eastAsia" w:cs="宋体"/>
          <w:color w:val="auto"/>
          <w:highlight w:val="none"/>
        </w:rPr>
        <w:t>履约保证金</w:t>
      </w:r>
      <w:r>
        <w:rPr>
          <w:rFonts w:hint="eastAsia" w:cs="宋体"/>
          <w:color w:val="auto"/>
          <w:kern w:val="2"/>
          <w:szCs w:val="24"/>
          <w:highlight w:val="none"/>
        </w:rPr>
        <w:t>收取银行账户</w:t>
      </w:r>
    </w:p>
    <w:p w14:paraId="73D973F6">
      <w:pPr>
        <w:pStyle w:val="633"/>
        <w:ind w:firstLine="480" w:firstLineChars="200"/>
        <w:rPr>
          <w:rFonts w:hint="eastAsia" w:eastAsia="宋体" w:cs="宋体"/>
          <w:color w:val="auto"/>
          <w:kern w:val="2"/>
          <w:szCs w:val="24"/>
          <w:highlight w:val="none"/>
          <w:lang w:val="en-US" w:eastAsia="zh-CN"/>
        </w:rPr>
      </w:pPr>
      <w:r>
        <w:rPr>
          <w:rFonts w:hint="eastAsia" w:cs="宋体"/>
          <w:color w:val="auto"/>
          <w:kern w:val="2"/>
          <w:szCs w:val="24"/>
          <w:highlight w:val="none"/>
        </w:rPr>
        <w:t xml:space="preserve">开户名称： </w:t>
      </w:r>
      <w:r>
        <w:rPr>
          <w:rFonts w:hint="eastAsia" w:cs="宋体"/>
          <w:color w:val="auto"/>
          <w:kern w:val="2"/>
          <w:szCs w:val="24"/>
          <w:highlight w:val="none"/>
          <w:lang w:val="en-US" w:eastAsia="zh-CN"/>
        </w:rPr>
        <w:t>/</w:t>
      </w:r>
    </w:p>
    <w:p w14:paraId="5B649EF3">
      <w:pPr>
        <w:pStyle w:val="633"/>
        <w:ind w:firstLine="480" w:firstLineChars="200"/>
        <w:rPr>
          <w:rFonts w:hint="eastAsia" w:eastAsia="宋体" w:cs="宋体"/>
          <w:color w:val="auto"/>
          <w:kern w:val="2"/>
          <w:szCs w:val="24"/>
          <w:highlight w:val="none"/>
          <w:lang w:val="en-US" w:eastAsia="zh-CN"/>
        </w:rPr>
      </w:pPr>
      <w:r>
        <w:rPr>
          <w:rFonts w:hint="eastAsia" w:cs="宋体"/>
          <w:color w:val="auto"/>
          <w:kern w:val="2"/>
          <w:szCs w:val="24"/>
          <w:highlight w:val="none"/>
        </w:rPr>
        <w:t xml:space="preserve">开户银行： </w:t>
      </w:r>
      <w:r>
        <w:rPr>
          <w:rFonts w:hint="eastAsia" w:cs="宋体"/>
          <w:color w:val="auto"/>
          <w:kern w:val="2"/>
          <w:szCs w:val="24"/>
          <w:highlight w:val="none"/>
          <w:lang w:val="en-US" w:eastAsia="zh-CN"/>
        </w:rPr>
        <w:t>/</w:t>
      </w:r>
    </w:p>
    <w:p w14:paraId="3A06C926">
      <w:pPr>
        <w:pStyle w:val="633"/>
        <w:ind w:firstLine="480" w:firstLineChars="200"/>
        <w:rPr>
          <w:rFonts w:hint="eastAsia" w:eastAsia="宋体" w:cs="宋体"/>
          <w:color w:val="auto"/>
          <w:kern w:val="2"/>
          <w:szCs w:val="24"/>
          <w:highlight w:val="none"/>
          <w:lang w:val="en-US" w:eastAsia="zh-CN"/>
        </w:rPr>
      </w:pPr>
      <w:r>
        <w:rPr>
          <w:rFonts w:hint="eastAsia" w:cs="宋体"/>
          <w:color w:val="auto"/>
          <w:kern w:val="2"/>
          <w:szCs w:val="24"/>
          <w:highlight w:val="none"/>
        </w:rPr>
        <w:t>银行账号：</w:t>
      </w:r>
      <w:r>
        <w:rPr>
          <w:rFonts w:hint="eastAsia" w:cs="宋体"/>
          <w:color w:val="auto"/>
          <w:kern w:val="2"/>
          <w:szCs w:val="24"/>
          <w:highlight w:val="none"/>
          <w:lang w:val="en-US" w:eastAsia="zh-CN"/>
        </w:rPr>
        <w:t>/</w:t>
      </w:r>
    </w:p>
    <w:p w14:paraId="3D5B1220">
      <w:pPr>
        <w:pStyle w:val="633"/>
        <w:ind w:firstLine="480" w:firstLineChars="200"/>
        <w:rPr>
          <w:snapToGrid w:val="0"/>
          <w:color w:val="auto"/>
          <w:highlight w:val="none"/>
        </w:rPr>
      </w:pPr>
      <w:r>
        <w:rPr>
          <w:rFonts w:hint="eastAsia"/>
          <w:snapToGrid w:val="0"/>
          <w:color w:val="auto"/>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23EA04D0">
      <w:pPr>
        <w:pStyle w:val="633"/>
        <w:rPr>
          <w:color w:val="auto"/>
          <w:highlight w:val="none"/>
        </w:rPr>
      </w:pPr>
      <w:r>
        <w:rPr>
          <w:rFonts w:hint="eastAsia"/>
          <w:color w:val="auto"/>
          <w:highlight w:val="none"/>
        </w:rPr>
        <w:t>3.3履约保证金的退还。验收合格的政府采购项目，采购人应当按照合同约定的退还方式，在5个工作日内办理履约保证金退还手续。</w:t>
      </w:r>
    </w:p>
    <w:p w14:paraId="6CEC35E4">
      <w:pPr>
        <w:pStyle w:val="633"/>
        <w:rPr>
          <w:rFonts w:hint="eastAsia"/>
          <w:color w:val="auto"/>
          <w:highlight w:val="none"/>
        </w:rPr>
      </w:pPr>
      <w:r>
        <w:rPr>
          <w:color w:val="auto"/>
          <w:highlight w:val="none"/>
        </w:rPr>
        <w:t>4.</w:t>
      </w:r>
      <w:r>
        <w:rPr>
          <w:rFonts w:hint="eastAsia"/>
          <w:color w:val="auto"/>
          <w:highlight w:val="none"/>
        </w:rPr>
        <w:t>预付款</w:t>
      </w:r>
    </w:p>
    <w:p w14:paraId="4B034D64">
      <w:pPr>
        <w:adjustRightInd/>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095A0403">
      <w:pPr>
        <w:tabs>
          <w:tab w:val="left" w:pos="0"/>
        </w:tabs>
        <w:spacing w:line="360" w:lineRule="auto"/>
        <w:ind w:firstLine="480" w:firstLineChars="200"/>
        <w:rPr>
          <w:rFonts w:hint="eastAsia"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0C2707ED">
      <w:pPr>
        <w:snapToGrid w:val="0"/>
        <w:spacing w:line="360" w:lineRule="auto"/>
        <w:jc w:val="center"/>
        <w:rPr>
          <w:rFonts w:hint="eastAsia" w:cs="仿宋_GB2312" w:asciiTheme="minorEastAsia" w:hAnsiTheme="minorEastAsia" w:eastAsiaTheme="minorEastAsia"/>
          <w:b/>
          <w:color w:val="auto"/>
          <w:sz w:val="36"/>
          <w:szCs w:val="36"/>
          <w:highlight w:val="none"/>
        </w:rPr>
      </w:pPr>
    </w:p>
    <w:p w14:paraId="55F328CC">
      <w:pP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十三、验收</w:t>
      </w:r>
    </w:p>
    <w:p w14:paraId="3F59DBBD">
      <w:pPr>
        <w:pStyle w:val="24"/>
        <w:spacing w:line="360" w:lineRule="auto"/>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1.验收</w:t>
      </w:r>
    </w:p>
    <w:p w14:paraId="24626CAF">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AB4CC0A">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1.2采购人可以邀请参加本项目的其他供应商或者第三方机构参与验收。参与验收的供应商或者第三方机构的意见作为验收书的参考资料一并存档。</w:t>
      </w:r>
    </w:p>
    <w:p w14:paraId="52DF3B58">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9A7102A">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E7DF4ED">
      <w:pPr>
        <w:snapToGrid w:val="0"/>
        <w:spacing w:line="360" w:lineRule="auto"/>
        <w:jc w:val="center"/>
        <w:rPr>
          <w:rFonts w:hint="eastAsia" w:cs="仿宋_GB2312" w:asciiTheme="minorEastAsia" w:hAnsiTheme="minorEastAsia" w:eastAsiaTheme="minorEastAsia"/>
          <w:b/>
          <w:color w:val="auto"/>
          <w:sz w:val="36"/>
          <w:szCs w:val="36"/>
          <w:highlight w:val="none"/>
        </w:rPr>
      </w:pPr>
    </w:p>
    <w:p w14:paraId="5272B837">
      <w:pPr>
        <w:snapToGrid w:val="0"/>
        <w:spacing w:line="360" w:lineRule="auto"/>
        <w:jc w:val="center"/>
        <w:outlineLvl w:val="1"/>
        <w:rPr>
          <w:rFonts w:hint="eastAsia"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6"/>
          <w:szCs w:val="36"/>
          <w:highlight w:val="none"/>
        </w:rPr>
        <w:t>十四、电子交易活动的中止</w:t>
      </w:r>
    </w:p>
    <w:p w14:paraId="67B449B7">
      <w:pP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电子交易活动的中止</w:t>
      </w:r>
    </w:p>
    <w:p w14:paraId="05DDA96B">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p>
    <w:p w14:paraId="3EF4E2BD">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1.1电子交易平台发生故障而无法登录访问的； </w:t>
      </w:r>
    </w:p>
    <w:p w14:paraId="08ECD8B2">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1.2电子交易平台应用或数据库出现错误，不能进行正常操作的；</w:t>
      </w:r>
    </w:p>
    <w:p w14:paraId="5A9699A1">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1.3电子交易平台发现严重安全漏洞，有潜在泄密危险的；</w:t>
      </w:r>
    </w:p>
    <w:p w14:paraId="60EDA4F0">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1.4病毒发作导致不能进行正常操作的； </w:t>
      </w:r>
    </w:p>
    <w:p w14:paraId="7D5878CA">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1.5其他无法保证电子交易的公平、公正和安全的情况。</w:t>
      </w:r>
    </w:p>
    <w:p w14:paraId="1F469E1F">
      <w:pP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31" w:name="_Hlt74730295"/>
      <w:bookmarkEnd w:id="31"/>
      <w:bookmarkStart w:id="32" w:name="_Hlt75236101"/>
      <w:bookmarkEnd w:id="32"/>
      <w:bookmarkStart w:id="33" w:name="_Hlt75236011"/>
      <w:bookmarkEnd w:id="33"/>
      <w:bookmarkStart w:id="34" w:name="_Hlt68057669"/>
      <w:bookmarkEnd w:id="34"/>
      <w:bookmarkStart w:id="35" w:name="_Hlt68072990"/>
      <w:bookmarkEnd w:id="35"/>
      <w:bookmarkStart w:id="36" w:name="_Hlt75236290"/>
      <w:bookmarkEnd w:id="36"/>
      <w:bookmarkStart w:id="37" w:name="_Hlt74714665"/>
      <w:bookmarkEnd w:id="37"/>
      <w:bookmarkStart w:id="38" w:name="_Hlt74707468"/>
      <w:bookmarkEnd w:id="38"/>
      <w:bookmarkStart w:id="39" w:name="_Hlt74729768"/>
      <w:bookmarkEnd w:id="39"/>
      <w:bookmarkStart w:id="40" w:name="第三部分"/>
      <w:bookmarkStart w:id="41" w:name="_Toc164416483"/>
    </w:p>
    <w:p w14:paraId="3E4DEAC7">
      <w:pPr>
        <w:tabs>
          <w:tab w:val="left" w:pos="0"/>
        </w:tabs>
        <w:spacing w:line="360" w:lineRule="auto"/>
        <w:rPr>
          <w:rFonts w:hint="eastAsia" w:cs="Helvetica" w:asciiTheme="minorEastAsia" w:hAnsiTheme="minorEastAsia" w:eastAsiaTheme="minorEastAsia"/>
          <w:color w:val="auto"/>
          <w:kern w:val="0"/>
          <w:sz w:val="24"/>
          <w:highlight w:val="none"/>
        </w:rPr>
      </w:pPr>
    </w:p>
    <w:p w14:paraId="301B4E28">
      <w:pP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w:t>
      </w:r>
      <w:r>
        <w:rPr>
          <w:rFonts w:hint="eastAsia" w:cs="仿宋_GB2312" w:asciiTheme="minorEastAsia" w:hAnsiTheme="minorEastAsia" w:eastAsiaTheme="minorEastAsia"/>
          <w:b/>
          <w:color w:val="auto"/>
          <w:sz w:val="36"/>
          <w:szCs w:val="36"/>
          <w:highlight w:val="none"/>
          <w:lang w:val="en-US" w:eastAsia="zh-CN"/>
        </w:rPr>
        <w:t>四</w:t>
      </w:r>
      <w:r>
        <w:rPr>
          <w:rFonts w:hint="eastAsia" w:cs="仿宋_GB2312" w:asciiTheme="minorEastAsia" w:hAnsiTheme="minorEastAsia" w:eastAsiaTheme="minorEastAsia"/>
          <w:b/>
          <w:color w:val="auto"/>
          <w:sz w:val="36"/>
          <w:szCs w:val="36"/>
          <w:highlight w:val="none"/>
        </w:rPr>
        <w:t>、其他事项</w:t>
      </w:r>
    </w:p>
    <w:p w14:paraId="569F53D5">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lang w:val="en-US" w:eastAsia="zh-CN"/>
        </w:rPr>
        <w:t>1.</w:t>
      </w:r>
      <w:r>
        <w:rPr>
          <w:rFonts w:hint="eastAsia" w:ascii="宋体" w:hAnsi="宋体" w:cs="宋体"/>
          <w:b/>
          <w:color w:val="auto"/>
          <w:sz w:val="24"/>
          <w:highlight w:val="none"/>
        </w:rPr>
        <w:t>代理费用的收取标准和方式（适用于有权收取代理费用的采购代理机构）</w:t>
      </w:r>
    </w:p>
    <w:p w14:paraId="178FE3E9">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cs="宋体"/>
          <w:color w:val="auto"/>
          <w:sz w:val="24"/>
          <w:highlight w:val="none"/>
        </w:rPr>
        <w:t>采购代理费支付方式：本项目代理服务费由成交供应商一次性向采购代理机构支付。</w:t>
      </w:r>
    </w:p>
    <w:p w14:paraId="316D94B1">
      <w:pPr>
        <w:adjustRightInd/>
        <w:spacing w:line="360" w:lineRule="auto"/>
        <w:ind w:firstLine="480" w:firstLineChars="200"/>
        <w:jc w:val="both"/>
        <w:outlineLvl w:val="0"/>
        <w:rPr>
          <w:rFonts w:hint="eastAsia" w:ascii="宋体" w:hAnsi="宋体" w:cs="宋体"/>
          <w:bCs/>
          <w:color w:val="auto"/>
          <w:sz w:val="24"/>
          <w:highlight w:val="none"/>
          <w:lang w:val="en-US" w:eastAsia="zh-CN"/>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2采购代理费收取标准：</w:t>
      </w:r>
      <w:r>
        <w:rPr>
          <w:rFonts w:hint="eastAsia" w:ascii="宋体" w:hAnsi="宋体" w:cs="宋体"/>
          <w:bCs/>
          <w:color w:val="auto"/>
          <w:sz w:val="24"/>
          <w:highlight w:val="none"/>
          <w:lang w:val="en-US" w:eastAsia="zh-CN"/>
        </w:rPr>
        <w:t>参考《国家发展改革委关于降低部分建设项目收费标准规范收费行为等有关问题的通知》(发改价格[2011]534号)及《国家发展改革委关于进一步放开建设项目专业服务价格的通知》(发改价格〔2015〕299号)文件规定，实行市场调节价，由成交供应商在领取成交通知书时，一次性向采购代理机构支付。</w:t>
      </w:r>
    </w:p>
    <w:p w14:paraId="7D8C067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.3采购代理费收取银行账户</w:t>
      </w:r>
    </w:p>
    <w:p w14:paraId="3269261B">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开户名称：广西北部湾宏亚建设管理有限公司 </w:t>
      </w:r>
    </w:p>
    <w:p w14:paraId="7DC9CE7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开户银行：中国工商银行股份有限公司北海市南珠科技支行 </w:t>
      </w:r>
    </w:p>
    <w:p w14:paraId="0083F07B">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银行账号：2107510009300069334</w:t>
      </w:r>
    </w:p>
    <w:p w14:paraId="522A66FD">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解释权</w:t>
      </w:r>
    </w:p>
    <w:p w14:paraId="6F7D2095">
      <w:pPr>
        <w:pStyle w:val="32"/>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6A37A74B">
      <w:pPr>
        <w:pStyle w:val="32"/>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lang w:val="en-US" w:eastAsia="zh-CN"/>
        </w:rPr>
        <w:t>3.</w:t>
      </w:r>
      <w:r>
        <w:rPr>
          <w:rFonts w:hAnsi="宋体" w:cs="Times New Roman"/>
          <w:b/>
          <w:color w:val="auto"/>
          <w:sz w:val="24"/>
          <w:szCs w:val="24"/>
          <w:highlight w:val="none"/>
        </w:rPr>
        <w:t>有关事宜</w:t>
      </w:r>
    </w:p>
    <w:p w14:paraId="5842C30F">
      <w:pPr>
        <w:pStyle w:val="32"/>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13AA5720">
      <w:pPr>
        <w:pStyle w:val="32"/>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单位全称：</w:t>
      </w:r>
      <w:r>
        <w:rPr>
          <w:rFonts w:hint="eastAsia" w:ascii="宋体" w:hAnsi="宋体" w:cs="宋体"/>
          <w:color w:val="auto"/>
          <w:sz w:val="24"/>
          <w:highlight w:val="none"/>
        </w:rPr>
        <w:t>广西北部湾宏亚建设管理有限公司</w:t>
      </w:r>
    </w:p>
    <w:p w14:paraId="6D9AF6F1">
      <w:pPr>
        <w:pStyle w:val="32"/>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b w:val="0"/>
          <w:bCs w:val="0"/>
          <w:color w:val="auto"/>
          <w:sz w:val="24"/>
          <w:szCs w:val="20"/>
          <w:highlight w:val="none"/>
          <w:lang w:eastAsia="zh-CN"/>
        </w:rPr>
        <w:t>广西北海市海城区银河城市科技产业城2栋0101号</w:t>
      </w:r>
    </w:p>
    <w:p w14:paraId="06398F55">
      <w:pPr>
        <w:pStyle w:val="32"/>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0779-3928925</w:t>
      </w:r>
      <w:r>
        <w:rPr>
          <w:rFonts w:hAnsi="宋体" w:cs="Times New Roman"/>
          <w:color w:val="auto"/>
          <w:kern w:val="0"/>
          <w:sz w:val="24"/>
          <w:szCs w:val="24"/>
          <w:highlight w:val="none"/>
        </w:rPr>
        <w:t xml:space="preserve">   </w:t>
      </w:r>
    </w:p>
    <w:p w14:paraId="6BE1C49A">
      <w:pPr>
        <w:pStyle w:val="32"/>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韦丽丹</w:t>
      </w:r>
    </w:p>
    <w:p w14:paraId="741EE95D">
      <w:pPr>
        <w:pStyle w:val="73"/>
        <w:rPr>
          <w:rFonts w:hint="eastAsia"/>
          <w:color w:val="auto"/>
          <w:highlight w:val="none"/>
        </w:rPr>
      </w:pPr>
    </w:p>
    <w:p w14:paraId="7843F4FD">
      <w:pPr>
        <w:tabs>
          <w:tab w:val="left" w:pos="0"/>
        </w:tabs>
        <w:spacing w:line="360" w:lineRule="auto"/>
        <w:rPr>
          <w:rFonts w:hint="eastAsia" w:cs="Helvetica" w:asciiTheme="minorEastAsia" w:hAnsiTheme="minorEastAsia" w:eastAsiaTheme="minorEastAsia"/>
          <w:color w:val="auto"/>
          <w:kern w:val="0"/>
          <w:sz w:val="24"/>
          <w:highlight w:val="none"/>
        </w:rPr>
      </w:pPr>
    </w:p>
    <w:p w14:paraId="4F138E55">
      <w:pPr>
        <w:snapToGrid w:val="0"/>
        <w:spacing w:line="360" w:lineRule="auto"/>
        <w:ind w:firstLine="723" w:firstLineChars="200"/>
        <w:rPr>
          <w:rFonts w:hint="eastAsia"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71414E47">
      <w:pPr>
        <w:adjustRightInd/>
        <w:spacing w:line="360" w:lineRule="auto"/>
        <w:jc w:val="center"/>
        <w:outlineLvl w:val="0"/>
        <w:rPr>
          <w:rFonts w:hint="eastAsia" w:cs="仿宋_GB2312" w:asciiTheme="minorEastAsia" w:hAnsiTheme="minorEastAsia" w:eastAsiaTheme="minorEastAsia"/>
          <w:b/>
          <w:color w:val="auto"/>
          <w:sz w:val="36"/>
          <w:szCs w:val="36"/>
          <w:highlight w:val="none"/>
        </w:rPr>
      </w:pPr>
      <w:bookmarkStart w:id="42" w:name="_Toc21470"/>
      <w:r>
        <w:rPr>
          <w:rFonts w:hint="eastAsia" w:cs="仿宋_GB2312" w:asciiTheme="minorEastAsia" w:hAnsiTheme="minorEastAsia" w:eastAsiaTheme="minorEastAsia"/>
          <w:b/>
          <w:color w:val="auto"/>
          <w:sz w:val="36"/>
          <w:szCs w:val="36"/>
          <w:highlight w:val="none"/>
        </w:rPr>
        <w:t>第四部分  采购需求</w:t>
      </w:r>
      <w:bookmarkEnd w:id="42"/>
    </w:p>
    <w:p w14:paraId="69AC0887">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0D6A052B">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为落实政府采购政策需满足的要求</w:t>
      </w:r>
    </w:p>
    <w:p w14:paraId="6494C4C3">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（1）本竞争性磋商采购文件所称中小企业必须符合《政府采购促进中小企业发展管理办法》（财库〔2020〕46号）的规定。</w:t>
      </w:r>
    </w:p>
    <w:p w14:paraId="4BC33072">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（2）根据《财政部司法部关于政府采购支持监狱企业发展有关问题的通知》（财库〔2014〕68号）的规定，如供应商为监狱企业，视同小型、微型企业。</w:t>
      </w:r>
    </w:p>
    <w:p w14:paraId="6E77465A">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（3）根据《关于促进残疾人就业政府采购政策的通知》（财库〔2017〕141号）的规定，如供应商为残疾人福利性单位，视同小型、微型企业。</w:t>
      </w:r>
    </w:p>
    <w:p w14:paraId="440D7884">
      <w:pPr>
        <w:spacing w:line="360" w:lineRule="auto"/>
        <w:ind w:firstLine="487" w:firstLineChars="202"/>
        <w:jc w:val="left"/>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“实质性要求”是指采购需求中带“▲”的条款或者不能负偏离的条款或者已经指明不满足按响应文件按无效处理的条款。</w:t>
      </w:r>
      <w:r>
        <w:rPr>
          <w:rFonts w:hint="eastAsia" w:ascii="宋体" w:hAnsi="宋体" w:eastAsia="宋体" w:cs="宋体"/>
          <w:b/>
          <w:bCs/>
          <w:color w:val="auto"/>
          <w:sz w:val="24"/>
          <w:szCs w:val="24"/>
          <w:highlight w:val="none"/>
          <w:lang w:val="en-US" w:eastAsia="zh-CN"/>
        </w:rPr>
        <w:t>本章节的“技术需求”和“商务要求”均为实质性要求，不接受负偏离，供应商需作出明确响应，否则磋商无效。</w:t>
      </w:r>
    </w:p>
    <w:p w14:paraId="5F88951C">
      <w:pPr>
        <w:spacing w:line="360" w:lineRule="auto"/>
        <w:ind w:firstLine="484" w:firstLineChars="20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供应商应根据自身实际情况如实响应磋商文件，对磋商文件提出的要求和条件作出明确响应</w:t>
      </w:r>
      <w:r>
        <w:rPr>
          <w:rFonts w:hint="eastAsia" w:ascii="宋体" w:hAnsi="宋体" w:eastAsia="宋体" w:cs="宋体"/>
          <w:b/>
          <w:bCs/>
          <w:color w:val="auto"/>
          <w:sz w:val="24"/>
          <w:szCs w:val="24"/>
          <w:highlight w:val="none"/>
        </w:rPr>
        <w:t>，</w:t>
      </w:r>
      <w:r>
        <w:rPr>
          <w:rFonts w:hint="eastAsia" w:ascii="宋体" w:hAnsi="宋体" w:eastAsia="宋体" w:cs="宋体"/>
          <w:b w:val="0"/>
          <w:bCs w:val="0"/>
          <w:color w:val="auto"/>
          <w:sz w:val="24"/>
          <w:szCs w:val="24"/>
          <w:highlight w:val="none"/>
        </w:rPr>
        <w:t>否则将作无效响应处理。</w:t>
      </w:r>
      <w:r>
        <w:rPr>
          <w:rFonts w:hint="eastAsia" w:ascii="宋体" w:hAnsi="宋体" w:eastAsia="宋体" w:cs="宋体"/>
          <w:color w:val="auto"/>
          <w:sz w:val="24"/>
          <w:szCs w:val="24"/>
          <w:highlight w:val="none"/>
        </w:rPr>
        <w:t>对于重要技术条款或技术参数应当在响应文件中提供技术支持资料，技术支持资料以磋商文件中规定的形式为准，否则将视为无效技术支持资料。</w:t>
      </w:r>
    </w:p>
    <w:p w14:paraId="79A5A1AD">
      <w:pPr>
        <w:spacing w:line="360" w:lineRule="auto"/>
        <w:ind w:firstLine="484" w:firstLineChars="20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供应商必须自行为其竞标产品侵犯他人的知识产权或者专利成果的行为承担相应法律责任。</w:t>
      </w:r>
    </w:p>
    <w:p w14:paraId="301A87AB">
      <w:pPr>
        <w:pStyle w:val="38"/>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本项目</w:t>
      </w:r>
      <w:r>
        <w:rPr>
          <w:rFonts w:hint="eastAsia" w:ascii="宋体" w:hAnsi="宋体" w:cs="宋体"/>
          <w:b/>
          <w:color w:val="auto"/>
          <w:sz w:val="24"/>
          <w:szCs w:val="24"/>
          <w:highlight w:val="none"/>
          <w:lang w:val="en-US" w:eastAsia="zh-CN"/>
        </w:rPr>
        <w:t>采购标的</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其他</w:t>
      </w:r>
      <w:r>
        <w:rPr>
          <w:rFonts w:hint="eastAsia" w:ascii="宋体" w:hAnsi="宋体" w:eastAsia="宋体" w:cs="宋体"/>
          <w:b/>
          <w:bCs/>
          <w:color w:val="auto"/>
          <w:sz w:val="24"/>
          <w:szCs w:val="24"/>
          <w:highlight w:val="none"/>
          <w:lang w:val="en-US" w:eastAsia="zh-CN"/>
        </w:rPr>
        <w:t>维修和保养服务</w:t>
      </w:r>
      <w:r>
        <w:rPr>
          <w:rFonts w:hint="eastAsia" w:ascii="宋体" w:hAnsi="宋体" w:eastAsia="宋体" w:cs="宋体"/>
          <w:b/>
          <w:bCs/>
          <w:color w:val="auto"/>
          <w:sz w:val="24"/>
          <w:szCs w:val="24"/>
          <w:highlight w:val="none"/>
        </w:rPr>
        <w:t>，属于</w:t>
      </w:r>
      <w:r>
        <w:rPr>
          <w:rFonts w:hint="eastAsia" w:ascii="宋体" w:hAnsi="宋体" w:eastAsia="宋体" w:cs="宋体"/>
          <w:b/>
          <w:bCs/>
          <w:color w:val="auto"/>
          <w:sz w:val="24"/>
          <w:szCs w:val="24"/>
          <w:highlight w:val="none"/>
          <w:lang w:val="en-US" w:eastAsia="zh-CN"/>
        </w:rPr>
        <w:t>其他未列明行业。</w:t>
      </w:r>
    </w:p>
    <w:p w14:paraId="5697D35F">
      <w:pPr>
        <w:pStyle w:val="42"/>
        <w:spacing w:line="360" w:lineRule="auto"/>
        <w:ind w:left="0" w:leftChars="0"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6、本项目采购预算（人民币）：871700.00元。本项目按折扣率报价。采购合同暂定价为：采购预算（871700.00元）</w:t>
      </w:r>
      <w:bookmarkStart w:id="43" w:name="OLE_LINK2"/>
      <w:r>
        <w:rPr>
          <w:rFonts w:hint="eastAsia" w:ascii="宋体" w:hAnsi="宋体" w:cs="宋体"/>
          <w:b/>
          <w:bCs/>
          <w:color w:val="auto"/>
          <w:sz w:val="24"/>
          <w:szCs w:val="24"/>
          <w:highlight w:val="none"/>
          <w:lang w:val="en-US" w:eastAsia="zh-CN"/>
        </w:rPr>
        <w:t>×</w:t>
      </w:r>
      <w:bookmarkEnd w:id="43"/>
      <w:r>
        <w:rPr>
          <w:rFonts w:hint="eastAsia" w:ascii="宋体" w:hAnsi="宋体" w:cs="宋体"/>
          <w:b/>
          <w:bCs/>
          <w:color w:val="auto"/>
          <w:sz w:val="24"/>
          <w:szCs w:val="24"/>
          <w:highlight w:val="none"/>
          <w:lang w:val="en-US" w:eastAsia="zh-CN"/>
        </w:rPr>
        <w:t>成交折扣率。</w:t>
      </w:r>
      <w:r>
        <w:rPr>
          <w:rFonts w:hint="eastAsia" w:ascii="宋体" w:hAnsi="宋体" w:cs="宋体"/>
          <w:b/>
          <w:bCs/>
          <w:color w:val="auto"/>
          <w:sz w:val="24"/>
          <w:szCs w:val="24"/>
          <w:highlight w:val="none"/>
          <w:lang w:val="en-US" w:eastAsia="zh-CN"/>
        </w:rPr>
        <w:t>具体维修项目详见本章节技术服务要求</w:t>
      </w:r>
      <w:r>
        <w:rPr>
          <w:rFonts w:hint="eastAsia" w:ascii="宋体" w:hAnsi="宋体" w:cs="宋体"/>
          <w:b/>
          <w:bCs/>
          <w:color w:val="auto"/>
          <w:sz w:val="24"/>
          <w:szCs w:val="24"/>
          <w:highlight w:val="none"/>
          <w:lang w:val="en-US" w:eastAsia="zh-CN"/>
        </w:rPr>
        <w:t>，完成所有维修保养工作内容，并经采购方全部验收合格后，供应商向采购人提供船舶维修结算单，结算单由采购人委托第三方机构进行评估得出审后结算价，最终支付价＝成交折扣率×审后结算价。</w:t>
      </w:r>
    </w:p>
    <w:p w14:paraId="21BEB3D7">
      <w:pPr>
        <w:pStyle w:val="42"/>
        <w:spacing w:line="360" w:lineRule="auto"/>
        <w:ind w:left="0" w:leftChars="0" w:firstLine="482" w:firstLineChars="200"/>
        <w:rPr>
          <w:rFonts w:hint="default" w:eastAsiaTheme="minorEastAsia"/>
          <w:color w:val="auto"/>
          <w:highlight w:val="none"/>
          <w:lang w:val="en-US" w:eastAsia="zh-CN"/>
        </w:rPr>
      </w:pPr>
      <w:r>
        <w:rPr>
          <w:rFonts w:hint="eastAsia" w:ascii="宋体" w:hAnsi="宋体" w:cs="宋体"/>
          <w:b/>
          <w:bCs/>
          <w:color w:val="auto"/>
          <w:sz w:val="24"/>
          <w:szCs w:val="24"/>
          <w:highlight w:val="none"/>
          <w:lang w:val="en-US" w:eastAsia="zh-CN"/>
        </w:rPr>
        <w:t>3、折扣率报价的有效范围：0 ≤ 折扣率 ≤ 100%，</w:t>
      </w:r>
      <w:r>
        <w:rPr>
          <w:rFonts w:hint="eastAsia" w:ascii="Arial" w:hAnsi="Arial" w:cs="Arial" w:eastAsiaTheme="minorEastAsia"/>
          <w:b/>
          <w:color w:val="auto"/>
          <w:kern w:val="0"/>
          <w:sz w:val="24"/>
          <w:highlight w:val="none"/>
          <w:lang w:val="en-US" w:eastAsia="zh-CN"/>
        </w:rPr>
        <w:t>超过报价有效范围的报价为无效报价。</w:t>
      </w:r>
    </w:p>
    <w:tbl>
      <w:tblPr>
        <w:tblStyle w:val="61"/>
        <w:tblpPr w:leftFromText="180" w:rightFromText="180" w:vertAnchor="text" w:horzAnchor="margin" w:tblpY="1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1488"/>
        <w:gridCol w:w="670"/>
        <w:gridCol w:w="750"/>
        <w:gridCol w:w="6168"/>
      </w:tblGrid>
      <w:tr w14:paraId="1D94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trPr>
        <w:tc>
          <w:tcPr>
            <w:tcW w:w="9468" w:type="dxa"/>
            <w:gridSpan w:val="5"/>
            <w:noWrap w:val="0"/>
            <w:vAlign w:val="center"/>
          </w:tcPr>
          <w:p w14:paraId="23A7F1F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一、技术需求</w:t>
            </w:r>
          </w:p>
        </w:tc>
      </w:tr>
      <w:tr w14:paraId="6D58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92" w:type="dxa"/>
            <w:noWrap w:val="0"/>
            <w:vAlign w:val="center"/>
          </w:tcPr>
          <w:p w14:paraId="6D0FAB84">
            <w:pPr>
              <w:adjustRightInd w:val="0"/>
              <w:snapToGrid w:val="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488" w:type="dxa"/>
            <w:noWrap w:val="0"/>
            <w:vAlign w:val="center"/>
          </w:tcPr>
          <w:p w14:paraId="62B462CF">
            <w:pPr>
              <w:adjustRightInd w:val="0"/>
              <w:snapToGrid w:val="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服务内容</w:t>
            </w:r>
          </w:p>
        </w:tc>
        <w:tc>
          <w:tcPr>
            <w:tcW w:w="670" w:type="dxa"/>
            <w:noWrap w:val="0"/>
            <w:vAlign w:val="center"/>
          </w:tcPr>
          <w:p w14:paraId="734C9E33">
            <w:pPr>
              <w:adjustRightInd w:val="0"/>
              <w:snapToGrid w:val="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750" w:type="dxa"/>
            <w:noWrap w:val="0"/>
            <w:vAlign w:val="center"/>
          </w:tcPr>
          <w:p w14:paraId="56A27585">
            <w:pPr>
              <w:adjustRightInd w:val="0"/>
              <w:snapToGrid w:val="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6168" w:type="dxa"/>
            <w:noWrap w:val="0"/>
            <w:vAlign w:val="center"/>
          </w:tcPr>
          <w:p w14:paraId="686C9F9D">
            <w:pPr>
              <w:adjustRightInd w:val="0"/>
              <w:snapToGrid w:val="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
              </w:rPr>
              <w:t>服务需求</w:t>
            </w:r>
          </w:p>
        </w:tc>
      </w:tr>
      <w:tr w14:paraId="35CF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392" w:type="dxa"/>
            <w:noWrap w:val="0"/>
            <w:vAlign w:val="center"/>
          </w:tcPr>
          <w:p w14:paraId="5F260ED8">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88" w:type="dxa"/>
            <w:noWrap w:val="0"/>
            <w:vAlign w:val="center"/>
          </w:tcPr>
          <w:p w14:paraId="560A9399">
            <w:pPr>
              <w:spacing w:before="40" w:line="219" w:lineRule="auto"/>
              <w:ind w:left="140"/>
              <w:rPr>
                <w:rFonts w:hint="eastAsia" w:ascii="宋体" w:hAnsi="宋体" w:eastAsia="宋体" w:cs="宋体"/>
                <w:color w:val="auto"/>
                <w:sz w:val="24"/>
                <w:szCs w:val="24"/>
                <w:highlight w:val="none"/>
                <w:lang w:eastAsia="zh-CN"/>
              </w:rPr>
            </w:pPr>
            <w:r>
              <w:rPr>
                <w:rFonts w:hint="eastAsia" w:ascii="宋体" w:hAnsi="宋体" w:cs="宋体"/>
                <w:color w:val="auto"/>
                <w:spacing w:val="1"/>
                <w:sz w:val="24"/>
                <w:szCs w:val="24"/>
                <w:highlight w:val="none"/>
                <w:lang w:eastAsia="zh-CN"/>
              </w:rPr>
              <w:t>2026年度执法船艇维修保养项目</w:t>
            </w:r>
          </w:p>
        </w:tc>
        <w:tc>
          <w:tcPr>
            <w:tcW w:w="670" w:type="dxa"/>
            <w:noWrap w:val="0"/>
            <w:vAlign w:val="center"/>
          </w:tcPr>
          <w:p w14:paraId="700E1C94">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50" w:type="dxa"/>
            <w:noWrap w:val="0"/>
            <w:vAlign w:val="center"/>
          </w:tcPr>
          <w:p w14:paraId="13477BD7">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6168" w:type="dxa"/>
            <w:noWrap w:val="0"/>
            <w:vAlign w:val="center"/>
          </w:tcPr>
          <w:p w14:paraId="0129BE7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both"/>
              <w:textAlignment w:val="auto"/>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一、项目概况</w:t>
            </w:r>
            <w:r>
              <w:rPr>
                <w:rFonts w:hint="eastAsia" w:ascii="宋体" w:hAnsi="宋体" w:cs="宋体"/>
                <w:b/>
                <w:bCs/>
                <w:color w:val="auto"/>
                <w:sz w:val="24"/>
                <w:szCs w:val="24"/>
                <w:highlight w:val="none"/>
                <w:lang w:val="en-US" w:eastAsia="zh-CN"/>
              </w:rPr>
              <w:t>：</w:t>
            </w:r>
          </w:p>
          <w:p w14:paraId="043E7AC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北海市海洋与渔业综合执法支队</w:t>
            </w:r>
            <w:r>
              <w:rPr>
                <w:rFonts w:hint="eastAsia" w:ascii="宋体" w:hAnsi="宋体" w:cs="宋体"/>
                <w:b w:val="0"/>
                <w:bCs w:val="0"/>
                <w:color w:val="auto"/>
                <w:sz w:val="24"/>
                <w:szCs w:val="24"/>
                <w:highlight w:val="none"/>
                <w:lang w:val="en-US" w:eastAsia="zh-CN"/>
              </w:rPr>
              <w:t>现有13艘执法船艇。本项目通过竞争性磋商方式选定一家供应商，为执法船艇提供维修保养服务，保障船艇处于安全可靠运行状态，满足采购人日常执勤、作业、航行使用需求。</w:t>
            </w:r>
          </w:p>
          <w:p w14:paraId="3FCE201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bCs/>
                <w:color w:val="auto"/>
                <w:sz w:val="24"/>
                <w:szCs w:val="24"/>
                <w:highlight w:val="none"/>
                <w:lang w:val="en-US" w:eastAsia="zh-CN"/>
              </w:rPr>
              <w:t>服务内容：</w:t>
            </w:r>
          </w:p>
          <w:p w14:paraId="3F78335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val="0"/>
                <w:bCs w:val="0"/>
                <w:color w:val="auto"/>
                <w:sz w:val="24"/>
                <w:szCs w:val="24"/>
                <w:highlight w:val="none"/>
                <w:lang w:val="en-US" w:eastAsia="zh-CN"/>
              </w:rPr>
              <w:t xml:space="preserve"> 本项目服务范围包括：发动机动力系统维修、钢质及玻璃钢船体维修保养、波箱维修、通讯设施养护、螺旋桨叶维修更换、电路电器、液压系统、吊装运输服务等，保障船艇处于安全可靠运行状态，满足采购人日常执勤、作业、航行使用需求，维修保养成果满足船舶检验相关要求，保障船艇适航状态。</w:t>
            </w:r>
          </w:p>
          <w:p w14:paraId="1CD9119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、服务要求：</w:t>
            </w:r>
          </w:p>
          <w:p w14:paraId="0A918C6C">
            <w:pPr>
              <w:pStyle w:val="42"/>
              <w:spacing w:line="36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w:t>
            </w:r>
            <w:r>
              <w:rPr>
                <w:rFonts w:hint="eastAsia" w:ascii="宋体" w:hAnsi="宋体" w:cs="宋体"/>
                <w:color w:val="auto"/>
                <w:sz w:val="24"/>
                <w:szCs w:val="24"/>
                <w:highlight w:val="none"/>
                <w:lang w:val="en-US" w:eastAsia="zh-CN"/>
              </w:rPr>
              <w:t>执法船</w:t>
            </w:r>
            <w:r>
              <w:rPr>
                <w:rFonts w:hint="eastAsia" w:ascii="宋体" w:hAnsi="宋体" w:eastAsia="宋体" w:cs="宋体"/>
                <w:color w:val="auto"/>
                <w:sz w:val="24"/>
                <w:szCs w:val="24"/>
                <w:highlight w:val="none"/>
                <w:lang w:val="en-US" w:eastAsia="zh-CN"/>
              </w:rPr>
              <w:t>艇常见的发动机故障、动力失衡、启动故障、供油故障、操控失灵、船体渗漏、电气</w:t>
            </w:r>
            <w:r>
              <w:rPr>
                <w:rFonts w:hint="eastAsia" w:ascii="宋体" w:hAnsi="宋体" w:cs="宋体"/>
                <w:color w:val="auto"/>
                <w:sz w:val="24"/>
                <w:szCs w:val="24"/>
                <w:highlight w:val="none"/>
                <w:lang w:val="en-US" w:eastAsia="zh-CN"/>
              </w:rPr>
              <w:t>、液压</w:t>
            </w:r>
            <w:r>
              <w:rPr>
                <w:rFonts w:hint="eastAsia" w:ascii="宋体" w:hAnsi="宋体" w:eastAsia="宋体" w:cs="宋体"/>
                <w:color w:val="auto"/>
                <w:sz w:val="24"/>
                <w:szCs w:val="24"/>
                <w:highlight w:val="none"/>
                <w:lang w:val="en-US" w:eastAsia="zh-CN"/>
              </w:rPr>
              <w:t>故障等问题，接到报修后及时排查故障原因，制定专项维修</w:t>
            </w:r>
            <w:r>
              <w:rPr>
                <w:rFonts w:hint="eastAsia" w:ascii="宋体" w:hAnsi="宋体" w:cs="宋体"/>
                <w:color w:val="auto"/>
                <w:sz w:val="24"/>
                <w:szCs w:val="24"/>
                <w:highlight w:val="none"/>
                <w:lang w:val="en-US" w:eastAsia="zh-CN"/>
              </w:rPr>
              <w:t>清单</w:t>
            </w:r>
            <w:r>
              <w:rPr>
                <w:rFonts w:hint="eastAsia" w:ascii="宋体" w:hAnsi="宋体" w:eastAsia="宋体" w:cs="宋体"/>
                <w:color w:val="auto"/>
                <w:sz w:val="24"/>
                <w:szCs w:val="24"/>
                <w:highlight w:val="none"/>
                <w:lang w:val="en-US" w:eastAsia="zh-CN"/>
              </w:rPr>
              <w:t>，经采购人确认后实施维修。</w:t>
            </w:r>
          </w:p>
          <w:p w14:paraId="18A07056">
            <w:pPr>
              <w:pStyle w:val="42"/>
              <w:spacing w:line="36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2、所有维修保养操作</w:t>
            </w:r>
            <w:r>
              <w:rPr>
                <w:rFonts w:hint="eastAsia" w:ascii="宋体" w:hAnsi="宋体" w:eastAsia="宋体" w:cs="宋体"/>
                <w:color w:val="auto"/>
                <w:sz w:val="24"/>
                <w:szCs w:val="24"/>
                <w:highlight w:val="none"/>
                <w:lang w:val="en-US" w:eastAsia="zh-CN"/>
              </w:rPr>
              <w:t xml:space="preserve">满足现行国家船舶修造规范及技术标准； </w:t>
            </w:r>
          </w:p>
          <w:p w14:paraId="42A17BD8">
            <w:pPr>
              <w:pStyle w:val="42"/>
              <w:spacing w:line="36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维修所使用的材料、配件等必须符合国家标准及行业标准，为合格产品；维修更换配件优先选用合规合格配件，关键动力配件如需选用替代件，须提前提交品牌、型号、技术参数、质量合格证明，经采购人审核同意后方可使用，严禁使用翻新、劣质、不合格配件； </w:t>
            </w:r>
          </w:p>
          <w:p w14:paraId="40DCC46D">
            <w:pPr>
              <w:pStyle w:val="42"/>
              <w:spacing w:line="36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 xml:space="preserve">、所有物件安装、设置必须符合船检要求和船舶检验规范； </w:t>
            </w:r>
          </w:p>
          <w:p w14:paraId="6E70217F">
            <w:pPr>
              <w:pStyle w:val="42"/>
              <w:spacing w:line="36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、船舶修理完成后，活动件质保期为3个月，固定件质保期为6个月，新换件质保期为1年</w:t>
            </w:r>
            <w:r>
              <w:rPr>
                <w:rFonts w:hint="eastAsia" w:ascii="宋体" w:hAnsi="宋体" w:cs="宋体"/>
                <w:color w:val="auto"/>
                <w:sz w:val="24"/>
                <w:szCs w:val="24"/>
                <w:highlight w:val="none"/>
                <w:lang w:val="en-US" w:eastAsia="zh-CN"/>
              </w:rPr>
              <w:t>。</w:t>
            </w:r>
          </w:p>
          <w:p w14:paraId="0090BFA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宋体" w:hAnsi="宋体" w:cs="宋体"/>
                <w:color w:val="auto"/>
                <w:sz w:val="24"/>
                <w:szCs w:val="24"/>
                <w:highlight w:val="none"/>
                <w:lang w:val="en-US" w:eastAsia="zh-CN"/>
              </w:rPr>
            </w:pPr>
          </w:p>
          <w:p w14:paraId="615412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、其他要求</w:t>
            </w:r>
          </w:p>
          <w:p w14:paraId="4A045D34">
            <w:pPr>
              <w:pStyle w:val="42"/>
              <w:spacing w:line="360" w:lineRule="auto"/>
              <w:ind w:left="0" w:leftChars="0" w:firstLine="480" w:firstLineChars="200"/>
              <w:rPr>
                <w:rFonts w:hint="default"/>
                <w:highlight w:val="none"/>
                <w:lang w:val="en-US" w:eastAsia="zh-CN"/>
              </w:rPr>
            </w:pPr>
            <w:r>
              <w:rPr>
                <w:rFonts w:hint="eastAsia" w:ascii="宋体" w:hAnsi="宋体" w:cs="宋体"/>
                <w:color w:val="auto"/>
                <w:sz w:val="24"/>
                <w:szCs w:val="24"/>
                <w:highlight w:val="none"/>
                <w:lang w:val="en-US" w:eastAsia="zh-CN"/>
              </w:rPr>
              <w:t>1、根据本项目维修保养船艇的情况，结合采购人要求开展岸基检修或简易进坞保养维修的需求，供应商需配备长度不小于20米，宽度不小于5米的维修场地，需提供场地权属证明（如果是租赁的场地还需提供租赁合同）或者承诺在中标后3个工作日内完成场地配置（需提供承诺书），签订合同前，采购人将对维修场地进行实地勘验，如发现虚假应标的情形，将取消成交供应商资格，按政府采购相关管理规定执行，并保留追究供应商赔偿相关损失的权利。</w:t>
            </w:r>
          </w:p>
          <w:p w14:paraId="7C244E83">
            <w:pPr>
              <w:pStyle w:val="42"/>
              <w:spacing w:line="360" w:lineRule="auto"/>
              <w:ind w:left="0" w:leftChars="0" w:firstLine="480" w:firstLineChars="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2、维修保养过程中拆除或更换的旧配件，归采购人所有，供应商负责收集整理后移交采购人处置。</w:t>
            </w:r>
          </w:p>
          <w:p w14:paraId="31E50484">
            <w:pPr>
              <w:pStyle w:val="42"/>
              <w:spacing w:line="360" w:lineRule="auto"/>
              <w:ind w:left="0" w:leftChars="0"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3、成交供应商不得将本项目全部服务内容整体转包、转让给任何第三方主体。一经查实，采购人有权单方面解除合同，并依法追究其违约责任及相关法律责任。</w:t>
            </w:r>
          </w:p>
          <w:p w14:paraId="64CA0B36">
            <w:pPr>
              <w:pStyle w:val="42"/>
              <w:spacing w:line="360" w:lineRule="auto"/>
              <w:ind w:left="0" w:leftChars="0"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除了针对快艇原厂专属核心部件，因设备技术壁垒、专用检测设备、原厂专属授权技术限制，必须由设备原厂或原厂授权机构方可完成的专项检测、维修、校准作业以外，不允许将本项目拆分对外分包。一经查实，采购人有权单方面解除合同，并依法追究其违约责任及相关法律责任。</w:t>
            </w:r>
          </w:p>
          <w:p w14:paraId="283FF40C">
            <w:pPr>
              <w:pStyle w:val="42"/>
              <w:spacing w:line="360" w:lineRule="auto"/>
              <w:ind w:left="0" w:leftChars="0"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属于合规分包的情形，供应商须提前向采购人提交书面分包申请、原厂技术限制证明、拟分包单位资质及授权证明材料，经采购人书面审核同意后方可合规分包，分包范围仅限原厂专属必要维修内容，不得擅自扩大分包范围。合规分包作业不得再次转包、二次分包。</w:t>
            </w:r>
          </w:p>
          <w:p w14:paraId="1A58277F">
            <w:pPr>
              <w:pStyle w:val="42"/>
              <w:numPr>
                <w:ilvl w:val="0"/>
                <w:numId w:val="7"/>
              </w:numPr>
              <w:spacing w:line="360" w:lineRule="auto"/>
              <w:ind w:left="-60" w:leftChars="0" w:firstLine="480" w:firstLineChars="0"/>
              <w:rPr>
                <w:rFonts w:hint="default" w:ascii="宋体" w:hAnsi="宋体" w:cs="宋体"/>
                <w:b w:val="0"/>
                <w:bCs w:val="0"/>
                <w:color w:val="auto"/>
                <w:sz w:val="24"/>
                <w:szCs w:val="24"/>
                <w:highlight w:val="none"/>
                <w:lang w:val="en-US" w:eastAsia="zh-CN"/>
              </w:rPr>
            </w:pPr>
            <w:r>
              <w:rPr>
                <w:rFonts w:hint="default" w:ascii="宋体" w:hAnsi="宋体" w:cs="宋体"/>
                <w:b w:val="0"/>
                <w:bCs w:val="0"/>
                <w:color w:val="auto"/>
                <w:sz w:val="24"/>
                <w:szCs w:val="24"/>
                <w:highlight w:val="none"/>
                <w:lang w:val="en-US" w:eastAsia="zh-CN"/>
              </w:rPr>
              <w:t>供应商须配备适配</w:t>
            </w:r>
            <w:r>
              <w:rPr>
                <w:rFonts w:hint="eastAsia" w:ascii="宋体" w:hAnsi="宋体" w:cs="宋体"/>
                <w:b w:val="0"/>
                <w:bCs w:val="0"/>
                <w:color w:val="auto"/>
                <w:sz w:val="24"/>
                <w:szCs w:val="24"/>
                <w:highlight w:val="none"/>
                <w:lang w:val="en-US" w:eastAsia="zh-CN"/>
              </w:rPr>
              <w:t>船</w:t>
            </w:r>
            <w:r>
              <w:rPr>
                <w:rFonts w:hint="default" w:ascii="宋体" w:hAnsi="宋体" w:cs="宋体"/>
                <w:b w:val="0"/>
                <w:bCs w:val="0"/>
                <w:color w:val="auto"/>
                <w:sz w:val="24"/>
                <w:szCs w:val="24"/>
                <w:highlight w:val="none"/>
                <w:lang w:val="en-US" w:eastAsia="zh-CN"/>
              </w:rPr>
              <w:t>艇维修的专用工具、检测仪器、动力调试设备，所有检测仪器在检定有效期内，可独立完成参数校准、故障检测、整机调试工作。</w:t>
            </w:r>
          </w:p>
          <w:p w14:paraId="21C615AD">
            <w:pPr>
              <w:spacing w:line="360" w:lineRule="auto"/>
              <w:ind w:firstLine="480" w:firstLineChars="200"/>
              <w:rPr>
                <w:rFonts w:hint="default"/>
                <w:highlight w:val="none"/>
                <w:lang w:val="en-US"/>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拟投入本项目的</w:t>
            </w:r>
            <w:r>
              <w:rPr>
                <w:rFonts w:hint="eastAsia" w:ascii="宋体" w:hAnsi="宋体" w:cs="宋体"/>
                <w:color w:val="auto"/>
                <w:sz w:val="24"/>
                <w:szCs w:val="24"/>
                <w:highlight w:val="none"/>
                <w:lang w:val="en-US" w:eastAsia="zh-CN"/>
              </w:rPr>
              <w:t>服务团队人员不少于</w:t>
            </w:r>
            <w:r>
              <w:rPr>
                <w:rFonts w:hint="eastAsia" w:ascii="宋体" w:hAnsi="宋体" w:eastAsia="宋体" w:cs="宋体"/>
                <w:color w:val="auto"/>
                <w:sz w:val="24"/>
                <w:szCs w:val="24"/>
                <w:highlight w:val="none"/>
                <w:lang w:val="en-US" w:eastAsia="zh-CN"/>
              </w:rPr>
              <w:t>3人，</w:t>
            </w:r>
            <w:r>
              <w:rPr>
                <w:rFonts w:hint="eastAsia" w:ascii="宋体" w:hAnsi="宋体" w:cs="宋体"/>
                <w:color w:val="auto"/>
                <w:sz w:val="24"/>
                <w:szCs w:val="24"/>
                <w:highlight w:val="none"/>
                <w:lang w:val="en-US" w:eastAsia="zh-CN"/>
              </w:rPr>
              <w:t>需配备电工、焊工等专业技术人员，</w:t>
            </w:r>
            <w:r>
              <w:rPr>
                <w:rFonts w:hint="eastAsia" w:ascii="宋体" w:hAnsi="宋体" w:eastAsia="宋体" w:cs="宋体"/>
                <w:color w:val="auto"/>
                <w:sz w:val="24"/>
                <w:szCs w:val="24"/>
                <w:highlight w:val="none"/>
                <w:lang w:val="en-US" w:eastAsia="zh-CN"/>
              </w:rPr>
              <w:t>需提供相关人员的</w:t>
            </w:r>
            <w:r>
              <w:rPr>
                <w:rFonts w:hint="eastAsia" w:ascii="宋体" w:hAnsi="宋体" w:cs="宋体"/>
                <w:color w:val="auto"/>
                <w:sz w:val="24"/>
                <w:szCs w:val="24"/>
                <w:highlight w:val="none"/>
                <w:lang w:val="en-US" w:eastAsia="zh-CN"/>
              </w:rPr>
              <w:t>身份证、</w:t>
            </w:r>
            <w:r>
              <w:rPr>
                <w:rFonts w:hint="eastAsia" w:ascii="宋体" w:hAnsi="宋体" w:eastAsia="宋体" w:cs="宋体"/>
                <w:color w:val="auto"/>
                <w:sz w:val="24"/>
                <w:szCs w:val="24"/>
                <w:highlight w:val="none"/>
                <w:lang w:val="en-US" w:eastAsia="zh-CN"/>
              </w:rPr>
              <w:t>特种作业操作证书</w:t>
            </w:r>
            <w:r>
              <w:rPr>
                <w:rFonts w:hint="eastAsia" w:ascii="宋体" w:hAnsi="宋体" w:cs="宋体"/>
                <w:color w:val="auto"/>
                <w:sz w:val="24"/>
                <w:szCs w:val="24"/>
                <w:highlight w:val="none"/>
                <w:lang w:val="en-US" w:eastAsia="zh-CN"/>
              </w:rPr>
              <w:t>（如有），</w:t>
            </w:r>
            <w:r>
              <w:rPr>
                <w:rFonts w:hint="eastAsia" w:ascii="宋体" w:hAnsi="宋体" w:eastAsia="宋体" w:cs="宋体"/>
                <w:color w:val="auto"/>
                <w:sz w:val="24"/>
                <w:szCs w:val="24"/>
                <w:highlight w:val="none"/>
                <w:lang w:val="en-US" w:eastAsia="zh-CN"/>
              </w:rPr>
              <w:t>供应商与其签订的劳动合同或</w:t>
            </w:r>
            <w:r>
              <w:rPr>
                <w:rFonts w:hint="eastAsia" w:ascii="宋体" w:hAnsi="宋体" w:cs="宋体"/>
                <w:color w:val="auto"/>
                <w:sz w:val="24"/>
                <w:szCs w:val="24"/>
                <w:highlight w:val="none"/>
                <w:lang w:val="en-US" w:eastAsia="zh-CN"/>
              </w:rPr>
              <w:t>距响应文件递交截止时间</w:t>
            </w:r>
            <w:r>
              <w:rPr>
                <w:rFonts w:hint="eastAsia" w:ascii="宋体" w:hAnsi="宋体" w:eastAsia="宋体" w:cs="宋体"/>
                <w:color w:val="auto"/>
                <w:sz w:val="24"/>
                <w:szCs w:val="24"/>
                <w:highlight w:val="none"/>
                <w:lang w:val="en-US" w:eastAsia="zh-CN"/>
              </w:rPr>
              <w:t>近半年以来任意一个月社保</w:t>
            </w:r>
            <w:r>
              <w:rPr>
                <w:rFonts w:hint="eastAsia" w:ascii="宋体" w:hAnsi="宋体" w:cs="宋体"/>
                <w:color w:val="auto"/>
                <w:sz w:val="24"/>
                <w:szCs w:val="24"/>
                <w:highlight w:val="none"/>
                <w:lang w:val="en-US" w:eastAsia="zh-CN"/>
              </w:rPr>
              <w:t>缴费</w:t>
            </w:r>
            <w:r>
              <w:rPr>
                <w:rFonts w:hint="eastAsia" w:ascii="宋体" w:hAnsi="宋体" w:eastAsia="宋体" w:cs="宋体"/>
                <w:color w:val="auto"/>
                <w:sz w:val="24"/>
                <w:szCs w:val="24"/>
                <w:highlight w:val="none"/>
                <w:lang w:val="en-US" w:eastAsia="zh-CN"/>
              </w:rPr>
              <w:t>证明</w:t>
            </w:r>
            <w:r>
              <w:rPr>
                <w:rFonts w:hint="eastAsia" w:ascii="宋体" w:hAnsi="宋体" w:cs="宋体"/>
                <w:color w:val="auto"/>
                <w:sz w:val="24"/>
                <w:szCs w:val="24"/>
                <w:highlight w:val="none"/>
                <w:lang w:val="en-US" w:eastAsia="zh-CN"/>
              </w:rPr>
              <w:t>材料</w:t>
            </w:r>
            <w:r>
              <w:rPr>
                <w:rFonts w:hint="eastAsia" w:ascii="宋体" w:hAnsi="宋体" w:eastAsia="宋体" w:cs="宋体"/>
                <w:color w:val="auto"/>
                <w:sz w:val="24"/>
                <w:szCs w:val="24"/>
                <w:highlight w:val="none"/>
                <w:lang w:val="en-US" w:eastAsia="zh-CN"/>
              </w:rPr>
              <w:t>。</w:t>
            </w:r>
          </w:p>
        </w:tc>
      </w:tr>
      <w:tr w14:paraId="1BFD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468" w:type="dxa"/>
            <w:gridSpan w:val="5"/>
            <w:noWrap w:val="0"/>
            <w:vAlign w:val="center"/>
          </w:tcPr>
          <w:p w14:paraId="625E3C7A">
            <w:pPr>
              <w:adjustRightInd w:val="0"/>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二、商务要求</w:t>
            </w:r>
          </w:p>
        </w:tc>
      </w:tr>
      <w:tr w14:paraId="14E1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trPr>
        <w:tc>
          <w:tcPr>
            <w:tcW w:w="9468" w:type="dxa"/>
            <w:gridSpan w:val="5"/>
            <w:noWrap w:val="0"/>
            <w:vAlign w:val="center"/>
          </w:tcPr>
          <w:p w14:paraId="530DFDA8">
            <w:pPr>
              <w:spacing w:before="29" w:line="360" w:lineRule="auto"/>
              <w:ind w:firstLine="47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一、合同签订期：</w:t>
            </w:r>
            <w:r>
              <w:rPr>
                <w:rFonts w:hint="eastAsia" w:ascii="宋体" w:hAnsi="宋体" w:eastAsia="宋体" w:cs="宋体"/>
                <w:color w:val="auto"/>
                <w:spacing w:val="-1"/>
                <w:sz w:val="24"/>
                <w:szCs w:val="24"/>
                <w:highlight w:val="none"/>
              </w:rPr>
              <w:t>自成交通知书发出之日起</w:t>
            </w:r>
            <w:r>
              <w:rPr>
                <w:rFonts w:hint="eastAsia" w:ascii="宋体" w:hAnsi="宋体" w:eastAsia="宋体" w:cs="宋体"/>
                <w:color w:val="auto"/>
                <w:spacing w:val="-1"/>
                <w:sz w:val="24"/>
                <w:szCs w:val="24"/>
                <w:highlight w:val="none"/>
                <w:lang w:val="en-US" w:eastAsia="zh-CN"/>
              </w:rPr>
              <w:t>25</w:t>
            </w:r>
            <w:r>
              <w:rPr>
                <w:rFonts w:hint="eastAsia" w:ascii="宋体" w:hAnsi="宋体" w:eastAsia="宋体" w:cs="宋体"/>
                <w:color w:val="auto"/>
                <w:spacing w:val="-1"/>
                <w:sz w:val="24"/>
                <w:szCs w:val="24"/>
                <w:highlight w:val="none"/>
              </w:rPr>
              <w:t>日内。</w:t>
            </w:r>
          </w:p>
          <w:p w14:paraId="7F195E47">
            <w:pPr>
              <w:spacing w:line="240" w:lineRule="auto"/>
              <w:ind w:left="0" w:firstLine="470" w:firstLineChars="200"/>
              <w:rPr>
                <w:rFonts w:hint="eastAsia" w:ascii="宋体" w:hAnsi="宋体" w:eastAsia="宋体" w:cs="宋体"/>
                <w:b w:val="0"/>
                <w:bCs w:val="0"/>
                <w:color w:val="auto"/>
                <w:spacing w:val="-3"/>
                <w:sz w:val="24"/>
                <w:szCs w:val="24"/>
                <w:highlight w:val="none"/>
              </w:rPr>
            </w:pPr>
            <w:r>
              <w:rPr>
                <w:rFonts w:hint="eastAsia" w:ascii="宋体" w:hAnsi="宋体" w:eastAsia="宋体" w:cs="宋体"/>
                <w:b/>
                <w:bCs/>
                <w:color w:val="auto"/>
                <w:spacing w:val="-3"/>
                <w:sz w:val="24"/>
                <w:szCs w:val="24"/>
                <w:highlight w:val="none"/>
              </w:rPr>
              <w:t>二、维修工期：</w:t>
            </w:r>
            <w:r>
              <w:rPr>
                <w:rFonts w:hint="eastAsia" w:ascii="宋体" w:hAnsi="宋体" w:eastAsia="宋体" w:cs="宋体"/>
                <w:b w:val="0"/>
                <w:bCs w:val="0"/>
                <w:color w:val="auto"/>
                <w:spacing w:val="-3"/>
                <w:sz w:val="24"/>
                <w:szCs w:val="24"/>
                <w:highlight w:val="none"/>
              </w:rPr>
              <w:t>合同签订后，自合同生效之日起</w:t>
            </w:r>
            <w:r>
              <w:rPr>
                <w:rFonts w:hint="eastAsia" w:ascii="宋体" w:hAnsi="宋体" w:cs="宋体"/>
                <w:b w:val="0"/>
                <w:bCs w:val="0"/>
                <w:color w:val="auto"/>
                <w:spacing w:val="-3"/>
                <w:sz w:val="24"/>
                <w:szCs w:val="24"/>
                <w:highlight w:val="none"/>
                <w:lang w:val="en-US" w:eastAsia="zh-CN"/>
              </w:rPr>
              <w:t>1</w:t>
            </w:r>
            <w:r>
              <w:rPr>
                <w:rFonts w:hint="eastAsia" w:ascii="宋体" w:hAnsi="宋体" w:eastAsia="宋体" w:cs="宋体"/>
                <w:b w:val="0"/>
                <w:bCs w:val="0"/>
                <w:color w:val="auto"/>
                <w:spacing w:val="-3"/>
                <w:sz w:val="24"/>
                <w:szCs w:val="24"/>
                <w:highlight w:val="none"/>
              </w:rPr>
              <w:t>年；</w:t>
            </w:r>
          </w:p>
          <w:p w14:paraId="6C766638">
            <w:pPr>
              <w:spacing w:before="139" w:line="360" w:lineRule="auto"/>
              <w:ind w:firstLine="470" w:firstLineChars="200"/>
              <w:rPr>
                <w:rFonts w:hint="eastAsia"/>
                <w:b w:val="0"/>
                <w:bCs w:val="0"/>
                <w:color w:val="auto"/>
                <w:highlight w:val="none"/>
              </w:rPr>
            </w:pPr>
            <w:r>
              <w:rPr>
                <w:rFonts w:hint="eastAsia" w:ascii="宋体" w:hAnsi="宋体" w:eastAsia="宋体" w:cs="宋体"/>
                <w:b/>
                <w:bCs/>
                <w:color w:val="auto"/>
                <w:spacing w:val="-3"/>
                <w:sz w:val="24"/>
                <w:szCs w:val="24"/>
                <w:highlight w:val="none"/>
                <w:lang w:val="en-US" w:eastAsia="zh-CN"/>
              </w:rPr>
              <w:t>三、</w:t>
            </w:r>
            <w:r>
              <w:rPr>
                <w:rFonts w:hint="eastAsia" w:ascii="宋体" w:hAnsi="宋体" w:eastAsia="宋体" w:cs="宋体"/>
                <w:b/>
                <w:bCs/>
                <w:color w:val="auto"/>
                <w:spacing w:val="-3"/>
                <w:sz w:val="24"/>
                <w:szCs w:val="24"/>
                <w:highlight w:val="none"/>
              </w:rPr>
              <w:t>维修地点：</w:t>
            </w:r>
            <w:r>
              <w:rPr>
                <w:rFonts w:hint="eastAsia" w:ascii="宋体" w:hAnsi="宋体" w:eastAsia="宋体" w:cs="宋体"/>
                <w:b w:val="0"/>
                <w:bCs w:val="0"/>
                <w:color w:val="auto"/>
                <w:spacing w:val="-3"/>
                <w:sz w:val="24"/>
                <w:szCs w:val="24"/>
                <w:highlight w:val="none"/>
              </w:rPr>
              <w:t>北海市辖区，根据采购单位指定需要维修船舶确定。</w:t>
            </w:r>
          </w:p>
          <w:p w14:paraId="552C34A6">
            <w:pPr>
              <w:spacing w:line="360" w:lineRule="auto"/>
              <w:ind w:firstLine="47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四、</w:t>
            </w:r>
            <w:r>
              <w:rPr>
                <w:rFonts w:hint="eastAsia" w:ascii="宋体" w:hAnsi="宋体" w:cs="宋体"/>
                <w:b/>
                <w:bCs/>
                <w:color w:val="auto"/>
                <w:spacing w:val="-3"/>
                <w:sz w:val="24"/>
                <w:szCs w:val="24"/>
                <w:highlight w:val="none"/>
                <w:lang w:val="en-US" w:eastAsia="zh-CN"/>
              </w:rPr>
              <w:t>质量保证与</w:t>
            </w:r>
            <w:r>
              <w:rPr>
                <w:rFonts w:hint="eastAsia" w:ascii="宋体" w:hAnsi="宋体" w:eastAsia="宋体" w:cs="宋体"/>
                <w:b/>
                <w:bCs/>
                <w:color w:val="auto"/>
                <w:spacing w:val="-3"/>
                <w:sz w:val="24"/>
                <w:szCs w:val="24"/>
                <w:highlight w:val="none"/>
              </w:rPr>
              <w:t>售后服务要求：</w:t>
            </w:r>
          </w:p>
          <w:p w14:paraId="21E08AE4">
            <w:pPr>
              <w:spacing w:before="21" w:line="360" w:lineRule="auto"/>
              <w:ind w:firstLine="480" w:firstLineChars="200"/>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1、质保期要求：单次维修保养项目质保期不少于6个月，更换的发动机核心配件、电气配件质保期不少于12个月；</w:t>
            </w:r>
            <w:r>
              <w:rPr>
                <w:rFonts w:hint="eastAsia" w:ascii="宋体" w:hAnsi="宋体" w:eastAsia="宋体" w:cs="宋体"/>
                <w:color w:val="auto"/>
                <w:sz w:val="24"/>
                <w:szCs w:val="24"/>
                <w:highlight w:val="none"/>
                <w:lang w:val="en-US" w:eastAsia="zh-CN"/>
              </w:rPr>
              <w:t>活动件质保期为3个月，固定件质保期为6个月；</w:t>
            </w:r>
            <w:r>
              <w:rPr>
                <w:rFonts w:hint="eastAsia" w:ascii="宋体" w:hAnsi="宋体" w:cs="宋体"/>
                <w:color w:val="auto"/>
                <w:kern w:val="0"/>
                <w:sz w:val="24"/>
                <w:szCs w:val="24"/>
                <w:highlight w:val="none"/>
                <w:lang w:val="en-US" w:eastAsia="zh-CN" w:bidi="ar"/>
              </w:rPr>
              <w:t>质保期内，因维修工艺不合格、配件质量问题、调试不到位导致的单机/多机故障、设备失效、船体隐患等问题，供应商免费上门整改、免费更换配件、免费调试校准。</w:t>
            </w:r>
          </w:p>
          <w:p w14:paraId="15802FB8">
            <w:pPr>
              <w:spacing w:before="21" w:line="360" w:lineRule="auto"/>
              <w:ind w:firstLine="480" w:firstLineChars="200"/>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2、服务期内保证7×24小时应急响应机制，接到故障报修通知后，1个小时内响应，一般问题应在24小时内解决，重大问题或其他无法迅速解决的问题应在一周内解决。</w:t>
            </w:r>
          </w:p>
          <w:p w14:paraId="5C690247">
            <w:pPr>
              <w:spacing w:before="21" w:line="360" w:lineRule="auto"/>
              <w:ind w:firstLine="466" w:firstLineChars="200"/>
              <w:rPr>
                <w:rFonts w:hint="eastAsia" w:ascii="宋体" w:hAnsi="宋体" w:cs="宋体"/>
                <w:b/>
                <w:bCs/>
                <w:color w:val="auto"/>
                <w:spacing w:val="-4"/>
                <w:sz w:val="24"/>
                <w:szCs w:val="24"/>
                <w:highlight w:val="none"/>
                <w:lang w:val="en-US" w:eastAsia="zh-CN"/>
              </w:rPr>
            </w:pPr>
            <w:r>
              <w:rPr>
                <w:rFonts w:hint="eastAsia" w:ascii="宋体" w:hAnsi="宋体" w:cs="宋体"/>
                <w:b/>
                <w:bCs/>
                <w:color w:val="auto"/>
                <w:spacing w:val="-4"/>
                <w:sz w:val="24"/>
                <w:szCs w:val="24"/>
                <w:highlight w:val="none"/>
                <w:lang w:val="en-US" w:eastAsia="zh-CN"/>
              </w:rPr>
              <w:t>五、验收标准</w:t>
            </w:r>
          </w:p>
          <w:p w14:paraId="544FF2D4">
            <w:pPr>
              <w:spacing w:before="21" w:line="360" w:lineRule="auto"/>
              <w:ind w:firstLine="480" w:firstLineChars="200"/>
              <w:rPr>
                <w:rFonts w:hint="default" w:ascii="宋体" w:hAnsi="宋体" w:cs="宋体"/>
                <w:color w:val="auto"/>
                <w:kern w:val="0"/>
                <w:sz w:val="24"/>
                <w:szCs w:val="24"/>
                <w:highlight w:val="none"/>
                <w:lang w:val="en-US" w:eastAsia="zh-CN" w:bidi="ar"/>
              </w:rPr>
            </w:pPr>
            <w:r>
              <w:rPr>
                <w:rFonts w:hint="eastAsia" w:ascii="宋体" w:hAnsi="宋体" w:cs="宋体"/>
                <w:color w:val="0000FF"/>
                <w:kern w:val="0"/>
                <w:sz w:val="24"/>
                <w:szCs w:val="24"/>
                <w:highlight w:val="none"/>
                <w:lang w:val="en-US" w:eastAsia="zh-CN" w:bidi="ar"/>
              </w:rPr>
              <w:t>1、</w:t>
            </w:r>
            <w:r>
              <w:rPr>
                <w:rFonts w:hint="default" w:ascii="宋体" w:hAnsi="宋体" w:cs="宋体"/>
                <w:color w:val="auto"/>
                <w:kern w:val="0"/>
                <w:sz w:val="24"/>
                <w:szCs w:val="24"/>
                <w:highlight w:val="none"/>
                <w:lang w:val="en-US" w:eastAsia="zh-CN" w:bidi="ar"/>
              </w:rPr>
              <w:t>单次保养、单项维修作业完工后，供应商须向采购人提交</w:t>
            </w:r>
            <w:r>
              <w:rPr>
                <w:rFonts w:hint="eastAsia" w:ascii="宋体" w:hAnsi="宋体" w:cs="宋体"/>
                <w:color w:val="auto"/>
                <w:kern w:val="0"/>
                <w:sz w:val="24"/>
                <w:szCs w:val="24"/>
                <w:highlight w:val="none"/>
                <w:lang w:val="en-US" w:eastAsia="zh-CN" w:bidi="ar"/>
              </w:rPr>
              <w:t>相关</w:t>
            </w:r>
            <w:r>
              <w:rPr>
                <w:rFonts w:hint="default" w:ascii="宋体" w:hAnsi="宋体" w:cs="宋体"/>
                <w:color w:val="auto"/>
                <w:kern w:val="0"/>
                <w:sz w:val="24"/>
                <w:szCs w:val="24"/>
                <w:highlight w:val="none"/>
                <w:lang w:val="en-US" w:eastAsia="zh-CN" w:bidi="ar"/>
              </w:rPr>
              <w:t>资料，包含</w:t>
            </w:r>
            <w:r>
              <w:rPr>
                <w:rFonts w:hint="eastAsia" w:ascii="宋体" w:hAnsi="宋体" w:cs="宋体"/>
                <w:color w:val="auto"/>
                <w:kern w:val="0"/>
                <w:sz w:val="24"/>
                <w:szCs w:val="24"/>
                <w:highlight w:val="none"/>
                <w:lang w:val="en-US" w:eastAsia="zh-CN" w:bidi="ar"/>
              </w:rPr>
              <w:t>维修</w:t>
            </w:r>
            <w:r>
              <w:rPr>
                <w:rFonts w:hint="default" w:ascii="宋体" w:hAnsi="宋体" w:cs="宋体"/>
                <w:color w:val="auto"/>
                <w:kern w:val="0"/>
                <w:sz w:val="24"/>
                <w:szCs w:val="24"/>
                <w:highlight w:val="none"/>
                <w:lang w:val="en-US" w:eastAsia="zh-CN" w:bidi="ar"/>
              </w:rPr>
              <w:t>记录、配件合格证明、施工影像资料等完整归档资料，主动申请验收。</w:t>
            </w:r>
          </w:p>
          <w:p w14:paraId="0D1BCB3A">
            <w:pPr>
              <w:spacing w:before="21" w:line="360" w:lineRule="auto"/>
              <w:ind w:firstLine="480" w:firstLineChars="200"/>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r>
              <w:rPr>
                <w:rFonts w:hint="default" w:ascii="宋体" w:hAnsi="宋体" w:cs="宋体"/>
                <w:color w:val="auto"/>
                <w:kern w:val="0"/>
                <w:sz w:val="24"/>
                <w:szCs w:val="24"/>
                <w:highlight w:val="none"/>
                <w:lang w:val="en-US" w:eastAsia="zh-CN" w:bidi="ar"/>
              </w:rPr>
              <w:t>采购人结合现场静态检测、码头试车、近海航行测试开展综合验收，重点核查发动机运行同步性、动力输出稳定性、操控灵敏度、船体水密性、设备完好性等核心指标，全部指标达标方可判定验收合格。</w:t>
            </w:r>
          </w:p>
          <w:p w14:paraId="356CE8DA">
            <w:pPr>
              <w:spacing w:before="21" w:line="360" w:lineRule="auto"/>
              <w:ind w:firstLine="480" w:firstLineChars="200"/>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r>
              <w:rPr>
                <w:rFonts w:hint="default" w:ascii="宋体" w:hAnsi="宋体" w:cs="宋体"/>
                <w:color w:val="auto"/>
                <w:kern w:val="0"/>
                <w:sz w:val="24"/>
                <w:szCs w:val="24"/>
                <w:highlight w:val="none"/>
                <w:lang w:val="en-US" w:eastAsia="zh-CN" w:bidi="ar"/>
              </w:rPr>
              <w:t>验收不合格的项目，供应商须无条件无偿限期整改、返工修复，直至验收合格，全部整改成本、工期损失由供应商自行承担。</w:t>
            </w:r>
          </w:p>
          <w:p w14:paraId="3BBBD746">
            <w:pPr>
              <w:spacing w:before="21" w:line="360" w:lineRule="auto"/>
              <w:ind w:firstLine="480" w:firstLineChars="200"/>
              <w:rPr>
                <w:rFonts w:hint="default"/>
                <w:highlight w:val="none"/>
                <w:lang w:val="en-US" w:eastAsia="zh-CN"/>
              </w:rPr>
            </w:pPr>
            <w:r>
              <w:rPr>
                <w:rFonts w:hint="eastAsia" w:ascii="宋体" w:hAnsi="宋体" w:cs="宋体"/>
                <w:color w:val="auto"/>
                <w:kern w:val="0"/>
                <w:sz w:val="24"/>
                <w:szCs w:val="24"/>
                <w:highlight w:val="none"/>
                <w:lang w:val="en-US" w:eastAsia="zh-CN" w:bidi="ar"/>
              </w:rPr>
              <w:t>4、</w:t>
            </w:r>
            <w:r>
              <w:rPr>
                <w:rFonts w:hint="default" w:ascii="宋体" w:hAnsi="宋体" w:cs="宋体"/>
                <w:color w:val="auto"/>
                <w:kern w:val="0"/>
                <w:sz w:val="24"/>
                <w:szCs w:val="24"/>
                <w:highlight w:val="none"/>
                <w:lang w:val="en-US" w:eastAsia="zh-CN" w:bidi="ar"/>
              </w:rPr>
              <w:t>项目服务期满后，供应商须整理汇总</w:t>
            </w:r>
            <w:r>
              <w:rPr>
                <w:rFonts w:hint="eastAsia" w:ascii="宋体" w:hAnsi="宋体" w:cs="宋体"/>
                <w:color w:val="auto"/>
                <w:kern w:val="0"/>
                <w:sz w:val="24"/>
                <w:szCs w:val="24"/>
                <w:highlight w:val="none"/>
                <w:lang w:val="en-US" w:eastAsia="zh-CN" w:bidi="ar"/>
              </w:rPr>
              <w:t>船艇维修等</w:t>
            </w:r>
            <w:r>
              <w:rPr>
                <w:rFonts w:hint="default" w:ascii="宋体" w:hAnsi="宋体" w:cs="宋体"/>
                <w:color w:val="auto"/>
                <w:kern w:val="0"/>
                <w:sz w:val="24"/>
                <w:szCs w:val="24"/>
                <w:highlight w:val="none"/>
                <w:lang w:val="en-US" w:eastAsia="zh-CN" w:bidi="ar"/>
              </w:rPr>
              <w:t>档案移交采购人归档留存。</w:t>
            </w:r>
          </w:p>
          <w:p w14:paraId="787E744E">
            <w:pPr>
              <w:spacing w:before="21" w:line="360" w:lineRule="auto"/>
              <w:ind w:firstLine="466" w:firstLineChars="200"/>
              <w:rPr>
                <w:rFonts w:hint="eastAsia" w:ascii="宋体" w:hAnsi="宋体" w:eastAsia="宋体" w:cs="宋体"/>
                <w:b/>
                <w:bCs/>
                <w:color w:val="auto"/>
                <w:spacing w:val="-4"/>
                <w:sz w:val="24"/>
                <w:szCs w:val="24"/>
                <w:highlight w:val="none"/>
              </w:rPr>
            </w:pPr>
            <w:r>
              <w:rPr>
                <w:rFonts w:hint="eastAsia" w:ascii="宋体" w:hAnsi="宋体" w:cs="宋体"/>
                <w:b/>
                <w:bCs/>
                <w:color w:val="auto"/>
                <w:spacing w:val="-4"/>
                <w:sz w:val="24"/>
                <w:szCs w:val="24"/>
                <w:highlight w:val="none"/>
                <w:lang w:val="en-US" w:eastAsia="zh-CN"/>
              </w:rPr>
              <w:t>六</w:t>
            </w:r>
            <w:r>
              <w:rPr>
                <w:rFonts w:hint="eastAsia" w:ascii="宋体" w:hAnsi="宋体" w:eastAsia="宋体" w:cs="宋体"/>
                <w:b/>
                <w:bCs/>
                <w:color w:val="auto"/>
                <w:spacing w:val="-4"/>
                <w:sz w:val="24"/>
                <w:szCs w:val="24"/>
                <w:highlight w:val="none"/>
              </w:rPr>
              <w:t>、</w:t>
            </w:r>
            <w:r>
              <w:rPr>
                <w:rFonts w:hint="eastAsia" w:ascii="宋体" w:hAnsi="宋体" w:eastAsia="宋体" w:cs="宋体"/>
                <w:b/>
                <w:bCs/>
                <w:color w:val="auto"/>
                <w:spacing w:val="-4"/>
                <w:sz w:val="24"/>
                <w:szCs w:val="24"/>
                <w:highlight w:val="none"/>
                <w:lang w:val="en-US" w:eastAsia="zh-CN"/>
              </w:rPr>
              <w:t>报价</w:t>
            </w:r>
            <w:r>
              <w:rPr>
                <w:rFonts w:hint="eastAsia" w:ascii="宋体" w:hAnsi="宋体" w:eastAsia="宋体" w:cs="宋体"/>
                <w:b/>
                <w:bCs/>
                <w:color w:val="auto"/>
                <w:spacing w:val="-4"/>
                <w:sz w:val="24"/>
                <w:szCs w:val="24"/>
                <w:highlight w:val="none"/>
              </w:rPr>
              <w:t>要求：</w:t>
            </w:r>
          </w:p>
          <w:p w14:paraId="78FC8ED5">
            <w:pPr>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1、本次维修服务报价均包含货物、服务、随配附件、备品备件、工具、货物运抵指定交货地点、安装、调试的各种费用和售后服务、上排费、管理费、税金及其它所有成本、费用的总和，采购人不再额外支付任何费。 </w:t>
            </w:r>
          </w:p>
          <w:p w14:paraId="66ECE981">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rPr>
              <w:t>2、报价：</w:t>
            </w:r>
            <w:r>
              <w:rPr>
                <w:rFonts w:hint="eastAsia"/>
                <w:color w:val="auto"/>
                <w:sz w:val="24"/>
                <w:szCs w:val="24"/>
                <w:highlight w:val="none"/>
                <w:lang w:val="en-US" w:eastAsia="zh-CN"/>
              </w:rPr>
              <w:t>本项目按折扣率报价。采购合同暂定价为：采购预算（871700.00元）×成交折扣率。完成所有维修保养工作内容，并经采购方全部验收合格后，供应商向采购人提供船舶维修结算单，由采购人委托第三方机构进行评估得出审后结算价，最终支付价＝成交折扣率×审后结算价。</w:t>
            </w:r>
          </w:p>
          <w:p w14:paraId="2C69696F">
            <w:pPr>
              <w:spacing w:line="360" w:lineRule="auto"/>
              <w:ind w:firstLine="480" w:firstLineChars="200"/>
              <w:rPr>
                <w:rFonts w:hint="eastAsia"/>
                <w:color w:val="auto"/>
                <w:sz w:val="24"/>
                <w:szCs w:val="24"/>
                <w:highlight w:val="none"/>
                <w:lang w:val="zh-CN" w:eastAsia="zh-CN"/>
              </w:rPr>
            </w:pPr>
            <w:r>
              <w:rPr>
                <w:rFonts w:hint="eastAsia"/>
                <w:color w:val="auto"/>
                <w:sz w:val="24"/>
                <w:szCs w:val="24"/>
                <w:highlight w:val="none"/>
              </w:rPr>
              <w:t>3、报价的有效范围：0 ≤ 维修</w:t>
            </w:r>
            <w:r>
              <w:rPr>
                <w:rFonts w:hint="eastAsia"/>
                <w:color w:val="auto"/>
                <w:sz w:val="24"/>
                <w:szCs w:val="24"/>
                <w:highlight w:val="none"/>
                <w:lang w:eastAsia="zh-CN"/>
              </w:rPr>
              <w:t>折扣率</w:t>
            </w:r>
            <w:r>
              <w:rPr>
                <w:rFonts w:hint="eastAsia"/>
                <w:color w:val="auto"/>
                <w:sz w:val="24"/>
                <w:szCs w:val="24"/>
                <w:highlight w:val="none"/>
              </w:rPr>
              <w:t xml:space="preserve"> ≤ 100%。超过采购预算或报价有效范围的报价为无效报价。</w:t>
            </w:r>
          </w:p>
          <w:p w14:paraId="791BC26D">
            <w:pPr>
              <w:spacing w:line="360" w:lineRule="auto"/>
              <w:ind w:firstLine="482" w:firstLineChars="200"/>
              <w:rPr>
                <w:rFonts w:hint="default"/>
                <w:b/>
                <w:bCs/>
                <w:color w:val="auto"/>
                <w:sz w:val="24"/>
                <w:szCs w:val="24"/>
                <w:highlight w:val="none"/>
                <w:lang w:val="en-US" w:eastAsia="zh-CN"/>
              </w:rPr>
            </w:pPr>
            <w:r>
              <w:rPr>
                <w:rFonts w:hint="eastAsia"/>
                <w:b/>
                <w:bCs/>
                <w:color w:val="auto"/>
                <w:sz w:val="24"/>
                <w:szCs w:val="24"/>
                <w:highlight w:val="none"/>
                <w:lang w:val="en-US" w:eastAsia="zh-CN"/>
              </w:rPr>
              <w:t>七、付款方式</w:t>
            </w:r>
          </w:p>
          <w:p w14:paraId="3F168918">
            <w:pPr>
              <w:snapToGrid w:val="0"/>
              <w:spacing w:line="360" w:lineRule="auto"/>
              <w:ind w:left="0" w:leftChars="0" w:right="0" w:rightChars="0" w:firstLine="480" w:firstLineChars="200"/>
              <w:jc w:val="left"/>
              <w:rPr>
                <w:rFonts w:hint="eastAsia" w:cs="Times New Roman"/>
                <w:b w:val="0"/>
                <w:bCs w:val="0"/>
                <w:color w:val="auto"/>
                <w:kern w:val="2"/>
                <w:sz w:val="24"/>
                <w:szCs w:val="24"/>
                <w:highlight w:val="none"/>
                <w:lang w:val="en-US" w:eastAsia="zh-CN" w:bidi="ar-SA"/>
              </w:rPr>
            </w:pPr>
            <w:r>
              <w:rPr>
                <w:rFonts w:hint="eastAsia" w:cs="Times New Roman"/>
                <w:b w:val="0"/>
                <w:bCs w:val="0"/>
                <w:color w:val="auto"/>
                <w:kern w:val="2"/>
                <w:sz w:val="24"/>
                <w:szCs w:val="24"/>
                <w:highlight w:val="none"/>
                <w:lang w:val="en-US" w:eastAsia="zh-CN" w:bidi="ar-SA"/>
              </w:rPr>
              <w:t>1、维修和保养工作全部完成，</w:t>
            </w:r>
            <w:r>
              <w:rPr>
                <w:rFonts w:hint="eastAsia" w:ascii="宋体" w:cs="宋体" w:hAnsiTheme="minorEastAsia"/>
                <w:b w:val="0"/>
                <w:bCs/>
                <w:color w:val="auto"/>
                <w:kern w:val="0"/>
                <w:sz w:val="24"/>
                <w:highlight w:val="none"/>
                <w:lang w:val="en-US" w:eastAsia="zh-CN"/>
              </w:rPr>
              <w:t>并经采购方全部验收合格后，</w:t>
            </w:r>
            <w:r>
              <w:rPr>
                <w:rFonts w:hint="eastAsia" w:cs="Times New Roman"/>
                <w:b w:val="0"/>
                <w:bCs w:val="0"/>
                <w:color w:val="auto"/>
                <w:kern w:val="2"/>
                <w:sz w:val="24"/>
                <w:szCs w:val="24"/>
                <w:highlight w:val="none"/>
                <w:lang w:val="en-US" w:eastAsia="zh-CN" w:bidi="ar-SA"/>
              </w:rPr>
              <w:t>供应商向采购人提供统一格式的船舶维修结算单，</w:t>
            </w:r>
            <w:r>
              <w:rPr>
                <w:rFonts w:hint="eastAsia" w:ascii="宋体" w:cs="宋体" w:hAnsiTheme="minorEastAsia"/>
                <w:b w:val="0"/>
                <w:bCs/>
                <w:color w:val="auto"/>
                <w:kern w:val="0"/>
                <w:sz w:val="24"/>
                <w:highlight w:val="none"/>
                <w:lang w:val="en-US" w:eastAsia="zh-CN"/>
              </w:rPr>
              <w:t>结算单由采购人委托第三方机构进行评估得出审后结算价，最终支付价＝成交折扣率×审后结算价。</w:t>
            </w:r>
            <w:r>
              <w:rPr>
                <w:rFonts w:hint="eastAsia" w:cs="Times New Roman"/>
                <w:b w:val="0"/>
                <w:bCs w:val="0"/>
                <w:color w:val="auto"/>
                <w:kern w:val="2"/>
                <w:sz w:val="24"/>
                <w:szCs w:val="24"/>
                <w:highlight w:val="none"/>
                <w:lang w:val="en-US" w:eastAsia="zh-CN" w:bidi="ar-SA"/>
              </w:rPr>
              <w:t>供应商根据最终支付价向采购人提供合法有效的正式发票，采购人在收到发票后7个工作目内向供应商支付维修款。本项目最终支付价不高于</w:t>
            </w:r>
            <w:r>
              <w:rPr>
                <w:rFonts w:hint="eastAsia" w:ascii="宋体" w:cs="宋体" w:hAnsiTheme="minorEastAsia"/>
                <w:b w:val="0"/>
                <w:bCs/>
                <w:color w:val="auto"/>
                <w:kern w:val="0"/>
                <w:sz w:val="24"/>
                <w:highlight w:val="none"/>
                <w:lang w:val="en-US" w:eastAsia="zh-CN"/>
              </w:rPr>
              <w:t>采购预算（871700.00元）</w:t>
            </w:r>
            <w:r>
              <w:rPr>
                <w:rFonts w:hint="eastAsia" w:ascii="宋体" w:hAnsi="宋体" w:cs="宋体"/>
                <w:b/>
                <w:bCs/>
                <w:color w:val="auto"/>
                <w:sz w:val="24"/>
                <w:szCs w:val="24"/>
                <w:highlight w:val="none"/>
                <w:lang w:val="en-US" w:eastAsia="zh-CN"/>
              </w:rPr>
              <w:t>×</w:t>
            </w:r>
            <w:r>
              <w:rPr>
                <w:rFonts w:hint="eastAsia" w:ascii="宋体" w:cs="宋体" w:hAnsiTheme="minorEastAsia"/>
                <w:b w:val="0"/>
                <w:bCs/>
                <w:color w:val="auto"/>
                <w:kern w:val="0"/>
                <w:sz w:val="24"/>
                <w:highlight w:val="none"/>
                <w:lang w:val="en-US" w:eastAsia="zh-CN"/>
              </w:rPr>
              <w:t>成交折扣率</w:t>
            </w:r>
            <w:r>
              <w:rPr>
                <w:rFonts w:hint="eastAsia" w:ascii="宋体" w:cs="宋体" w:hAnsiTheme="minorEastAsia"/>
                <w:b/>
                <w:color w:val="auto"/>
                <w:kern w:val="0"/>
                <w:sz w:val="24"/>
                <w:highlight w:val="none"/>
                <w:lang w:val="en-US" w:eastAsia="zh-CN"/>
              </w:rPr>
              <w:t>。</w:t>
            </w:r>
          </w:p>
          <w:p w14:paraId="3EE212B8">
            <w:pPr>
              <w:pStyle w:val="38"/>
              <w:spacing w:line="360" w:lineRule="auto"/>
              <w:ind w:firstLine="480" w:firstLineChars="200"/>
              <w:rPr>
                <w:rFonts w:hint="default" w:cs="Times New Roman"/>
                <w:b w:val="0"/>
                <w:bCs w:val="0"/>
                <w:color w:val="auto"/>
                <w:kern w:val="2"/>
                <w:sz w:val="24"/>
                <w:szCs w:val="24"/>
                <w:highlight w:val="none"/>
                <w:lang w:val="en-US" w:eastAsia="zh-CN" w:bidi="ar-SA"/>
              </w:rPr>
            </w:pPr>
            <w:r>
              <w:rPr>
                <w:rFonts w:hint="eastAsia" w:cs="Times New Roman"/>
                <w:b w:val="0"/>
                <w:bCs w:val="0"/>
                <w:color w:val="auto"/>
                <w:kern w:val="2"/>
                <w:sz w:val="24"/>
                <w:szCs w:val="24"/>
                <w:highlight w:val="none"/>
                <w:lang w:val="en-US" w:eastAsia="zh-CN" w:bidi="ar-SA"/>
              </w:rPr>
              <w:t>2、本项目使用财政资金，因财政资金拔付流程造成的支付时间延迟，不视为采购人违约，若专项财政资金尚未到位，采购人付款期限顺延至专项财政资金到位后7个工作日内。</w:t>
            </w:r>
          </w:p>
          <w:p w14:paraId="5C861F06">
            <w:pPr>
              <w:spacing w:line="360" w:lineRule="auto"/>
              <w:ind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八、其他要求</w:t>
            </w:r>
          </w:p>
          <w:p w14:paraId="273BDD0C">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安全生产要求：供应商所有维修、吊装、运输、调试作业必须符合安全生产、海事作业、船舶维修等相关法律法规及行业规范，作业期间自行承担全部安全生产主体责任，若发生安全事故、人员伤亡、设备损坏、财产损失，由供应商全权负责并承担全部经济与法律责任。</w:t>
            </w:r>
          </w:p>
          <w:p w14:paraId="133DF344">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2、环保合规要求：作业产生的废机油、废旧滤芯、油漆废渣、船舶垃圾等废弃物，全部分类收集、合规处置，严禁向水域、码头随意丢弃、排放，留存完整处置凭证备查，杜绝环境污染问题。</w:t>
            </w:r>
          </w:p>
          <w:p w14:paraId="5745E470">
            <w:pPr>
              <w:spacing w:line="360" w:lineRule="auto"/>
              <w:ind w:firstLine="480" w:firstLineChars="200"/>
              <w:rPr>
                <w:rFonts w:hint="eastAsia" w:ascii="宋体" w:hAnsi="宋体" w:eastAsia="宋体" w:cs="宋体"/>
                <w:color w:val="auto"/>
                <w:spacing w:val="-1"/>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、保密要求，在项目实施过程中，供应商对于所接触到执法快艇参数、执勤信息、设备资料等涉密内容负有保密</w:t>
            </w:r>
            <w:r>
              <w:rPr>
                <w:rFonts w:hint="eastAsia" w:ascii="宋体" w:hAnsi="宋体" w:cs="宋体"/>
                <w:color w:val="auto"/>
                <w:sz w:val="24"/>
                <w:szCs w:val="24"/>
                <w:highlight w:val="none"/>
                <w:lang w:val="en-US" w:eastAsia="zh-CN"/>
              </w:rPr>
              <w:t>义务</w:t>
            </w:r>
            <w:r>
              <w:rPr>
                <w:rFonts w:hint="eastAsia" w:ascii="宋体" w:hAnsi="宋体" w:eastAsia="宋体" w:cs="宋体"/>
                <w:color w:val="auto"/>
                <w:sz w:val="24"/>
                <w:szCs w:val="24"/>
                <w:highlight w:val="none"/>
                <w:lang w:val="en-US" w:eastAsia="zh-CN"/>
              </w:rPr>
              <w:t>。不得擅自复制、传播、外泄项目相关资料，服务期满后完整归还所有技术档案、运维资料。</w:t>
            </w:r>
          </w:p>
        </w:tc>
      </w:tr>
    </w:tbl>
    <w:p w14:paraId="0E3E18E9">
      <w:pPr>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br w:type="page"/>
      </w:r>
    </w:p>
    <w:p w14:paraId="7D04BC93">
      <w:pPr>
        <w:adjustRightInd/>
        <w:spacing w:line="360" w:lineRule="auto"/>
        <w:jc w:val="center"/>
        <w:outlineLvl w:val="0"/>
        <w:rPr>
          <w:rFonts w:hint="eastAsia" w:cs="仿宋_GB2312" w:asciiTheme="minorEastAsia" w:hAnsiTheme="minorEastAsia" w:eastAsiaTheme="minorEastAsia"/>
          <w:b/>
          <w:color w:val="auto"/>
          <w:sz w:val="36"/>
          <w:szCs w:val="36"/>
          <w:highlight w:val="none"/>
        </w:rPr>
        <w:sectPr>
          <w:footerReference r:id="rId6" w:type="default"/>
          <w:pgSz w:w="11907" w:h="16839"/>
          <w:pgMar w:top="1417" w:right="1417" w:bottom="1417" w:left="1417" w:header="850" w:footer="850" w:gutter="0"/>
          <w:pgNumType w:fmt="decimal"/>
          <w:cols w:space="720" w:num="1"/>
          <w:rtlGutter w:val="0"/>
        </w:sectPr>
      </w:pPr>
      <w:bookmarkStart w:id="44" w:name="_Toc20242"/>
    </w:p>
    <w:p w14:paraId="53B31CBE">
      <w:pPr>
        <w:adjustRightInd/>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40"/>
      <w:bookmarkEnd w:id="41"/>
      <w:bookmarkStart w:id="45" w:name="第四部分"/>
      <w:r>
        <w:rPr>
          <w:rFonts w:hint="eastAsia" w:cs="仿宋_GB2312" w:asciiTheme="minorEastAsia" w:hAnsiTheme="minorEastAsia" w:eastAsiaTheme="minorEastAsia"/>
          <w:b/>
          <w:color w:val="auto"/>
          <w:sz w:val="36"/>
          <w:szCs w:val="36"/>
          <w:highlight w:val="none"/>
        </w:rPr>
        <w:t>评审方法及评审标准</w:t>
      </w:r>
      <w:bookmarkEnd w:id="44"/>
    </w:p>
    <w:p w14:paraId="227DA13E">
      <w:pPr>
        <w:keepNext w:val="0"/>
        <w:keepLines w:val="0"/>
        <w:pageBreakBefore w:val="0"/>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p>
    <w:p w14:paraId="00575DEF">
      <w:pPr>
        <w:keepNext w:val="0"/>
        <w:keepLines w:val="0"/>
        <w:pageBreakBefore w:val="0"/>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一、评审程序和评审方法</w:t>
      </w:r>
    </w:p>
    <w:p w14:paraId="2AA01CC1">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1.资格审查</w:t>
      </w:r>
    </w:p>
    <w:p w14:paraId="235FAB9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1.1响应文件开启后，磋商小组依法对供应商的资格证明文件进行审查。</w:t>
      </w:r>
    </w:p>
    <w:p w14:paraId="0B788EF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注：磋商小组在资格审查结束前，对供应商进行信用查询。</w:t>
      </w:r>
    </w:p>
    <w:p w14:paraId="3F58917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（1）查询渠道：“信用中国”网站（www.creditchina.gov.cn）、中国政府采购网（www.ccgp.gov.cn）。</w:t>
      </w:r>
    </w:p>
    <w:p w14:paraId="279B42B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08E96AF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（3）查询记录和证据留存方式：在查询网站中直接查询，截图另存为电子文档作为评审资料保存。</w:t>
      </w:r>
    </w:p>
    <w:p w14:paraId="2E8ED58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0DC8B543">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1.2资格审查标准为本磋商文件中载明对供应商资格要求的条件。资格审查采用合格制，凡符合磋商文件规定的供应商资格要求的响应文件均通过资格审查。</w:t>
      </w:r>
    </w:p>
    <w:p w14:paraId="27A080EA">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1.3供应商有下列情形之一的，资格审查不通过，其响应文件按无效响应处理：</w:t>
      </w:r>
    </w:p>
    <w:p w14:paraId="0C4497D9">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23B30A07">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（2）未按磋商文件规定的方式获取本磋商文件的供应商；</w:t>
      </w:r>
    </w:p>
    <w:p w14:paraId="7A7879E0">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（3）响应文件的资格证明文件缺少任一项“供应商须知前附表”资格证明文件规定的“必须提供”的文件资料的；</w:t>
      </w:r>
    </w:p>
    <w:p w14:paraId="2ED7239E">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（4）响应文件中的资格证明文件出现任一项不符合“供应商须知前附表”资格证明文件规定的“必须提供”的文件资料要求或者无效的；</w:t>
      </w:r>
    </w:p>
    <w:p w14:paraId="7AB0D428">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32AC3C90">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1.4通过资格审查的合格供应商不足3家的，不得进入符合性审查环节，采购人或者采购代理机构应当重新开展采购活动。</w:t>
      </w:r>
    </w:p>
    <w:p w14:paraId="72382CF2">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2.符合性审查</w:t>
      </w:r>
    </w:p>
    <w:p w14:paraId="2C773A11">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2.1由磋商小组对通过资格审查的合格供应商的响应文件的竞标报价、商务、技术等实质性要求进行符合性审查，以确定其是否满足磋商文件的实质性要求。</w:t>
      </w:r>
    </w:p>
    <w:p w14:paraId="723A0970">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573E336">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4E76FABF">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0ABDF0D1">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2.4首次响应文件报价出现前后不一致的，按照下列规定修正： </w:t>
      </w:r>
    </w:p>
    <w:p w14:paraId="64DD34AA">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（1）响应文件中报价表内容与响应文件中相应内容不一致的，以报价表为准；</w:t>
      </w:r>
    </w:p>
    <w:p w14:paraId="4C56C7E9">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（2）大写金额和小写金额不一致的，以大写金额为准；</w:t>
      </w:r>
    </w:p>
    <w:p w14:paraId="5D1E8287">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（3）单价金额小数点或者百分比有明显错位的，以报价表的总价为准，并修改单价；</w:t>
      </w:r>
    </w:p>
    <w:p w14:paraId="46E2472A">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（4）总价金额与按单价汇总金额不一致的，以单价金额计算结果为准。</w:t>
      </w:r>
    </w:p>
    <w:p w14:paraId="114B8431">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同时出现两种以上不一致的，按照以上（1）-（4）规定的顺序逐条进行修正。修正后的报价经供应商确认后产生约束力，供应商不确认的，其响应文件按无效响应处理。</w:t>
      </w:r>
    </w:p>
    <w:p w14:paraId="7E3EAC8D">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2.5</w:t>
      </w:r>
      <w:r>
        <w:rPr>
          <w:rFonts w:hint="eastAsia" w:ascii="宋体" w:hAnsi="宋体" w:eastAsia="宋体" w:cs="宋体"/>
          <w:b/>
          <w:bCs/>
          <w:color w:val="auto"/>
          <w:kern w:val="0"/>
          <w:sz w:val="24"/>
          <w:szCs w:val="24"/>
          <w:highlight w:val="none"/>
          <w:lang w:val="en-US" w:eastAsia="zh-CN"/>
        </w:rPr>
        <w:t>响应无效</w:t>
      </w:r>
    </w:p>
    <w:p w14:paraId="5F384919">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在评审时，如发现下列情形之一的，将被视为响应文件无效处理：</w:t>
      </w:r>
    </w:p>
    <w:p w14:paraId="44F67DF8">
      <w:pPr>
        <w:spacing w:line="360" w:lineRule="auto"/>
        <w:ind w:firstLine="480" w:firstLineChars="200"/>
        <w:rPr>
          <w:rFonts w:cs="仿宋_GB2312" w:asciiTheme="minorEastAsia" w:hAnsiTheme="minorEastAsia" w:eastAsiaTheme="minorEastAsia"/>
          <w:color w:val="auto"/>
          <w:sz w:val="24"/>
          <w:szCs w:val="21"/>
          <w:highlight w:val="none"/>
        </w:rPr>
      </w:pPr>
      <w:r>
        <w:rPr>
          <w:rFonts w:hint="eastAsia" w:cs="仿宋_GB2312" w:asciiTheme="minorEastAsia" w:hAnsiTheme="minorEastAsia" w:eastAsiaTheme="minorEastAsia"/>
          <w:color w:val="auto"/>
          <w:sz w:val="24"/>
          <w:szCs w:val="21"/>
          <w:highlight w:val="none"/>
          <w:lang w:val="en-US" w:eastAsia="zh-CN"/>
        </w:rPr>
        <w:t>2.5.1</w:t>
      </w:r>
      <w:r>
        <w:rPr>
          <w:rFonts w:hint="eastAsia" w:cs="仿宋_GB2312" w:asciiTheme="minorEastAsia" w:hAnsiTheme="minorEastAsia" w:eastAsiaTheme="minorEastAsia"/>
          <w:color w:val="auto"/>
          <w:sz w:val="24"/>
          <w:szCs w:val="21"/>
          <w:highlight w:val="none"/>
        </w:rPr>
        <w:t>单位负责人为同一人或者存在直接控股、管理关系的不同供应商参加同一合同项下的政府采购活动的（均无效）；</w:t>
      </w:r>
    </w:p>
    <w:p w14:paraId="3AC9CE7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2.5.2</w:t>
      </w:r>
      <w:r>
        <w:rPr>
          <w:rFonts w:hint="eastAsia" w:asciiTheme="minorEastAsia" w:hAnsiTheme="minorEastAsia" w:eastAsiaTheme="minorEastAsia"/>
          <w:color w:val="auto"/>
          <w:sz w:val="24"/>
          <w:highlight w:val="none"/>
        </w:rPr>
        <w:t xml:space="preserve">为采购项目提供整体设计、规范编制或者项目管理、监理、检测等服务的供应商再参加该采购项目的其他采购活动的； </w:t>
      </w:r>
    </w:p>
    <w:p w14:paraId="6F24FAF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2.5.3</w:t>
      </w:r>
      <w:r>
        <w:rPr>
          <w:rFonts w:hint="eastAsia" w:asciiTheme="minorEastAsia" w:hAnsiTheme="minorEastAsia" w:eastAsiaTheme="minorEastAsia"/>
          <w:color w:val="auto"/>
          <w:sz w:val="24"/>
          <w:highlight w:val="none"/>
        </w:rPr>
        <w:t>供应商不具备磋商文件中规定的资格要求的（供应商未提供有效的资格证明文件的，视为供应商不具备磋商文件中规定的资格要求）；</w:t>
      </w:r>
    </w:p>
    <w:p w14:paraId="76FCA49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2.5.4</w:t>
      </w:r>
      <w:r>
        <w:rPr>
          <w:rFonts w:hint="eastAsia" w:asciiTheme="minorEastAsia" w:hAnsiTheme="minorEastAsia" w:eastAsiaTheme="minorEastAsia"/>
          <w:color w:val="auto"/>
          <w:sz w:val="24"/>
          <w:highlight w:val="none"/>
        </w:rPr>
        <w:t>如以联合体形式参加政府采购活动的，联合协议不符合磋商文件规定的联合协议要求的；</w:t>
      </w:r>
    </w:p>
    <w:p w14:paraId="7F3B98E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.5响应文件未按磋商文件的澄清、修改的内容编制，又不符合实质性要求的；</w:t>
      </w:r>
    </w:p>
    <w:p w14:paraId="43B284F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.6响应文件组成漏项，内容不全或内容字迹模糊辨认不清的；</w:t>
      </w:r>
    </w:p>
    <w:p w14:paraId="41F9F4D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.7响应文件中法人授权书所载内容与本项目内容有异的；</w:t>
      </w:r>
    </w:p>
    <w:p w14:paraId="0F9ACD5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.8响应文件未按照磋商文件要求签署、盖章的；</w:t>
      </w:r>
    </w:p>
    <w:p w14:paraId="0D5730F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.9</w:t>
      </w:r>
      <w:r>
        <w:rPr>
          <w:rFonts w:hint="eastAsia" w:ascii="宋体" w:hAnsi="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61E344C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.10响应文件含有采购人不能接受的附加条件的；</w:t>
      </w:r>
    </w:p>
    <w:p w14:paraId="54FB15A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.11响应文件中承诺的响应有效期少于磋商文件中载明的响应有效期的；</w:t>
      </w:r>
    </w:p>
    <w:p w14:paraId="7EAAF2A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.12供应商所投内容不符合磋商文件中实质性要求的；</w:t>
      </w:r>
    </w:p>
    <w:p w14:paraId="023BDBA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.13所提交的《最后报价一览表》中出现不是唯一的、有选择性的报价的;</w:t>
      </w:r>
    </w:p>
    <w:p w14:paraId="355DFEC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.14最后报价高于本项目采购预算或者最高限价的;</w:t>
      </w:r>
    </w:p>
    <w:p w14:paraId="3DBC29C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.15《最后报价一览表》填写不完整或字迹不能辨认或有漏项的；</w:t>
      </w:r>
    </w:p>
    <w:p w14:paraId="51BF1C6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.16供应商对根据修正原则修正后的最后报价不确认的；</w:t>
      </w:r>
    </w:p>
    <w:p w14:paraId="55C0C53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.17供应商提供虚假材料响应的（包括但不限于以下情节）；</w:t>
      </w:r>
    </w:p>
    <w:p w14:paraId="4D2C192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使用伪造、变造的许可证件；</w:t>
      </w:r>
    </w:p>
    <w:p w14:paraId="55D53AD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提供虚假的财务状况或者业绩；</w:t>
      </w:r>
    </w:p>
    <w:p w14:paraId="35AED51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提供虚假的项目负责人或者主要技术人员简历、劳动关系证明；</w:t>
      </w:r>
    </w:p>
    <w:p w14:paraId="20FECF3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提供虚假的信用状况；</w:t>
      </w:r>
    </w:p>
    <w:p w14:paraId="79DBC9E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其他弄虚作假的行为。</w:t>
      </w:r>
    </w:p>
    <w:p w14:paraId="2F8FE118">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.18供应商有恶意串通、妨碍其他供应商的竞争行为、损害采购人或者其他供应商的合法权益情形的。有下列情形之一的，属于或视为恶意串通，其响应无效：</w:t>
      </w:r>
    </w:p>
    <w:p w14:paraId="3CE1A77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供应商直接或者间接从采购人或者采购代理机构处获得其他供应商的相关情况并修改其响应文件；</w:t>
      </w:r>
    </w:p>
    <w:p w14:paraId="1691DB7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供应商按照采购人或者采购代理机构的授意撤换、修改投标文件或者响应文件；</w:t>
      </w:r>
    </w:p>
    <w:p w14:paraId="03095EE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供应商之间协商报价、技术方案等投标文件或者响应文件的实质性内容；</w:t>
      </w:r>
    </w:p>
    <w:p w14:paraId="5756F53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属于同一集团、协会、商会等组织成员的供应商按照该组织要求协同参加政府采购活动；</w:t>
      </w:r>
    </w:p>
    <w:p w14:paraId="70AE6A0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供应商之间事先约定由某一特定供应商中标、成交；</w:t>
      </w:r>
    </w:p>
    <w:p w14:paraId="34461D5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供应商之间商定部分供应商放弃参加政府采购活动或者放弃中标、成交；</w:t>
      </w:r>
    </w:p>
    <w:p w14:paraId="1850A69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供应商与采购人或者采购代理机构之间、供应商相互之间，为谋求特定供应商中标、成交或者排斥其他供应商的其他串通行为。</w:t>
      </w:r>
    </w:p>
    <w:p w14:paraId="0E1B136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不同供应商的响应文件由同一单位或者个人编制；</w:t>
      </w:r>
    </w:p>
    <w:p w14:paraId="04C999D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不同供应商委托同一单位或者个人办理响应事宜；</w:t>
      </w:r>
    </w:p>
    <w:p w14:paraId="61113DD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不同供应商的响应文件载明的项目管理成员或者联系人员为同一人；</w:t>
      </w:r>
    </w:p>
    <w:p w14:paraId="1792810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11）</w:t>
      </w:r>
      <w:r>
        <w:rPr>
          <w:rFonts w:hint="eastAsia" w:asciiTheme="minorEastAsia" w:hAnsiTheme="minorEastAsia" w:eastAsiaTheme="minorEastAsia"/>
          <w:color w:val="auto"/>
          <w:sz w:val="24"/>
          <w:highlight w:val="none"/>
        </w:rPr>
        <w:t>不同供应商的响应文件异常一致或者最后报价呈规律性差异。</w:t>
      </w:r>
    </w:p>
    <w:p w14:paraId="7637DCC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.19供应商仅提交备份响应文件，没有在电子交易平台传输提交响应文件的，响应无效；</w:t>
      </w:r>
    </w:p>
    <w:p w14:paraId="72510B4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.20法律、法规、规章及省级以上规范性文件规定的其他无效情形。</w:t>
      </w:r>
    </w:p>
    <w:p w14:paraId="30ED8A42">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3.磋商程序</w:t>
      </w:r>
    </w:p>
    <w:p w14:paraId="0B38523F">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磋商小组集中与单一供应商分别进行磋商，并给予所有参加磋商的供应商平等的磋商机会。符合磋商资格的供应商必须在接到磋商通知后在规定时间内在广西政府采购云平台上参加磋商，未在规定时间内参加磋商的视同放弃参加磋商权利，其响应文件按无效响应处理。</w:t>
      </w:r>
    </w:p>
    <w:p w14:paraId="2C67163C">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D3CE4A3">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3.3对磋商文件作出的实质性变动是磋商文件的有效组成部分，由磋商小组及时以电子澄清函形式同时通知所有参加磋商的供应商。</w:t>
      </w:r>
    </w:p>
    <w:p w14:paraId="76199A06">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213890F3">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507A6E0A">
      <w:pPr>
        <w:keepNext w:val="0"/>
        <w:keepLines w:val="0"/>
        <w:pageBreakBefore w:val="0"/>
        <w:widowControl/>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3.6采购代理机构对磋商过程和重要磋商内容进行记录。</w:t>
      </w:r>
    </w:p>
    <w:p w14:paraId="4598C6C7">
      <w:pPr>
        <w:keepNext w:val="0"/>
        <w:keepLines w:val="0"/>
        <w:pageBreakBefore w:val="0"/>
        <w:widowControl/>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BEBCD9F">
      <w:pPr>
        <w:keepNext w:val="0"/>
        <w:keepLines w:val="0"/>
        <w:pageBreakBefore w:val="0"/>
        <w:tabs>
          <w:tab w:val="left" w:pos="2835"/>
        </w:tabs>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3.8除本章第3.7条情形外，对磋商过程提交的响应文件进行有效性、完整性和响应程度审查，通过审查的合格供应商不足3家的，采购人或者采购代理机构应当重新开展采购活动。</w:t>
      </w:r>
    </w:p>
    <w:p w14:paraId="5929BD23">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 最后报价</w:t>
      </w:r>
    </w:p>
    <w:p w14:paraId="7D494E5E">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79706B33">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1C0093EB">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最后报价是供应商响应文件的有效组成部分。符合《政府采购竞争性磋商采购方式管理暂行办法》（财库〔2014〕214号）第三条第四项“市场竞争不充分的科研项目，以及需要扶持的科技成果转化项目”和本章第3.7条情形的，提交最后报价的供应商可以为2家。</w:t>
      </w:r>
    </w:p>
    <w:p w14:paraId="654CD8F7">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5F218F92">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4.5供应商未在规定时间内提交最后报价的，视同退出磋商，其响应文件按无效处理。</w:t>
      </w:r>
    </w:p>
    <w:p w14:paraId="16397179">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4.6最后报价统一开启后，磋商小组对最后报价进行有效性、完整性和响应程度的审查。</w:t>
      </w:r>
    </w:p>
    <w:p w14:paraId="79C4252A">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4.7最后报价出现前后不一致的，按照本章第2.4条的规定修正。 </w:t>
      </w:r>
    </w:p>
    <w:p w14:paraId="32DB5B3C">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4.8修正后的报价出现下列情形的，按无效响应处理：</w:t>
      </w:r>
    </w:p>
    <w:p w14:paraId="092E12C6">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3C9040B9">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（2）经供应商确认修正后的竞标报价（包含首次报价、最后报价）超过所竞标分标规定的采购预算金额的；</w:t>
      </w:r>
    </w:p>
    <w:p w14:paraId="5B891AAD">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4.9经供应商确认修正后的最后报价作为评审及签订合同的依据。</w:t>
      </w:r>
    </w:p>
    <w:p w14:paraId="31134102">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4.10供应商出现最后报价按无效响应处理或者响应文件按无效处理时，磋商小组应当告知有关供应商。</w:t>
      </w:r>
    </w:p>
    <w:p w14:paraId="6664CF3E">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4.11最后报价结束后，磋商小组不得再与供应商进行任何形式的商谈。</w:t>
      </w:r>
    </w:p>
    <w:p w14:paraId="24EA380A">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5.比较与评价</w:t>
      </w:r>
    </w:p>
    <w:p w14:paraId="3D8FDD25">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5.1评审方法：综合评分法。</w:t>
      </w:r>
    </w:p>
    <w:p w14:paraId="69B7CD9E">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5.2经磋商确定最终采购需求和提交最后报价的供应商后，由磋商小组采用综合评分法对提交最后报价的供应商的响应文件和最后报价进行综合评分。</w:t>
      </w:r>
    </w:p>
    <w:p w14:paraId="24E1140E">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5.3评审时，磋商小组各成员应当独立对每个有效响应的文件进行评价、打分，然后汇总每个供应商每项评分因素的得分。</w:t>
      </w:r>
    </w:p>
    <w:p w14:paraId="21C52C2C">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（1）磋商小组按照磋商文件中规定的评审标准计算各供应商的报价得分。项目评审过程中，不得去掉最后报价中的最高报价和最低报价。</w:t>
      </w:r>
    </w:p>
    <w:p w14:paraId="598F615C">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（2）各供应商的得分为磋商小组所有成员的有效评分的算术平均数。</w:t>
      </w:r>
    </w:p>
    <w:p w14:paraId="641620CB">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5.4评审价为供应商的最后报价（如有修正，以确认修正后的最后报价为准）。</w:t>
      </w:r>
    </w:p>
    <w:p w14:paraId="027BFC82">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5.5由磋商小组根据综合评分情况，按照评审得分由高到低顺序推荐3名以上成交候选供应商，并编写评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50954623">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357B6B5">
      <w:pPr>
        <w:pStyle w:val="23"/>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二、评审标准</w:t>
      </w:r>
    </w:p>
    <w:p w14:paraId="4A630323">
      <w:pPr>
        <w:snapToGrid w:val="0"/>
        <w:spacing w:line="360" w:lineRule="auto"/>
        <w:ind w:firstLine="480" w:firstLineChars="200"/>
        <w:jc w:val="left"/>
        <w:outlineLvl w:val="1"/>
        <w:rPr>
          <w:rFonts w:hint="eastAsia" w:ascii="宋体" w:hAnsi="宋体" w:cs="宋体"/>
          <w:b/>
          <w:color w:val="auto"/>
          <w:sz w:val="32"/>
          <w:szCs w:val="20"/>
          <w:highlight w:val="none"/>
        </w:rPr>
      </w:pPr>
      <w:r>
        <w:rPr>
          <w:rFonts w:hint="eastAsia" w:ascii="宋体" w:hAnsi="宋体"/>
          <w:bCs/>
          <w:color w:val="auto"/>
          <w:sz w:val="24"/>
          <w:szCs w:val="24"/>
          <w:highlight w:val="none"/>
        </w:rPr>
        <w:t>6</w:t>
      </w:r>
      <w:r>
        <w:rPr>
          <w:rFonts w:ascii="宋体" w:hAnsi="宋体"/>
          <w:bCs/>
          <w:color w:val="auto"/>
          <w:sz w:val="24"/>
          <w:szCs w:val="24"/>
          <w:highlight w:val="none"/>
        </w:rPr>
        <w:t>.</w:t>
      </w:r>
      <w:r>
        <w:rPr>
          <w:rFonts w:hint="eastAsia" w:ascii="宋体" w:hAnsi="宋体"/>
          <w:bCs/>
          <w:color w:val="auto"/>
          <w:sz w:val="24"/>
          <w:szCs w:val="24"/>
          <w:highlight w:val="none"/>
        </w:rPr>
        <w:t>评审依据：磋商小组将以磋商响应文件为评审依据，对供应商的报价、技术、商务等方面内容按百分制打分。（计分方法按四舍五入取至百分位）</w:t>
      </w:r>
    </w:p>
    <w:p w14:paraId="32B02DC3">
      <w:pPr>
        <w:rPr>
          <w:rFonts w:hint="eastAsia" w:ascii="宋体" w:hAnsi="宋体" w:cs="宋体"/>
          <w:b/>
          <w:color w:val="auto"/>
          <w:sz w:val="32"/>
          <w:szCs w:val="20"/>
          <w:highlight w:val="none"/>
        </w:rPr>
      </w:pPr>
      <w:r>
        <w:rPr>
          <w:rFonts w:hint="eastAsia" w:ascii="宋体" w:hAnsi="宋体" w:cs="宋体"/>
          <w:b/>
          <w:color w:val="auto"/>
          <w:sz w:val="32"/>
          <w:szCs w:val="20"/>
          <w:highlight w:val="none"/>
        </w:rPr>
        <w:br w:type="page"/>
      </w:r>
    </w:p>
    <w:p w14:paraId="3A12C049">
      <w:pPr>
        <w:snapToGrid w:val="0"/>
        <w:spacing w:line="360" w:lineRule="auto"/>
        <w:jc w:val="both"/>
        <w:outlineLvl w:val="1"/>
        <w:rPr>
          <w:rFonts w:hint="eastAsia" w:ascii="宋体" w:hAnsi="宋体" w:cs="宋体"/>
          <w:b/>
          <w:color w:val="auto"/>
          <w:sz w:val="32"/>
          <w:szCs w:val="20"/>
          <w:highlight w:val="none"/>
        </w:rPr>
      </w:pPr>
    </w:p>
    <w:tbl>
      <w:tblPr>
        <w:tblStyle w:val="6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047"/>
        <w:gridCol w:w="6555"/>
        <w:gridCol w:w="1045"/>
      </w:tblGrid>
      <w:tr w14:paraId="22F5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40" w:type="pct"/>
            <w:vAlign w:val="center"/>
          </w:tcPr>
          <w:p w14:paraId="229F60D7">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564" w:type="pct"/>
            <w:vAlign w:val="center"/>
          </w:tcPr>
          <w:p w14:paraId="4F1E9A82">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评审分项</w:t>
            </w:r>
          </w:p>
        </w:tc>
        <w:tc>
          <w:tcPr>
            <w:tcW w:w="3532" w:type="pct"/>
            <w:vAlign w:val="center"/>
          </w:tcPr>
          <w:p w14:paraId="769B1C0B">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评审因素</w:t>
            </w:r>
          </w:p>
        </w:tc>
        <w:tc>
          <w:tcPr>
            <w:tcW w:w="563" w:type="pct"/>
            <w:vAlign w:val="center"/>
          </w:tcPr>
          <w:p w14:paraId="70669D4D">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分值</w:t>
            </w:r>
          </w:p>
        </w:tc>
      </w:tr>
      <w:tr w14:paraId="379C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2FCCC8E5">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w:t>
            </w:r>
          </w:p>
        </w:tc>
        <w:tc>
          <w:tcPr>
            <w:tcW w:w="564" w:type="pct"/>
            <w:vAlign w:val="center"/>
          </w:tcPr>
          <w:p w14:paraId="0723DF6A">
            <w:pPr>
              <w:spacing w:line="360" w:lineRule="auto"/>
              <w:jc w:val="center"/>
              <w:rPr>
                <w:rFonts w:hint="eastAsia" w:ascii="宋体" w:hAnsi="宋体" w:cs="宋体"/>
                <w:b/>
                <w:bCs/>
                <w:color w:val="auto"/>
                <w:kern w:val="0"/>
                <w:sz w:val="24"/>
                <w:szCs w:val="24"/>
                <w:highlight w:val="none"/>
              </w:rPr>
            </w:pPr>
            <w:r>
              <w:rPr>
                <w:rFonts w:hint="eastAsia" w:cs="仿宋_GB2312" w:asciiTheme="minorEastAsia" w:hAnsiTheme="minorEastAsia" w:eastAsiaTheme="minorEastAsia"/>
                <w:b/>
                <w:bCs/>
                <w:color w:val="auto"/>
                <w:sz w:val="24"/>
                <w:szCs w:val="24"/>
                <w:highlight w:val="none"/>
              </w:rPr>
              <w:t>价格分</w:t>
            </w:r>
            <w:r>
              <w:rPr>
                <w:rFonts w:hint="eastAsia" w:cs="仿宋_GB2312" w:asciiTheme="minorEastAsia" w:hAnsiTheme="minorEastAsia" w:eastAsiaTheme="minorEastAsia"/>
                <w:b/>
                <w:bCs/>
                <w:color w:val="auto"/>
                <w:sz w:val="24"/>
                <w:szCs w:val="24"/>
                <w:highlight w:val="none"/>
                <w:lang w:eastAsia="zh-CN"/>
              </w:rPr>
              <w:t>（</w:t>
            </w:r>
            <w:r>
              <w:rPr>
                <w:rFonts w:hint="eastAsia" w:cs="仿宋_GB2312" w:asciiTheme="minorEastAsia" w:hAnsiTheme="minorEastAsia" w:eastAsiaTheme="minorEastAsia"/>
                <w:b/>
                <w:bCs/>
                <w:color w:val="auto"/>
                <w:sz w:val="24"/>
                <w:szCs w:val="24"/>
                <w:highlight w:val="none"/>
                <w:lang w:val="en-US" w:eastAsia="zh-CN"/>
              </w:rPr>
              <w:t>满分10分</w:t>
            </w:r>
            <w:r>
              <w:rPr>
                <w:rFonts w:hint="eastAsia" w:cs="仿宋_GB2312" w:asciiTheme="minorEastAsia" w:hAnsiTheme="minorEastAsia" w:eastAsiaTheme="minorEastAsia"/>
                <w:b/>
                <w:bCs/>
                <w:color w:val="auto"/>
                <w:sz w:val="24"/>
                <w:szCs w:val="24"/>
                <w:highlight w:val="none"/>
                <w:lang w:eastAsia="zh-CN"/>
              </w:rPr>
              <w:t>）</w:t>
            </w:r>
          </w:p>
        </w:tc>
        <w:tc>
          <w:tcPr>
            <w:tcW w:w="3532" w:type="pct"/>
            <w:vAlign w:val="top"/>
          </w:tcPr>
          <w:p w14:paraId="1BC425CA">
            <w:pPr>
              <w:pStyle w:val="38"/>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）有效投标报价的最低价作为评标基准价，其最低报价为满分；按［投标报价得分=（评标基准价/投标报价）</w:t>
            </w:r>
            <w:r>
              <w:rPr>
                <w:rFonts w:hint="default" w:ascii="Arial" w:hAnsi="Arial" w:eastAsia="宋体" w:cs="Arial"/>
                <w:bCs/>
                <w:color w:val="auto"/>
                <w:sz w:val="24"/>
                <w:szCs w:val="24"/>
                <w:highlight w:val="none"/>
              </w:rPr>
              <w:t>×</w:t>
            </w:r>
            <w:r>
              <w:rPr>
                <w:rFonts w:hint="eastAsia" w:ascii="宋体" w:hAnsi="宋体" w:cs="宋体"/>
                <w:bCs/>
                <w:color w:val="auto"/>
                <w:sz w:val="24"/>
                <w:szCs w:val="24"/>
                <w:highlight w:val="none"/>
                <w:lang w:val="en-US" w:eastAsia="zh-CN"/>
              </w:rPr>
              <w:t>10</w:t>
            </w:r>
            <w:r>
              <w:rPr>
                <w:rFonts w:hint="eastAsia" w:ascii="宋体" w:hAnsi="宋体" w:eastAsia="宋体" w:cs="宋体"/>
                <w:bCs/>
                <w:color w:val="auto"/>
                <w:sz w:val="24"/>
                <w:szCs w:val="24"/>
                <w:highlight w:val="none"/>
              </w:rPr>
              <w:t>］的计算公式计算。</w:t>
            </w:r>
          </w:p>
          <w:p w14:paraId="5C98CC66">
            <w:pPr>
              <w:pStyle w:val="38"/>
              <w:widowControl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评标过程中，不得去掉报价中的最高报价和最低报价。</w:t>
            </w:r>
          </w:p>
          <w:p w14:paraId="38D4BD6D">
            <w:pPr>
              <w:pStyle w:val="38"/>
              <w:widowControl w:val="0"/>
              <w:spacing w:line="400" w:lineRule="exact"/>
              <w:ind w:firstLine="480" w:firstLineChars="200"/>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lang w:val="en-US" w:eastAsia="zh-CN"/>
              </w:rPr>
              <w:t>本项目为专门面向中小企业采购项目，不再执行价格评审优惠的扶持政策。</w:t>
            </w:r>
          </w:p>
        </w:tc>
        <w:tc>
          <w:tcPr>
            <w:tcW w:w="563" w:type="pct"/>
            <w:vAlign w:val="center"/>
          </w:tcPr>
          <w:p w14:paraId="3689466B">
            <w:pPr>
              <w:snapToGrid w:val="0"/>
              <w:spacing w:line="360" w:lineRule="auto"/>
              <w:jc w:val="center"/>
              <w:rPr>
                <w:rFonts w:hint="eastAsia" w:ascii="宋体" w:hAnsi="宋体" w:cs="宋体"/>
                <w:color w:val="auto"/>
                <w:kern w:val="0"/>
                <w:sz w:val="24"/>
                <w:szCs w:val="24"/>
                <w:highlight w:val="none"/>
              </w:rPr>
            </w:pPr>
            <w:r>
              <w:rPr>
                <w:rFonts w:hint="eastAsia" w:cs="仿宋_GB2312" w:asciiTheme="minorEastAsia" w:hAnsiTheme="minorEastAsia" w:eastAsiaTheme="minorEastAsia"/>
                <w:b/>
                <w:bCs w:val="0"/>
                <w:color w:val="auto"/>
                <w:sz w:val="24"/>
                <w:szCs w:val="24"/>
                <w:highlight w:val="none"/>
                <w:lang w:val="en-US" w:eastAsia="zh-CN"/>
              </w:rPr>
              <w:t>10</w:t>
            </w:r>
            <w:r>
              <w:rPr>
                <w:rFonts w:hint="eastAsia" w:cs="仿宋_GB2312" w:asciiTheme="minorEastAsia" w:hAnsiTheme="minorEastAsia" w:eastAsiaTheme="minorEastAsia"/>
                <w:b/>
                <w:bCs w:val="0"/>
                <w:color w:val="auto"/>
                <w:sz w:val="24"/>
                <w:szCs w:val="24"/>
                <w:highlight w:val="none"/>
              </w:rPr>
              <w:t>分</w:t>
            </w:r>
          </w:p>
        </w:tc>
      </w:tr>
      <w:tr w14:paraId="19D2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40" w:type="pct"/>
            <w:vAlign w:val="center"/>
          </w:tcPr>
          <w:p w14:paraId="61F45E40">
            <w:pPr>
              <w:widowControl/>
              <w:spacing w:line="400" w:lineRule="exact"/>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2</w:t>
            </w:r>
          </w:p>
        </w:tc>
        <w:tc>
          <w:tcPr>
            <w:tcW w:w="564" w:type="pct"/>
            <w:vAlign w:val="center"/>
          </w:tcPr>
          <w:p w14:paraId="6E1466ED">
            <w:pPr>
              <w:widowControl/>
              <w:spacing w:line="400" w:lineRule="exact"/>
              <w:jc w:val="center"/>
              <w:rPr>
                <w:rFonts w:hint="default"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技术分</w:t>
            </w:r>
          </w:p>
        </w:tc>
        <w:tc>
          <w:tcPr>
            <w:tcW w:w="3532" w:type="pct"/>
            <w:vAlign w:val="center"/>
          </w:tcPr>
          <w:p w14:paraId="74181930">
            <w:pPr>
              <w:widowControl/>
              <w:spacing w:line="400" w:lineRule="exact"/>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563" w:type="pct"/>
            <w:vAlign w:val="center"/>
          </w:tcPr>
          <w:p w14:paraId="442DECF2">
            <w:pPr>
              <w:widowControl/>
              <w:spacing w:line="400" w:lineRule="exact"/>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分值</w:t>
            </w:r>
          </w:p>
        </w:tc>
      </w:tr>
      <w:tr w14:paraId="1F8E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340" w:type="pct"/>
            <w:vAlign w:val="center"/>
          </w:tcPr>
          <w:p w14:paraId="0077FE4E">
            <w:pPr>
              <w:spacing w:line="400" w:lineRule="exact"/>
              <w:ind w:left="-105" w:leftChars="-50" w:right="-105" w:rightChars="-5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2.1</w:t>
            </w:r>
          </w:p>
        </w:tc>
        <w:tc>
          <w:tcPr>
            <w:tcW w:w="564" w:type="pct"/>
            <w:vAlign w:val="center"/>
          </w:tcPr>
          <w:p w14:paraId="258C1D64">
            <w:pPr>
              <w:spacing w:line="400" w:lineRule="exact"/>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项目整体实施方案（满分20分）</w:t>
            </w:r>
          </w:p>
        </w:tc>
        <w:tc>
          <w:tcPr>
            <w:tcW w:w="3532" w:type="pct"/>
            <w:vAlign w:val="center"/>
          </w:tcPr>
          <w:p w14:paraId="39E3F96C">
            <w:pPr>
              <w:autoSpaceDE w:val="0"/>
              <w:autoSpaceDN w:val="0"/>
              <w:spacing w:line="360" w:lineRule="auto"/>
              <w:ind w:firstLine="480" w:firstLineChars="200"/>
              <w:jc w:val="left"/>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项目整体实施方案应包括但不限于：对项目概况的理解、实施重点、难点分析，针对项目特性，提出有针对性的项目实施总体方案，包括</w:t>
            </w:r>
            <w:r>
              <w:rPr>
                <w:rFonts w:hint="eastAsia" w:ascii="宋体" w:hAnsi="宋体" w:cs="宋体"/>
                <w:bCs/>
                <w:color w:val="auto"/>
                <w:sz w:val="24"/>
                <w:szCs w:val="24"/>
                <w:highlight w:val="none"/>
              </w:rPr>
              <w:t>项目组织架构、人员岗位职责、维保全流程管控、进度计划安排、现场管理制度、质量全过程管控、台账档案管理体系等整体落地实施方案。</w:t>
            </w:r>
            <w:r>
              <w:rPr>
                <w:rFonts w:hint="eastAsia" w:ascii="宋体" w:hAnsi="宋体" w:cs="宋体"/>
                <w:bCs/>
                <w:color w:val="auto"/>
                <w:sz w:val="24"/>
                <w:szCs w:val="24"/>
                <w:highlight w:val="none"/>
                <w:lang w:val="en-US" w:eastAsia="zh-CN"/>
              </w:rPr>
              <w:t>评委根据供应商的技术文件内容进行综合评估，按以下标准评分：</w:t>
            </w:r>
          </w:p>
          <w:p w14:paraId="24DB7F91">
            <w:pPr>
              <w:autoSpaceDE w:val="0"/>
              <w:autoSpaceDN w:val="0"/>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优（20分）：方案内容完整、体系完善，完全贴合本项目</w:t>
            </w:r>
            <w:r>
              <w:rPr>
                <w:rFonts w:hint="eastAsia" w:ascii="宋体" w:hAnsi="宋体" w:cs="宋体"/>
                <w:bCs/>
                <w:color w:val="auto"/>
                <w:sz w:val="24"/>
                <w:szCs w:val="24"/>
                <w:highlight w:val="none"/>
                <w:lang w:val="en-US" w:eastAsia="zh-CN"/>
              </w:rPr>
              <w:t>特性</w:t>
            </w:r>
            <w:r>
              <w:rPr>
                <w:rFonts w:hint="eastAsia" w:ascii="宋体" w:hAnsi="宋体" w:cs="宋体"/>
                <w:bCs/>
                <w:color w:val="auto"/>
                <w:sz w:val="24"/>
                <w:szCs w:val="24"/>
                <w:highlight w:val="none"/>
              </w:rPr>
              <w:t>；组织架构清晰、岗位职责明确、维保流程闭环、进度管控严谨、质量管控措施细化、台账管理制度健全，针对性、实操性极强，完全满足项目履约需求。</w:t>
            </w:r>
          </w:p>
          <w:p w14:paraId="4F0DAE37">
            <w:pPr>
              <w:autoSpaceDE w:val="0"/>
              <w:autoSpaceDN w:val="0"/>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良（</w:t>
            </w:r>
            <w:r>
              <w:rPr>
                <w:rFonts w:hint="eastAsia" w:ascii="宋体" w:hAnsi="宋体" w:cs="宋体"/>
                <w:bCs/>
                <w:color w:val="auto"/>
                <w:sz w:val="24"/>
                <w:szCs w:val="24"/>
                <w:highlight w:val="none"/>
                <w:lang w:val="en-US" w:eastAsia="zh-CN"/>
              </w:rPr>
              <w:t>13</w:t>
            </w:r>
            <w:r>
              <w:rPr>
                <w:rFonts w:hint="eastAsia" w:ascii="宋体" w:hAnsi="宋体" w:cs="宋体"/>
                <w:bCs/>
                <w:color w:val="auto"/>
                <w:sz w:val="24"/>
                <w:szCs w:val="24"/>
                <w:highlight w:val="none"/>
              </w:rPr>
              <w:t>分）：方案内容齐全、架构完整，贴合项目基本工况，核心管控流程、人员配置、进度及质量管理措施基本完善，整体可行、无缺项、无偏差，针对性较好。</w:t>
            </w:r>
          </w:p>
          <w:p w14:paraId="3A46183D">
            <w:pPr>
              <w:autoSpaceDE w:val="0"/>
              <w:autoSpaceDN w:val="0"/>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中（</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rPr>
              <w:t>分）：方案基本成型，核心内容无缺失，但细节较为简略、针对性一般，部分管控措施不够细化，仅能满足基础履约要求。</w:t>
            </w:r>
          </w:p>
          <w:p w14:paraId="477A46FF">
            <w:pPr>
              <w:autoSpaceDE w:val="0"/>
              <w:autoSpaceDN w:val="0"/>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差（0分）：方案内容空洞、逻辑混乱、关键实施流程缺失，未结合本项目</w:t>
            </w:r>
            <w:r>
              <w:rPr>
                <w:rFonts w:hint="eastAsia" w:ascii="宋体" w:hAnsi="宋体" w:cs="宋体"/>
                <w:bCs/>
                <w:color w:val="auto"/>
                <w:sz w:val="24"/>
                <w:szCs w:val="24"/>
                <w:highlight w:val="none"/>
                <w:lang w:val="en-US" w:eastAsia="zh-CN"/>
              </w:rPr>
              <w:t>实际需求</w:t>
            </w:r>
            <w:r>
              <w:rPr>
                <w:rFonts w:hint="eastAsia" w:ascii="宋体" w:hAnsi="宋体" w:cs="宋体"/>
                <w:bCs/>
                <w:color w:val="auto"/>
                <w:sz w:val="24"/>
                <w:szCs w:val="24"/>
                <w:highlight w:val="none"/>
              </w:rPr>
              <w:t>，不具备可落地性；未提供方案不得分。</w:t>
            </w:r>
          </w:p>
        </w:tc>
        <w:tc>
          <w:tcPr>
            <w:tcW w:w="563" w:type="pct"/>
            <w:vAlign w:val="center"/>
          </w:tcPr>
          <w:p w14:paraId="060178E8">
            <w:pPr>
              <w:spacing w:line="400" w:lineRule="exact"/>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20</w:t>
            </w:r>
          </w:p>
        </w:tc>
      </w:tr>
      <w:tr w14:paraId="76DA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670A142B">
            <w:pPr>
              <w:spacing w:line="400" w:lineRule="exact"/>
              <w:ind w:left="-105" w:leftChars="-50" w:right="-105" w:rightChars="-5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2.2</w:t>
            </w:r>
          </w:p>
        </w:tc>
        <w:tc>
          <w:tcPr>
            <w:tcW w:w="564" w:type="pct"/>
            <w:vAlign w:val="center"/>
          </w:tcPr>
          <w:p w14:paraId="5B40551A">
            <w:pPr>
              <w:spacing w:line="400" w:lineRule="exact"/>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专项维保技术方案（满分30分）</w:t>
            </w:r>
          </w:p>
        </w:tc>
        <w:tc>
          <w:tcPr>
            <w:tcW w:w="3532" w:type="pct"/>
            <w:vAlign w:val="center"/>
          </w:tcPr>
          <w:p w14:paraId="310DD22E">
            <w:pPr>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bidi="ar"/>
              </w:rPr>
              <w:t>专项维保方案，应根据项目特性，制定</w:t>
            </w:r>
            <w:r>
              <w:rPr>
                <w:rFonts w:hint="eastAsia" w:ascii="宋体" w:hAnsi="宋体" w:eastAsia="宋体" w:cs="宋体"/>
                <w:color w:val="auto"/>
                <w:sz w:val="24"/>
                <w:szCs w:val="24"/>
                <w:highlight w:val="none"/>
                <w:lang w:val="en-US" w:eastAsia="zh-CN"/>
              </w:rPr>
              <w:t>发动机动力系统维修保养</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玻璃钢船体维修保养</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波箱系统维修保养</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通讯设施养护维修</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螺旋桨叶维修更换</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吊装运输作业</w:t>
            </w:r>
            <w:r>
              <w:rPr>
                <w:rFonts w:hint="eastAsia" w:ascii="宋体" w:hAnsi="宋体" w:cs="宋体"/>
                <w:color w:val="auto"/>
                <w:sz w:val="24"/>
                <w:szCs w:val="24"/>
                <w:highlight w:val="none"/>
                <w:lang w:val="en-US" w:eastAsia="zh-CN"/>
              </w:rPr>
              <w:t>以及</w:t>
            </w:r>
            <w:r>
              <w:rPr>
                <w:rFonts w:hint="eastAsia" w:ascii="宋体" w:hAnsi="宋体" w:eastAsia="宋体" w:cs="宋体"/>
                <w:color w:val="auto"/>
                <w:sz w:val="24"/>
                <w:szCs w:val="24"/>
                <w:highlight w:val="none"/>
                <w:lang w:val="en-US" w:eastAsia="zh-CN"/>
              </w:rPr>
              <w:t>其他配套设施的日常检修、隐患排查、故障维修与常态</w:t>
            </w:r>
            <w:r>
              <w:rPr>
                <w:rFonts w:hint="eastAsia" w:ascii="宋体" w:hAnsi="宋体" w:cs="宋体"/>
                <w:color w:val="auto"/>
                <w:sz w:val="24"/>
                <w:szCs w:val="24"/>
                <w:highlight w:val="none"/>
                <w:lang w:val="en-US" w:eastAsia="zh-CN"/>
              </w:rPr>
              <w:t>化保养的专项技术方案。评委根据供应商的技术文件内容进行综合评估，按以下标准评分：</w:t>
            </w:r>
          </w:p>
          <w:p w14:paraId="3CBB5FE1">
            <w:pPr>
              <w:spacing w:line="400" w:lineRule="exact"/>
              <w:ind w:firstLine="480" w:firstLineChars="200"/>
              <w:rPr>
                <w:rFonts w:hint="eastAsia"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优（30分）：各专项维保技术体系完整，全覆盖本项目全部维保内容；针对各专项维修的参数校准、故障处置、航行调试技术措施专业细化、贴合高速快艇工况；各模块作业标准清晰、工序完整、质控严格、隐患防控全面，技术方案成熟、可落地性极强。</w:t>
            </w:r>
          </w:p>
          <w:p w14:paraId="738B292D">
            <w:pPr>
              <w:spacing w:line="400" w:lineRule="exact"/>
              <w:ind w:firstLine="480" w:firstLineChars="200"/>
              <w:rPr>
                <w:rFonts w:hint="eastAsia"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良（20分）：各专项维保内容齐全，覆盖全部核心维保模块，维保措施、设备养护措施规范，技术流程完整，满足项目维保标准，针对性较好，无技术缺项。</w:t>
            </w:r>
          </w:p>
          <w:p w14:paraId="0B0BC9B4">
            <w:pPr>
              <w:spacing w:line="400" w:lineRule="exact"/>
              <w:ind w:firstLine="480" w:firstLineChars="200"/>
              <w:rPr>
                <w:rFonts w:hint="eastAsia"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中（10分）：包含主要维保专项内容，基本满足项目维保需求，但技术细节简略、专项校准、精细化调试、隐患防控等关键内容不够深入，专业性一般。</w:t>
            </w:r>
          </w:p>
          <w:p w14:paraId="78C6A354">
            <w:pPr>
              <w:spacing w:line="400" w:lineRule="exact"/>
              <w:ind w:firstLine="480" w:firstLineChars="20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val="en-US" w:eastAsia="zh-CN" w:bidi="ar"/>
              </w:rPr>
              <w:t>差（0分）：专项维保内容缺失较多、关键技术工序缺失、未针对项目特性编制方案，技术可行性差；未提供方案不得分。</w:t>
            </w:r>
          </w:p>
        </w:tc>
        <w:tc>
          <w:tcPr>
            <w:tcW w:w="563" w:type="pct"/>
            <w:vAlign w:val="center"/>
          </w:tcPr>
          <w:p w14:paraId="17CA934A">
            <w:pPr>
              <w:spacing w:line="400" w:lineRule="exact"/>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30</w:t>
            </w:r>
          </w:p>
        </w:tc>
      </w:tr>
      <w:tr w14:paraId="61F4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255F988F">
            <w:pPr>
              <w:spacing w:line="400" w:lineRule="exact"/>
              <w:ind w:left="-105" w:leftChars="-50" w:right="-105" w:rightChars="-50"/>
              <w:jc w:val="center"/>
              <w:textAlignment w:val="baseline"/>
              <w:rPr>
                <w:rFonts w:hint="eastAsia" w:ascii="宋体" w:hAnsi="宋体" w:eastAsia="宋体" w:cs="宋体"/>
                <w:bCs/>
                <w:color w:val="auto"/>
                <w:kern w:val="0"/>
                <w:sz w:val="24"/>
                <w:szCs w:val="24"/>
                <w:highlight w:val="none"/>
                <w:lang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3</w:t>
            </w:r>
          </w:p>
        </w:tc>
        <w:tc>
          <w:tcPr>
            <w:tcW w:w="564" w:type="pct"/>
            <w:vAlign w:val="center"/>
          </w:tcPr>
          <w:p w14:paraId="05CF2520">
            <w:pPr>
              <w:spacing w:line="400" w:lineRule="exact"/>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应急保障方案（满分10分）</w:t>
            </w:r>
          </w:p>
        </w:tc>
        <w:tc>
          <w:tcPr>
            <w:tcW w:w="3532" w:type="pct"/>
            <w:vAlign w:val="center"/>
          </w:tcPr>
          <w:p w14:paraId="1614DA70">
            <w:pPr>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应急保障方案应包括但不限于：应急响应机制、故障分级处置流程、紧急故障到场抢修保障、海上突发故障处置、执勤任务应急兜底、节假日值守、应急人员及设备配置、故障复盘整改机制等内容。评委根据供应商的技术文件内容进行综合评估，按以下标准评分：</w:t>
            </w:r>
          </w:p>
          <w:p w14:paraId="3E80D605">
            <w:pPr>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优（10分）：应急保障体系健全，完全响应采购文件所有应急时限要求；明确人员值守、应急设备储备、分级处置流程、海上抢修预案、执勤兜底保障、故障复盘整改机制，流程闭环、响应迅速、保障力度强，完全适配执法执勤应急需求。</w:t>
            </w:r>
          </w:p>
          <w:p w14:paraId="48DA4A91">
            <w:pPr>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良（7分）：应急机制完整、响应时限达标，具备完善的故障处置流程和值守制度，保障措施到位，可满足日常应急抢修需求。</w:t>
            </w:r>
          </w:p>
          <w:p w14:paraId="4EE0ECD1">
            <w:pPr>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中（3分）：具备基本应急响应机制，但流程不够细化、保障措施单一，无完整分级处置预案，仅满足基础应急要求。</w:t>
            </w:r>
          </w:p>
          <w:p w14:paraId="0EBA4640">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差（0分）：应急方案简陋、响应机制缺失、未响应采购文件应急时限要求，无具体应急保障措施；未提供方案不得分。</w:t>
            </w:r>
          </w:p>
        </w:tc>
        <w:tc>
          <w:tcPr>
            <w:tcW w:w="563" w:type="pct"/>
            <w:vAlign w:val="center"/>
          </w:tcPr>
          <w:p w14:paraId="3C259993">
            <w:pPr>
              <w:spacing w:line="400" w:lineRule="exact"/>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730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7A3100AD">
            <w:pPr>
              <w:spacing w:line="400" w:lineRule="exact"/>
              <w:ind w:left="-105" w:leftChars="-50" w:right="-105" w:rightChars="-5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4</w:t>
            </w:r>
          </w:p>
        </w:tc>
        <w:tc>
          <w:tcPr>
            <w:tcW w:w="564" w:type="pct"/>
            <w:vAlign w:val="center"/>
          </w:tcPr>
          <w:p w14:paraId="1279EA5F">
            <w:pPr>
              <w:spacing w:line="400" w:lineRule="exact"/>
              <w:jc w:val="center"/>
              <w:textAlignment w:val="baseline"/>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服务承诺（满分10分）</w:t>
            </w:r>
          </w:p>
          <w:p w14:paraId="2B123BBC">
            <w:pPr>
              <w:spacing w:line="400" w:lineRule="exact"/>
              <w:jc w:val="center"/>
              <w:textAlignment w:val="baseline"/>
              <w:rPr>
                <w:rFonts w:hint="eastAsia" w:ascii="宋体" w:hAnsi="宋体" w:cs="宋体"/>
                <w:color w:val="auto"/>
                <w:sz w:val="24"/>
                <w:szCs w:val="24"/>
                <w:highlight w:val="none"/>
              </w:rPr>
            </w:pPr>
          </w:p>
        </w:tc>
        <w:tc>
          <w:tcPr>
            <w:tcW w:w="3532" w:type="pct"/>
            <w:vAlign w:val="center"/>
          </w:tcPr>
          <w:p w14:paraId="4A470288">
            <w:pPr>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bidi="ar"/>
              </w:rPr>
              <w:t>按照项目采购需求，供应商提出相应的服务承诺，包括但不限于：</w:t>
            </w:r>
            <w:r>
              <w:rPr>
                <w:rFonts w:hint="eastAsia" w:ascii="宋体" w:hAnsi="宋体" w:eastAsia="宋体" w:cs="宋体"/>
                <w:b w:val="0"/>
                <w:bCs w:val="0"/>
                <w:color w:val="auto"/>
                <w:kern w:val="2"/>
                <w:sz w:val="24"/>
                <w:szCs w:val="24"/>
                <w:highlight w:val="none"/>
                <w:lang w:val="en-US" w:eastAsia="zh-CN" w:bidi="ar"/>
              </w:rPr>
              <w:t>质量履约承诺、安全生产承诺、环保作业承诺、保密责任承诺、质保服务承诺、转包分包合规承诺等履约服务承诺内容。</w:t>
            </w:r>
            <w:r>
              <w:rPr>
                <w:rFonts w:hint="eastAsia" w:ascii="宋体" w:hAnsi="宋体" w:cs="宋体"/>
                <w:color w:val="auto"/>
                <w:sz w:val="24"/>
                <w:szCs w:val="24"/>
                <w:highlight w:val="none"/>
                <w:lang w:val="en-US" w:eastAsia="zh-CN"/>
              </w:rPr>
              <w:t>评委根据供应商的技术文件内容进行综合评估，按以下标准评分：</w:t>
            </w:r>
          </w:p>
          <w:p w14:paraId="0D975742">
            <w:pPr>
              <w:spacing w:line="400" w:lineRule="exact"/>
              <w:ind w:firstLine="480" w:firstLineChars="200"/>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优（10分）：全部响应采购文件实质性要求，各项服务承诺齐全、规范、严谨；严格落实转包分包合规要求、质保承诺、安全保密环保承诺，同时提供优于采购文件的履约保障承诺，责任清晰、兜底到位。</w:t>
            </w:r>
          </w:p>
          <w:p w14:paraId="7D4CF53A">
            <w:pPr>
              <w:spacing w:line="400" w:lineRule="exact"/>
              <w:ind w:firstLine="480" w:firstLineChars="200"/>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良（7分）：完全响应采购文件所有基础承诺条款，无负偏离、无违规承诺，各项履约承诺完整规范。</w:t>
            </w:r>
          </w:p>
          <w:p w14:paraId="2B0994A2">
            <w:pPr>
              <w:spacing w:line="400" w:lineRule="exact"/>
              <w:ind w:firstLine="480" w:firstLineChars="200"/>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中（</w:t>
            </w:r>
            <w:r>
              <w:rPr>
                <w:rFonts w:hint="eastAsia" w:ascii="宋体" w:hAnsi="宋体" w:cs="宋体"/>
                <w:b w:val="0"/>
                <w:bCs w:val="0"/>
                <w:color w:val="auto"/>
                <w:kern w:val="2"/>
                <w:sz w:val="24"/>
                <w:szCs w:val="24"/>
                <w:highlight w:val="none"/>
                <w:lang w:val="en-US" w:eastAsia="zh-CN" w:bidi="ar"/>
              </w:rPr>
              <w:t>4</w:t>
            </w:r>
            <w:r>
              <w:rPr>
                <w:rFonts w:hint="eastAsia" w:ascii="宋体" w:hAnsi="宋体" w:eastAsia="宋体" w:cs="宋体"/>
                <w:b w:val="0"/>
                <w:bCs w:val="0"/>
                <w:color w:val="auto"/>
                <w:kern w:val="2"/>
                <w:sz w:val="24"/>
                <w:szCs w:val="24"/>
                <w:highlight w:val="none"/>
                <w:lang w:val="en-US" w:eastAsia="zh-CN" w:bidi="ar"/>
              </w:rPr>
              <w:t>分）：基本响应主要承诺条款，部分承诺内容简略、表述不具体，无实质性违规、无负偏离。</w:t>
            </w:r>
          </w:p>
          <w:p w14:paraId="284384E5">
            <w:pPr>
              <w:spacing w:line="400" w:lineRule="exact"/>
              <w:ind w:firstLine="480" w:firstLineChars="200"/>
              <w:rPr>
                <w:rFonts w:hint="eastAsia" w:ascii="宋体" w:hAnsi="宋体" w:cs="宋体"/>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
              </w:rPr>
              <w:t>差（0分）：关键服务承诺缺失、存在条款负偏离、转包分包及质保等</w:t>
            </w:r>
            <w:r>
              <w:rPr>
                <w:rFonts w:hint="eastAsia" w:ascii="宋体" w:hAnsi="宋体" w:cs="宋体"/>
                <w:b w:val="0"/>
                <w:bCs w:val="0"/>
                <w:color w:val="auto"/>
                <w:kern w:val="2"/>
                <w:sz w:val="24"/>
                <w:szCs w:val="24"/>
                <w:highlight w:val="none"/>
                <w:lang w:val="en-US" w:eastAsia="zh-CN" w:bidi="ar"/>
              </w:rPr>
              <w:t>未</w:t>
            </w:r>
            <w:r>
              <w:rPr>
                <w:rFonts w:hint="eastAsia" w:ascii="宋体" w:hAnsi="宋体" w:eastAsia="宋体" w:cs="宋体"/>
                <w:b w:val="0"/>
                <w:bCs w:val="0"/>
                <w:color w:val="auto"/>
                <w:kern w:val="2"/>
                <w:sz w:val="24"/>
                <w:szCs w:val="24"/>
                <w:highlight w:val="none"/>
                <w:lang w:val="en-US" w:eastAsia="zh-CN" w:bidi="ar"/>
              </w:rPr>
              <w:t>实质性响应</w:t>
            </w:r>
            <w:r>
              <w:rPr>
                <w:rFonts w:hint="eastAsia" w:ascii="宋体" w:hAnsi="宋体" w:cs="宋体"/>
                <w:b w:val="0"/>
                <w:bCs w:val="0"/>
                <w:color w:val="auto"/>
                <w:kern w:val="2"/>
                <w:sz w:val="24"/>
                <w:szCs w:val="24"/>
                <w:highlight w:val="none"/>
                <w:lang w:val="en-US" w:eastAsia="zh-CN" w:bidi="ar"/>
              </w:rPr>
              <w:t>文件需求的情形</w:t>
            </w:r>
            <w:r>
              <w:rPr>
                <w:rFonts w:hint="eastAsia" w:ascii="宋体" w:hAnsi="宋体" w:eastAsia="宋体" w:cs="宋体"/>
                <w:b w:val="0"/>
                <w:bCs w:val="0"/>
                <w:color w:val="auto"/>
                <w:kern w:val="2"/>
                <w:sz w:val="24"/>
                <w:szCs w:val="24"/>
                <w:highlight w:val="none"/>
                <w:lang w:val="en-US" w:eastAsia="zh-CN" w:bidi="ar"/>
              </w:rPr>
              <w:t>；未提供服务承诺不得分。</w:t>
            </w:r>
          </w:p>
        </w:tc>
        <w:tc>
          <w:tcPr>
            <w:tcW w:w="563" w:type="pct"/>
            <w:vAlign w:val="center"/>
          </w:tcPr>
          <w:p w14:paraId="17F1AB7A">
            <w:pPr>
              <w:spacing w:line="400" w:lineRule="exact"/>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0BF5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4112B351">
            <w:pPr>
              <w:spacing w:line="400" w:lineRule="exact"/>
              <w:ind w:left="-105" w:leftChars="-50" w:right="-105" w:rightChars="-5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2.5</w:t>
            </w:r>
          </w:p>
        </w:tc>
        <w:tc>
          <w:tcPr>
            <w:tcW w:w="564" w:type="pct"/>
            <w:vAlign w:val="center"/>
          </w:tcPr>
          <w:p w14:paraId="76F5FB99">
            <w:pPr>
              <w:spacing w:line="400" w:lineRule="exact"/>
              <w:jc w:val="center"/>
              <w:textAlignment w:val="baseline"/>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
              </w:rPr>
              <w:t>拟投入人员配置分</w:t>
            </w:r>
            <w:r>
              <w:rPr>
                <w:rFonts w:hint="eastAsia" w:ascii="宋体" w:hAnsi="宋体" w:eastAsia="宋体" w:cs="宋体"/>
                <w:b/>
                <w:bCs/>
                <w:color w:val="auto"/>
                <w:kern w:val="2"/>
                <w:sz w:val="24"/>
                <w:szCs w:val="24"/>
                <w:highlight w:val="none"/>
                <w:lang w:val="en-US" w:eastAsia="zh-CN" w:bidi="ar"/>
              </w:rPr>
              <w:t>（满分10分）</w:t>
            </w:r>
          </w:p>
        </w:tc>
        <w:tc>
          <w:tcPr>
            <w:tcW w:w="3532" w:type="pct"/>
            <w:vAlign w:val="center"/>
          </w:tcPr>
          <w:p w14:paraId="0BC978DE">
            <w:pPr>
              <w:spacing w:line="400" w:lineRule="exact"/>
              <w:ind w:firstLine="480" w:firstLineChars="200"/>
              <w:rPr>
                <w:rFonts w:hint="eastAsia" w:ascii="宋体" w:hAnsi="宋体" w:eastAsia="宋体" w:cs="宋体"/>
                <w:color w:val="auto"/>
                <w:kern w:val="2"/>
                <w:sz w:val="24"/>
                <w:szCs w:val="24"/>
                <w:highlight w:val="none"/>
                <w:lang w:val="en-US" w:eastAsia="zh-CN" w:bidi="ar"/>
              </w:rPr>
            </w:pPr>
            <w:r>
              <w:rPr>
                <w:rFonts w:hint="eastAsia" w:ascii="宋体" w:hAnsi="宋体" w:cs="宋体"/>
                <w:color w:val="auto"/>
                <w:kern w:val="2"/>
                <w:sz w:val="24"/>
                <w:szCs w:val="24"/>
                <w:highlight w:val="none"/>
                <w:lang w:val="en-US" w:eastAsia="zh-CN" w:bidi="ar"/>
              </w:rPr>
              <w:t>拟投入本项目服务团队人员达到3人(含）以上，</w:t>
            </w:r>
            <w:r>
              <w:rPr>
                <w:rFonts w:hint="eastAsia" w:ascii="宋体" w:hAnsi="宋体" w:eastAsia="宋体" w:cs="宋体"/>
                <w:color w:val="auto"/>
                <w:kern w:val="2"/>
                <w:sz w:val="24"/>
                <w:szCs w:val="24"/>
                <w:highlight w:val="none"/>
                <w:lang w:val="en-US" w:eastAsia="zh-CN" w:bidi="ar"/>
              </w:rPr>
              <w:t>拟投入本项目的电工、焊工</w:t>
            </w:r>
            <w:r>
              <w:rPr>
                <w:rFonts w:hint="eastAsia" w:ascii="宋体" w:hAnsi="宋体" w:cs="宋体"/>
                <w:color w:val="auto"/>
                <w:kern w:val="2"/>
                <w:sz w:val="24"/>
                <w:szCs w:val="24"/>
                <w:highlight w:val="none"/>
                <w:lang w:val="en-US" w:eastAsia="zh-CN" w:bidi="ar"/>
              </w:rPr>
              <w:t>、机电维修</w:t>
            </w:r>
            <w:r>
              <w:rPr>
                <w:rFonts w:hint="eastAsia" w:ascii="宋体" w:hAnsi="宋体" w:eastAsia="宋体" w:cs="宋体"/>
                <w:color w:val="auto"/>
                <w:kern w:val="2"/>
                <w:sz w:val="24"/>
                <w:szCs w:val="24"/>
                <w:highlight w:val="none"/>
                <w:lang w:val="en-US" w:eastAsia="zh-CN" w:bidi="ar"/>
              </w:rPr>
              <w:t>等特种作业技术人员不少于3人</w:t>
            </w:r>
            <w:r>
              <w:rPr>
                <w:rFonts w:hint="eastAsia" w:ascii="宋体" w:hAnsi="宋体" w:cs="宋体"/>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需具备对应专业有效的特种作业操作证书、船舶机电维修等相关专业资质或执业资格证书</w:t>
            </w:r>
            <w:r>
              <w:rPr>
                <w:rFonts w:hint="eastAsia" w:ascii="宋体" w:hAnsi="宋体" w:cs="宋体"/>
                <w:color w:val="auto"/>
                <w:kern w:val="2"/>
                <w:sz w:val="24"/>
                <w:szCs w:val="24"/>
                <w:highlight w:val="none"/>
                <w:lang w:val="en-US" w:eastAsia="zh-CN" w:bidi="ar"/>
              </w:rPr>
              <w:t>得7分</w:t>
            </w:r>
            <w:r>
              <w:rPr>
                <w:rFonts w:hint="eastAsia" w:ascii="宋体" w:hAnsi="宋体" w:eastAsia="宋体" w:cs="宋体"/>
                <w:color w:val="auto"/>
                <w:kern w:val="2"/>
                <w:sz w:val="24"/>
                <w:szCs w:val="24"/>
                <w:highlight w:val="none"/>
                <w:lang w:val="en-US" w:eastAsia="zh-CN" w:bidi="ar"/>
              </w:rPr>
              <w:t>，每增加1名符合条件的专业技术人员加</w:t>
            </w:r>
            <w:r>
              <w:rPr>
                <w:rFonts w:hint="eastAsia" w:ascii="宋体" w:hAnsi="宋体" w:cs="宋体"/>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分，本项满分10分。</w:t>
            </w:r>
          </w:p>
          <w:p w14:paraId="1DDAA790">
            <w:pPr>
              <w:spacing w:line="400" w:lineRule="exact"/>
              <w:ind w:firstLine="480" w:firstLineChars="200"/>
              <w:rPr>
                <w:rFonts w:hint="eastAsia" w:ascii="宋体" w:hAnsi="宋体" w:eastAsia="宋体" w:cs="宋体"/>
                <w:b/>
                <w:bCs/>
                <w:color w:val="auto"/>
                <w:kern w:val="2"/>
                <w:sz w:val="24"/>
                <w:szCs w:val="24"/>
                <w:highlight w:val="none"/>
                <w:lang w:val="en-US" w:eastAsia="zh-CN" w:bidi="ar"/>
              </w:rPr>
            </w:pPr>
            <w:r>
              <w:rPr>
                <w:rFonts w:hint="eastAsia"/>
                <w:b w:val="0"/>
                <w:bCs w:val="0"/>
                <w:color w:val="auto"/>
                <w:sz w:val="24"/>
                <w:szCs w:val="24"/>
                <w:highlight w:val="none"/>
                <w:lang w:val="en-US" w:eastAsia="zh-CN" w:bidi="ar"/>
              </w:rPr>
              <w:t>注：提供人员身份证、相关证书复印件，以及</w:t>
            </w:r>
            <w:r>
              <w:rPr>
                <w:rFonts w:hint="eastAsia" w:ascii="宋体" w:hAnsi="宋体" w:eastAsia="宋体" w:cs="宋体"/>
                <w:b w:val="0"/>
                <w:bCs w:val="0"/>
                <w:color w:val="auto"/>
                <w:kern w:val="2"/>
                <w:sz w:val="24"/>
                <w:szCs w:val="24"/>
                <w:highlight w:val="none"/>
                <w:lang w:val="en-US" w:eastAsia="en-US" w:bidi="ar"/>
              </w:rPr>
              <w:t>劳动合同复印件或</w:t>
            </w:r>
            <w:r>
              <w:rPr>
                <w:rFonts w:hint="eastAsia" w:ascii="宋体" w:hAnsi="宋体" w:cs="宋体"/>
                <w:b w:val="0"/>
                <w:bCs w:val="0"/>
                <w:color w:val="auto"/>
                <w:kern w:val="2"/>
                <w:sz w:val="24"/>
                <w:szCs w:val="24"/>
                <w:highlight w:val="none"/>
                <w:lang w:val="en-US" w:eastAsia="zh-CN" w:bidi="ar"/>
              </w:rPr>
              <w:t>供应商为其缴纳的距响应文件递交截止时间</w:t>
            </w:r>
            <w:r>
              <w:rPr>
                <w:rFonts w:hint="eastAsia" w:ascii="宋体" w:hAnsi="宋体" w:eastAsia="宋体" w:cs="宋体"/>
                <w:b w:val="0"/>
                <w:bCs w:val="0"/>
                <w:color w:val="auto"/>
                <w:kern w:val="2"/>
                <w:sz w:val="24"/>
                <w:szCs w:val="24"/>
                <w:highlight w:val="none"/>
                <w:lang w:val="en-US" w:eastAsia="en-US" w:bidi="ar"/>
              </w:rPr>
              <w:t>半年以来任意一个月</w:t>
            </w:r>
            <w:r>
              <w:rPr>
                <w:rFonts w:hint="eastAsia" w:ascii="宋体" w:hAnsi="宋体" w:cs="宋体"/>
                <w:b w:val="0"/>
                <w:bCs w:val="0"/>
                <w:color w:val="auto"/>
                <w:kern w:val="2"/>
                <w:sz w:val="24"/>
                <w:szCs w:val="24"/>
                <w:highlight w:val="none"/>
                <w:lang w:val="en-US" w:eastAsia="zh-CN" w:bidi="ar"/>
              </w:rPr>
              <w:t>的</w:t>
            </w:r>
            <w:r>
              <w:rPr>
                <w:rFonts w:hint="eastAsia" w:ascii="宋体" w:hAnsi="宋体" w:eastAsia="宋体" w:cs="宋体"/>
                <w:b w:val="0"/>
                <w:bCs w:val="0"/>
                <w:color w:val="auto"/>
                <w:kern w:val="2"/>
                <w:sz w:val="24"/>
                <w:szCs w:val="24"/>
                <w:highlight w:val="none"/>
                <w:lang w:val="en-US" w:eastAsia="en-US" w:bidi="ar"/>
              </w:rPr>
              <w:t>社保</w:t>
            </w:r>
            <w:r>
              <w:rPr>
                <w:rFonts w:hint="eastAsia" w:ascii="宋体" w:hAnsi="宋体" w:cs="宋体"/>
                <w:b w:val="0"/>
                <w:bCs w:val="0"/>
                <w:color w:val="auto"/>
                <w:kern w:val="2"/>
                <w:sz w:val="24"/>
                <w:szCs w:val="24"/>
                <w:highlight w:val="none"/>
                <w:lang w:val="en-US" w:eastAsia="zh-CN" w:bidi="ar"/>
              </w:rPr>
              <w:t>缴费</w:t>
            </w:r>
            <w:r>
              <w:rPr>
                <w:rFonts w:hint="eastAsia" w:ascii="宋体" w:hAnsi="宋体" w:eastAsia="宋体" w:cs="宋体"/>
                <w:b w:val="0"/>
                <w:bCs w:val="0"/>
                <w:color w:val="auto"/>
                <w:kern w:val="2"/>
                <w:sz w:val="24"/>
                <w:szCs w:val="24"/>
                <w:highlight w:val="none"/>
                <w:lang w:val="en-US" w:eastAsia="en-US" w:bidi="ar"/>
              </w:rPr>
              <w:t>证明复印件</w:t>
            </w:r>
            <w:r>
              <w:rPr>
                <w:rFonts w:hint="eastAsia" w:ascii="宋体" w:hAnsi="宋体" w:cs="宋体"/>
                <w:b w:val="0"/>
                <w:bCs w:val="0"/>
                <w:color w:val="auto"/>
                <w:kern w:val="2"/>
                <w:sz w:val="24"/>
                <w:szCs w:val="24"/>
                <w:highlight w:val="none"/>
                <w:lang w:val="en-US" w:eastAsia="zh-CN" w:bidi="ar"/>
              </w:rPr>
              <w:t>，所有复印件需</w:t>
            </w:r>
            <w:r>
              <w:rPr>
                <w:rFonts w:hint="eastAsia"/>
                <w:b w:val="0"/>
                <w:bCs w:val="0"/>
                <w:color w:val="auto"/>
                <w:sz w:val="24"/>
                <w:szCs w:val="24"/>
                <w:highlight w:val="none"/>
                <w:lang w:val="en-US" w:eastAsia="zh-CN" w:bidi="ar"/>
              </w:rPr>
              <w:t>加盖供应商公章</w:t>
            </w:r>
            <w:r>
              <w:rPr>
                <w:rFonts w:hint="eastAsia" w:ascii="宋体" w:hAnsi="宋体" w:eastAsia="宋体" w:cs="宋体"/>
                <w:b w:val="0"/>
                <w:bCs w:val="0"/>
                <w:color w:val="auto"/>
                <w:kern w:val="2"/>
                <w:sz w:val="24"/>
                <w:szCs w:val="24"/>
                <w:highlight w:val="none"/>
                <w:lang w:val="en-US" w:eastAsia="en-US" w:bidi="ar"/>
              </w:rPr>
              <w:t>，否则不予计分</w:t>
            </w:r>
            <w:r>
              <w:rPr>
                <w:rFonts w:hint="eastAsia" w:ascii="宋体" w:hAnsi="宋体" w:eastAsia="宋体" w:cs="宋体"/>
                <w:b w:val="0"/>
                <w:bCs w:val="0"/>
                <w:color w:val="auto"/>
                <w:kern w:val="2"/>
                <w:sz w:val="24"/>
                <w:szCs w:val="24"/>
                <w:highlight w:val="none"/>
                <w:lang w:val="en-US" w:eastAsia="zh-CN" w:bidi="ar"/>
              </w:rPr>
              <w:t>。</w:t>
            </w:r>
          </w:p>
        </w:tc>
        <w:tc>
          <w:tcPr>
            <w:tcW w:w="563" w:type="pct"/>
            <w:vAlign w:val="center"/>
          </w:tcPr>
          <w:p w14:paraId="64A16FBE">
            <w:pPr>
              <w:spacing w:line="400" w:lineRule="exact"/>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4497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vAlign w:val="center"/>
          </w:tcPr>
          <w:p w14:paraId="38D9F6B9">
            <w:pPr>
              <w:widowControl/>
              <w:spacing w:line="400" w:lineRule="exact"/>
              <w:jc w:val="center"/>
              <w:rPr>
                <w:rFonts w:hint="eastAsia" w:ascii="宋体" w:hAnsi="宋体" w:cs="宋体"/>
                <w:bCs/>
                <w:color w:val="auto"/>
                <w:kern w:val="0"/>
                <w:sz w:val="24"/>
                <w:szCs w:val="24"/>
                <w:highlight w:val="none"/>
              </w:rPr>
            </w:pPr>
            <w:r>
              <w:rPr>
                <w:rFonts w:hint="eastAsia" w:ascii="宋体" w:hAnsi="宋体" w:cs="宋体"/>
                <w:b/>
                <w:bCs/>
                <w:color w:val="auto"/>
                <w:kern w:val="0"/>
                <w:sz w:val="24"/>
                <w:szCs w:val="24"/>
                <w:highlight w:val="none"/>
              </w:rPr>
              <w:t>3</w:t>
            </w:r>
          </w:p>
        </w:tc>
        <w:tc>
          <w:tcPr>
            <w:tcW w:w="564" w:type="pct"/>
            <w:vAlign w:val="center"/>
          </w:tcPr>
          <w:p w14:paraId="17E001D1">
            <w:pPr>
              <w:widowControl/>
              <w:spacing w:line="400" w:lineRule="exact"/>
              <w:jc w:val="center"/>
              <w:rPr>
                <w:rFonts w:hint="eastAsia" w:ascii="宋体" w:hAnsi="宋体" w:cs="宋体"/>
                <w:color w:val="auto"/>
                <w:sz w:val="24"/>
                <w:szCs w:val="24"/>
                <w:highlight w:val="none"/>
              </w:rPr>
            </w:pPr>
            <w:bookmarkStart w:id="46" w:name="OLE_LINK23"/>
            <w:r>
              <w:rPr>
                <w:rFonts w:hint="eastAsia" w:ascii="宋体" w:hAnsi="宋体" w:cs="宋体"/>
                <w:b/>
                <w:bCs/>
                <w:color w:val="auto"/>
                <w:sz w:val="24"/>
                <w:szCs w:val="24"/>
                <w:highlight w:val="none"/>
                <w:lang w:val="en-US" w:eastAsia="zh-CN"/>
              </w:rPr>
              <w:t>商务</w:t>
            </w:r>
            <w:r>
              <w:rPr>
                <w:rFonts w:hint="eastAsia" w:ascii="宋体" w:hAnsi="宋体" w:cs="宋体"/>
                <w:b/>
                <w:bCs/>
                <w:color w:val="auto"/>
                <w:sz w:val="24"/>
                <w:szCs w:val="24"/>
                <w:highlight w:val="none"/>
              </w:rPr>
              <w:t>分</w:t>
            </w:r>
            <w:bookmarkEnd w:id="46"/>
          </w:p>
        </w:tc>
        <w:tc>
          <w:tcPr>
            <w:tcW w:w="4095" w:type="pct"/>
            <w:gridSpan w:val="2"/>
            <w:vAlign w:val="center"/>
          </w:tcPr>
          <w:p w14:paraId="07BCCB26">
            <w:pPr>
              <w:widowControl/>
              <w:spacing w:line="400" w:lineRule="exact"/>
              <w:jc w:val="center"/>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rPr>
              <w:t>评审因素</w:t>
            </w:r>
          </w:p>
        </w:tc>
      </w:tr>
      <w:tr w14:paraId="0EDE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vAlign w:val="center"/>
          </w:tcPr>
          <w:p w14:paraId="2814CE10">
            <w:pPr>
              <w:spacing w:line="400" w:lineRule="exact"/>
              <w:ind w:right="-105" w:rightChars="-50"/>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3.1</w:t>
            </w:r>
          </w:p>
        </w:tc>
        <w:tc>
          <w:tcPr>
            <w:tcW w:w="564" w:type="pct"/>
            <w:vAlign w:val="center"/>
          </w:tcPr>
          <w:p w14:paraId="7FF4D9B4">
            <w:pPr>
              <w:pStyle w:val="56"/>
              <w:keepNext w:val="0"/>
              <w:keepLines w:val="0"/>
              <w:pageBreakBefore w:val="0"/>
              <w:widowControl w:val="0"/>
              <w:suppressLineNumbers w:val="0"/>
              <w:kinsoku/>
              <w:wordWrap/>
              <w:autoSpaceDE w:val="0"/>
              <w:autoSpaceDN/>
              <w:bidi w:val="0"/>
              <w:spacing w:before="0" w:beforeAutospacing="0" w:after="0" w:afterAutospacing="0" w:line="40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业绩分</w:t>
            </w:r>
          </w:p>
          <w:p w14:paraId="6965F358">
            <w:pPr>
              <w:pStyle w:val="56"/>
              <w:keepNext w:val="0"/>
              <w:keepLines w:val="0"/>
              <w:pageBreakBefore w:val="0"/>
              <w:widowControl w:val="0"/>
              <w:suppressLineNumbers w:val="0"/>
              <w:kinsoku/>
              <w:wordWrap/>
              <w:autoSpaceDE w:val="0"/>
              <w:autoSpaceDN/>
              <w:bidi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
              </w:rPr>
              <w:t>（满分</w:t>
            </w:r>
            <w:r>
              <w:rPr>
                <w:rFonts w:hint="eastAsia" w:hAnsi="宋体" w:eastAsia="宋体" w:cs="宋体"/>
                <w:b/>
                <w:bCs/>
                <w:color w:val="auto"/>
                <w:kern w:val="2"/>
                <w:sz w:val="24"/>
                <w:szCs w:val="24"/>
                <w:highlight w:val="none"/>
                <w:lang w:val="en-US" w:eastAsia="zh-CN" w:bidi="ar"/>
              </w:rPr>
              <w:t>10</w:t>
            </w:r>
            <w:r>
              <w:rPr>
                <w:rFonts w:hint="eastAsia" w:ascii="宋体" w:hAnsi="宋体" w:eastAsia="宋体" w:cs="宋体"/>
                <w:b/>
                <w:bCs/>
                <w:color w:val="auto"/>
                <w:kern w:val="2"/>
                <w:sz w:val="24"/>
                <w:szCs w:val="24"/>
                <w:highlight w:val="none"/>
                <w:lang w:val="en-US" w:eastAsia="zh-CN" w:bidi="ar"/>
              </w:rPr>
              <w:t>分）</w:t>
            </w:r>
          </w:p>
        </w:tc>
        <w:tc>
          <w:tcPr>
            <w:tcW w:w="3532" w:type="pct"/>
            <w:vAlign w:val="center"/>
          </w:tcPr>
          <w:p w14:paraId="3DF075BD">
            <w:pPr>
              <w:keepNext w:val="0"/>
              <w:keepLines w:val="0"/>
              <w:pageBreakBefore w:val="0"/>
              <w:widowControl w:val="0"/>
              <w:suppressLineNumbers w:val="0"/>
              <w:kinsoku/>
              <w:wordWrap/>
              <w:autoSpaceDE w:val="0"/>
              <w:autoSpaceDN/>
              <w:bidi w:val="0"/>
              <w:spacing w:before="0" w:beforeAutospacing="0" w:after="0" w:afterAutospacing="0" w:line="400" w:lineRule="exact"/>
              <w:ind w:left="0" w:leftChars="0" w:right="0" w:firstLine="0" w:firstLineChars="0"/>
              <w:jc w:val="both"/>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供应商</w:t>
            </w:r>
            <w:r>
              <w:rPr>
                <w:rFonts w:hint="eastAsia" w:ascii="宋体" w:hAnsi="宋体" w:cs="宋体"/>
                <w:b w:val="0"/>
                <w:bCs w:val="0"/>
                <w:color w:val="auto"/>
                <w:kern w:val="2"/>
                <w:sz w:val="24"/>
                <w:szCs w:val="24"/>
                <w:highlight w:val="none"/>
                <w:lang w:val="en-US" w:eastAsia="zh-CN" w:bidi="ar"/>
              </w:rPr>
              <w:t>完成过类似船艇维修保养</w:t>
            </w:r>
            <w:r>
              <w:rPr>
                <w:rFonts w:hint="eastAsia" w:ascii="宋体" w:hAnsi="宋体" w:eastAsia="宋体" w:cs="宋体"/>
                <w:b w:val="0"/>
                <w:bCs w:val="0"/>
                <w:color w:val="auto"/>
                <w:kern w:val="2"/>
                <w:sz w:val="24"/>
                <w:szCs w:val="24"/>
                <w:highlight w:val="none"/>
                <w:lang w:val="en-US" w:eastAsia="zh-CN" w:bidi="ar"/>
              </w:rPr>
              <w:t>项目业绩的</w:t>
            </w:r>
            <w:r>
              <w:rPr>
                <w:rFonts w:hint="eastAsia" w:ascii="宋体" w:hAnsi="宋体" w:cs="宋体"/>
                <w:b w:val="0"/>
                <w:bCs w:val="0"/>
                <w:color w:val="auto"/>
                <w:kern w:val="2"/>
                <w:sz w:val="24"/>
                <w:szCs w:val="24"/>
                <w:highlight w:val="none"/>
                <w:lang w:val="en-US" w:eastAsia="zh-CN" w:bidi="ar"/>
              </w:rPr>
              <w:t>，</w:t>
            </w:r>
            <w:r>
              <w:rPr>
                <w:rFonts w:hint="eastAsia" w:ascii="宋体" w:hAnsi="宋体" w:eastAsia="宋体" w:cs="宋体"/>
                <w:b w:val="0"/>
                <w:bCs w:val="0"/>
                <w:color w:val="auto"/>
                <w:kern w:val="2"/>
                <w:sz w:val="24"/>
                <w:szCs w:val="24"/>
                <w:highlight w:val="none"/>
                <w:lang w:val="en-US" w:eastAsia="zh-CN" w:bidi="ar"/>
              </w:rPr>
              <w:t>每</w:t>
            </w:r>
            <w:r>
              <w:rPr>
                <w:rFonts w:hint="eastAsia" w:ascii="宋体" w:hAnsi="宋体" w:cs="宋体"/>
                <w:b w:val="0"/>
                <w:bCs w:val="0"/>
                <w:color w:val="auto"/>
                <w:kern w:val="2"/>
                <w:sz w:val="24"/>
                <w:szCs w:val="24"/>
                <w:highlight w:val="none"/>
                <w:lang w:val="en-US" w:eastAsia="zh-CN" w:bidi="ar"/>
              </w:rPr>
              <w:t>项业绩</w:t>
            </w:r>
            <w:r>
              <w:rPr>
                <w:rFonts w:hint="eastAsia" w:ascii="宋体" w:hAnsi="宋体" w:eastAsia="宋体" w:cs="宋体"/>
                <w:b w:val="0"/>
                <w:bCs w:val="0"/>
                <w:color w:val="auto"/>
                <w:kern w:val="2"/>
                <w:sz w:val="24"/>
                <w:szCs w:val="24"/>
                <w:highlight w:val="none"/>
                <w:lang w:val="en-US" w:eastAsia="zh-CN" w:bidi="ar"/>
              </w:rPr>
              <w:t>得2分，</w:t>
            </w:r>
            <w:r>
              <w:rPr>
                <w:rFonts w:hint="eastAsia" w:ascii="宋体" w:hAnsi="宋体" w:cs="宋体"/>
                <w:b w:val="0"/>
                <w:bCs w:val="0"/>
                <w:color w:val="auto"/>
                <w:kern w:val="2"/>
                <w:sz w:val="24"/>
                <w:szCs w:val="24"/>
                <w:highlight w:val="none"/>
                <w:lang w:val="en-US" w:eastAsia="zh-CN" w:bidi="ar"/>
              </w:rPr>
              <w:t>本项</w:t>
            </w:r>
            <w:r>
              <w:rPr>
                <w:rFonts w:hint="eastAsia" w:ascii="宋体" w:hAnsi="宋体" w:eastAsia="宋体" w:cs="宋体"/>
                <w:b w:val="0"/>
                <w:bCs w:val="0"/>
                <w:color w:val="auto"/>
                <w:kern w:val="2"/>
                <w:sz w:val="24"/>
                <w:szCs w:val="24"/>
                <w:highlight w:val="none"/>
                <w:lang w:val="en-US" w:eastAsia="zh-CN" w:bidi="ar"/>
              </w:rPr>
              <w:t>满分10分。</w:t>
            </w:r>
          </w:p>
          <w:p w14:paraId="6BCE64C1">
            <w:pPr>
              <w:keepNext w:val="0"/>
              <w:keepLines w:val="0"/>
              <w:pageBreakBefore w:val="0"/>
              <w:widowControl w:val="0"/>
              <w:suppressLineNumbers w:val="0"/>
              <w:kinsoku/>
              <w:wordWrap/>
              <w:autoSpaceDE w:val="0"/>
              <w:autoSpaceDN/>
              <w:bidi w:val="0"/>
              <w:spacing w:before="0" w:beforeAutospacing="0" w:after="0" w:afterAutospacing="0" w:line="400" w:lineRule="exact"/>
              <w:ind w:left="0" w:leftChars="0" w:right="0" w:rightChars="0" w:firstLine="0" w:firstLineChars="0"/>
              <w:jc w:val="both"/>
              <w:rPr>
                <w:rFonts w:hint="default" w:ascii="宋体" w:hAnsi="宋体"/>
                <w:color w:val="auto"/>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bidi="ar"/>
              </w:rPr>
              <w:t>注：</w:t>
            </w:r>
            <w:r>
              <w:rPr>
                <w:rFonts w:hint="eastAsia" w:ascii="宋体" w:hAnsi="宋体" w:eastAsia="宋体" w:cs="宋体"/>
                <w:b w:val="0"/>
                <w:bCs w:val="0"/>
                <w:color w:val="auto"/>
                <w:kern w:val="2"/>
                <w:sz w:val="24"/>
                <w:szCs w:val="24"/>
                <w:highlight w:val="none"/>
                <w:lang w:val="en-US" w:eastAsia="zh-CN" w:bidi="ar"/>
              </w:rPr>
              <w:t>须提供有效的合同或中标（成交）通知书复印件，加盖供应商公章。</w:t>
            </w:r>
          </w:p>
        </w:tc>
        <w:tc>
          <w:tcPr>
            <w:tcW w:w="563" w:type="pct"/>
            <w:vAlign w:val="center"/>
          </w:tcPr>
          <w:p w14:paraId="417B3F50">
            <w:pPr>
              <w:spacing w:line="420" w:lineRule="atLeast"/>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165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36" w:type="pct"/>
            <w:gridSpan w:val="3"/>
            <w:vAlign w:val="center"/>
          </w:tcPr>
          <w:p w14:paraId="72D7C2B9">
            <w:pPr>
              <w:spacing w:line="400" w:lineRule="exact"/>
              <w:jc w:val="center"/>
              <w:rPr>
                <w:rFonts w:hint="default" w:ascii="宋体" w:hAnsi="宋体" w:eastAsia="宋体" w:cs="宋体"/>
                <w:bCs/>
                <w:color w:val="auto"/>
                <w:sz w:val="24"/>
                <w:szCs w:val="24"/>
                <w:highlight w:val="none"/>
                <w:lang w:val="en-US" w:eastAsia="zh-CN"/>
              </w:rPr>
            </w:pPr>
            <w:r>
              <w:rPr>
                <w:rFonts w:hint="eastAsia" w:ascii="宋体" w:hAnsi="宋体" w:cs="宋体"/>
                <w:b/>
                <w:bCs/>
                <w:color w:val="auto"/>
                <w:sz w:val="24"/>
                <w:szCs w:val="24"/>
                <w:highlight w:val="none"/>
                <w:lang w:bidi="ar"/>
              </w:rPr>
              <w:t>总得分</w:t>
            </w:r>
            <w:r>
              <w:rPr>
                <w:rFonts w:ascii="宋体" w:hAnsi="宋体" w:cs="宋体"/>
                <w:b/>
                <w:bCs/>
                <w:color w:val="auto"/>
                <w:sz w:val="24"/>
                <w:szCs w:val="24"/>
                <w:highlight w:val="none"/>
                <w:lang w:bidi="ar"/>
              </w:rPr>
              <w:t>=</w:t>
            </w:r>
            <w:r>
              <w:rPr>
                <w:rFonts w:hint="eastAsia" w:ascii="宋体" w:hAnsi="宋体" w:cs="宋体"/>
                <w:b/>
                <w:bCs/>
                <w:color w:val="auto"/>
                <w:sz w:val="24"/>
                <w:szCs w:val="24"/>
                <w:highlight w:val="none"/>
                <w:lang w:val="en-US" w:eastAsia="zh-CN" w:bidi="ar"/>
              </w:rPr>
              <w:t>价格分+技术分+商务分</w:t>
            </w:r>
          </w:p>
        </w:tc>
        <w:tc>
          <w:tcPr>
            <w:tcW w:w="563" w:type="pct"/>
            <w:vAlign w:val="center"/>
          </w:tcPr>
          <w:p w14:paraId="281D198B">
            <w:pPr>
              <w:widowControl/>
              <w:spacing w:line="400" w:lineRule="exac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100分</w:t>
            </w:r>
          </w:p>
        </w:tc>
      </w:tr>
    </w:tbl>
    <w:p w14:paraId="742DE468">
      <w:pPr>
        <w:rPr>
          <w:color w:val="auto"/>
          <w:highlight w:val="none"/>
        </w:rPr>
      </w:pPr>
    </w:p>
    <w:p w14:paraId="54C275C3">
      <w:pPr>
        <w:rPr>
          <w:color w:val="auto"/>
          <w:highlight w:val="none"/>
        </w:rPr>
      </w:pPr>
    </w:p>
    <w:p w14:paraId="00D7F3E9">
      <w:pPr>
        <w:spacing w:line="360" w:lineRule="auto"/>
        <w:ind w:firstLine="480" w:firstLineChars="200"/>
        <w:rPr>
          <w:rFonts w:ascii="宋体" w:hAnsi="宋体"/>
          <w:color w:val="auto"/>
          <w:sz w:val="24"/>
          <w:szCs w:val="24"/>
          <w:highlight w:val="none"/>
        </w:rPr>
      </w:pPr>
      <w:r>
        <w:rPr>
          <w:rFonts w:ascii="宋体" w:hAnsi="宋体"/>
          <w:bCs/>
          <w:color w:val="auto"/>
          <w:sz w:val="24"/>
          <w:szCs w:val="24"/>
          <w:highlight w:val="none"/>
        </w:rPr>
        <w:t>7.</w:t>
      </w:r>
      <w:r>
        <w:rPr>
          <w:rFonts w:hint="eastAsia" w:ascii="宋体" w:hAnsi="宋体"/>
          <w:bCs/>
          <w:color w:val="auto"/>
          <w:sz w:val="24"/>
          <w:szCs w:val="24"/>
          <w:highlight w:val="none"/>
        </w:rPr>
        <w:t>磋商小组根据综合评分情况，按照评审得分由高到低</w:t>
      </w:r>
      <w:r>
        <w:rPr>
          <w:rFonts w:hint="eastAsia" w:ascii="宋体" w:hAnsi="宋体"/>
          <w:bCs/>
          <w:color w:val="auto"/>
          <w:sz w:val="24"/>
          <w:szCs w:val="24"/>
          <w:highlight w:val="none"/>
          <w:lang w:val="en-US" w:eastAsia="zh-CN"/>
        </w:rPr>
        <w:t>的</w:t>
      </w:r>
      <w:r>
        <w:rPr>
          <w:rFonts w:hint="eastAsia" w:ascii="宋体" w:hAnsi="宋体"/>
          <w:bCs/>
          <w:color w:val="auto"/>
          <w:sz w:val="24"/>
          <w:szCs w:val="24"/>
          <w:highlight w:val="none"/>
        </w:rPr>
        <w:t>顺序推荐3名以上成交候选供应商，并编写评审报告</w:t>
      </w:r>
      <w:r>
        <w:rPr>
          <w:rFonts w:hint="eastAsia" w:hAnsi="宋体"/>
          <w:color w:val="auto"/>
          <w:sz w:val="24"/>
          <w:szCs w:val="24"/>
          <w:highlight w:val="none"/>
        </w:rPr>
        <w:t>。</w:t>
      </w:r>
      <w:r>
        <w:rPr>
          <w:rFonts w:hint="eastAsia" w:ascii="宋体" w:hAnsi="宋体"/>
          <w:bCs/>
          <w:color w:val="auto"/>
          <w:sz w:val="24"/>
          <w:szCs w:val="24"/>
          <w:highlight w:val="none"/>
        </w:rPr>
        <w:t>评审得分相同的，按照最后报价由低到高的顺序推荐。评审得分</w:t>
      </w:r>
      <w:r>
        <w:rPr>
          <w:rFonts w:hint="eastAsia" w:ascii="宋体" w:hAnsi="宋体"/>
          <w:bCs/>
          <w:color w:val="auto"/>
          <w:sz w:val="24"/>
          <w:szCs w:val="24"/>
          <w:highlight w:val="none"/>
          <w:lang w:eastAsia="zh-CN"/>
        </w:rPr>
        <w:t>、</w:t>
      </w:r>
      <w:r>
        <w:rPr>
          <w:rFonts w:hint="eastAsia" w:ascii="宋体" w:hAnsi="宋体"/>
          <w:bCs/>
          <w:color w:val="auto"/>
          <w:sz w:val="24"/>
          <w:szCs w:val="24"/>
          <w:highlight w:val="none"/>
        </w:rPr>
        <w:t>最后报价</w:t>
      </w:r>
      <w:r>
        <w:rPr>
          <w:rFonts w:hint="eastAsia" w:ascii="宋体" w:hAnsi="宋体"/>
          <w:bCs/>
          <w:color w:val="auto"/>
          <w:sz w:val="24"/>
          <w:szCs w:val="24"/>
          <w:highlight w:val="none"/>
          <w:lang w:val="en-US" w:eastAsia="zh-CN"/>
        </w:rPr>
        <w:t>均</w:t>
      </w:r>
      <w:r>
        <w:rPr>
          <w:rFonts w:hint="eastAsia" w:ascii="宋体" w:hAnsi="宋体"/>
          <w:bCs/>
          <w:color w:val="auto"/>
          <w:sz w:val="24"/>
          <w:szCs w:val="24"/>
          <w:highlight w:val="none"/>
        </w:rPr>
        <w:t>相同的，按照技术得分由高到低排序，技术得分相同的按照</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分由高到低排序。评审得分、最后报价、技术得分、</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分均相同的，由</w:t>
      </w:r>
      <w:r>
        <w:rPr>
          <w:rFonts w:hint="eastAsia" w:ascii="宋体" w:hAnsi="宋体"/>
          <w:bCs/>
          <w:color w:val="auto"/>
          <w:sz w:val="24"/>
          <w:szCs w:val="24"/>
          <w:highlight w:val="none"/>
          <w:lang w:val="en-US" w:eastAsia="zh-CN"/>
        </w:rPr>
        <w:t>磋商小组集体讨论推选</w:t>
      </w:r>
      <w:r>
        <w:rPr>
          <w:rFonts w:hint="eastAsia" w:ascii="宋体" w:hAnsi="宋体"/>
          <w:bCs/>
          <w:color w:val="auto"/>
          <w:sz w:val="24"/>
          <w:szCs w:val="24"/>
          <w:highlight w:val="none"/>
        </w:rPr>
        <w:t>。</w:t>
      </w:r>
    </w:p>
    <w:p w14:paraId="26EE65C7">
      <w:pPr>
        <w:adjustRightInd/>
        <w:spacing w:line="360" w:lineRule="auto"/>
        <w:ind w:firstLine="482" w:firstLineChars="200"/>
        <w:rPr>
          <w:rFonts w:hint="eastAsia" w:cs="Arial" w:asciiTheme="minorEastAsia" w:hAnsiTheme="minorEastAsia" w:eastAsiaTheme="minorEastAsia"/>
          <w:b/>
          <w:color w:val="auto"/>
          <w:kern w:val="0"/>
          <w:sz w:val="24"/>
          <w:highlight w:val="none"/>
        </w:rPr>
      </w:pPr>
    </w:p>
    <w:p w14:paraId="14C807BE">
      <w:pPr>
        <w:rPr>
          <w:rFonts w:hint="eastAsia" w:cs="仿宋_GB2312" w:asciiTheme="minorEastAsia" w:hAnsiTheme="minorEastAsia" w:eastAsiaTheme="minorEastAsia"/>
          <w:b/>
          <w:color w:val="auto"/>
          <w:sz w:val="36"/>
          <w:szCs w:val="36"/>
          <w:highlight w:val="none"/>
        </w:rPr>
      </w:pPr>
      <w:bookmarkStart w:id="47" w:name="_Toc12398"/>
      <w:r>
        <w:rPr>
          <w:rFonts w:hint="eastAsia" w:cs="仿宋_GB2312" w:asciiTheme="minorEastAsia" w:hAnsiTheme="minorEastAsia" w:eastAsiaTheme="minorEastAsia"/>
          <w:b/>
          <w:color w:val="auto"/>
          <w:sz w:val="36"/>
          <w:szCs w:val="36"/>
          <w:highlight w:val="none"/>
        </w:rPr>
        <w:br w:type="page"/>
      </w:r>
    </w:p>
    <w:p w14:paraId="2445FA6A">
      <w:pPr>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第六部分</w:t>
      </w:r>
      <w:bookmarkEnd w:id="45"/>
      <w:r>
        <w:rPr>
          <w:rFonts w:hint="eastAsia" w:cs="仿宋_GB2312" w:asciiTheme="minorEastAsia" w:hAnsiTheme="minorEastAsia" w:eastAsiaTheme="minorEastAsia"/>
          <w:b/>
          <w:color w:val="auto"/>
          <w:sz w:val="36"/>
          <w:szCs w:val="36"/>
          <w:highlight w:val="none"/>
        </w:rPr>
        <w:t xml:space="preserve">  拟签订的合同文本</w:t>
      </w:r>
      <w:bookmarkEnd w:id="47"/>
    </w:p>
    <w:p w14:paraId="0265D82A">
      <w:pPr>
        <w:pStyle w:val="32"/>
        <w:spacing w:line="360" w:lineRule="auto"/>
        <w:jc w:val="center"/>
        <w:rPr>
          <w:rFonts w:hint="eastAsia" w:ascii="宋体" w:hAnsi="宋体" w:eastAsia="宋体" w:cs="宋体"/>
          <w:b/>
          <w:color w:val="auto"/>
          <w:sz w:val="52"/>
          <w:szCs w:val="52"/>
          <w:highlight w:val="none"/>
        </w:rPr>
      </w:pPr>
      <w:bookmarkStart w:id="48" w:name="第五部分"/>
      <w:bookmarkStart w:id="49" w:name="_Toc86217003"/>
    </w:p>
    <w:p w14:paraId="20832604">
      <w:pPr>
        <w:pStyle w:val="32"/>
        <w:spacing w:line="360" w:lineRule="auto"/>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rPr>
        <w:t>北海市政府采购合同</w:t>
      </w:r>
    </w:p>
    <w:p w14:paraId="191EB84F">
      <w:pPr>
        <w:pStyle w:val="32"/>
        <w:spacing w:line="360" w:lineRule="auto"/>
        <w:rPr>
          <w:rFonts w:hint="eastAsia" w:ascii="宋体" w:hAnsi="宋体" w:eastAsia="宋体" w:cs="宋体"/>
          <w:color w:val="auto"/>
          <w:highlight w:val="none"/>
        </w:rPr>
      </w:pPr>
    </w:p>
    <w:p w14:paraId="7242A937">
      <w:pPr>
        <w:pStyle w:val="32"/>
        <w:spacing w:line="360" w:lineRule="auto"/>
        <w:rPr>
          <w:rFonts w:hint="eastAsia" w:ascii="宋体" w:hAnsi="宋体" w:eastAsia="宋体" w:cs="宋体"/>
          <w:color w:val="auto"/>
          <w:highlight w:val="none"/>
        </w:rPr>
      </w:pPr>
    </w:p>
    <w:p w14:paraId="01A6C4BC">
      <w:pPr>
        <w:pStyle w:val="32"/>
        <w:spacing w:line="360" w:lineRule="auto"/>
        <w:rPr>
          <w:rFonts w:hint="eastAsia" w:ascii="宋体" w:hAnsi="宋体" w:eastAsia="宋体" w:cs="宋体"/>
          <w:color w:val="auto"/>
          <w:highlight w:val="none"/>
        </w:rPr>
      </w:pPr>
    </w:p>
    <w:p w14:paraId="6FFFC6AE">
      <w:pPr>
        <w:pStyle w:val="32"/>
        <w:spacing w:line="360" w:lineRule="auto"/>
        <w:rPr>
          <w:rFonts w:hint="eastAsia" w:ascii="宋体" w:hAnsi="宋体" w:eastAsia="宋体" w:cs="宋体"/>
          <w:color w:val="auto"/>
          <w:highlight w:val="none"/>
        </w:rPr>
      </w:pPr>
    </w:p>
    <w:p w14:paraId="49ADA5FE">
      <w:pPr>
        <w:pStyle w:val="32"/>
        <w:spacing w:line="360" w:lineRule="auto"/>
        <w:ind w:firstLine="1590" w:firstLineChars="495"/>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合同</w:t>
      </w:r>
      <w:r>
        <w:rPr>
          <w:rFonts w:hint="eastAsia" w:hAnsi="宋体" w:cs="宋体"/>
          <w:b/>
          <w:color w:val="auto"/>
          <w:sz w:val="32"/>
          <w:szCs w:val="32"/>
          <w:highlight w:val="none"/>
          <w:lang w:val="en-US" w:eastAsia="zh-CN"/>
        </w:rPr>
        <w:t>编号</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u w:val="single"/>
        </w:rPr>
        <w:t xml:space="preserve">                    </w:t>
      </w:r>
    </w:p>
    <w:p w14:paraId="182A2BC7">
      <w:pPr>
        <w:pStyle w:val="32"/>
        <w:spacing w:line="360" w:lineRule="auto"/>
        <w:ind w:firstLine="1590" w:firstLineChars="495"/>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合同</w:t>
      </w:r>
      <w:r>
        <w:rPr>
          <w:rFonts w:hint="eastAsia" w:hAnsi="宋体" w:cs="宋体"/>
          <w:b/>
          <w:color w:val="auto"/>
          <w:sz w:val="32"/>
          <w:szCs w:val="32"/>
          <w:highlight w:val="none"/>
          <w:lang w:val="en-US" w:eastAsia="zh-CN"/>
        </w:rPr>
        <w:t>名称</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u w:val="single"/>
        </w:rPr>
        <w:t xml:space="preserve">                    </w:t>
      </w:r>
    </w:p>
    <w:p w14:paraId="0E8929BD">
      <w:pPr>
        <w:pStyle w:val="32"/>
        <w:spacing w:line="360" w:lineRule="auto"/>
        <w:jc w:val="center"/>
        <w:rPr>
          <w:rFonts w:hint="eastAsia" w:ascii="宋体" w:hAnsi="宋体" w:eastAsia="宋体" w:cs="宋体"/>
          <w:color w:val="auto"/>
          <w:highlight w:val="none"/>
        </w:rPr>
      </w:pPr>
    </w:p>
    <w:p w14:paraId="1BB9C6A2">
      <w:pPr>
        <w:pStyle w:val="32"/>
        <w:spacing w:line="360" w:lineRule="auto"/>
        <w:jc w:val="center"/>
        <w:rPr>
          <w:rFonts w:hint="eastAsia" w:ascii="宋体" w:hAnsi="宋体" w:eastAsia="宋体" w:cs="宋体"/>
          <w:color w:val="auto"/>
          <w:highlight w:val="none"/>
        </w:rPr>
      </w:pPr>
    </w:p>
    <w:p w14:paraId="30DB29F5">
      <w:pPr>
        <w:pStyle w:val="32"/>
        <w:spacing w:line="360" w:lineRule="auto"/>
        <w:jc w:val="center"/>
        <w:rPr>
          <w:rFonts w:hint="eastAsia" w:ascii="宋体" w:hAnsi="宋体" w:eastAsia="宋体" w:cs="宋体"/>
          <w:color w:val="auto"/>
          <w:highlight w:val="none"/>
        </w:rPr>
      </w:pPr>
    </w:p>
    <w:p w14:paraId="6DAC4A9A">
      <w:pPr>
        <w:pStyle w:val="32"/>
        <w:spacing w:line="360" w:lineRule="auto"/>
        <w:ind w:firstLine="1590" w:firstLineChars="495"/>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采购人（甲方）</w:t>
      </w:r>
      <w:r>
        <w:rPr>
          <w:rFonts w:hint="eastAsia" w:hAnsi="宋体" w:cs="宋体"/>
          <w:b/>
          <w:color w:val="auto"/>
          <w:sz w:val="32"/>
          <w:szCs w:val="32"/>
          <w:highlight w:val="none"/>
          <w:lang w:eastAsia="zh-CN"/>
        </w:rPr>
        <w:t>：</w:t>
      </w:r>
      <w:r>
        <w:rPr>
          <w:rFonts w:hint="eastAsia" w:ascii="宋体" w:hAnsi="宋体" w:eastAsia="宋体" w:cs="宋体"/>
          <w:b/>
          <w:color w:val="auto"/>
          <w:sz w:val="32"/>
          <w:szCs w:val="32"/>
          <w:highlight w:val="none"/>
          <w:u w:val="single"/>
        </w:rPr>
        <w:t xml:space="preserve">                    </w:t>
      </w:r>
    </w:p>
    <w:p w14:paraId="150C007D">
      <w:pPr>
        <w:pStyle w:val="32"/>
        <w:spacing w:line="360" w:lineRule="auto"/>
        <w:ind w:firstLine="1590" w:firstLineChars="495"/>
        <w:rPr>
          <w:rFonts w:hint="eastAsia" w:ascii="宋体" w:hAnsi="宋体" w:eastAsia="宋体" w:cs="宋体"/>
          <w:b/>
          <w:color w:val="auto"/>
          <w:sz w:val="32"/>
          <w:szCs w:val="32"/>
          <w:highlight w:val="none"/>
        </w:rPr>
      </w:pPr>
    </w:p>
    <w:p w14:paraId="33639976">
      <w:pPr>
        <w:pStyle w:val="32"/>
        <w:spacing w:line="360" w:lineRule="auto"/>
        <w:ind w:firstLine="1590" w:firstLineChars="495"/>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供应商（乙方）</w:t>
      </w:r>
      <w:r>
        <w:rPr>
          <w:rFonts w:hint="eastAsia" w:hAnsi="宋体" w:cs="宋体"/>
          <w:b/>
          <w:color w:val="auto"/>
          <w:sz w:val="32"/>
          <w:szCs w:val="32"/>
          <w:highlight w:val="none"/>
          <w:lang w:eastAsia="zh-CN"/>
        </w:rPr>
        <w:t>：</w:t>
      </w:r>
      <w:r>
        <w:rPr>
          <w:rFonts w:hint="eastAsia" w:ascii="宋体" w:hAnsi="宋体" w:eastAsia="宋体" w:cs="宋体"/>
          <w:b/>
          <w:color w:val="auto"/>
          <w:sz w:val="32"/>
          <w:szCs w:val="32"/>
          <w:highlight w:val="none"/>
          <w:u w:val="single"/>
        </w:rPr>
        <w:t xml:space="preserve">                    </w:t>
      </w:r>
    </w:p>
    <w:p w14:paraId="6E81AB8E">
      <w:pPr>
        <w:pStyle w:val="32"/>
        <w:spacing w:line="360" w:lineRule="auto"/>
        <w:jc w:val="center"/>
        <w:rPr>
          <w:rFonts w:hint="eastAsia" w:ascii="宋体" w:hAnsi="宋体" w:eastAsia="宋体" w:cs="宋体"/>
          <w:color w:val="auto"/>
          <w:highlight w:val="none"/>
        </w:rPr>
      </w:pPr>
    </w:p>
    <w:p w14:paraId="13CFED27">
      <w:pPr>
        <w:pStyle w:val="32"/>
        <w:spacing w:line="360" w:lineRule="auto"/>
        <w:jc w:val="center"/>
        <w:rPr>
          <w:rFonts w:hint="eastAsia" w:ascii="宋体" w:hAnsi="宋体" w:eastAsia="宋体" w:cs="宋体"/>
          <w:color w:val="auto"/>
          <w:highlight w:val="none"/>
        </w:rPr>
      </w:pPr>
    </w:p>
    <w:p w14:paraId="0DF24AB9">
      <w:pPr>
        <w:pStyle w:val="32"/>
        <w:spacing w:line="360" w:lineRule="auto"/>
        <w:jc w:val="center"/>
        <w:rPr>
          <w:rFonts w:hint="eastAsia" w:ascii="宋体" w:hAnsi="宋体" w:eastAsia="宋体" w:cs="宋体"/>
          <w:color w:val="auto"/>
          <w:highlight w:val="none"/>
        </w:rPr>
      </w:pPr>
    </w:p>
    <w:p w14:paraId="6669EFBF">
      <w:pPr>
        <w:pStyle w:val="32"/>
        <w:spacing w:line="360" w:lineRule="auto"/>
        <w:jc w:val="center"/>
        <w:rPr>
          <w:rFonts w:hint="eastAsia" w:ascii="宋体" w:hAnsi="宋体" w:eastAsia="宋体" w:cs="宋体"/>
          <w:color w:val="auto"/>
          <w:highlight w:val="none"/>
        </w:rPr>
      </w:pPr>
    </w:p>
    <w:p w14:paraId="08BE764B">
      <w:pPr>
        <w:pStyle w:val="32"/>
        <w:spacing w:line="360" w:lineRule="auto"/>
        <w:ind w:firstLine="1590" w:firstLineChars="495"/>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签订合同地点：</w:t>
      </w:r>
      <w:r>
        <w:rPr>
          <w:rFonts w:hint="eastAsia" w:ascii="宋体" w:hAnsi="宋体" w:eastAsia="宋体" w:cs="宋体"/>
          <w:b/>
          <w:color w:val="auto"/>
          <w:sz w:val="32"/>
          <w:szCs w:val="32"/>
          <w:highlight w:val="none"/>
          <w:u w:val="single"/>
        </w:rPr>
        <w:t xml:space="preserve">                    </w:t>
      </w:r>
    </w:p>
    <w:p w14:paraId="5F335D4E">
      <w:pPr>
        <w:pStyle w:val="32"/>
        <w:spacing w:line="360" w:lineRule="auto"/>
        <w:ind w:firstLine="1590" w:firstLineChars="495"/>
        <w:rPr>
          <w:rFonts w:hint="eastAsia" w:ascii="宋体" w:hAnsi="宋体" w:eastAsia="宋体" w:cs="宋体"/>
          <w:color w:val="auto"/>
          <w:highlight w:val="none"/>
        </w:rPr>
      </w:pPr>
      <w:r>
        <w:rPr>
          <w:rFonts w:hint="eastAsia" w:ascii="宋体" w:hAnsi="宋体" w:eastAsia="宋体" w:cs="宋体"/>
          <w:b/>
          <w:color w:val="auto"/>
          <w:sz w:val="32"/>
          <w:szCs w:val="32"/>
          <w:highlight w:val="none"/>
        </w:rPr>
        <w:t>签订合同时间：</w:t>
      </w:r>
      <w:r>
        <w:rPr>
          <w:rFonts w:hint="eastAsia" w:ascii="宋体" w:hAnsi="宋体" w:eastAsia="宋体" w:cs="宋体"/>
          <w:b/>
          <w:color w:val="auto"/>
          <w:sz w:val="32"/>
          <w:szCs w:val="32"/>
          <w:highlight w:val="none"/>
          <w:u w:val="single"/>
        </w:rPr>
        <w:t xml:space="preserve">                    </w:t>
      </w:r>
    </w:p>
    <w:p w14:paraId="73EAAEBA">
      <w:pPr>
        <w:pStyle w:val="32"/>
        <w:spacing w:line="360" w:lineRule="auto"/>
        <w:jc w:val="center"/>
        <w:rPr>
          <w:rFonts w:hint="eastAsia" w:ascii="宋体" w:hAnsi="宋体" w:eastAsia="宋体" w:cs="宋体"/>
          <w:b/>
          <w:color w:val="auto"/>
          <w:highlight w:val="none"/>
        </w:rPr>
      </w:pPr>
    </w:p>
    <w:p w14:paraId="3C05FC14">
      <w:pPr>
        <w:snapToGrid w:val="0"/>
        <w:spacing w:line="360" w:lineRule="auto"/>
        <w:jc w:val="both"/>
        <w:rPr>
          <w:rFonts w:hint="eastAsia" w:ascii="宋体" w:hAnsi="宋体" w:eastAsia="宋体" w:cs="宋体"/>
          <w:b/>
          <w:color w:val="auto"/>
          <w:kern w:val="0"/>
          <w:sz w:val="32"/>
          <w:szCs w:val="32"/>
          <w:highlight w:val="none"/>
        </w:rPr>
      </w:pPr>
    </w:p>
    <w:p w14:paraId="715522F6">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3994DBD9">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color w:val="auto"/>
          <w:kern w:val="0"/>
          <w:sz w:val="32"/>
          <w:szCs w:val="32"/>
          <w:highlight w:val="none"/>
        </w:rPr>
        <w:t>北海市政府采购合同文本</w:t>
      </w:r>
    </w:p>
    <w:p w14:paraId="4DF6AEDA">
      <w:pPr>
        <w:pStyle w:val="32"/>
        <w:spacing w:line="240" w:lineRule="auto"/>
        <w:rPr>
          <w:rFonts w:hint="eastAsia" w:ascii="宋体" w:hAnsi="宋体" w:eastAsia="宋体" w:cs="宋体"/>
          <w:color w:val="auto"/>
          <w:highlight w:val="none"/>
        </w:rPr>
      </w:pPr>
    </w:p>
    <w:p w14:paraId="130D94A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采购计划号：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合同编号：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w:t>
      </w:r>
    </w:p>
    <w:p w14:paraId="64D37FD3">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采购人（甲方）：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none"/>
          <w:lang w:val="en-US" w:eastAsia="zh-CN"/>
        </w:rPr>
        <w:t xml:space="preserve"> </w:t>
      </w:r>
    </w:p>
    <w:p w14:paraId="36CB392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供应商（乙方）：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 xml:space="preserve">   </w:t>
      </w:r>
    </w:p>
    <w:p w14:paraId="61340E00">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cs="宋体"/>
          <w:color w:val="auto"/>
          <w:sz w:val="24"/>
          <w:szCs w:val="24"/>
          <w:highlight w:val="none"/>
          <w:u w:val="none"/>
          <w:lang w:eastAsia="zh-CN"/>
        </w:rPr>
        <w:t>项目编号：</w:t>
      </w:r>
      <w:r>
        <w:rPr>
          <w:rFonts w:hint="eastAsia" w:ascii="宋体" w:hAnsi="宋体" w:cs="宋体"/>
          <w:color w:val="auto"/>
          <w:sz w:val="24"/>
          <w:szCs w:val="24"/>
          <w:highlight w:val="none"/>
          <w:u w:val="single"/>
          <w:lang w:eastAsia="zh-CN"/>
        </w:rPr>
        <w:t>BHZC2026-C3-990250-BBWH</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rPr>
        <w:t xml:space="preserve">  </w:t>
      </w:r>
    </w:p>
    <w:p w14:paraId="30BDC09A">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签订地点：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签订时间：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 xml:space="preserve">                  </w:t>
      </w:r>
    </w:p>
    <w:p w14:paraId="2C276A55">
      <w:pPr>
        <w:adjustRightInd w:val="0"/>
        <w:snapToGrid w:val="0"/>
        <w:spacing w:line="360" w:lineRule="auto"/>
        <w:ind w:firstLine="480" w:firstLineChars="200"/>
        <w:rPr>
          <w:rFonts w:hint="eastAsia" w:ascii="宋体" w:hAnsi="宋体" w:eastAsia="宋体" w:cs="宋体"/>
          <w:color w:val="auto"/>
          <w:sz w:val="24"/>
          <w:szCs w:val="24"/>
          <w:highlight w:val="none"/>
        </w:rPr>
      </w:pPr>
    </w:p>
    <w:p w14:paraId="773EA8E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根据《中华人民共和国政府采购法》、《</w:t>
      </w:r>
      <w:r>
        <w:rPr>
          <w:rFonts w:hint="eastAsia" w:ascii="宋体" w:hAnsi="宋体" w:cs="宋体"/>
          <w:color w:val="auto"/>
          <w:sz w:val="24"/>
          <w:szCs w:val="24"/>
          <w:highlight w:val="none"/>
          <w:lang w:eastAsia="zh-CN"/>
        </w:rPr>
        <w:t>中华人民共和国民法典</w:t>
      </w:r>
      <w:r>
        <w:rPr>
          <w:rFonts w:hint="eastAsia" w:ascii="宋体" w:hAnsi="宋体" w:eastAsia="宋体" w:cs="宋体"/>
          <w:color w:val="auto"/>
          <w:sz w:val="24"/>
          <w:szCs w:val="24"/>
          <w:highlight w:val="none"/>
        </w:rPr>
        <w:t>》等法律、法规规定，按照竞争性</w:t>
      </w:r>
      <w:r>
        <w:rPr>
          <w:rFonts w:hint="eastAsia" w:ascii="宋体" w:hAnsi="宋体" w:eastAsia="宋体" w:cs="宋体"/>
          <w:color w:val="auto"/>
          <w:sz w:val="24"/>
          <w:szCs w:val="24"/>
          <w:highlight w:val="none"/>
          <w:lang w:eastAsia="zh-CN"/>
        </w:rPr>
        <w:t>磋商采购</w:t>
      </w:r>
      <w:r>
        <w:rPr>
          <w:rFonts w:hint="eastAsia" w:ascii="宋体" w:hAnsi="宋体" w:eastAsia="宋体" w:cs="宋体"/>
          <w:color w:val="auto"/>
          <w:sz w:val="24"/>
          <w:szCs w:val="24"/>
          <w:highlight w:val="none"/>
        </w:rPr>
        <w:t>文件（以下简称“磋商文件”）规定条款和成交供应商</w:t>
      </w:r>
      <w:r>
        <w:rPr>
          <w:rFonts w:hint="eastAsia" w:ascii="宋体" w:hAnsi="宋体" w:eastAsia="宋体" w:cs="宋体"/>
          <w:color w:val="auto"/>
          <w:sz w:val="24"/>
          <w:szCs w:val="24"/>
          <w:highlight w:val="none"/>
          <w:lang w:val="en-US" w:eastAsia="zh-CN"/>
        </w:rPr>
        <w:t>提交的</w:t>
      </w:r>
      <w:r>
        <w:rPr>
          <w:rFonts w:hint="eastAsia" w:ascii="宋体" w:hAnsi="宋体" w:eastAsia="宋体" w:cs="宋体"/>
          <w:color w:val="auto"/>
          <w:sz w:val="24"/>
          <w:szCs w:val="24"/>
          <w:highlight w:val="none"/>
        </w:rPr>
        <w:t>竞争性磋商响应文件（以下简称“响应文件”）及其承诺，甲乙双方签订本合同。</w:t>
      </w:r>
    </w:p>
    <w:p w14:paraId="3D2B353B">
      <w:p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第一条　合同标的</w:t>
      </w:r>
    </w:p>
    <w:p w14:paraId="6EB9652D">
      <w:pPr>
        <w:adjustRightInd w:val="0"/>
        <w:snapToGrid w:val="0"/>
        <w:spacing w:afterAutospacing="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1.服务一览表</w:t>
      </w:r>
    </w:p>
    <w:tbl>
      <w:tblPr>
        <w:tblStyle w:val="61"/>
        <w:tblW w:w="8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3499"/>
        <w:gridCol w:w="2983"/>
        <w:gridCol w:w="1106"/>
      </w:tblGrid>
      <w:tr w14:paraId="2955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03" w:type="dxa"/>
            <w:noWrap w:val="0"/>
            <w:vAlign w:val="center"/>
          </w:tcPr>
          <w:p w14:paraId="2C168DB4">
            <w:pPr>
              <w:widowControl/>
              <w:kinsoku/>
              <w:wordWrap/>
              <w:topLinePunct w:val="0"/>
              <w:bidi w:val="0"/>
              <w:spacing w:beforeAutospacing="0" w:line="40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kern w:val="0"/>
                <w:sz w:val="24"/>
                <w:szCs w:val="24"/>
                <w:highlight w:val="none"/>
                <w:lang w:eastAsia="zh-CN"/>
              </w:rPr>
              <w:t>序号</w:t>
            </w:r>
          </w:p>
        </w:tc>
        <w:tc>
          <w:tcPr>
            <w:tcW w:w="3499" w:type="dxa"/>
            <w:noWrap w:val="0"/>
            <w:vAlign w:val="center"/>
          </w:tcPr>
          <w:p w14:paraId="24EB4414">
            <w:pPr>
              <w:widowControl/>
              <w:kinsoku/>
              <w:wordWrap/>
              <w:topLinePunct w:val="0"/>
              <w:bidi w:val="0"/>
              <w:spacing w:line="4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rPr>
              <w:t>服务</w:t>
            </w:r>
            <w:r>
              <w:rPr>
                <w:rFonts w:hint="eastAsia" w:ascii="宋体" w:hAnsi="宋体" w:eastAsia="宋体" w:cs="宋体"/>
                <w:b/>
                <w:bCs/>
                <w:color w:val="auto"/>
                <w:kern w:val="0"/>
                <w:sz w:val="24"/>
                <w:szCs w:val="24"/>
                <w:highlight w:val="none"/>
                <w:lang w:val="en-US" w:eastAsia="zh-CN"/>
              </w:rPr>
              <w:t>内容</w:t>
            </w:r>
          </w:p>
        </w:tc>
        <w:tc>
          <w:tcPr>
            <w:tcW w:w="2983" w:type="dxa"/>
            <w:noWrap w:val="0"/>
            <w:vAlign w:val="center"/>
          </w:tcPr>
          <w:p w14:paraId="3D47846A">
            <w:pPr>
              <w:widowControl/>
              <w:kinsoku/>
              <w:wordWrap/>
              <w:topLinePunct w:val="0"/>
              <w:bidi w:val="0"/>
              <w:spacing w:line="400" w:lineRule="exact"/>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折扣率</w:t>
            </w:r>
          </w:p>
        </w:tc>
        <w:tc>
          <w:tcPr>
            <w:tcW w:w="1106" w:type="dxa"/>
            <w:noWrap w:val="0"/>
            <w:vAlign w:val="center"/>
          </w:tcPr>
          <w:p w14:paraId="54524511">
            <w:pPr>
              <w:widowControl/>
              <w:kinsoku/>
              <w:wordWrap/>
              <w:topLinePunct w:val="0"/>
              <w:bidi w:val="0"/>
              <w:spacing w:line="400" w:lineRule="exact"/>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备注</w:t>
            </w:r>
          </w:p>
        </w:tc>
      </w:tr>
      <w:tr w14:paraId="7B27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03" w:type="dxa"/>
            <w:noWrap w:val="0"/>
            <w:vAlign w:val="center"/>
          </w:tcPr>
          <w:p w14:paraId="65CFDA3E">
            <w:pPr>
              <w:widowControl/>
              <w:kinsoku/>
              <w:wordWrap/>
              <w:topLinePunct w:val="0"/>
              <w:bidi w:val="0"/>
              <w:spacing w:beforeAutospacing="0" w:line="400" w:lineRule="exact"/>
              <w:jc w:val="center"/>
              <w:textAlignment w:val="auto"/>
              <w:rPr>
                <w:rFonts w:hint="eastAsia" w:ascii="宋体" w:hAnsi="宋体" w:eastAsia="宋体" w:cs="宋体"/>
                <w:b/>
                <w:bCs/>
                <w:color w:val="auto"/>
                <w:kern w:val="0"/>
                <w:sz w:val="24"/>
                <w:szCs w:val="24"/>
                <w:highlight w:val="none"/>
                <w:lang w:eastAsia="zh-CN"/>
              </w:rPr>
            </w:pPr>
          </w:p>
        </w:tc>
        <w:tc>
          <w:tcPr>
            <w:tcW w:w="3499" w:type="dxa"/>
            <w:noWrap w:val="0"/>
            <w:vAlign w:val="center"/>
          </w:tcPr>
          <w:p w14:paraId="078F4326">
            <w:pPr>
              <w:widowControl/>
              <w:kinsoku/>
              <w:wordWrap/>
              <w:topLinePunct w:val="0"/>
              <w:bidi w:val="0"/>
              <w:spacing w:line="400" w:lineRule="exact"/>
              <w:jc w:val="center"/>
              <w:textAlignment w:val="auto"/>
              <w:rPr>
                <w:rFonts w:hint="eastAsia" w:ascii="宋体" w:hAnsi="宋体" w:eastAsia="宋体" w:cs="宋体"/>
                <w:b/>
                <w:bCs/>
                <w:color w:val="auto"/>
                <w:kern w:val="0"/>
                <w:sz w:val="24"/>
                <w:szCs w:val="24"/>
                <w:highlight w:val="none"/>
              </w:rPr>
            </w:pPr>
          </w:p>
        </w:tc>
        <w:tc>
          <w:tcPr>
            <w:tcW w:w="2983" w:type="dxa"/>
            <w:noWrap w:val="0"/>
            <w:vAlign w:val="center"/>
          </w:tcPr>
          <w:p w14:paraId="19B5859B">
            <w:pPr>
              <w:widowControl/>
              <w:kinsoku/>
              <w:wordWrap/>
              <w:topLinePunct w:val="0"/>
              <w:bidi w:val="0"/>
              <w:spacing w:line="400" w:lineRule="exact"/>
              <w:jc w:val="center"/>
              <w:textAlignment w:val="auto"/>
              <w:rPr>
                <w:rFonts w:hint="eastAsia" w:ascii="宋体" w:hAnsi="宋体" w:cs="宋体"/>
                <w:b/>
                <w:bCs/>
                <w:color w:val="auto"/>
                <w:kern w:val="0"/>
                <w:sz w:val="24"/>
                <w:szCs w:val="24"/>
                <w:highlight w:val="none"/>
                <w:lang w:val="en-US" w:eastAsia="zh-CN"/>
              </w:rPr>
            </w:pPr>
          </w:p>
        </w:tc>
        <w:tc>
          <w:tcPr>
            <w:tcW w:w="1106" w:type="dxa"/>
            <w:noWrap w:val="0"/>
            <w:vAlign w:val="center"/>
          </w:tcPr>
          <w:p w14:paraId="0D6D3729">
            <w:pPr>
              <w:widowControl/>
              <w:kinsoku/>
              <w:wordWrap/>
              <w:topLinePunct w:val="0"/>
              <w:bidi w:val="0"/>
              <w:spacing w:line="400" w:lineRule="exact"/>
              <w:jc w:val="center"/>
              <w:textAlignment w:val="auto"/>
              <w:rPr>
                <w:rFonts w:hint="eastAsia" w:ascii="宋体" w:hAnsi="宋体" w:eastAsia="宋体" w:cs="宋体"/>
                <w:b/>
                <w:bCs/>
                <w:color w:val="auto"/>
                <w:kern w:val="0"/>
                <w:sz w:val="24"/>
                <w:szCs w:val="24"/>
                <w:highlight w:val="none"/>
                <w:lang w:val="en-US" w:eastAsia="zh-CN"/>
              </w:rPr>
            </w:pPr>
          </w:p>
        </w:tc>
      </w:tr>
      <w:tr w14:paraId="4DEA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391" w:type="dxa"/>
            <w:gridSpan w:val="4"/>
            <w:noWrap w:val="0"/>
            <w:vAlign w:val="center"/>
          </w:tcPr>
          <w:p w14:paraId="4A491771">
            <w:pPr>
              <w:kinsoku/>
              <w:wordWrap/>
              <w:topLinePunct w:val="0"/>
              <w:bidi w:val="0"/>
              <w:spacing w:line="400" w:lineRule="exac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合同暂定价</w:t>
            </w:r>
            <w:r>
              <w:rPr>
                <w:rFonts w:hint="eastAsia" w:ascii="宋体" w:hAnsi="宋体" w:eastAsia="宋体" w:cs="宋体"/>
                <w:color w:val="auto"/>
                <w:kern w:val="0"/>
                <w:sz w:val="24"/>
                <w:szCs w:val="24"/>
                <w:highlight w:val="none"/>
                <w:lang w:val="en-US" w:eastAsia="zh-CN"/>
              </w:rPr>
              <w:t xml:space="preserve">：（大写）                       （小写）          </w:t>
            </w:r>
          </w:p>
        </w:tc>
      </w:tr>
    </w:tbl>
    <w:p w14:paraId="5527B839">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合同合计金额</w:t>
      </w:r>
      <w:r>
        <w:rPr>
          <w:rFonts w:hint="eastAsia" w:ascii="宋体" w:hAnsi="宋体" w:eastAsia="宋体" w:cs="宋体"/>
          <w:color w:val="auto"/>
          <w:sz w:val="24"/>
          <w:szCs w:val="24"/>
          <w:highlight w:val="none"/>
          <w:lang w:val="en-US" w:eastAsia="zh-CN"/>
        </w:rPr>
        <w:t>包含：货物、服务、随配附件、备品备件、工具、货物运抵指定交货地点、安装、调试的各种费用和售后服务、上排费、管理费、税金及其它所有成本、费用的总和</w:t>
      </w:r>
      <w:r>
        <w:rPr>
          <w:rFonts w:hint="eastAsia" w:ascii="宋体" w:cs="宋体"/>
          <w:b w:val="0"/>
          <w:bCs w:val="0"/>
          <w:color w:val="auto"/>
          <w:kern w:val="2"/>
          <w:sz w:val="24"/>
          <w:szCs w:val="24"/>
          <w:highlight w:val="none"/>
          <w:lang w:val="en-US" w:eastAsia="zh-CN" w:bidi="ar-SA"/>
        </w:rPr>
        <w:t>。如磋商文件、响应文件对其另有规定的，从其规定</w:t>
      </w:r>
      <w:r>
        <w:rPr>
          <w:rFonts w:hint="eastAsia" w:ascii="宋体" w:hAnsi="宋体" w:eastAsia="宋体" w:cs="宋体"/>
          <w:color w:val="auto"/>
          <w:sz w:val="24"/>
          <w:szCs w:val="24"/>
          <w:highlight w:val="none"/>
        </w:rPr>
        <w:t>。</w:t>
      </w:r>
    </w:p>
    <w:p w14:paraId="7A1E3B74">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第二条　质量保证</w:t>
      </w:r>
    </w:p>
    <w:p w14:paraId="272DD78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乙方所提供的服务质量必须与磋商文件、响应文件和承诺相一致。</w:t>
      </w:r>
    </w:p>
    <w:p w14:paraId="19C114D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default" w:ascii="宋体" w:hAnsi="宋体" w:eastAsia="宋体" w:cs="宋体"/>
          <w:color w:val="auto"/>
          <w:sz w:val="24"/>
          <w:szCs w:val="24"/>
          <w:highlight w:val="none"/>
          <w:lang w:val="en-US" w:eastAsia="zh-CN"/>
        </w:rPr>
      </w:pPr>
      <w:bookmarkStart w:id="50" w:name="_Toc19016"/>
      <w:bookmarkStart w:id="51" w:name="_Toc29093"/>
      <w:r>
        <w:rPr>
          <w:rFonts w:hint="eastAsia" w:ascii="宋体" w:hAnsi="宋体" w:eastAsia="宋体" w:cs="宋体"/>
          <w:b/>
          <w:color w:val="auto"/>
          <w:sz w:val="24"/>
          <w:szCs w:val="24"/>
          <w:highlight w:val="none"/>
        </w:rPr>
        <w:t>第三条　</w:t>
      </w:r>
      <w:r>
        <w:rPr>
          <w:rFonts w:hint="eastAsia" w:ascii="宋体" w:hAnsi="宋体" w:cs="宋体"/>
          <w:bCs/>
          <w:color w:val="auto"/>
          <w:sz w:val="24"/>
          <w:szCs w:val="24"/>
          <w:highlight w:val="none"/>
        </w:rPr>
        <w:t>服务时间</w:t>
      </w:r>
      <w:r>
        <w:rPr>
          <w:rFonts w:hint="eastAsia" w:ascii="宋体" w:hAnsi="宋体" w:cs="宋体"/>
          <w:bCs/>
          <w:color w:val="auto"/>
          <w:sz w:val="24"/>
          <w:szCs w:val="24"/>
          <w:highlight w:val="none"/>
          <w:lang w:val="en-US" w:eastAsia="zh-CN"/>
        </w:rPr>
        <w:t>及地点</w:t>
      </w:r>
    </w:p>
    <w:p w14:paraId="2E4D1AE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bCs/>
          <w:color w:val="auto"/>
          <w:sz w:val="24"/>
          <w:szCs w:val="24"/>
          <w:highlight w:val="none"/>
        </w:rPr>
        <w:t>服务时间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5BB68DA4">
      <w:pPr>
        <w:keepNext w:val="0"/>
        <w:keepLines w:val="0"/>
        <w:pageBreakBefore w:val="0"/>
        <w:kinsoku/>
        <w:wordWrap/>
        <w:overflowPunct/>
        <w:topLinePunct w:val="0"/>
        <w:autoSpaceDE/>
        <w:autoSpaceDN/>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cs="宋体"/>
          <w:bCs/>
          <w:color w:val="auto"/>
          <w:sz w:val="24"/>
          <w:szCs w:val="24"/>
          <w:highlight w:val="none"/>
        </w:rPr>
        <w:t>服务</w:t>
      </w:r>
      <w:r>
        <w:rPr>
          <w:rFonts w:hint="eastAsia" w:ascii="宋体" w:hAnsi="宋体" w:eastAsia="宋体" w:cs="宋体"/>
          <w:color w:val="auto"/>
          <w:sz w:val="24"/>
          <w:szCs w:val="24"/>
          <w:highlight w:val="none"/>
          <w:lang w:eastAsia="zh-CN"/>
        </w:rPr>
        <w:t>地点：</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广西北海市 </w:t>
      </w:r>
      <w:r>
        <w:rPr>
          <w:rFonts w:hint="eastAsia" w:ascii="宋体" w:hAnsi="宋体" w:eastAsia="宋体" w:cs="宋体"/>
          <w:color w:val="auto"/>
          <w:sz w:val="24"/>
          <w:szCs w:val="24"/>
          <w:highlight w:val="none"/>
          <w:lang w:eastAsia="zh-CN"/>
        </w:rPr>
        <w:t>。</w:t>
      </w:r>
    </w:p>
    <w:p w14:paraId="4A996DFF">
      <w:pPr>
        <w:keepNext w:val="0"/>
        <w:keepLines w:val="0"/>
        <w:pageBreakBefore w:val="0"/>
        <w:widowControl w:val="0"/>
        <w:kinsoku/>
        <w:wordWrap/>
        <w:overflowPunct/>
        <w:topLinePunct w:val="0"/>
        <w:autoSpaceDE/>
        <w:autoSpaceDN/>
        <w:bidi w:val="0"/>
        <w:adjustRightInd w:val="0"/>
        <w:snapToGrid w:val="0"/>
        <w:spacing w:before="107" w:beforeLines="34" w:beforeAutospacing="0" w:line="400" w:lineRule="exact"/>
        <w:ind w:firstLine="482"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rPr>
        <w:t>第四条  付款方式</w:t>
      </w:r>
    </w:p>
    <w:p w14:paraId="500BB7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1.资金性质：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财政资金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14:paraId="03D66AB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2.付款方式：</w:t>
      </w:r>
    </w:p>
    <w:p w14:paraId="6568A558">
      <w:pPr>
        <w:snapToGrid w:val="0"/>
        <w:spacing w:line="360" w:lineRule="auto"/>
        <w:ind w:left="0" w:leftChars="0" w:right="0" w:rightChars="0" w:firstLine="480" w:firstLineChars="200"/>
        <w:jc w:val="left"/>
        <w:rPr>
          <w:rFonts w:hint="eastAsia" w:cs="Times New Roman"/>
          <w:b w:val="0"/>
          <w:bCs w:val="0"/>
          <w:color w:val="auto"/>
          <w:kern w:val="2"/>
          <w:sz w:val="24"/>
          <w:szCs w:val="24"/>
          <w:highlight w:val="none"/>
          <w:lang w:val="en-US" w:eastAsia="zh-CN" w:bidi="ar-SA"/>
        </w:rPr>
      </w:pPr>
      <w:r>
        <w:rPr>
          <w:rFonts w:hint="eastAsia" w:cs="Times New Roman"/>
          <w:b w:val="0"/>
          <w:bCs w:val="0"/>
          <w:color w:val="auto"/>
          <w:kern w:val="2"/>
          <w:sz w:val="24"/>
          <w:szCs w:val="24"/>
          <w:highlight w:val="none"/>
          <w:lang w:val="en-US" w:eastAsia="zh-CN" w:bidi="ar-SA"/>
        </w:rPr>
        <w:t>1、维修和保养工作全部完成，</w:t>
      </w:r>
      <w:r>
        <w:rPr>
          <w:rFonts w:hint="eastAsia" w:ascii="宋体" w:cs="宋体" w:hAnsiTheme="minorEastAsia"/>
          <w:b w:val="0"/>
          <w:bCs/>
          <w:color w:val="auto"/>
          <w:kern w:val="0"/>
          <w:sz w:val="24"/>
          <w:highlight w:val="none"/>
          <w:lang w:val="en-US" w:eastAsia="zh-CN"/>
        </w:rPr>
        <w:t>并经采购方全部验收合格后，</w:t>
      </w:r>
      <w:r>
        <w:rPr>
          <w:rFonts w:hint="eastAsia" w:cs="Times New Roman"/>
          <w:b w:val="0"/>
          <w:bCs w:val="0"/>
          <w:color w:val="auto"/>
          <w:kern w:val="2"/>
          <w:sz w:val="24"/>
          <w:szCs w:val="24"/>
          <w:highlight w:val="none"/>
          <w:lang w:val="en-US" w:eastAsia="zh-CN" w:bidi="ar-SA"/>
        </w:rPr>
        <w:t>供应商向采购人提供统一格式的船舶维修结算单，</w:t>
      </w:r>
      <w:r>
        <w:rPr>
          <w:rFonts w:hint="eastAsia" w:ascii="宋体" w:cs="宋体" w:hAnsiTheme="minorEastAsia"/>
          <w:b w:val="0"/>
          <w:bCs/>
          <w:color w:val="auto"/>
          <w:kern w:val="0"/>
          <w:sz w:val="24"/>
          <w:highlight w:val="none"/>
          <w:lang w:val="en-US" w:eastAsia="zh-CN"/>
        </w:rPr>
        <w:t>结算单由采购人委托第三方机构进行评估得出审后结算价，最终支付价＝成交折扣率×审后结算价。</w:t>
      </w:r>
      <w:r>
        <w:rPr>
          <w:rFonts w:hint="eastAsia" w:cs="Times New Roman"/>
          <w:b w:val="0"/>
          <w:bCs w:val="0"/>
          <w:color w:val="auto"/>
          <w:kern w:val="2"/>
          <w:sz w:val="24"/>
          <w:szCs w:val="24"/>
          <w:highlight w:val="none"/>
          <w:lang w:val="en-US" w:eastAsia="zh-CN" w:bidi="ar-SA"/>
        </w:rPr>
        <w:t>供应商根据最终支付价款向采购人提供合法有效的正式发票，采购人在收到发票后7个工作目内向供应商支付维修款。本项目最终支付价不高于</w:t>
      </w:r>
      <w:r>
        <w:rPr>
          <w:rFonts w:hint="eastAsia" w:ascii="宋体" w:cs="宋体" w:hAnsiTheme="minorEastAsia"/>
          <w:b w:val="0"/>
          <w:bCs/>
          <w:color w:val="auto"/>
          <w:kern w:val="0"/>
          <w:sz w:val="24"/>
          <w:highlight w:val="none"/>
          <w:lang w:val="en-US" w:eastAsia="zh-CN"/>
        </w:rPr>
        <w:t>采购预算（871700.00元）</w:t>
      </w:r>
      <w:r>
        <w:rPr>
          <w:rFonts w:hint="eastAsia" w:ascii="宋体" w:hAnsi="宋体" w:cs="宋体"/>
          <w:b/>
          <w:bCs/>
          <w:color w:val="auto"/>
          <w:sz w:val="24"/>
          <w:szCs w:val="24"/>
          <w:highlight w:val="none"/>
          <w:lang w:val="en-US" w:eastAsia="zh-CN"/>
        </w:rPr>
        <w:t>×</w:t>
      </w:r>
      <w:r>
        <w:rPr>
          <w:rFonts w:hint="eastAsia" w:ascii="宋体" w:cs="宋体" w:hAnsiTheme="minorEastAsia"/>
          <w:b w:val="0"/>
          <w:bCs/>
          <w:color w:val="auto"/>
          <w:kern w:val="0"/>
          <w:sz w:val="24"/>
          <w:highlight w:val="none"/>
          <w:lang w:val="en-US" w:eastAsia="zh-CN"/>
        </w:rPr>
        <w:t>成交折扣率</w:t>
      </w:r>
      <w:r>
        <w:rPr>
          <w:rFonts w:hint="eastAsia" w:ascii="宋体" w:cs="宋体" w:hAnsiTheme="minorEastAsia"/>
          <w:b/>
          <w:color w:val="auto"/>
          <w:kern w:val="0"/>
          <w:sz w:val="24"/>
          <w:highlight w:val="none"/>
          <w:lang w:val="en-US" w:eastAsia="zh-CN"/>
        </w:rPr>
        <w:t>。</w:t>
      </w:r>
    </w:p>
    <w:p w14:paraId="2A074440">
      <w:pPr>
        <w:pStyle w:val="38"/>
        <w:spacing w:line="360" w:lineRule="auto"/>
        <w:ind w:firstLine="480" w:firstLineChars="200"/>
        <w:rPr>
          <w:rFonts w:hint="eastAsia" w:ascii="宋体" w:hAnsi="宋体" w:eastAsia="宋体" w:cs="宋体"/>
          <w:b/>
          <w:color w:val="auto"/>
          <w:sz w:val="24"/>
          <w:szCs w:val="24"/>
          <w:highlight w:val="none"/>
        </w:rPr>
      </w:pPr>
      <w:r>
        <w:rPr>
          <w:rFonts w:hint="eastAsia" w:cs="Times New Roman"/>
          <w:b w:val="0"/>
          <w:bCs w:val="0"/>
          <w:color w:val="auto"/>
          <w:kern w:val="2"/>
          <w:sz w:val="24"/>
          <w:szCs w:val="24"/>
          <w:highlight w:val="none"/>
          <w:lang w:val="en-US" w:eastAsia="zh-CN" w:bidi="ar-SA"/>
        </w:rPr>
        <w:t>2、本项目使用财政资金，因财政资金拔付流程造成的支付时间延迟，不视为</w:t>
      </w:r>
      <w:r>
        <w:rPr>
          <w:rFonts w:hint="eastAsia" w:ascii="宋体" w:hAnsi="宋体" w:eastAsia="宋体" w:cs="宋体"/>
          <w:color w:val="auto"/>
          <w:sz w:val="24"/>
          <w:szCs w:val="24"/>
          <w:highlight w:val="none"/>
          <w:u w:val="none"/>
        </w:rPr>
        <w:t>甲方</w:t>
      </w:r>
      <w:r>
        <w:rPr>
          <w:rFonts w:hint="eastAsia" w:cs="Times New Roman"/>
          <w:b w:val="0"/>
          <w:bCs w:val="0"/>
          <w:color w:val="auto"/>
          <w:kern w:val="2"/>
          <w:sz w:val="24"/>
          <w:szCs w:val="24"/>
          <w:highlight w:val="none"/>
          <w:lang w:val="en-US" w:eastAsia="zh-CN" w:bidi="ar-SA"/>
        </w:rPr>
        <w:t>违约，若专项财政资金尚未到位，</w:t>
      </w:r>
      <w:r>
        <w:rPr>
          <w:rFonts w:hint="eastAsia" w:ascii="宋体" w:hAnsi="宋体" w:eastAsia="宋体" w:cs="宋体"/>
          <w:color w:val="auto"/>
          <w:sz w:val="24"/>
          <w:szCs w:val="24"/>
          <w:highlight w:val="none"/>
          <w:u w:val="none"/>
        </w:rPr>
        <w:t>甲方</w:t>
      </w:r>
      <w:r>
        <w:rPr>
          <w:rFonts w:hint="eastAsia" w:cs="Times New Roman"/>
          <w:b w:val="0"/>
          <w:bCs w:val="0"/>
          <w:color w:val="auto"/>
          <w:kern w:val="2"/>
          <w:sz w:val="24"/>
          <w:szCs w:val="24"/>
          <w:highlight w:val="none"/>
          <w:lang w:val="en-US" w:eastAsia="zh-CN" w:bidi="ar-SA"/>
        </w:rPr>
        <w:t>付款期限顺延至专项财政资金到位后7个工作日内。</w:t>
      </w:r>
    </w:p>
    <w:p w14:paraId="16E3BFD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第五条　履约保证金</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本项目不收取履约保证金。</w:t>
      </w:r>
    </w:p>
    <w:p w14:paraId="1C52BF8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第六条 税费</w:t>
      </w:r>
    </w:p>
    <w:p w14:paraId="15E945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本合同执行中相关的一切税费均由乙方负担。</w:t>
      </w:r>
    </w:p>
    <w:p w14:paraId="56105702">
      <w:pPr>
        <w:pStyle w:val="32"/>
        <w:keepNext w:val="0"/>
        <w:keepLines w:val="0"/>
        <w:pageBreakBefore w:val="0"/>
        <w:widowControl w:val="0"/>
        <w:numPr>
          <w:ilvl w:val="0"/>
          <w:numId w:val="8"/>
        </w:numPr>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highlight w:val="none"/>
        </w:rPr>
      </w:pPr>
      <w:bookmarkStart w:id="52" w:name="_Toc10971"/>
      <w:bookmarkStart w:id="53" w:name="_Toc5473"/>
      <w:r>
        <w:rPr>
          <w:rFonts w:hint="eastAsia" w:ascii="宋体" w:hAnsi="宋体" w:eastAsia="宋体" w:cs="宋体"/>
          <w:b/>
          <w:color w:val="auto"/>
          <w:sz w:val="24"/>
          <w:szCs w:val="24"/>
          <w:highlight w:val="none"/>
        </w:rPr>
        <w:t xml:space="preserve"> 验收</w:t>
      </w:r>
      <w:bookmarkEnd w:id="52"/>
      <w:bookmarkEnd w:id="53"/>
    </w:p>
    <w:p w14:paraId="2EBE2982">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 xml:space="preserve"> </w:t>
      </w:r>
      <w:r>
        <w:rPr>
          <w:rFonts w:hint="eastAsia" w:hAnsi="宋体" w:cs="宋体"/>
          <w:b/>
          <w:color w:val="auto"/>
          <w:sz w:val="24"/>
          <w:szCs w:val="24"/>
          <w:highlight w:val="none"/>
          <w:lang w:val="en-US" w:eastAsia="zh-CN"/>
        </w:rPr>
        <w:t xml:space="preserve">  </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乙方应按磋商文件规定及响应文件承诺的技术要求、质量标准向甲方提供服务。</w:t>
      </w:r>
    </w:p>
    <w:p w14:paraId="7D4F2492">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甲方对乙方提交的服务依据磋商文件上的服务要求和国家有关质量标准进行现场初步验收，符合竞争性磋商采购文件技术要求的，给予签收，初步验收不合格的不予签收。甲方应当在到成交人的服务成果提交后七个工作日内进行验收。</w:t>
      </w:r>
    </w:p>
    <w:p w14:paraId="053784C4">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.乙方提交服务成果前应对提交的服务成果作出全面检查和对验收文件进行整理，并列出清单，作为甲方验收和使用的技术条件依据，检验的结果应随服务成果交给甲方。</w:t>
      </w:r>
    </w:p>
    <w:p w14:paraId="1EDF2C86">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成果交付时，甲方组织专家以及有关管理部门按竞争性磋商采购文件以及合同相关条款要求对项目进行评审</w:t>
      </w:r>
      <w:r>
        <w:rPr>
          <w:rFonts w:hint="eastAsia" w:ascii="宋体" w:hAnsi="宋体" w:eastAsia="宋体" w:cs="宋体"/>
          <w:color w:val="auto"/>
          <w:sz w:val="24"/>
          <w:szCs w:val="24"/>
          <w:highlight w:val="none"/>
          <w:lang w:eastAsia="zh-CN"/>
        </w:rPr>
        <w:t>。</w:t>
      </w:r>
    </w:p>
    <w:p w14:paraId="0855B289">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highlight w:val="none"/>
        </w:rPr>
      </w:pPr>
      <w:bookmarkStart w:id="54" w:name="_Toc30217"/>
      <w:bookmarkStart w:id="55" w:name="_Toc1096"/>
      <w:r>
        <w:rPr>
          <w:rFonts w:hint="eastAsia" w:ascii="宋体" w:hAnsi="宋体" w:eastAsia="宋体" w:cs="宋体"/>
          <w:b/>
          <w:color w:val="auto"/>
          <w:sz w:val="24"/>
          <w:szCs w:val="24"/>
          <w:highlight w:val="none"/>
        </w:rPr>
        <w:t>第八条　违约责任</w:t>
      </w:r>
      <w:bookmarkEnd w:id="54"/>
      <w:bookmarkEnd w:id="55"/>
    </w:p>
    <w:p w14:paraId="449CAE2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bookmarkStart w:id="56" w:name="_Toc14405"/>
      <w:bookmarkStart w:id="57" w:name="_Toc11901"/>
      <w:r>
        <w:rPr>
          <w:rFonts w:hint="eastAsia" w:ascii="宋体" w:hAnsi="宋体" w:eastAsia="宋体" w:cs="宋体"/>
          <w:color w:val="auto"/>
          <w:sz w:val="24"/>
          <w:szCs w:val="24"/>
          <w:highlight w:val="none"/>
        </w:rPr>
        <w:t>1.乙方所提供的服务成果质量不合格的，应及时</w:t>
      </w:r>
      <w:r>
        <w:rPr>
          <w:rFonts w:hint="eastAsia" w:ascii="宋体" w:hAnsi="宋体" w:eastAsia="宋体" w:cs="宋体"/>
          <w:color w:val="auto"/>
          <w:sz w:val="24"/>
          <w:szCs w:val="24"/>
          <w:highlight w:val="none"/>
          <w:lang w:val="en-US" w:eastAsia="zh-CN"/>
        </w:rPr>
        <w:t>整改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整改</w:t>
      </w:r>
      <w:r>
        <w:rPr>
          <w:rFonts w:hint="eastAsia" w:ascii="宋体" w:hAnsi="宋体" w:eastAsia="宋体" w:cs="宋体"/>
          <w:color w:val="auto"/>
          <w:sz w:val="24"/>
          <w:szCs w:val="24"/>
          <w:highlight w:val="none"/>
        </w:rPr>
        <w:t xml:space="preserve">不及时的按逾期提交服务成果处罚；因质量问题甲方不同意接收的或特殊情况甲方同意接收的，乙方应向甲方支付违约服务成果款额 </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%违约金并赔偿甲方经济损失。                                       </w:t>
      </w:r>
    </w:p>
    <w:p w14:paraId="728C8E2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2.甲方无故延期接收服务成果、乙方逾期提交服务成果的，每天向对方偿付违约服务成果款额3‰违约金，超过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天对方有权解除合同，违约方承担因此给对方造成经济损失。</w:t>
      </w:r>
    </w:p>
    <w:p w14:paraId="01D0DDC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3.乙方未按本合同和</w:t>
      </w:r>
      <w:r>
        <w:rPr>
          <w:rFonts w:hint="eastAsia" w:ascii="宋体" w:hAnsi="宋体" w:eastAsia="宋体" w:cs="宋体"/>
          <w:color w:val="auto"/>
          <w:sz w:val="24"/>
          <w:szCs w:val="24"/>
          <w:highlight w:val="none"/>
          <w:lang w:val="en-US" w:eastAsia="zh-CN"/>
        </w:rPr>
        <w:t>磋商响应文件</w:t>
      </w:r>
      <w:r>
        <w:rPr>
          <w:rFonts w:hint="eastAsia" w:ascii="宋体" w:hAnsi="宋体" w:eastAsia="宋体" w:cs="宋体"/>
          <w:color w:val="auto"/>
          <w:sz w:val="24"/>
          <w:szCs w:val="24"/>
          <w:highlight w:val="none"/>
        </w:rPr>
        <w:t>中规定的服务承诺提供售后服务的，乙方应按本合同合计金额</w:t>
      </w:r>
      <w:r>
        <w:rPr>
          <w:rFonts w:hint="eastAsia" w:ascii="宋体" w:hAnsi="宋体" w:eastAsia="宋体" w:cs="宋体"/>
          <w:color w:val="auto"/>
          <w:sz w:val="24"/>
          <w:szCs w:val="24"/>
          <w:highlight w:val="none"/>
          <w:u w:val="single"/>
        </w:rPr>
        <w:t xml:space="preserve"> 5%</w:t>
      </w:r>
      <w:r>
        <w:rPr>
          <w:rFonts w:hint="eastAsia" w:ascii="宋体" w:hAnsi="宋体" w:eastAsia="宋体" w:cs="宋体"/>
          <w:color w:val="auto"/>
          <w:sz w:val="24"/>
          <w:szCs w:val="24"/>
          <w:highlight w:val="none"/>
        </w:rPr>
        <w:t>向甲方支付违约金。</w:t>
      </w:r>
    </w:p>
    <w:p w14:paraId="52764F9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.其它违约行为按违约服务成果款额</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%收取违约金。</w:t>
      </w:r>
    </w:p>
    <w:p w14:paraId="4ED7023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.乙方支付的违约金不足以弥补甲方损失的，还应承担赔偿责任。</w:t>
      </w:r>
    </w:p>
    <w:p w14:paraId="6122F6F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延迟履约、不完全履约或提供的服务不符合</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和</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文件要求的。除支付违约金外，仍需继续履行合同或重新提供符合要求的服务。</w:t>
      </w:r>
    </w:p>
    <w:p w14:paraId="42BB4B4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.甲方为维护权益向乙方追偿的一切费用（包括但不限于律师费、诉讼费、保全费、担保费、交通费、差旅费、鉴定费等等）均由乙方承担。</w:t>
      </w:r>
    </w:p>
    <w:p w14:paraId="4382571D">
      <w:pPr>
        <w:pStyle w:val="32"/>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第九条 不可抗力事件处理</w:t>
      </w:r>
      <w:bookmarkEnd w:id="56"/>
      <w:bookmarkEnd w:id="57"/>
    </w:p>
    <w:p w14:paraId="3E0ABC40">
      <w:pPr>
        <w:pStyle w:val="32"/>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b/>
          <w:color w:val="auto"/>
          <w:sz w:val="24"/>
          <w:szCs w:val="24"/>
          <w:highlight w:val="none"/>
        </w:rPr>
      </w:pPr>
      <w:bookmarkStart w:id="58" w:name="_Toc30502"/>
      <w:bookmarkStart w:id="59" w:name="_Toc19416"/>
      <w:r>
        <w:rPr>
          <w:rFonts w:hint="eastAsia" w:ascii="宋体" w:hAnsi="宋体" w:eastAsia="宋体" w:cs="宋体"/>
          <w:color w:val="auto"/>
          <w:sz w:val="24"/>
          <w:szCs w:val="24"/>
          <w:highlight w:val="none"/>
        </w:rPr>
        <w:t>1. 任何一方由于不可抗力原因不能履行合同时，应在不可抗力事件发生后3日内向对方通报，以减轻可能给对方造成的损失，在取得有关机构的不可抗力证明或双方谅解确认后，允许延期履行或修订合同，并可根据具体情况部分或全部免于承担违约责任，其延长期与不可抗力影响期相同。</w:t>
      </w:r>
      <w:bookmarkEnd w:id="58"/>
      <w:bookmarkEnd w:id="59"/>
    </w:p>
    <w:p w14:paraId="73E10812">
      <w:pPr>
        <w:pStyle w:val="32"/>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不可抗力事件延续一百二十天以上，双方应通过友好协商，确定是否继续履行合同。</w:t>
      </w:r>
    </w:p>
    <w:p w14:paraId="35AEF314">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color w:val="auto"/>
          <w:sz w:val="24"/>
          <w:szCs w:val="24"/>
          <w:highlight w:val="none"/>
        </w:rPr>
      </w:pPr>
      <w:bookmarkStart w:id="60" w:name="_Toc20794"/>
      <w:bookmarkStart w:id="61" w:name="_Toc14754"/>
      <w:r>
        <w:rPr>
          <w:rFonts w:hint="eastAsia" w:ascii="宋体" w:hAnsi="宋体" w:eastAsia="宋体" w:cs="宋体"/>
          <w:b/>
          <w:color w:val="auto"/>
          <w:sz w:val="24"/>
          <w:szCs w:val="24"/>
          <w:highlight w:val="none"/>
        </w:rPr>
        <w:t>第十条  合同争议解决</w:t>
      </w:r>
      <w:bookmarkEnd w:id="60"/>
      <w:bookmarkEnd w:id="61"/>
      <w:r>
        <w:rPr>
          <w:rFonts w:hint="eastAsia" w:ascii="宋体" w:hAnsi="宋体" w:eastAsia="宋体" w:cs="宋体"/>
          <w:b/>
          <w:color w:val="auto"/>
          <w:sz w:val="24"/>
          <w:szCs w:val="24"/>
          <w:highlight w:val="none"/>
          <w:lang w:val="en-US" w:eastAsia="zh-CN"/>
        </w:rPr>
        <w:t>与</w:t>
      </w:r>
      <w:r>
        <w:rPr>
          <w:rFonts w:hint="eastAsia" w:ascii="宋体" w:hAnsi="宋体" w:eastAsia="宋体" w:cs="宋体"/>
          <w:b/>
          <w:color w:val="auto"/>
          <w:sz w:val="24"/>
          <w:szCs w:val="24"/>
          <w:highlight w:val="none"/>
        </w:rPr>
        <w:t>诉讼</w:t>
      </w:r>
    </w:p>
    <w:p w14:paraId="76FA006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1.因服务成果质量问题发生争议的，</w:t>
      </w:r>
      <w:r>
        <w:rPr>
          <w:rFonts w:hint="eastAsia" w:ascii="宋体" w:hAnsi="宋体" w:eastAsia="宋体" w:cs="宋体"/>
          <w:color w:val="auto"/>
          <w:sz w:val="24"/>
          <w:szCs w:val="24"/>
          <w:highlight w:val="none"/>
          <w:lang w:val="en-US" w:eastAsia="zh-CN"/>
        </w:rPr>
        <w:t>可邀请有关单位</w:t>
      </w:r>
      <w:r>
        <w:rPr>
          <w:rFonts w:hint="eastAsia" w:ascii="宋体" w:hAnsi="宋体" w:eastAsia="宋体" w:cs="宋体"/>
          <w:color w:val="auto"/>
          <w:sz w:val="24"/>
          <w:szCs w:val="24"/>
          <w:highlight w:val="none"/>
        </w:rPr>
        <w:t>对服务成果质量进行鉴定。服务成果符合标准的，鉴定费由甲方承担；服务成果不符合标准的，鉴定费由乙方承担。</w:t>
      </w:r>
    </w:p>
    <w:p w14:paraId="3285A520">
      <w:pPr>
        <w:pStyle w:val="295"/>
        <w:keepNext w:val="0"/>
        <w:keepLines w:val="0"/>
        <w:pageBreakBefore w:val="0"/>
        <w:widowControl w:val="0"/>
        <w:kinsoku/>
        <w:wordWrap/>
        <w:overflowPunct/>
        <w:topLinePunct w:val="0"/>
        <w:autoSpaceDE/>
        <w:autoSpaceDN/>
        <w:bidi w:val="0"/>
        <w:spacing w:line="400" w:lineRule="exact"/>
        <w:ind w:firstLine="480" w:firstLineChars="200"/>
        <w:jc w:val="left"/>
        <w:textAlignment w:val="auto"/>
        <w:rPr>
          <w:rFonts w:hint="eastAsia" w:ascii="宋体" w:hAnsi="宋体" w:eastAsia="宋体" w:cs="宋体"/>
          <w:strike/>
          <w:color w:val="auto"/>
          <w:kern w:val="0"/>
          <w:sz w:val="24"/>
          <w:szCs w:val="24"/>
          <w:highlight w:val="none"/>
        </w:rPr>
      </w:pPr>
      <w:r>
        <w:rPr>
          <w:rFonts w:hint="eastAsia" w:ascii="宋体" w:hAnsi="宋体" w:eastAsia="宋体" w:cs="宋体"/>
          <w:color w:val="auto"/>
          <w:sz w:val="24"/>
          <w:szCs w:val="24"/>
          <w:highlight w:val="none"/>
        </w:rPr>
        <w:t>2.因履行本合同引起的或与本合同有关的争议，甲乙双方应首先通过友好协商解决，如果协商不能解决，向</w:t>
      </w:r>
      <w:r>
        <w:rPr>
          <w:rFonts w:hint="eastAsia" w:ascii="宋体" w:hAnsi="宋体" w:eastAsia="宋体" w:cs="宋体"/>
          <w:color w:val="auto"/>
          <w:sz w:val="24"/>
          <w:szCs w:val="24"/>
          <w:highlight w:val="none"/>
          <w:u w:val="single"/>
        </w:rPr>
        <w:t>甲方</w:t>
      </w:r>
      <w:r>
        <w:rPr>
          <w:rFonts w:hint="eastAsia" w:ascii="宋体" w:hAnsi="宋体" w:cs="宋体"/>
          <w:color w:val="auto"/>
          <w:sz w:val="24"/>
          <w:szCs w:val="24"/>
          <w:highlight w:val="none"/>
          <w:u w:val="single"/>
          <w:lang w:eastAsia="zh-CN"/>
        </w:rPr>
        <w:t>住所</w:t>
      </w:r>
      <w:r>
        <w:rPr>
          <w:rFonts w:hint="eastAsia" w:ascii="宋体" w:hAnsi="宋体" w:eastAsia="宋体" w:cs="宋体"/>
          <w:color w:val="auto"/>
          <w:sz w:val="24"/>
          <w:szCs w:val="24"/>
          <w:highlight w:val="none"/>
          <w:u w:val="single"/>
        </w:rPr>
        <w:t>地人民法院</w:t>
      </w:r>
      <w:r>
        <w:rPr>
          <w:rFonts w:hint="eastAsia" w:ascii="宋体" w:hAnsi="宋体" w:eastAsia="宋体" w:cs="宋体"/>
          <w:color w:val="auto"/>
          <w:sz w:val="24"/>
          <w:szCs w:val="24"/>
          <w:highlight w:val="none"/>
        </w:rPr>
        <w:t>提起诉讼。</w:t>
      </w:r>
    </w:p>
    <w:p w14:paraId="7F8702D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3.诉讼期间，本合同</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继续履行</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但甲方提出解除合同的诉讼请求或是确认合同解除的诉讼请求的除外</w:t>
      </w:r>
      <w:r>
        <w:rPr>
          <w:rFonts w:hint="eastAsia" w:ascii="宋体" w:hAnsi="宋体" w:eastAsia="宋体" w:cs="宋体"/>
          <w:color w:val="auto"/>
          <w:sz w:val="24"/>
          <w:szCs w:val="24"/>
          <w:highlight w:val="none"/>
        </w:rPr>
        <w:t>。</w:t>
      </w:r>
    </w:p>
    <w:p w14:paraId="31C4DB49">
      <w:pPr>
        <w:pStyle w:val="32"/>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highlight w:val="none"/>
        </w:rPr>
      </w:pPr>
      <w:bookmarkStart w:id="62" w:name="_Toc51"/>
      <w:bookmarkStart w:id="63" w:name="_Toc30804"/>
      <w:r>
        <w:rPr>
          <w:rFonts w:hint="eastAsia" w:ascii="宋体" w:hAnsi="宋体" w:eastAsia="宋体" w:cs="宋体"/>
          <w:b/>
          <w:color w:val="auto"/>
          <w:sz w:val="24"/>
          <w:szCs w:val="24"/>
          <w:highlight w:val="none"/>
        </w:rPr>
        <w:t>第十</w:t>
      </w:r>
      <w:r>
        <w:rPr>
          <w:rFonts w:hint="eastAsia"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条 合同生效及其它</w:t>
      </w:r>
      <w:bookmarkEnd w:id="62"/>
      <w:bookmarkEnd w:id="63"/>
    </w:p>
    <w:p w14:paraId="33838D28">
      <w:pPr>
        <w:pStyle w:val="32"/>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highlight w:val="none"/>
        </w:rPr>
      </w:pPr>
      <w:bookmarkStart w:id="64" w:name="_Toc13169"/>
      <w:bookmarkStart w:id="65" w:name="_Toc6397"/>
      <w:r>
        <w:rPr>
          <w:rFonts w:hint="eastAsia" w:ascii="宋体" w:hAnsi="宋体" w:eastAsia="宋体" w:cs="宋体"/>
          <w:b/>
          <w:color w:val="auto"/>
          <w:sz w:val="24"/>
          <w:szCs w:val="24"/>
          <w:highlight w:val="none"/>
        </w:rPr>
        <w:t>1．合同经双方法定代表人(负责人)或授权代表签字</w:t>
      </w:r>
      <w:r>
        <w:rPr>
          <w:rFonts w:hint="eastAsia" w:hAnsi="宋体" w:eastAsia="宋体" w:cs="宋体"/>
          <w:b/>
          <w:color w:val="auto"/>
          <w:sz w:val="24"/>
          <w:szCs w:val="24"/>
          <w:highlight w:val="none"/>
          <w:lang w:val="en-US" w:eastAsia="zh-CN"/>
        </w:rPr>
        <w:t>或盖章</w:t>
      </w:r>
      <w:r>
        <w:rPr>
          <w:rFonts w:hint="eastAsia" w:ascii="宋体" w:hAnsi="宋体" w:eastAsia="宋体" w:cs="宋体"/>
          <w:b/>
          <w:color w:val="auto"/>
          <w:sz w:val="24"/>
          <w:szCs w:val="24"/>
          <w:highlight w:val="none"/>
        </w:rPr>
        <w:t>并加盖单位公章后生效。</w:t>
      </w:r>
    </w:p>
    <w:p w14:paraId="443A5477">
      <w:pPr>
        <w:pStyle w:val="32"/>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2．合同执行中涉及采购资金和采购内容修改或补充的，由甲乙双方协商解决并签订补充合同，所签订的补充合同为本合同的组成部分，具有同等法律效力。</w:t>
      </w:r>
    </w:p>
    <w:p w14:paraId="0B2DD0B4">
      <w:pPr>
        <w:pStyle w:val="32"/>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3．本合同未尽事宜，遵照《</w:t>
      </w:r>
      <w:r>
        <w:rPr>
          <w:rFonts w:hint="eastAsia" w:hAnsi="宋体" w:eastAsia="宋体" w:cs="宋体"/>
          <w:b/>
          <w:color w:val="auto"/>
          <w:sz w:val="24"/>
          <w:szCs w:val="24"/>
          <w:highlight w:val="none"/>
          <w:lang w:eastAsia="zh-CN"/>
        </w:rPr>
        <w:t>中华人民共和国民法典</w:t>
      </w:r>
      <w:r>
        <w:rPr>
          <w:rFonts w:hint="eastAsia" w:ascii="宋体" w:hAnsi="宋体" w:eastAsia="宋体" w:cs="宋体"/>
          <w:b/>
          <w:color w:val="auto"/>
          <w:sz w:val="24"/>
          <w:szCs w:val="24"/>
          <w:highlight w:val="none"/>
        </w:rPr>
        <w:t>》有关条文执行。</w:t>
      </w:r>
    </w:p>
    <w:p w14:paraId="6025F5B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w:t>
      </w: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条　合同的变更、终止与转让</w:t>
      </w:r>
      <w:bookmarkEnd w:id="64"/>
      <w:bookmarkEnd w:id="65"/>
    </w:p>
    <w:p w14:paraId="2CAEA41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1.除《中华人民共和国政府采购法》第五十条规定的情形外，本合同一经签订，甲乙双方不得擅自变更、中止或终止。</w:t>
      </w:r>
    </w:p>
    <w:p w14:paraId="74AAB30B">
      <w:pPr>
        <w:pStyle w:val="32"/>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2.乙方不得擅自转让其应履行的合同义务。</w:t>
      </w:r>
    </w:p>
    <w:p w14:paraId="3EA7840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highlight w:val="none"/>
        </w:rPr>
      </w:pPr>
      <w:bookmarkStart w:id="66" w:name="_Toc12813"/>
      <w:bookmarkStart w:id="67" w:name="_Toc5702"/>
      <w:r>
        <w:rPr>
          <w:rFonts w:hint="eastAsia" w:ascii="宋体" w:hAnsi="宋体" w:eastAsia="宋体" w:cs="宋体"/>
          <w:b/>
          <w:color w:val="auto"/>
          <w:sz w:val="24"/>
          <w:szCs w:val="24"/>
          <w:highlight w:val="none"/>
        </w:rPr>
        <w:t>第十四条　签订本合同依据</w:t>
      </w:r>
      <w:bookmarkEnd w:id="66"/>
      <w:bookmarkEnd w:id="67"/>
    </w:p>
    <w:p w14:paraId="531774C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w:t>
      </w:r>
    </w:p>
    <w:p w14:paraId="4E6839D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响应文件</w:t>
      </w:r>
      <w:r>
        <w:rPr>
          <w:rFonts w:hint="eastAsia" w:ascii="宋体" w:hAnsi="宋体" w:eastAsia="宋体" w:cs="宋体"/>
          <w:color w:val="auto"/>
          <w:sz w:val="24"/>
          <w:szCs w:val="24"/>
          <w:highlight w:val="none"/>
        </w:rPr>
        <w:t>；</w:t>
      </w:r>
    </w:p>
    <w:p w14:paraId="7A9E637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书；</w:t>
      </w:r>
    </w:p>
    <w:p w14:paraId="26180AFF">
      <w:pPr>
        <w:pStyle w:val="32"/>
        <w:kinsoku/>
        <w:wordWrap/>
        <w:topLinePunct w:val="0"/>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2C91AF34">
      <w:pPr>
        <w:pStyle w:val="32"/>
        <w:kinsoku/>
        <w:wordWrap/>
        <w:topLinePunct w:val="0"/>
        <w:bidi w:val="0"/>
        <w:spacing w:line="40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第十五条　</w:t>
      </w:r>
      <w:bookmarkEnd w:id="50"/>
      <w:bookmarkEnd w:id="51"/>
      <w:r>
        <w:rPr>
          <w:rFonts w:hint="eastAsia" w:ascii="宋体" w:hAnsi="宋体"/>
          <w:color w:val="auto"/>
          <w:sz w:val="24"/>
          <w:szCs w:val="24"/>
          <w:highlight w:val="none"/>
        </w:rPr>
        <w:t>本合同一式</w:t>
      </w:r>
      <w:r>
        <w:rPr>
          <w:rFonts w:hint="eastAsia" w:hAnsi="宋体"/>
          <w:color w:val="auto"/>
          <w:sz w:val="24"/>
          <w:szCs w:val="24"/>
          <w:highlight w:val="none"/>
          <w:lang w:val="en-US" w:eastAsia="zh-CN"/>
        </w:rPr>
        <w:t>伍</w:t>
      </w:r>
      <w:r>
        <w:rPr>
          <w:rFonts w:hint="eastAsia" w:ascii="宋体" w:hAnsi="宋体"/>
          <w:color w:val="auto"/>
          <w:sz w:val="24"/>
          <w:szCs w:val="24"/>
          <w:highlight w:val="none"/>
        </w:rPr>
        <w:t>份，</w:t>
      </w:r>
      <w:r>
        <w:rPr>
          <w:rFonts w:hint="eastAsia" w:ascii="宋体" w:hAnsi="宋体"/>
          <w:color w:val="auto"/>
          <w:spacing w:val="4"/>
          <w:sz w:val="24"/>
          <w:szCs w:val="24"/>
          <w:highlight w:val="none"/>
        </w:rPr>
        <w:t>采购代理机构</w:t>
      </w:r>
      <w:r>
        <w:rPr>
          <w:rFonts w:hint="eastAsia" w:hAnsi="宋体"/>
          <w:color w:val="auto"/>
          <w:sz w:val="24"/>
          <w:szCs w:val="24"/>
          <w:highlight w:val="none"/>
          <w:lang w:eastAsia="zh-CN"/>
        </w:rPr>
        <w:t>壹</w:t>
      </w:r>
      <w:r>
        <w:rPr>
          <w:rFonts w:hint="eastAsia" w:ascii="宋体" w:hAnsi="宋体"/>
          <w:color w:val="auto"/>
          <w:sz w:val="24"/>
          <w:szCs w:val="24"/>
          <w:highlight w:val="none"/>
        </w:rPr>
        <w:t>份，甲</w:t>
      </w:r>
      <w:r>
        <w:rPr>
          <w:rFonts w:hint="eastAsia" w:ascii="宋体" w:hAnsi="宋体"/>
          <w:color w:val="auto"/>
          <w:sz w:val="24"/>
          <w:szCs w:val="24"/>
          <w:highlight w:val="none"/>
          <w:lang w:eastAsia="zh-CN"/>
        </w:rPr>
        <w:t>方</w:t>
      </w:r>
      <w:r>
        <w:rPr>
          <w:rFonts w:hint="eastAsia" w:hAnsi="宋体"/>
          <w:color w:val="auto"/>
          <w:sz w:val="24"/>
          <w:szCs w:val="24"/>
          <w:highlight w:val="none"/>
          <w:lang w:val="en-US" w:eastAsia="zh-CN"/>
        </w:rPr>
        <w:t>贰</w:t>
      </w:r>
      <w:r>
        <w:rPr>
          <w:rFonts w:hint="eastAsia" w:ascii="宋体" w:hAnsi="宋体"/>
          <w:color w:val="auto"/>
          <w:sz w:val="24"/>
          <w:szCs w:val="24"/>
          <w:highlight w:val="none"/>
          <w:lang w:eastAsia="zh-CN"/>
        </w:rPr>
        <w:t>份，</w:t>
      </w:r>
      <w:r>
        <w:rPr>
          <w:rFonts w:hint="eastAsia" w:ascii="宋体" w:hAnsi="宋体"/>
          <w:color w:val="auto"/>
          <w:sz w:val="24"/>
          <w:szCs w:val="24"/>
          <w:highlight w:val="none"/>
        </w:rPr>
        <w:t>乙方</w:t>
      </w:r>
      <w:r>
        <w:rPr>
          <w:rFonts w:hint="eastAsia" w:hAnsi="宋体"/>
          <w:color w:val="auto"/>
          <w:sz w:val="24"/>
          <w:szCs w:val="24"/>
          <w:highlight w:val="none"/>
          <w:lang w:val="en-US" w:eastAsia="zh-CN"/>
        </w:rPr>
        <w:t>贰</w:t>
      </w:r>
      <w:r>
        <w:rPr>
          <w:rFonts w:hint="eastAsia" w:ascii="宋体" w:hAnsi="宋体"/>
          <w:color w:val="auto"/>
          <w:sz w:val="24"/>
          <w:szCs w:val="24"/>
          <w:highlight w:val="none"/>
        </w:rPr>
        <w:t>份（可根据需要另增加）</w:t>
      </w:r>
      <w:r>
        <w:rPr>
          <w:rFonts w:hint="eastAsia" w:ascii="宋体" w:hAnsi="宋体" w:eastAsia="宋体" w:cs="宋体"/>
          <w:color w:val="auto"/>
          <w:sz w:val="24"/>
          <w:szCs w:val="24"/>
          <w:highlight w:val="none"/>
        </w:rPr>
        <w:t>。</w:t>
      </w:r>
    </w:p>
    <w:p w14:paraId="09A5DF28">
      <w:pPr>
        <w:pStyle w:val="32"/>
        <w:kinsoku/>
        <w:wordWrap/>
        <w:topLinePunct w:val="0"/>
        <w:bidi w:val="0"/>
        <w:spacing w:line="400" w:lineRule="exact"/>
        <w:ind w:firstLine="480" w:firstLineChars="200"/>
        <w:textAlignment w:val="auto"/>
        <w:rPr>
          <w:rFonts w:hint="eastAsia" w:ascii="宋体" w:hAnsi="宋体" w:eastAsia="宋体" w:cs="宋体"/>
          <w:color w:val="auto"/>
          <w:sz w:val="24"/>
          <w:szCs w:val="24"/>
          <w:highlight w:val="none"/>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2"/>
        <w:gridCol w:w="4593"/>
      </w:tblGrid>
      <w:tr w14:paraId="4327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center"/>
          </w:tcPr>
          <w:p w14:paraId="7FA3693C">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5A7AA57B">
            <w:pPr>
              <w:snapToGrid w:val="0"/>
              <w:spacing w:line="360" w:lineRule="auto"/>
              <w:ind w:firstLine="1080" w:firstLineChars="450"/>
              <w:jc w:val="right"/>
              <w:rPr>
                <w:rFonts w:hint="eastAsia" w:ascii="宋体" w:hAnsi="宋体" w:eastAsia="宋体" w:cs="宋体"/>
                <w:color w:val="auto"/>
                <w:sz w:val="24"/>
                <w:szCs w:val="24"/>
                <w:highlight w:val="none"/>
              </w:rPr>
            </w:pPr>
          </w:p>
        </w:tc>
        <w:tc>
          <w:tcPr>
            <w:tcW w:w="4593" w:type="dxa"/>
            <w:tcBorders>
              <w:top w:val="single" w:color="auto" w:sz="4" w:space="0"/>
              <w:left w:val="single" w:color="auto" w:sz="4" w:space="0"/>
              <w:bottom w:val="single" w:color="auto" w:sz="4" w:space="0"/>
              <w:right w:val="single" w:color="auto" w:sz="4" w:space="0"/>
            </w:tcBorders>
            <w:noWrap w:val="0"/>
            <w:vAlign w:val="center"/>
          </w:tcPr>
          <w:p w14:paraId="091BCD0B">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1C29A51E">
            <w:pPr>
              <w:snapToGrid w:val="0"/>
              <w:spacing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4DED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bottom"/>
          </w:tcPr>
          <w:p w14:paraId="7E134C5E">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单位地址：</w:t>
            </w:r>
          </w:p>
        </w:tc>
        <w:tc>
          <w:tcPr>
            <w:tcW w:w="4593" w:type="dxa"/>
            <w:tcBorders>
              <w:top w:val="single" w:color="auto" w:sz="4" w:space="0"/>
              <w:left w:val="single" w:color="auto" w:sz="4" w:space="0"/>
              <w:bottom w:val="single" w:color="auto" w:sz="4" w:space="0"/>
              <w:right w:val="single" w:color="auto" w:sz="4" w:space="0"/>
            </w:tcBorders>
            <w:noWrap w:val="0"/>
            <w:vAlign w:val="bottom"/>
          </w:tcPr>
          <w:p w14:paraId="5BE4E4DF">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单位地址：</w:t>
            </w:r>
          </w:p>
        </w:tc>
      </w:tr>
      <w:tr w14:paraId="0D3A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bottom"/>
          </w:tcPr>
          <w:p w14:paraId="0716DDAD">
            <w:pPr>
              <w:snapToGrid w:val="0"/>
              <w:spacing w:line="36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p>
          <w:p w14:paraId="4AB3DDB7">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委托代理人：</w:t>
            </w:r>
          </w:p>
        </w:tc>
        <w:tc>
          <w:tcPr>
            <w:tcW w:w="4593" w:type="dxa"/>
            <w:tcBorders>
              <w:top w:val="single" w:color="auto" w:sz="4" w:space="0"/>
              <w:left w:val="single" w:color="auto" w:sz="4" w:space="0"/>
              <w:right w:val="single" w:color="auto" w:sz="4" w:space="0"/>
            </w:tcBorders>
            <w:noWrap w:val="0"/>
            <w:vAlign w:val="bottom"/>
          </w:tcPr>
          <w:p w14:paraId="20FB31A2">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p>
          <w:p w14:paraId="6D8CA73E">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委托代理人：</w:t>
            </w:r>
          </w:p>
        </w:tc>
      </w:tr>
      <w:tr w14:paraId="46A2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bottom"/>
          </w:tcPr>
          <w:p w14:paraId="59E635B1">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tc>
        <w:tc>
          <w:tcPr>
            <w:tcW w:w="4593" w:type="dxa"/>
            <w:tcBorders>
              <w:top w:val="single" w:color="auto" w:sz="4" w:space="0"/>
              <w:left w:val="single" w:color="auto" w:sz="4" w:space="0"/>
              <w:bottom w:val="single" w:color="auto" w:sz="4" w:space="0"/>
              <w:right w:val="single" w:color="auto" w:sz="4" w:space="0"/>
            </w:tcBorders>
            <w:noWrap w:val="0"/>
            <w:vAlign w:val="bottom"/>
          </w:tcPr>
          <w:p w14:paraId="41ACB5E7">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tc>
      </w:tr>
      <w:tr w14:paraId="2AD7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bottom"/>
          </w:tcPr>
          <w:p w14:paraId="34720A87">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4593" w:type="dxa"/>
            <w:tcBorders>
              <w:top w:val="single" w:color="auto" w:sz="4" w:space="0"/>
              <w:left w:val="single" w:color="auto" w:sz="4" w:space="0"/>
              <w:bottom w:val="single" w:color="auto" w:sz="4" w:space="0"/>
              <w:right w:val="single" w:color="auto" w:sz="4" w:space="0"/>
            </w:tcBorders>
            <w:noWrap w:val="0"/>
            <w:vAlign w:val="bottom"/>
          </w:tcPr>
          <w:p w14:paraId="3338C691">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r>
      <w:tr w14:paraId="3D43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bottom"/>
          </w:tcPr>
          <w:p w14:paraId="038B0C7F">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4593" w:type="dxa"/>
            <w:tcBorders>
              <w:top w:val="single" w:color="auto" w:sz="4" w:space="0"/>
              <w:left w:val="single" w:color="auto" w:sz="4" w:space="0"/>
              <w:bottom w:val="single" w:color="auto" w:sz="4" w:space="0"/>
              <w:right w:val="single" w:color="auto" w:sz="4" w:space="0"/>
            </w:tcBorders>
            <w:noWrap w:val="0"/>
            <w:vAlign w:val="bottom"/>
          </w:tcPr>
          <w:p w14:paraId="0EDF2BF8">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r>
      <w:tr w14:paraId="5218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bottom"/>
          </w:tcPr>
          <w:p w14:paraId="7EA22E02">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tc>
        <w:tc>
          <w:tcPr>
            <w:tcW w:w="4593" w:type="dxa"/>
            <w:tcBorders>
              <w:top w:val="single" w:color="auto" w:sz="4" w:space="0"/>
              <w:left w:val="single" w:color="auto" w:sz="4" w:space="0"/>
              <w:bottom w:val="single" w:color="auto" w:sz="4" w:space="0"/>
              <w:right w:val="single" w:color="auto" w:sz="4" w:space="0"/>
            </w:tcBorders>
            <w:noWrap w:val="0"/>
            <w:vAlign w:val="bottom"/>
          </w:tcPr>
          <w:p w14:paraId="288AB77B">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tc>
      </w:tr>
      <w:tr w14:paraId="3388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bottom"/>
          </w:tcPr>
          <w:p w14:paraId="2062DB35">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4593" w:type="dxa"/>
            <w:tcBorders>
              <w:top w:val="single" w:color="auto" w:sz="4" w:space="0"/>
              <w:left w:val="single" w:color="auto" w:sz="4" w:space="0"/>
              <w:bottom w:val="single" w:color="auto" w:sz="4" w:space="0"/>
              <w:right w:val="single" w:color="auto" w:sz="4" w:space="0"/>
            </w:tcBorders>
            <w:noWrap w:val="0"/>
            <w:vAlign w:val="bottom"/>
          </w:tcPr>
          <w:p w14:paraId="73A8B9FF">
            <w:pPr>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r>
      <w:tr w14:paraId="1E13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14:paraId="75CC7B95">
            <w:pPr>
              <w:snapToGrid w:val="0"/>
              <w:spacing w:line="360" w:lineRule="auto"/>
              <w:ind w:firstLine="720" w:firstLineChars="300"/>
              <w:jc w:val="right"/>
              <w:rPr>
                <w:rFonts w:hint="eastAsia" w:ascii="宋体" w:hAnsi="宋体" w:eastAsia="宋体" w:cs="宋体"/>
                <w:color w:val="auto"/>
                <w:sz w:val="24"/>
                <w:szCs w:val="24"/>
                <w:highlight w:val="none"/>
              </w:rPr>
            </w:pPr>
          </w:p>
          <w:p w14:paraId="30840960">
            <w:pPr>
              <w:snapToGrid w:val="0"/>
              <w:spacing w:line="360" w:lineRule="auto"/>
              <w:ind w:firstLine="720" w:firstLineChars="3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tc>
      </w:tr>
    </w:tbl>
    <w:p w14:paraId="7DDB0AD4">
      <w:pPr>
        <w:pStyle w:val="32"/>
        <w:kinsoku/>
        <w:wordWrap/>
        <w:topLinePunct w:val="0"/>
        <w:bidi w:val="0"/>
        <w:spacing w:line="400" w:lineRule="exact"/>
        <w:ind w:firstLine="480" w:firstLineChars="200"/>
        <w:textAlignment w:val="auto"/>
        <w:rPr>
          <w:rFonts w:hint="eastAsia" w:ascii="宋体" w:hAnsi="宋体" w:eastAsia="宋体" w:cs="宋体"/>
          <w:color w:val="auto"/>
          <w:sz w:val="24"/>
          <w:szCs w:val="24"/>
          <w:highlight w:val="none"/>
        </w:rPr>
      </w:pPr>
    </w:p>
    <w:p w14:paraId="11CF1F0D">
      <w:pPr>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b/>
          <w:color w:val="auto"/>
          <w:sz w:val="32"/>
          <w:szCs w:val="32"/>
          <w:highlight w:val="none"/>
        </w:rPr>
        <w:t>合 同 附 件</w:t>
      </w:r>
    </w:p>
    <w:tbl>
      <w:tblPr>
        <w:tblStyle w:val="61"/>
        <w:tblW w:w="0" w:type="auto"/>
        <w:jc w:val="center"/>
        <w:tblLayout w:type="fixed"/>
        <w:tblCellMar>
          <w:top w:w="0" w:type="dxa"/>
          <w:left w:w="108" w:type="dxa"/>
          <w:bottom w:w="0" w:type="dxa"/>
          <w:right w:w="108" w:type="dxa"/>
        </w:tblCellMar>
      </w:tblPr>
      <w:tblGrid>
        <w:gridCol w:w="4373"/>
        <w:gridCol w:w="4812"/>
      </w:tblGrid>
      <w:tr w14:paraId="275FF934">
        <w:tblPrEx>
          <w:tblCellMar>
            <w:top w:w="0" w:type="dxa"/>
            <w:left w:w="108" w:type="dxa"/>
            <w:bottom w:w="0" w:type="dxa"/>
            <w:right w:w="108" w:type="dxa"/>
          </w:tblCellMar>
        </w:tblPrEx>
        <w:trPr>
          <w:trHeight w:val="1247" w:hRule="atLeast"/>
          <w:jc w:val="center"/>
        </w:trPr>
        <w:tc>
          <w:tcPr>
            <w:tcW w:w="9185" w:type="dxa"/>
            <w:gridSpan w:val="2"/>
            <w:tcBorders>
              <w:top w:val="single" w:color="auto" w:sz="4" w:space="0"/>
              <w:left w:val="single" w:color="auto" w:sz="4" w:space="0"/>
              <w:bottom w:val="nil"/>
              <w:right w:val="single" w:color="auto" w:sz="4" w:space="0"/>
            </w:tcBorders>
            <w:noWrap w:val="0"/>
            <w:vAlign w:val="top"/>
          </w:tcPr>
          <w:p w14:paraId="40EEDA44">
            <w:pPr>
              <w:numPr>
                <w:ilvl w:val="0"/>
                <w:numId w:val="0"/>
              </w:numPr>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供应商承诺具体事项：</w:t>
            </w:r>
          </w:p>
          <w:p w14:paraId="5C3E6A1F">
            <w:pPr>
              <w:snapToGrid w:val="0"/>
              <w:spacing w:line="360" w:lineRule="auto"/>
              <w:rPr>
                <w:rFonts w:hint="eastAsia" w:ascii="宋体" w:hAnsi="宋体" w:eastAsia="宋体" w:cs="宋体"/>
                <w:b/>
                <w:color w:val="auto"/>
                <w:sz w:val="24"/>
                <w:szCs w:val="24"/>
                <w:highlight w:val="none"/>
              </w:rPr>
            </w:pPr>
          </w:p>
          <w:p w14:paraId="62AAC86F">
            <w:pPr>
              <w:snapToGrid w:val="0"/>
              <w:spacing w:line="360" w:lineRule="auto"/>
              <w:rPr>
                <w:rFonts w:hint="eastAsia" w:ascii="宋体" w:hAnsi="宋体" w:eastAsia="宋体" w:cs="宋体"/>
                <w:b/>
                <w:color w:val="auto"/>
                <w:sz w:val="24"/>
                <w:szCs w:val="24"/>
                <w:highlight w:val="none"/>
              </w:rPr>
            </w:pPr>
          </w:p>
          <w:p w14:paraId="6115823F">
            <w:pPr>
              <w:snapToGrid w:val="0"/>
              <w:spacing w:line="360" w:lineRule="auto"/>
              <w:rPr>
                <w:rFonts w:hint="eastAsia" w:ascii="宋体" w:hAnsi="宋体" w:eastAsia="宋体" w:cs="宋体"/>
                <w:b/>
                <w:color w:val="auto"/>
                <w:sz w:val="24"/>
                <w:szCs w:val="24"/>
                <w:highlight w:val="none"/>
              </w:rPr>
            </w:pPr>
          </w:p>
          <w:p w14:paraId="6BC7E2AC">
            <w:pPr>
              <w:snapToGrid w:val="0"/>
              <w:spacing w:line="360" w:lineRule="auto"/>
              <w:rPr>
                <w:rFonts w:hint="eastAsia" w:ascii="宋体" w:hAnsi="宋体" w:eastAsia="宋体" w:cs="宋体"/>
                <w:b/>
                <w:color w:val="auto"/>
                <w:sz w:val="24"/>
                <w:szCs w:val="24"/>
                <w:highlight w:val="none"/>
              </w:rPr>
            </w:pPr>
          </w:p>
          <w:p w14:paraId="08B37AAD">
            <w:pPr>
              <w:snapToGrid w:val="0"/>
              <w:spacing w:line="360" w:lineRule="auto"/>
              <w:rPr>
                <w:rFonts w:hint="eastAsia" w:ascii="宋体" w:hAnsi="宋体" w:eastAsia="宋体" w:cs="宋体"/>
                <w:b/>
                <w:color w:val="auto"/>
                <w:sz w:val="24"/>
                <w:szCs w:val="24"/>
                <w:highlight w:val="none"/>
              </w:rPr>
            </w:pPr>
          </w:p>
        </w:tc>
      </w:tr>
      <w:tr w14:paraId="681727A8">
        <w:tblPrEx>
          <w:tblCellMar>
            <w:top w:w="0" w:type="dxa"/>
            <w:left w:w="108" w:type="dxa"/>
            <w:bottom w:w="0" w:type="dxa"/>
            <w:right w:w="108" w:type="dxa"/>
          </w:tblCellMar>
        </w:tblPrEx>
        <w:trPr>
          <w:trHeight w:val="1247" w:hRule="atLeast"/>
          <w:jc w:val="center"/>
        </w:trPr>
        <w:tc>
          <w:tcPr>
            <w:tcW w:w="9185" w:type="dxa"/>
            <w:gridSpan w:val="2"/>
            <w:tcBorders>
              <w:top w:val="single" w:color="auto" w:sz="4" w:space="0"/>
              <w:left w:val="single" w:color="auto" w:sz="4" w:space="0"/>
              <w:bottom w:val="nil"/>
              <w:right w:val="single" w:color="auto" w:sz="4" w:space="0"/>
            </w:tcBorders>
            <w:noWrap w:val="0"/>
            <w:vAlign w:val="top"/>
          </w:tcPr>
          <w:p w14:paraId="699B9658">
            <w:pPr>
              <w:numPr>
                <w:ilvl w:val="0"/>
                <w:numId w:val="0"/>
              </w:numPr>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w:t>
            </w:r>
            <w:r>
              <w:rPr>
                <w:rFonts w:hint="eastAsia" w:ascii="宋体" w:hAnsi="宋体" w:cs="宋体"/>
                <w:b/>
                <w:color w:val="auto"/>
                <w:sz w:val="24"/>
                <w:szCs w:val="24"/>
                <w:highlight w:val="none"/>
                <w:lang w:val="en-US" w:eastAsia="zh-CN"/>
              </w:rPr>
              <w:t>服务期</w:t>
            </w:r>
            <w:r>
              <w:rPr>
                <w:rFonts w:hint="eastAsia" w:ascii="宋体" w:hAnsi="宋体" w:eastAsia="宋体" w:cs="宋体"/>
                <w:b/>
                <w:color w:val="auto"/>
                <w:sz w:val="24"/>
                <w:szCs w:val="24"/>
                <w:highlight w:val="none"/>
              </w:rPr>
              <w:t>责任：</w:t>
            </w:r>
          </w:p>
          <w:p w14:paraId="0F53D130">
            <w:pPr>
              <w:snapToGrid w:val="0"/>
              <w:spacing w:line="360" w:lineRule="auto"/>
              <w:rPr>
                <w:rFonts w:hint="eastAsia" w:ascii="宋体" w:hAnsi="宋体" w:eastAsia="宋体" w:cs="宋体"/>
                <w:b/>
                <w:color w:val="auto"/>
                <w:sz w:val="24"/>
                <w:szCs w:val="24"/>
                <w:highlight w:val="none"/>
              </w:rPr>
            </w:pPr>
          </w:p>
          <w:p w14:paraId="54C7D976">
            <w:pPr>
              <w:snapToGrid w:val="0"/>
              <w:spacing w:line="360" w:lineRule="auto"/>
              <w:rPr>
                <w:rFonts w:hint="eastAsia" w:ascii="宋体" w:hAnsi="宋体" w:eastAsia="宋体" w:cs="宋体"/>
                <w:b/>
                <w:color w:val="auto"/>
                <w:sz w:val="24"/>
                <w:szCs w:val="24"/>
                <w:highlight w:val="none"/>
              </w:rPr>
            </w:pPr>
          </w:p>
          <w:p w14:paraId="0DA14B28">
            <w:pPr>
              <w:snapToGrid w:val="0"/>
              <w:spacing w:line="360" w:lineRule="auto"/>
              <w:rPr>
                <w:rFonts w:hint="eastAsia" w:ascii="宋体" w:hAnsi="宋体" w:eastAsia="宋体" w:cs="宋体"/>
                <w:b/>
                <w:color w:val="auto"/>
                <w:sz w:val="24"/>
                <w:szCs w:val="24"/>
                <w:highlight w:val="none"/>
              </w:rPr>
            </w:pPr>
          </w:p>
          <w:p w14:paraId="204E0435">
            <w:pPr>
              <w:snapToGrid w:val="0"/>
              <w:spacing w:line="360" w:lineRule="auto"/>
              <w:rPr>
                <w:rFonts w:hint="eastAsia" w:ascii="宋体" w:hAnsi="宋体" w:eastAsia="宋体" w:cs="宋体"/>
                <w:b/>
                <w:color w:val="auto"/>
                <w:sz w:val="24"/>
                <w:szCs w:val="24"/>
                <w:highlight w:val="none"/>
              </w:rPr>
            </w:pPr>
          </w:p>
          <w:p w14:paraId="5C4113FF">
            <w:pPr>
              <w:snapToGrid w:val="0"/>
              <w:spacing w:line="360" w:lineRule="auto"/>
              <w:rPr>
                <w:rFonts w:hint="eastAsia" w:ascii="宋体" w:hAnsi="宋体" w:eastAsia="宋体" w:cs="宋体"/>
                <w:b/>
                <w:color w:val="auto"/>
                <w:sz w:val="24"/>
                <w:szCs w:val="24"/>
                <w:highlight w:val="none"/>
              </w:rPr>
            </w:pPr>
          </w:p>
        </w:tc>
      </w:tr>
      <w:tr w14:paraId="0CE79510">
        <w:tblPrEx>
          <w:tblCellMar>
            <w:top w:w="0" w:type="dxa"/>
            <w:left w:w="108" w:type="dxa"/>
            <w:bottom w:w="0" w:type="dxa"/>
            <w:right w:w="108" w:type="dxa"/>
          </w:tblCellMar>
        </w:tblPrEx>
        <w:trPr>
          <w:trHeight w:val="1247" w:hRule="atLeast"/>
          <w:jc w:val="center"/>
        </w:trPr>
        <w:tc>
          <w:tcPr>
            <w:tcW w:w="9185" w:type="dxa"/>
            <w:gridSpan w:val="2"/>
            <w:tcBorders>
              <w:top w:val="single" w:color="auto" w:sz="4" w:space="0"/>
              <w:left w:val="single" w:color="auto" w:sz="4" w:space="0"/>
              <w:bottom w:val="nil"/>
              <w:right w:val="single" w:color="auto" w:sz="4" w:space="0"/>
            </w:tcBorders>
            <w:noWrap w:val="0"/>
            <w:vAlign w:val="top"/>
          </w:tcPr>
          <w:p w14:paraId="7C6E28A9">
            <w:pPr>
              <w:numPr>
                <w:ilvl w:val="0"/>
                <w:numId w:val="0"/>
              </w:numPr>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其他具体事项：</w:t>
            </w:r>
          </w:p>
          <w:p w14:paraId="533B53F8">
            <w:pPr>
              <w:snapToGrid w:val="0"/>
              <w:spacing w:line="360" w:lineRule="auto"/>
              <w:rPr>
                <w:rFonts w:hint="eastAsia" w:ascii="宋体" w:hAnsi="宋体" w:eastAsia="宋体" w:cs="宋体"/>
                <w:b/>
                <w:color w:val="auto"/>
                <w:sz w:val="24"/>
                <w:szCs w:val="24"/>
                <w:highlight w:val="none"/>
              </w:rPr>
            </w:pPr>
          </w:p>
          <w:p w14:paraId="78812CB5">
            <w:pPr>
              <w:snapToGrid w:val="0"/>
              <w:spacing w:line="360" w:lineRule="auto"/>
              <w:rPr>
                <w:rFonts w:hint="eastAsia" w:ascii="宋体" w:hAnsi="宋体" w:eastAsia="宋体" w:cs="宋体"/>
                <w:b/>
                <w:color w:val="auto"/>
                <w:sz w:val="24"/>
                <w:szCs w:val="24"/>
                <w:highlight w:val="none"/>
              </w:rPr>
            </w:pPr>
          </w:p>
          <w:p w14:paraId="47B2816B">
            <w:pPr>
              <w:snapToGrid w:val="0"/>
              <w:spacing w:line="360" w:lineRule="auto"/>
              <w:rPr>
                <w:rFonts w:hint="eastAsia" w:ascii="宋体" w:hAnsi="宋体" w:eastAsia="宋体" w:cs="宋体"/>
                <w:b/>
                <w:color w:val="auto"/>
                <w:sz w:val="24"/>
                <w:szCs w:val="24"/>
                <w:highlight w:val="none"/>
              </w:rPr>
            </w:pPr>
          </w:p>
          <w:p w14:paraId="72D69A82">
            <w:pPr>
              <w:snapToGrid w:val="0"/>
              <w:spacing w:line="360" w:lineRule="auto"/>
              <w:rPr>
                <w:rFonts w:hint="eastAsia" w:ascii="宋体" w:hAnsi="宋体" w:eastAsia="宋体" w:cs="宋体"/>
                <w:b/>
                <w:color w:val="auto"/>
                <w:sz w:val="24"/>
                <w:szCs w:val="24"/>
                <w:highlight w:val="none"/>
              </w:rPr>
            </w:pPr>
          </w:p>
          <w:p w14:paraId="393E1D5A">
            <w:pPr>
              <w:snapToGrid w:val="0"/>
              <w:spacing w:line="360" w:lineRule="auto"/>
              <w:rPr>
                <w:rFonts w:hint="eastAsia" w:ascii="宋体" w:hAnsi="宋体" w:eastAsia="宋体" w:cs="宋体"/>
                <w:b/>
                <w:color w:val="auto"/>
                <w:sz w:val="24"/>
                <w:szCs w:val="24"/>
                <w:highlight w:val="none"/>
              </w:rPr>
            </w:pPr>
          </w:p>
        </w:tc>
      </w:tr>
      <w:tr w14:paraId="6475D575">
        <w:tblPrEx>
          <w:tblCellMar>
            <w:top w:w="0" w:type="dxa"/>
            <w:left w:w="108" w:type="dxa"/>
            <w:bottom w:w="0" w:type="dxa"/>
            <w:right w:w="108" w:type="dxa"/>
          </w:tblCellMar>
        </w:tblPrEx>
        <w:trPr>
          <w:trHeight w:val="2577" w:hRule="atLeast"/>
          <w:jc w:val="center"/>
        </w:trPr>
        <w:tc>
          <w:tcPr>
            <w:tcW w:w="4373" w:type="dxa"/>
            <w:tcBorders>
              <w:top w:val="single" w:color="auto" w:sz="4" w:space="0"/>
              <w:left w:val="single" w:color="auto" w:sz="4" w:space="0"/>
              <w:bottom w:val="single" w:color="auto" w:sz="4" w:space="0"/>
              <w:right w:val="single" w:color="auto" w:sz="4" w:space="0"/>
            </w:tcBorders>
            <w:noWrap w:val="0"/>
            <w:vAlign w:val="center"/>
          </w:tcPr>
          <w:p w14:paraId="320EC1D3">
            <w:pPr>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甲方（章）</w:t>
            </w:r>
          </w:p>
          <w:p w14:paraId="6CEAE253">
            <w:pPr>
              <w:snapToGrid w:val="0"/>
              <w:spacing w:line="360" w:lineRule="auto"/>
              <w:ind w:firstLine="482" w:firstLineChars="200"/>
              <w:rPr>
                <w:rFonts w:hint="eastAsia" w:ascii="宋体" w:hAnsi="宋体" w:eastAsia="宋体" w:cs="宋体"/>
                <w:b/>
                <w:color w:val="auto"/>
                <w:sz w:val="24"/>
                <w:szCs w:val="24"/>
                <w:highlight w:val="none"/>
              </w:rPr>
            </w:pPr>
          </w:p>
          <w:p w14:paraId="28B94E6A">
            <w:pPr>
              <w:snapToGrid w:val="0"/>
              <w:spacing w:line="360" w:lineRule="auto"/>
              <w:ind w:firstLine="482" w:firstLineChars="200"/>
              <w:rPr>
                <w:rFonts w:hint="eastAsia" w:ascii="宋体" w:hAnsi="宋体" w:eastAsia="宋体" w:cs="宋体"/>
                <w:b/>
                <w:color w:val="auto"/>
                <w:sz w:val="24"/>
                <w:szCs w:val="24"/>
                <w:highlight w:val="none"/>
              </w:rPr>
            </w:pPr>
          </w:p>
          <w:p w14:paraId="41A7AB55">
            <w:pPr>
              <w:snapToGrid w:val="0"/>
              <w:spacing w:line="360" w:lineRule="auto"/>
              <w:ind w:firstLine="482" w:firstLineChars="200"/>
              <w:rPr>
                <w:rFonts w:hint="eastAsia" w:ascii="宋体" w:hAnsi="宋体" w:eastAsia="宋体" w:cs="宋体"/>
                <w:b/>
                <w:color w:val="auto"/>
                <w:sz w:val="24"/>
                <w:szCs w:val="24"/>
                <w:highlight w:val="none"/>
              </w:rPr>
            </w:pPr>
          </w:p>
          <w:p w14:paraId="222E4D12">
            <w:pPr>
              <w:snapToGrid w:val="0"/>
              <w:spacing w:line="360" w:lineRule="auto"/>
              <w:rPr>
                <w:rFonts w:hint="eastAsia" w:ascii="宋体" w:hAnsi="宋体" w:eastAsia="宋体" w:cs="宋体"/>
                <w:b/>
                <w:color w:val="auto"/>
                <w:sz w:val="24"/>
                <w:szCs w:val="24"/>
                <w:highlight w:val="none"/>
              </w:rPr>
            </w:pPr>
          </w:p>
          <w:p w14:paraId="6997E047">
            <w:pPr>
              <w:snapToGrid w:val="0"/>
              <w:spacing w:line="360" w:lineRule="auto"/>
              <w:rPr>
                <w:rFonts w:hint="eastAsia" w:ascii="宋体" w:hAnsi="宋体" w:eastAsia="宋体" w:cs="宋体"/>
                <w:b/>
                <w:color w:val="auto"/>
                <w:sz w:val="24"/>
                <w:szCs w:val="24"/>
                <w:highlight w:val="none"/>
              </w:rPr>
            </w:pPr>
          </w:p>
          <w:p w14:paraId="368289FF">
            <w:pPr>
              <w:snapToGrid w:val="0"/>
              <w:spacing w:line="360" w:lineRule="auto"/>
              <w:rPr>
                <w:rFonts w:hint="eastAsia" w:ascii="宋体" w:hAnsi="宋体" w:eastAsia="宋体" w:cs="宋体"/>
                <w:b/>
                <w:color w:val="auto"/>
                <w:sz w:val="24"/>
                <w:szCs w:val="24"/>
                <w:highlight w:val="none"/>
              </w:rPr>
            </w:pPr>
          </w:p>
          <w:p w14:paraId="3B2CF13B">
            <w:pPr>
              <w:snapToGrid w:val="0"/>
              <w:spacing w:line="360" w:lineRule="auto"/>
              <w:rPr>
                <w:rFonts w:hint="eastAsia" w:ascii="宋体" w:hAnsi="宋体" w:eastAsia="宋体" w:cs="宋体"/>
                <w:b/>
                <w:color w:val="auto"/>
                <w:sz w:val="24"/>
                <w:szCs w:val="24"/>
                <w:highlight w:val="none"/>
              </w:rPr>
            </w:pPr>
          </w:p>
          <w:p w14:paraId="4D1687A5">
            <w:pPr>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年   月   日 </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23A4E7BC">
            <w:pPr>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乙方（章）</w:t>
            </w:r>
          </w:p>
          <w:p w14:paraId="5E275169">
            <w:pPr>
              <w:snapToGrid w:val="0"/>
              <w:spacing w:line="360" w:lineRule="auto"/>
              <w:rPr>
                <w:rFonts w:hint="eastAsia" w:ascii="宋体" w:hAnsi="宋体" w:eastAsia="宋体" w:cs="宋体"/>
                <w:b/>
                <w:color w:val="auto"/>
                <w:sz w:val="24"/>
                <w:szCs w:val="24"/>
                <w:highlight w:val="none"/>
              </w:rPr>
            </w:pPr>
          </w:p>
          <w:p w14:paraId="5819DB4F">
            <w:pPr>
              <w:snapToGrid w:val="0"/>
              <w:spacing w:line="360" w:lineRule="auto"/>
              <w:rPr>
                <w:rFonts w:hint="eastAsia" w:ascii="宋体" w:hAnsi="宋体" w:eastAsia="宋体" w:cs="宋体"/>
                <w:b/>
                <w:color w:val="auto"/>
                <w:sz w:val="24"/>
                <w:szCs w:val="24"/>
                <w:highlight w:val="none"/>
              </w:rPr>
            </w:pPr>
          </w:p>
          <w:p w14:paraId="0B8DF612">
            <w:pPr>
              <w:snapToGrid w:val="0"/>
              <w:spacing w:line="360" w:lineRule="auto"/>
              <w:rPr>
                <w:rFonts w:hint="eastAsia" w:ascii="宋体" w:hAnsi="宋体" w:eastAsia="宋体" w:cs="宋体"/>
                <w:b/>
                <w:color w:val="auto"/>
                <w:sz w:val="24"/>
                <w:szCs w:val="24"/>
                <w:highlight w:val="none"/>
              </w:rPr>
            </w:pPr>
          </w:p>
          <w:p w14:paraId="4C1B4EC7">
            <w:pPr>
              <w:snapToGrid w:val="0"/>
              <w:spacing w:line="360" w:lineRule="auto"/>
              <w:ind w:firstLine="482" w:firstLineChars="200"/>
              <w:rPr>
                <w:rFonts w:hint="eastAsia" w:ascii="宋体" w:hAnsi="宋体" w:eastAsia="宋体" w:cs="宋体"/>
                <w:b/>
                <w:color w:val="auto"/>
                <w:sz w:val="24"/>
                <w:szCs w:val="24"/>
                <w:highlight w:val="none"/>
              </w:rPr>
            </w:pPr>
          </w:p>
          <w:p w14:paraId="7C3D2972">
            <w:pPr>
              <w:snapToGrid w:val="0"/>
              <w:spacing w:line="360" w:lineRule="auto"/>
              <w:ind w:firstLine="482" w:firstLineChars="200"/>
              <w:rPr>
                <w:rFonts w:hint="eastAsia" w:ascii="宋体" w:hAnsi="宋体" w:eastAsia="宋体" w:cs="宋体"/>
                <w:b/>
                <w:color w:val="auto"/>
                <w:sz w:val="24"/>
                <w:szCs w:val="24"/>
                <w:highlight w:val="none"/>
              </w:rPr>
            </w:pPr>
          </w:p>
          <w:p w14:paraId="490374BA">
            <w:pPr>
              <w:snapToGrid w:val="0"/>
              <w:spacing w:line="360" w:lineRule="auto"/>
              <w:ind w:firstLine="482" w:firstLineChars="200"/>
              <w:rPr>
                <w:rFonts w:hint="eastAsia" w:ascii="宋体" w:hAnsi="宋体" w:eastAsia="宋体" w:cs="宋体"/>
                <w:b/>
                <w:color w:val="auto"/>
                <w:sz w:val="24"/>
                <w:szCs w:val="24"/>
                <w:highlight w:val="none"/>
              </w:rPr>
            </w:pPr>
          </w:p>
          <w:p w14:paraId="27C4E2D6">
            <w:pPr>
              <w:snapToGrid w:val="0"/>
              <w:spacing w:line="360" w:lineRule="auto"/>
              <w:rPr>
                <w:rFonts w:hint="eastAsia" w:ascii="宋体" w:hAnsi="宋体" w:eastAsia="宋体" w:cs="宋体"/>
                <w:b/>
                <w:color w:val="auto"/>
                <w:sz w:val="24"/>
                <w:szCs w:val="24"/>
                <w:highlight w:val="none"/>
              </w:rPr>
            </w:pPr>
          </w:p>
          <w:p w14:paraId="121F8814">
            <w:pPr>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年   月   日</w:t>
            </w:r>
          </w:p>
        </w:tc>
      </w:tr>
    </w:tbl>
    <w:p w14:paraId="2483E0B3">
      <w:pPr>
        <w:snapToGrid w:val="0"/>
        <w:spacing w:beforeLines="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注：填不下时可另加附页</w:t>
      </w:r>
    </w:p>
    <w:p w14:paraId="64C1FDB5">
      <w:pPr>
        <w:snapToGrid w:val="0"/>
        <w:spacing w:line="360" w:lineRule="auto"/>
        <w:jc w:val="center"/>
        <w:outlineLvl w:val="0"/>
        <w:rPr>
          <w:rFonts w:hint="eastAsia" w:cs="仿宋_GB2312" w:asciiTheme="minorEastAsia" w:hAnsiTheme="minorEastAsia" w:eastAsiaTheme="minorEastAsia"/>
          <w:b/>
          <w:color w:val="auto"/>
          <w:sz w:val="36"/>
          <w:szCs w:val="20"/>
          <w:highlight w:val="none"/>
        </w:rPr>
      </w:pPr>
      <w:bookmarkStart w:id="68" w:name="_Toc802"/>
      <w:r>
        <w:rPr>
          <w:rFonts w:hint="eastAsia" w:cs="仿宋_GB2312" w:asciiTheme="minorEastAsia" w:hAnsiTheme="minorEastAsia" w:eastAsiaTheme="minorEastAsia"/>
          <w:b/>
          <w:color w:val="auto"/>
          <w:sz w:val="36"/>
          <w:szCs w:val="20"/>
          <w:highlight w:val="none"/>
        </w:rPr>
        <w:t>第七部分</w:t>
      </w:r>
      <w:bookmarkEnd w:id="48"/>
      <w:r>
        <w:rPr>
          <w:rFonts w:hint="eastAsia" w:cs="仿宋_GB2312" w:asciiTheme="minorEastAsia" w:hAnsiTheme="minorEastAsia" w:eastAsiaTheme="minorEastAsia"/>
          <w:b/>
          <w:color w:val="auto"/>
          <w:sz w:val="36"/>
          <w:szCs w:val="20"/>
          <w:highlight w:val="none"/>
        </w:rPr>
        <w:t xml:space="preserve">  </w:t>
      </w:r>
      <w:bookmarkEnd w:id="49"/>
      <w:r>
        <w:rPr>
          <w:rFonts w:hint="eastAsia" w:cs="仿宋_GB2312" w:asciiTheme="minorEastAsia" w:hAnsiTheme="minorEastAsia" w:eastAsiaTheme="minorEastAsia"/>
          <w:b/>
          <w:color w:val="auto"/>
          <w:sz w:val="36"/>
          <w:szCs w:val="20"/>
          <w:highlight w:val="none"/>
        </w:rPr>
        <w:t>应提交的有关格式范例</w:t>
      </w:r>
      <w:bookmarkEnd w:id="68"/>
    </w:p>
    <w:p w14:paraId="4316B340">
      <w:pPr>
        <w:spacing w:line="520" w:lineRule="exact"/>
        <w:rPr>
          <w:rFonts w:ascii="宋体" w:hAnsi="宋体" w:cs="宋体"/>
          <w:b/>
          <w:color w:val="auto"/>
          <w:kern w:val="1"/>
          <w:sz w:val="36"/>
          <w:szCs w:val="36"/>
          <w:highlight w:val="none"/>
        </w:rPr>
      </w:pPr>
    </w:p>
    <w:p w14:paraId="52826845">
      <w:pPr>
        <w:spacing w:line="520" w:lineRule="exact"/>
        <w:rPr>
          <w:rFonts w:ascii="宋体" w:hAnsi="宋体" w:eastAsia="宋体" w:cs="宋体"/>
          <w:b/>
          <w:color w:val="auto"/>
          <w:kern w:val="1"/>
          <w:sz w:val="36"/>
          <w:szCs w:val="36"/>
          <w:highlight w:val="none"/>
        </w:rPr>
      </w:pPr>
      <w:r>
        <w:rPr>
          <w:rFonts w:ascii="宋体" w:hAnsi="宋体" w:cs="宋体"/>
          <w:b/>
          <w:color w:val="auto"/>
          <w:kern w:val="1"/>
          <w:sz w:val="36"/>
          <w:szCs w:val="36"/>
          <w:highlight w:val="none"/>
        </w:rPr>
        <w:t>一、</w:t>
      </w:r>
      <w:r>
        <w:rPr>
          <w:rFonts w:hint="default" w:ascii="宋体" w:hAnsi="宋体" w:eastAsia="宋体" w:cs="宋体"/>
          <w:b/>
          <w:bCs w:val="0"/>
          <w:color w:val="auto"/>
          <w:kern w:val="1"/>
          <w:sz w:val="36"/>
          <w:szCs w:val="36"/>
          <w:highlight w:val="none"/>
          <w:lang w:val="en-US" w:eastAsia="zh-CN" w:bidi="ar"/>
        </w:rPr>
        <w:t xml:space="preserve">资格证明文件格式 </w:t>
      </w:r>
    </w:p>
    <w:p w14:paraId="053F97FD">
      <w:pPr>
        <w:spacing w:before="120" w:after="50" w:line="360" w:lineRule="exact"/>
        <w:rPr>
          <w:rFonts w:ascii="宋体" w:hAnsi="宋体" w:cs="宋体"/>
          <w:b/>
          <w:color w:val="auto"/>
          <w:kern w:val="1"/>
          <w:szCs w:val="21"/>
          <w:highlight w:val="none"/>
        </w:rPr>
      </w:pPr>
    </w:p>
    <w:p w14:paraId="2BF66227">
      <w:pPr>
        <w:keepNext w:val="0"/>
        <w:keepLines w:val="0"/>
        <w:widowControl/>
        <w:suppressLineNumbers w:val="0"/>
        <w:jc w:val="left"/>
        <w:rPr>
          <w:color w:val="auto"/>
          <w:highlight w:val="none"/>
        </w:rPr>
      </w:pPr>
      <w:r>
        <w:rPr>
          <w:rFonts w:hint="eastAsia" w:ascii="宋体" w:hAnsi="宋体" w:eastAsia="宋体" w:cs="宋体"/>
          <w:b/>
          <w:bCs/>
          <w:color w:val="auto"/>
          <w:kern w:val="0"/>
          <w:sz w:val="24"/>
          <w:szCs w:val="24"/>
          <w:highlight w:val="none"/>
          <w:lang w:val="en-US" w:eastAsia="zh-CN" w:bidi="ar"/>
        </w:rPr>
        <w:t xml:space="preserve"> </w:t>
      </w:r>
      <w:r>
        <w:rPr>
          <w:rFonts w:hint="eastAsia" w:ascii="宋体" w:hAnsi="宋体" w:eastAsia="宋体" w:cs="宋体"/>
          <w:b/>
          <w:bCs/>
          <w:color w:val="auto"/>
          <w:kern w:val="0"/>
          <w:sz w:val="30"/>
          <w:szCs w:val="30"/>
          <w:highlight w:val="none"/>
          <w:lang w:val="en-US" w:eastAsia="zh-CN" w:bidi="ar"/>
        </w:rPr>
        <w:t xml:space="preserve">1.资格证明文件封面格式： </w:t>
      </w:r>
    </w:p>
    <w:p w14:paraId="2BD6A9BD">
      <w:pPr>
        <w:keepNext w:val="0"/>
        <w:keepLines w:val="0"/>
        <w:widowControl/>
        <w:suppressLineNumbers w:val="0"/>
        <w:jc w:val="left"/>
        <w:rPr>
          <w:color w:val="auto"/>
          <w:highlight w:val="none"/>
        </w:rPr>
      </w:pPr>
    </w:p>
    <w:p w14:paraId="102FF927">
      <w:pPr>
        <w:keepNext w:val="0"/>
        <w:keepLines w:val="0"/>
        <w:widowControl/>
        <w:suppressLineNumbers w:val="0"/>
        <w:ind w:firstLine="3010" w:firstLineChars="700"/>
        <w:jc w:val="left"/>
        <w:rPr>
          <w:rFonts w:hint="eastAsia" w:ascii="宋体" w:hAnsi="宋体" w:eastAsia="宋体" w:cs="宋体"/>
          <w:color w:val="auto"/>
          <w:kern w:val="0"/>
          <w:sz w:val="43"/>
          <w:szCs w:val="43"/>
          <w:highlight w:val="none"/>
          <w:lang w:val="en-US" w:eastAsia="zh-CN" w:bidi="ar"/>
        </w:rPr>
      </w:pPr>
    </w:p>
    <w:p w14:paraId="59789441">
      <w:pP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5E1D2900">
      <w:pPr>
        <w:snapToGrid w:val="0"/>
        <w:spacing w:before="156" w:beforeLines="50" w:after="50"/>
        <w:rPr>
          <w:rFonts w:ascii="宋体" w:hAnsi="宋体"/>
          <w:color w:val="auto"/>
          <w:sz w:val="24"/>
          <w:szCs w:val="20"/>
          <w:highlight w:val="none"/>
        </w:rPr>
      </w:pPr>
    </w:p>
    <w:p w14:paraId="290F97FA">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622BAD75">
      <w:pPr>
        <w:snapToGrid w:val="0"/>
        <w:spacing w:before="156" w:beforeLines="50" w:after="50"/>
        <w:rPr>
          <w:rFonts w:ascii="宋体" w:hAnsi="宋体"/>
          <w:bCs/>
          <w:color w:val="auto"/>
          <w:sz w:val="24"/>
          <w:szCs w:val="20"/>
          <w:highlight w:val="none"/>
        </w:rPr>
      </w:pPr>
    </w:p>
    <w:p w14:paraId="1B64832C">
      <w:pPr>
        <w:snapToGrid w:val="0"/>
        <w:spacing w:before="156" w:beforeLines="50" w:after="50"/>
        <w:rPr>
          <w:rFonts w:ascii="宋体" w:hAnsi="宋体"/>
          <w:bCs/>
          <w:color w:val="auto"/>
          <w:sz w:val="24"/>
          <w:szCs w:val="20"/>
          <w:highlight w:val="none"/>
        </w:rPr>
      </w:pPr>
    </w:p>
    <w:p w14:paraId="6D4BF3DE">
      <w:pPr>
        <w:snapToGrid w:val="0"/>
        <w:spacing w:before="156" w:beforeLines="50" w:after="50"/>
        <w:rPr>
          <w:rFonts w:ascii="宋体" w:hAnsi="宋体"/>
          <w:bCs/>
          <w:color w:val="auto"/>
          <w:sz w:val="24"/>
          <w:szCs w:val="20"/>
          <w:highlight w:val="none"/>
        </w:rPr>
      </w:pPr>
    </w:p>
    <w:p w14:paraId="61B897D9">
      <w:pPr>
        <w:snapToGrid w:val="0"/>
        <w:spacing w:before="156" w:beforeLines="50" w:after="50"/>
        <w:rPr>
          <w:rFonts w:ascii="宋体" w:hAnsi="宋体"/>
          <w:bCs/>
          <w:color w:val="auto"/>
          <w:sz w:val="24"/>
          <w:szCs w:val="20"/>
          <w:highlight w:val="none"/>
        </w:rPr>
      </w:pPr>
    </w:p>
    <w:p w14:paraId="746F2CCF">
      <w:pPr>
        <w:snapToGrid w:val="0"/>
        <w:spacing w:before="156" w:beforeLines="50" w:after="50"/>
        <w:rPr>
          <w:rFonts w:ascii="宋体" w:hAnsi="宋体"/>
          <w:bCs/>
          <w:color w:val="auto"/>
          <w:sz w:val="24"/>
          <w:szCs w:val="20"/>
          <w:highlight w:val="none"/>
        </w:rPr>
      </w:pPr>
    </w:p>
    <w:p w14:paraId="0A763CED">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F0E67D7">
      <w:pPr>
        <w:snapToGrid w:val="0"/>
        <w:spacing w:before="156" w:beforeLines="50" w:after="50"/>
        <w:ind w:firstLine="720" w:firstLineChars="225"/>
        <w:rPr>
          <w:rFonts w:ascii="宋体" w:hAnsi="宋体" w:cs="仿宋_GB2312"/>
          <w:bCs/>
          <w:color w:val="auto"/>
          <w:sz w:val="32"/>
          <w:szCs w:val="32"/>
          <w:highlight w:val="none"/>
        </w:rPr>
      </w:pPr>
    </w:p>
    <w:p w14:paraId="2DFF1021">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lang w:eastAsia="zh-CN"/>
        </w:rPr>
        <w:t>项目编号：</w:t>
      </w:r>
      <w:r>
        <w:rPr>
          <w:rFonts w:hint="eastAsia" w:ascii="宋体" w:hAnsi="宋体" w:cs="仿宋_GB2312"/>
          <w:bCs/>
          <w:color w:val="auto"/>
          <w:sz w:val="32"/>
          <w:szCs w:val="32"/>
          <w:highlight w:val="none"/>
        </w:rPr>
        <w:t xml:space="preserve"> </w:t>
      </w:r>
    </w:p>
    <w:p w14:paraId="2EE8B16C">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15B3035C">
      <w:pPr>
        <w:snapToGrid w:val="0"/>
        <w:spacing w:before="156" w:beforeLines="50" w:after="50"/>
        <w:ind w:firstLine="720" w:firstLineChars="225"/>
        <w:rPr>
          <w:rFonts w:ascii="宋体" w:hAnsi="宋体" w:cs="仿宋_GB2312"/>
          <w:bCs/>
          <w:color w:val="auto"/>
          <w:sz w:val="32"/>
          <w:szCs w:val="32"/>
          <w:highlight w:val="none"/>
        </w:rPr>
      </w:pPr>
    </w:p>
    <w:p w14:paraId="656EE058">
      <w:pPr>
        <w:pStyle w:val="16"/>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4AA9EED">
      <w:pPr>
        <w:snapToGrid w:val="0"/>
        <w:spacing w:before="156" w:beforeLines="50" w:after="50"/>
        <w:ind w:firstLine="640" w:firstLineChars="200"/>
        <w:rPr>
          <w:rFonts w:ascii="宋体" w:hAnsi="宋体" w:cs="仿宋_GB2312"/>
          <w:bCs/>
          <w:color w:val="auto"/>
          <w:sz w:val="32"/>
          <w:szCs w:val="32"/>
          <w:highlight w:val="none"/>
        </w:rPr>
      </w:pPr>
    </w:p>
    <w:p w14:paraId="5A90C983">
      <w:pPr>
        <w:pStyle w:val="16"/>
        <w:snapToGrid w:val="0"/>
        <w:spacing w:before="50" w:after="50"/>
        <w:ind w:firstLine="720" w:firstLineChars="225"/>
        <w:rPr>
          <w:rFonts w:ascii="宋体" w:hAnsi="宋体" w:cs="仿宋_GB2312"/>
          <w:bCs/>
          <w:color w:val="auto"/>
          <w:sz w:val="32"/>
          <w:szCs w:val="32"/>
          <w:highlight w:val="none"/>
        </w:rPr>
      </w:pPr>
    </w:p>
    <w:p w14:paraId="5CA52E23">
      <w:pPr>
        <w:pStyle w:val="16"/>
        <w:snapToGrid w:val="0"/>
        <w:spacing w:before="50" w:after="50"/>
        <w:ind w:firstLine="720" w:firstLineChars="225"/>
        <w:rPr>
          <w:rFonts w:ascii="宋体" w:hAnsi="宋体" w:cs="仿宋_GB2312"/>
          <w:bCs/>
          <w:color w:val="auto"/>
          <w:sz w:val="32"/>
          <w:szCs w:val="32"/>
          <w:highlight w:val="none"/>
        </w:rPr>
      </w:pPr>
    </w:p>
    <w:p w14:paraId="6E3B8883">
      <w:pPr>
        <w:pStyle w:val="16"/>
        <w:snapToGrid w:val="0"/>
        <w:spacing w:before="50" w:after="50"/>
        <w:ind w:firstLine="1280" w:firstLineChars="400"/>
        <w:rPr>
          <w:rFonts w:ascii="宋体" w:hAnsi="宋体" w:cs="仿宋_GB2312"/>
          <w:bCs/>
          <w:color w:val="auto"/>
          <w:sz w:val="32"/>
          <w:szCs w:val="32"/>
          <w:highlight w:val="none"/>
        </w:rPr>
      </w:pPr>
    </w:p>
    <w:p w14:paraId="049262E8">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382AF39">
      <w:pPr>
        <w:snapToGrid w:val="0"/>
        <w:spacing w:before="156" w:beforeLines="50" w:after="50" w:line="360" w:lineRule="auto"/>
        <w:ind w:firstLine="645"/>
        <w:rPr>
          <w:rFonts w:ascii="宋体" w:hAnsi="宋体"/>
          <w:color w:val="auto"/>
          <w:sz w:val="24"/>
          <w:szCs w:val="24"/>
          <w:highlight w:val="none"/>
        </w:rPr>
      </w:pPr>
      <w:r>
        <w:rPr>
          <w:rFonts w:ascii="宋体" w:hAnsi="宋体"/>
          <w:color w:val="auto"/>
          <w:sz w:val="24"/>
          <w:highlight w:val="none"/>
        </w:rPr>
        <w:br w:type="page"/>
      </w:r>
    </w:p>
    <w:p w14:paraId="2BA5CECA">
      <w:pPr>
        <w:snapToGrid w:val="0"/>
        <w:spacing w:before="156" w:beforeLines="50" w:after="50"/>
        <w:rPr>
          <w:rFonts w:ascii="宋体" w:hAnsi="宋体"/>
          <w:color w:val="auto"/>
          <w:szCs w:val="21"/>
          <w:highlight w:val="none"/>
        </w:rPr>
      </w:pPr>
      <w:r>
        <w:rPr>
          <w:rFonts w:ascii="宋体" w:hAnsi="宋体"/>
          <w:color w:val="auto"/>
          <w:sz w:val="24"/>
          <w:szCs w:val="20"/>
          <w:highlight w:val="none"/>
        </w:rPr>
        <w:t xml:space="preserve"> </w:t>
      </w:r>
    </w:p>
    <w:p w14:paraId="4D8254D3">
      <w:pPr>
        <w:spacing w:line="380" w:lineRule="exact"/>
        <w:ind w:left="142"/>
        <w:rPr>
          <w:rFonts w:ascii="宋体" w:hAnsi="宋体"/>
          <w:b/>
          <w:bCs/>
          <w:color w:val="auto"/>
          <w:sz w:val="24"/>
          <w:highlight w:val="none"/>
        </w:rPr>
      </w:pPr>
    </w:p>
    <w:p w14:paraId="139A8978">
      <w:pPr>
        <w:spacing w:line="380" w:lineRule="exact"/>
        <w:jc w:val="center"/>
        <w:rPr>
          <w:rFonts w:hint="default" w:eastAsia="宋体"/>
          <w:b/>
          <w:bCs/>
          <w:color w:val="auto"/>
          <w:kern w:val="0"/>
          <w:sz w:val="32"/>
          <w:szCs w:val="32"/>
          <w:highlight w:val="none"/>
          <w:lang w:val="en-US" w:eastAsia="zh-CN"/>
        </w:rPr>
      </w:pPr>
      <w:r>
        <w:rPr>
          <w:rFonts w:hint="eastAsia"/>
          <w:b/>
          <w:bCs/>
          <w:color w:val="auto"/>
          <w:kern w:val="0"/>
          <w:sz w:val="32"/>
          <w:szCs w:val="32"/>
          <w:highlight w:val="none"/>
        </w:rPr>
        <w:t>北海市政府采购供应商信用承诺函</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2514FC5C">
      <w:pPr>
        <w:spacing w:line="380" w:lineRule="exact"/>
        <w:jc w:val="center"/>
        <w:rPr>
          <w:b/>
          <w:bCs/>
          <w:color w:val="auto"/>
          <w:kern w:val="0"/>
          <w:sz w:val="32"/>
          <w:szCs w:val="32"/>
          <w:highlight w:val="none"/>
        </w:rPr>
      </w:pPr>
    </w:p>
    <w:p w14:paraId="162F599A">
      <w:pPr>
        <w:wordWrap w:val="0"/>
        <w:spacing w:line="360" w:lineRule="auto"/>
        <w:rPr>
          <w:color w:val="auto"/>
          <w:kern w:val="0"/>
          <w:sz w:val="24"/>
          <w:highlight w:val="none"/>
        </w:rPr>
      </w:pPr>
      <w:r>
        <w:rPr>
          <w:rFonts w:hint="eastAsia"/>
          <w:color w:val="auto"/>
          <w:kern w:val="0"/>
          <w:sz w:val="24"/>
          <w:highlight w:val="none"/>
        </w:rPr>
        <w:t>致（采购人或采购代理机构）：</w:t>
      </w:r>
    </w:p>
    <w:p w14:paraId="08F1AA98">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56B4F6A6">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7B458AEF">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0553AB40">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6ED3F618">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3D0CBBA8">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47DD2AF8">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613FF23B">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62E34AB3">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5B1235D1">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若我单位承诺不实，自愿承担提供虚假材料谋取中标、成交的法律责任。</w:t>
      </w:r>
    </w:p>
    <w:p w14:paraId="258CEF44">
      <w:pPr>
        <w:snapToGrid w:val="0"/>
        <w:spacing w:line="360" w:lineRule="auto"/>
        <w:jc w:val="left"/>
        <w:rPr>
          <w:rFonts w:ascii="宋体" w:hAnsi="宋体"/>
          <w:color w:val="auto"/>
          <w:sz w:val="24"/>
          <w:highlight w:val="none"/>
        </w:rPr>
      </w:pPr>
    </w:p>
    <w:p w14:paraId="445430E7">
      <w:pPr>
        <w:snapToGrid w:val="0"/>
        <w:spacing w:line="360" w:lineRule="auto"/>
        <w:ind w:left="-2" w:leftChars="-1" w:right="-817" w:rightChars="-389"/>
        <w:rPr>
          <w:rFonts w:ascii="宋体" w:hAnsi="宋体" w:cs="宋体"/>
          <w:color w:val="auto"/>
          <w:kern w:val="0"/>
          <w:sz w:val="24"/>
          <w:highlight w:val="none"/>
        </w:rPr>
      </w:pPr>
      <w:r>
        <w:rPr>
          <w:rFonts w:hint="eastAsia" w:ascii="宋体" w:hAnsi="宋体"/>
          <w:color w:val="auto"/>
          <w:sz w:val="24"/>
          <w:highlight w:val="none"/>
        </w:rPr>
        <w:t xml:space="preserve">                        </w:t>
      </w:r>
      <w:r>
        <w:rPr>
          <w:rFonts w:hint="eastAsia" w:ascii="宋体" w:hAnsi="宋体" w:cs="宋体"/>
          <w:color w:val="auto"/>
          <w:kern w:val="0"/>
          <w:sz w:val="24"/>
          <w:highlight w:val="none"/>
        </w:rPr>
        <w:t xml:space="preserve">   法定代表人或者委托代理人（签字或者电子签名）： </w:t>
      </w:r>
    </w:p>
    <w:p w14:paraId="3F510B26">
      <w:pPr>
        <w:snapToGrid w:val="0"/>
        <w:spacing w:line="360" w:lineRule="auto"/>
        <w:ind w:left="-3" w:leftChars="-15" w:right="-817" w:rightChars="-389" w:hanging="28" w:hangingChars="12"/>
        <w:rPr>
          <w:rFonts w:ascii="宋体" w:hAnsi="宋体" w:cs="宋体"/>
          <w:color w:val="auto"/>
          <w:kern w:val="0"/>
          <w:sz w:val="24"/>
          <w:highlight w:val="none"/>
        </w:rPr>
      </w:pPr>
      <w:r>
        <w:rPr>
          <w:rFonts w:hint="eastAsia" w:ascii="宋体" w:hAnsi="宋体" w:cs="宋体"/>
          <w:color w:val="auto"/>
          <w:kern w:val="0"/>
          <w:sz w:val="24"/>
          <w:highlight w:val="none"/>
        </w:rPr>
        <w:t xml:space="preserve">                                    供应商名称（电子签章）：</w:t>
      </w:r>
    </w:p>
    <w:p w14:paraId="6047E409">
      <w:pPr>
        <w:wordWrap w:val="0"/>
        <w:spacing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日 期： 年 月 日</w:t>
      </w:r>
    </w:p>
    <w:p w14:paraId="2B1692D2">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注：1.供应商须在响应文件中按此模板提供承诺函，未提供视为未实质性响应招标（采购）文件要求，按无效磋商处理。</w:t>
      </w:r>
    </w:p>
    <w:p w14:paraId="3961DFBA">
      <w:pPr>
        <w:spacing w:line="320" w:lineRule="exact"/>
        <w:ind w:firstLine="480" w:firstLineChars="200"/>
        <w:jc w:val="left"/>
        <w:rPr>
          <w:rFonts w:ascii="宋体" w:hAnsi="宋体"/>
          <w:color w:val="auto"/>
          <w:szCs w:val="21"/>
          <w:highlight w:val="none"/>
        </w:rPr>
      </w:pPr>
      <w:r>
        <w:rPr>
          <w:rFonts w:hint="eastAsia" w:ascii="宋体" w:hAnsi="宋体" w:cs="宋体"/>
          <w:color w:val="auto"/>
          <w:kern w:val="0"/>
          <w:sz w:val="24"/>
          <w:highlight w:val="none"/>
        </w:rPr>
        <w:t>2.供应商的法定代表人（其他组织的为负责人）或者委托代理人的签名或盖章应真实、有效，如委托代理人签名或盖章的，应提供“法定代表人授权委托书”。</w:t>
      </w:r>
    </w:p>
    <w:p w14:paraId="29855541">
      <w:pPr>
        <w:spacing w:line="300" w:lineRule="auto"/>
        <w:rPr>
          <w:rFonts w:ascii="宋体" w:hAnsi="宋体"/>
          <w:color w:val="auto"/>
          <w:szCs w:val="21"/>
          <w:highlight w:val="none"/>
        </w:rPr>
      </w:pPr>
    </w:p>
    <w:p w14:paraId="083C7427">
      <w:pPr>
        <w:spacing w:line="300" w:lineRule="auto"/>
        <w:rPr>
          <w:rFonts w:ascii="宋体" w:hAnsi="宋体"/>
          <w:color w:val="auto"/>
          <w:szCs w:val="21"/>
          <w:highlight w:val="none"/>
        </w:rPr>
      </w:pPr>
    </w:p>
    <w:p w14:paraId="47243019">
      <w:pPr>
        <w:spacing w:line="300" w:lineRule="auto"/>
        <w:rPr>
          <w:rFonts w:ascii="宋体" w:hAnsi="宋体"/>
          <w:color w:val="auto"/>
          <w:szCs w:val="21"/>
          <w:highlight w:val="none"/>
        </w:rPr>
      </w:pPr>
    </w:p>
    <w:p w14:paraId="1B616DA3">
      <w:pPr>
        <w:spacing w:line="300" w:lineRule="auto"/>
        <w:rPr>
          <w:rFonts w:ascii="宋体" w:hAnsi="宋体"/>
          <w:color w:val="auto"/>
          <w:szCs w:val="21"/>
          <w:highlight w:val="none"/>
        </w:rPr>
      </w:pPr>
    </w:p>
    <w:p w14:paraId="18E1B207">
      <w:pPr>
        <w:spacing w:line="320" w:lineRule="exact"/>
        <w:jc w:val="left"/>
        <w:rPr>
          <w:rFonts w:ascii="宋体" w:hAnsi="宋体"/>
          <w:b/>
          <w:color w:val="auto"/>
          <w:sz w:val="24"/>
          <w:highlight w:val="none"/>
        </w:rPr>
      </w:pPr>
      <w:r>
        <w:rPr>
          <w:rFonts w:ascii="宋体" w:hAnsi="宋体"/>
          <w:color w:val="auto"/>
          <w:szCs w:val="21"/>
          <w:highlight w:val="none"/>
        </w:rPr>
        <w:br w:type="page"/>
      </w:r>
    </w:p>
    <w:p w14:paraId="52771DC0">
      <w:pPr>
        <w:snapToGrid w:val="0"/>
        <w:spacing w:before="50" w:after="156" w:afterLines="50"/>
        <w:jc w:val="center"/>
        <w:rPr>
          <w:rFonts w:ascii="宋体" w:hAnsi="宋体"/>
          <w:b/>
          <w:color w:val="auto"/>
          <w:sz w:val="28"/>
          <w:szCs w:val="28"/>
          <w:highlight w:val="none"/>
        </w:rPr>
      </w:pPr>
    </w:p>
    <w:p w14:paraId="79AEAC69">
      <w:pPr>
        <w:snapToGrid w:val="0"/>
        <w:spacing w:before="50" w:after="156" w:afterLines="50" w:line="360" w:lineRule="auto"/>
        <w:jc w:val="center"/>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供应商直接控股股东信息表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9476" w:type="dxa"/>
        <w:tblInd w:w="0" w:type="dxa"/>
        <w:shd w:val="clear" w:color="auto" w:fill="FBFBFB"/>
        <w:tblLayout w:type="fixed"/>
        <w:tblCellMar>
          <w:top w:w="0" w:type="dxa"/>
          <w:left w:w="0" w:type="dxa"/>
          <w:bottom w:w="0" w:type="dxa"/>
          <w:right w:w="0" w:type="dxa"/>
        </w:tblCellMar>
      </w:tblPr>
      <w:tblGrid>
        <w:gridCol w:w="828"/>
        <w:gridCol w:w="2269"/>
        <w:gridCol w:w="1657"/>
        <w:gridCol w:w="3304"/>
        <w:gridCol w:w="1418"/>
      </w:tblGrid>
      <w:tr w14:paraId="5C2D36A7">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08CBBDA">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D0AFC0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6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6FE0B4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30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03D872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2D80951">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6FC1D7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708B1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8AE9AA">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924E89">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93595C">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660B3F">
            <w:pPr>
              <w:spacing w:line="360" w:lineRule="auto"/>
              <w:jc w:val="center"/>
              <w:rPr>
                <w:rFonts w:ascii="宋体" w:hAnsi="宋体" w:cs="宋体"/>
                <w:color w:val="auto"/>
                <w:kern w:val="0"/>
                <w:sz w:val="24"/>
                <w:highlight w:val="none"/>
              </w:rPr>
            </w:pPr>
          </w:p>
        </w:tc>
      </w:tr>
      <w:tr w14:paraId="1820AA4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C3C22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B28A84">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9D2514">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8A4E6B">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26433A">
            <w:pPr>
              <w:spacing w:line="360" w:lineRule="auto"/>
              <w:jc w:val="center"/>
              <w:rPr>
                <w:rFonts w:ascii="宋体" w:hAnsi="宋体" w:cs="宋体"/>
                <w:color w:val="auto"/>
                <w:kern w:val="0"/>
                <w:sz w:val="24"/>
                <w:highlight w:val="none"/>
              </w:rPr>
            </w:pPr>
          </w:p>
        </w:tc>
      </w:tr>
      <w:tr w14:paraId="0E49381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D8FF0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C12F45">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408B45">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3660D2">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0B4FDD">
            <w:pPr>
              <w:spacing w:line="360" w:lineRule="auto"/>
              <w:jc w:val="center"/>
              <w:rPr>
                <w:rFonts w:ascii="宋体" w:hAnsi="宋体" w:cs="宋体"/>
                <w:color w:val="auto"/>
                <w:kern w:val="0"/>
                <w:sz w:val="24"/>
                <w:highlight w:val="none"/>
              </w:rPr>
            </w:pPr>
          </w:p>
        </w:tc>
      </w:tr>
      <w:tr w14:paraId="20319B3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3A023E">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E2D0D0">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520D22">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58FACD">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013A0E">
            <w:pPr>
              <w:spacing w:line="360" w:lineRule="auto"/>
              <w:jc w:val="center"/>
              <w:rPr>
                <w:rFonts w:ascii="宋体" w:hAnsi="宋体" w:cs="宋体"/>
                <w:color w:val="auto"/>
                <w:kern w:val="0"/>
                <w:sz w:val="24"/>
                <w:highlight w:val="none"/>
              </w:rPr>
            </w:pPr>
          </w:p>
        </w:tc>
      </w:tr>
    </w:tbl>
    <w:p w14:paraId="00F7530C">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0FF43476">
      <w:pP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F9278EA">
      <w:pP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19D33BBF">
      <w:pP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198928F2">
      <w:pPr>
        <w:snapToGrid w:val="0"/>
        <w:spacing w:line="360" w:lineRule="auto"/>
        <w:jc w:val="left"/>
        <w:rPr>
          <w:rFonts w:ascii="宋体" w:hAnsi="宋体"/>
          <w:color w:val="auto"/>
          <w:sz w:val="24"/>
          <w:highlight w:val="none"/>
        </w:rPr>
      </w:pPr>
    </w:p>
    <w:p w14:paraId="46E6C671">
      <w:pPr>
        <w:snapToGrid w:val="0"/>
        <w:spacing w:line="360" w:lineRule="auto"/>
        <w:jc w:val="left"/>
        <w:rPr>
          <w:rFonts w:ascii="宋体" w:hAnsi="宋体"/>
          <w:color w:val="auto"/>
          <w:sz w:val="24"/>
          <w:highlight w:val="none"/>
        </w:rPr>
      </w:pPr>
    </w:p>
    <w:p w14:paraId="71200223">
      <w:pPr>
        <w:snapToGrid w:val="0"/>
        <w:spacing w:line="360" w:lineRule="auto"/>
        <w:jc w:val="left"/>
        <w:rPr>
          <w:rFonts w:ascii="宋体" w:hAnsi="宋体"/>
          <w:color w:val="auto"/>
          <w:sz w:val="24"/>
          <w:highlight w:val="none"/>
        </w:rPr>
      </w:pPr>
    </w:p>
    <w:p w14:paraId="3CF8722F">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2A5F0D82">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30F925E1">
      <w:pPr>
        <w:snapToGrid w:val="0"/>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35E1DA52">
      <w:pPr>
        <w:snapToGrid w:val="0"/>
        <w:jc w:val="center"/>
        <w:rPr>
          <w:rFonts w:ascii="宋体" w:hAnsi="宋体"/>
          <w:b/>
          <w:color w:val="auto"/>
          <w:sz w:val="28"/>
          <w:szCs w:val="28"/>
          <w:highlight w:val="none"/>
        </w:rPr>
      </w:pPr>
    </w:p>
    <w:p w14:paraId="0E77BF39">
      <w:pPr>
        <w:snapToGrid w:val="0"/>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r>
    </w:p>
    <w:p w14:paraId="0CCEECC4">
      <w:pPr>
        <w:snapToGrid w:val="0"/>
        <w:spacing w:line="360" w:lineRule="auto"/>
        <w:jc w:val="center"/>
        <w:rPr>
          <w:rFonts w:hint="eastAsia" w:ascii="宋体" w:hAnsi="宋体"/>
          <w:b/>
          <w:color w:val="auto"/>
          <w:sz w:val="32"/>
          <w:szCs w:val="32"/>
          <w:highlight w:val="none"/>
        </w:rPr>
      </w:pPr>
    </w:p>
    <w:p w14:paraId="354C5C29">
      <w:pPr>
        <w:snapToGrid w:val="0"/>
        <w:spacing w:line="360" w:lineRule="auto"/>
        <w:jc w:val="center"/>
        <w:rPr>
          <w:rFonts w:hint="default" w:ascii="宋体" w:hAnsi="宋体" w:eastAsia="宋体"/>
          <w:color w:val="auto"/>
          <w:sz w:val="32"/>
          <w:szCs w:val="32"/>
          <w:highlight w:val="none"/>
          <w:lang w:val="en-US" w:eastAsia="zh-CN"/>
        </w:rPr>
      </w:pPr>
      <w:r>
        <w:rPr>
          <w:rFonts w:hint="eastAsia" w:ascii="宋体" w:hAnsi="宋体"/>
          <w:b/>
          <w:color w:val="auto"/>
          <w:sz w:val="32"/>
          <w:szCs w:val="32"/>
          <w:highlight w:val="none"/>
        </w:rPr>
        <w:t>供应商直接管理关系信息表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C59322F">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963083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CEC541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925CA5">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94BC05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F99F80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1D0D5E">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62C0C8">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8B6AF9">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59CBAC">
            <w:pPr>
              <w:spacing w:line="360" w:lineRule="auto"/>
              <w:jc w:val="center"/>
              <w:rPr>
                <w:rFonts w:ascii="宋体" w:hAnsi="宋体" w:cs="宋体"/>
                <w:color w:val="auto"/>
                <w:kern w:val="0"/>
                <w:sz w:val="24"/>
                <w:highlight w:val="none"/>
              </w:rPr>
            </w:pPr>
          </w:p>
        </w:tc>
      </w:tr>
      <w:tr w14:paraId="05E57FD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64DEB1">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9FC2DE">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2CEEF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FBB1DB">
            <w:pPr>
              <w:spacing w:line="360" w:lineRule="auto"/>
              <w:jc w:val="center"/>
              <w:rPr>
                <w:rFonts w:ascii="宋体" w:hAnsi="宋体" w:cs="宋体"/>
                <w:color w:val="auto"/>
                <w:kern w:val="0"/>
                <w:sz w:val="24"/>
                <w:highlight w:val="none"/>
              </w:rPr>
            </w:pPr>
          </w:p>
        </w:tc>
      </w:tr>
      <w:tr w14:paraId="710F5D3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D95A30">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B17F6E">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CE33C2">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93F24F">
            <w:pPr>
              <w:spacing w:line="360" w:lineRule="auto"/>
              <w:jc w:val="center"/>
              <w:rPr>
                <w:rFonts w:ascii="宋体" w:hAnsi="宋体" w:cs="宋体"/>
                <w:color w:val="auto"/>
                <w:kern w:val="0"/>
                <w:sz w:val="24"/>
                <w:highlight w:val="none"/>
              </w:rPr>
            </w:pPr>
          </w:p>
        </w:tc>
      </w:tr>
      <w:tr w14:paraId="1624440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BD4E71">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64B0D4">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5014DA">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494F41">
            <w:pPr>
              <w:spacing w:line="360" w:lineRule="auto"/>
              <w:jc w:val="center"/>
              <w:rPr>
                <w:rFonts w:ascii="宋体" w:hAnsi="宋体" w:cs="宋体"/>
                <w:color w:val="auto"/>
                <w:kern w:val="0"/>
                <w:sz w:val="24"/>
                <w:highlight w:val="none"/>
              </w:rPr>
            </w:pPr>
          </w:p>
        </w:tc>
      </w:tr>
    </w:tbl>
    <w:p w14:paraId="1F8B86D3">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7B37AA37">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3E411A7">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7A943AA9">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6CC3F5EA">
      <w:pPr>
        <w:snapToGrid w:val="0"/>
        <w:spacing w:line="360" w:lineRule="auto"/>
        <w:jc w:val="left"/>
        <w:rPr>
          <w:rFonts w:ascii="宋体" w:hAnsi="宋体"/>
          <w:color w:val="auto"/>
          <w:sz w:val="24"/>
          <w:highlight w:val="none"/>
        </w:rPr>
      </w:pPr>
    </w:p>
    <w:p w14:paraId="79FA5D6C">
      <w:pPr>
        <w:snapToGrid w:val="0"/>
        <w:spacing w:line="360" w:lineRule="auto"/>
        <w:jc w:val="left"/>
        <w:rPr>
          <w:rFonts w:ascii="宋体" w:hAnsi="宋体"/>
          <w:color w:val="auto"/>
          <w:sz w:val="24"/>
          <w:highlight w:val="none"/>
        </w:rPr>
      </w:pPr>
    </w:p>
    <w:p w14:paraId="7DCE0669">
      <w:pPr>
        <w:snapToGrid w:val="0"/>
        <w:spacing w:line="360" w:lineRule="auto"/>
        <w:jc w:val="left"/>
        <w:rPr>
          <w:rFonts w:ascii="宋体" w:hAnsi="宋体"/>
          <w:color w:val="auto"/>
          <w:sz w:val="24"/>
          <w:highlight w:val="none"/>
        </w:rPr>
      </w:pPr>
    </w:p>
    <w:p w14:paraId="21BB8CC4">
      <w:pPr>
        <w:snapToGrid w:val="0"/>
        <w:spacing w:line="360" w:lineRule="auto"/>
        <w:jc w:val="left"/>
        <w:rPr>
          <w:color w:val="auto"/>
          <w:sz w:val="24"/>
          <w:highlight w:val="none"/>
        </w:rPr>
      </w:pPr>
    </w:p>
    <w:p w14:paraId="352AC53D">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300D20C2">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256260DD">
      <w:pP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48A44794">
      <w:pPr>
        <w:snapToGrid w:val="0"/>
        <w:spacing w:before="156" w:beforeLines="50" w:after="50"/>
        <w:jc w:val="left"/>
        <w:rPr>
          <w:rFonts w:ascii="宋体" w:hAnsi="宋体"/>
          <w:color w:val="auto"/>
          <w:sz w:val="24"/>
          <w:highlight w:val="none"/>
        </w:rPr>
      </w:pPr>
    </w:p>
    <w:p w14:paraId="5F0A3399">
      <w:pPr>
        <w:spacing w:line="320" w:lineRule="exact"/>
        <w:rPr>
          <w:rFonts w:ascii="宋体" w:hAnsi="宋体"/>
          <w:b/>
          <w:color w:val="auto"/>
          <w:sz w:val="24"/>
          <w:szCs w:val="24"/>
          <w:highlight w:val="none"/>
        </w:rPr>
      </w:pPr>
      <w:r>
        <w:rPr>
          <w:rFonts w:ascii="宋体" w:hAnsi="宋体"/>
          <w:b/>
          <w:color w:val="auto"/>
          <w:sz w:val="28"/>
          <w:szCs w:val="28"/>
          <w:highlight w:val="none"/>
        </w:rPr>
        <w:br w:type="page"/>
      </w:r>
    </w:p>
    <w:p w14:paraId="28340C73">
      <w:pPr>
        <w:spacing w:line="320" w:lineRule="exact"/>
        <w:jc w:val="center"/>
        <w:rPr>
          <w:rFonts w:ascii="宋体" w:hAnsi="宋体"/>
          <w:b/>
          <w:color w:val="auto"/>
          <w:sz w:val="32"/>
          <w:szCs w:val="32"/>
          <w:highlight w:val="none"/>
        </w:rPr>
      </w:pPr>
    </w:p>
    <w:p w14:paraId="0192F8D9">
      <w:pPr>
        <w:spacing w:line="320" w:lineRule="exact"/>
        <w:jc w:val="center"/>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竞标声明</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p w14:paraId="3B118B6A">
      <w:pPr>
        <w:spacing w:line="320" w:lineRule="exact"/>
        <w:jc w:val="center"/>
        <w:rPr>
          <w:rFonts w:ascii="宋体" w:hAnsi="宋体"/>
          <w:color w:val="auto"/>
          <w:sz w:val="24"/>
          <w:szCs w:val="20"/>
          <w:highlight w:val="none"/>
        </w:rPr>
      </w:pPr>
    </w:p>
    <w:p w14:paraId="707B0B3E">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08F76CCB">
      <w:pPr>
        <w:wordWrap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9B0F8C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0E9F21D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15932E0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1F007F7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20DF7C5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5B3B95C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82E145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E75108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4DE51F4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63A747A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2483F65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C5FFDA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C5E2BD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510AF35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7C0AFE4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5605CB0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320913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730250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6A08CB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058BA99">
      <w:pPr>
        <w:pStyle w:val="32"/>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2699912">
      <w:pPr>
        <w:pStyle w:val="32"/>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1DB627E">
      <w:pPr>
        <w:pStyle w:val="26"/>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555D156">
      <w:pPr>
        <w:pStyle w:val="26"/>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682BC0AA">
      <w:pPr>
        <w:pStyle w:val="26"/>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5FDC602B">
      <w:pPr>
        <w:spacing w:line="360" w:lineRule="auto"/>
        <w:contextualSpacing/>
        <w:jc w:val="left"/>
        <w:rPr>
          <w:rFonts w:ascii="宋体" w:hAnsi="宋体" w:cs="宋体"/>
          <w:color w:val="auto"/>
          <w:szCs w:val="21"/>
          <w:highlight w:val="none"/>
        </w:rPr>
      </w:pPr>
    </w:p>
    <w:p w14:paraId="7999BF39">
      <w:pPr>
        <w:spacing w:line="360" w:lineRule="auto"/>
        <w:ind w:firstLine="1800" w:firstLineChars="750"/>
        <w:contextualSpacing/>
        <w:rPr>
          <w:color w:val="auto"/>
          <w:highlight w:val="none"/>
        </w:rPr>
      </w:pPr>
      <w:r>
        <w:rPr>
          <w:rFonts w:hint="eastAsia" w:ascii="宋体" w:hAnsi="宋体"/>
          <w:color w:val="auto"/>
          <w:sz w:val="24"/>
          <w:highlight w:val="none"/>
        </w:rPr>
        <w:t>法定代表人（签字或者盖章或者电子签名）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1C830FDB">
      <w:pPr>
        <w:spacing w:line="360" w:lineRule="auto"/>
        <w:ind w:firstLine="4320" w:firstLineChars="1800"/>
        <w:contextualSpacing/>
        <w:rPr>
          <w:rFonts w:ascii="宋体" w:hAnsi="宋体" w:cs="宋体"/>
          <w:color w:val="auto"/>
          <w:szCs w:val="21"/>
          <w:highlight w:val="none"/>
          <w:u w:val="single"/>
        </w:rPr>
      </w:pPr>
      <w:r>
        <w:rPr>
          <w:rFonts w:hint="eastAsia" w:ascii="宋体" w:hAnsi="宋体"/>
          <w:color w:val="auto"/>
          <w:sz w:val="24"/>
          <w:highlight w:val="none"/>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0FBD1380">
      <w:pPr>
        <w:pStyle w:val="26"/>
        <w:tabs>
          <w:tab w:val="left" w:pos="939"/>
        </w:tabs>
        <w:spacing w:line="360" w:lineRule="auto"/>
        <w:ind w:left="0" w:leftChars="0" w:firstLine="420" w:firstLineChars="200"/>
        <w:rPr>
          <w:color w:val="auto"/>
          <w:sz w:val="24"/>
          <w:highlight w:val="none"/>
        </w:rPr>
      </w:pPr>
      <w:r>
        <w:rPr>
          <w:rFonts w:hint="eastAsia" w:ascii="宋体" w:hAnsi="宋体" w:cs="宋体"/>
          <w:color w:val="auto"/>
          <w:szCs w:val="21"/>
          <w:highlight w:val="none"/>
        </w:rPr>
        <w:t xml:space="preserve">                                                        </w:t>
      </w:r>
      <w:r>
        <w:rPr>
          <w:rFonts w:hint="eastAsia"/>
          <w:color w:val="auto"/>
          <w:sz w:val="24"/>
          <w:highlight w:val="none"/>
        </w:rPr>
        <w:t xml:space="preserve"> 年    月    日</w:t>
      </w:r>
    </w:p>
    <w:p w14:paraId="45C1AFA6">
      <w:pPr>
        <w:spacing w:line="300" w:lineRule="auto"/>
        <w:rPr>
          <w:color w:val="auto"/>
          <w:kern w:val="1"/>
          <w:highlight w:val="none"/>
        </w:rPr>
      </w:pPr>
      <w:r>
        <w:rPr>
          <w:rFonts w:ascii="宋体" w:hAnsi="宋体" w:eastAsia="宋体" w:cs="宋体"/>
          <w:color w:val="auto"/>
          <w:sz w:val="21"/>
          <w:szCs w:val="21"/>
          <w:highlight w:val="none"/>
        </w:rPr>
        <w:br w:type="page"/>
      </w:r>
    </w:p>
    <w:p w14:paraId="1537C39F">
      <w:pPr>
        <w:widowControl/>
        <w:spacing w:after="262" w:line="380" w:lineRule="exact"/>
        <w:ind w:firstLine="562"/>
        <w:jc w:val="center"/>
        <w:rPr>
          <w:b/>
          <w:color w:val="auto"/>
          <w:kern w:val="1"/>
          <w:sz w:val="28"/>
          <w:szCs w:val="28"/>
          <w:highlight w:val="none"/>
        </w:rPr>
      </w:pPr>
      <w:r>
        <w:rPr>
          <w:rFonts w:hint="eastAsia"/>
          <w:b/>
          <w:color w:val="auto"/>
          <w:kern w:val="1"/>
          <w:sz w:val="28"/>
          <w:szCs w:val="28"/>
          <w:highlight w:val="none"/>
        </w:rPr>
        <w:t>中小企业声明函（服务）</w:t>
      </w:r>
    </w:p>
    <w:p w14:paraId="10702573">
      <w:pPr>
        <w:widowControl/>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本公司（联合体）郑重声明，根据《政府采购促进中小企业发展管理办法》(财库〔2020〕46号)的规定，本公司（联合体）参加</w:t>
      </w:r>
      <w:r>
        <w:rPr>
          <w:rFonts w:hint="eastAsia" w:ascii="宋体" w:hAnsi="宋体" w:cs="宋体"/>
          <w:color w:val="auto"/>
          <w:kern w:val="1"/>
          <w:sz w:val="24"/>
          <w:szCs w:val="24"/>
          <w:highlight w:val="none"/>
          <w:u w:val="single"/>
        </w:rPr>
        <w:t>（单位名称）</w:t>
      </w:r>
      <w:r>
        <w:rPr>
          <w:rFonts w:hint="eastAsia" w:ascii="宋体" w:hAnsi="宋体" w:cs="宋体"/>
          <w:color w:val="auto"/>
          <w:kern w:val="1"/>
          <w:sz w:val="24"/>
          <w:szCs w:val="24"/>
          <w:highlight w:val="none"/>
        </w:rPr>
        <w:t>的</w:t>
      </w:r>
      <w:r>
        <w:rPr>
          <w:rFonts w:hint="eastAsia" w:ascii="宋体" w:hAnsi="宋体" w:cs="宋体"/>
          <w:color w:val="auto"/>
          <w:kern w:val="1"/>
          <w:sz w:val="24"/>
          <w:szCs w:val="24"/>
          <w:highlight w:val="none"/>
          <w:u w:val="single"/>
        </w:rPr>
        <w:t>（项目名称）</w:t>
      </w:r>
      <w:r>
        <w:rPr>
          <w:rFonts w:hint="eastAsia" w:ascii="宋体" w:hAnsi="宋体" w:cs="宋体"/>
          <w:color w:val="auto"/>
          <w:kern w:val="1"/>
          <w:sz w:val="24"/>
          <w:szCs w:val="24"/>
          <w:highlight w:val="none"/>
        </w:rPr>
        <w:t>采购活动，服务全部由符合政策要求的中小企业承接。相关企业（含联合体中的中小企业、签订分包意向协议的中小企业）的具体情况如下：</w:t>
      </w:r>
    </w:p>
    <w:p w14:paraId="25467F5A">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人，营业收入为_________万元，资产总额为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346DD1C8">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2.</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i/>
          <w:color w:val="auto"/>
          <w:kern w:val="1"/>
          <w:sz w:val="24"/>
          <w:szCs w:val="24"/>
          <w:highlight w:val="none"/>
          <w:u w:val="single"/>
        </w:rPr>
        <w:t>(</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7195D06E">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w:t>
      </w:r>
    </w:p>
    <w:p w14:paraId="7F356FFC">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以上企业，不属于大企业的分支机构，不存在控股股东为大企业的情形，也不存在与大企业的负责人为同一人的情形。</w:t>
      </w:r>
    </w:p>
    <w:p w14:paraId="3561F763">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本企业对上述声明内容的真实性负责。如有虚假，将依法承担相应责任。</w:t>
      </w:r>
    </w:p>
    <w:p w14:paraId="437C0C65">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r>
        <w:rPr>
          <w:rFonts w:ascii="宋体" w:hAnsi="宋体" w:eastAsia="宋体" w:cs="宋体"/>
          <w:color w:val="auto"/>
          <w:spacing w:val="-9"/>
          <w:sz w:val="24"/>
          <w:szCs w:val="24"/>
          <w:highlight w:val="none"/>
        </w:rPr>
        <w:t>供应商（</w:t>
      </w:r>
      <w:r>
        <w:rPr>
          <w:rFonts w:hint="eastAsia" w:ascii="宋体" w:hAnsi="宋体" w:eastAsia="宋体" w:cs="宋体"/>
          <w:color w:val="auto"/>
          <w:spacing w:val="-9"/>
          <w:sz w:val="24"/>
          <w:szCs w:val="24"/>
          <w:highlight w:val="none"/>
          <w:lang w:val="en-US" w:eastAsia="zh-CN"/>
        </w:rPr>
        <w:t>盖</w:t>
      </w:r>
      <w:r>
        <w:rPr>
          <w:rFonts w:hint="eastAsia" w:ascii="宋体" w:hAnsi="宋体" w:eastAsia="宋体" w:cs="宋体"/>
          <w:color w:val="auto"/>
          <w:spacing w:val="-9"/>
          <w:sz w:val="24"/>
          <w:szCs w:val="24"/>
          <w:highlight w:val="none"/>
        </w:rPr>
        <w:t>公章</w:t>
      </w:r>
      <w:r>
        <w:rPr>
          <w:rFonts w:ascii="宋体" w:hAnsi="宋体" w:eastAsia="宋体" w:cs="宋体"/>
          <w:color w:val="auto"/>
          <w:spacing w:val="-10"/>
          <w:sz w:val="24"/>
          <w:szCs w:val="24"/>
          <w:highlight w:val="none"/>
        </w:rPr>
        <w:t>）</w:t>
      </w:r>
      <w:r>
        <w:rPr>
          <w:rFonts w:ascii="宋体" w:hAnsi="宋体" w:eastAsia="宋体" w:cs="宋体"/>
          <w:color w:val="auto"/>
          <w:spacing w:val="-20"/>
          <w:sz w:val="24"/>
          <w:szCs w:val="24"/>
          <w:highlight w:val="none"/>
        </w:rPr>
        <w:t xml:space="preserve"> </w:t>
      </w:r>
      <w:r>
        <w:rPr>
          <w:rFonts w:ascii="宋体" w:hAnsi="宋体" w:cs="宋体"/>
          <w:color w:val="auto"/>
          <w:kern w:val="1"/>
          <w:sz w:val="24"/>
          <w:szCs w:val="24"/>
          <w:highlight w:val="none"/>
        </w:rPr>
        <w:t>：</w:t>
      </w:r>
    </w:p>
    <w:p w14:paraId="5481F9B4">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67B9ABE7">
      <w:pPr>
        <w:widowControl/>
        <w:spacing w:line="360" w:lineRule="auto"/>
        <w:ind w:firstLine="420"/>
        <w:rPr>
          <w:rFonts w:ascii="宋体" w:hAnsi="宋体" w:cs="宋体"/>
          <w:color w:val="auto"/>
          <w:kern w:val="1"/>
          <w:sz w:val="24"/>
          <w:szCs w:val="24"/>
          <w:highlight w:val="none"/>
        </w:rPr>
      </w:pPr>
    </w:p>
    <w:p w14:paraId="2D4DFB9B">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填写注意事项：</w:t>
      </w:r>
    </w:p>
    <w:p w14:paraId="10F0E112">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（1）从业人员、营业收入、资产总额填报上一年度数据，无上一年度数据的新成立企业可不填报。</w:t>
      </w:r>
    </w:p>
    <w:p w14:paraId="4431E5AD">
      <w:pPr>
        <w:widowControl/>
        <w:spacing w:line="360" w:lineRule="auto"/>
        <w:ind w:firstLine="420"/>
        <w:rPr>
          <w:rFonts w:ascii="宋体" w:hAnsi="宋体" w:cs="宋体"/>
          <w:color w:val="auto"/>
          <w:kern w:val="1"/>
          <w:sz w:val="24"/>
          <w:szCs w:val="24"/>
          <w:highlight w:val="none"/>
          <w:shd w:val="clear" w:color="auto" w:fill="FFFFFF"/>
        </w:rPr>
      </w:pPr>
      <w:r>
        <w:rPr>
          <w:rFonts w:ascii="宋体" w:hAnsi="宋体" w:cs="宋体"/>
          <w:color w:val="auto"/>
          <w:kern w:val="1"/>
          <w:sz w:val="24"/>
          <w:szCs w:val="24"/>
          <w:highlight w:val="none"/>
          <w:shd w:val="clear" w:color="auto" w:fill="FFFFFF"/>
        </w:rPr>
        <w:t>（2）供应商按照本办法规定提供声明函内容不实的，属于提供虚假材料谋取中标、成交，依照《中华人民共和国政府采购法》等国家有关规定追究相应责任。</w:t>
      </w:r>
    </w:p>
    <w:p w14:paraId="4478C796">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shd w:val="clear" w:color="auto" w:fill="FFFFFF"/>
        </w:rPr>
        <w:t>（3）政府采购监督检查、投诉处理及政府采购行政处罚中对中小企业的认定，由货物制造商或者工程、服务供应商注册登记所在地的县级以上人民政府中小企业主管部门负责。</w:t>
      </w:r>
    </w:p>
    <w:p w14:paraId="28DC9D0A">
      <w:pPr>
        <w:spacing w:line="360" w:lineRule="exact"/>
        <w:ind w:firstLine="6720"/>
        <w:rPr>
          <w:rFonts w:ascii="宋体" w:hAnsi="宋体" w:cs="Courier New"/>
          <w:color w:val="auto"/>
          <w:kern w:val="1"/>
          <w:szCs w:val="21"/>
          <w:highlight w:val="none"/>
        </w:rPr>
      </w:pPr>
    </w:p>
    <w:p w14:paraId="3796D785">
      <w:pPr>
        <w:spacing w:line="360" w:lineRule="exact"/>
        <w:ind w:firstLine="6720"/>
        <w:rPr>
          <w:rFonts w:ascii="宋体" w:hAnsi="宋体" w:cs="Courier New"/>
          <w:color w:val="auto"/>
          <w:kern w:val="1"/>
          <w:szCs w:val="21"/>
          <w:highlight w:val="none"/>
        </w:rPr>
      </w:pPr>
    </w:p>
    <w:p w14:paraId="120A8173">
      <w:pPr>
        <w:spacing w:line="360" w:lineRule="exact"/>
        <w:ind w:firstLine="6720"/>
        <w:rPr>
          <w:rFonts w:ascii="宋体" w:hAnsi="宋体" w:cs="Courier New"/>
          <w:color w:val="auto"/>
          <w:kern w:val="1"/>
          <w:szCs w:val="21"/>
          <w:highlight w:val="none"/>
        </w:rPr>
      </w:pPr>
    </w:p>
    <w:p w14:paraId="32889044">
      <w:pPr>
        <w:spacing w:line="360" w:lineRule="exact"/>
        <w:ind w:firstLine="6720"/>
        <w:rPr>
          <w:rFonts w:ascii="宋体" w:hAnsi="宋体" w:cs="Courier New"/>
          <w:color w:val="auto"/>
          <w:kern w:val="1"/>
          <w:szCs w:val="21"/>
          <w:highlight w:val="none"/>
        </w:rPr>
      </w:pPr>
    </w:p>
    <w:p w14:paraId="3A7A38BA">
      <w:pPr>
        <w:pStyle w:val="56"/>
        <w:widowControl w:val="0"/>
        <w:spacing w:before="0" w:beforeAutospacing="0" w:after="0" w:afterAutospacing="0"/>
        <w:jc w:val="both"/>
        <w:rPr>
          <w:rFonts w:cs="Times New Roman"/>
          <w:b/>
          <w:color w:val="auto"/>
          <w:kern w:val="1"/>
          <w:sz w:val="36"/>
          <w:szCs w:val="36"/>
          <w:highlight w:val="none"/>
        </w:rPr>
      </w:pPr>
    </w:p>
    <w:p w14:paraId="207D8927">
      <w:pPr>
        <w:pStyle w:val="56"/>
        <w:widowControl w:val="0"/>
        <w:spacing w:before="0" w:beforeAutospacing="0" w:after="0" w:afterAutospacing="0"/>
        <w:jc w:val="center"/>
        <w:rPr>
          <w:rFonts w:cs="Times New Roman"/>
          <w:b/>
          <w:color w:val="auto"/>
          <w:kern w:val="1"/>
          <w:sz w:val="36"/>
          <w:szCs w:val="36"/>
          <w:highlight w:val="none"/>
        </w:rPr>
      </w:pPr>
      <w:r>
        <w:rPr>
          <w:rFonts w:hint="eastAsia" w:cs="Times New Roman"/>
          <w:b/>
          <w:color w:val="auto"/>
          <w:kern w:val="1"/>
          <w:sz w:val="36"/>
          <w:szCs w:val="36"/>
          <w:highlight w:val="none"/>
        </w:rPr>
        <w:t>残疾人福利性单位声明函</w:t>
      </w:r>
    </w:p>
    <w:p w14:paraId="0FD6FF4B">
      <w:pPr>
        <w:spacing w:line="588" w:lineRule="exact"/>
        <w:rPr>
          <w:rFonts w:ascii="宋体" w:hAnsi="宋体" w:cs="宋体"/>
          <w:color w:val="auto"/>
          <w:kern w:val="1"/>
          <w:szCs w:val="21"/>
          <w:highlight w:val="none"/>
        </w:rPr>
      </w:pPr>
    </w:p>
    <w:p w14:paraId="2B3D136E">
      <w:pP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2367704">
      <w:pP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本单位对上述声明的真实性负责。如有虚假，将依法承担相应责任。</w:t>
      </w:r>
    </w:p>
    <w:p w14:paraId="64EEEF94">
      <w:pPr>
        <w:spacing w:line="588" w:lineRule="exact"/>
        <w:ind w:firstLine="420"/>
        <w:rPr>
          <w:rFonts w:ascii="宋体" w:hAnsi="宋体" w:cs="宋体"/>
          <w:color w:val="auto"/>
          <w:kern w:val="1"/>
          <w:sz w:val="24"/>
          <w:szCs w:val="24"/>
          <w:highlight w:val="none"/>
        </w:rPr>
      </w:pPr>
    </w:p>
    <w:p w14:paraId="5DE6EFE4">
      <w:pPr>
        <w:spacing w:line="588" w:lineRule="exact"/>
        <w:ind w:firstLine="420"/>
        <w:rPr>
          <w:rFonts w:ascii="宋体" w:hAnsi="宋体" w:cs="宋体"/>
          <w:color w:val="auto"/>
          <w:kern w:val="1"/>
          <w:sz w:val="24"/>
          <w:szCs w:val="24"/>
          <w:highlight w:val="none"/>
        </w:rPr>
      </w:pPr>
    </w:p>
    <w:p w14:paraId="3840F05A">
      <w:pPr>
        <w:tabs>
          <w:tab w:val="left" w:pos="4860"/>
        </w:tabs>
        <w:spacing w:line="588" w:lineRule="exact"/>
        <w:ind w:right="1560" w:firstLine="4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 xml:space="preserve">                                   </w:t>
      </w:r>
      <w:r>
        <w:rPr>
          <w:rFonts w:ascii="宋体" w:hAnsi="宋体" w:cs="宋体"/>
          <w:color w:val="auto"/>
          <w:kern w:val="1"/>
          <w:sz w:val="24"/>
          <w:szCs w:val="24"/>
          <w:highlight w:val="none"/>
        </w:rPr>
        <w:t xml:space="preserve">   单位名称（盖章）：</w:t>
      </w:r>
    </w:p>
    <w:p w14:paraId="6C13B0B9">
      <w:pPr>
        <w:widowControl/>
        <w:spacing w:before="100" w:beforeAutospacing="1" w:after="100" w:afterAutospacing="1" w:line="346" w:lineRule="atLeast"/>
        <w:jc w:val="lef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57634982">
      <w:pP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说明：符合条件的残疾人福利性单位在参加政府采购活动时，应当提供本通知规定的《残疾人福利性单位声明函》，并对声明的真实性负责。</w:t>
      </w:r>
    </w:p>
    <w:p w14:paraId="3DB0E645">
      <w:pP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成交供应商为残疾人福利性单位的，采购人或者其委托的采购代理机构应当随成交结果同时公告其《残疾人福利性单位声明函》，接受社会监督。</w:t>
      </w:r>
    </w:p>
    <w:p w14:paraId="79502757">
      <w:pP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供应商提供的《残疾人福利性单位声明函》与事实不符的，依照《政府采购法》第七十七条第一款的规定追究法律责任。</w:t>
      </w:r>
    </w:p>
    <w:p w14:paraId="6F75E125">
      <w:pPr>
        <w:spacing w:line="300" w:lineRule="auto"/>
        <w:ind w:firstLine="14753"/>
        <w:rPr>
          <w:rFonts w:ascii="宋体" w:hAnsi="宋体" w:cs="宋体"/>
          <w:b/>
          <w:color w:val="auto"/>
          <w:sz w:val="44"/>
          <w:szCs w:val="44"/>
          <w:highlight w:val="none"/>
        </w:rPr>
      </w:pPr>
    </w:p>
    <w:p w14:paraId="0A34998B">
      <w:pPr>
        <w:spacing w:line="300" w:lineRule="auto"/>
        <w:rPr>
          <w:rFonts w:ascii="宋体" w:hAnsi="宋体" w:cs="宋体"/>
          <w:b/>
          <w:color w:val="auto"/>
          <w:kern w:val="1"/>
          <w:szCs w:val="21"/>
          <w:highlight w:val="none"/>
        </w:rPr>
      </w:pPr>
    </w:p>
    <w:p w14:paraId="12268781">
      <w:pPr>
        <w:spacing w:line="221" w:lineRule="auto"/>
        <w:rPr>
          <w:rFonts w:ascii="宋体" w:hAnsi="宋体" w:eastAsia="宋体" w:cs="宋体"/>
          <w:color w:val="auto"/>
          <w:sz w:val="21"/>
          <w:szCs w:val="21"/>
          <w:highlight w:val="none"/>
        </w:rPr>
        <w:sectPr>
          <w:pgSz w:w="11907" w:h="16839"/>
          <w:pgMar w:top="1417" w:right="1417" w:bottom="1417" w:left="1417" w:header="850" w:footer="850" w:gutter="0"/>
          <w:pgNumType w:fmt="decimal"/>
          <w:cols w:space="720" w:num="1"/>
          <w:rtlGutter w:val="0"/>
        </w:sectPr>
      </w:pPr>
    </w:p>
    <w:p w14:paraId="5F5D6CAB">
      <w:pPr>
        <w:spacing w:before="0" w:line="520" w:lineRule="exact"/>
        <w:rPr>
          <w:rFonts w:ascii="宋体" w:hAnsi="宋体" w:eastAsia="宋体" w:cs="宋体"/>
          <w:b/>
          <w:color w:val="auto"/>
          <w:kern w:val="1"/>
          <w:sz w:val="36"/>
          <w:szCs w:val="36"/>
          <w:highlight w:val="none"/>
        </w:rPr>
      </w:pPr>
      <w:r>
        <w:rPr>
          <w:rFonts w:ascii="宋体" w:hAnsi="宋体" w:eastAsia="宋体" w:cs="宋体"/>
          <w:b/>
          <w:color w:val="auto"/>
          <w:spacing w:val="0"/>
          <w:kern w:val="1"/>
          <w:sz w:val="36"/>
          <w:szCs w:val="36"/>
          <w:highlight w:val="none"/>
        </w:rPr>
        <w:t>二、报价文件格式</w:t>
      </w:r>
    </w:p>
    <w:p w14:paraId="48A61C9B">
      <w:pPr>
        <w:spacing w:before="300" w:line="224" w:lineRule="auto"/>
        <w:ind w:left="18"/>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1.报价文件封面格式</w:t>
      </w:r>
    </w:p>
    <w:p w14:paraId="089573D6">
      <w:pPr>
        <w:spacing w:line="281" w:lineRule="auto"/>
        <w:rPr>
          <w:rFonts w:ascii="Arial"/>
          <w:color w:val="auto"/>
          <w:sz w:val="21"/>
          <w:highlight w:val="none"/>
        </w:rPr>
      </w:pPr>
    </w:p>
    <w:p w14:paraId="6C38AE07">
      <w:pPr>
        <w:spacing w:line="281" w:lineRule="auto"/>
        <w:rPr>
          <w:rFonts w:ascii="Arial"/>
          <w:color w:val="auto"/>
          <w:sz w:val="21"/>
          <w:highlight w:val="none"/>
        </w:rPr>
      </w:pPr>
    </w:p>
    <w:p w14:paraId="62FFBB9D">
      <w:pPr>
        <w:spacing w:line="282" w:lineRule="auto"/>
        <w:rPr>
          <w:rFonts w:ascii="Arial"/>
          <w:color w:val="auto"/>
          <w:sz w:val="21"/>
          <w:highlight w:val="none"/>
        </w:rPr>
      </w:pPr>
    </w:p>
    <w:p w14:paraId="20F1C129">
      <w:pPr>
        <w:spacing w:before="140" w:line="224" w:lineRule="auto"/>
        <w:ind w:left="0" w:firstLine="2730" w:firstLineChars="700"/>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334B6753">
      <w:pPr>
        <w:spacing w:line="264" w:lineRule="auto"/>
        <w:rPr>
          <w:rFonts w:ascii="Arial"/>
          <w:color w:val="auto"/>
          <w:sz w:val="21"/>
          <w:highlight w:val="none"/>
        </w:rPr>
      </w:pPr>
    </w:p>
    <w:p w14:paraId="28613FED">
      <w:pPr>
        <w:spacing w:line="265" w:lineRule="auto"/>
        <w:rPr>
          <w:rFonts w:ascii="Arial"/>
          <w:color w:val="auto"/>
          <w:sz w:val="21"/>
          <w:highlight w:val="none"/>
        </w:rPr>
      </w:pPr>
    </w:p>
    <w:p w14:paraId="5A8BB849">
      <w:pPr>
        <w:spacing w:line="265" w:lineRule="auto"/>
        <w:rPr>
          <w:rFonts w:ascii="Arial"/>
          <w:color w:val="auto"/>
          <w:sz w:val="21"/>
          <w:highlight w:val="none"/>
        </w:rPr>
      </w:pPr>
    </w:p>
    <w:p w14:paraId="3E8EB19F">
      <w:pPr>
        <w:spacing w:line="265" w:lineRule="auto"/>
        <w:rPr>
          <w:rFonts w:ascii="Arial"/>
          <w:color w:val="auto"/>
          <w:sz w:val="21"/>
          <w:highlight w:val="none"/>
        </w:rPr>
      </w:pPr>
    </w:p>
    <w:p w14:paraId="6949C961">
      <w:pPr>
        <w:spacing w:before="188" w:line="186" w:lineRule="auto"/>
        <w:ind w:left="0" w:firstLine="2508" w:firstLineChars="60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6"/>
          <w:sz w:val="43"/>
          <w:szCs w:val="43"/>
          <w:highlight w:val="none"/>
        </w:rPr>
        <w:t>报</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价    文</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件</w:t>
      </w:r>
    </w:p>
    <w:p w14:paraId="275CE31C">
      <w:pPr>
        <w:spacing w:line="242" w:lineRule="auto"/>
        <w:rPr>
          <w:rFonts w:ascii="Arial"/>
          <w:color w:val="auto"/>
          <w:sz w:val="21"/>
          <w:highlight w:val="none"/>
        </w:rPr>
      </w:pPr>
    </w:p>
    <w:p w14:paraId="79438E4C">
      <w:pPr>
        <w:spacing w:line="243" w:lineRule="auto"/>
        <w:rPr>
          <w:rFonts w:ascii="Arial"/>
          <w:color w:val="auto"/>
          <w:sz w:val="21"/>
          <w:highlight w:val="none"/>
        </w:rPr>
      </w:pPr>
    </w:p>
    <w:p w14:paraId="3870D5B3">
      <w:pPr>
        <w:spacing w:line="243" w:lineRule="auto"/>
        <w:rPr>
          <w:rFonts w:ascii="Arial"/>
          <w:color w:val="auto"/>
          <w:sz w:val="21"/>
          <w:highlight w:val="none"/>
        </w:rPr>
      </w:pPr>
    </w:p>
    <w:p w14:paraId="715AFA3E">
      <w:pPr>
        <w:spacing w:line="243" w:lineRule="auto"/>
        <w:rPr>
          <w:rFonts w:ascii="Arial"/>
          <w:color w:val="auto"/>
          <w:sz w:val="21"/>
          <w:highlight w:val="none"/>
        </w:rPr>
      </w:pPr>
    </w:p>
    <w:p w14:paraId="7DC9985A">
      <w:pPr>
        <w:spacing w:line="243" w:lineRule="auto"/>
        <w:rPr>
          <w:rFonts w:ascii="Arial"/>
          <w:color w:val="auto"/>
          <w:sz w:val="21"/>
          <w:highlight w:val="none"/>
        </w:rPr>
      </w:pPr>
    </w:p>
    <w:p w14:paraId="7CCA5F04">
      <w:pPr>
        <w:spacing w:line="243" w:lineRule="auto"/>
        <w:rPr>
          <w:rFonts w:ascii="Arial"/>
          <w:color w:val="auto"/>
          <w:sz w:val="21"/>
          <w:highlight w:val="none"/>
        </w:rPr>
      </w:pPr>
    </w:p>
    <w:p w14:paraId="2E64BCAF">
      <w:pPr>
        <w:spacing w:line="243" w:lineRule="auto"/>
        <w:rPr>
          <w:rFonts w:ascii="Arial"/>
          <w:color w:val="auto"/>
          <w:sz w:val="21"/>
          <w:highlight w:val="none"/>
        </w:rPr>
      </w:pPr>
    </w:p>
    <w:p w14:paraId="1FD226CD">
      <w:pPr>
        <w:spacing w:line="243" w:lineRule="auto"/>
        <w:rPr>
          <w:rFonts w:ascii="Arial"/>
          <w:color w:val="auto"/>
          <w:sz w:val="21"/>
          <w:highlight w:val="none"/>
        </w:rPr>
      </w:pPr>
    </w:p>
    <w:p w14:paraId="319857C0">
      <w:pPr>
        <w:spacing w:line="243" w:lineRule="auto"/>
        <w:rPr>
          <w:rFonts w:ascii="Arial"/>
          <w:color w:val="auto"/>
          <w:sz w:val="21"/>
          <w:highlight w:val="none"/>
        </w:rPr>
      </w:pPr>
    </w:p>
    <w:p w14:paraId="78482222">
      <w:pPr>
        <w:spacing w:line="243" w:lineRule="auto"/>
        <w:rPr>
          <w:rFonts w:ascii="Arial"/>
          <w:color w:val="auto"/>
          <w:sz w:val="21"/>
          <w:highlight w:val="none"/>
        </w:rPr>
      </w:pPr>
    </w:p>
    <w:p w14:paraId="4D7C4CA6">
      <w:pP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32C58E00">
      <w:pPr>
        <w:spacing w:line="328" w:lineRule="auto"/>
        <w:rPr>
          <w:rFonts w:ascii="Arial"/>
          <w:color w:val="auto"/>
          <w:sz w:val="21"/>
          <w:highlight w:val="none"/>
        </w:rPr>
      </w:pPr>
    </w:p>
    <w:p w14:paraId="34DD6460">
      <w:pPr>
        <w:spacing w:line="328" w:lineRule="auto"/>
        <w:rPr>
          <w:rFonts w:ascii="Arial"/>
          <w:color w:val="auto"/>
          <w:sz w:val="21"/>
          <w:highlight w:val="none"/>
        </w:rPr>
      </w:pPr>
    </w:p>
    <w:p w14:paraId="48D2CA7C">
      <w:pPr>
        <w:spacing w:before="101" w:line="226" w:lineRule="auto"/>
        <w:ind w:left="640"/>
        <w:rPr>
          <w:rFonts w:hint="eastAsia" w:ascii="宋体" w:hAnsi="宋体" w:eastAsia="宋体" w:cs="宋体"/>
          <w:color w:val="auto"/>
          <w:sz w:val="31"/>
          <w:szCs w:val="31"/>
          <w:highlight w:val="none"/>
          <w:lang w:eastAsia="zh-CN"/>
        </w:rPr>
      </w:pPr>
      <w:r>
        <w:rPr>
          <w:rFonts w:hint="eastAsia" w:ascii="宋体" w:hAnsi="宋体" w:cs="宋体"/>
          <w:color w:val="auto"/>
          <w:spacing w:val="3"/>
          <w:sz w:val="31"/>
          <w:szCs w:val="31"/>
          <w:highlight w:val="none"/>
          <w:lang w:eastAsia="zh-CN"/>
        </w:rPr>
        <w:t>项目编号：</w:t>
      </w:r>
    </w:p>
    <w:p w14:paraId="31E6A64E">
      <w:pPr>
        <w:spacing w:line="328" w:lineRule="auto"/>
        <w:rPr>
          <w:rFonts w:ascii="Arial"/>
          <w:color w:val="auto"/>
          <w:sz w:val="21"/>
          <w:highlight w:val="none"/>
        </w:rPr>
      </w:pPr>
    </w:p>
    <w:p w14:paraId="2D83D686">
      <w:pPr>
        <w:spacing w:line="328" w:lineRule="auto"/>
        <w:rPr>
          <w:rFonts w:ascii="Arial"/>
          <w:color w:val="auto"/>
          <w:sz w:val="21"/>
          <w:highlight w:val="none"/>
        </w:rPr>
      </w:pPr>
    </w:p>
    <w:p w14:paraId="2374BCF0">
      <w:pPr>
        <w:spacing w:before="101"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3068C75A">
      <w:pPr>
        <w:spacing w:line="276" w:lineRule="auto"/>
        <w:rPr>
          <w:rFonts w:ascii="Arial"/>
          <w:color w:val="auto"/>
          <w:sz w:val="21"/>
          <w:highlight w:val="none"/>
        </w:rPr>
      </w:pPr>
    </w:p>
    <w:p w14:paraId="087D37D9">
      <w:pPr>
        <w:spacing w:line="276" w:lineRule="auto"/>
        <w:rPr>
          <w:rFonts w:ascii="Arial"/>
          <w:color w:val="auto"/>
          <w:sz w:val="21"/>
          <w:highlight w:val="none"/>
        </w:rPr>
      </w:pPr>
    </w:p>
    <w:p w14:paraId="63EF8C86">
      <w:pPr>
        <w:spacing w:before="101" w:line="225" w:lineRule="auto"/>
        <w:ind w:left="635"/>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5414C2A6">
      <w:pPr>
        <w:spacing w:line="242" w:lineRule="auto"/>
        <w:rPr>
          <w:rFonts w:ascii="Arial"/>
          <w:color w:val="auto"/>
          <w:sz w:val="21"/>
          <w:highlight w:val="none"/>
        </w:rPr>
      </w:pPr>
    </w:p>
    <w:p w14:paraId="71A6611B">
      <w:pPr>
        <w:spacing w:line="242" w:lineRule="auto"/>
        <w:rPr>
          <w:rFonts w:ascii="Arial"/>
          <w:color w:val="auto"/>
          <w:sz w:val="21"/>
          <w:highlight w:val="none"/>
        </w:rPr>
      </w:pPr>
    </w:p>
    <w:p w14:paraId="0D8726F9">
      <w:pPr>
        <w:spacing w:line="242" w:lineRule="auto"/>
        <w:rPr>
          <w:rFonts w:ascii="Arial"/>
          <w:color w:val="auto"/>
          <w:sz w:val="21"/>
          <w:highlight w:val="none"/>
        </w:rPr>
      </w:pPr>
    </w:p>
    <w:p w14:paraId="17BAF506">
      <w:pPr>
        <w:spacing w:line="242" w:lineRule="auto"/>
        <w:rPr>
          <w:rFonts w:ascii="Arial"/>
          <w:color w:val="auto"/>
          <w:sz w:val="21"/>
          <w:highlight w:val="none"/>
        </w:rPr>
      </w:pPr>
    </w:p>
    <w:p w14:paraId="5BB4C4BC">
      <w:pPr>
        <w:spacing w:line="243" w:lineRule="auto"/>
        <w:rPr>
          <w:rFonts w:ascii="Arial"/>
          <w:color w:val="auto"/>
          <w:sz w:val="21"/>
          <w:highlight w:val="none"/>
        </w:rPr>
      </w:pPr>
    </w:p>
    <w:p w14:paraId="2F264D87">
      <w:pPr>
        <w:spacing w:line="243" w:lineRule="auto"/>
        <w:rPr>
          <w:rFonts w:ascii="Arial"/>
          <w:color w:val="auto"/>
          <w:sz w:val="21"/>
          <w:highlight w:val="none"/>
        </w:rPr>
      </w:pPr>
    </w:p>
    <w:p w14:paraId="79DA98DE">
      <w:pPr>
        <w:spacing w:line="243" w:lineRule="auto"/>
        <w:rPr>
          <w:rFonts w:ascii="Arial"/>
          <w:color w:val="auto"/>
          <w:sz w:val="21"/>
          <w:highlight w:val="none"/>
        </w:rPr>
      </w:pPr>
    </w:p>
    <w:p w14:paraId="2E5FEDE0">
      <w:pPr>
        <w:spacing w:line="243" w:lineRule="auto"/>
        <w:rPr>
          <w:rFonts w:ascii="Arial"/>
          <w:color w:val="auto"/>
          <w:sz w:val="21"/>
          <w:highlight w:val="none"/>
        </w:rPr>
      </w:pPr>
    </w:p>
    <w:p w14:paraId="43E60B3A">
      <w:pPr>
        <w:spacing w:before="102" w:line="226" w:lineRule="auto"/>
        <w:ind w:left="3601"/>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5964ABC9">
      <w:pPr>
        <w:spacing w:line="226" w:lineRule="auto"/>
        <w:rPr>
          <w:rFonts w:ascii="宋体" w:hAnsi="宋体" w:eastAsia="宋体" w:cs="宋体"/>
          <w:color w:val="auto"/>
          <w:sz w:val="31"/>
          <w:szCs w:val="31"/>
          <w:highlight w:val="none"/>
        </w:rPr>
        <w:sectPr>
          <w:headerReference r:id="rId7" w:type="default"/>
          <w:footerReference r:id="rId8" w:type="default"/>
          <w:pgSz w:w="11907" w:h="16839"/>
          <w:pgMar w:top="1417" w:right="1417" w:bottom="1417" w:left="1417" w:header="0" w:footer="856" w:gutter="0"/>
          <w:pgNumType w:fmt="decimal"/>
          <w:cols w:space="720" w:num="1"/>
          <w:rtlGutter w:val="0"/>
        </w:sectPr>
      </w:pPr>
    </w:p>
    <w:p w14:paraId="145B105A">
      <w:pPr>
        <w:keepNext w:val="0"/>
        <w:keepLines w:val="0"/>
        <w:widowControl/>
        <w:suppressLineNumbers w:val="0"/>
        <w:jc w:val="left"/>
        <w:rPr>
          <w:rFonts w:ascii="宋体" w:hAnsi="宋体" w:eastAsia="宋体" w:cs="宋体"/>
          <w:color w:val="auto"/>
          <w:spacing w:val="2"/>
          <w:sz w:val="21"/>
          <w:szCs w:val="21"/>
          <w:highlight w:val="none"/>
          <w:u w:val="none"/>
        </w:rPr>
      </w:pPr>
      <w:r>
        <w:rPr>
          <w:rFonts w:ascii="宋体" w:hAnsi="宋体" w:eastAsia="宋体" w:cs="宋体"/>
          <w:color w:val="auto"/>
          <w:spacing w:val="2"/>
          <w:sz w:val="21"/>
          <w:szCs w:val="21"/>
          <w:highlight w:val="none"/>
          <w:u w:val="none"/>
        </w:rPr>
        <w:t xml:space="preserve">   </w:t>
      </w:r>
    </w:p>
    <w:p w14:paraId="1D454F51">
      <w:pPr>
        <w:keepNext w:val="0"/>
        <w:keepLines w:val="0"/>
        <w:widowControl/>
        <w:suppressLineNumbers w:val="0"/>
        <w:jc w:val="left"/>
        <w:rPr>
          <w:rFonts w:ascii="宋体" w:hAnsi="宋体" w:eastAsia="宋体" w:cs="宋体"/>
          <w:color w:val="auto"/>
          <w:spacing w:val="2"/>
          <w:sz w:val="21"/>
          <w:szCs w:val="21"/>
          <w:highlight w:val="none"/>
          <w:u w:val="none"/>
        </w:rPr>
      </w:pPr>
    </w:p>
    <w:p w14:paraId="2DE05466">
      <w:pPr>
        <w:keepNext w:val="0"/>
        <w:keepLines w:val="0"/>
        <w:widowControl/>
        <w:suppressLineNumbers w:val="0"/>
        <w:jc w:val="left"/>
        <w:rPr>
          <w:rFonts w:ascii="宋体" w:hAnsi="宋体" w:eastAsia="宋体" w:cs="宋体"/>
          <w:color w:val="auto"/>
          <w:spacing w:val="2"/>
          <w:sz w:val="21"/>
          <w:szCs w:val="21"/>
          <w:highlight w:val="none"/>
          <w:u w:val="none"/>
        </w:rPr>
      </w:pPr>
    </w:p>
    <w:p w14:paraId="2F9841B1">
      <w:pPr>
        <w:keepNext w:val="0"/>
        <w:keepLines w:val="0"/>
        <w:widowControl/>
        <w:suppressLineNumbers w:val="0"/>
        <w:jc w:val="left"/>
        <w:rPr>
          <w:rFonts w:hint="eastAsia" w:ascii="宋体" w:hAnsi="宋体" w:eastAsia="宋体" w:cs="宋体"/>
          <w:b/>
          <w:bCs/>
          <w:color w:val="auto"/>
          <w:sz w:val="30"/>
          <w:szCs w:val="30"/>
          <w:highlight w:val="none"/>
          <w:lang w:bidi="ar"/>
        </w:rPr>
      </w:pPr>
      <w:r>
        <w:rPr>
          <w:rFonts w:ascii="宋体" w:hAnsi="宋体" w:eastAsia="宋体" w:cs="宋体"/>
          <w:color w:val="auto"/>
          <w:spacing w:val="2"/>
          <w:sz w:val="21"/>
          <w:szCs w:val="21"/>
          <w:highlight w:val="none"/>
          <w:u w:val="none"/>
        </w:rPr>
        <w:t xml:space="preserve"> </w:t>
      </w:r>
      <w:r>
        <w:rPr>
          <w:rFonts w:hint="eastAsia" w:ascii="宋体" w:hAnsi="宋体" w:eastAsia="宋体" w:cs="宋体"/>
          <w:b/>
          <w:bCs/>
          <w:color w:val="auto"/>
          <w:kern w:val="0"/>
          <w:sz w:val="30"/>
          <w:szCs w:val="30"/>
          <w:highlight w:val="none"/>
          <w:lang w:val="en-US" w:eastAsia="zh-CN" w:bidi="ar"/>
        </w:rPr>
        <w:t xml:space="preserve">2.报价文件目录 </w:t>
      </w:r>
    </w:p>
    <w:p w14:paraId="4C2DE5A6">
      <w:pPr>
        <w:keepNext w:val="0"/>
        <w:keepLines w:val="0"/>
        <w:widowControl/>
        <w:suppressLineNumbers w:val="0"/>
        <w:jc w:val="left"/>
        <w:rPr>
          <w:rFonts w:hint="eastAsia" w:ascii="宋体" w:hAnsi="宋体" w:eastAsia="宋体" w:cs="宋体"/>
          <w:color w:val="auto"/>
          <w:kern w:val="0"/>
          <w:sz w:val="31"/>
          <w:szCs w:val="31"/>
          <w:highlight w:val="none"/>
          <w:lang w:val="en-US" w:eastAsia="zh-CN" w:bidi="ar"/>
        </w:rPr>
      </w:pPr>
    </w:p>
    <w:p w14:paraId="23AE9BD0">
      <w:pPr>
        <w:keepNext w:val="0"/>
        <w:keepLines w:val="0"/>
        <w:widowControl/>
        <w:suppressLineNumbers w:val="0"/>
        <w:jc w:val="left"/>
        <w:rPr>
          <w:rFonts w:hint="eastAsia" w:ascii="宋体" w:hAnsi="宋体" w:eastAsia="宋体" w:cs="宋体"/>
          <w:color w:val="auto"/>
          <w:kern w:val="0"/>
          <w:sz w:val="31"/>
          <w:szCs w:val="31"/>
          <w:highlight w:val="none"/>
          <w:lang w:val="en-US" w:eastAsia="zh-CN" w:bidi="ar"/>
        </w:rPr>
      </w:pPr>
    </w:p>
    <w:p w14:paraId="6ACED94C">
      <w:pPr>
        <w:keepNext w:val="0"/>
        <w:keepLines w:val="0"/>
        <w:widowControl/>
        <w:suppressLineNumbers w:val="0"/>
        <w:spacing w:line="360" w:lineRule="auto"/>
        <w:ind w:firstLine="0" w:firstLineChars="0"/>
        <w:jc w:val="left"/>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根据磋商文件规定及供应商提供的材料自行编写目录（部分格式后附）。</w:t>
      </w:r>
    </w:p>
    <w:p w14:paraId="1DA4FE19">
      <w:pPr>
        <w:numPr>
          <w:ilvl w:val="0"/>
          <w:numId w:val="0"/>
        </w:numPr>
        <w:spacing w:before="183" w:line="360" w:lineRule="auto"/>
        <w:ind w:left="0" w:right="2" w:firstLine="0"/>
        <w:rPr>
          <w:rFonts w:ascii="宋体" w:hAnsi="宋体" w:eastAsia="宋体" w:cs="宋体"/>
          <w:color w:val="auto"/>
          <w:spacing w:val="2"/>
          <w:sz w:val="21"/>
          <w:szCs w:val="21"/>
          <w:highlight w:val="none"/>
        </w:rPr>
        <w:sectPr>
          <w:footerReference r:id="rId9" w:type="default"/>
          <w:pgSz w:w="11907" w:h="16839"/>
          <w:pgMar w:top="1417" w:right="1417" w:bottom="1417" w:left="1417" w:header="1134" w:footer="1134" w:gutter="0"/>
          <w:pgNumType w:fmt="decimal"/>
          <w:cols w:space="720" w:num="1"/>
          <w:rtlGutter w:val="0"/>
        </w:sectPr>
      </w:pPr>
    </w:p>
    <w:p w14:paraId="6EA4439A">
      <w:pPr>
        <w:spacing w:line="292" w:lineRule="auto"/>
        <w:rPr>
          <w:rFonts w:ascii="Arial"/>
          <w:color w:val="auto"/>
          <w:sz w:val="21"/>
          <w:highlight w:val="none"/>
        </w:rPr>
      </w:pPr>
    </w:p>
    <w:p w14:paraId="087D7C44">
      <w:pPr>
        <w:pStyle w:val="32"/>
        <w:jc w:val="both"/>
        <w:rPr>
          <w:b/>
          <w:color w:val="auto"/>
          <w:sz w:val="32"/>
          <w:highlight w:val="none"/>
        </w:rPr>
      </w:pPr>
      <w:r>
        <w:rPr>
          <w:rFonts w:hint="eastAsia" w:ascii="宋体" w:hAnsi="宋体" w:cs="宋体"/>
          <w:b/>
          <w:color w:val="auto"/>
          <w:sz w:val="24"/>
          <w:highlight w:val="none"/>
          <w:lang w:val="en-US" w:eastAsia="zh-CN"/>
        </w:rPr>
        <w:t xml:space="preserve">                               </w:t>
      </w:r>
      <w:r>
        <w:rPr>
          <w:color w:val="auto"/>
          <w:highlight w:val="none"/>
        </w:rPr>
        <w:t xml:space="preserve">   </w:t>
      </w:r>
      <w:r>
        <w:rPr>
          <w:b/>
          <w:color w:val="auto"/>
          <w:sz w:val="32"/>
          <w:highlight w:val="none"/>
        </w:rPr>
        <w:t>报价表</w:t>
      </w:r>
    </w:p>
    <w:p w14:paraId="1C4F8B04">
      <w:pP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71E10D50">
      <w:pPr>
        <w:spacing w:line="500" w:lineRule="exact"/>
        <w:rPr>
          <w:rFonts w:ascii="宋体" w:hAnsi="宋体" w:cs="宋体"/>
          <w:color w:val="auto"/>
          <w:kern w:val="1"/>
          <w:sz w:val="24"/>
          <w:szCs w:val="24"/>
          <w:highlight w:val="none"/>
        </w:rPr>
      </w:pPr>
      <w:r>
        <w:rPr>
          <w:rFonts w:hint="eastAsia" w:ascii="宋体" w:hAnsi="宋体" w:cs="宋体"/>
          <w:color w:val="auto"/>
          <w:kern w:val="1"/>
          <w:sz w:val="24"/>
          <w:szCs w:val="24"/>
          <w:highlight w:val="none"/>
          <w:lang w:eastAsia="zh-CN"/>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429AE8C0">
      <w:pP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p>
    <w:tbl>
      <w:tblPr>
        <w:tblStyle w:val="61"/>
        <w:tblW w:w="8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3499"/>
        <w:gridCol w:w="2983"/>
        <w:gridCol w:w="1106"/>
      </w:tblGrid>
      <w:tr w14:paraId="70B6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03" w:type="dxa"/>
            <w:noWrap w:val="0"/>
            <w:vAlign w:val="center"/>
          </w:tcPr>
          <w:p w14:paraId="5F0BDB9D">
            <w:pPr>
              <w:widowControl/>
              <w:kinsoku/>
              <w:wordWrap/>
              <w:topLinePunct w:val="0"/>
              <w:bidi w:val="0"/>
              <w:spacing w:beforeAutospacing="0" w:line="40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kern w:val="0"/>
                <w:sz w:val="24"/>
                <w:szCs w:val="24"/>
                <w:highlight w:val="none"/>
                <w:lang w:eastAsia="zh-CN"/>
              </w:rPr>
              <w:t>序号</w:t>
            </w:r>
          </w:p>
        </w:tc>
        <w:tc>
          <w:tcPr>
            <w:tcW w:w="3499" w:type="dxa"/>
            <w:noWrap w:val="0"/>
            <w:vAlign w:val="center"/>
          </w:tcPr>
          <w:p w14:paraId="2B38E9A4">
            <w:pPr>
              <w:widowControl/>
              <w:kinsoku/>
              <w:wordWrap/>
              <w:topLinePunct w:val="0"/>
              <w:bidi w:val="0"/>
              <w:spacing w:line="4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rPr>
              <w:t>服务</w:t>
            </w:r>
            <w:r>
              <w:rPr>
                <w:rFonts w:hint="eastAsia" w:ascii="宋体" w:hAnsi="宋体" w:eastAsia="宋体" w:cs="宋体"/>
                <w:b/>
                <w:bCs/>
                <w:color w:val="auto"/>
                <w:kern w:val="0"/>
                <w:sz w:val="24"/>
                <w:szCs w:val="24"/>
                <w:highlight w:val="none"/>
                <w:lang w:val="en-US" w:eastAsia="zh-CN"/>
              </w:rPr>
              <w:t>内容</w:t>
            </w:r>
          </w:p>
        </w:tc>
        <w:tc>
          <w:tcPr>
            <w:tcW w:w="2983" w:type="dxa"/>
            <w:noWrap w:val="0"/>
            <w:vAlign w:val="center"/>
          </w:tcPr>
          <w:p w14:paraId="7CA8B6D9">
            <w:pPr>
              <w:widowControl/>
              <w:kinsoku/>
              <w:wordWrap/>
              <w:topLinePunct w:val="0"/>
              <w:bidi w:val="0"/>
              <w:spacing w:line="400" w:lineRule="exact"/>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折扣率（%）</w:t>
            </w:r>
          </w:p>
        </w:tc>
        <w:tc>
          <w:tcPr>
            <w:tcW w:w="1106" w:type="dxa"/>
            <w:noWrap w:val="0"/>
            <w:vAlign w:val="center"/>
          </w:tcPr>
          <w:p w14:paraId="12399EC8">
            <w:pPr>
              <w:widowControl/>
              <w:kinsoku/>
              <w:wordWrap/>
              <w:topLinePunct w:val="0"/>
              <w:bidi w:val="0"/>
              <w:spacing w:line="400" w:lineRule="exact"/>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备注</w:t>
            </w:r>
          </w:p>
        </w:tc>
      </w:tr>
      <w:tr w14:paraId="5197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03" w:type="dxa"/>
            <w:noWrap w:val="0"/>
            <w:vAlign w:val="center"/>
          </w:tcPr>
          <w:p w14:paraId="50FE5BF4">
            <w:pPr>
              <w:widowControl/>
              <w:kinsoku/>
              <w:wordWrap/>
              <w:topLinePunct w:val="0"/>
              <w:bidi w:val="0"/>
              <w:spacing w:beforeAutospacing="0" w:line="400" w:lineRule="exact"/>
              <w:jc w:val="center"/>
              <w:textAlignment w:val="auto"/>
              <w:rPr>
                <w:rFonts w:hint="eastAsia" w:ascii="宋体" w:hAnsi="宋体" w:eastAsia="宋体" w:cs="宋体"/>
                <w:b/>
                <w:bCs/>
                <w:color w:val="auto"/>
                <w:kern w:val="0"/>
                <w:sz w:val="24"/>
                <w:szCs w:val="24"/>
                <w:highlight w:val="none"/>
                <w:lang w:eastAsia="zh-CN"/>
              </w:rPr>
            </w:pPr>
          </w:p>
        </w:tc>
        <w:tc>
          <w:tcPr>
            <w:tcW w:w="3499" w:type="dxa"/>
            <w:noWrap w:val="0"/>
            <w:vAlign w:val="center"/>
          </w:tcPr>
          <w:p w14:paraId="0DC4E757">
            <w:pPr>
              <w:widowControl/>
              <w:kinsoku/>
              <w:wordWrap/>
              <w:topLinePunct w:val="0"/>
              <w:bidi w:val="0"/>
              <w:spacing w:line="400" w:lineRule="exact"/>
              <w:jc w:val="center"/>
              <w:textAlignment w:val="auto"/>
              <w:rPr>
                <w:rFonts w:hint="eastAsia" w:ascii="宋体" w:hAnsi="宋体" w:eastAsia="宋体" w:cs="宋体"/>
                <w:b/>
                <w:bCs/>
                <w:color w:val="auto"/>
                <w:kern w:val="0"/>
                <w:sz w:val="24"/>
                <w:szCs w:val="24"/>
                <w:highlight w:val="none"/>
              </w:rPr>
            </w:pPr>
          </w:p>
        </w:tc>
        <w:tc>
          <w:tcPr>
            <w:tcW w:w="2983" w:type="dxa"/>
            <w:noWrap w:val="0"/>
            <w:vAlign w:val="center"/>
          </w:tcPr>
          <w:p w14:paraId="6811DB44">
            <w:pPr>
              <w:widowControl/>
              <w:kinsoku/>
              <w:wordWrap/>
              <w:topLinePunct w:val="0"/>
              <w:bidi w:val="0"/>
              <w:spacing w:line="400" w:lineRule="exact"/>
              <w:jc w:val="center"/>
              <w:textAlignment w:val="auto"/>
              <w:rPr>
                <w:rFonts w:hint="eastAsia" w:ascii="宋体" w:hAnsi="宋体" w:cs="宋体"/>
                <w:b/>
                <w:bCs/>
                <w:color w:val="auto"/>
                <w:kern w:val="0"/>
                <w:sz w:val="24"/>
                <w:szCs w:val="24"/>
                <w:highlight w:val="none"/>
                <w:lang w:val="en-US" w:eastAsia="zh-CN"/>
              </w:rPr>
            </w:pPr>
          </w:p>
        </w:tc>
        <w:tc>
          <w:tcPr>
            <w:tcW w:w="1106" w:type="dxa"/>
            <w:noWrap w:val="0"/>
            <w:vAlign w:val="center"/>
          </w:tcPr>
          <w:p w14:paraId="68350DC6">
            <w:pPr>
              <w:widowControl/>
              <w:kinsoku/>
              <w:wordWrap/>
              <w:topLinePunct w:val="0"/>
              <w:bidi w:val="0"/>
              <w:spacing w:line="400" w:lineRule="exact"/>
              <w:jc w:val="center"/>
              <w:textAlignment w:val="auto"/>
              <w:rPr>
                <w:rFonts w:hint="eastAsia" w:ascii="宋体" w:hAnsi="宋体" w:eastAsia="宋体" w:cs="宋体"/>
                <w:b/>
                <w:bCs/>
                <w:color w:val="auto"/>
                <w:kern w:val="0"/>
                <w:sz w:val="24"/>
                <w:szCs w:val="24"/>
                <w:highlight w:val="none"/>
                <w:lang w:val="en-US" w:eastAsia="zh-CN"/>
              </w:rPr>
            </w:pPr>
          </w:p>
        </w:tc>
      </w:tr>
      <w:tr w14:paraId="45A5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391" w:type="dxa"/>
            <w:gridSpan w:val="4"/>
            <w:noWrap w:val="0"/>
            <w:vAlign w:val="center"/>
          </w:tcPr>
          <w:p w14:paraId="3FBE876C">
            <w:pPr>
              <w:kinsoku/>
              <w:wordWrap/>
              <w:topLinePunct w:val="0"/>
              <w:bidi w:val="0"/>
              <w:spacing w:line="400" w:lineRule="exac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合计：（大写）                       （小写）          </w:t>
            </w:r>
          </w:p>
        </w:tc>
      </w:tr>
    </w:tbl>
    <w:p w14:paraId="579F96F8">
      <w:pPr>
        <w:spacing w:line="500" w:lineRule="exact"/>
        <w:rPr>
          <w:rFonts w:ascii="宋体" w:hAnsi="宋体" w:cs="宋体"/>
          <w:color w:val="auto"/>
          <w:kern w:val="1"/>
          <w:sz w:val="24"/>
          <w:szCs w:val="24"/>
          <w:highlight w:val="none"/>
        </w:rPr>
      </w:pPr>
    </w:p>
    <w:p w14:paraId="0266B1C1">
      <w:pPr>
        <w:tabs>
          <w:tab w:val="left" w:pos="1418"/>
        </w:tabs>
        <w:spacing w:before="50" w:after="50" w:line="360" w:lineRule="exact"/>
        <w:jc w:val="left"/>
        <w:rPr>
          <w:rFonts w:ascii="宋体" w:hAnsi="宋体" w:cs="宋体"/>
          <w:b/>
          <w:color w:val="auto"/>
          <w:spacing w:val="17"/>
          <w:kern w:val="1"/>
          <w:sz w:val="24"/>
          <w:szCs w:val="24"/>
          <w:highlight w:val="none"/>
        </w:rPr>
      </w:pPr>
      <w:r>
        <w:rPr>
          <w:rFonts w:ascii="宋体" w:hAnsi="宋体" w:cs="宋体"/>
          <w:b/>
          <w:color w:val="auto"/>
          <w:kern w:val="1"/>
          <w:sz w:val="24"/>
          <w:szCs w:val="24"/>
          <w:highlight w:val="none"/>
        </w:rPr>
        <w:t>注：</w:t>
      </w:r>
      <w:r>
        <w:rPr>
          <w:rFonts w:ascii="宋体" w:hAnsi="宋体" w:cs="宋体"/>
          <w:b/>
          <w:color w:val="auto"/>
          <w:spacing w:val="17"/>
          <w:kern w:val="1"/>
          <w:sz w:val="24"/>
          <w:szCs w:val="24"/>
          <w:highlight w:val="none"/>
        </w:rPr>
        <w:t>（1）报价以</w:t>
      </w:r>
      <w:r>
        <w:rPr>
          <w:rFonts w:hint="eastAsia" w:ascii="宋体" w:hAnsi="宋体" w:cs="宋体"/>
          <w:b/>
          <w:color w:val="auto"/>
          <w:spacing w:val="17"/>
          <w:kern w:val="1"/>
          <w:sz w:val="24"/>
          <w:szCs w:val="24"/>
          <w:highlight w:val="none"/>
          <w:lang w:val="en-US" w:eastAsia="zh-CN"/>
        </w:rPr>
        <w:t>折扣率报价</w:t>
      </w:r>
      <w:r>
        <w:rPr>
          <w:rFonts w:ascii="宋体" w:hAnsi="宋体" w:cs="宋体"/>
          <w:b/>
          <w:color w:val="auto"/>
          <w:spacing w:val="17"/>
          <w:kern w:val="1"/>
          <w:sz w:val="24"/>
          <w:szCs w:val="24"/>
          <w:highlight w:val="none"/>
        </w:rPr>
        <w:t>，</w:t>
      </w:r>
      <w:r>
        <w:rPr>
          <w:rFonts w:hint="eastAsia" w:hAnsi="宋体" w:cs="宋体"/>
          <w:b/>
          <w:color w:val="auto"/>
          <w:spacing w:val="17"/>
          <w:kern w:val="1"/>
          <w:sz w:val="24"/>
          <w:szCs w:val="24"/>
          <w:highlight w:val="none"/>
          <w:lang w:val="en-US" w:eastAsia="zh-CN"/>
        </w:rPr>
        <w:t>有效报价范围为0.00</w:t>
      </w:r>
      <w:r>
        <w:rPr>
          <w:rFonts w:hint="default" w:ascii="Arial" w:hAnsi="Arial" w:cs="Arial"/>
          <w:b/>
          <w:color w:val="auto"/>
          <w:spacing w:val="17"/>
          <w:kern w:val="1"/>
          <w:sz w:val="24"/>
          <w:szCs w:val="24"/>
          <w:highlight w:val="none"/>
          <w:lang w:val="en-US" w:eastAsia="zh-CN"/>
        </w:rPr>
        <w:t>≤</w:t>
      </w:r>
      <w:r>
        <w:rPr>
          <w:rFonts w:hint="eastAsia" w:hAnsi="宋体" w:cs="宋体"/>
          <w:b/>
          <w:color w:val="auto"/>
          <w:spacing w:val="17"/>
          <w:kern w:val="1"/>
          <w:sz w:val="24"/>
          <w:szCs w:val="24"/>
          <w:highlight w:val="none"/>
          <w:lang w:val="en-US" w:eastAsia="zh-CN"/>
        </w:rPr>
        <w:t>折扣率</w:t>
      </w:r>
      <w:r>
        <w:rPr>
          <w:rFonts w:hint="default" w:ascii="Arial" w:hAnsi="Arial" w:cs="Arial"/>
          <w:b/>
          <w:color w:val="auto"/>
          <w:spacing w:val="17"/>
          <w:kern w:val="1"/>
          <w:sz w:val="24"/>
          <w:szCs w:val="24"/>
          <w:highlight w:val="none"/>
          <w:lang w:val="en-US" w:eastAsia="zh-CN"/>
        </w:rPr>
        <w:t>≤</w:t>
      </w:r>
      <w:r>
        <w:rPr>
          <w:rFonts w:hint="eastAsia" w:hAnsi="宋体" w:cs="宋体"/>
          <w:b/>
          <w:color w:val="auto"/>
          <w:spacing w:val="17"/>
          <w:kern w:val="1"/>
          <w:sz w:val="24"/>
          <w:szCs w:val="24"/>
          <w:highlight w:val="none"/>
          <w:lang w:val="en-US" w:eastAsia="zh-CN"/>
        </w:rPr>
        <w:t>100.00%，</w:t>
      </w:r>
      <w:r>
        <w:rPr>
          <w:rFonts w:hint="eastAsia" w:ascii="宋体" w:hAnsi="宋体" w:cs="宋体"/>
          <w:b/>
          <w:color w:val="auto"/>
          <w:spacing w:val="17"/>
          <w:kern w:val="1"/>
          <w:sz w:val="24"/>
          <w:szCs w:val="24"/>
          <w:highlight w:val="none"/>
          <w:lang w:val="en-US" w:eastAsia="zh-CN"/>
        </w:rPr>
        <w:t>保留小数点后两位小数。</w:t>
      </w:r>
    </w:p>
    <w:p w14:paraId="32C0212C">
      <w:pPr>
        <w:tabs>
          <w:tab w:val="left" w:pos="1418"/>
        </w:tabs>
        <w:spacing w:before="50" w:after="50" w:line="360" w:lineRule="exact"/>
        <w:ind w:firstLine="502"/>
        <w:jc w:val="left"/>
        <w:rPr>
          <w:rFonts w:ascii="宋体" w:hAnsi="宋体" w:cs="宋体"/>
          <w:b/>
          <w:color w:val="auto"/>
          <w:spacing w:val="17"/>
          <w:kern w:val="1"/>
          <w:sz w:val="24"/>
          <w:szCs w:val="24"/>
          <w:highlight w:val="none"/>
        </w:rPr>
      </w:pPr>
      <w:r>
        <w:rPr>
          <w:rFonts w:ascii="宋体" w:hAnsi="宋体" w:cs="宋体"/>
          <w:b/>
          <w:color w:val="auto"/>
          <w:spacing w:val="17"/>
          <w:kern w:val="1"/>
          <w:sz w:val="24"/>
          <w:szCs w:val="24"/>
          <w:highlight w:val="none"/>
        </w:rPr>
        <w:t>（2）报价必须包含</w:t>
      </w:r>
      <w:r>
        <w:rPr>
          <w:rFonts w:hint="eastAsia" w:ascii="宋体" w:hAnsi="宋体" w:cs="宋体"/>
          <w:b/>
          <w:color w:val="auto"/>
          <w:spacing w:val="17"/>
          <w:kern w:val="1"/>
          <w:sz w:val="24"/>
          <w:szCs w:val="24"/>
          <w:highlight w:val="none"/>
        </w:rPr>
        <w:t>货物、服务、随配附件、备品备件、工具、货物运抵指定交货地点、安装、调试的各种费用和售后服务、上排费、管理费、税金及其它所有成本、费用的总和，采购人不再额外支付任何费。</w:t>
      </w:r>
    </w:p>
    <w:p w14:paraId="005CD33D">
      <w:pPr>
        <w:pStyle w:val="23"/>
        <w:ind w:firstLine="480" w:firstLineChars="200"/>
        <w:rPr>
          <w:rFonts w:hint="eastAsia" w:eastAsia="宋体"/>
          <w:color w:val="auto"/>
          <w:highlight w:val="none"/>
          <w:lang w:eastAsia="zh-CN"/>
        </w:rPr>
      </w:pPr>
    </w:p>
    <w:p w14:paraId="0D0AD53E">
      <w:pPr>
        <w:tabs>
          <w:tab w:val="left" w:pos="1418"/>
        </w:tabs>
        <w:spacing w:before="50" w:after="50" w:line="360" w:lineRule="exact"/>
        <w:ind w:firstLine="502"/>
        <w:jc w:val="left"/>
        <w:rPr>
          <w:rFonts w:ascii="宋体" w:hAnsi="宋体" w:cs="宋体"/>
          <w:b/>
          <w:color w:val="auto"/>
          <w:spacing w:val="17"/>
          <w:kern w:val="1"/>
          <w:sz w:val="24"/>
          <w:szCs w:val="24"/>
          <w:highlight w:val="none"/>
        </w:rPr>
      </w:pPr>
    </w:p>
    <w:p w14:paraId="6EBFEFB2">
      <w:pP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法定代表人（负责人）或委托代理人</w:t>
      </w:r>
      <w:r>
        <w:rPr>
          <w:rFonts w:hint="eastAsia" w:ascii="宋体" w:hAnsi="宋体"/>
          <w:b/>
          <w:bCs/>
          <w:color w:val="auto"/>
          <w:kern w:val="2"/>
          <w:sz w:val="24"/>
          <w:szCs w:val="24"/>
          <w:highlight w:val="none"/>
        </w:rPr>
        <w:t>（签字或个人CA签章）</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54798C44">
      <w:pP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磋商供应商名称（</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2C934D03">
      <w:pPr>
        <w:spacing w:line="500"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报价时间：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3EF9612A">
      <w:pPr>
        <w:spacing w:before="101" w:line="676" w:lineRule="exact"/>
        <w:ind w:left="0"/>
        <w:rPr>
          <w:rFonts w:ascii="宋体" w:hAnsi="宋体" w:eastAsia="宋体" w:cs="宋体"/>
          <w:color w:val="auto"/>
          <w:sz w:val="31"/>
          <w:szCs w:val="31"/>
          <w:highlight w:val="none"/>
        </w:rPr>
      </w:pPr>
      <w:r>
        <w:rPr>
          <w:rFonts w:ascii="宋体" w:hAnsi="宋体" w:cs="宋体"/>
          <w:color w:val="auto"/>
          <w:kern w:val="1"/>
          <w:highlight w:val="none"/>
        </w:rPr>
        <w:br w:type="page"/>
      </w:r>
      <w:r>
        <w:rPr>
          <w:rFonts w:ascii="宋体" w:hAnsi="宋体" w:eastAsia="宋体" w:cs="宋体"/>
          <w:color w:val="auto"/>
          <w:spacing w:val="9"/>
          <w:position w:val="27"/>
          <w:sz w:val="31"/>
          <w:szCs w:val="31"/>
          <w:highlight w:val="none"/>
        </w:rPr>
        <w:t>三、商务技术文件格式</w:t>
      </w:r>
    </w:p>
    <w:p w14:paraId="4CF1024F">
      <w:pPr>
        <w:spacing w:before="1" w:line="225" w:lineRule="auto"/>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1.商务技术文件封面格式</w:t>
      </w:r>
    </w:p>
    <w:p w14:paraId="460E5173">
      <w:pPr>
        <w:spacing w:line="280" w:lineRule="auto"/>
        <w:rPr>
          <w:rFonts w:ascii="Arial"/>
          <w:color w:val="auto"/>
          <w:sz w:val="21"/>
          <w:highlight w:val="none"/>
        </w:rPr>
      </w:pPr>
    </w:p>
    <w:p w14:paraId="1A3AF06B">
      <w:pPr>
        <w:spacing w:line="281" w:lineRule="auto"/>
        <w:rPr>
          <w:rFonts w:ascii="Arial"/>
          <w:color w:val="auto"/>
          <w:sz w:val="21"/>
          <w:highlight w:val="none"/>
        </w:rPr>
      </w:pPr>
    </w:p>
    <w:p w14:paraId="3617CCA5">
      <w:pPr>
        <w:spacing w:line="281" w:lineRule="auto"/>
        <w:rPr>
          <w:rFonts w:ascii="Arial"/>
          <w:color w:val="auto"/>
          <w:sz w:val="21"/>
          <w:highlight w:val="none"/>
        </w:rPr>
      </w:pPr>
    </w:p>
    <w:p w14:paraId="09B694D2">
      <w:pPr>
        <w:spacing w:before="139" w:line="224" w:lineRule="auto"/>
        <w:ind w:left="2888"/>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144E703E">
      <w:pPr>
        <w:spacing w:line="265" w:lineRule="auto"/>
        <w:rPr>
          <w:rFonts w:ascii="Arial"/>
          <w:color w:val="auto"/>
          <w:sz w:val="21"/>
          <w:highlight w:val="none"/>
        </w:rPr>
      </w:pPr>
    </w:p>
    <w:p w14:paraId="00CAA8D6">
      <w:pPr>
        <w:spacing w:line="265" w:lineRule="auto"/>
        <w:rPr>
          <w:rFonts w:ascii="Arial"/>
          <w:color w:val="auto"/>
          <w:sz w:val="21"/>
          <w:highlight w:val="none"/>
        </w:rPr>
      </w:pPr>
    </w:p>
    <w:p w14:paraId="35CFA1B6">
      <w:pPr>
        <w:spacing w:line="266" w:lineRule="auto"/>
        <w:rPr>
          <w:rFonts w:ascii="Arial"/>
          <w:color w:val="auto"/>
          <w:sz w:val="21"/>
          <w:highlight w:val="none"/>
        </w:rPr>
      </w:pPr>
    </w:p>
    <w:p w14:paraId="7A8AA96B">
      <w:pPr>
        <w:spacing w:line="266" w:lineRule="auto"/>
        <w:rPr>
          <w:rFonts w:ascii="Arial"/>
          <w:color w:val="auto"/>
          <w:sz w:val="21"/>
          <w:highlight w:val="none"/>
        </w:rPr>
      </w:pPr>
    </w:p>
    <w:p w14:paraId="4AC18994">
      <w:pPr>
        <w:spacing w:before="188" w:line="185" w:lineRule="auto"/>
        <w:ind w:left="2294"/>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商</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务</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7"/>
          <w:sz w:val="43"/>
          <w:szCs w:val="43"/>
          <w:highlight w:val="none"/>
        </w:rPr>
        <w:t>技</w:t>
      </w:r>
      <w:r>
        <w:rPr>
          <w:rFonts w:ascii="Arial Unicode MS" w:hAnsi="Arial Unicode MS" w:eastAsia="Arial Unicode MS" w:cs="Arial Unicode MS"/>
          <w:color w:val="auto"/>
          <w:spacing w:val="32"/>
          <w:sz w:val="43"/>
          <w:szCs w:val="43"/>
          <w:highlight w:val="none"/>
        </w:rPr>
        <w:t xml:space="preserve">  </w:t>
      </w:r>
      <w:r>
        <w:rPr>
          <w:rFonts w:ascii="Arial Unicode MS" w:hAnsi="Arial Unicode MS" w:eastAsia="Arial Unicode MS" w:cs="Arial Unicode MS"/>
          <w:color w:val="auto"/>
          <w:spacing w:val="-7"/>
          <w:sz w:val="43"/>
          <w:szCs w:val="43"/>
          <w:highlight w:val="none"/>
        </w:rPr>
        <w:t>术   文</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件</w:t>
      </w:r>
    </w:p>
    <w:p w14:paraId="611F1707">
      <w:pPr>
        <w:spacing w:line="242" w:lineRule="auto"/>
        <w:rPr>
          <w:rFonts w:ascii="Arial"/>
          <w:color w:val="auto"/>
          <w:sz w:val="21"/>
          <w:highlight w:val="none"/>
        </w:rPr>
      </w:pPr>
    </w:p>
    <w:p w14:paraId="42C0778F">
      <w:pPr>
        <w:spacing w:line="243" w:lineRule="auto"/>
        <w:rPr>
          <w:rFonts w:ascii="Arial"/>
          <w:color w:val="auto"/>
          <w:sz w:val="21"/>
          <w:highlight w:val="none"/>
        </w:rPr>
      </w:pPr>
    </w:p>
    <w:p w14:paraId="6EC5129E">
      <w:pPr>
        <w:spacing w:line="243" w:lineRule="auto"/>
        <w:rPr>
          <w:rFonts w:ascii="Arial"/>
          <w:color w:val="auto"/>
          <w:sz w:val="21"/>
          <w:highlight w:val="none"/>
        </w:rPr>
      </w:pPr>
    </w:p>
    <w:p w14:paraId="4318EDEE">
      <w:pPr>
        <w:spacing w:line="243" w:lineRule="auto"/>
        <w:rPr>
          <w:rFonts w:ascii="Arial"/>
          <w:color w:val="auto"/>
          <w:sz w:val="21"/>
          <w:highlight w:val="none"/>
        </w:rPr>
      </w:pPr>
    </w:p>
    <w:p w14:paraId="30D725D5">
      <w:pPr>
        <w:spacing w:line="243" w:lineRule="auto"/>
        <w:rPr>
          <w:rFonts w:ascii="Arial"/>
          <w:color w:val="auto"/>
          <w:sz w:val="21"/>
          <w:highlight w:val="none"/>
        </w:rPr>
      </w:pPr>
    </w:p>
    <w:p w14:paraId="3B2BD66D">
      <w:pPr>
        <w:spacing w:line="243" w:lineRule="auto"/>
        <w:rPr>
          <w:rFonts w:ascii="Arial"/>
          <w:color w:val="auto"/>
          <w:sz w:val="21"/>
          <w:highlight w:val="none"/>
        </w:rPr>
      </w:pPr>
    </w:p>
    <w:p w14:paraId="13C5E42D">
      <w:pPr>
        <w:spacing w:line="243" w:lineRule="auto"/>
        <w:rPr>
          <w:rFonts w:ascii="Arial"/>
          <w:color w:val="auto"/>
          <w:sz w:val="21"/>
          <w:highlight w:val="none"/>
        </w:rPr>
      </w:pPr>
    </w:p>
    <w:p w14:paraId="469C7B1B">
      <w:pPr>
        <w:spacing w:line="243" w:lineRule="auto"/>
        <w:rPr>
          <w:rFonts w:ascii="Arial"/>
          <w:color w:val="auto"/>
          <w:sz w:val="21"/>
          <w:highlight w:val="none"/>
        </w:rPr>
      </w:pPr>
    </w:p>
    <w:p w14:paraId="0DF23B8D">
      <w:pPr>
        <w:spacing w:line="243" w:lineRule="auto"/>
        <w:rPr>
          <w:rFonts w:ascii="Arial"/>
          <w:color w:val="auto"/>
          <w:sz w:val="21"/>
          <w:highlight w:val="none"/>
        </w:rPr>
      </w:pPr>
    </w:p>
    <w:p w14:paraId="2D7BECB7">
      <w:pPr>
        <w:spacing w:line="243" w:lineRule="auto"/>
        <w:rPr>
          <w:rFonts w:ascii="Arial"/>
          <w:color w:val="auto"/>
          <w:sz w:val="21"/>
          <w:highlight w:val="none"/>
        </w:rPr>
      </w:pPr>
    </w:p>
    <w:p w14:paraId="773A1A22">
      <w:pP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7C454DF9">
      <w:pPr>
        <w:spacing w:line="328" w:lineRule="auto"/>
        <w:rPr>
          <w:rFonts w:ascii="Arial"/>
          <w:color w:val="auto"/>
          <w:sz w:val="21"/>
          <w:highlight w:val="none"/>
        </w:rPr>
      </w:pPr>
    </w:p>
    <w:p w14:paraId="0C2E7ADF">
      <w:pPr>
        <w:spacing w:line="328" w:lineRule="auto"/>
        <w:rPr>
          <w:rFonts w:ascii="Arial"/>
          <w:color w:val="auto"/>
          <w:sz w:val="21"/>
          <w:highlight w:val="none"/>
        </w:rPr>
      </w:pPr>
    </w:p>
    <w:p w14:paraId="732576B0">
      <w:pPr>
        <w:spacing w:before="101" w:line="226" w:lineRule="auto"/>
        <w:ind w:left="622"/>
        <w:rPr>
          <w:rFonts w:hint="eastAsia" w:ascii="宋体" w:hAnsi="宋体" w:eastAsia="宋体" w:cs="宋体"/>
          <w:color w:val="auto"/>
          <w:sz w:val="31"/>
          <w:szCs w:val="31"/>
          <w:highlight w:val="none"/>
          <w:lang w:eastAsia="zh-CN"/>
        </w:rPr>
      </w:pPr>
      <w:r>
        <w:rPr>
          <w:rFonts w:hint="eastAsia" w:ascii="宋体" w:hAnsi="宋体" w:cs="宋体"/>
          <w:color w:val="auto"/>
          <w:spacing w:val="3"/>
          <w:sz w:val="31"/>
          <w:szCs w:val="31"/>
          <w:highlight w:val="none"/>
          <w:lang w:eastAsia="zh-CN"/>
        </w:rPr>
        <w:t>项目编号：</w:t>
      </w:r>
    </w:p>
    <w:p w14:paraId="711D9C45">
      <w:pPr>
        <w:spacing w:line="328" w:lineRule="auto"/>
        <w:rPr>
          <w:rFonts w:ascii="Arial"/>
          <w:color w:val="auto"/>
          <w:sz w:val="21"/>
          <w:highlight w:val="none"/>
        </w:rPr>
      </w:pPr>
    </w:p>
    <w:p w14:paraId="0C86A79F">
      <w:pPr>
        <w:spacing w:line="328" w:lineRule="auto"/>
        <w:rPr>
          <w:rFonts w:ascii="Arial"/>
          <w:color w:val="auto"/>
          <w:sz w:val="21"/>
          <w:highlight w:val="none"/>
        </w:rPr>
      </w:pPr>
    </w:p>
    <w:p w14:paraId="5F80BB07">
      <w:pPr>
        <w:spacing w:before="102"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7CB82A06">
      <w:pPr>
        <w:spacing w:line="276" w:lineRule="auto"/>
        <w:rPr>
          <w:rFonts w:ascii="Arial"/>
          <w:color w:val="auto"/>
          <w:sz w:val="21"/>
          <w:highlight w:val="none"/>
        </w:rPr>
      </w:pPr>
    </w:p>
    <w:p w14:paraId="5A9131E6">
      <w:pPr>
        <w:spacing w:line="276" w:lineRule="auto"/>
        <w:rPr>
          <w:rFonts w:ascii="Arial"/>
          <w:color w:val="auto"/>
          <w:sz w:val="21"/>
          <w:highlight w:val="none"/>
        </w:rPr>
      </w:pPr>
    </w:p>
    <w:p w14:paraId="384A9CE8">
      <w:pPr>
        <w:spacing w:before="101" w:line="225" w:lineRule="auto"/>
        <w:ind w:left="617"/>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7744AF85">
      <w:pPr>
        <w:spacing w:line="242" w:lineRule="auto"/>
        <w:rPr>
          <w:rFonts w:ascii="Arial"/>
          <w:color w:val="auto"/>
          <w:sz w:val="21"/>
          <w:highlight w:val="none"/>
        </w:rPr>
      </w:pPr>
    </w:p>
    <w:p w14:paraId="3A811860">
      <w:pPr>
        <w:spacing w:line="242" w:lineRule="auto"/>
        <w:rPr>
          <w:rFonts w:ascii="Arial"/>
          <w:color w:val="auto"/>
          <w:sz w:val="21"/>
          <w:highlight w:val="none"/>
        </w:rPr>
      </w:pPr>
    </w:p>
    <w:p w14:paraId="75785F7D">
      <w:pPr>
        <w:spacing w:line="242" w:lineRule="auto"/>
        <w:rPr>
          <w:rFonts w:ascii="Arial"/>
          <w:color w:val="auto"/>
          <w:sz w:val="21"/>
          <w:highlight w:val="none"/>
        </w:rPr>
      </w:pPr>
    </w:p>
    <w:p w14:paraId="74FA154E">
      <w:pPr>
        <w:spacing w:line="242" w:lineRule="auto"/>
        <w:rPr>
          <w:rFonts w:ascii="Arial"/>
          <w:color w:val="auto"/>
          <w:sz w:val="21"/>
          <w:highlight w:val="none"/>
        </w:rPr>
      </w:pPr>
    </w:p>
    <w:p w14:paraId="0AEF4E51">
      <w:pPr>
        <w:spacing w:line="243" w:lineRule="auto"/>
        <w:rPr>
          <w:rFonts w:ascii="Arial"/>
          <w:color w:val="auto"/>
          <w:sz w:val="21"/>
          <w:highlight w:val="none"/>
        </w:rPr>
      </w:pPr>
    </w:p>
    <w:p w14:paraId="230504DD">
      <w:pPr>
        <w:spacing w:line="243" w:lineRule="auto"/>
        <w:rPr>
          <w:rFonts w:ascii="Arial"/>
          <w:color w:val="auto"/>
          <w:sz w:val="21"/>
          <w:highlight w:val="none"/>
        </w:rPr>
      </w:pPr>
    </w:p>
    <w:p w14:paraId="5202189D">
      <w:pPr>
        <w:spacing w:line="243" w:lineRule="auto"/>
        <w:rPr>
          <w:rFonts w:ascii="Arial"/>
          <w:color w:val="auto"/>
          <w:sz w:val="21"/>
          <w:highlight w:val="none"/>
        </w:rPr>
      </w:pPr>
    </w:p>
    <w:p w14:paraId="59CD376A">
      <w:pPr>
        <w:spacing w:line="243" w:lineRule="auto"/>
        <w:rPr>
          <w:rFonts w:ascii="Arial"/>
          <w:color w:val="auto"/>
          <w:sz w:val="21"/>
          <w:highlight w:val="none"/>
        </w:rPr>
      </w:pPr>
    </w:p>
    <w:p w14:paraId="30AB695E">
      <w:pPr>
        <w:spacing w:before="101" w:line="226" w:lineRule="auto"/>
        <w:ind w:left="3582"/>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6347CD97">
      <w:pPr>
        <w:spacing w:line="226" w:lineRule="auto"/>
        <w:rPr>
          <w:rFonts w:ascii="宋体" w:hAnsi="宋体" w:eastAsia="宋体" w:cs="宋体"/>
          <w:color w:val="auto"/>
          <w:sz w:val="31"/>
          <w:szCs w:val="31"/>
          <w:highlight w:val="none"/>
        </w:rPr>
        <w:sectPr>
          <w:footerReference r:id="rId10" w:type="default"/>
          <w:pgSz w:w="11907" w:h="16839"/>
          <w:pgMar w:top="1417" w:right="1417" w:bottom="1417" w:left="1417" w:header="1134" w:footer="1134" w:gutter="0"/>
          <w:pgNumType w:fmt="decimal"/>
          <w:cols w:space="720" w:num="1"/>
          <w:rtlGutter w:val="0"/>
        </w:sectPr>
      </w:pPr>
    </w:p>
    <w:p w14:paraId="2A48EBCC">
      <w:pPr>
        <w:spacing w:line="298" w:lineRule="auto"/>
        <w:rPr>
          <w:rFonts w:ascii="Arial"/>
          <w:color w:val="auto"/>
          <w:sz w:val="21"/>
          <w:highlight w:val="none"/>
        </w:rPr>
      </w:pPr>
    </w:p>
    <w:p w14:paraId="08A26CA5">
      <w:pPr>
        <w:spacing w:line="298" w:lineRule="auto"/>
        <w:rPr>
          <w:rFonts w:ascii="Arial"/>
          <w:color w:val="auto"/>
          <w:sz w:val="21"/>
          <w:highlight w:val="none"/>
        </w:rPr>
      </w:pPr>
    </w:p>
    <w:p w14:paraId="3202186F">
      <w:pPr>
        <w:spacing w:line="298" w:lineRule="auto"/>
        <w:rPr>
          <w:rFonts w:ascii="Arial"/>
          <w:color w:val="auto"/>
          <w:sz w:val="21"/>
          <w:highlight w:val="none"/>
        </w:rPr>
      </w:pPr>
    </w:p>
    <w:p w14:paraId="34B66BD5">
      <w:pPr>
        <w:spacing w:before="101" w:line="226" w:lineRule="auto"/>
        <w:ind w:left="241"/>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2.商务技术文件目录</w:t>
      </w:r>
    </w:p>
    <w:p w14:paraId="4B03119F">
      <w:pPr>
        <w:spacing w:line="295" w:lineRule="auto"/>
        <w:rPr>
          <w:rFonts w:ascii="Arial"/>
          <w:color w:val="auto"/>
          <w:sz w:val="21"/>
          <w:highlight w:val="none"/>
        </w:rPr>
      </w:pPr>
    </w:p>
    <w:p w14:paraId="4B5E949F">
      <w:pPr>
        <w:spacing w:before="101" w:line="624" w:lineRule="exact"/>
        <w:jc w:val="right"/>
        <w:rPr>
          <w:rFonts w:ascii="宋体" w:hAnsi="宋体" w:eastAsia="宋体" w:cs="宋体"/>
          <w:color w:val="auto"/>
          <w:sz w:val="31"/>
          <w:szCs w:val="31"/>
          <w:highlight w:val="none"/>
        </w:rPr>
      </w:pPr>
      <w:r>
        <w:rPr>
          <w:rFonts w:ascii="宋体" w:hAnsi="宋体" w:eastAsia="宋体" w:cs="宋体"/>
          <w:color w:val="auto"/>
          <w:spacing w:val="4"/>
          <w:position w:val="23"/>
          <w:sz w:val="31"/>
          <w:szCs w:val="31"/>
          <w:highlight w:val="none"/>
        </w:rPr>
        <w:t>根据磋商文件规定及供应商提供的材料自行编写目录（部分格式</w:t>
      </w:r>
    </w:p>
    <w:p w14:paraId="5F2B9A01">
      <w:pPr>
        <w:spacing w:line="225" w:lineRule="auto"/>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后附）。</w:t>
      </w:r>
    </w:p>
    <w:p w14:paraId="599CEFE7">
      <w:pPr>
        <w:spacing w:line="225" w:lineRule="auto"/>
        <w:rPr>
          <w:rFonts w:ascii="宋体" w:hAnsi="宋体" w:eastAsia="宋体" w:cs="宋体"/>
          <w:color w:val="auto"/>
          <w:sz w:val="31"/>
          <w:szCs w:val="31"/>
          <w:highlight w:val="none"/>
        </w:rPr>
        <w:sectPr>
          <w:footerReference r:id="rId11" w:type="default"/>
          <w:pgSz w:w="11907" w:h="16839"/>
          <w:pgMar w:top="1417" w:right="1417" w:bottom="1417" w:left="1417" w:header="0" w:footer="856" w:gutter="0"/>
          <w:pgNumType w:fmt="decimal"/>
          <w:cols w:space="720" w:num="1"/>
          <w:rtlGutter w:val="0"/>
        </w:sectPr>
      </w:pPr>
    </w:p>
    <w:p w14:paraId="291F2681">
      <w:pPr>
        <w:spacing w:line="500" w:lineRule="exact"/>
        <w:ind w:firstLine="420"/>
        <w:rPr>
          <w:rFonts w:ascii="宋体" w:hAnsi="宋体" w:cs="Courier New"/>
          <w:color w:val="auto"/>
          <w:kern w:val="1"/>
          <w:szCs w:val="21"/>
          <w:highlight w:val="none"/>
          <w:u w:val="single"/>
        </w:rPr>
      </w:pPr>
    </w:p>
    <w:p w14:paraId="14867060">
      <w:pPr>
        <w:spacing w:line="300" w:lineRule="auto"/>
        <w:ind w:left="420" w:hanging="420"/>
        <w:rPr>
          <w:rFonts w:ascii="宋体" w:hAnsi="宋体" w:cs="宋体"/>
          <w:b/>
          <w:color w:val="auto"/>
          <w:kern w:val="1"/>
          <w:highlight w:val="none"/>
        </w:rPr>
      </w:pPr>
    </w:p>
    <w:p w14:paraId="3BE405C6">
      <w:pPr>
        <w:spacing w:line="520" w:lineRule="exact"/>
        <w:jc w:val="center"/>
        <w:rPr>
          <w:rFonts w:ascii="宋体" w:hAnsi="宋体" w:cs="宋体"/>
          <w:b/>
          <w:color w:val="auto"/>
          <w:kern w:val="1"/>
          <w:sz w:val="32"/>
          <w:szCs w:val="32"/>
          <w:highlight w:val="none"/>
        </w:rPr>
      </w:pPr>
    </w:p>
    <w:p w14:paraId="3585A2DE">
      <w:pPr>
        <w:spacing w:line="520" w:lineRule="exact"/>
        <w:jc w:val="center"/>
        <w:rPr>
          <w:rFonts w:ascii="宋体" w:hAnsi="宋体" w:cs="宋体"/>
          <w:b/>
          <w:color w:val="auto"/>
          <w:kern w:val="1"/>
          <w:sz w:val="32"/>
          <w:szCs w:val="32"/>
          <w:highlight w:val="none"/>
        </w:rPr>
      </w:pPr>
      <w:r>
        <w:rPr>
          <w:rFonts w:ascii="宋体" w:hAnsi="宋体" w:cs="宋体"/>
          <w:b/>
          <w:color w:val="auto"/>
          <w:kern w:val="1"/>
          <w:sz w:val="32"/>
          <w:szCs w:val="32"/>
          <w:highlight w:val="none"/>
        </w:rPr>
        <w:t>磋 商 书</w:t>
      </w:r>
    </w:p>
    <w:p w14:paraId="06C394F8">
      <w:pPr>
        <w:spacing w:line="520" w:lineRule="exact"/>
        <w:jc w:val="center"/>
        <w:rPr>
          <w:rFonts w:ascii="宋体" w:hAnsi="宋体" w:cs="宋体"/>
          <w:b/>
          <w:color w:val="auto"/>
          <w:kern w:val="1"/>
          <w:szCs w:val="21"/>
          <w:highlight w:val="none"/>
        </w:rPr>
      </w:pPr>
    </w:p>
    <w:p w14:paraId="0A39A06D">
      <w:pPr>
        <w:pStyle w:val="32"/>
        <w:spacing w:line="520" w:lineRule="exact"/>
        <w:rPr>
          <w:color w:val="auto"/>
          <w:sz w:val="24"/>
          <w:szCs w:val="24"/>
          <w:highlight w:val="none"/>
        </w:rPr>
      </w:pPr>
      <w:r>
        <w:rPr>
          <w:rFonts w:hint="eastAsia"/>
          <w:color w:val="auto"/>
          <w:sz w:val="24"/>
          <w:szCs w:val="24"/>
          <w:highlight w:val="none"/>
          <w:u w:val="single"/>
          <w:lang w:eastAsia="zh-CN"/>
        </w:rPr>
        <w:t>广西北部湾宏亚建设管理有限公司</w:t>
      </w:r>
      <w:r>
        <w:rPr>
          <w:color w:val="auto"/>
          <w:sz w:val="24"/>
          <w:szCs w:val="24"/>
          <w:highlight w:val="none"/>
        </w:rPr>
        <w:t>：</w:t>
      </w:r>
    </w:p>
    <w:p w14:paraId="59A62BB8">
      <w:pPr>
        <w:pStyle w:val="32"/>
        <w:spacing w:line="520" w:lineRule="exact"/>
        <w:ind w:firstLine="480"/>
        <w:rPr>
          <w:color w:val="auto"/>
          <w:sz w:val="24"/>
          <w:szCs w:val="24"/>
          <w:highlight w:val="none"/>
        </w:rPr>
      </w:pPr>
      <w:r>
        <w:rPr>
          <w:color w:val="auto"/>
          <w:sz w:val="24"/>
          <w:szCs w:val="24"/>
          <w:highlight w:val="none"/>
        </w:rPr>
        <w:t>依据贵方</w:t>
      </w:r>
      <w:r>
        <w:rPr>
          <w:color w:val="auto"/>
          <w:sz w:val="24"/>
          <w:szCs w:val="24"/>
          <w:highlight w:val="none"/>
          <w:u w:val="single"/>
        </w:rPr>
        <w:t>（项目名称/项目编号）</w:t>
      </w:r>
      <w:r>
        <w:rPr>
          <w:color w:val="auto"/>
          <w:sz w:val="24"/>
          <w:szCs w:val="24"/>
          <w:highlight w:val="none"/>
        </w:rPr>
        <w:t>项目政府采购的磋商邀请，我方</w:t>
      </w:r>
      <w:r>
        <w:rPr>
          <w:color w:val="auto"/>
          <w:sz w:val="24"/>
          <w:szCs w:val="24"/>
          <w:highlight w:val="none"/>
          <w:u w:val="single"/>
        </w:rPr>
        <w:t>（姓名和职务）</w:t>
      </w:r>
      <w:r>
        <w:rPr>
          <w:color w:val="auto"/>
          <w:sz w:val="24"/>
          <w:szCs w:val="24"/>
          <w:highlight w:val="none"/>
        </w:rPr>
        <w:t>经正式授权并代表本单位</w:t>
      </w:r>
      <w:r>
        <w:rPr>
          <w:color w:val="auto"/>
          <w:sz w:val="24"/>
          <w:szCs w:val="24"/>
          <w:highlight w:val="none"/>
          <w:u w:val="single"/>
        </w:rPr>
        <w:t>（供应商名称、地址）</w:t>
      </w:r>
      <w:r>
        <w:rPr>
          <w:color w:val="auto"/>
          <w:sz w:val="24"/>
          <w:szCs w:val="24"/>
          <w:highlight w:val="none"/>
        </w:rPr>
        <w:t>提交下述竞争性磋商响应文件</w:t>
      </w:r>
      <w:r>
        <w:rPr>
          <w:b/>
          <w:color w:val="auto"/>
          <w:sz w:val="24"/>
          <w:szCs w:val="24"/>
          <w:highlight w:val="none"/>
        </w:rPr>
        <w:t>（资格文件、价格文件、商务技术文件）</w:t>
      </w:r>
      <w:r>
        <w:rPr>
          <w:color w:val="auto"/>
          <w:sz w:val="24"/>
          <w:szCs w:val="24"/>
          <w:highlight w:val="none"/>
        </w:rPr>
        <w:t>。</w:t>
      </w:r>
    </w:p>
    <w:p w14:paraId="233D26BB">
      <w:pPr>
        <w:pStyle w:val="32"/>
        <w:spacing w:line="520" w:lineRule="exact"/>
        <w:ind w:firstLine="480"/>
        <w:rPr>
          <w:color w:val="auto"/>
          <w:sz w:val="24"/>
          <w:szCs w:val="24"/>
          <w:highlight w:val="none"/>
        </w:rPr>
      </w:pPr>
      <w:r>
        <w:rPr>
          <w:color w:val="auto"/>
          <w:sz w:val="24"/>
          <w:szCs w:val="24"/>
          <w:highlight w:val="none"/>
        </w:rPr>
        <w:t>1. 报价表；</w:t>
      </w:r>
    </w:p>
    <w:p w14:paraId="1FD3BDC8">
      <w:pPr>
        <w:pStyle w:val="32"/>
        <w:spacing w:line="520" w:lineRule="exact"/>
        <w:ind w:firstLine="480"/>
        <w:rPr>
          <w:color w:val="auto"/>
          <w:sz w:val="24"/>
          <w:szCs w:val="24"/>
          <w:highlight w:val="none"/>
        </w:rPr>
      </w:pPr>
      <w:r>
        <w:rPr>
          <w:color w:val="auto"/>
          <w:sz w:val="24"/>
          <w:szCs w:val="24"/>
          <w:highlight w:val="none"/>
        </w:rPr>
        <w:t>2．服务方案(含服务承诺)；</w:t>
      </w:r>
    </w:p>
    <w:p w14:paraId="66E1E8B0">
      <w:pPr>
        <w:pStyle w:val="32"/>
        <w:spacing w:line="520" w:lineRule="exact"/>
        <w:ind w:firstLine="480"/>
        <w:rPr>
          <w:color w:val="auto"/>
          <w:sz w:val="24"/>
          <w:szCs w:val="24"/>
          <w:highlight w:val="none"/>
        </w:rPr>
      </w:pPr>
      <w:r>
        <w:rPr>
          <w:color w:val="auto"/>
          <w:sz w:val="24"/>
          <w:szCs w:val="24"/>
          <w:highlight w:val="none"/>
        </w:rPr>
        <w:t xml:space="preserve">3. 资格证明文件； </w:t>
      </w:r>
    </w:p>
    <w:p w14:paraId="6385CB1F">
      <w:pPr>
        <w:pStyle w:val="32"/>
        <w:spacing w:line="520" w:lineRule="exact"/>
        <w:ind w:firstLine="480"/>
        <w:rPr>
          <w:color w:val="auto"/>
          <w:sz w:val="24"/>
          <w:szCs w:val="24"/>
          <w:highlight w:val="none"/>
        </w:rPr>
      </w:pPr>
      <w:r>
        <w:rPr>
          <w:color w:val="auto"/>
          <w:sz w:val="24"/>
          <w:szCs w:val="24"/>
          <w:highlight w:val="none"/>
        </w:rPr>
        <w:t>4. 按竞争性磋商文件供应商须知和采购需求提供的有关文件。</w:t>
      </w:r>
    </w:p>
    <w:p w14:paraId="72505A3D">
      <w:pPr>
        <w:pStyle w:val="32"/>
        <w:spacing w:line="520" w:lineRule="exact"/>
        <w:ind w:firstLine="315"/>
        <w:rPr>
          <w:color w:val="auto"/>
          <w:sz w:val="24"/>
          <w:szCs w:val="24"/>
          <w:highlight w:val="none"/>
        </w:rPr>
      </w:pPr>
      <w:r>
        <w:rPr>
          <w:color w:val="auto"/>
          <w:sz w:val="24"/>
          <w:szCs w:val="24"/>
          <w:highlight w:val="none"/>
        </w:rPr>
        <w:t>在此，授权代表宣布同意如下：</w:t>
      </w:r>
    </w:p>
    <w:p w14:paraId="12C4576F">
      <w:pPr>
        <w:pStyle w:val="32"/>
        <w:spacing w:line="520" w:lineRule="exact"/>
        <w:ind w:firstLine="480" w:firstLineChars="200"/>
        <w:rPr>
          <w:color w:val="auto"/>
          <w:sz w:val="24"/>
          <w:szCs w:val="24"/>
          <w:highlight w:val="none"/>
        </w:rPr>
      </w:pPr>
      <w:r>
        <w:rPr>
          <w:color w:val="auto"/>
          <w:sz w:val="24"/>
          <w:szCs w:val="24"/>
          <w:highlight w:val="none"/>
        </w:rPr>
        <w:t>1. 将按竞争性磋商文件的约定履行合同责任和义务；</w:t>
      </w:r>
    </w:p>
    <w:p w14:paraId="69D337A8">
      <w:pPr>
        <w:pStyle w:val="32"/>
        <w:spacing w:line="520" w:lineRule="exact"/>
        <w:ind w:firstLine="480" w:firstLineChars="200"/>
        <w:rPr>
          <w:color w:val="auto"/>
          <w:sz w:val="24"/>
          <w:szCs w:val="24"/>
          <w:highlight w:val="none"/>
        </w:rPr>
      </w:pPr>
      <w:r>
        <w:rPr>
          <w:color w:val="auto"/>
          <w:sz w:val="24"/>
          <w:szCs w:val="24"/>
          <w:highlight w:val="none"/>
        </w:rPr>
        <w:t>2. 已详细审查全部竞争性磋商文件，包括</w:t>
      </w:r>
      <w:r>
        <w:rPr>
          <w:color w:val="auto"/>
          <w:sz w:val="24"/>
          <w:szCs w:val="24"/>
          <w:highlight w:val="none"/>
          <w:u w:val="single"/>
        </w:rPr>
        <w:t>（补遗文件）（如果有的话）</w:t>
      </w:r>
      <w:r>
        <w:rPr>
          <w:color w:val="auto"/>
          <w:sz w:val="24"/>
          <w:szCs w:val="24"/>
          <w:highlight w:val="none"/>
        </w:rPr>
        <w:t>；</w:t>
      </w:r>
    </w:p>
    <w:p w14:paraId="2C5D50AC">
      <w:pPr>
        <w:pStyle w:val="32"/>
        <w:spacing w:line="520" w:lineRule="exact"/>
        <w:ind w:firstLine="480" w:firstLineChars="200"/>
        <w:rPr>
          <w:color w:val="auto"/>
          <w:sz w:val="24"/>
          <w:szCs w:val="24"/>
          <w:highlight w:val="none"/>
        </w:rPr>
      </w:pPr>
      <w:r>
        <w:rPr>
          <w:color w:val="auto"/>
          <w:sz w:val="24"/>
          <w:szCs w:val="24"/>
          <w:highlight w:val="none"/>
        </w:rPr>
        <w:t>3. 同意提供按照贵方可能要求的与其磋商有关的一切数据或资料；</w:t>
      </w:r>
    </w:p>
    <w:p w14:paraId="43A69A50">
      <w:pPr>
        <w:pStyle w:val="32"/>
        <w:spacing w:line="520" w:lineRule="exact"/>
        <w:ind w:firstLine="480" w:firstLineChars="200"/>
        <w:rPr>
          <w:color w:val="auto"/>
          <w:sz w:val="24"/>
          <w:szCs w:val="24"/>
          <w:highlight w:val="none"/>
          <w:u w:val="single"/>
        </w:rPr>
      </w:pPr>
      <w:r>
        <w:rPr>
          <w:color w:val="auto"/>
          <w:sz w:val="24"/>
          <w:szCs w:val="24"/>
          <w:highlight w:val="none"/>
        </w:rPr>
        <w:t>4. 与本磋商有关的一切正式往来信函请寄：</w:t>
      </w:r>
      <w:r>
        <w:rPr>
          <w:color w:val="auto"/>
          <w:sz w:val="24"/>
          <w:szCs w:val="24"/>
          <w:highlight w:val="none"/>
          <w:u w:val="single"/>
        </w:rPr>
        <w:t xml:space="preserve">                       </w:t>
      </w:r>
    </w:p>
    <w:p w14:paraId="02EED8AA">
      <w:pPr>
        <w:pStyle w:val="32"/>
        <w:spacing w:line="520" w:lineRule="exact"/>
        <w:ind w:firstLine="840"/>
        <w:rPr>
          <w:color w:val="auto"/>
          <w:sz w:val="24"/>
          <w:szCs w:val="24"/>
          <w:highlight w:val="none"/>
          <w:u w:val="single"/>
        </w:rPr>
      </w:pPr>
      <w:r>
        <w:rPr>
          <w:color w:val="auto"/>
          <w:sz w:val="24"/>
          <w:szCs w:val="24"/>
          <w:highlight w:val="none"/>
        </w:rPr>
        <w:t>开户银行：</w:t>
      </w:r>
      <w:r>
        <w:rPr>
          <w:color w:val="auto"/>
          <w:sz w:val="24"/>
          <w:szCs w:val="24"/>
          <w:highlight w:val="none"/>
          <w:u w:val="single"/>
        </w:rPr>
        <w:t xml:space="preserve">                         </w:t>
      </w:r>
      <w:r>
        <w:rPr>
          <w:color w:val="auto"/>
          <w:sz w:val="24"/>
          <w:szCs w:val="24"/>
          <w:highlight w:val="none"/>
        </w:rPr>
        <w:t xml:space="preserve">  帐号/行号：</w:t>
      </w:r>
      <w:r>
        <w:rPr>
          <w:color w:val="auto"/>
          <w:sz w:val="24"/>
          <w:szCs w:val="24"/>
          <w:highlight w:val="none"/>
          <w:u w:val="single"/>
        </w:rPr>
        <w:t xml:space="preserve">          </w:t>
      </w:r>
    </w:p>
    <w:p w14:paraId="29C17850">
      <w:pPr>
        <w:pStyle w:val="32"/>
        <w:spacing w:line="520" w:lineRule="exact"/>
        <w:ind w:firstLine="840"/>
        <w:rPr>
          <w:color w:val="auto"/>
          <w:sz w:val="24"/>
          <w:szCs w:val="24"/>
          <w:highlight w:val="none"/>
        </w:rPr>
      </w:pPr>
      <w:r>
        <w:rPr>
          <w:color w:val="auto"/>
          <w:sz w:val="24"/>
          <w:szCs w:val="24"/>
          <w:highlight w:val="none"/>
        </w:rPr>
        <w:t>电话/传真：</w:t>
      </w:r>
      <w:r>
        <w:rPr>
          <w:color w:val="auto"/>
          <w:sz w:val="24"/>
          <w:szCs w:val="24"/>
          <w:highlight w:val="none"/>
          <w:u w:val="single"/>
        </w:rPr>
        <w:t xml:space="preserve">                        </w:t>
      </w:r>
      <w:r>
        <w:rPr>
          <w:color w:val="auto"/>
          <w:sz w:val="24"/>
          <w:szCs w:val="24"/>
          <w:highlight w:val="none"/>
        </w:rPr>
        <w:t xml:space="preserve"> 电子函件：</w:t>
      </w:r>
      <w:r>
        <w:rPr>
          <w:color w:val="auto"/>
          <w:sz w:val="24"/>
          <w:szCs w:val="24"/>
          <w:highlight w:val="none"/>
          <w:u w:val="single"/>
        </w:rPr>
        <w:t xml:space="preserve">             </w:t>
      </w:r>
      <w:r>
        <w:rPr>
          <w:color w:val="auto"/>
          <w:sz w:val="24"/>
          <w:szCs w:val="24"/>
          <w:highlight w:val="none"/>
        </w:rPr>
        <w:t xml:space="preserve">              </w:t>
      </w:r>
    </w:p>
    <w:p w14:paraId="7DCD7565">
      <w:pPr>
        <w:pStyle w:val="32"/>
        <w:spacing w:line="520" w:lineRule="exact"/>
        <w:ind w:firstLine="840"/>
        <w:rPr>
          <w:color w:val="auto"/>
          <w:sz w:val="24"/>
          <w:szCs w:val="24"/>
          <w:highlight w:val="none"/>
          <w:u w:val="single"/>
        </w:rPr>
      </w:pPr>
      <w:r>
        <w:rPr>
          <w:color w:val="auto"/>
          <w:sz w:val="24"/>
          <w:szCs w:val="24"/>
          <w:highlight w:val="none"/>
        </w:rPr>
        <w:t>日期：</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color w:val="auto"/>
          <w:sz w:val="24"/>
          <w:szCs w:val="24"/>
          <w:highlight w:val="none"/>
        </w:rPr>
        <w:t>日</w:t>
      </w:r>
    </w:p>
    <w:p w14:paraId="387D348C">
      <w:pPr>
        <w:pStyle w:val="32"/>
        <w:spacing w:line="520" w:lineRule="exact"/>
        <w:ind w:firstLine="840"/>
        <w:rPr>
          <w:color w:val="auto"/>
          <w:sz w:val="24"/>
          <w:szCs w:val="24"/>
          <w:highlight w:val="none"/>
          <w:u w:val="single"/>
        </w:rPr>
      </w:pPr>
      <w:r>
        <w:rPr>
          <w:color w:val="auto"/>
          <w:sz w:val="24"/>
          <w:szCs w:val="24"/>
          <w:highlight w:val="none"/>
        </w:rPr>
        <w:t>法定代表人（负责人）或委托代理人</w:t>
      </w:r>
      <w:r>
        <w:rPr>
          <w:rFonts w:hint="eastAsia"/>
          <w:b/>
          <w:bCs/>
          <w:color w:val="auto"/>
          <w:kern w:val="2"/>
          <w:sz w:val="24"/>
          <w:szCs w:val="24"/>
          <w:highlight w:val="none"/>
        </w:rPr>
        <w:t>（签字或个人CA签章）</w:t>
      </w:r>
      <w:r>
        <w:rPr>
          <w:color w:val="auto"/>
          <w:sz w:val="24"/>
          <w:szCs w:val="24"/>
          <w:highlight w:val="none"/>
        </w:rPr>
        <w:t>：</w:t>
      </w:r>
      <w:r>
        <w:rPr>
          <w:color w:val="auto"/>
          <w:sz w:val="24"/>
          <w:szCs w:val="24"/>
          <w:highlight w:val="none"/>
          <w:u w:val="single"/>
        </w:rPr>
        <w:t xml:space="preserve">                        </w:t>
      </w:r>
    </w:p>
    <w:p w14:paraId="2383431F">
      <w:pPr>
        <w:pStyle w:val="32"/>
        <w:spacing w:line="520" w:lineRule="exact"/>
        <w:ind w:firstLine="840"/>
        <w:rPr>
          <w:color w:val="auto"/>
          <w:sz w:val="24"/>
          <w:szCs w:val="24"/>
          <w:highlight w:val="none"/>
        </w:rPr>
      </w:pPr>
      <w:r>
        <w:rPr>
          <w:color w:val="auto"/>
          <w:sz w:val="24"/>
          <w:szCs w:val="24"/>
          <w:highlight w:val="none"/>
        </w:rPr>
        <w:t>供应商名称（</w:t>
      </w:r>
      <w:r>
        <w:rPr>
          <w:rFonts w:hint="eastAsia" w:cs="宋体"/>
          <w:b/>
          <w:bCs/>
          <w:color w:val="auto"/>
          <w:sz w:val="24"/>
          <w:szCs w:val="24"/>
          <w:highlight w:val="none"/>
          <w:lang w:eastAsia="zh-CN"/>
        </w:rPr>
        <w:t>盖公章</w:t>
      </w:r>
      <w:r>
        <w:rPr>
          <w:color w:val="auto"/>
          <w:sz w:val="24"/>
          <w:szCs w:val="24"/>
          <w:highlight w:val="none"/>
        </w:rPr>
        <w:t>）：</w:t>
      </w:r>
      <w:r>
        <w:rPr>
          <w:color w:val="auto"/>
          <w:sz w:val="24"/>
          <w:szCs w:val="24"/>
          <w:highlight w:val="none"/>
          <w:u w:val="single"/>
        </w:rPr>
        <w:t xml:space="preserve">                                          </w:t>
      </w:r>
      <w:r>
        <w:rPr>
          <w:color w:val="auto"/>
          <w:sz w:val="24"/>
          <w:szCs w:val="24"/>
          <w:highlight w:val="none"/>
        </w:rPr>
        <w:t xml:space="preserve">       </w:t>
      </w:r>
    </w:p>
    <w:p w14:paraId="29B32897">
      <w:pPr>
        <w:spacing w:line="500" w:lineRule="exact"/>
        <w:rPr>
          <w:rFonts w:ascii="宋体" w:hAnsi="宋体" w:cs="宋体"/>
          <w:color w:val="auto"/>
          <w:kern w:val="1"/>
          <w:szCs w:val="21"/>
          <w:highlight w:val="none"/>
        </w:rPr>
      </w:pPr>
    </w:p>
    <w:p w14:paraId="61C2464B">
      <w:pPr>
        <w:ind w:firstLine="640"/>
        <w:jc w:val="center"/>
        <w:rPr>
          <w:rFonts w:ascii="黑体" w:hAnsi="黑体" w:eastAsia="黑体" w:cs="黑体"/>
          <w:color w:val="auto"/>
          <w:sz w:val="32"/>
          <w:szCs w:val="21"/>
          <w:highlight w:val="none"/>
        </w:rPr>
      </w:pPr>
      <w:r>
        <w:rPr>
          <w:color w:val="auto"/>
          <w:kern w:val="1"/>
          <w:highlight w:val="none"/>
        </w:rPr>
        <w:br w:type="page"/>
      </w:r>
      <w:r>
        <w:rPr>
          <w:rFonts w:ascii="黑体" w:hAnsi="黑体" w:eastAsia="黑体" w:cs="黑体"/>
          <w:color w:val="auto"/>
          <w:sz w:val="32"/>
          <w:szCs w:val="21"/>
          <w:highlight w:val="none"/>
        </w:rPr>
        <w:t>承诺函（格式）</w:t>
      </w:r>
    </w:p>
    <w:p w14:paraId="727B4BB9">
      <w:pPr>
        <w:widowControl/>
        <w:ind w:firstLine="640"/>
        <w:jc w:val="left"/>
        <w:rPr>
          <w:rFonts w:ascii="仿宋_GB2312" w:hAnsi="仿宋_GB2312" w:eastAsia="仿宋" w:cs="仿宋_GB2312"/>
          <w:color w:val="auto"/>
          <w:sz w:val="32"/>
          <w:szCs w:val="21"/>
          <w:highlight w:val="none"/>
        </w:rPr>
      </w:pPr>
    </w:p>
    <w:p w14:paraId="7CD43E0E">
      <w:pPr>
        <w:widowControl/>
        <w:spacing w:line="300" w:lineRule="auto"/>
        <w:jc w:val="left"/>
        <w:rPr>
          <w:rFonts w:ascii="宋体" w:hAnsi="宋体" w:cs="宋体"/>
          <w:color w:val="auto"/>
          <w:sz w:val="24"/>
          <w:szCs w:val="24"/>
          <w:highlight w:val="none"/>
        </w:rPr>
      </w:pPr>
      <w:r>
        <w:rPr>
          <w:rFonts w:hint="eastAsia" w:ascii="宋体" w:hAnsi="宋体" w:cs="Courier New"/>
          <w:color w:val="auto"/>
          <w:sz w:val="24"/>
          <w:szCs w:val="24"/>
          <w:highlight w:val="none"/>
          <w:u w:val="single"/>
          <w:lang w:eastAsia="zh-CN"/>
        </w:rPr>
        <w:t>广西北部湾宏亚建设管理有限公司</w:t>
      </w:r>
      <w:r>
        <w:rPr>
          <w:rFonts w:ascii="宋体" w:hAnsi="宋体" w:cs="宋体"/>
          <w:color w:val="auto"/>
          <w:sz w:val="24"/>
          <w:szCs w:val="24"/>
          <w:highlight w:val="none"/>
        </w:rPr>
        <w:t>：</w:t>
      </w:r>
    </w:p>
    <w:p w14:paraId="5872682C">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我方作为本次采购项目的磋商供应商，根据磋商文件要求，现郑重承诺如下：</w:t>
      </w:r>
    </w:p>
    <w:p w14:paraId="0C829933">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40786A48">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二、参加本次采购活动，不存在与单位负责人为同一人或者存在直接控股、管理关系的其他供应商参与同一合同项下的政府采购活动的行为。</w:t>
      </w:r>
    </w:p>
    <w:p w14:paraId="515FF392">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三、为采购项目提供整体设计、规范编制或者项目管理、监理、检测等服务的供应商，不得再参加该采购项目的其他采购活动，我方承诺不属于此类禁止参加本项目的供应商。</w:t>
      </w:r>
    </w:p>
    <w:p w14:paraId="1DC918A0">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四、参加本次采购活动，不存在和其他供应商在同一合同项下的采购项目中，同时委托同一个自然人、同一家庭的人员、同一单位的人员作为代理人的行为。</w:t>
      </w:r>
    </w:p>
    <w:p w14:paraId="081564FC">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五、磋商文件中提供的能够给予我方带来优惠、好处的任何材料资料和技术、服务、商务、响应产品等响应承诺情况都是真实的、有效的、合法的。</w:t>
      </w:r>
    </w:p>
    <w:p w14:paraId="26BB0193">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六、参加本次采购活动，我方完全同意磋商文件第二章关于“成交费用”、 “履约保证金”的实质性要求，并承诺严格按照磋商文件要求履行。</w:t>
      </w:r>
    </w:p>
    <w:p w14:paraId="59444BF9">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DC3339F">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我方对上述承诺的内容事项真实性负责。如经查实上述承诺的内容事项存在虚假，我方愿意接受以提供虚假材料谋取成交追究法律责任。</w:t>
      </w:r>
    </w:p>
    <w:p w14:paraId="6D622EBF">
      <w:pPr>
        <w:spacing w:line="300" w:lineRule="auto"/>
        <w:ind w:right="1470"/>
        <w:rPr>
          <w:rFonts w:ascii="宋体" w:hAnsi="宋体" w:cs="宋体"/>
          <w:color w:val="auto"/>
          <w:sz w:val="24"/>
          <w:szCs w:val="24"/>
          <w:highlight w:val="none"/>
        </w:rPr>
      </w:pPr>
    </w:p>
    <w:p w14:paraId="41E28264">
      <w:pP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70ACCF9">
      <w:pP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（签字或个人CA签章）</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1B30E73E">
      <w:pP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签发日期：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0B3E2EB5">
      <w:pPr>
        <w:spacing w:line="300" w:lineRule="auto"/>
        <w:jc w:val="center"/>
        <w:rPr>
          <w:rFonts w:ascii="宋体" w:hAnsi="宋体" w:cs="宋体"/>
          <w:b/>
          <w:color w:val="auto"/>
          <w:spacing w:val="5"/>
          <w:kern w:val="1"/>
          <w:sz w:val="32"/>
          <w:szCs w:val="32"/>
          <w:highlight w:val="none"/>
        </w:rPr>
      </w:pPr>
      <w:r>
        <w:rPr>
          <w:rFonts w:ascii="宋体" w:hAnsi="宋体" w:cs="宋体"/>
          <w:b/>
          <w:color w:val="auto"/>
          <w:sz w:val="44"/>
          <w:szCs w:val="44"/>
          <w:highlight w:val="none"/>
        </w:rPr>
        <w:br w:type="page"/>
      </w:r>
      <w:r>
        <w:rPr>
          <w:rFonts w:ascii="宋体" w:hAnsi="宋体" w:cs="宋体"/>
          <w:b/>
          <w:color w:val="auto"/>
          <w:spacing w:val="5"/>
          <w:kern w:val="1"/>
          <w:sz w:val="32"/>
          <w:szCs w:val="32"/>
          <w:highlight w:val="none"/>
        </w:rPr>
        <w:t>商务、服务（技术）响应、偏离情况说明表</w:t>
      </w:r>
    </w:p>
    <w:p w14:paraId="4C044D01">
      <w:pPr>
        <w:spacing w:line="300" w:lineRule="auto"/>
        <w:rPr>
          <w:rFonts w:ascii="宋体" w:hAnsi="宋体" w:cs="宋体"/>
          <w:color w:val="auto"/>
          <w:kern w:val="1"/>
          <w:szCs w:val="21"/>
          <w:highlight w:val="none"/>
        </w:rPr>
      </w:pPr>
    </w:p>
    <w:p w14:paraId="777729BE">
      <w:pP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6A6237EC">
      <w:pPr>
        <w:spacing w:line="500" w:lineRule="exact"/>
        <w:rPr>
          <w:rFonts w:ascii="宋体" w:hAnsi="宋体" w:cs="宋体"/>
          <w:color w:val="auto"/>
          <w:kern w:val="1"/>
          <w:sz w:val="24"/>
          <w:szCs w:val="24"/>
          <w:highlight w:val="none"/>
        </w:rPr>
      </w:pPr>
      <w:r>
        <w:rPr>
          <w:rFonts w:hint="eastAsia" w:ascii="宋体" w:hAnsi="宋体" w:cs="宋体"/>
          <w:color w:val="auto"/>
          <w:kern w:val="1"/>
          <w:sz w:val="24"/>
          <w:szCs w:val="24"/>
          <w:highlight w:val="none"/>
          <w:lang w:eastAsia="zh-CN"/>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23560900">
      <w:pPr>
        <w:spacing w:line="500" w:lineRule="exact"/>
        <w:rPr>
          <w:rFonts w:ascii="宋体" w:hAnsi="宋体" w:cs="宋体"/>
          <w:color w:val="auto"/>
          <w:kern w:val="1"/>
          <w:sz w:val="24"/>
          <w:szCs w:val="24"/>
          <w:highlight w:val="none"/>
        </w:rPr>
      </w:pPr>
    </w:p>
    <w:tbl>
      <w:tblPr>
        <w:tblStyle w:val="61"/>
        <w:tblW w:w="0" w:type="auto"/>
        <w:tblInd w:w="0" w:type="dxa"/>
        <w:tblLayout w:type="fixed"/>
        <w:tblCellMar>
          <w:top w:w="0" w:type="dxa"/>
          <w:left w:w="108" w:type="dxa"/>
          <w:bottom w:w="0" w:type="dxa"/>
          <w:right w:w="108" w:type="dxa"/>
        </w:tblCellMar>
      </w:tblPr>
      <w:tblGrid>
        <w:gridCol w:w="606"/>
        <w:gridCol w:w="2809"/>
        <w:gridCol w:w="2945"/>
        <w:gridCol w:w="1464"/>
        <w:gridCol w:w="1361"/>
      </w:tblGrid>
      <w:tr w14:paraId="5177730F">
        <w:tblPrEx>
          <w:tblCellMar>
            <w:top w:w="0" w:type="dxa"/>
            <w:left w:w="108" w:type="dxa"/>
            <w:bottom w:w="0" w:type="dxa"/>
            <w:right w:w="108" w:type="dxa"/>
          </w:tblCellMar>
        </w:tblPrEx>
        <w:trPr>
          <w:trHeight w:val="420" w:hRule="atLeast"/>
        </w:trPr>
        <w:tc>
          <w:tcPr>
            <w:tcW w:w="606" w:type="dxa"/>
            <w:tcBorders>
              <w:top w:val="single" w:color="000000" w:sz="4" w:space="0"/>
              <w:left w:val="single" w:color="000000" w:sz="4" w:space="0"/>
              <w:bottom w:val="single" w:color="000000" w:sz="6" w:space="0"/>
              <w:right w:val="single" w:color="000000" w:sz="6" w:space="0"/>
            </w:tcBorders>
            <w:noWrap w:val="0"/>
            <w:vAlign w:val="center"/>
          </w:tcPr>
          <w:p w14:paraId="20A475A6">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序号</w:t>
            </w:r>
          </w:p>
        </w:tc>
        <w:tc>
          <w:tcPr>
            <w:tcW w:w="2809" w:type="dxa"/>
            <w:tcBorders>
              <w:top w:val="single" w:color="000000" w:sz="4" w:space="0"/>
              <w:left w:val="single" w:color="000000" w:sz="6" w:space="0"/>
              <w:bottom w:val="single" w:color="000000" w:sz="6" w:space="0"/>
              <w:right w:val="single" w:color="000000" w:sz="6" w:space="0"/>
            </w:tcBorders>
            <w:noWrap w:val="0"/>
            <w:vAlign w:val="center"/>
          </w:tcPr>
          <w:p w14:paraId="52219D19">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竞争性磋商文件要求</w:t>
            </w:r>
          </w:p>
        </w:tc>
        <w:tc>
          <w:tcPr>
            <w:tcW w:w="2945" w:type="dxa"/>
            <w:tcBorders>
              <w:top w:val="single" w:color="000000" w:sz="4" w:space="0"/>
              <w:left w:val="single" w:color="000000" w:sz="6" w:space="0"/>
              <w:bottom w:val="single" w:color="000000" w:sz="6" w:space="0"/>
              <w:right w:val="single" w:color="000000" w:sz="6" w:space="0"/>
            </w:tcBorders>
            <w:noWrap w:val="0"/>
            <w:vAlign w:val="center"/>
          </w:tcPr>
          <w:p w14:paraId="601E6B44">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竞争性磋商响应文件具体响应</w:t>
            </w:r>
          </w:p>
        </w:tc>
        <w:tc>
          <w:tcPr>
            <w:tcW w:w="1464" w:type="dxa"/>
            <w:tcBorders>
              <w:top w:val="single" w:color="000000" w:sz="4" w:space="0"/>
              <w:left w:val="single" w:color="000000" w:sz="6" w:space="0"/>
              <w:bottom w:val="single" w:color="000000" w:sz="6" w:space="0"/>
              <w:right w:val="single" w:color="000000" w:sz="6" w:space="0"/>
            </w:tcBorders>
            <w:noWrap w:val="0"/>
            <w:vAlign w:val="center"/>
          </w:tcPr>
          <w:p w14:paraId="6441B159">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响应/偏离</w:t>
            </w:r>
          </w:p>
        </w:tc>
        <w:tc>
          <w:tcPr>
            <w:tcW w:w="1361" w:type="dxa"/>
            <w:tcBorders>
              <w:top w:val="single" w:color="000000" w:sz="4" w:space="0"/>
              <w:left w:val="single" w:color="000000" w:sz="6" w:space="0"/>
              <w:bottom w:val="single" w:color="000000" w:sz="6" w:space="0"/>
              <w:right w:val="single" w:color="000000" w:sz="4" w:space="0"/>
            </w:tcBorders>
            <w:noWrap w:val="0"/>
            <w:vAlign w:val="center"/>
          </w:tcPr>
          <w:p w14:paraId="5BEDE304">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说明</w:t>
            </w:r>
          </w:p>
        </w:tc>
      </w:tr>
      <w:tr w14:paraId="21925665">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1167DE80">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商务部分</w:t>
            </w:r>
          </w:p>
        </w:tc>
      </w:tr>
      <w:tr w14:paraId="46358814">
        <w:tblPrEx>
          <w:tblCellMar>
            <w:top w:w="0" w:type="dxa"/>
            <w:left w:w="108" w:type="dxa"/>
            <w:bottom w:w="0" w:type="dxa"/>
            <w:right w:w="108" w:type="dxa"/>
          </w:tblCellMar>
        </w:tblPrEx>
        <w:trPr>
          <w:trHeight w:val="20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2438A1BB">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095D665E">
            <w:pPr>
              <w:spacing w:line="300" w:lineRule="auto"/>
              <w:jc w:val="center"/>
              <w:rPr>
                <w:rFonts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5C18FC9">
            <w:pPr>
              <w:spacing w:line="300" w:lineRule="auto"/>
              <w:jc w:val="center"/>
              <w:rPr>
                <w:rFonts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65E26BE1">
            <w:pPr>
              <w:spacing w:line="300" w:lineRule="auto"/>
              <w:jc w:val="center"/>
              <w:rPr>
                <w:rFonts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3081E599">
            <w:pPr>
              <w:spacing w:line="300" w:lineRule="auto"/>
              <w:jc w:val="center"/>
              <w:rPr>
                <w:rFonts w:ascii="宋体" w:hAnsi="宋体" w:cs="宋体"/>
                <w:color w:val="auto"/>
                <w:kern w:val="1"/>
                <w:sz w:val="24"/>
                <w:szCs w:val="24"/>
                <w:highlight w:val="none"/>
              </w:rPr>
            </w:pPr>
          </w:p>
        </w:tc>
      </w:tr>
      <w:tr w14:paraId="447497D7">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7B5A722C">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22E70326">
            <w:pPr>
              <w:spacing w:line="300" w:lineRule="auto"/>
              <w:jc w:val="center"/>
              <w:rPr>
                <w:rFonts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25EDEDEE">
            <w:pPr>
              <w:spacing w:line="300" w:lineRule="auto"/>
              <w:jc w:val="center"/>
              <w:rPr>
                <w:rFonts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428B92B">
            <w:pPr>
              <w:spacing w:line="300" w:lineRule="auto"/>
              <w:jc w:val="center"/>
              <w:rPr>
                <w:rFonts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2E35945C">
            <w:pPr>
              <w:spacing w:line="300" w:lineRule="auto"/>
              <w:jc w:val="center"/>
              <w:rPr>
                <w:rFonts w:ascii="宋体" w:hAnsi="宋体" w:cs="宋体"/>
                <w:color w:val="auto"/>
                <w:kern w:val="1"/>
                <w:sz w:val="24"/>
                <w:szCs w:val="24"/>
                <w:highlight w:val="none"/>
              </w:rPr>
            </w:pPr>
          </w:p>
        </w:tc>
      </w:tr>
      <w:tr w14:paraId="06799C1C">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7C005F3A">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250868F">
            <w:pPr>
              <w:spacing w:line="300" w:lineRule="auto"/>
              <w:jc w:val="center"/>
              <w:rPr>
                <w:rFonts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63C7FBD9">
            <w:pPr>
              <w:spacing w:line="300" w:lineRule="auto"/>
              <w:jc w:val="center"/>
              <w:rPr>
                <w:rFonts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3D1ECAE9">
            <w:pPr>
              <w:spacing w:line="300" w:lineRule="auto"/>
              <w:jc w:val="center"/>
              <w:rPr>
                <w:rFonts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3C667035">
            <w:pPr>
              <w:spacing w:line="300" w:lineRule="auto"/>
              <w:jc w:val="center"/>
              <w:rPr>
                <w:rFonts w:ascii="宋体" w:hAnsi="宋体" w:cs="宋体"/>
                <w:color w:val="auto"/>
                <w:kern w:val="1"/>
                <w:sz w:val="24"/>
                <w:szCs w:val="24"/>
                <w:highlight w:val="none"/>
              </w:rPr>
            </w:pPr>
          </w:p>
        </w:tc>
      </w:tr>
      <w:tr w14:paraId="3675592D">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549AE61E">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503D0D84">
            <w:pPr>
              <w:spacing w:line="300" w:lineRule="auto"/>
              <w:jc w:val="center"/>
              <w:rPr>
                <w:rFonts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63212E8A">
            <w:pPr>
              <w:spacing w:line="300" w:lineRule="auto"/>
              <w:jc w:val="center"/>
              <w:rPr>
                <w:rFonts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8478FDF">
            <w:pPr>
              <w:spacing w:line="300" w:lineRule="auto"/>
              <w:jc w:val="center"/>
              <w:rPr>
                <w:rFonts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006C10A8">
            <w:pPr>
              <w:spacing w:line="300" w:lineRule="auto"/>
              <w:jc w:val="center"/>
              <w:rPr>
                <w:rFonts w:ascii="宋体" w:hAnsi="宋体" w:cs="宋体"/>
                <w:color w:val="auto"/>
                <w:kern w:val="1"/>
                <w:sz w:val="24"/>
                <w:szCs w:val="24"/>
                <w:highlight w:val="none"/>
              </w:rPr>
            </w:pPr>
          </w:p>
        </w:tc>
      </w:tr>
      <w:tr w14:paraId="438A12CB">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4A195E52">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服务（技术）部分</w:t>
            </w:r>
          </w:p>
        </w:tc>
      </w:tr>
      <w:tr w14:paraId="01C2309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D1D9636">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2E211615">
            <w:pPr>
              <w:spacing w:line="300" w:lineRule="auto"/>
              <w:jc w:val="center"/>
              <w:rPr>
                <w:rFonts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504E9FB9">
            <w:pPr>
              <w:spacing w:line="300" w:lineRule="auto"/>
              <w:jc w:val="center"/>
              <w:rPr>
                <w:rFonts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82F46F3">
            <w:pPr>
              <w:spacing w:line="300" w:lineRule="auto"/>
              <w:jc w:val="center"/>
              <w:rPr>
                <w:rFonts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7C067A3B">
            <w:pPr>
              <w:spacing w:line="300" w:lineRule="auto"/>
              <w:jc w:val="center"/>
              <w:rPr>
                <w:rFonts w:ascii="宋体" w:hAnsi="宋体" w:cs="宋体"/>
                <w:color w:val="auto"/>
                <w:kern w:val="1"/>
                <w:sz w:val="24"/>
                <w:szCs w:val="24"/>
                <w:highlight w:val="none"/>
              </w:rPr>
            </w:pPr>
          </w:p>
        </w:tc>
      </w:tr>
      <w:tr w14:paraId="3CB28974">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1ECBD10">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73B4225">
            <w:pPr>
              <w:spacing w:line="300" w:lineRule="auto"/>
              <w:jc w:val="center"/>
              <w:rPr>
                <w:rFonts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D2775B4">
            <w:pPr>
              <w:spacing w:line="300" w:lineRule="auto"/>
              <w:jc w:val="center"/>
              <w:rPr>
                <w:rFonts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3D3E24F5">
            <w:pPr>
              <w:spacing w:line="300" w:lineRule="auto"/>
              <w:jc w:val="center"/>
              <w:rPr>
                <w:rFonts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5A9062BB">
            <w:pPr>
              <w:spacing w:line="300" w:lineRule="auto"/>
              <w:jc w:val="center"/>
              <w:rPr>
                <w:rFonts w:ascii="宋体" w:hAnsi="宋体" w:cs="宋体"/>
                <w:color w:val="auto"/>
                <w:kern w:val="1"/>
                <w:sz w:val="24"/>
                <w:szCs w:val="24"/>
                <w:highlight w:val="none"/>
              </w:rPr>
            </w:pPr>
          </w:p>
        </w:tc>
      </w:tr>
      <w:tr w14:paraId="7052BEA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7B28D5D8">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0111E5D0">
            <w:pPr>
              <w:spacing w:line="300" w:lineRule="auto"/>
              <w:jc w:val="center"/>
              <w:rPr>
                <w:rFonts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685A3712">
            <w:pPr>
              <w:spacing w:line="300" w:lineRule="auto"/>
              <w:jc w:val="center"/>
              <w:rPr>
                <w:rFonts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C6A002F">
            <w:pPr>
              <w:spacing w:line="300" w:lineRule="auto"/>
              <w:jc w:val="center"/>
              <w:rPr>
                <w:rFonts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206CCD1">
            <w:pPr>
              <w:spacing w:line="300" w:lineRule="auto"/>
              <w:jc w:val="center"/>
              <w:rPr>
                <w:rFonts w:ascii="宋体" w:hAnsi="宋体" w:cs="宋体"/>
                <w:color w:val="auto"/>
                <w:kern w:val="1"/>
                <w:sz w:val="24"/>
                <w:szCs w:val="24"/>
                <w:highlight w:val="none"/>
              </w:rPr>
            </w:pPr>
          </w:p>
        </w:tc>
      </w:tr>
      <w:tr w14:paraId="30ED414C">
        <w:tblPrEx>
          <w:tblCellMar>
            <w:top w:w="0" w:type="dxa"/>
            <w:left w:w="108" w:type="dxa"/>
            <w:bottom w:w="0" w:type="dxa"/>
            <w:right w:w="108" w:type="dxa"/>
          </w:tblCellMar>
        </w:tblPrEx>
        <w:trPr>
          <w:trHeight w:val="190" w:hRule="atLeast"/>
        </w:trPr>
        <w:tc>
          <w:tcPr>
            <w:tcW w:w="606" w:type="dxa"/>
            <w:tcBorders>
              <w:top w:val="single" w:color="000000" w:sz="6" w:space="0"/>
              <w:left w:val="single" w:color="000000" w:sz="4" w:space="0"/>
              <w:bottom w:val="single" w:color="000000" w:sz="4" w:space="0"/>
              <w:right w:val="single" w:color="000000" w:sz="6" w:space="0"/>
            </w:tcBorders>
            <w:noWrap w:val="0"/>
            <w:vAlign w:val="center"/>
          </w:tcPr>
          <w:p w14:paraId="3A558D7F">
            <w:pPr>
              <w:spacing w:line="300" w:lineRule="auto"/>
              <w:jc w:val="center"/>
              <w:rPr>
                <w:rFonts w:ascii="宋体" w:hAnsi="宋体" w:cs="宋体"/>
                <w:color w:val="auto"/>
                <w:kern w:val="1"/>
                <w:sz w:val="24"/>
                <w:szCs w:val="24"/>
                <w:highlight w:val="none"/>
              </w:rPr>
            </w:pPr>
            <w:r>
              <w:rPr>
                <w:rFonts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4" w:space="0"/>
              <w:right w:val="single" w:color="000000" w:sz="6" w:space="0"/>
            </w:tcBorders>
            <w:noWrap w:val="0"/>
            <w:vAlign w:val="center"/>
          </w:tcPr>
          <w:p w14:paraId="6615FF3F">
            <w:pPr>
              <w:spacing w:line="300" w:lineRule="auto"/>
              <w:jc w:val="center"/>
              <w:rPr>
                <w:rFonts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4" w:space="0"/>
              <w:right w:val="single" w:color="000000" w:sz="6" w:space="0"/>
            </w:tcBorders>
            <w:noWrap w:val="0"/>
            <w:vAlign w:val="center"/>
          </w:tcPr>
          <w:p w14:paraId="4468618B">
            <w:pPr>
              <w:spacing w:line="300" w:lineRule="auto"/>
              <w:jc w:val="center"/>
              <w:rPr>
                <w:rFonts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4" w:space="0"/>
              <w:right w:val="single" w:color="000000" w:sz="4" w:space="0"/>
            </w:tcBorders>
            <w:noWrap w:val="0"/>
            <w:vAlign w:val="center"/>
          </w:tcPr>
          <w:p w14:paraId="43A07E96">
            <w:pPr>
              <w:spacing w:line="300" w:lineRule="auto"/>
              <w:jc w:val="center"/>
              <w:rPr>
                <w:rFonts w:ascii="宋体" w:hAnsi="宋体" w:cs="宋体"/>
                <w:color w:val="auto"/>
                <w:kern w:val="1"/>
                <w:sz w:val="24"/>
                <w:szCs w:val="24"/>
                <w:highlight w:val="none"/>
              </w:rPr>
            </w:pPr>
          </w:p>
        </w:tc>
        <w:tc>
          <w:tcPr>
            <w:tcW w:w="1361" w:type="dxa"/>
            <w:tcBorders>
              <w:top w:val="single" w:color="000000" w:sz="6" w:space="0"/>
              <w:left w:val="single" w:color="000000" w:sz="4" w:space="0"/>
              <w:bottom w:val="single" w:color="000000" w:sz="4" w:space="0"/>
              <w:right w:val="single" w:color="000000" w:sz="4" w:space="0"/>
            </w:tcBorders>
            <w:noWrap w:val="0"/>
            <w:vAlign w:val="center"/>
          </w:tcPr>
          <w:p w14:paraId="6AAA84BD">
            <w:pPr>
              <w:spacing w:line="300" w:lineRule="auto"/>
              <w:jc w:val="center"/>
              <w:rPr>
                <w:rFonts w:ascii="宋体" w:hAnsi="宋体" w:cs="宋体"/>
                <w:color w:val="auto"/>
                <w:kern w:val="1"/>
                <w:sz w:val="24"/>
                <w:szCs w:val="24"/>
                <w:highlight w:val="none"/>
              </w:rPr>
            </w:pPr>
          </w:p>
        </w:tc>
      </w:tr>
    </w:tbl>
    <w:p w14:paraId="51653113">
      <w:pPr>
        <w:spacing w:line="360" w:lineRule="exact"/>
        <w:rPr>
          <w:rFonts w:ascii="宋体" w:hAnsi="宋体" w:cs="宋体"/>
          <w:color w:val="auto"/>
          <w:kern w:val="1"/>
          <w:sz w:val="24"/>
          <w:szCs w:val="24"/>
          <w:highlight w:val="none"/>
        </w:rPr>
      </w:pPr>
      <w:r>
        <w:rPr>
          <w:rFonts w:ascii="宋体" w:hAnsi="宋体" w:cs="宋体"/>
          <w:color w:val="auto"/>
          <w:kern w:val="1"/>
          <w:sz w:val="24"/>
          <w:szCs w:val="24"/>
          <w:highlight w:val="none"/>
        </w:rPr>
        <w:t>说明：1.应写明竞争性磋商响应文件对商务与服务技术要求的响应和偏离情况</w:t>
      </w:r>
      <w:r>
        <w:rPr>
          <w:rFonts w:ascii="宋体" w:hAnsi="宋体" w:cs="宋体"/>
          <w:bCs/>
          <w:color w:val="auto"/>
          <w:kern w:val="1"/>
          <w:sz w:val="24"/>
          <w:szCs w:val="24"/>
          <w:highlight w:val="none"/>
        </w:rPr>
        <w:t>；</w:t>
      </w:r>
    </w:p>
    <w:p w14:paraId="3DFF9E3E">
      <w:pPr>
        <w:spacing w:line="360" w:lineRule="exact"/>
        <w:ind w:firstLine="63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2.应对照竞争性磋商文件“第三章  </w:t>
      </w:r>
      <w:r>
        <w:rPr>
          <w:rFonts w:hint="eastAsia" w:ascii="宋体" w:hAnsi="宋体" w:cs="宋体"/>
          <w:color w:val="auto"/>
          <w:kern w:val="1"/>
          <w:sz w:val="24"/>
          <w:szCs w:val="24"/>
          <w:highlight w:val="none"/>
          <w:lang w:val="en-US" w:eastAsia="zh-CN"/>
        </w:rPr>
        <w:t>采购</w:t>
      </w:r>
      <w:r>
        <w:rPr>
          <w:rFonts w:ascii="宋体" w:hAnsi="宋体" w:cs="宋体"/>
          <w:color w:val="auto"/>
          <w:kern w:val="1"/>
          <w:sz w:val="24"/>
          <w:szCs w:val="24"/>
          <w:highlight w:val="none"/>
        </w:rPr>
        <w:t>需求”，逐条说明所提供服务已对竞争性磋商文件的商务、服务、技术要求做出了实质性的响应，并申明与采购项目要求的响应和偏离。特别对有具体商务、服务、技术要求的，磋商供应商必须提供对应的详细应答。如果仅注明“符合”、“满足”或简单复制竞争性磋商文件要求，将导致磋商被拒绝。</w:t>
      </w:r>
    </w:p>
    <w:p w14:paraId="1D6AA0D2">
      <w:pPr>
        <w:spacing w:line="360" w:lineRule="exact"/>
        <w:rPr>
          <w:rFonts w:ascii="宋体" w:hAnsi="宋体" w:cs="Courier New"/>
          <w:color w:val="auto"/>
          <w:kern w:val="1"/>
          <w:sz w:val="24"/>
          <w:szCs w:val="24"/>
          <w:highlight w:val="none"/>
        </w:rPr>
      </w:pPr>
    </w:p>
    <w:p w14:paraId="663E09D4">
      <w:pP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654E17C0">
      <w:pP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（签字或个人CA签章）</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3EA9F5BA">
      <w:pP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04AE623D">
      <w:pPr>
        <w:spacing w:line="360" w:lineRule="exact"/>
        <w:ind w:firstLine="6720"/>
        <w:rPr>
          <w:rFonts w:ascii="宋体" w:hAnsi="宋体" w:cs="Courier New"/>
          <w:color w:val="auto"/>
          <w:kern w:val="1"/>
          <w:szCs w:val="21"/>
          <w:highlight w:val="none"/>
        </w:rPr>
      </w:pPr>
    </w:p>
    <w:p w14:paraId="4B6E8EEA">
      <w:pPr>
        <w:spacing w:line="300" w:lineRule="auto"/>
        <w:rPr>
          <w:color w:val="auto"/>
          <w:kern w:val="1"/>
          <w:highlight w:val="none"/>
        </w:rPr>
      </w:pPr>
    </w:p>
    <w:p w14:paraId="2DEA01A6">
      <w:pPr>
        <w:spacing w:line="300" w:lineRule="auto"/>
        <w:ind w:left="420" w:hanging="420"/>
        <w:rPr>
          <w:color w:val="auto"/>
          <w:kern w:val="1"/>
          <w:highlight w:val="none"/>
        </w:rPr>
      </w:pPr>
      <w:r>
        <w:rPr>
          <w:color w:val="auto"/>
          <w:kern w:val="1"/>
          <w:highlight w:val="none"/>
        </w:rPr>
        <w:br w:type="page"/>
      </w:r>
    </w:p>
    <w:p w14:paraId="0E73E4D7">
      <w:pPr>
        <w:pStyle w:val="405"/>
        <w:rPr>
          <w:rFonts w:eastAsia="宋体"/>
          <w:color w:val="auto"/>
          <w:highlight w:val="none"/>
        </w:rPr>
      </w:pPr>
    </w:p>
    <w:p w14:paraId="11E6F925">
      <w:pPr>
        <w:pStyle w:val="32"/>
        <w:jc w:val="center"/>
        <w:rPr>
          <w:b/>
          <w:color w:val="auto"/>
          <w:sz w:val="32"/>
          <w:highlight w:val="none"/>
        </w:rPr>
      </w:pPr>
      <w:r>
        <w:rPr>
          <w:b/>
          <w:color w:val="auto"/>
          <w:sz w:val="32"/>
          <w:highlight w:val="none"/>
        </w:rPr>
        <w:t>服务方案(含服务承诺)（格式）</w:t>
      </w:r>
    </w:p>
    <w:p w14:paraId="50C98BC5">
      <w:pPr>
        <w:pStyle w:val="32"/>
        <w:jc w:val="center"/>
        <w:rPr>
          <w:color w:val="auto"/>
          <w:highlight w:val="none"/>
        </w:rPr>
      </w:pPr>
    </w:p>
    <w:p w14:paraId="63C4932A">
      <w:pPr>
        <w:spacing w:line="500" w:lineRule="exact"/>
        <w:jc w:val="center"/>
        <w:rPr>
          <w:rFonts w:ascii="宋体" w:hAnsi="宋体" w:cs="宋体"/>
          <w:color w:val="auto"/>
          <w:kern w:val="1"/>
          <w:highlight w:val="none"/>
        </w:rPr>
      </w:pPr>
      <w:r>
        <w:rPr>
          <w:rFonts w:ascii="宋体" w:hAnsi="宋体" w:cs="宋体"/>
          <w:color w:val="auto"/>
          <w:kern w:val="1"/>
          <w:highlight w:val="none"/>
        </w:rPr>
        <w:t>【由供应商按《</w:t>
      </w:r>
      <w:r>
        <w:rPr>
          <w:rFonts w:ascii="宋体" w:hAnsi="宋体" w:cs="宋体"/>
          <w:color w:val="auto"/>
          <w:kern w:val="1"/>
          <w:szCs w:val="21"/>
          <w:highlight w:val="none"/>
        </w:rPr>
        <w:t>采购项目需求</w:t>
      </w:r>
      <w:r>
        <w:rPr>
          <w:rFonts w:ascii="宋体" w:hAnsi="宋体" w:cs="宋体"/>
          <w:color w:val="auto"/>
          <w:kern w:val="1"/>
          <w:highlight w:val="none"/>
        </w:rPr>
        <w:t>》中的要求自行填写】</w:t>
      </w:r>
    </w:p>
    <w:p w14:paraId="2CEF025B">
      <w:pPr>
        <w:pStyle w:val="32"/>
        <w:rPr>
          <w:color w:val="auto"/>
          <w:highlight w:val="none"/>
        </w:rPr>
      </w:pPr>
    </w:p>
    <w:p w14:paraId="09E327E4">
      <w:pPr>
        <w:pStyle w:val="32"/>
        <w:rPr>
          <w:color w:val="auto"/>
          <w:highlight w:val="none"/>
        </w:rPr>
      </w:pPr>
    </w:p>
    <w:p w14:paraId="0D3D7A92">
      <w:pPr>
        <w:pStyle w:val="32"/>
        <w:rPr>
          <w:color w:val="auto"/>
          <w:highlight w:val="none"/>
        </w:rPr>
      </w:pPr>
    </w:p>
    <w:p w14:paraId="5D0FCA9F">
      <w:pPr>
        <w:pStyle w:val="32"/>
        <w:rPr>
          <w:color w:val="auto"/>
          <w:highlight w:val="none"/>
        </w:rPr>
      </w:pPr>
    </w:p>
    <w:p w14:paraId="3ABE7DEA">
      <w:pPr>
        <w:pStyle w:val="32"/>
        <w:rPr>
          <w:color w:val="auto"/>
          <w:highlight w:val="none"/>
        </w:rPr>
      </w:pPr>
    </w:p>
    <w:p w14:paraId="607DD157">
      <w:pPr>
        <w:pStyle w:val="32"/>
        <w:rPr>
          <w:color w:val="auto"/>
          <w:highlight w:val="none"/>
        </w:rPr>
      </w:pPr>
    </w:p>
    <w:p w14:paraId="6AE2F693">
      <w:pPr>
        <w:pStyle w:val="32"/>
        <w:rPr>
          <w:color w:val="auto"/>
          <w:highlight w:val="none"/>
        </w:rPr>
      </w:pPr>
    </w:p>
    <w:p w14:paraId="538C60CD">
      <w:pPr>
        <w:pStyle w:val="32"/>
        <w:rPr>
          <w:color w:val="auto"/>
          <w:highlight w:val="none"/>
        </w:rPr>
      </w:pPr>
    </w:p>
    <w:p w14:paraId="711249F2">
      <w:pPr>
        <w:pStyle w:val="32"/>
        <w:rPr>
          <w:color w:val="auto"/>
          <w:highlight w:val="none"/>
        </w:rPr>
      </w:pPr>
    </w:p>
    <w:p w14:paraId="29087A99">
      <w:pPr>
        <w:pStyle w:val="32"/>
        <w:rPr>
          <w:color w:val="auto"/>
          <w:highlight w:val="none"/>
        </w:rPr>
      </w:pPr>
    </w:p>
    <w:p w14:paraId="11E8D301">
      <w:pPr>
        <w:pStyle w:val="32"/>
        <w:rPr>
          <w:color w:val="auto"/>
          <w:highlight w:val="none"/>
        </w:rPr>
      </w:pPr>
    </w:p>
    <w:p w14:paraId="3B31D5DA">
      <w:pPr>
        <w:pStyle w:val="32"/>
        <w:rPr>
          <w:color w:val="auto"/>
          <w:highlight w:val="none"/>
        </w:rPr>
      </w:pPr>
      <w:r>
        <w:rPr>
          <w:color w:val="auto"/>
          <w:highlight w:val="none"/>
        </w:rPr>
        <w:t xml:space="preserve"> </w:t>
      </w:r>
    </w:p>
    <w:p w14:paraId="57A722F5">
      <w:pPr>
        <w:pStyle w:val="32"/>
        <w:rPr>
          <w:color w:val="auto"/>
          <w:highlight w:val="none"/>
        </w:rPr>
      </w:pPr>
    </w:p>
    <w:p w14:paraId="6769B1D5">
      <w:pPr>
        <w:pStyle w:val="32"/>
        <w:rPr>
          <w:color w:val="auto"/>
          <w:highlight w:val="none"/>
        </w:rPr>
      </w:pPr>
    </w:p>
    <w:p w14:paraId="1E2621D7">
      <w:pPr>
        <w:pStyle w:val="32"/>
        <w:rPr>
          <w:color w:val="auto"/>
          <w:highlight w:val="none"/>
        </w:rPr>
      </w:pPr>
    </w:p>
    <w:p w14:paraId="71DBE7A7">
      <w:pPr>
        <w:pStyle w:val="32"/>
        <w:rPr>
          <w:color w:val="auto"/>
          <w:highlight w:val="none"/>
        </w:rPr>
      </w:pPr>
    </w:p>
    <w:p w14:paraId="18BBD130">
      <w:pPr>
        <w:pStyle w:val="32"/>
        <w:rPr>
          <w:color w:val="auto"/>
          <w:highlight w:val="none"/>
        </w:rPr>
      </w:pPr>
    </w:p>
    <w:p w14:paraId="43575953">
      <w:pPr>
        <w:pStyle w:val="32"/>
        <w:rPr>
          <w:color w:val="auto"/>
          <w:highlight w:val="none"/>
        </w:rPr>
      </w:pPr>
    </w:p>
    <w:p w14:paraId="4F3E6FBF">
      <w:pPr>
        <w:pStyle w:val="32"/>
        <w:rPr>
          <w:color w:val="auto"/>
          <w:highlight w:val="none"/>
        </w:rPr>
      </w:pPr>
    </w:p>
    <w:p w14:paraId="6909473A">
      <w:pPr>
        <w:pStyle w:val="32"/>
        <w:rPr>
          <w:color w:val="auto"/>
          <w:highlight w:val="none"/>
        </w:rPr>
      </w:pPr>
    </w:p>
    <w:p w14:paraId="3D19E856">
      <w:pPr>
        <w:pStyle w:val="32"/>
        <w:rPr>
          <w:color w:val="auto"/>
          <w:highlight w:val="none"/>
        </w:rPr>
      </w:pPr>
    </w:p>
    <w:p w14:paraId="6343D6CE">
      <w:pPr>
        <w:pStyle w:val="32"/>
        <w:rPr>
          <w:color w:val="auto"/>
          <w:highlight w:val="none"/>
        </w:rPr>
      </w:pPr>
    </w:p>
    <w:p w14:paraId="6AFC051F">
      <w:pPr>
        <w:pStyle w:val="32"/>
        <w:rPr>
          <w:color w:val="auto"/>
          <w:highlight w:val="none"/>
        </w:rPr>
      </w:pPr>
    </w:p>
    <w:p w14:paraId="3C116BD9">
      <w:pPr>
        <w:pStyle w:val="32"/>
        <w:rPr>
          <w:color w:val="auto"/>
          <w:highlight w:val="none"/>
        </w:rPr>
      </w:pPr>
    </w:p>
    <w:p w14:paraId="785B462A">
      <w:pPr>
        <w:pStyle w:val="32"/>
        <w:rPr>
          <w:color w:val="auto"/>
          <w:highlight w:val="none"/>
        </w:rPr>
      </w:pPr>
      <w:r>
        <w:rPr>
          <w:rFonts w:hint="eastAsia"/>
          <w:color w:val="auto"/>
          <w:highlight w:val="none"/>
        </w:rPr>
        <w:t xml:space="preserve">                        </w:t>
      </w:r>
    </w:p>
    <w:p w14:paraId="661EBAEC">
      <w:pP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A1AC347">
      <w:pP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（签字或个人CA签章）</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6576E4B3">
      <w:pP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40E7F350">
      <w:pPr>
        <w:spacing w:line="360" w:lineRule="exact"/>
        <w:ind w:firstLine="6720"/>
        <w:rPr>
          <w:rFonts w:ascii="宋体" w:hAnsi="宋体" w:cs="Courier New"/>
          <w:color w:val="auto"/>
          <w:kern w:val="1"/>
          <w:szCs w:val="21"/>
          <w:highlight w:val="none"/>
        </w:rPr>
      </w:pPr>
      <w:r>
        <w:rPr>
          <w:color w:val="auto"/>
          <w:highlight w:val="none"/>
        </w:rPr>
        <w:t xml:space="preserve">  </w:t>
      </w:r>
      <w:r>
        <w:rPr>
          <w:color w:val="auto"/>
          <w:highlight w:val="none"/>
        </w:rPr>
        <w:br w:type="page"/>
      </w:r>
    </w:p>
    <w:p w14:paraId="429F0FD2">
      <w:pPr>
        <w:spacing w:line="360" w:lineRule="auto"/>
        <w:jc w:val="center"/>
        <w:rPr>
          <w:rFonts w:ascii="宋体" w:hAnsi="宋体" w:cs="宋体"/>
          <w:b/>
          <w:color w:val="auto"/>
          <w:sz w:val="32"/>
          <w:szCs w:val="32"/>
          <w:highlight w:val="none"/>
        </w:rPr>
      </w:pPr>
      <w:r>
        <w:rPr>
          <w:rFonts w:hint="eastAsia" w:ascii="宋体" w:hAnsi="宋体" w:cs="宋体"/>
          <w:b/>
          <w:color w:val="auto"/>
          <w:sz w:val="28"/>
          <w:szCs w:val="28"/>
          <w:highlight w:val="none"/>
        </w:rPr>
        <w:t>拟投入本项目人员配置一览表</w:t>
      </w:r>
    </w:p>
    <w:p w14:paraId="5E74E392">
      <w:pPr>
        <w:snapToGrid w:val="0"/>
        <w:spacing w:line="440" w:lineRule="exact"/>
        <w:jc w:val="center"/>
        <w:rPr>
          <w:rFonts w:hint="eastAsia" w:ascii="宋体" w:hAnsi="宋体"/>
          <w:b/>
          <w:color w:val="auto"/>
          <w:kern w:val="2"/>
          <w:sz w:val="32"/>
          <w:szCs w:val="32"/>
          <w:highlight w:val="none"/>
        </w:rPr>
      </w:pPr>
      <w:r>
        <w:rPr>
          <w:rFonts w:hint="eastAsia" w:ascii="宋体" w:hAnsi="宋体"/>
          <w:b/>
          <w:color w:val="auto"/>
          <w:kern w:val="2"/>
          <w:sz w:val="32"/>
          <w:szCs w:val="32"/>
          <w:highlight w:val="none"/>
        </w:rPr>
        <w:t xml:space="preserve"> </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2"/>
        <w:gridCol w:w="1417"/>
        <w:gridCol w:w="1701"/>
        <w:gridCol w:w="2141"/>
        <w:gridCol w:w="1374"/>
      </w:tblGrid>
      <w:tr w14:paraId="2B69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2" w:type="dxa"/>
            <w:tcBorders>
              <w:top w:val="single" w:color="auto" w:sz="4" w:space="0"/>
              <w:left w:val="single" w:color="auto" w:sz="4" w:space="0"/>
              <w:bottom w:val="single" w:color="auto" w:sz="4" w:space="0"/>
              <w:right w:val="single" w:color="auto" w:sz="4" w:space="0"/>
            </w:tcBorders>
            <w:noWrap w:val="0"/>
            <w:vAlign w:val="center"/>
          </w:tcPr>
          <w:p w14:paraId="6BE1FD8B">
            <w:pPr>
              <w:jc w:val="center"/>
              <w:rPr>
                <w:rFonts w:ascii="宋体" w:hAnsi="宋体"/>
                <w:color w:val="auto"/>
                <w:kern w:val="2"/>
                <w:sz w:val="24"/>
                <w:szCs w:val="24"/>
                <w:highlight w:val="none"/>
              </w:rPr>
            </w:pPr>
            <w:r>
              <w:rPr>
                <w:rFonts w:hint="eastAsia" w:ascii="宋体" w:hAnsi="宋体"/>
                <w:color w:val="auto"/>
                <w:kern w:val="2"/>
                <w:sz w:val="24"/>
                <w:szCs w:val="24"/>
                <w:highlight w:val="none"/>
              </w:rPr>
              <w:t>序号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9A3ACF9">
            <w:pPr>
              <w:jc w:val="center"/>
              <w:rPr>
                <w:rFonts w:ascii="宋体" w:hAnsi="宋体"/>
                <w:color w:val="auto"/>
                <w:kern w:val="2"/>
                <w:sz w:val="24"/>
                <w:szCs w:val="24"/>
                <w:highlight w:val="none"/>
              </w:rPr>
            </w:pPr>
            <w:r>
              <w:rPr>
                <w:rFonts w:hint="eastAsia" w:ascii="宋体" w:hAnsi="宋体"/>
                <w:color w:val="auto"/>
                <w:kern w:val="2"/>
                <w:sz w:val="24"/>
                <w:szCs w:val="24"/>
                <w:highlight w:val="none"/>
              </w:rPr>
              <w:t>姓  名</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FFCE7EC">
            <w:pPr>
              <w:jc w:val="center"/>
              <w:rPr>
                <w:rFonts w:ascii="宋体" w:hAnsi="宋体"/>
                <w:color w:val="auto"/>
                <w:kern w:val="2"/>
                <w:sz w:val="24"/>
                <w:szCs w:val="24"/>
                <w:highlight w:val="none"/>
              </w:rPr>
            </w:pPr>
            <w:r>
              <w:rPr>
                <w:rFonts w:hint="eastAsia" w:ascii="宋体" w:hAnsi="宋体"/>
                <w:color w:val="auto"/>
                <w:kern w:val="2"/>
                <w:sz w:val="24"/>
                <w:szCs w:val="24"/>
                <w:highlight w:val="none"/>
              </w:rPr>
              <w:t>职务</w:t>
            </w:r>
          </w:p>
        </w:tc>
        <w:tc>
          <w:tcPr>
            <w:tcW w:w="2141" w:type="dxa"/>
            <w:tcBorders>
              <w:top w:val="single" w:color="auto" w:sz="4" w:space="0"/>
              <w:left w:val="single" w:color="auto" w:sz="4" w:space="0"/>
              <w:bottom w:val="single" w:color="auto" w:sz="4" w:space="0"/>
              <w:right w:val="single" w:color="auto" w:sz="4" w:space="0"/>
            </w:tcBorders>
            <w:noWrap w:val="0"/>
            <w:vAlign w:val="center"/>
          </w:tcPr>
          <w:p w14:paraId="365233D4">
            <w:pPr>
              <w:jc w:val="center"/>
              <w:rPr>
                <w:rFonts w:ascii="宋体" w:hAnsi="宋体"/>
                <w:color w:val="auto"/>
                <w:kern w:val="2"/>
                <w:sz w:val="24"/>
                <w:szCs w:val="24"/>
                <w:highlight w:val="none"/>
              </w:rPr>
            </w:pPr>
            <w:r>
              <w:rPr>
                <w:rFonts w:hint="eastAsia" w:ascii="宋体" w:hAnsi="宋体"/>
                <w:color w:val="auto"/>
                <w:kern w:val="2"/>
                <w:sz w:val="24"/>
                <w:szCs w:val="24"/>
                <w:highlight w:val="none"/>
                <w:lang w:val="en-US" w:eastAsia="zh-CN"/>
              </w:rPr>
              <w:t>身份证号</w:t>
            </w:r>
          </w:p>
        </w:tc>
        <w:tc>
          <w:tcPr>
            <w:tcW w:w="1374" w:type="dxa"/>
            <w:tcBorders>
              <w:top w:val="single" w:color="auto" w:sz="4" w:space="0"/>
              <w:left w:val="single" w:color="auto" w:sz="4" w:space="0"/>
              <w:bottom w:val="single" w:color="auto" w:sz="4" w:space="0"/>
              <w:right w:val="single" w:color="auto" w:sz="4" w:space="0"/>
            </w:tcBorders>
            <w:noWrap w:val="0"/>
            <w:vAlign w:val="center"/>
          </w:tcPr>
          <w:p w14:paraId="7069C744">
            <w:pPr>
              <w:jc w:val="center"/>
              <w:rPr>
                <w:rFonts w:ascii="宋体" w:hAnsi="宋体"/>
                <w:color w:val="auto"/>
                <w:kern w:val="2"/>
                <w:sz w:val="24"/>
                <w:szCs w:val="24"/>
                <w:highlight w:val="none"/>
              </w:rPr>
            </w:pPr>
            <w:r>
              <w:rPr>
                <w:rFonts w:hint="eastAsia" w:ascii="宋体" w:hAnsi="宋体"/>
                <w:color w:val="auto"/>
                <w:kern w:val="2"/>
                <w:sz w:val="24"/>
                <w:szCs w:val="24"/>
                <w:highlight w:val="none"/>
              </w:rPr>
              <w:t>备注</w:t>
            </w:r>
          </w:p>
        </w:tc>
      </w:tr>
      <w:tr w14:paraId="62A1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2" w:type="dxa"/>
            <w:tcBorders>
              <w:top w:val="single" w:color="auto" w:sz="4" w:space="0"/>
              <w:left w:val="single" w:color="auto" w:sz="4" w:space="0"/>
              <w:bottom w:val="single" w:color="auto" w:sz="4" w:space="0"/>
              <w:right w:val="single" w:color="auto" w:sz="4" w:space="0"/>
            </w:tcBorders>
            <w:noWrap w:val="0"/>
            <w:vAlign w:val="top"/>
          </w:tcPr>
          <w:p w14:paraId="018BA05B">
            <w:pPr>
              <w:rPr>
                <w:rFonts w:ascii="宋体" w:hAnsi="宋体"/>
                <w:color w:val="auto"/>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0867B8DF">
            <w:pPr>
              <w:rPr>
                <w:rFonts w:ascii="宋体" w:hAnsi="宋体"/>
                <w:color w:val="auto"/>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85B9D53">
            <w:pPr>
              <w:rPr>
                <w:rFonts w:ascii="宋体" w:hAnsi="宋体"/>
                <w:color w:val="auto"/>
                <w:kern w:val="2"/>
                <w:sz w:val="24"/>
                <w:szCs w:val="24"/>
                <w:highlight w:val="none"/>
              </w:rPr>
            </w:pPr>
          </w:p>
        </w:tc>
        <w:tc>
          <w:tcPr>
            <w:tcW w:w="2141" w:type="dxa"/>
            <w:tcBorders>
              <w:top w:val="single" w:color="auto" w:sz="4" w:space="0"/>
              <w:left w:val="single" w:color="auto" w:sz="4" w:space="0"/>
              <w:bottom w:val="single" w:color="auto" w:sz="4" w:space="0"/>
              <w:right w:val="single" w:color="auto" w:sz="4" w:space="0"/>
            </w:tcBorders>
            <w:noWrap w:val="0"/>
            <w:vAlign w:val="top"/>
          </w:tcPr>
          <w:p w14:paraId="61BCF246">
            <w:pPr>
              <w:rPr>
                <w:rFonts w:ascii="宋体" w:hAnsi="宋体"/>
                <w:color w:val="auto"/>
                <w:kern w:val="2"/>
                <w:sz w:val="24"/>
                <w:szCs w:val="24"/>
                <w:highlight w:val="none"/>
              </w:rPr>
            </w:pPr>
          </w:p>
        </w:tc>
        <w:tc>
          <w:tcPr>
            <w:tcW w:w="1374" w:type="dxa"/>
            <w:tcBorders>
              <w:top w:val="single" w:color="auto" w:sz="4" w:space="0"/>
              <w:left w:val="single" w:color="auto" w:sz="4" w:space="0"/>
              <w:bottom w:val="single" w:color="auto" w:sz="4" w:space="0"/>
              <w:right w:val="single" w:color="auto" w:sz="4" w:space="0"/>
            </w:tcBorders>
            <w:noWrap w:val="0"/>
            <w:vAlign w:val="top"/>
          </w:tcPr>
          <w:p w14:paraId="2B256E14">
            <w:pPr>
              <w:rPr>
                <w:rFonts w:ascii="宋体" w:hAnsi="宋体"/>
                <w:color w:val="auto"/>
                <w:kern w:val="2"/>
                <w:sz w:val="24"/>
                <w:szCs w:val="24"/>
                <w:highlight w:val="none"/>
              </w:rPr>
            </w:pPr>
          </w:p>
        </w:tc>
      </w:tr>
      <w:tr w14:paraId="5771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2" w:type="dxa"/>
            <w:tcBorders>
              <w:top w:val="single" w:color="auto" w:sz="4" w:space="0"/>
              <w:left w:val="single" w:color="auto" w:sz="4" w:space="0"/>
              <w:bottom w:val="single" w:color="auto" w:sz="4" w:space="0"/>
              <w:right w:val="single" w:color="auto" w:sz="4" w:space="0"/>
            </w:tcBorders>
            <w:noWrap w:val="0"/>
            <w:vAlign w:val="top"/>
          </w:tcPr>
          <w:p w14:paraId="5160BAA8">
            <w:pPr>
              <w:rPr>
                <w:rFonts w:ascii="宋体" w:hAnsi="宋体"/>
                <w:color w:val="auto"/>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3C8E4CB5">
            <w:pPr>
              <w:rPr>
                <w:rFonts w:ascii="宋体" w:hAnsi="宋体"/>
                <w:color w:val="auto"/>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68B338D">
            <w:pPr>
              <w:rPr>
                <w:rFonts w:ascii="宋体" w:hAnsi="宋体"/>
                <w:color w:val="auto"/>
                <w:kern w:val="2"/>
                <w:sz w:val="24"/>
                <w:szCs w:val="24"/>
                <w:highlight w:val="none"/>
              </w:rPr>
            </w:pPr>
          </w:p>
        </w:tc>
        <w:tc>
          <w:tcPr>
            <w:tcW w:w="2141" w:type="dxa"/>
            <w:tcBorders>
              <w:top w:val="single" w:color="auto" w:sz="4" w:space="0"/>
              <w:left w:val="single" w:color="auto" w:sz="4" w:space="0"/>
              <w:bottom w:val="single" w:color="auto" w:sz="4" w:space="0"/>
              <w:right w:val="single" w:color="auto" w:sz="4" w:space="0"/>
            </w:tcBorders>
            <w:noWrap w:val="0"/>
            <w:vAlign w:val="top"/>
          </w:tcPr>
          <w:p w14:paraId="7C15F47B">
            <w:pPr>
              <w:rPr>
                <w:rFonts w:ascii="宋体" w:hAnsi="宋体"/>
                <w:color w:val="auto"/>
                <w:kern w:val="2"/>
                <w:sz w:val="24"/>
                <w:szCs w:val="24"/>
                <w:highlight w:val="none"/>
              </w:rPr>
            </w:pPr>
          </w:p>
        </w:tc>
        <w:tc>
          <w:tcPr>
            <w:tcW w:w="1374" w:type="dxa"/>
            <w:tcBorders>
              <w:top w:val="single" w:color="auto" w:sz="4" w:space="0"/>
              <w:left w:val="single" w:color="auto" w:sz="4" w:space="0"/>
              <w:bottom w:val="single" w:color="auto" w:sz="4" w:space="0"/>
              <w:right w:val="single" w:color="auto" w:sz="4" w:space="0"/>
            </w:tcBorders>
            <w:noWrap w:val="0"/>
            <w:vAlign w:val="top"/>
          </w:tcPr>
          <w:p w14:paraId="25D3F480">
            <w:pPr>
              <w:rPr>
                <w:rFonts w:ascii="宋体" w:hAnsi="宋体"/>
                <w:color w:val="auto"/>
                <w:kern w:val="2"/>
                <w:sz w:val="24"/>
                <w:szCs w:val="24"/>
                <w:highlight w:val="none"/>
              </w:rPr>
            </w:pPr>
          </w:p>
        </w:tc>
      </w:tr>
      <w:tr w14:paraId="2F5B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2" w:type="dxa"/>
            <w:tcBorders>
              <w:top w:val="single" w:color="auto" w:sz="4" w:space="0"/>
              <w:left w:val="single" w:color="auto" w:sz="4" w:space="0"/>
              <w:bottom w:val="single" w:color="auto" w:sz="4" w:space="0"/>
              <w:right w:val="single" w:color="auto" w:sz="4" w:space="0"/>
            </w:tcBorders>
            <w:noWrap w:val="0"/>
            <w:vAlign w:val="top"/>
          </w:tcPr>
          <w:p w14:paraId="6032E6DF">
            <w:pPr>
              <w:rPr>
                <w:rFonts w:ascii="宋体" w:hAnsi="宋体"/>
                <w:color w:val="auto"/>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24B08675">
            <w:pPr>
              <w:rPr>
                <w:rFonts w:ascii="宋体" w:hAnsi="宋体"/>
                <w:color w:val="auto"/>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D9C7886">
            <w:pPr>
              <w:rPr>
                <w:rFonts w:ascii="宋体" w:hAnsi="宋体"/>
                <w:color w:val="auto"/>
                <w:kern w:val="2"/>
                <w:sz w:val="24"/>
                <w:szCs w:val="24"/>
                <w:highlight w:val="none"/>
              </w:rPr>
            </w:pPr>
          </w:p>
        </w:tc>
        <w:tc>
          <w:tcPr>
            <w:tcW w:w="2141" w:type="dxa"/>
            <w:tcBorders>
              <w:top w:val="single" w:color="auto" w:sz="4" w:space="0"/>
              <w:left w:val="single" w:color="auto" w:sz="4" w:space="0"/>
              <w:bottom w:val="single" w:color="auto" w:sz="4" w:space="0"/>
              <w:right w:val="single" w:color="auto" w:sz="4" w:space="0"/>
            </w:tcBorders>
            <w:noWrap w:val="0"/>
            <w:vAlign w:val="top"/>
          </w:tcPr>
          <w:p w14:paraId="20CAA766">
            <w:pPr>
              <w:rPr>
                <w:rFonts w:ascii="宋体" w:hAnsi="宋体"/>
                <w:color w:val="auto"/>
                <w:kern w:val="2"/>
                <w:sz w:val="24"/>
                <w:szCs w:val="24"/>
                <w:highlight w:val="none"/>
              </w:rPr>
            </w:pPr>
          </w:p>
        </w:tc>
        <w:tc>
          <w:tcPr>
            <w:tcW w:w="1374" w:type="dxa"/>
            <w:tcBorders>
              <w:top w:val="single" w:color="auto" w:sz="4" w:space="0"/>
              <w:left w:val="single" w:color="auto" w:sz="4" w:space="0"/>
              <w:bottom w:val="single" w:color="auto" w:sz="4" w:space="0"/>
              <w:right w:val="single" w:color="auto" w:sz="4" w:space="0"/>
            </w:tcBorders>
            <w:noWrap w:val="0"/>
            <w:vAlign w:val="top"/>
          </w:tcPr>
          <w:p w14:paraId="15081546">
            <w:pPr>
              <w:rPr>
                <w:rFonts w:ascii="宋体" w:hAnsi="宋体"/>
                <w:color w:val="auto"/>
                <w:kern w:val="2"/>
                <w:sz w:val="24"/>
                <w:szCs w:val="24"/>
                <w:highlight w:val="none"/>
              </w:rPr>
            </w:pPr>
          </w:p>
        </w:tc>
      </w:tr>
      <w:tr w14:paraId="2715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2" w:type="dxa"/>
            <w:tcBorders>
              <w:top w:val="single" w:color="auto" w:sz="4" w:space="0"/>
              <w:left w:val="single" w:color="auto" w:sz="4" w:space="0"/>
              <w:bottom w:val="single" w:color="auto" w:sz="4" w:space="0"/>
              <w:right w:val="single" w:color="auto" w:sz="4" w:space="0"/>
            </w:tcBorders>
            <w:noWrap w:val="0"/>
            <w:vAlign w:val="top"/>
          </w:tcPr>
          <w:p w14:paraId="0E89222A">
            <w:pPr>
              <w:rPr>
                <w:rFonts w:ascii="宋体" w:hAnsi="宋体"/>
                <w:color w:val="auto"/>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41074B70">
            <w:pPr>
              <w:rPr>
                <w:rFonts w:ascii="宋体" w:hAnsi="宋体"/>
                <w:color w:val="auto"/>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71B0513">
            <w:pPr>
              <w:rPr>
                <w:rFonts w:ascii="宋体" w:hAnsi="宋体"/>
                <w:color w:val="auto"/>
                <w:kern w:val="2"/>
                <w:sz w:val="24"/>
                <w:szCs w:val="24"/>
                <w:highlight w:val="none"/>
              </w:rPr>
            </w:pPr>
          </w:p>
        </w:tc>
        <w:tc>
          <w:tcPr>
            <w:tcW w:w="2141" w:type="dxa"/>
            <w:tcBorders>
              <w:top w:val="single" w:color="auto" w:sz="4" w:space="0"/>
              <w:left w:val="single" w:color="auto" w:sz="4" w:space="0"/>
              <w:bottom w:val="single" w:color="auto" w:sz="4" w:space="0"/>
              <w:right w:val="single" w:color="auto" w:sz="4" w:space="0"/>
            </w:tcBorders>
            <w:noWrap w:val="0"/>
            <w:vAlign w:val="top"/>
          </w:tcPr>
          <w:p w14:paraId="63E44844">
            <w:pPr>
              <w:rPr>
                <w:rFonts w:ascii="宋体" w:hAnsi="宋体"/>
                <w:color w:val="auto"/>
                <w:kern w:val="2"/>
                <w:sz w:val="24"/>
                <w:szCs w:val="24"/>
                <w:highlight w:val="none"/>
              </w:rPr>
            </w:pPr>
          </w:p>
        </w:tc>
        <w:tc>
          <w:tcPr>
            <w:tcW w:w="1374" w:type="dxa"/>
            <w:tcBorders>
              <w:top w:val="single" w:color="auto" w:sz="4" w:space="0"/>
              <w:left w:val="single" w:color="auto" w:sz="4" w:space="0"/>
              <w:bottom w:val="single" w:color="auto" w:sz="4" w:space="0"/>
              <w:right w:val="single" w:color="auto" w:sz="4" w:space="0"/>
            </w:tcBorders>
            <w:noWrap w:val="0"/>
            <w:vAlign w:val="top"/>
          </w:tcPr>
          <w:p w14:paraId="3FB4DBFF">
            <w:pPr>
              <w:rPr>
                <w:rFonts w:ascii="宋体" w:hAnsi="宋体"/>
                <w:color w:val="auto"/>
                <w:kern w:val="2"/>
                <w:sz w:val="24"/>
                <w:szCs w:val="24"/>
                <w:highlight w:val="none"/>
              </w:rPr>
            </w:pPr>
          </w:p>
        </w:tc>
      </w:tr>
      <w:tr w14:paraId="1084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2" w:type="dxa"/>
            <w:tcBorders>
              <w:top w:val="single" w:color="auto" w:sz="4" w:space="0"/>
              <w:left w:val="single" w:color="auto" w:sz="4" w:space="0"/>
              <w:bottom w:val="single" w:color="auto" w:sz="4" w:space="0"/>
              <w:right w:val="single" w:color="auto" w:sz="4" w:space="0"/>
            </w:tcBorders>
            <w:noWrap w:val="0"/>
            <w:vAlign w:val="top"/>
          </w:tcPr>
          <w:p w14:paraId="1E81CD42">
            <w:pPr>
              <w:rPr>
                <w:rFonts w:ascii="宋体" w:hAnsi="宋体"/>
                <w:color w:val="auto"/>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24530780">
            <w:pPr>
              <w:rPr>
                <w:rFonts w:ascii="宋体" w:hAnsi="宋体"/>
                <w:color w:val="auto"/>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EF09367">
            <w:pPr>
              <w:rPr>
                <w:rFonts w:ascii="宋体" w:hAnsi="宋体"/>
                <w:color w:val="auto"/>
                <w:kern w:val="2"/>
                <w:sz w:val="24"/>
                <w:szCs w:val="24"/>
                <w:highlight w:val="none"/>
              </w:rPr>
            </w:pPr>
          </w:p>
        </w:tc>
        <w:tc>
          <w:tcPr>
            <w:tcW w:w="2141" w:type="dxa"/>
            <w:tcBorders>
              <w:top w:val="single" w:color="auto" w:sz="4" w:space="0"/>
              <w:left w:val="single" w:color="auto" w:sz="4" w:space="0"/>
              <w:bottom w:val="single" w:color="auto" w:sz="4" w:space="0"/>
              <w:right w:val="single" w:color="auto" w:sz="4" w:space="0"/>
            </w:tcBorders>
            <w:noWrap w:val="0"/>
            <w:vAlign w:val="top"/>
          </w:tcPr>
          <w:p w14:paraId="44953F60">
            <w:pPr>
              <w:rPr>
                <w:rFonts w:ascii="宋体" w:hAnsi="宋体"/>
                <w:color w:val="auto"/>
                <w:kern w:val="2"/>
                <w:sz w:val="24"/>
                <w:szCs w:val="24"/>
                <w:highlight w:val="none"/>
              </w:rPr>
            </w:pPr>
          </w:p>
        </w:tc>
        <w:tc>
          <w:tcPr>
            <w:tcW w:w="1374" w:type="dxa"/>
            <w:tcBorders>
              <w:top w:val="single" w:color="auto" w:sz="4" w:space="0"/>
              <w:left w:val="single" w:color="auto" w:sz="4" w:space="0"/>
              <w:bottom w:val="single" w:color="auto" w:sz="4" w:space="0"/>
              <w:right w:val="single" w:color="auto" w:sz="4" w:space="0"/>
            </w:tcBorders>
            <w:noWrap w:val="0"/>
            <w:vAlign w:val="top"/>
          </w:tcPr>
          <w:p w14:paraId="7F4F5741">
            <w:pPr>
              <w:rPr>
                <w:rFonts w:ascii="宋体" w:hAnsi="宋体"/>
                <w:color w:val="auto"/>
                <w:kern w:val="2"/>
                <w:sz w:val="24"/>
                <w:szCs w:val="24"/>
                <w:highlight w:val="none"/>
              </w:rPr>
            </w:pPr>
          </w:p>
        </w:tc>
      </w:tr>
      <w:tr w14:paraId="67F8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2" w:type="dxa"/>
            <w:tcBorders>
              <w:top w:val="single" w:color="auto" w:sz="4" w:space="0"/>
              <w:left w:val="single" w:color="auto" w:sz="4" w:space="0"/>
              <w:bottom w:val="single" w:color="auto" w:sz="4" w:space="0"/>
              <w:right w:val="single" w:color="auto" w:sz="4" w:space="0"/>
            </w:tcBorders>
            <w:noWrap w:val="0"/>
            <w:vAlign w:val="top"/>
          </w:tcPr>
          <w:p w14:paraId="50822D90">
            <w:pPr>
              <w:rPr>
                <w:rFonts w:ascii="宋体" w:hAnsi="宋体"/>
                <w:color w:val="auto"/>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0C377459">
            <w:pPr>
              <w:rPr>
                <w:rFonts w:ascii="宋体" w:hAnsi="宋体"/>
                <w:color w:val="auto"/>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B5AFC90">
            <w:pPr>
              <w:rPr>
                <w:rFonts w:ascii="宋体" w:hAnsi="宋体"/>
                <w:color w:val="auto"/>
                <w:kern w:val="2"/>
                <w:sz w:val="24"/>
                <w:szCs w:val="24"/>
                <w:highlight w:val="none"/>
              </w:rPr>
            </w:pPr>
          </w:p>
        </w:tc>
        <w:tc>
          <w:tcPr>
            <w:tcW w:w="2141" w:type="dxa"/>
            <w:tcBorders>
              <w:top w:val="single" w:color="auto" w:sz="4" w:space="0"/>
              <w:left w:val="single" w:color="auto" w:sz="4" w:space="0"/>
              <w:bottom w:val="single" w:color="auto" w:sz="4" w:space="0"/>
              <w:right w:val="single" w:color="auto" w:sz="4" w:space="0"/>
            </w:tcBorders>
            <w:noWrap w:val="0"/>
            <w:vAlign w:val="top"/>
          </w:tcPr>
          <w:p w14:paraId="20B7DF4C">
            <w:pPr>
              <w:rPr>
                <w:rFonts w:ascii="宋体" w:hAnsi="宋体"/>
                <w:color w:val="auto"/>
                <w:kern w:val="2"/>
                <w:sz w:val="24"/>
                <w:szCs w:val="24"/>
                <w:highlight w:val="none"/>
              </w:rPr>
            </w:pPr>
          </w:p>
        </w:tc>
        <w:tc>
          <w:tcPr>
            <w:tcW w:w="1374" w:type="dxa"/>
            <w:tcBorders>
              <w:top w:val="single" w:color="auto" w:sz="4" w:space="0"/>
              <w:left w:val="single" w:color="auto" w:sz="4" w:space="0"/>
              <w:bottom w:val="single" w:color="auto" w:sz="4" w:space="0"/>
              <w:right w:val="single" w:color="auto" w:sz="4" w:space="0"/>
            </w:tcBorders>
            <w:noWrap w:val="0"/>
            <w:vAlign w:val="top"/>
          </w:tcPr>
          <w:p w14:paraId="6E4E086A">
            <w:pPr>
              <w:rPr>
                <w:rFonts w:ascii="宋体" w:hAnsi="宋体"/>
                <w:color w:val="auto"/>
                <w:kern w:val="2"/>
                <w:sz w:val="24"/>
                <w:szCs w:val="24"/>
                <w:highlight w:val="none"/>
              </w:rPr>
            </w:pPr>
          </w:p>
        </w:tc>
      </w:tr>
      <w:tr w14:paraId="7B6E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2" w:type="dxa"/>
            <w:tcBorders>
              <w:top w:val="single" w:color="auto" w:sz="4" w:space="0"/>
              <w:left w:val="single" w:color="auto" w:sz="4" w:space="0"/>
              <w:bottom w:val="single" w:color="auto" w:sz="4" w:space="0"/>
              <w:right w:val="single" w:color="auto" w:sz="4" w:space="0"/>
            </w:tcBorders>
            <w:noWrap w:val="0"/>
            <w:vAlign w:val="top"/>
          </w:tcPr>
          <w:p w14:paraId="100359EA">
            <w:pPr>
              <w:rPr>
                <w:rFonts w:ascii="宋体" w:hAnsi="宋体"/>
                <w:color w:val="auto"/>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6E610476">
            <w:pPr>
              <w:rPr>
                <w:rFonts w:ascii="宋体" w:hAnsi="宋体"/>
                <w:color w:val="auto"/>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A264DE7">
            <w:pPr>
              <w:rPr>
                <w:rFonts w:ascii="宋体" w:hAnsi="宋体"/>
                <w:color w:val="auto"/>
                <w:kern w:val="2"/>
                <w:sz w:val="24"/>
                <w:szCs w:val="24"/>
                <w:highlight w:val="none"/>
              </w:rPr>
            </w:pPr>
          </w:p>
        </w:tc>
        <w:tc>
          <w:tcPr>
            <w:tcW w:w="2141" w:type="dxa"/>
            <w:tcBorders>
              <w:top w:val="single" w:color="auto" w:sz="4" w:space="0"/>
              <w:left w:val="single" w:color="auto" w:sz="4" w:space="0"/>
              <w:bottom w:val="single" w:color="auto" w:sz="4" w:space="0"/>
              <w:right w:val="single" w:color="auto" w:sz="4" w:space="0"/>
            </w:tcBorders>
            <w:noWrap w:val="0"/>
            <w:vAlign w:val="top"/>
          </w:tcPr>
          <w:p w14:paraId="1EF6A7D5">
            <w:pPr>
              <w:rPr>
                <w:rFonts w:ascii="宋体" w:hAnsi="宋体"/>
                <w:color w:val="auto"/>
                <w:kern w:val="2"/>
                <w:sz w:val="24"/>
                <w:szCs w:val="24"/>
                <w:highlight w:val="none"/>
              </w:rPr>
            </w:pPr>
          </w:p>
        </w:tc>
        <w:tc>
          <w:tcPr>
            <w:tcW w:w="1374" w:type="dxa"/>
            <w:tcBorders>
              <w:top w:val="single" w:color="auto" w:sz="4" w:space="0"/>
              <w:left w:val="single" w:color="auto" w:sz="4" w:space="0"/>
              <w:bottom w:val="single" w:color="auto" w:sz="4" w:space="0"/>
              <w:right w:val="single" w:color="auto" w:sz="4" w:space="0"/>
            </w:tcBorders>
            <w:noWrap w:val="0"/>
            <w:vAlign w:val="top"/>
          </w:tcPr>
          <w:p w14:paraId="3366055A">
            <w:pPr>
              <w:rPr>
                <w:rFonts w:ascii="宋体" w:hAnsi="宋体"/>
                <w:color w:val="auto"/>
                <w:kern w:val="2"/>
                <w:sz w:val="24"/>
                <w:szCs w:val="24"/>
                <w:highlight w:val="none"/>
              </w:rPr>
            </w:pPr>
          </w:p>
        </w:tc>
      </w:tr>
      <w:tr w14:paraId="7EF2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2" w:type="dxa"/>
            <w:tcBorders>
              <w:top w:val="single" w:color="auto" w:sz="4" w:space="0"/>
              <w:left w:val="single" w:color="auto" w:sz="4" w:space="0"/>
              <w:bottom w:val="single" w:color="auto" w:sz="4" w:space="0"/>
              <w:right w:val="single" w:color="auto" w:sz="4" w:space="0"/>
            </w:tcBorders>
            <w:noWrap w:val="0"/>
            <w:vAlign w:val="top"/>
          </w:tcPr>
          <w:p w14:paraId="37A34F3C">
            <w:pPr>
              <w:rPr>
                <w:rFonts w:ascii="宋体" w:hAnsi="宋体"/>
                <w:color w:val="auto"/>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0420A310">
            <w:pPr>
              <w:rPr>
                <w:rFonts w:ascii="宋体" w:hAnsi="宋体"/>
                <w:color w:val="auto"/>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FCA6CA4">
            <w:pPr>
              <w:rPr>
                <w:rFonts w:ascii="宋体" w:hAnsi="宋体"/>
                <w:color w:val="auto"/>
                <w:kern w:val="2"/>
                <w:sz w:val="24"/>
                <w:szCs w:val="24"/>
                <w:highlight w:val="none"/>
              </w:rPr>
            </w:pPr>
          </w:p>
        </w:tc>
        <w:tc>
          <w:tcPr>
            <w:tcW w:w="2141" w:type="dxa"/>
            <w:tcBorders>
              <w:top w:val="single" w:color="auto" w:sz="4" w:space="0"/>
              <w:left w:val="single" w:color="auto" w:sz="4" w:space="0"/>
              <w:bottom w:val="single" w:color="auto" w:sz="4" w:space="0"/>
              <w:right w:val="single" w:color="auto" w:sz="4" w:space="0"/>
            </w:tcBorders>
            <w:noWrap w:val="0"/>
            <w:vAlign w:val="top"/>
          </w:tcPr>
          <w:p w14:paraId="51B0FBF9">
            <w:pPr>
              <w:rPr>
                <w:rFonts w:ascii="宋体" w:hAnsi="宋体"/>
                <w:color w:val="auto"/>
                <w:kern w:val="2"/>
                <w:sz w:val="24"/>
                <w:szCs w:val="24"/>
                <w:highlight w:val="none"/>
              </w:rPr>
            </w:pPr>
          </w:p>
        </w:tc>
        <w:tc>
          <w:tcPr>
            <w:tcW w:w="1374" w:type="dxa"/>
            <w:tcBorders>
              <w:top w:val="single" w:color="auto" w:sz="4" w:space="0"/>
              <w:left w:val="single" w:color="auto" w:sz="4" w:space="0"/>
              <w:bottom w:val="single" w:color="auto" w:sz="4" w:space="0"/>
              <w:right w:val="single" w:color="auto" w:sz="4" w:space="0"/>
            </w:tcBorders>
            <w:noWrap w:val="0"/>
            <w:vAlign w:val="top"/>
          </w:tcPr>
          <w:p w14:paraId="01DE3ABA">
            <w:pPr>
              <w:rPr>
                <w:rFonts w:ascii="宋体" w:hAnsi="宋体"/>
                <w:color w:val="auto"/>
                <w:kern w:val="2"/>
                <w:sz w:val="24"/>
                <w:szCs w:val="24"/>
                <w:highlight w:val="none"/>
              </w:rPr>
            </w:pPr>
          </w:p>
        </w:tc>
      </w:tr>
      <w:tr w14:paraId="5A21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2" w:type="dxa"/>
            <w:tcBorders>
              <w:top w:val="single" w:color="auto" w:sz="4" w:space="0"/>
              <w:left w:val="single" w:color="auto" w:sz="4" w:space="0"/>
              <w:bottom w:val="single" w:color="auto" w:sz="4" w:space="0"/>
              <w:right w:val="single" w:color="auto" w:sz="4" w:space="0"/>
            </w:tcBorders>
            <w:noWrap w:val="0"/>
            <w:vAlign w:val="top"/>
          </w:tcPr>
          <w:p w14:paraId="7821D375">
            <w:pPr>
              <w:rPr>
                <w:rFonts w:ascii="宋体" w:hAnsi="宋体"/>
                <w:color w:val="auto"/>
                <w:kern w:val="2"/>
                <w:sz w:val="24"/>
                <w:szCs w:val="24"/>
                <w:highlight w:val="none"/>
              </w:rPr>
            </w:pPr>
            <w:r>
              <w:rPr>
                <w:rFonts w:hint="eastAsia" w:ascii="宋体" w:hAnsi="宋体"/>
                <w:color w:val="auto"/>
                <w:kern w:val="2"/>
                <w:sz w:val="24"/>
                <w:szCs w:val="24"/>
                <w:highlight w:val="none"/>
              </w:rPr>
              <w:t>……</w:t>
            </w:r>
          </w:p>
        </w:tc>
        <w:tc>
          <w:tcPr>
            <w:tcW w:w="1417" w:type="dxa"/>
            <w:tcBorders>
              <w:top w:val="single" w:color="auto" w:sz="4" w:space="0"/>
              <w:left w:val="single" w:color="auto" w:sz="4" w:space="0"/>
              <w:bottom w:val="single" w:color="auto" w:sz="4" w:space="0"/>
              <w:right w:val="single" w:color="auto" w:sz="4" w:space="0"/>
            </w:tcBorders>
            <w:noWrap w:val="0"/>
            <w:vAlign w:val="top"/>
          </w:tcPr>
          <w:p w14:paraId="2B060494">
            <w:pPr>
              <w:rPr>
                <w:rFonts w:ascii="宋体" w:hAnsi="宋体"/>
                <w:color w:val="auto"/>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6BA9CA3">
            <w:pPr>
              <w:rPr>
                <w:rFonts w:ascii="宋体" w:hAnsi="宋体"/>
                <w:color w:val="auto"/>
                <w:kern w:val="2"/>
                <w:sz w:val="24"/>
                <w:szCs w:val="24"/>
                <w:highlight w:val="none"/>
              </w:rPr>
            </w:pPr>
          </w:p>
        </w:tc>
        <w:tc>
          <w:tcPr>
            <w:tcW w:w="2141" w:type="dxa"/>
            <w:tcBorders>
              <w:top w:val="single" w:color="auto" w:sz="4" w:space="0"/>
              <w:left w:val="single" w:color="auto" w:sz="4" w:space="0"/>
              <w:bottom w:val="single" w:color="auto" w:sz="4" w:space="0"/>
              <w:right w:val="single" w:color="auto" w:sz="4" w:space="0"/>
            </w:tcBorders>
            <w:noWrap w:val="0"/>
            <w:vAlign w:val="top"/>
          </w:tcPr>
          <w:p w14:paraId="7CF9A4FB">
            <w:pPr>
              <w:rPr>
                <w:rFonts w:ascii="宋体" w:hAnsi="宋体"/>
                <w:color w:val="auto"/>
                <w:kern w:val="2"/>
                <w:sz w:val="24"/>
                <w:szCs w:val="24"/>
                <w:highlight w:val="none"/>
              </w:rPr>
            </w:pPr>
          </w:p>
        </w:tc>
        <w:tc>
          <w:tcPr>
            <w:tcW w:w="1374" w:type="dxa"/>
            <w:tcBorders>
              <w:top w:val="single" w:color="auto" w:sz="4" w:space="0"/>
              <w:left w:val="single" w:color="auto" w:sz="4" w:space="0"/>
              <w:bottom w:val="single" w:color="auto" w:sz="4" w:space="0"/>
              <w:right w:val="single" w:color="auto" w:sz="4" w:space="0"/>
            </w:tcBorders>
            <w:noWrap w:val="0"/>
            <w:vAlign w:val="top"/>
          </w:tcPr>
          <w:p w14:paraId="6C05703D">
            <w:pPr>
              <w:rPr>
                <w:rFonts w:ascii="宋体" w:hAnsi="宋体"/>
                <w:color w:val="auto"/>
                <w:kern w:val="2"/>
                <w:sz w:val="24"/>
                <w:szCs w:val="24"/>
                <w:highlight w:val="none"/>
              </w:rPr>
            </w:pPr>
          </w:p>
        </w:tc>
      </w:tr>
    </w:tbl>
    <w:p w14:paraId="60B5373D">
      <w:pPr>
        <w:rPr>
          <w:rFonts w:hint="eastAsia" w:ascii="宋体" w:hAnsi="宋体"/>
          <w:bCs/>
          <w:color w:val="auto"/>
          <w:kern w:val="2"/>
          <w:sz w:val="24"/>
          <w:szCs w:val="24"/>
          <w:highlight w:val="none"/>
        </w:rPr>
      </w:pPr>
      <w:r>
        <w:rPr>
          <w:rFonts w:hint="eastAsia" w:ascii="宋体" w:hAnsi="宋体"/>
          <w:bCs/>
          <w:color w:val="auto"/>
          <w:kern w:val="2"/>
          <w:sz w:val="24"/>
          <w:szCs w:val="24"/>
          <w:highlight w:val="none"/>
        </w:rPr>
        <w:t xml:space="preserve"> </w:t>
      </w:r>
    </w:p>
    <w:p w14:paraId="0F12CD3F">
      <w:pPr>
        <w:spacing w:before="100" w:beforeAutospacing="1" w:after="120"/>
        <w:ind w:left="420" w:leftChars="200"/>
        <w:rPr>
          <w:rFonts w:hint="eastAsia" w:ascii="宋体" w:hAnsi="宋体"/>
          <w:color w:val="auto"/>
          <w:kern w:val="2"/>
          <w:sz w:val="24"/>
          <w:szCs w:val="24"/>
          <w:highlight w:val="none"/>
        </w:rPr>
      </w:pPr>
      <w:r>
        <w:rPr>
          <w:rFonts w:hint="eastAsia" w:ascii="宋体" w:hAnsi="宋体"/>
          <w:color w:val="auto"/>
          <w:kern w:val="2"/>
          <w:sz w:val="24"/>
          <w:szCs w:val="24"/>
          <w:highlight w:val="none"/>
        </w:rPr>
        <w:t xml:space="preserve"> </w:t>
      </w:r>
    </w:p>
    <w:p w14:paraId="106BE779">
      <w:pPr>
        <w:rPr>
          <w:rFonts w:hint="eastAsia" w:ascii="宋体" w:hAnsi="宋体"/>
          <w:color w:val="auto"/>
          <w:kern w:val="2"/>
          <w:sz w:val="24"/>
          <w:szCs w:val="24"/>
          <w:highlight w:val="none"/>
        </w:rPr>
      </w:pPr>
      <w:r>
        <w:rPr>
          <w:rFonts w:hint="eastAsia" w:ascii="宋体" w:hAnsi="宋体"/>
          <w:color w:val="auto"/>
          <w:kern w:val="2"/>
          <w:sz w:val="24"/>
          <w:szCs w:val="24"/>
          <w:highlight w:val="none"/>
        </w:rPr>
        <w:t xml:space="preserve"> </w:t>
      </w:r>
    </w:p>
    <w:p w14:paraId="3FF45254">
      <w:pP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599E7DCF">
      <w:pP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（签字或个人CA签章）</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76819553">
      <w:pP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5AED6E2A">
      <w:pPr>
        <w:spacing w:line="360" w:lineRule="exact"/>
        <w:rPr>
          <w:rFonts w:ascii="宋体" w:hAnsi="宋体" w:cs="Courier New"/>
          <w:color w:val="auto"/>
          <w:kern w:val="1"/>
          <w:szCs w:val="21"/>
          <w:highlight w:val="none"/>
        </w:rPr>
      </w:pPr>
    </w:p>
    <w:p w14:paraId="305DFC52">
      <w:pPr>
        <w:spacing w:line="300" w:lineRule="auto"/>
        <w:rPr>
          <w:rFonts w:ascii="宋体" w:hAnsi="宋体" w:cs="宋体"/>
          <w:b/>
          <w:color w:val="auto"/>
          <w:kern w:val="1"/>
          <w:szCs w:val="21"/>
          <w:highlight w:val="none"/>
        </w:rPr>
        <w:sectPr>
          <w:pgSz w:w="11906" w:h="16838"/>
          <w:pgMar w:top="1417" w:right="1417" w:bottom="1417" w:left="1417" w:header="851" w:footer="992" w:gutter="0"/>
          <w:pgNumType w:fmt="decimal"/>
          <w:cols w:space="720" w:num="1"/>
          <w:titlePg/>
          <w:rtlGutter w:val="0"/>
        </w:sectPr>
      </w:pPr>
    </w:p>
    <w:p w14:paraId="61F9BF90">
      <w:pPr>
        <w:pStyle w:val="393"/>
        <w:ind w:firstLine="0" w:firstLineChars="0"/>
        <w:jc w:val="center"/>
        <w:outlineLvl w:val="0"/>
        <w:rPr>
          <w:rFonts w:hint="eastAsia" w:cs="仿宋_GB2312" w:asciiTheme="minorEastAsia" w:hAnsiTheme="minorEastAsia" w:eastAsiaTheme="minorEastAsia"/>
          <w:b/>
          <w:color w:val="auto"/>
          <w:sz w:val="36"/>
          <w:szCs w:val="36"/>
          <w:highlight w:val="none"/>
        </w:rPr>
      </w:pPr>
      <w:bookmarkStart w:id="69" w:name="_Toc6047"/>
      <w:r>
        <w:rPr>
          <w:rFonts w:hint="eastAsia" w:cs="仿宋_GB2312" w:asciiTheme="minorEastAsia" w:hAnsiTheme="minorEastAsia" w:eastAsiaTheme="minorEastAsia"/>
          <w:b/>
          <w:color w:val="auto"/>
          <w:sz w:val="36"/>
          <w:szCs w:val="36"/>
          <w:highlight w:val="none"/>
        </w:rPr>
        <w:t xml:space="preserve">第八部分  </w:t>
      </w:r>
      <w:r>
        <w:rPr>
          <w:rFonts w:hint="eastAsia" w:cs="仿宋_GB2312" w:asciiTheme="minorEastAsia" w:hAnsiTheme="minorEastAsia" w:eastAsiaTheme="minorEastAsia"/>
          <w:b/>
          <w:color w:val="auto"/>
          <w:sz w:val="36"/>
          <w:szCs w:val="36"/>
          <w:highlight w:val="none"/>
          <w:lang w:val="en-US" w:eastAsia="zh-CN"/>
        </w:rPr>
        <w:t>最后</w:t>
      </w:r>
      <w:r>
        <w:rPr>
          <w:rFonts w:hint="eastAsia" w:cs="仿宋_GB2312" w:asciiTheme="minorEastAsia" w:hAnsiTheme="minorEastAsia" w:eastAsiaTheme="minorEastAsia"/>
          <w:b/>
          <w:color w:val="auto"/>
          <w:sz w:val="36"/>
          <w:szCs w:val="36"/>
          <w:highlight w:val="none"/>
        </w:rPr>
        <w:t>报价格式</w:t>
      </w:r>
      <w:bookmarkEnd w:id="69"/>
    </w:p>
    <w:p w14:paraId="5B7F2049">
      <w:pPr>
        <w:pStyle w:val="633"/>
        <w:jc w:val="center"/>
        <w:rPr>
          <w:rFonts w:hint="eastAsia"/>
          <w:b/>
          <w:color w:val="auto"/>
          <w:sz w:val="32"/>
          <w:szCs w:val="32"/>
          <w:highlight w:val="none"/>
        </w:rPr>
      </w:pPr>
      <w:r>
        <w:rPr>
          <w:rFonts w:hint="eastAsia"/>
          <w:b/>
          <w:color w:val="auto"/>
          <w:sz w:val="32"/>
          <w:szCs w:val="32"/>
          <w:highlight w:val="none"/>
        </w:rPr>
        <w:t>（一）报价一览表</w:t>
      </w:r>
    </w:p>
    <w:p w14:paraId="68753EFF">
      <w:pPr>
        <w:autoSpaceDE w:val="0"/>
        <w:autoSpaceDN w:val="0"/>
        <w:spacing w:line="360" w:lineRule="auto"/>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（采购人）、（采购代理机构）</w:t>
      </w:r>
      <w:r>
        <w:rPr>
          <w:rFonts w:hint="eastAsia" w:cs="仿宋_GB2312" w:asciiTheme="minorEastAsia" w:hAnsiTheme="minorEastAsia" w:eastAsiaTheme="minorEastAsia"/>
          <w:color w:val="auto"/>
          <w:kern w:val="0"/>
          <w:sz w:val="24"/>
          <w:highlight w:val="none"/>
          <w:lang w:val="zh-CN"/>
        </w:rPr>
        <w:t>：</w:t>
      </w:r>
    </w:p>
    <w:p w14:paraId="75C5B818">
      <w:pPr>
        <w:spacing w:line="360" w:lineRule="auto"/>
        <w:ind w:firstLine="72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按你方磋商文件要求，</w:t>
      </w:r>
      <w:r>
        <w:rPr>
          <w:rFonts w:hint="eastAsia" w:cs="仿宋_GB2312" w:asciiTheme="minorEastAsia" w:hAnsiTheme="minorEastAsia" w:eastAsiaTheme="minorEastAsia"/>
          <w:color w:val="auto"/>
          <w:sz w:val="24"/>
          <w:highlight w:val="none"/>
        </w:rPr>
        <w:t>我们即</w:t>
      </w:r>
      <w:r>
        <w:rPr>
          <w:rFonts w:hint="eastAsia" w:cs="仿宋_GB2312" w:asciiTheme="minorEastAsia" w:hAnsiTheme="minorEastAsia" w:eastAsiaTheme="minorEastAsia"/>
          <w:color w:val="auto"/>
          <w:kern w:val="0"/>
          <w:sz w:val="24"/>
          <w:highlight w:val="none"/>
          <w:lang w:val="zh-CN"/>
        </w:rPr>
        <w:t>本响应文件签字方，谨此向你方发出要约如下：如你方接受本响应，我方承诺按照如下最后报价一览表的价格完成</w:t>
      </w:r>
      <w:r>
        <w:rPr>
          <w:rFonts w:hint="eastAsia" w:ascii="宋体" w:hAnsi="宋体" w:cs="宋体"/>
          <w:b/>
          <w:bCs/>
          <w:color w:val="auto"/>
          <w:kern w:val="0"/>
          <w:sz w:val="24"/>
          <w:szCs w:val="24"/>
          <w:highlight w:val="none"/>
          <w:u w:val="none"/>
          <w:lang w:eastAsia="zh-CN"/>
        </w:rPr>
        <w:t>2026年度执法船艇维修保养项目（</w:t>
      </w:r>
      <w:r>
        <w:rPr>
          <w:rFonts w:hint="eastAsia" w:cs="仿宋_GB2312" w:asciiTheme="minorEastAsia" w:hAnsiTheme="minorEastAsia" w:eastAsiaTheme="minorEastAsia"/>
          <w:b/>
          <w:bCs/>
          <w:color w:val="auto"/>
          <w:sz w:val="24"/>
          <w:highlight w:val="none"/>
          <w:lang w:eastAsia="zh-CN"/>
        </w:rPr>
        <w:t>项目编号：BHZC2026-C3-990250-BBWH）</w:t>
      </w:r>
      <w:r>
        <w:rPr>
          <w:rFonts w:hint="eastAsia" w:cs="仿宋_GB2312" w:asciiTheme="minorEastAsia" w:hAnsiTheme="minorEastAsia" w:eastAsiaTheme="minorEastAsia"/>
          <w:color w:val="auto"/>
          <w:kern w:val="0"/>
          <w:sz w:val="24"/>
          <w:highlight w:val="none"/>
          <w:lang w:val="zh-CN"/>
        </w:rPr>
        <w:t>的实施。</w:t>
      </w:r>
    </w:p>
    <w:p w14:paraId="12FE29D0">
      <w:pPr>
        <w:snapToGrid w:val="0"/>
        <w:spacing w:line="360" w:lineRule="auto"/>
        <w:ind w:left="480"/>
        <w:jc w:val="center"/>
        <w:rPr>
          <w:rFonts w:hint="eastAsia" w:cs="仿宋_GB2312" w:asciiTheme="minorEastAsia" w:hAnsiTheme="minorEastAsia" w:eastAsiaTheme="minorEastAsia"/>
          <w:b/>
          <w:color w:val="auto"/>
          <w:kern w:val="0"/>
          <w:sz w:val="24"/>
          <w:highlight w:val="none"/>
          <w:lang w:val="zh-CN"/>
        </w:rPr>
      </w:pPr>
      <w:r>
        <w:rPr>
          <w:rFonts w:hint="eastAsia" w:cs="仿宋_GB2312" w:asciiTheme="minorEastAsia" w:hAnsiTheme="minorEastAsia" w:eastAsiaTheme="minorEastAsia"/>
          <w:b/>
          <w:color w:val="auto"/>
          <w:kern w:val="0"/>
          <w:sz w:val="24"/>
          <w:highlight w:val="none"/>
          <w:lang w:val="zh-CN"/>
        </w:rPr>
        <w:t>报价一览表</w:t>
      </w:r>
    </w:p>
    <w:tbl>
      <w:tblPr>
        <w:tblStyle w:val="61"/>
        <w:tblW w:w="8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3499"/>
        <w:gridCol w:w="2983"/>
        <w:gridCol w:w="1106"/>
      </w:tblGrid>
      <w:tr w14:paraId="56A8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03" w:type="dxa"/>
            <w:noWrap w:val="0"/>
            <w:vAlign w:val="center"/>
          </w:tcPr>
          <w:p w14:paraId="07533FB3">
            <w:pPr>
              <w:widowControl/>
              <w:kinsoku/>
              <w:wordWrap/>
              <w:topLinePunct w:val="0"/>
              <w:bidi w:val="0"/>
              <w:spacing w:beforeAutospacing="0" w:line="40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kern w:val="0"/>
                <w:sz w:val="24"/>
                <w:szCs w:val="24"/>
                <w:highlight w:val="none"/>
                <w:lang w:eastAsia="zh-CN"/>
              </w:rPr>
              <w:t>序号</w:t>
            </w:r>
          </w:p>
        </w:tc>
        <w:tc>
          <w:tcPr>
            <w:tcW w:w="3499" w:type="dxa"/>
            <w:noWrap w:val="0"/>
            <w:vAlign w:val="center"/>
          </w:tcPr>
          <w:p w14:paraId="4E4A87E9">
            <w:pPr>
              <w:widowControl/>
              <w:kinsoku/>
              <w:wordWrap/>
              <w:topLinePunct w:val="0"/>
              <w:bidi w:val="0"/>
              <w:spacing w:line="4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rPr>
              <w:t>服务</w:t>
            </w:r>
            <w:r>
              <w:rPr>
                <w:rFonts w:hint="eastAsia" w:ascii="宋体" w:hAnsi="宋体" w:eastAsia="宋体" w:cs="宋体"/>
                <w:b/>
                <w:bCs/>
                <w:color w:val="auto"/>
                <w:kern w:val="0"/>
                <w:sz w:val="24"/>
                <w:szCs w:val="24"/>
                <w:highlight w:val="none"/>
                <w:lang w:val="en-US" w:eastAsia="zh-CN"/>
              </w:rPr>
              <w:t>内容</w:t>
            </w:r>
          </w:p>
        </w:tc>
        <w:tc>
          <w:tcPr>
            <w:tcW w:w="2983" w:type="dxa"/>
            <w:noWrap w:val="0"/>
            <w:vAlign w:val="center"/>
          </w:tcPr>
          <w:p w14:paraId="1E6ADFE9">
            <w:pPr>
              <w:widowControl/>
              <w:kinsoku/>
              <w:wordWrap/>
              <w:topLinePunct w:val="0"/>
              <w:bidi w:val="0"/>
              <w:spacing w:line="400" w:lineRule="exact"/>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折扣率（%）</w:t>
            </w:r>
          </w:p>
        </w:tc>
        <w:tc>
          <w:tcPr>
            <w:tcW w:w="1106" w:type="dxa"/>
            <w:noWrap w:val="0"/>
            <w:vAlign w:val="center"/>
          </w:tcPr>
          <w:p w14:paraId="26C2055C">
            <w:pPr>
              <w:widowControl/>
              <w:kinsoku/>
              <w:wordWrap/>
              <w:topLinePunct w:val="0"/>
              <w:bidi w:val="0"/>
              <w:spacing w:line="400" w:lineRule="exact"/>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备注</w:t>
            </w:r>
          </w:p>
        </w:tc>
      </w:tr>
      <w:tr w14:paraId="135F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03" w:type="dxa"/>
            <w:noWrap w:val="0"/>
            <w:vAlign w:val="center"/>
          </w:tcPr>
          <w:p w14:paraId="37BDE60C">
            <w:pPr>
              <w:widowControl/>
              <w:kinsoku/>
              <w:wordWrap/>
              <w:topLinePunct w:val="0"/>
              <w:bidi w:val="0"/>
              <w:spacing w:beforeAutospacing="0" w:line="400" w:lineRule="exact"/>
              <w:jc w:val="center"/>
              <w:textAlignment w:val="auto"/>
              <w:rPr>
                <w:rFonts w:hint="eastAsia" w:ascii="宋体" w:hAnsi="宋体" w:eastAsia="宋体" w:cs="宋体"/>
                <w:b/>
                <w:bCs/>
                <w:color w:val="auto"/>
                <w:kern w:val="0"/>
                <w:sz w:val="24"/>
                <w:szCs w:val="24"/>
                <w:highlight w:val="none"/>
                <w:lang w:eastAsia="zh-CN"/>
              </w:rPr>
            </w:pPr>
          </w:p>
        </w:tc>
        <w:tc>
          <w:tcPr>
            <w:tcW w:w="3499" w:type="dxa"/>
            <w:noWrap w:val="0"/>
            <w:vAlign w:val="center"/>
          </w:tcPr>
          <w:p w14:paraId="69049915">
            <w:pPr>
              <w:widowControl/>
              <w:kinsoku/>
              <w:wordWrap/>
              <w:topLinePunct w:val="0"/>
              <w:bidi w:val="0"/>
              <w:spacing w:line="400" w:lineRule="exact"/>
              <w:jc w:val="center"/>
              <w:textAlignment w:val="auto"/>
              <w:rPr>
                <w:rFonts w:hint="eastAsia" w:ascii="宋体" w:hAnsi="宋体" w:eastAsia="宋体" w:cs="宋体"/>
                <w:b/>
                <w:bCs/>
                <w:color w:val="auto"/>
                <w:kern w:val="0"/>
                <w:sz w:val="24"/>
                <w:szCs w:val="24"/>
                <w:highlight w:val="none"/>
              </w:rPr>
            </w:pPr>
          </w:p>
        </w:tc>
        <w:tc>
          <w:tcPr>
            <w:tcW w:w="2983" w:type="dxa"/>
            <w:noWrap w:val="0"/>
            <w:vAlign w:val="center"/>
          </w:tcPr>
          <w:p w14:paraId="26434B6D">
            <w:pPr>
              <w:widowControl/>
              <w:kinsoku/>
              <w:wordWrap/>
              <w:topLinePunct w:val="0"/>
              <w:bidi w:val="0"/>
              <w:spacing w:line="400" w:lineRule="exact"/>
              <w:jc w:val="center"/>
              <w:textAlignment w:val="auto"/>
              <w:rPr>
                <w:rFonts w:hint="eastAsia" w:ascii="宋体" w:hAnsi="宋体" w:cs="宋体"/>
                <w:b/>
                <w:bCs/>
                <w:color w:val="auto"/>
                <w:kern w:val="0"/>
                <w:sz w:val="24"/>
                <w:szCs w:val="24"/>
                <w:highlight w:val="none"/>
                <w:lang w:val="en-US" w:eastAsia="zh-CN"/>
              </w:rPr>
            </w:pPr>
          </w:p>
        </w:tc>
        <w:tc>
          <w:tcPr>
            <w:tcW w:w="1106" w:type="dxa"/>
            <w:noWrap w:val="0"/>
            <w:vAlign w:val="center"/>
          </w:tcPr>
          <w:p w14:paraId="218D8E1C">
            <w:pPr>
              <w:widowControl/>
              <w:kinsoku/>
              <w:wordWrap/>
              <w:topLinePunct w:val="0"/>
              <w:bidi w:val="0"/>
              <w:spacing w:line="400" w:lineRule="exact"/>
              <w:jc w:val="center"/>
              <w:textAlignment w:val="auto"/>
              <w:rPr>
                <w:rFonts w:hint="eastAsia" w:ascii="宋体" w:hAnsi="宋体" w:eastAsia="宋体" w:cs="宋体"/>
                <w:b/>
                <w:bCs/>
                <w:color w:val="auto"/>
                <w:kern w:val="0"/>
                <w:sz w:val="24"/>
                <w:szCs w:val="24"/>
                <w:highlight w:val="none"/>
                <w:lang w:val="en-US" w:eastAsia="zh-CN"/>
              </w:rPr>
            </w:pPr>
          </w:p>
        </w:tc>
      </w:tr>
      <w:tr w14:paraId="24FC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391" w:type="dxa"/>
            <w:gridSpan w:val="4"/>
            <w:noWrap w:val="0"/>
            <w:vAlign w:val="center"/>
          </w:tcPr>
          <w:p w14:paraId="5D769068">
            <w:pPr>
              <w:kinsoku/>
              <w:wordWrap/>
              <w:topLinePunct w:val="0"/>
              <w:bidi w:val="0"/>
              <w:spacing w:line="400" w:lineRule="exac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合计：（大写）                       （小写）          </w:t>
            </w:r>
          </w:p>
        </w:tc>
      </w:tr>
    </w:tbl>
    <w:p w14:paraId="32070C9F">
      <w:pPr>
        <w:snapToGrid w:val="0"/>
        <w:spacing w:line="360" w:lineRule="auto"/>
        <w:ind w:left="480"/>
        <w:jc w:val="center"/>
        <w:rPr>
          <w:rFonts w:hint="eastAsia" w:cs="仿宋_GB2312" w:asciiTheme="minorEastAsia" w:hAnsiTheme="minorEastAsia" w:eastAsiaTheme="minorEastAsia"/>
          <w:b/>
          <w:color w:val="auto"/>
          <w:kern w:val="0"/>
          <w:sz w:val="24"/>
          <w:highlight w:val="none"/>
          <w:lang w:val="zh-CN"/>
        </w:rPr>
      </w:pPr>
    </w:p>
    <w:p w14:paraId="1910F680">
      <w:pPr>
        <w:spacing w:line="360" w:lineRule="auto"/>
        <w:ind w:left="-2" w:leftChars="-1"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注：</w:t>
      </w:r>
      <w:r>
        <w:rPr>
          <w:rFonts w:hint="eastAsia" w:cs="仿宋_GB2312" w:asciiTheme="minorEastAsia" w:hAnsiTheme="minorEastAsia" w:eastAsiaTheme="minorEastAsia"/>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供应商需按本表格式填写</w:t>
      </w:r>
      <w:r>
        <w:rPr>
          <w:rFonts w:hint="eastAsia" w:cs="宋体" w:asciiTheme="minorEastAsia" w:hAnsiTheme="minorEastAsia" w:eastAsiaTheme="minorEastAsia"/>
          <w:b/>
          <w:color w:val="auto"/>
          <w:kern w:val="0"/>
          <w:sz w:val="24"/>
          <w:highlight w:val="none"/>
          <w:lang w:val="zh-CN"/>
        </w:rPr>
        <w:t>，</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响应文件含有采购人不能接受的附加条件，响应无效</w:t>
      </w:r>
      <w:r>
        <w:rPr>
          <w:rFonts w:hint="eastAsia" w:cs="仿宋_GB2312" w:asciiTheme="minorEastAsia" w:hAnsiTheme="minorEastAsia" w:eastAsiaTheme="minorEastAsia"/>
          <w:color w:val="auto"/>
          <w:kern w:val="0"/>
          <w:sz w:val="24"/>
          <w:highlight w:val="none"/>
          <w:lang w:val="zh-CN"/>
        </w:rPr>
        <w:t>。</w:t>
      </w:r>
    </w:p>
    <w:p w14:paraId="20876478">
      <w:pP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2</w:t>
      </w:r>
      <w:r>
        <w:rPr>
          <w:rFonts w:cs="仿宋_GB2312"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kern w:val="0"/>
          <w:sz w:val="24"/>
          <w:highlight w:val="none"/>
          <w:lang w:val="zh-CN"/>
        </w:rPr>
        <w:t>有关本项目实施所涉及的一切费用均计入报价。</w:t>
      </w:r>
      <w:r>
        <w:rPr>
          <w:rFonts w:hint="eastAsia" w:cs="宋体" w:asciiTheme="minorEastAsia" w:hAnsiTheme="minorEastAsia" w:eastAsiaTheme="minorEastAsia"/>
          <w:b/>
          <w:color w:val="auto"/>
          <w:kern w:val="0"/>
          <w:sz w:val="24"/>
          <w:highlight w:val="none"/>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b/>
          <w:color w:val="auto"/>
          <w:kern w:val="0"/>
          <w:sz w:val="24"/>
          <w:highlight w:val="none"/>
          <w:lang w:val="zh-CN"/>
        </w:rPr>
        <w:t>不得出现“0元”“免费赠送”等形式的无偿报价，</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最后报价文件含有采购人不能接受的附加条件，响应无效</w:t>
      </w:r>
      <w:r>
        <w:rPr>
          <w:rFonts w:hint="eastAsia" w:cs="宋体" w:asciiTheme="minorEastAsia" w:hAnsiTheme="minorEastAsia" w:eastAsiaTheme="minorEastAsia"/>
          <w:b/>
          <w:color w:val="auto"/>
          <w:kern w:val="0"/>
          <w:sz w:val="24"/>
          <w:highlight w:val="none"/>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highlight w:val="none"/>
        </w:rPr>
        <w:t>视为</w:t>
      </w:r>
      <w:r>
        <w:rPr>
          <w:rFonts w:hint="eastAsia" w:cs="宋体" w:asciiTheme="minorEastAsia" w:hAnsiTheme="minorEastAsia" w:eastAsiaTheme="minorEastAsia"/>
          <w:b/>
          <w:color w:val="auto"/>
          <w:sz w:val="24"/>
          <w:highlight w:val="none"/>
        </w:rPr>
        <w:t>响应文件含有采购人不能接受的附加条件的，响应无效。</w:t>
      </w:r>
    </w:p>
    <w:p w14:paraId="28B4D36E">
      <w:pP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highlight w:val="none"/>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highlight w:val="none"/>
          <w:lang w:val="zh-CN"/>
        </w:rPr>
        <w:t>。</w:t>
      </w:r>
    </w:p>
    <w:p w14:paraId="25F48775">
      <w:pPr>
        <w:spacing w:line="360" w:lineRule="auto"/>
        <w:ind w:firstLine="480" w:firstLineChars="200"/>
        <w:rPr>
          <w:rFonts w:hint="eastAsia" w:cs="仿宋_GB2312" w:asciiTheme="minorEastAsia" w:hAnsiTheme="minorEastAsia" w:eastAsiaTheme="minorEastAsia"/>
          <w:color w:val="auto"/>
          <w:kern w:val="0"/>
          <w:sz w:val="24"/>
          <w:highlight w:val="none"/>
          <w:u w:val="single"/>
          <w:lang w:val="zh-CN"/>
        </w:rPr>
      </w:pPr>
      <w:r>
        <w:rPr>
          <w:rFonts w:hint="eastAsia" w:cs="仿宋_GB2312" w:asciiTheme="minorEastAsia" w:hAnsiTheme="minorEastAsia" w:eastAsiaTheme="minorEastAsia"/>
          <w:color w:val="auto"/>
          <w:kern w:val="0"/>
          <w:sz w:val="24"/>
          <w:szCs w:val="22"/>
          <w:highlight w:val="none"/>
          <w:lang w:val="zh-CN"/>
        </w:rPr>
        <w:t>4</w:t>
      </w:r>
      <w:r>
        <w:rPr>
          <w:rFonts w:cs="仿宋_GB2312" w:asciiTheme="minorEastAsia" w:hAnsiTheme="minorEastAsia" w:eastAsiaTheme="minorEastAsia"/>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1B33DA4E">
      <w:pPr>
        <w:spacing w:line="360" w:lineRule="auto"/>
        <w:ind w:right="-874" w:rightChars="-416"/>
        <w:rPr>
          <w:rFonts w:hint="eastAsia" w:cs="仿宋_GB2312" w:asciiTheme="minorEastAsia" w:hAnsiTheme="minorEastAsia" w:eastAsiaTheme="minorEastAsia"/>
          <w:color w:val="auto"/>
          <w:sz w:val="24"/>
          <w:highlight w:val="none"/>
        </w:rPr>
      </w:pPr>
    </w:p>
    <w:p w14:paraId="7869E7A6">
      <w:pPr>
        <w:autoSpaceDE w:val="0"/>
        <w:autoSpaceDN w:val="0"/>
        <w:spacing w:line="360" w:lineRule="auto"/>
        <w:ind w:firstLine="4536" w:firstLineChars="189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磋商供应商名称(公章)： </w:t>
      </w:r>
    </w:p>
    <w:p w14:paraId="641CF94C">
      <w:pPr>
        <w:autoSpaceDE w:val="0"/>
        <w:autoSpaceDN w:val="0"/>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1BC38ED2">
      <w:pPr>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14:paraId="5F60B89B">
      <w:pPr>
        <w:spacing w:line="360" w:lineRule="auto"/>
        <w:ind w:left="4620" w:leftChars="2200" w:firstLine="4920" w:firstLineChars="2050"/>
        <w:rPr>
          <w:rFonts w:hint="eastAsia" w:cs="仿宋_GB2312" w:asciiTheme="minorEastAsia" w:hAnsiTheme="minorEastAsia" w:eastAsiaTheme="minorEastAsia"/>
          <w:color w:val="auto"/>
          <w:kern w:val="0"/>
          <w:sz w:val="24"/>
          <w:highlight w:val="none"/>
          <w:lang w:val="zh-CN"/>
        </w:rPr>
      </w:pPr>
    </w:p>
    <w:sectPr>
      <w:headerReference r:id="rId13" w:type="first"/>
      <w:footerReference r:id="rId15" w:type="first"/>
      <w:headerReference r:id="rId12" w:type="default"/>
      <w:footerReference r:id="rId14" w:type="default"/>
      <w:pgSz w:w="11906" w:h="16838"/>
      <w:pgMar w:top="1417" w:right="1417" w:bottom="1417" w:left="1417" w:header="851" w:footer="992" w:gutter="0"/>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auto"/>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楷体">
    <w:panose1 w:val="02010609060101010101"/>
    <w:charset w:val="86"/>
    <w:family w:val="auto"/>
    <w:pitch w:val="default"/>
    <w:sig w:usb0="800002BF" w:usb1="38CF7CFA" w:usb2="0000001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AmdtSymbols"/>
    <w:panose1 w:val="020B0502020202020204"/>
    <w:charset w:val="00"/>
    <w:family w:val="swiss"/>
    <w:pitch w:val="default"/>
    <w:sig w:usb0="00000000" w:usb1="00000000" w:usb2="00000000" w:usb3="00000000" w:csb0="2000009F" w:csb1="DFD70000"/>
  </w:font>
  <w:font w:name="ˎ̥">
    <w:altName w:val="Times New Roman"/>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仓耳舒圆体 W03"/>
    <w:panose1 w:val="02020609040205080304"/>
    <w:charset w:val="80"/>
    <w:family w:val="modern"/>
    <w:pitch w:val="default"/>
    <w:sig w:usb0="00000000" w:usb1="00000000" w:usb2="00000012" w:usb3="00000000" w:csb0="4002009F" w:csb1="DFD70000"/>
  </w:font>
  <w:font w:name="MS Gothic">
    <w:panose1 w:val="020B0609070205080204"/>
    <w:charset w:val="80"/>
    <w:family w:val="modern"/>
    <w:pitch w:val="default"/>
    <w:sig w:usb0="E00002FF" w:usb1="6AC7FDFB" w:usb2="08000012" w:usb3="00000000" w:csb0="4002009F" w:csb1="DFD70000"/>
  </w:font>
  <w:font w:name="方正小标宋简体">
    <w:altName w:val="仿宋_GB2312"/>
    <w:panose1 w:val="03000509000000000000"/>
    <w:charset w:val="86"/>
    <w:family w:val="auto"/>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 w:name="Lucida Sans Unicode">
    <w:panose1 w:val="020B0602030504020204"/>
    <w:charset w:val="00"/>
    <w:family w:val="auto"/>
    <w:pitch w:val="default"/>
    <w:sig w:usb0="80001AFF" w:usb1="0000396B" w:usb2="00000000" w:usb3="00000000" w:csb0="200000BF" w:csb1="D7F70000"/>
  </w:font>
  <w:font w:name="AmdtSymbols">
    <w:panose1 w:val="02000500000000020004"/>
    <w:charset w:val="00"/>
    <w:family w:val="auto"/>
    <w:pitch w:val="default"/>
    <w:sig w:usb0="00000001" w:usb1="00000000" w:usb2="00000000" w:usb3="00000000" w:csb0="00000001" w:csb1="00000000"/>
  </w:font>
  <w:font w:name="仓耳舒圆体 W03">
    <w:panose1 w:val="02020400000000000000"/>
    <w:charset w:val="80"/>
    <w:family w:val="auto"/>
    <w:pitch w:val="default"/>
    <w:sig w:usb0="80000023" w:usb1="08C1045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59BDF">
    <w:pPr>
      <w:pStyle w:val="3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4CA6D63A">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980B2">
    <w:pPr>
      <w:pStyle w:val="3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6780E">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13E6780E">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84561">
    <w:pPr>
      <w:spacing w:line="174" w:lineRule="auto"/>
      <w:ind w:left="46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690FD7">
                          <w:pPr>
                            <w:pStyle w:val="38"/>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2A690FD7">
                    <w:pPr>
                      <w:pStyle w:val="3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6AB2A">
    <w:pPr>
      <w:spacing w:line="174" w:lineRule="auto"/>
      <w:ind w:left="47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F4F15">
                          <w:pPr>
                            <w:pStyle w:val="3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62F4F15">
                    <w:pPr>
                      <w:pStyle w:val="3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D3335">
    <w:pPr>
      <w:spacing w:line="174" w:lineRule="auto"/>
      <w:ind w:left="46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2FB3D">
                          <w:pPr>
                            <w:pStyle w:val="38"/>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2502FB3D">
                    <w:pPr>
                      <w:pStyle w:val="38"/>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62DAA">
    <w:pPr>
      <w:spacing w:line="174" w:lineRule="auto"/>
      <w:ind w:left="46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7F0AC">
                          <w:pPr>
                            <w:pStyle w:val="38"/>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7707F0AC">
                    <w:pPr>
                      <w:pStyle w:val="3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FF475">
    <w:pPr>
      <w:pStyle w:val="3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BAA1A">
                          <w:pPr>
                            <w:pStyle w:val="38"/>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59DBAA1A">
                    <w:pPr>
                      <w:pStyle w:val="3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542AF">
    <w:pPr>
      <w:pStyle w:val="38"/>
      <w:jc w:val="center"/>
      <w:rPr>
        <w:rFonts w:ascii="仿宋_GB2312" w:eastAsia="仿宋_GB2312"/>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3C78C">
                          <w:pPr>
                            <w:pStyle w:val="38"/>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103C78C">
                    <w:pPr>
                      <w:pStyle w:val="3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940C9">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9F7D3">
    <w:pPr>
      <w:pStyle w:val="3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98180">
    <w:pPr>
      <w:pStyle w:val="3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77FC6">
    <w:pPr>
      <w:pStyle w:val="3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99506">
    <w:pPr>
      <w:pStyle w:val="3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D922E"/>
    <w:multiLevelType w:val="singleLevel"/>
    <w:tmpl w:val="CC6D922E"/>
    <w:lvl w:ilvl="0" w:tentative="0">
      <w:start w:val="5"/>
      <w:numFmt w:val="decimal"/>
      <w:suff w:val="nothing"/>
      <w:lvlText w:val="%1、"/>
      <w:lvlJc w:val="left"/>
      <w:pPr>
        <w:ind w:left="-60"/>
      </w:pPr>
    </w:lvl>
  </w:abstractNum>
  <w:abstractNum w:abstractNumId="1">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2">
    <w:nsid w:val="00000004"/>
    <w:multiLevelType w:val="singleLevel"/>
    <w:tmpl w:val="00000004"/>
    <w:lvl w:ilvl="0" w:tentative="0">
      <w:start w:val="7"/>
      <w:numFmt w:val="chineseCounting"/>
      <w:suff w:val="space"/>
      <w:lvlText w:val="第%1条"/>
      <w:lvlJc w:val="left"/>
      <w:rPr>
        <w:rFonts w:hint="eastAsia"/>
      </w:rPr>
    </w:lvl>
  </w:abstractNum>
  <w:abstractNum w:abstractNumId="3">
    <w:nsid w:val="00000007"/>
    <w:multiLevelType w:val="multilevel"/>
    <w:tmpl w:val="00000007"/>
    <w:lvl w:ilvl="0" w:tentative="0">
      <w:start w:val="1"/>
      <w:numFmt w:val="bullet"/>
      <w:pStyle w:val="102"/>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10"/>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4">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5">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6">
    <w:nsid w:val="578B3BD2"/>
    <w:multiLevelType w:val="multilevel"/>
    <w:tmpl w:val="578B3BD2"/>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5"/>
  </w:num>
  <w:num w:numId="2">
    <w:abstractNumId w:val="4"/>
  </w:num>
  <w:num w:numId="3">
    <w:abstractNumId w:val="1"/>
  </w:num>
  <w:num w:numId="4">
    <w:abstractNumId w:val="3"/>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JPo5U1lRybr4S7U7Qiz5XGh47A8=" w:salt="uXS9Mww2IKa9eroAfcgQcQ=="/>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jZDdlZTgyNDM5MTU0YmM3NzA2Y2EwNTAxZDc0YmEifQ=="/>
  </w:docVars>
  <w:rsids>
    <w:rsidRoot w:val="00172A27"/>
    <w:rsid w:val="0000133D"/>
    <w:rsid w:val="00002C46"/>
    <w:rsid w:val="0000488B"/>
    <w:rsid w:val="00005CAC"/>
    <w:rsid w:val="00006109"/>
    <w:rsid w:val="00006725"/>
    <w:rsid w:val="0000675E"/>
    <w:rsid w:val="00007CAA"/>
    <w:rsid w:val="00010FE9"/>
    <w:rsid w:val="0001122F"/>
    <w:rsid w:val="00012BE8"/>
    <w:rsid w:val="00013F31"/>
    <w:rsid w:val="00015116"/>
    <w:rsid w:val="00015FD7"/>
    <w:rsid w:val="000170C8"/>
    <w:rsid w:val="000172A5"/>
    <w:rsid w:val="000173F4"/>
    <w:rsid w:val="000217DE"/>
    <w:rsid w:val="00022853"/>
    <w:rsid w:val="00025776"/>
    <w:rsid w:val="00025D90"/>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72A"/>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7784C"/>
    <w:rsid w:val="000802C0"/>
    <w:rsid w:val="00080970"/>
    <w:rsid w:val="00083DDA"/>
    <w:rsid w:val="0008580E"/>
    <w:rsid w:val="00085A0E"/>
    <w:rsid w:val="00086F8A"/>
    <w:rsid w:val="000904F6"/>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3E9F"/>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35C0"/>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1EDD"/>
    <w:rsid w:val="00142BAD"/>
    <w:rsid w:val="001430C3"/>
    <w:rsid w:val="00144649"/>
    <w:rsid w:val="001451BB"/>
    <w:rsid w:val="00145662"/>
    <w:rsid w:val="00145C6D"/>
    <w:rsid w:val="00146151"/>
    <w:rsid w:val="0014792B"/>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2E9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3EC2"/>
    <w:rsid w:val="001C44BC"/>
    <w:rsid w:val="001C5885"/>
    <w:rsid w:val="001C6698"/>
    <w:rsid w:val="001C6700"/>
    <w:rsid w:val="001D1D55"/>
    <w:rsid w:val="001D21EF"/>
    <w:rsid w:val="001D31D0"/>
    <w:rsid w:val="001D330D"/>
    <w:rsid w:val="001D4AD3"/>
    <w:rsid w:val="001D5A94"/>
    <w:rsid w:val="001E1ABC"/>
    <w:rsid w:val="001E59FB"/>
    <w:rsid w:val="001E787E"/>
    <w:rsid w:val="001F087C"/>
    <w:rsid w:val="001F0DA4"/>
    <w:rsid w:val="001F0FD1"/>
    <w:rsid w:val="001F1F18"/>
    <w:rsid w:val="001F2F92"/>
    <w:rsid w:val="001F6095"/>
    <w:rsid w:val="001F7957"/>
    <w:rsid w:val="00200E37"/>
    <w:rsid w:val="00201EE3"/>
    <w:rsid w:val="00202D33"/>
    <w:rsid w:val="00202F99"/>
    <w:rsid w:val="00203C85"/>
    <w:rsid w:val="002049C6"/>
    <w:rsid w:val="00205298"/>
    <w:rsid w:val="002054F4"/>
    <w:rsid w:val="00210221"/>
    <w:rsid w:val="00210B9C"/>
    <w:rsid w:val="002119BD"/>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16E"/>
    <w:rsid w:val="00242510"/>
    <w:rsid w:val="00243F5D"/>
    <w:rsid w:val="0024415B"/>
    <w:rsid w:val="0024503F"/>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C5F"/>
    <w:rsid w:val="00274C6D"/>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68BD"/>
    <w:rsid w:val="0029704D"/>
    <w:rsid w:val="002979C5"/>
    <w:rsid w:val="00297AF5"/>
    <w:rsid w:val="002A02D6"/>
    <w:rsid w:val="002A07C4"/>
    <w:rsid w:val="002A0921"/>
    <w:rsid w:val="002A123D"/>
    <w:rsid w:val="002A2001"/>
    <w:rsid w:val="002A30AD"/>
    <w:rsid w:val="002A40B2"/>
    <w:rsid w:val="002A4EB3"/>
    <w:rsid w:val="002A51D9"/>
    <w:rsid w:val="002A5275"/>
    <w:rsid w:val="002A7FB3"/>
    <w:rsid w:val="002B2906"/>
    <w:rsid w:val="002B35C5"/>
    <w:rsid w:val="002B50B3"/>
    <w:rsid w:val="002B5AEE"/>
    <w:rsid w:val="002B5CD6"/>
    <w:rsid w:val="002B6177"/>
    <w:rsid w:val="002B646B"/>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5359"/>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5650"/>
    <w:rsid w:val="00326106"/>
    <w:rsid w:val="003262E4"/>
    <w:rsid w:val="003269B7"/>
    <w:rsid w:val="003272E4"/>
    <w:rsid w:val="003301D9"/>
    <w:rsid w:val="0033082E"/>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9F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6B6"/>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405"/>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4D56"/>
    <w:rsid w:val="003E60DA"/>
    <w:rsid w:val="003E61F6"/>
    <w:rsid w:val="003E6439"/>
    <w:rsid w:val="003E6E00"/>
    <w:rsid w:val="003E725A"/>
    <w:rsid w:val="003E7940"/>
    <w:rsid w:val="003F01BD"/>
    <w:rsid w:val="003F048E"/>
    <w:rsid w:val="003F0AFF"/>
    <w:rsid w:val="003F2C48"/>
    <w:rsid w:val="003F3D90"/>
    <w:rsid w:val="003F431E"/>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B8F"/>
    <w:rsid w:val="0041461A"/>
    <w:rsid w:val="00414909"/>
    <w:rsid w:val="00415034"/>
    <w:rsid w:val="00415B1A"/>
    <w:rsid w:val="00415F72"/>
    <w:rsid w:val="004160C1"/>
    <w:rsid w:val="0041690F"/>
    <w:rsid w:val="00416D41"/>
    <w:rsid w:val="00416E7D"/>
    <w:rsid w:val="00417264"/>
    <w:rsid w:val="00417A5F"/>
    <w:rsid w:val="004210C0"/>
    <w:rsid w:val="004211DD"/>
    <w:rsid w:val="00421442"/>
    <w:rsid w:val="00421762"/>
    <w:rsid w:val="00421D4B"/>
    <w:rsid w:val="00421ED8"/>
    <w:rsid w:val="004233AD"/>
    <w:rsid w:val="00425724"/>
    <w:rsid w:val="00426B2C"/>
    <w:rsid w:val="00427FA8"/>
    <w:rsid w:val="004306D4"/>
    <w:rsid w:val="0043088A"/>
    <w:rsid w:val="00430FF1"/>
    <w:rsid w:val="00432ECA"/>
    <w:rsid w:val="004357B1"/>
    <w:rsid w:val="00436CCE"/>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4F7F43"/>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AD0"/>
    <w:rsid w:val="00550B7E"/>
    <w:rsid w:val="00551B96"/>
    <w:rsid w:val="00551EE7"/>
    <w:rsid w:val="005524ED"/>
    <w:rsid w:val="00554C03"/>
    <w:rsid w:val="005550F9"/>
    <w:rsid w:val="0055525C"/>
    <w:rsid w:val="00556386"/>
    <w:rsid w:val="00556441"/>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0E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5E4"/>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1988"/>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4EC"/>
    <w:rsid w:val="0067772D"/>
    <w:rsid w:val="00680714"/>
    <w:rsid w:val="0068071D"/>
    <w:rsid w:val="00680C6B"/>
    <w:rsid w:val="00681936"/>
    <w:rsid w:val="00683068"/>
    <w:rsid w:val="00683BE2"/>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2DC4"/>
    <w:rsid w:val="006938E9"/>
    <w:rsid w:val="006945A1"/>
    <w:rsid w:val="00694982"/>
    <w:rsid w:val="006958AE"/>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4B3"/>
    <w:rsid w:val="006D0681"/>
    <w:rsid w:val="006D0A80"/>
    <w:rsid w:val="006D312B"/>
    <w:rsid w:val="006D43C1"/>
    <w:rsid w:val="006D5442"/>
    <w:rsid w:val="006D66EF"/>
    <w:rsid w:val="006D6E4E"/>
    <w:rsid w:val="006E00E3"/>
    <w:rsid w:val="006E045C"/>
    <w:rsid w:val="006E065E"/>
    <w:rsid w:val="006E0C1B"/>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223"/>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6C5F"/>
    <w:rsid w:val="00756D69"/>
    <w:rsid w:val="00757029"/>
    <w:rsid w:val="0076065E"/>
    <w:rsid w:val="0076093D"/>
    <w:rsid w:val="00760C5C"/>
    <w:rsid w:val="00761002"/>
    <w:rsid w:val="0076161B"/>
    <w:rsid w:val="00761AA1"/>
    <w:rsid w:val="00761CB5"/>
    <w:rsid w:val="0076228C"/>
    <w:rsid w:val="00763137"/>
    <w:rsid w:val="00763278"/>
    <w:rsid w:val="0076417E"/>
    <w:rsid w:val="007675DD"/>
    <w:rsid w:val="00770462"/>
    <w:rsid w:val="007705F0"/>
    <w:rsid w:val="00770A16"/>
    <w:rsid w:val="0077142C"/>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3D8"/>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4998"/>
    <w:rsid w:val="007A54F6"/>
    <w:rsid w:val="007A5950"/>
    <w:rsid w:val="007A6D91"/>
    <w:rsid w:val="007A7371"/>
    <w:rsid w:val="007B0306"/>
    <w:rsid w:val="007B0A67"/>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2F"/>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76"/>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108"/>
    <w:rsid w:val="00833307"/>
    <w:rsid w:val="00833583"/>
    <w:rsid w:val="00833B5B"/>
    <w:rsid w:val="00833E9A"/>
    <w:rsid w:val="00834FEF"/>
    <w:rsid w:val="00836323"/>
    <w:rsid w:val="00836492"/>
    <w:rsid w:val="008366FE"/>
    <w:rsid w:val="00836932"/>
    <w:rsid w:val="008404AA"/>
    <w:rsid w:val="00841F29"/>
    <w:rsid w:val="00841FDB"/>
    <w:rsid w:val="00842A0D"/>
    <w:rsid w:val="00842C69"/>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4371"/>
    <w:rsid w:val="00884D47"/>
    <w:rsid w:val="00887392"/>
    <w:rsid w:val="00890C40"/>
    <w:rsid w:val="008911F7"/>
    <w:rsid w:val="008921D0"/>
    <w:rsid w:val="00893C08"/>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54C0"/>
    <w:rsid w:val="008D5760"/>
    <w:rsid w:val="008D577E"/>
    <w:rsid w:val="008D5CE5"/>
    <w:rsid w:val="008D5ED9"/>
    <w:rsid w:val="008D6147"/>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2C63"/>
    <w:rsid w:val="0091328F"/>
    <w:rsid w:val="00914D1C"/>
    <w:rsid w:val="00915679"/>
    <w:rsid w:val="009159C2"/>
    <w:rsid w:val="009175AF"/>
    <w:rsid w:val="00920A06"/>
    <w:rsid w:val="009221CB"/>
    <w:rsid w:val="00922320"/>
    <w:rsid w:val="0092298C"/>
    <w:rsid w:val="00923643"/>
    <w:rsid w:val="009261DB"/>
    <w:rsid w:val="0092623E"/>
    <w:rsid w:val="00927388"/>
    <w:rsid w:val="009275C4"/>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9F8"/>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0732"/>
    <w:rsid w:val="009810BE"/>
    <w:rsid w:val="009819A7"/>
    <w:rsid w:val="009851F5"/>
    <w:rsid w:val="0098534B"/>
    <w:rsid w:val="0098764E"/>
    <w:rsid w:val="00987D58"/>
    <w:rsid w:val="009906D4"/>
    <w:rsid w:val="00990EB7"/>
    <w:rsid w:val="00990F5F"/>
    <w:rsid w:val="0099263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2428"/>
    <w:rsid w:val="00A04337"/>
    <w:rsid w:val="00A044AA"/>
    <w:rsid w:val="00A04D99"/>
    <w:rsid w:val="00A05D02"/>
    <w:rsid w:val="00A078F6"/>
    <w:rsid w:val="00A102F8"/>
    <w:rsid w:val="00A10A20"/>
    <w:rsid w:val="00A116AC"/>
    <w:rsid w:val="00A117D5"/>
    <w:rsid w:val="00A123D0"/>
    <w:rsid w:val="00A12D7E"/>
    <w:rsid w:val="00A131F5"/>
    <w:rsid w:val="00A133C1"/>
    <w:rsid w:val="00A13F2D"/>
    <w:rsid w:val="00A14225"/>
    <w:rsid w:val="00A14F81"/>
    <w:rsid w:val="00A1535F"/>
    <w:rsid w:val="00A1543F"/>
    <w:rsid w:val="00A15CB1"/>
    <w:rsid w:val="00A15E84"/>
    <w:rsid w:val="00A16021"/>
    <w:rsid w:val="00A16F3E"/>
    <w:rsid w:val="00A22C3E"/>
    <w:rsid w:val="00A22C4D"/>
    <w:rsid w:val="00A25463"/>
    <w:rsid w:val="00A254AB"/>
    <w:rsid w:val="00A266CC"/>
    <w:rsid w:val="00A26DB4"/>
    <w:rsid w:val="00A27501"/>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57B66"/>
    <w:rsid w:val="00A61B91"/>
    <w:rsid w:val="00A63335"/>
    <w:rsid w:val="00A63685"/>
    <w:rsid w:val="00A63DDD"/>
    <w:rsid w:val="00A66473"/>
    <w:rsid w:val="00A66E28"/>
    <w:rsid w:val="00A70590"/>
    <w:rsid w:val="00A71542"/>
    <w:rsid w:val="00A71FA0"/>
    <w:rsid w:val="00A72C1A"/>
    <w:rsid w:val="00A74021"/>
    <w:rsid w:val="00A7463E"/>
    <w:rsid w:val="00A75153"/>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0B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97DC5"/>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5DE9"/>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0A3C"/>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491"/>
    <w:rsid w:val="00BC4C40"/>
    <w:rsid w:val="00BC5BAD"/>
    <w:rsid w:val="00BC76C5"/>
    <w:rsid w:val="00BD138A"/>
    <w:rsid w:val="00BD1547"/>
    <w:rsid w:val="00BD164A"/>
    <w:rsid w:val="00BD2B4D"/>
    <w:rsid w:val="00BD2DAE"/>
    <w:rsid w:val="00BD2FB9"/>
    <w:rsid w:val="00BD31C2"/>
    <w:rsid w:val="00BD3852"/>
    <w:rsid w:val="00BD450A"/>
    <w:rsid w:val="00BD4717"/>
    <w:rsid w:val="00BD48BC"/>
    <w:rsid w:val="00BD48EA"/>
    <w:rsid w:val="00BD4BA8"/>
    <w:rsid w:val="00BD6924"/>
    <w:rsid w:val="00BD6B0E"/>
    <w:rsid w:val="00BD7941"/>
    <w:rsid w:val="00BD7E5F"/>
    <w:rsid w:val="00BE0C55"/>
    <w:rsid w:val="00BE11A2"/>
    <w:rsid w:val="00BE246C"/>
    <w:rsid w:val="00BE2657"/>
    <w:rsid w:val="00BE37AE"/>
    <w:rsid w:val="00BE4353"/>
    <w:rsid w:val="00BE5250"/>
    <w:rsid w:val="00BE73C3"/>
    <w:rsid w:val="00BE7B29"/>
    <w:rsid w:val="00BF03C0"/>
    <w:rsid w:val="00BF21D4"/>
    <w:rsid w:val="00BF2E46"/>
    <w:rsid w:val="00BF4A15"/>
    <w:rsid w:val="00BF4AA1"/>
    <w:rsid w:val="00BF4E27"/>
    <w:rsid w:val="00BF6D77"/>
    <w:rsid w:val="00BF7E0A"/>
    <w:rsid w:val="00C01444"/>
    <w:rsid w:val="00C01EF2"/>
    <w:rsid w:val="00C0378E"/>
    <w:rsid w:val="00C04258"/>
    <w:rsid w:val="00C05AFD"/>
    <w:rsid w:val="00C0724C"/>
    <w:rsid w:val="00C07AEF"/>
    <w:rsid w:val="00C07C11"/>
    <w:rsid w:val="00C07CC1"/>
    <w:rsid w:val="00C10015"/>
    <w:rsid w:val="00C12ECB"/>
    <w:rsid w:val="00C14ABD"/>
    <w:rsid w:val="00C151E0"/>
    <w:rsid w:val="00C15D79"/>
    <w:rsid w:val="00C15F1E"/>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4F8B"/>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01C3"/>
    <w:rsid w:val="00C71528"/>
    <w:rsid w:val="00C71F09"/>
    <w:rsid w:val="00C72588"/>
    <w:rsid w:val="00C727B9"/>
    <w:rsid w:val="00C73670"/>
    <w:rsid w:val="00C73DE0"/>
    <w:rsid w:val="00C74609"/>
    <w:rsid w:val="00C749AB"/>
    <w:rsid w:val="00C75A8F"/>
    <w:rsid w:val="00C76346"/>
    <w:rsid w:val="00C76439"/>
    <w:rsid w:val="00C7697A"/>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43D8"/>
    <w:rsid w:val="00CB52A4"/>
    <w:rsid w:val="00CB537C"/>
    <w:rsid w:val="00CB5778"/>
    <w:rsid w:val="00CB584C"/>
    <w:rsid w:val="00CB6675"/>
    <w:rsid w:val="00CC03A0"/>
    <w:rsid w:val="00CC0915"/>
    <w:rsid w:val="00CC11B8"/>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54E"/>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5FD5"/>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A04"/>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5C81"/>
    <w:rsid w:val="00D56B56"/>
    <w:rsid w:val="00D56BF5"/>
    <w:rsid w:val="00D56F99"/>
    <w:rsid w:val="00D5743F"/>
    <w:rsid w:val="00D605C2"/>
    <w:rsid w:val="00D60733"/>
    <w:rsid w:val="00D618B2"/>
    <w:rsid w:val="00D61E1D"/>
    <w:rsid w:val="00D62BDF"/>
    <w:rsid w:val="00D64F1C"/>
    <w:rsid w:val="00D6570C"/>
    <w:rsid w:val="00D675B0"/>
    <w:rsid w:val="00D70552"/>
    <w:rsid w:val="00D70D42"/>
    <w:rsid w:val="00D71285"/>
    <w:rsid w:val="00D713C9"/>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EEA"/>
    <w:rsid w:val="00DB6F96"/>
    <w:rsid w:val="00DB71B9"/>
    <w:rsid w:val="00DB7AE7"/>
    <w:rsid w:val="00DC080D"/>
    <w:rsid w:val="00DC0B56"/>
    <w:rsid w:val="00DC1395"/>
    <w:rsid w:val="00DC1BCB"/>
    <w:rsid w:val="00DC32FC"/>
    <w:rsid w:val="00DC35C7"/>
    <w:rsid w:val="00DC43C4"/>
    <w:rsid w:val="00DC4F47"/>
    <w:rsid w:val="00DC6747"/>
    <w:rsid w:val="00DC6AF3"/>
    <w:rsid w:val="00DC6B91"/>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1A65"/>
    <w:rsid w:val="00E33954"/>
    <w:rsid w:val="00E34B8C"/>
    <w:rsid w:val="00E3533E"/>
    <w:rsid w:val="00E35A45"/>
    <w:rsid w:val="00E37C85"/>
    <w:rsid w:val="00E43006"/>
    <w:rsid w:val="00E43551"/>
    <w:rsid w:val="00E50809"/>
    <w:rsid w:val="00E50F0A"/>
    <w:rsid w:val="00E510CF"/>
    <w:rsid w:val="00E51F42"/>
    <w:rsid w:val="00E52AAB"/>
    <w:rsid w:val="00E533B0"/>
    <w:rsid w:val="00E54216"/>
    <w:rsid w:val="00E5448E"/>
    <w:rsid w:val="00E54E0D"/>
    <w:rsid w:val="00E56795"/>
    <w:rsid w:val="00E57932"/>
    <w:rsid w:val="00E57DA3"/>
    <w:rsid w:val="00E60811"/>
    <w:rsid w:val="00E64050"/>
    <w:rsid w:val="00E64054"/>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7C4"/>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37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07D99"/>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B1C"/>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1CEC"/>
    <w:rsid w:val="00F92585"/>
    <w:rsid w:val="00F92E17"/>
    <w:rsid w:val="00F93231"/>
    <w:rsid w:val="00F950B5"/>
    <w:rsid w:val="00F953D5"/>
    <w:rsid w:val="00F97A34"/>
    <w:rsid w:val="00F97EA1"/>
    <w:rsid w:val="00FA05C8"/>
    <w:rsid w:val="00FA0678"/>
    <w:rsid w:val="00FA107F"/>
    <w:rsid w:val="00FA23F7"/>
    <w:rsid w:val="00FA27EB"/>
    <w:rsid w:val="00FA4117"/>
    <w:rsid w:val="00FA6597"/>
    <w:rsid w:val="00FA672F"/>
    <w:rsid w:val="00FA7792"/>
    <w:rsid w:val="00FB0473"/>
    <w:rsid w:val="00FB11FA"/>
    <w:rsid w:val="00FB1495"/>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3A307A"/>
    <w:rsid w:val="018A4394"/>
    <w:rsid w:val="01C45B8B"/>
    <w:rsid w:val="029B370D"/>
    <w:rsid w:val="02DA0C0E"/>
    <w:rsid w:val="03315CCB"/>
    <w:rsid w:val="03DD35E4"/>
    <w:rsid w:val="04452310"/>
    <w:rsid w:val="065A6178"/>
    <w:rsid w:val="065C6F27"/>
    <w:rsid w:val="06F970AE"/>
    <w:rsid w:val="0711386E"/>
    <w:rsid w:val="075562B7"/>
    <w:rsid w:val="07895446"/>
    <w:rsid w:val="07B63510"/>
    <w:rsid w:val="07F6164B"/>
    <w:rsid w:val="087A1B7A"/>
    <w:rsid w:val="09396AE2"/>
    <w:rsid w:val="09567A2B"/>
    <w:rsid w:val="096B2097"/>
    <w:rsid w:val="0A3B7763"/>
    <w:rsid w:val="0A5B7E63"/>
    <w:rsid w:val="0A945D6F"/>
    <w:rsid w:val="0B7C4E97"/>
    <w:rsid w:val="0BA332B2"/>
    <w:rsid w:val="0C87121B"/>
    <w:rsid w:val="0DF702FE"/>
    <w:rsid w:val="0E090A60"/>
    <w:rsid w:val="0E3F698B"/>
    <w:rsid w:val="0EC71759"/>
    <w:rsid w:val="0F0C62E5"/>
    <w:rsid w:val="0F21508F"/>
    <w:rsid w:val="0F816ACD"/>
    <w:rsid w:val="0FB94501"/>
    <w:rsid w:val="0FE30D51"/>
    <w:rsid w:val="10B047CF"/>
    <w:rsid w:val="10CF6E57"/>
    <w:rsid w:val="10FC16EA"/>
    <w:rsid w:val="110E11A0"/>
    <w:rsid w:val="11494E5B"/>
    <w:rsid w:val="118963A1"/>
    <w:rsid w:val="12410E9B"/>
    <w:rsid w:val="127723A9"/>
    <w:rsid w:val="13072A44"/>
    <w:rsid w:val="14105EEE"/>
    <w:rsid w:val="14362FF1"/>
    <w:rsid w:val="145044FA"/>
    <w:rsid w:val="14732F9B"/>
    <w:rsid w:val="161D2368"/>
    <w:rsid w:val="18045AA7"/>
    <w:rsid w:val="186742B0"/>
    <w:rsid w:val="195245AB"/>
    <w:rsid w:val="1B2A271F"/>
    <w:rsid w:val="1B323DB0"/>
    <w:rsid w:val="1B890139"/>
    <w:rsid w:val="1C2B6D42"/>
    <w:rsid w:val="1D266CE1"/>
    <w:rsid w:val="1D3963AF"/>
    <w:rsid w:val="1DA12CEA"/>
    <w:rsid w:val="1E2E469B"/>
    <w:rsid w:val="1E714A66"/>
    <w:rsid w:val="1F8A07FD"/>
    <w:rsid w:val="1FE868A9"/>
    <w:rsid w:val="205D4015"/>
    <w:rsid w:val="211E26D6"/>
    <w:rsid w:val="21283D08"/>
    <w:rsid w:val="21AA6172"/>
    <w:rsid w:val="22C30ADD"/>
    <w:rsid w:val="22C456A9"/>
    <w:rsid w:val="239B4D0E"/>
    <w:rsid w:val="23FA4AB9"/>
    <w:rsid w:val="24B81507"/>
    <w:rsid w:val="25847A9B"/>
    <w:rsid w:val="2598686C"/>
    <w:rsid w:val="25B440B3"/>
    <w:rsid w:val="26A12BEB"/>
    <w:rsid w:val="272917D9"/>
    <w:rsid w:val="27646D45"/>
    <w:rsid w:val="285A6198"/>
    <w:rsid w:val="28696559"/>
    <w:rsid w:val="28A41BFF"/>
    <w:rsid w:val="28BE1FB4"/>
    <w:rsid w:val="2A20167B"/>
    <w:rsid w:val="2AA1365A"/>
    <w:rsid w:val="2BF33F4D"/>
    <w:rsid w:val="2C7936C6"/>
    <w:rsid w:val="2D061622"/>
    <w:rsid w:val="2DD15014"/>
    <w:rsid w:val="2DF15D66"/>
    <w:rsid w:val="2E6B41B1"/>
    <w:rsid w:val="2ED951C4"/>
    <w:rsid w:val="2FD25781"/>
    <w:rsid w:val="305F2622"/>
    <w:rsid w:val="30F84731"/>
    <w:rsid w:val="312307EC"/>
    <w:rsid w:val="313A5EF4"/>
    <w:rsid w:val="319C6071"/>
    <w:rsid w:val="32005658"/>
    <w:rsid w:val="3218040B"/>
    <w:rsid w:val="323C0AC0"/>
    <w:rsid w:val="32681C29"/>
    <w:rsid w:val="327946BC"/>
    <w:rsid w:val="32B4162D"/>
    <w:rsid w:val="32DB72BE"/>
    <w:rsid w:val="342E63AB"/>
    <w:rsid w:val="345D260B"/>
    <w:rsid w:val="34961A70"/>
    <w:rsid w:val="34D40E6A"/>
    <w:rsid w:val="35223D66"/>
    <w:rsid w:val="35A276C4"/>
    <w:rsid w:val="36136406"/>
    <w:rsid w:val="363946D8"/>
    <w:rsid w:val="365302AE"/>
    <w:rsid w:val="37140296"/>
    <w:rsid w:val="375009D7"/>
    <w:rsid w:val="37F142D2"/>
    <w:rsid w:val="39241FCC"/>
    <w:rsid w:val="39A13F14"/>
    <w:rsid w:val="39E804CB"/>
    <w:rsid w:val="3AEC1764"/>
    <w:rsid w:val="3B514310"/>
    <w:rsid w:val="3C443E4F"/>
    <w:rsid w:val="3C5F759A"/>
    <w:rsid w:val="3D5C78D4"/>
    <w:rsid w:val="3D7D0153"/>
    <w:rsid w:val="3D844048"/>
    <w:rsid w:val="3D9E0827"/>
    <w:rsid w:val="3DF03D49"/>
    <w:rsid w:val="3F7B287D"/>
    <w:rsid w:val="3FCE13A6"/>
    <w:rsid w:val="3FFF72A6"/>
    <w:rsid w:val="402C0554"/>
    <w:rsid w:val="4038198F"/>
    <w:rsid w:val="40654B86"/>
    <w:rsid w:val="420E1545"/>
    <w:rsid w:val="429B6EFD"/>
    <w:rsid w:val="42CF228D"/>
    <w:rsid w:val="42E1381E"/>
    <w:rsid w:val="433C7CB5"/>
    <w:rsid w:val="43E837B0"/>
    <w:rsid w:val="43FB717C"/>
    <w:rsid w:val="450662FC"/>
    <w:rsid w:val="451E447A"/>
    <w:rsid w:val="45345B76"/>
    <w:rsid w:val="45B1155E"/>
    <w:rsid w:val="45F71264"/>
    <w:rsid w:val="463E1738"/>
    <w:rsid w:val="470740ED"/>
    <w:rsid w:val="471373E8"/>
    <w:rsid w:val="47307808"/>
    <w:rsid w:val="47544185"/>
    <w:rsid w:val="475E083E"/>
    <w:rsid w:val="486F747C"/>
    <w:rsid w:val="49DD673C"/>
    <w:rsid w:val="49FF3AE7"/>
    <w:rsid w:val="4A244932"/>
    <w:rsid w:val="4A59229A"/>
    <w:rsid w:val="4B920168"/>
    <w:rsid w:val="4B9D7C66"/>
    <w:rsid w:val="4D861CF6"/>
    <w:rsid w:val="4EBB1FF1"/>
    <w:rsid w:val="4F036B23"/>
    <w:rsid w:val="4F103A13"/>
    <w:rsid w:val="4F292918"/>
    <w:rsid w:val="505D4E55"/>
    <w:rsid w:val="51A0432A"/>
    <w:rsid w:val="5245699D"/>
    <w:rsid w:val="527140E5"/>
    <w:rsid w:val="5292508F"/>
    <w:rsid w:val="52A96B6F"/>
    <w:rsid w:val="52C66C5D"/>
    <w:rsid w:val="532822B7"/>
    <w:rsid w:val="541D3690"/>
    <w:rsid w:val="54EE2321"/>
    <w:rsid w:val="550764A4"/>
    <w:rsid w:val="551926E0"/>
    <w:rsid w:val="561279B9"/>
    <w:rsid w:val="56363B92"/>
    <w:rsid w:val="56515F3B"/>
    <w:rsid w:val="572B71CA"/>
    <w:rsid w:val="5741191B"/>
    <w:rsid w:val="57627542"/>
    <w:rsid w:val="57741BFD"/>
    <w:rsid w:val="57E958DA"/>
    <w:rsid w:val="57ED75E0"/>
    <w:rsid w:val="587D7756"/>
    <w:rsid w:val="58AE4F0C"/>
    <w:rsid w:val="58B22DEB"/>
    <w:rsid w:val="59487522"/>
    <w:rsid w:val="594D0299"/>
    <w:rsid w:val="5A2A7C7B"/>
    <w:rsid w:val="5AB23368"/>
    <w:rsid w:val="5B23164B"/>
    <w:rsid w:val="5B9D5AEE"/>
    <w:rsid w:val="5BC14BBB"/>
    <w:rsid w:val="5C80234E"/>
    <w:rsid w:val="5C8210D4"/>
    <w:rsid w:val="5C8618C3"/>
    <w:rsid w:val="5E261785"/>
    <w:rsid w:val="5E4B7FE7"/>
    <w:rsid w:val="5F390166"/>
    <w:rsid w:val="5FCC5339"/>
    <w:rsid w:val="5FE70807"/>
    <w:rsid w:val="5FEC2F0F"/>
    <w:rsid w:val="60483AFC"/>
    <w:rsid w:val="6093384F"/>
    <w:rsid w:val="60E53485"/>
    <w:rsid w:val="61054A27"/>
    <w:rsid w:val="611D2366"/>
    <w:rsid w:val="619F3FF9"/>
    <w:rsid w:val="625613A5"/>
    <w:rsid w:val="62885958"/>
    <w:rsid w:val="63144820"/>
    <w:rsid w:val="6453752A"/>
    <w:rsid w:val="64CE2EAA"/>
    <w:rsid w:val="64E930D8"/>
    <w:rsid w:val="65037FF2"/>
    <w:rsid w:val="651B17E0"/>
    <w:rsid w:val="65EB1711"/>
    <w:rsid w:val="662E75B1"/>
    <w:rsid w:val="66342C2E"/>
    <w:rsid w:val="663E784C"/>
    <w:rsid w:val="67AA7DA2"/>
    <w:rsid w:val="685867EC"/>
    <w:rsid w:val="69102733"/>
    <w:rsid w:val="697148A8"/>
    <w:rsid w:val="69EA7CF6"/>
    <w:rsid w:val="6AAD27D4"/>
    <w:rsid w:val="6AE95A4D"/>
    <w:rsid w:val="6C04327E"/>
    <w:rsid w:val="6C077E73"/>
    <w:rsid w:val="6CB5278A"/>
    <w:rsid w:val="6CB96113"/>
    <w:rsid w:val="6D015F39"/>
    <w:rsid w:val="6D0F0AFD"/>
    <w:rsid w:val="6D4E0208"/>
    <w:rsid w:val="6D581C9A"/>
    <w:rsid w:val="6E3B0A9F"/>
    <w:rsid w:val="6E660CF3"/>
    <w:rsid w:val="6E8E12EF"/>
    <w:rsid w:val="6F58599B"/>
    <w:rsid w:val="6F6372AE"/>
    <w:rsid w:val="6FD45E85"/>
    <w:rsid w:val="6FF13959"/>
    <w:rsid w:val="70463B4B"/>
    <w:rsid w:val="70745789"/>
    <w:rsid w:val="71D43752"/>
    <w:rsid w:val="73DD6243"/>
    <w:rsid w:val="746C2532"/>
    <w:rsid w:val="749C4185"/>
    <w:rsid w:val="74F636CF"/>
    <w:rsid w:val="75DA2C18"/>
    <w:rsid w:val="76431807"/>
    <w:rsid w:val="772B7660"/>
    <w:rsid w:val="774322F8"/>
    <w:rsid w:val="775319EF"/>
    <w:rsid w:val="77BE04D4"/>
    <w:rsid w:val="78183039"/>
    <w:rsid w:val="78D81199"/>
    <w:rsid w:val="790F1C77"/>
    <w:rsid w:val="79180FAF"/>
    <w:rsid w:val="795755BB"/>
    <w:rsid w:val="79C73B92"/>
    <w:rsid w:val="7A67303B"/>
    <w:rsid w:val="7AAB1D04"/>
    <w:rsid w:val="7ABA4368"/>
    <w:rsid w:val="7B23367A"/>
    <w:rsid w:val="7B257FFD"/>
    <w:rsid w:val="7C2B1DA5"/>
    <w:rsid w:val="7D177F96"/>
    <w:rsid w:val="7DF4317E"/>
    <w:rsid w:val="7E64308B"/>
    <w:rsid w:val="7E784333"/>
    <w:rsid w:val="7ECF2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iPriority="99"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9"/>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9"/>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2"/>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semiHidden/>
    <w:unhideWhenUsed/>
    <w:qFormat/>
    <w:uiPriority w:val="99"/>
    <w:pPr>
      <w:ind w:left="1400" w:leftChars="140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
    <w:link w:val="613"/>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4"/>
    <w:qFormat/>
    <w:uiPriority w:val="99"/>
    <w:pPr>
      <w:jc w:val="left"/>
    </w:pPr>
  </w:style>
  <w:style w:type="paragraph" w:styleId="21">
    <w:name w:val="Salutation"/>
    <w:basedOn w:val="1"/>
    <w:next w:val="1"/>
    <w:link w:val="482"/>
    <w:qFormat/>
    <w:uiPriority w:val="0"/>
    <w:rPr>
      <w:rFonts w:ascii="仿宋_GB2312" w:eastAsia="仿宋_GB2312"/>
      <w:sz w:val="28"/>
      <w:szCs w:val="20"/>
    </w:rPr>
  </w:style>
  <w:style w:type="paragraph" w:styleId="22">
    <w:name w:val="Body Text 3"/>
    <w:basedOn w:val="1"/>
    <w:link w:val="581"/>
    <w:qFormat/>
    <w:uiPriority w:val="0"/>
    <w:pPr>
      <w:jc w:val="center"/>
    </w:pPr>
    <w:rPr>
      <w:szCs w:val="20"/>
    </w:rPr>
  </w:style>
  <w:style w:type="paragraph" w:styleId="23">
    <w:name w:val="Body Text"/>
    <w:basedOn w:val="1"/>
    <w:next w:val="1"/>
    <w:link w:val="512"/>
    <w:qFormat/>
    <w:uiPriority w:val="0"/>
    <w:pPr>
      <w:autoSpaceDE w:val="0"/>
      <w:autoSpaceDN w:val="0"/>
      <w:spacing w:line="360" w:lineRule="auto"/>
    </w:pPr>
    <w:rPr>
      <w:rFonts w:ascii="宋体"/>
      <w:sz w:val="24"/>
      <w:szCs w:val="21"/>
      <w:lang w:val="zh-CN"/>
    </w:rPr>
  </w:style>
  <w:style w:type="paragraph" w:styleId="24">
    <w:name w:val="Body Text Indent"/>
    <w:basedOn w:val="1"/>
    <w:link w:val="47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1"/>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9"/>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8"/>
    <w:qFormat/>
    <w:uiPriority w:val="0"/>
    <w:pPr>
      <w:ind w:left="100" w:leftChars="2500"/>
    </w:pPr>
    <w:rPr>
      <w:rFonts w:ascii="宋体"/>
      <w:sz w:val="24"/>
      <w:szCs w:val="21"/>
      <w:lang w:val="zh-CN"/>
    </w:rPr>
  </w:style>
  <w:style w:type="paragraph" w:styleId="36">
    <w:name w:val="Body Text Indent 2"/>
    <w:basedOn w:val="1"/>
    <w:link w:val="503"/>
    <w:qFormat/>
    <w:uiPriority w:val="0"/>
    <w:pPr>
      <w:spacing w:line="360" w:lineRule="auto"/>
      <w:ind w:firstLine="601"/>
      <w:textAlignment w:val="baseline"/>
    </w:pPr>
    <w:rPr>
      <w:rFonts w:ascii="宋体"/>
      <w:kern w:val="0"/>
      <w:sz w:val="28"/>
      <w:szCs w:val="20"/>
    </w:rPr>
  </w:style>
  <w:style w:type="paragraph" w:styleId="37">
    <w:name w:val="Balloon Text"/>
    <w:basedOn w:val="1"/>
    <w:link w:val="615"/>
    <w:semiHidden/>
    <w:qFormat/>
    <w:uiPriority w:val="0"/>
    <w:rPr>
      <w:sz w:val="18"/>
      <w:szCs w:val="18"/>
    </w:rPr>
  </w:style>
  <w:style w:type="paragraph" w:styleId="38">
    <w:name w:val="footer"/>
    <w:basedOn w:val="1"/>
    <w:qFormat/>
    <w:uiPriority w:val="0"/>
    <w:pPr>
      <w:tabs>
        <w:tab w:val="center" w:pos="4153"/>
        <w:tab w:val="right" w:pos="8306"/>
      </w:tabs>
      <w:snapToGrid w:val="0"/>
      <w:jc w:val="left"/>
    </w:pPr>
    <w:rPr>
      <w:sz w:val="18"/>
      <w:szCs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basedOn w:val="1"/>
    <w:next w:val="1"/>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6"/>
    <w:link w:val="473"/>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8"/>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0"/>
    <w:next w:val="20"/>
    <w:semiHidden/>
    <w:qFormat/>
    <w:uiPriority w:val="0"/>
    <w:rPr>
      <w:b/>
      <w:bCs/>
    </w:rPr>
  </w:style>
  <w:style w:type="paragraph" w:styleId="59">
    <w:name w:val="Body Text First Indent"/>
    <w:basedOn w:val="23"/>
    <w:link w:val="545"/>
    <w:qFormat/>
    <w:uiPriority w:val="0"/>
    <w:pPr>
      <w:ind w:firstLine="420"/>
    </w:pPr>
    <w:rPr>
      <w:szCs w:val="20"/>
    </w:rPr>
  </w:style>
  <w:style w:type="paragraph" w:styleId="60">
    <w:name w:val="Body Text First Indent 2"/>
    <w:basedOn w:val="1"/>
    <w:next w:val="1"/>
    <w:link w:val="502"/>
    <w:qFormat/>
    <w:uiPriority w:val="0"/>
    <w:pPr>
      <w:adjustRightInd/>
      <w:spacing w:after="120"/>
      <w:ind w:left="420" w:leftChars="200" w:firstLine="210"/>
    </w:p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Default"/>
    <w:next w:val="1"/>
    <w:link w:val="62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312"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156"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72"/>
    <w:next w:val="72"/>
    <w:qFormat/>
    <w:uiPriority w:val="0"/>
    <w:pPr>
      <w:spacing w:after="68"/>
    </w:pPr>
    <w:rPr>
      <w:rFonts w:ascii="FHLHE E+ Futura Bk" w:eastAsia="FHLHE E+ Futura Bk" w:cs="Times New Roman"/>
      <w:color w:val="auto"/>
    </w:rPr>
  </w:style>
  <w:style w:type="paragraph" w:customStyle="1" w:styleId="101">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6">
    <w:name w:val="List Paragraph"/>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73"/>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1"/>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9"/>
    <w:qFormat/>
    <w:uiPriority w:val="0"/>
    <w:pPr>
      <w:tabs>
        <w:tab w:val="left" w:pos="2356"/>
      </w:tabs>
    </w:pPr>
  </w:style>
  <w:style w:type="paragraph" w:customStyle="1" w:styleId="170">
    <w:name w:val="样式 标题 4h4H4Fab-4T5Ref Heading 1rh1Heading sqlsect 1.2.3...."/>
    <w:basedOn w:val="5"/>
    <w:link w:val="559"/>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73"/>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73"/>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73"/>
    <w:qFormat/>
    <w:uiPriority w:val="0"/>
    <w:pPr>
      <w:numPr>
        <w:ilvl w:val="3"/>
        <w:numId w:val="4"/>
      </w:numPr>
      <w:tabs>
        <w:tab w:val="left" w:pos="1680"/>
      </w:tabs>
      <w:ind w:left="0"/>
      <w:outlineLvl w:val="3"/>
    </w:pPr>
  </w:style>
  <w:style w:type="paragraph" w:customStyle="1" w:styleId="174">
    <w:name w:val="一级条标题"/>
    <w:basedOn w:val="138"/>
    <w:next w:val="73"/>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72"/>
    <w:next w:val="72"/>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7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2"/>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40"/>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2"/>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9"/>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7"/>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73"/>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406"/>
    <w:qFormat/>
    <w:uiPriority w:val="99"/>
    <w:pPr>
      <w:adjustRightInd/>
      <w:ind w:firstLine="200" w:firstLineChars="200"/>
    </w:pPr>
    <w:rPr>
      <w:rFonts w:ascii="Arial" w:hAnsi="Arial"/>
      <w:spacing w:val="-5"/>
      <w:kern w:val="0"/>
      <w:sz w:val="24"/>
      <w:szCs w:val="20"/>
    </w:rPr>
  </w:style>
  <w:style w:type="paragraph" w:customStyle="1" w:styleId="406">
    <w:name w:val="清单正文"/>
    <w:basedOn w:val="45"/>
    <w:qFormat/>
    <w:uiPriority w:val="0"/>
    <w:pPr>
      <w:spacing w:before="0" w:beforeLines="50" w:after="0" w:line="360" w:lineRule="auto"/>
      <w:ind w:firstLine="150" w:firstLineChars="150"/>
      <w:jc w:val="both"/>
      <w:outlineLvl w:val="9"/>
    </w:pPr>
    <w:rPr>
      <w:rFonts w:ascii="Times New Roman" w:hAnsi="Times New Roman" w:cs="黑体"/>
      <w:sz w:val="24"/>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numId w:val="4"/>
      </w:numPr>
      <w:tabs>
        <w:tab w:val="left" w:pos="840"/>
        <w:tab w:val="left" w:pos="2520"/>
        <w:tab w:val="clear" w:pos="1008"/>
      </w:tabs>
      <w:adjustRightInd/>
    </w:pPr>
  </w:style>
  <w:style w:type="paragraph" w:customStyle="1" w:styleId="411">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5"/>
      </w:numPr>
      <w:tabs>
        <w:tab w:val="left" w:pos="480"/>
        <w:tab w:val="clear" w:pos="432"/>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left" w:pos="840"/>
        <w:tab w:val="clear" w:pos="432"/>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字符"/>
    <w:link w:val="40"/>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semiHidden/>
    <w:qFormat/>
    <w:locked/>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4"/>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3"/>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3"/>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8"/>
    <w:qFormat/>
    <w:uiPriority w:val="0"/>
    <w:rPr>
      <w:rFonts w:ascii="仿宋_GB2312" w:eastAsia="仿宋_GB2312"/>
      <w:kern w:val="2"/>
      <w:sz w:val="24"/>
      <w:lang w:val="en-US" w:eastAsia="zh-CN" w:bidi="ar-SA"/>
    </w:rPr>
  </w:style>
  <w:style w:type="character" w:customStyle="1" w:styleId="463">
    <w:name w:val="Comment Text Char"/>
    <w:semiHidden/>
    <w:qFormat/>
    <w:locked/>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semiHidden/>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标题 2 Char"/>
    <w:qFormat/>
    <w:uiPriority w:val="0"/>
    <w:rPr>
      <w:rFonts w:ascii="Arial" w:hAnsi="Arial" w:eastAsia="黑体"/>
      <w:b/>
      <w:kern w:val="2"/>
      <w:sz w:val="32"/>
      <w:lang w:val="en-US" w:eastAsia="zh-CN"/>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字符"/>
    <w:link w:val="9"/>
    <w:qFormat/>
    <w:uiPriority w:val="0"/>
    <w:rPr>
      <w:rFonts w:ascii="Arial" w:hAnsi="Arial" w:eastAsia="黑体"/>
      <w:kern w:val="2"/>
      <w:sz w:val="24"/>
      <w:szCs w:val="24"/>
    </w:rPr>
  </w:style>
  <w:style w:type="character" w:customStyle="1" w:styleId="472">
    <w:name w:val="冯广丽 Char"/>
    <w:link w:val="234"/>
    <w:qFormat/>
    <w:uiPriority w:val="0"/>
    <w:rPr>
      <w:rFonts w:ascii="宋体" w:hAnsi="宋体"/>
      <w:kern w:val="2"/>
      <w:sz w:val="24"/>
      <w:szCs w:val="22"/>
    </w:rPr>
  </w:style>
  <w:style w:type="character" w:customStyle="1" w:styleId="473">
    <w:name w:val="脚注文本 字符"/>
    <w:link w:val="48"/>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字符"/>
    <w:link w:val="24"/>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1"/>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字符"/>
    <w:link w:val="8"/>
    <w:qFormat/>
    <w:uiPriority w:val="0"/>
    <w:rPr>
      <w:b/>
      <w:bCs/>
      <w:kern w:val="2"/>
      <w:sz w:val="24"/>
      <w:szCs w:val="24"/>
    </w:rPr>
  </w:style>
  <w:style w:type="character" w:customStyle="1" w:styleId="482">
    <w:name w:val="称呼 字符"/>
    <w:link w:val="21"/>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字符"/>
    <w:link w:val="45"/>
    <w:qFormat/>
    <w:uiPriority w:val="0"/>
    <w:rPr>
      <w:rFonts w:ascii="Arial" w:hAnsi="Arial" w:eastAsia="隶书"/>
      <w:b/>
      <w:bCs/>
      <w:kern w:val="28"/>
      <w:sz w:val="44"/>
      <w:szCs w:val="32"/>
      <w:lang w:val="en-US" w:eastAsia="zh-CN" w:bidi="ar-SA"/>
    </w:rPr>
  </w:style>
  <w:style w:type="character" w:customStyle="1" w:styleId="489">
    <w:name w:val="纯文本 字符"/>
    <w:link w:val="32"/>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2"/>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文本首行缩进 2 字符"/>
    <w:link w:val="60"/>
    <w:qFormat/>
    <w:uiPriority w:val="0"/>
    <w:rPr>
      <w:rFonts w:ascii="宋体" w:hAnsi="宋体"/>
      <w:kern w:val="2"/>
      <w:sz w:val="21"/>
      <w:szCs w:val="24"/>
    </w:rPr>
  </w:style>
  <w:style w:type="character" w:customStyle="1" w:styleId="503">
    <w:name w:val="正文文本缩进 2 字符"/>
    <w:link w:val="36"/>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5"/>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字符"/>
    <w:link w:val="10"/>
    <w:qFormat/>
    <w:uiPriority w:val="0"/>
    <w:rPr>
      <w:rFonts w:ascii="Arial" w:hAnsi="Arial" w:eastAsia="黑体"/>
      <w:kern w:val="2"/>
      <w:sz w:val="21"/>
      <w:szCs w:val="21"/>
    </w:rPr>
  </w:style>
  <w:style w:type="character" w:customStyle="1" w:styleId="520">
    <w:name w:val="md"/>
    <w:basedOn w:val="63"/>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68"/>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3"/>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字符"/>
    <w:link w:val="55"/>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文本首行缩进 字符"/>
    <w:link w:val="59"/>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标题 1 字符"/>
    <w:link w:val="2"/>
    <w:qFormat/>
    <w:uiPriority w:val="0"/>
    <w:rPr>
      <w:b/>
      <w:bCs/>
      <w:kern w:val="44"/>
      <w:sz w:val="44"/>
      <w:szCs w:val="44"/>
    </w:rPr>
  </w:style>
  <w:style w:type="character" w:customStyle="1" w:styleId="550">
    <w:name w:val="页眉 Char"/>
    <w:qFormat/>
    <w:uiPriority w:val="0"/>
    <w:rPr>
      <w:rFonts w:eastAsia="仿宋_GB2312"/>
      <w:kern w:val="2"/>
      <w:sz w:val="18"/>
      <w:lang w:val="en-US" w:eastAsia="zh-CN"/>
    </w:rPr>
  </w:style>
  <w:style w:type="character" w:customStyle="1" w:styleId="551">
    <w:name w:val="b11_01b Char"/>
    <w:link w:val="409"/>
    <w:qFormat/>
    <w:uiPriority w:val="0"/>
    <w:rPr>
      <w:rFonts w:ascii="Verdana" w:hAnsi="Verdana"/>
      <w:b/>
      <w:bCs/>
      <w:color w:val="4A82CA"/>
      <w:sz w:val="17"/>
      <w:szCs w:val="17"/>
    </w:rPr>
  </w:style>
  <w:style w:type="character" w:customStyle="1" w:styleId="552">
    <w:name w:val="标题4-dyf Char"/>
    <w:link w:val="346"/>
    <w:qFormat/>
    <w:uiPriority w:val="0"/>
    <w:rPr>
      <w:rFonts w:ascii="Cambria" w:hAnsi="Cambria"/>
      <w:b/>
      <w:bCs/>
      <w:color w:val="000000"/>
      <w:kern w:val="2"/>
      <w:sz w:val="21"/>
      <w:szCs w:val="21"/>
    </w:rPr>
  </w:style>
  <w:style w:type="character" w:customStyle="1" w:styleId="553">
    <w:name w:val="批注主题 Char"/>
    <w:qFormat/>
    <w:uiPriority w:val="0"/>
    <w:rPr>
      <w:rFonts w:eastAsia="宋体"/>
      <w:b/>
      <w:bCs/>
      <w:kern w:val="2"/>
      <w:sz w:val="21"/>
      <w:szCs w:val="24"/>
      <w:lang w:val="en-US" w:eastAsia="zh-CN" w:bidi="ar-SA"/>
    </w:rPr>
  </w:style>
  <w:style w:type="character" w:customStyle="1" w:styleId="55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5">
    <w:name w:val="正文首行缩进两字 Char"/>
    <w:qFormat/>
    <w:uiPriority w:val="0"/>
    <w:rPr>
      <w:sz w:val="24"/>
      <w:szCs w:val="24"/>
      <w:lang w:val="en-US" w:eastAsia="zh-CN" w:bidi="ar-SA"/>
    </w:rPr>
  </w:style>
  <w:style w:type="character" w:customStyle="1" w:styleId="556">
    <w:name w:val="Char Char51"/>
    <w:qFormat/>
    <w:uiPriority w:val="0"/>
    <w:rPr>
      <w:rFonts w:ascii="宋体" w:hAnsi="Courier New" w:eastAsia="宋体"/>
      <w:kern w:val="2"/>
      <w:sz w:val="21"/>
      <w:lang w:val="en-US" w:eastAsia="zh-CN"/>
    </w:rPr>
  </w:style>
  <w:style w:type="character" w:customStyle="1" w:styleId="557">
    <w:name w:val="带编号样式 Char"/>
    <w:qFormat/>
    <w:uiPriority w:val="0"/>
    <w:rPr>
      <w:rFonts w:ascii="仿宋_GB2312" w:eastAsia="仿宋_GB2312"/>
      <w:color w:val="000000"/>
      <w:sz w:val="24"/>
      <w:lang w:bidi="ar-SA"/>
    </w:rPr>
  </w:style>
  <w:style w:type="character" w:customStyle="1" w:styleId="558">
    <w:name w:val="样式4 Char"/>
    <w:qFormat/>
    <w:uiPriority w:val="0"/>
    <w:rPr>
      <w:rFonts w:ascii="仿宋_GB2312" w:hAnsi="仿宋" w:eastAsia="仿宋_GB2312"/>
      <w:b/>
      <w:kern w:val="2"/>
      <w:sz w:val="32"/>
      <w:szCs w:val="32"/>
      <w:lang w:bidi="ar-SA"/>
    </w:rPr>
  </w:style>
  <w:style w:type="character" w:customStyle="1" w:styleId="559">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60">
    <w:name w:val="PI Char"/>
    <w:qFormat/>
    <w:uiPriority w:val="0"/>
    <w:rPr>
      <w:rFonts w:ascii="宋体" w:hAnsi="宋体" w:eastAsia="宋体"/>
      <w:kern w:val="2"/>
      <w:sz w:val="24"/>
      <w:szCs w:val="24"/>
      <w:lang w:val="en-US" w:eastAsia="zh-CN" w:bidi="ar-SA"/>
    </w:rPr>
  </w:style>
  <w:style w:type="character" w:customStyle="1" w:styleId="561">
    <w:name w:val="Char Char111"/>
    <w:qFormat/>
    <w:locked/>
    <w:uiPriority w:val="0"/>
    <w:rPr>
      <w:rFonts w:ascii="宋体" w:hAnsi="宋体" w:eastAsia="宋体"/>
      <w:b/>
      <w:kern w:val="2"/>
      <w:sz w:val="24"/>
      <w:szCs w:val="24"/>
      <w:lang w:val="en-US" w:eastAsia="zh-CN" w:bidi="ar-SA"/>
    </w:rPr>
  </w:style>
  <w:style w:type="character" w:customStyle="1" w:styleId="562">
    <w:name w:val="Document Map Char"/>
    <w:semiHidden/>
    <w:qFormat/>
    <w:locked/>
    <w:uiPriority w:val="0"/>
    <w:rPr>
      <w:rFonts w:eastAsia="宋体"/>
      <w:kern w:val="2"/>
      <w:sz w:val="21"/>
      <w:szCs w:val="24"/>
      <w:lang w:val="en-US" w:eastAsia="zh-CN" w:bidi="ar-SA"/>
    </w:rPr>
  </w:style>
  <w:style w:type="character" w:customStyle="1" w:styleId="563">
    <w:name w:val="正文文本缩进 Char"/>
    <w:qFormat/>
    <w:uiPriority w:val="0"/>
    <w:rPr>
      <w:rFonts w:ascii="宋体" w:hAnsi="宋体"/>
      <w:kern w:val="2"/>
      <w:sz w:val="24"/>
      <w:szCs w:val="24"/>
    </w:rPr>
  </w:style>
  <w:style w:type="character" w:customStyle="1" w:styleId="564">
    <w:name w:val="文本正文 Char Char"/>
    <w:qFormat/>
    <w:locked/>
    <w:uiPriority w:val="0"/>
    <w:rPr>
      <w:sz w:val="24"/>
      <w:lang w:bidi="ar-SA"/>
    </w:rPr>
  </w:style>
  <w:style w:type="character" w:customStyle="1" w:styleId="565">
    <w:name w:val="样式7 Char"/>
    <w:qFormat/>
    <w:uiPriority w:val="0"/>
    <w:rPr>
      <w:rFonts w:ascii="仿宋_GB2312" w:hAnsi="仿宋" w:eastAsia="仿宋_GB2312"/>
      <w:b/>
      <w:kern w:val="2"/>
      <w:sz w:val="24"/>
      <w:szCs w:val="24"/>
    </w:rPr>
  </w:style>
  <w:style w:type="character" w:customStyle="1" w:styleId="566">
    <w:name w:val="样式3 Char"/>
    <w:basedOn w:val="567"/>
    <w:qFormat/>
    <w:uiPriority w:val="0"/>
    <w:rPr>
      <w:rFonts w:ascii="仿宋_GB2312" w:hAnsi="仿宋" w:eastAsia="仿宋_GB2312" w:cs="仿宋_GB2312"/>
      <w:sz w:val="32"/>
      <w:szCs w:val="30"/>
      <w:lang w:val="zh-CN"/>
    </w:rPr>
  </w:style>
  <w:style w:type="character" w:customStyle="1" w:styleId="567">
    <w:name w:val="样式2 Char"/>
    <w:qFormat/>
    <w:uiPriority w:val="0"/>
    <w:rPr>
      <w:rFonts w:ascii="仿宋_GB2312" w:hAnsi="仿宋" w:eastAsia="仿宋_GB2312" w:cs="仿宋_GB2312"/>
      <w:b/>
      <w:bCs/>
      <w:sz w:val="32"/>
      <w:szCs w:val="30"/>
      <w:lang w:val="zh-CN"/>
    </w:rPr>
  </w:style>
  <w:style w:type="character" w:customStyle="1" w:styleId="568">
    <w:name w:val="二级标题 Char Char"/>
    <w:qFormat/>
    <w:uiPriority w:val="0"/>
    <w:rPr>
      <w:rFonts w:ascii="宋体" w:hAnsi="宋体" w:eastAsia="宋体"/>
      <w:b/>
      <w:snapToGrid w:val="0"/>
      <w:kern w:val="2"/>
      <w:sz w:val="24"/>
      <w:szCs w:val="24"/>
      <w:lang w:val="en-US" w:eastAsia="zh-CN" w:bidi="ar-SA"/>
    </w:rPr>
  </w:style>
  <w:style w:type="character" w:customStyle="1" w:styleId="569">
    <w:name w:val="Table Text Char1"/>
    <w:qFormat/>
    <w:uiPriority w:val="0"/>
    <w:rPr>
      <w:rFonts w:eastAsia="宋体"/>
      <w:sz w:val="24"/>
      <w:szCs w:val="24"/>
      <w:lang w:val="en-US" w:eastAsia="zh-CN" w:bidi="ar-SA"/>
    </w:rPr>
  </w:style>
  <w:style w:type="character" w:customStyle="1" w:styleId="570">
    <w:name w:val="shadow11"/>
    <w:qFormat/>
    <w:uiPriority w:val="0"/>
    <w:rPr>
      <w:color w:val="000000"/>
      <w:sz w:val="21"/>
    </w:rPr>
  </w:style>
  <w:style w:type="character" w:customStyle="1" w:styleId="571">
    <w:name w:val="HTML 地址 字符"/>
    <w:link w:val="29"/>
    <w:qFormat/>
    <w:uiPriority w:val="0"/>
    <w:rPr>
      <w:rFonts w:ascii="宋体" w:hAnsi="宋体"/>
      <w:i/>
      <w:iCs/>
      <w:sz w:val="24"/>
      <w:szCs w:val="24"/>
    </w:rPr>
  </w:style>
  <w:style w:type="character" w:customStyle="1" w:styleId="572">
    <w:name w:val="Char Char22"/>
    <w:qFormat/>
    <w:uiPriority w:val="0"/>
    <w:rPr>
      <w:rFonts w:eastAsia="宋体"/>
      <w:b/>
      <w:bCs/>
      <w:kern w:val="2"/>
      <w:sz w:val="21"/>
      <w:szCs w:val="24"/>
      <w:lang w:val="en-US" w:eastAsia="zh-CN" w:bidi="ar-SA"/>
    </w:rPr>
  </w:style>
  <w:style w:type="character" w:customStyle="1" w:styleId="573">
    <w:name w:val="标题 5 字符"/>
    <w:link w:val="6"/>
    <w:qFormat/>
    <w:uiPriority w:val="0"/>
    <w:rPr>
      <w:b/>
      <w:bCs/>
      <w:kern w:val="2"/>
      <w:sz w:val="28"/>
      <w:szCs w:val="28"/>
    </w:rPr>
  </w:style>
  <w:style w:type="character" w:customStyle="1" w:styleId="574">
    <w:name w:val="h3 Char1"/>
    <w:qFormat/>
    <w:uiPriority w:val="0"/>
    <w:rPr>
      <w:rFonts w:eastAsia="宋体"/>
      <w:b/>
      <w:bCs/>
      <w:kern w:val="2"/>
      <w:sz w:val="32"/>
      <w:szCs w:val="32"/>
      <w:lang w:bidi="ar-SA"/>
    </w:rPr>
  </w:style>
  <w:style w:type="character" w:customStyle="1" w:styleId="575">
    <w:name w:val="FA正文 Char Char"/>
    <w:qFormat/>
    <w:uiPriority w:val="0"/>
    <w:rPr>
      <w:rFonts w:hAnsi="宋体"/>
      <w:kern w:val="2"/>
      <w:sz w:val="24"/>
      <w:lang w:bidi="ar-SA"/>
    </w:rPr>
  </w:style>
  <w:style w:type="character" w:customStyle="1" w:styleId="576">
    <w:name w:val="Char Char7"/>
    <w:semiHidden/>
    <w:qFormat/>
    <w:uiPriority w:val="0"/>
    <w:rPr>
      <w:rFonts w:eastAsia="宋体"/>
      <w:kern w:val="2"/>
      <w:sz w:val="21"/>
      <w:szCs w:val="24"/>
      <w:lang w:val="en-US" w:eastAsia="zh-CN" w:bidi="ar-SA"/>
    </w:rPr>
  </w:style>
  <w:style w:type="character" w:customStyle="1" w:styleId="577">
    <w:name w:val="hui"/>
    <w:basedOn w:val="63"/>
    <w:qFormat/>
    <w:uiPriority w:val="0"/>
  </w:style>
  <w:style w:type="character" w:customStyle="1" w:styleId="578">
    <w:name w:val="正文缩进 Char"/>
    <w:qFormat/>
    <w:uiPriority w:val="0"/>
    <w:rPr>
      <w:rFonts w:eastAsia="宋体"/>
      <w:kern w:val="2"/>
      <w:sz w:val="21"/>
      <w:lang w:val="en-US" w:eastAsia="zh-CN"/>
    </w:rPr>
  </w:style>
  <w:style w:type="character" w:customStyle="1" w:styleId="579">
    <w:name w:val="正文1 Char"/>
    <w:qFormat/>
    <w:uiPriority w:val="0"/>
    <w:rPr>
      <w:rFonts w:ascii="宋体" w:eastAsia="宋体"/>
      <w:snapToGrid w:val="0"/>
      <w:color w:val="000000"/>
      <w:kern w:val="28"/>
      <w:sz w:val="28"/>
      <w:lang w:val="en-US" w:eastAsia="zh-CN" w:bidi="ar-SA"/>
    </w:rPr>
  </w:style>
  <w:style w:type="character" w:customStyle="1" w:styleId="580">
    <w:name w:val="Char Char61"/>
    <w:qFormat/>
    <w:uiPriority w:val="0"/>
    <w:rPr>
      <w:rFonts w:eastAsia="宋体"/>
      <w:kern w:val="2"/>
      <w:sz w:val="21"/>
      <w:szCs w:val="24"/>
      <w:lang w:val="en-US" w:eastAsia="zh-CN" w:bidi="ar-SA"/>
    </w:rPr>
  </w:style>
  <w:style w:type="character" w:customStyle="1" w:styleId="581">
    <w:name w:val="正文文本 3 字符"/>
    <w:link w:val="22"/>
    <w:qFormat/>
    <w:uiPriority w:val="0"/>
    <w:rPr>
      <w:kern w:val="2"/>
      <w:sz w:val="21"/>
    </w:rPr>
  </w:style>
  <w:style w:type="character" w:customStyle="1" w:styleId="582">
    <w:name w:val="message1"/>
    <w:qFormat/>
    <w:uiPriority w:val="0"/>
    <w:rPr>
      <w:rFonts w:hint="default" w:ascii="Tahoma" w:hAnsi="Tahoma" w:cs="Tahoma"/>
      <w:sz w:val="18"/>
      <w:szCs w:val="18"/>
    </w:rPr>
  </w:style>
  <w:style w:type="character" w:customStyle="1" w:styleId="583">
    <w:name w:val="DO_NOT_TRANSLATE"/>
    <w:qFormat/>
    <w:uiPriority w:val="0"/>
    <w:rPr>
      <w:rFonts w:ascii="Courier New" w:hAnsi="Courier New" w:cs="Courier New"/>
      <w:color w:val="800000"/>
    </w:rPr>
  </w:style>
  <w:style w:type="character" w:customStyle="1" w:styleId="584">
    <w:name w:val="unnamed11"/>
    <w:qFormat/>
    <w:uiPriority w:val="0"/>
    <w:rPr>
      <w:sz w:val="20"/>
      <w:szCs w:val="20"/>
    </w:rPr>
  </w:style>
  <w:style w:type="character" w:customStyle="1" w:styleId="585">
    <w:name w:val="tw4winInternal"/>
    <w:qFormat/>
    <w:uiPriority w:val="0"/>
    <w:rPr>
      <w:rFonts w:ascii="Courier New" w:hAnsi="Courier New" w:cs="Courier New"/>
      <w:color w:val="FF0000"/>
    </w:rPr>
  </w:style>
  <w:style w:type="character" w:customStyle="1" w:styleId="586">
    <w:name w:val="正文（缩进2汉字） Char"/>
    <w:link w:val="325"/>
    <w:qFormat/>
    <w:uiPriority w:val="0"/>
    <w:rPr>
      <w:rFonts w:ascii="宋体"/>
    </w:rPr>
  </w:style>
  <w:style w:type="character" w:customStyle="1" w:styleId="587">
    <w:name w:val="页脚 Char"/>
    <w:qFormat/>
    <w:uiPriority w:val="0"/>
    <w:rPr>
      <w:rFonts w:eastAsia="仿宋_GB2312"/>
      <w:kern w:val="2"/>
      <w:sz w:val="18"/>
      <w:lang w:val="en-US" w:eastAsia="zh-CN"/>
    </w:rPr>
  </w:style>
  <w:style w:type="character" w:customStyle="1" w:styleId="588">
    <w:name w:val="正文文本缩进 3 字符"/>
    <w:link w:val="51"/>
    <w:qFormat/>
    <w:uiPriority w:val="0"/>
    <w:rPr>
      <w:kern w:val="2"/>
      <w:sz w:val="24"/>
    </w:rPr>
  </w:style>
  <w:style w:type="character" w:customStyle="1" w:styleId="589">
    <w:name w:val="正文缩进 Char1"/>
    <w:qFormat/>
    <w:uiPriority w:val="0"/>
    <w:rPr>
      <w:rFonts w:ascii="宋体" w:eastAsia="宋体"/>
      <w:snapToGrid w:val="0"/>
      <w:color w:val="000000"/>
      <w:kern w:val="28"/>
      <w:sz w:val="28"/>
      <w:lang w:val="en-US" w:eastAsia="zh-CN" w:bidi="ar-SA"/>
    </w:rPr>
  </w:style>
  <w:style w:type="character" w:customStyle="1" w:styleId="590">
    <w:name w:val="style36"/>
    <w:basedOn w:val="63"/>
    <w:qFormat/>
    <w:uiPriority w:val="0"/>
  </w:style>
  <w:style w:type="character" w:customStyle="1" w:styleId="591">
    <w:name w:val="hui3"/>
    <w:qFormat/>
    <w:uiPriority w:val="0"/>
    <w:rPr>
      <w:color w:val="333333"/>
    </w:rPr>
  </w:style>
  <w:style w:type="character" w:customStyle="1" w:styleId="592">
    <w:name w:val="apple-converted-space"/>
    <w:qFormat/>
    <w:uiPriority w:val="0"/>
  </w:style>
  <w:style w:type="character" w:customStyle="1" w:styleId="593">
    <w:name w:val="文档结构图 Char"/>
    <w:qFormat/>
    <w:uiPriority w:val="0"/>
    <w:rPr>
      <w:rFonts w:eastAsia="宋体"/>
      <w:kern w:val="2"/>
      <w:sz w:val="21"/>
      <w:szCs w:val="24"/>
      <w:lang w:val="en-US" w:eastAsia="zh-CN" w:bidi="ar-SA"/>
    </w:rPr>
  </w:style>
  <w:style w:type="character" w:customStyle="1" w:styleId="594">
    <w:name w:val="正文非缩进 Char3"/>
    <w:qFormat/>
    <w:uiPriority w:val="0"/>
    <w:rPr>
      <w:rFonts w:ascii="宋体" w:eastAsia="宋体"/>
      <w:snapToGrid w:val="0"/>
      <w:color w:val="000000"/>
      <w:kern w:val="28"/>
      <w:sz w:val="28"/>
      <w:lang w:val="en-US" w:eastAsia="zh-CN" w:bidi="ar-SA"/>
    </w:rPr>
  </w:style>
  <w:style w:type="character" w:customStyle="1" w:styleId="595">
    <w:name w:val="dectext1"/>
    <w:qFormat/>
    <w:uiPriority w:val="0"/>
    <w:rPr>
      <w:rFonts w:ascii="宋体" w:hAnsi="宋体" w:eastAsia="宋体"/>
      <w:color w:val="333333"/>
      <w:sz w:val="21"/>
      <w:szCs w:val="21"/>
      <w:u w:val="none"/>
    </w:rPr>
  </w:style>
  <w:style w:type="character" w:customStyle="1" w:styleId="596">
    <w:name w:val="副标题 Char1"/>
    <w:qFormat/>
    <w:uiPriority w:val="0"/>
    <w:rPr>
      <w:rFonts w:ascii="Cambria" w:hAnsi="Cambria" w:eastAsia="宋体" w:cs="Times New Roman"/>
      <w:b/>
      <w:bCs/>
      <w:snapToGrid w:val="0"/>
      <w:kern w:val="28"/>
      <w:sz w:val="32"/>
      <w:szCs w:val="32"/>
    </w:rPr>
  </w:style>
  <w:style w:type="character" w:customStyle="1" w:styleId="597">
    <w:name w:val="f141"/>
    <w:qFormat/>
    <w:uiPriority w:val="0"/>
    <w:rPr>
      <w:rFonts w:ascii="Tahoma" w:hAnsi="Tahoma" w:eastAsia="宋体"/>
      <w:b/>
      <w:kern w:val="2"/>
      <w:sz w:val="21"/>
      <w:szCs w:val="21"/>
      <w:lang w:val="en-US" w:eastAsia="zh-CN" w:bidi="ar-SA"/>
    </w:rPr>
  </w:style>
  <w:style w:type="character" w:customStyle="1" w:styleId="598">
    <w:name w:val="日期 字符"/>
    <w:link w:val="35"/>
    <w:qFormat/>
    <w:uiPriority w:val="0"/>
    <w:rPr>
      <w:rFonts w:ascii="宋体"/>
      <w:kern w:val="2"/>
      <w:sz w:val="24"/>
      <w:szCs w:val="21"/>
      <w:lang w:val="zh-CN"/>
    </w:rPr>
  </w:style>
  <w:style w:type="character" w:customStyle="1" w:styleId="599">
    <w:name w:val="标题 4 字符"/>
    <w:link w:val="5"/>
    <w:qFormat/>
    <w:uiPriority w:val="0"/>
    <w:rPr>
      <w:rFonts w:ascii="Arial" w:hAnsi="Arial" w:eastAsia="黑体"/>
      <w:b/>
      <w:bCs/>
      <w:kern w:val="2"/>
      <w:sz w:val="28"/>
      <w:szCs w:val="28"/>
      <w:lang w:val="zh-CN"/>
    </w:rPr>
  </w:style>
  <w:style w:type="character" w:customStyle="1" w:styleId="600">
    <w:name w:val="链接"/>
    <w:qFormat/>
    <w:uiPriority w:val="0"/>
    <w:rPr>
      <w:color w:val="0000FF"/>
      <w:sz w:val="21"/>
      <w:szCs w:val="21"/>
      <w:u w:val="single"/>
    </w:rPr>
  </w:style>
  <w:style w:type="character" w:customStyle="1" w:styleId="601">
    <w:name w:val="正文首行缩进 Char Char Char Char Char Char"/>
    <w:qFormat/>
    <w:uiPriority w:val="0"/>
    <w:rPr>
      <w:rFonts w:ascii="宋体" w:eastAsia="宋体"/>
      <w:kern w:val="2"/>
      <w:sz w:val="24"/>
      <w:lang w:val="zh-CN" w:bidi="ar-SA"/>
    </w:rPr>
  </w:style>
  <w:style w:type="character" w:customStyle="1" w:styleId="602">
    <w:name w:val="tw4winError"/>
    <w:qFormat/>
    <w:uiPriority w:val="0"/>
    <w:rPr>
      <w:rFonts w:ascii="Courier New" w:hAnsi="Courier New" w:cs="Courier New"/>
      <w:color w:val="00FF00"/>
      <w:sz w:val="40"/>
      <w:szCs w:val="40"/>
    </w:rPr>
  </w:style>
  <w:style w:type="character" w:customStyle="1" w:styleId="603">
    <w:name w:val="Used by Word for text of Help footnotes Char Char"/>
    <w:semiHidden/>
    <w:qFormat/>
    <w:uiPriority w:val="0"/>
    <w:rPr>
      <w:rFonts w:ascii="Times New Roman" w:hAnsi="Times New Roman" w:eastAsia="宋体" w:cs="Times New Roman"/>
      <w:sz w:val="20"/>
      <w:szCs w:val="20"/>
    </w:rPr>
  </w:style>
  <w:style w:type="character" w:customStyle="1" w:styleId="604">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5">
    <w:name w:val="表正文 Char"/>
    <w:qFormat/>
    <w:uiPriority w:val="0"/>
    <w:rPr>
      <w:rFonts w:ascii="宋体" w:eastAsia="宋体"/>
      <w:snapToGrid w:val="0"/>
      <w:color w:val="000000"/>
      <w:kern w:val="28"/>
      <w:sz w:val="28"/>
      <w:lang w:val="en-US" w:eastAsia="zh-CN" w:bidi="ar-SA"/>
    </w:rPr>
  </w:style>
  <w:style w:type="character" w:customStyle="1" w:styleId="606">
    <w:name w:val="普通文字 Char1 Char"/>
    <w:qFormat/>
    <w:uiPriority w:val="0"/>
    <w:rPr>
      <w:rFonts w:ascii="宋体" w:hAnsi="Courier New" w:eastAsia="宋体"/>
      <w:kern w:val="2"/>
      <w:sz w:val="21"/>
      <w:szCs w:val="24"/>
      <w:lang w:val="en-US" w:eastAsia="zh-CN" w:bidi="ar-SA"/>
    </w:rPr>
  </w:style>
  <w:style w:type="character" w:customStyle="1" w:styleId="607">
    <w:name w:val="pt9"/>
    <w:qFormat/>
    <w:uiPriority w:val="0"/>
    <w:rPr>
      <w:rFonts w:ascii="仿宋_GB2312" w:eastAsia="微软雅黑"/>
      <w:b/>
      <w:kern w:val="2"/>
      <w:sz w:val="32"/>
      <w:szCs w:val="32"/>
      <w:lang w:val="en-US" w:eastAsia="zh-CN" w:bidi="ar-SA"/>
    </w:rPr>
  </w:style>
  <w:style w:type="character" w:customStyle="1" w:styleId="608">
    <w:name w:val="large1"/>
    <w:qFormat/>
    <w:uiPriority w:val="0"/>
    <w:rPr>
      <w:rFonts w:hint="eastAsia" w:ascii="宋体" w:hAnsi="宋体" w:eastAsia="宋体"/>
      <w:sz w:val="21"/>
      <w:szCs w:val="21"/>
    </w:rPr>
  </w:style>
  <w:style w:type="character" w:customStyle="1" w:styleId="609">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10">
    <w:name w:val="标题 4 Char1"/>
    <w:semiHidden/>
    <w:qFormat/>
    <w:uiPriority w:val="9"/>
    <w:rPr>
      <w:rFonts w:ascii="Cambria" w:hAnsi="Cambria" w:eastAsia="宋体" w:cs="Times New Roman"/>
      <w:b/>
      <w:bCs/>
      <w:kern w:val="2"/>
      <w:sz w:val="28"/>
      <w:szCs w:val="28"/>
    </w:rPr>
  </w:style>
  <w:style w:type="character" w:customStyle="1" w:styleId="611">
    <w:name w:val="tw4winPopup"/>
    <w:qFormat/>
    <w:uiPriority w:val="0"/>
    <w:rPr>
      <w:rFonts w:ascii="Courier New" w:hAnsi="Courier New" w:cs="Courier New"/>
      <w:color w:val="008000"/>
    </w:rPr>
  </w:style>
  <w:style w:type="character" w:customStyle="1" w:styleId="612">
    <w:name w:val="标题 6 字符"/>
    <w:link w:val="7"/>
    <w:qFormat/>
    <w:uiPriority w:val="0"/>
    <w:rPr>
      <w:rFonts w:ascii="Arial" w:hAnsi="Arial" w:eastAsia="黑体"/>
      <w:b/>
      <w:bCs/>
      <w:kern w:val="2"/>
      <w:sz w:val="24"/>
      <w:szCs w:val="24"/>
    </w:rPr>
  </w:style>
  <w:style w:type="character" w:customStyle="1" w:styleId="613">
    <w:name w:val="正文缩进 字符"/>
    <w:link w:val="16"/>
    <w:qFormat/>
    <w:uiPriority w:val="0"/>
    <w:rPr>
      <w:rFonts w:ascii="宋体" w:eastAsia="宋体"/>
      <w:snapToGrid w:val="0"/>
      <w:color w:val="000000"/>
      <w:kern w:val="28"/>
      <w:sz w:val="28"/>
      <w:lang w:val="en-US" w:eastAsia="zh-CN" w:bidi="ar-SA"/>
    </w:rPr>
  </w:style>
  <w:style w:type="character" w:customStyle="1" w:styleId="614">
    <w:name w:val="批注文字 字符"/>
    <w:link w:val="20"/>
    <w:qFormat/>
    <w:uiPriority w:val="99"/>
    <w:rPr>
      <w:kern w:val="2"/>
      <w:sz w:val="21"/>
      <w:szCs w:val="24"/>
    </w:rPr>
  </w:style>
  <w:style w:type="character" w:customStyle="1" w:styleId="615">
    <w:name w:val="批注框文本 字符"/>
    <w:link w:val="37"/>
    <w:semiHidden/>
    <w:qFormat/>
    <w:uiPriority w:val="0"/>
    <w:rPr>
      <w:kern w:val="2"/>
      <w:sz w:val="18"/>
      <w:szCs w:val="18"/>
    </w:rPr>
  </w:style>
  <w:style w:type="character" w:customStyle="1" w:styleId="616">
    <w:name w:val="Footer Char"/>
    <w:qFormat/>
    <w:locked/>
    <w:uiPriority w:val="0"/>
    <w:rPr>
      <w:rFonts w:eastAsia="宋体"/>
      <w:kern w:val="2"/>
      <w:sz w:val="18"/>
      <w:lang w:val="en-US" w:eastAsia="zh-CN" w:bidi="ar-SA"/>
    </w:rPr>
  </w:style>
  <w:style w:type="paragraph" w:customStyle="1" w:styleId="61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8">
    <w:name w:val="索引 11"/>
    <w:basedOn w:val="1"/>
    <w:next w:val="1"/>
    <w:qFormat/>
    <w:uiPriority w:val="0"/>
    <w:pPr>
      <w:adjustRightInd/>
      <w:spacing w:line="360" w:lineRule="auto"/>
    </w:pPr>
    <w:rPr>
      <w:rFonts w:ascii="仿宋_GB2312" w:eastAsia="仿宋_GB2312"/>
      <w:sz w:val="24"/>
      <w:szCs w:val="20"/>
    </w:rPr>
  </w:style>
  <w:style w:type="paragraph" w:customStyle="1" w:styleId="619">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0">
    <w:name w:val="纯文本_0_0"/>
    <w:basedOn w:val="1"/>
    <w:link w:val="621"/>
    <w:qFormat/>
    <w:uiPriority w:val="0"/>
    <w:pPr>
      <w:adjustRightInd/>
    </w:pPr>
    <w:rPr>
      <w:rFonts w:ascii="宋体" w:hAnsi="Courier New"/>
      <w:szCs w:val="21"/>
    </w:rPr>
  </w:style>
  <w:style w:type="character" w:customStyle="1" w:styleId="621">
    <w:name w:val="纯文本 Char_0"/>
    <w:link w:val="620"/>
    <w:qFormat/>
    <w:uiPriority w:val="0"/>
    <w:rPr>
      <w:rFonts w:ascii="宋体" w:hAnsi="Courier New"/>
      <w:kern w:val="2"/>
      <w:sz w:val="21"/>
      <w:szCs w:val="21"/>
      <w:lang w:val="en-US" w:eastAsia="zh-CN"/>
    </w:rPr>
  </w:style>
  <w:style w:type="character" w:customStyle="1" w:styleId="622">
    <w:name w:val="纯文本 Char1"/>
    <w:link w:val="623"/>
    <w:qFormat/>
    <w:uiPriority w:val="0"/>
    <w:rPr>
      <w:rFonts w:ascii="宋体" w:hAnsi="Courier New"/>
    </w:rPr>
  </w:style>
  <w:style w:type="paragraph" w:customStyle="1" w:styleId="623">
    <w:name w:val="纯文本1"/>
    <w:basedOn w:val="1"/>
    <w:link w:val="622"/>
    <w:qFormat/>
    <w:uiPriority w:val="0"/>
    <w:pPr>
      <w:adjustRightInd/>
    </w:pPr>
    <w:rPr>
      <w:rFonts w:ascii="宋体" w:hAnsi="Courier New"/>
      <w:kern w:val="0"/>
      <w:sz w:val="20"/>
      <w:szCs w:val="20"/>
    </w:rPr>
  </w:style>
  <w:style w:type="paragraph" w:customStyle="1" w:styleId="624">
    <w:name w:val="Char Char Char Char Char Char Char2"/>
    <w:basedOn w:val="1"/>
    <w:qFormat/>
    <w:uiPriority w:val="0"/>
    <w:rPr>
      <w:rFonts w:ascii="仿宋_GB2312" w:eastAsia="仿宋_GB2312"/>
      <w:b/>
      <w:sz w:val="32"/>
      <w:szCs w:val="32"/>
    </w:rPr>
  </w:style>
  <w:style w:type="paragraph" w:customStyle="1" w:styleId="625">
    <w:name w:val="Char Char1 Char Char Char Char Char Char2"/>
    <w:basedOn w:val="1"/>
    <w:qFormat/>
    <w:uiPriority w:val="0"/>
    <w:rPr>
      <w:rFonts w:ascii="仿宋_GB2312" w:eastAsia="仿宋_GB2312"/>
      <w:b/>
      <w:sz w:val="32"/>
      <w:szCs w:val="20"/>
    </w:rPr>
  </w:style>
  <w:style w:type="paragraph" w:customStyle="1" w:styleId="6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7">
    <w:name w:val="Default Char"/>
    <w:link w:val="72"/>
    <w:qFormat/>
    <w:uiPriority w:val="0"/>
    <w:rPr>
      <w:rFonts w:ascii="仿宋_GB2312" w:eastAsia="仿宋_GB2312" w:cs="仿宋_GB2312"/>
      <w:color w:val="000000"/>
      <w:sz w:val="24"/>
      <w:szCs w:val="24"/>
    </w:rPr>
  </w:style>
  <w:style w:type="paragraph" w:customStyle="1" w:styleId="62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9">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30">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2">
    <w:name w:val="*正文 Char"/>
    <w:link w:val="633"/>
    <w:qFormat/>
    <w:locked/>
    <w:uiPriority w:val="0"/>
    <w:rPr>
      <w:rFonts w:ascii="宋体" w:hAnsi="宋体"/>
      <w:sz w:val="24"/>
    </w:rPr>
  </w:style>
  <w:style w:type="paragraph" w:customStyle="1" w:styleId="633">
    <w:name w:val="*正文"/>
    <w:basedOn w:val="1"/>
    <w:link w:val="632"/>
    <w:qFormat/>
    <w:uiPriority w:val="0"/>
    <w:pPr>
      <w:snapToGrid w:val="0"/>
      <w:spacing w:line="360" w:lineRule="auto"/>
      <w:ind w:firstLine="482"/>
      <w:jc w:val="left"/>
    </w:pPr>
    <w:rPr>
      <w:rFonts w:ascii="宋体" w:hAnsi="宋体"/>
      <w:kern w:val="0"/>
      <w:sz w:val="24"/>
      <w:szCs w:val="20"/>
    </w:rPr>
  </w:style>
  <w:style w:type="character" w:customStyle="1" w:styleId="634">
    <w:name w:val="正文文本缩进 Char3"/>
    <w:qFormat/>
    <w:uiPriority w:val="0"/>
    <w:rPr>
      <w:rFonts w:ascii="宋体" w:hAnsi="宋体"/>
      <w:kern w:val="2"/>
      <w:sz w:val="24"/>
      <w:szCs w:val="24"/>
    </w:rPr>
  </w:style>
  <w:style w:type="table" w:customStyle="1" w:styleId="635">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6">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7">
    <w:name w:val="_Style 6"/>
    <w:basedOn w:val="1"/>
    <w:qFormat/>
    <w:uiPriority w:val="34"/>
    <w:pPr>
      <w:adjustRightInd/>
      <w:ind w:firstLine="420" w:firstLineChars="200"/>
    </w:pPr>
    <w:rPr>
      <w:rFonts w:eastAsia="仿宋_GB2312"/>
      <w:sz w:val="28"/>
    </w:rPr>
  </w:style>
  <w:style w:type="character" w:customStyle="1" w:styleId="638">
    <w:name w:val="font01"/>
    <w:basedOn w:val="63"/>
    <w:qFormat/>
    <w:uiPriority w:val="0"/>
    <w:rPr>
      <w:rFonts w:hint="eastAsia" w:ascii="宋体" w:hAnsi="宋体" w:eastAsia="宋体" w:cs="宋体"/>
      <w:color w:val="000000"/>
      <w:sz w:val="22"/>
      <w:szCs w:val="22"/>
      <w:u w:val="none"/>
    </w:rPr>
  </w:style>
  <w:style w:type="table" w:customStyle="1" w:styleId="6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73</Pages>
  <Words>4698</Words>
  <Characters>5631</Characters>
  <Lines>364</Lines>
  <Paragraphs>102</Paragraphs>
  <TotalTime>35</TotalTime>
  <ScaleCrop>false</ScaleCrop>
  <LinksUpToDate>false</LinksUpToDate>
  <CharactersWithSpaces>5746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2025-02-20T02:26:00Z</dcterms:created>
  <dc:creator>北海市政府采购中心</dc:creator>
  <cp:lastModifiedBy>雪儿</cp:lastModifiedBy>
  <cp:lastPrinted>2025-12-25T08:37:00Z</cp:lastPrinted>
  <dcterms:modified xsi:type="dcterms:W3CDTF">2026-08-26T03:47:48Z</dcterms:modified>
  <dc:title>北海市政府采购中心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3B2E1A466C4749308940D94E00306703_13</vt:lpwstr>
  </property>
  <property fmtid="{D5CDD505-2E9C-101B-9397-08002B2CF9AE}" pid="4" name="KSOTemplateDocerSaveRecord">
    <vt:lpwstr>eyJoZGlkIjoiMTljMTY3MWI0NGEzZDZkZTJkNTM2M2Y3MjgwNGQ1N2QiLCJ1c2VySWQiOiI0MTc4NDQzNjAifQ==</vt:lpwstr>
  </property>
</Properties>
</file>